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853D1">
      <w:pPr>
        <w:spacing w:before="139" w:line="225" w:lineRule="auto"/>
        <w:ind w:left="207"/>
        <w:rPr>
          <w:rFonts w:hint="eastAsia" w:ascii="宋体" w:hAnsi="宋体" w:eastAsia="宋体" w:cs="宋体"/>
          <w:b/>
          <w:bCs/>
          <w:color w:val="auto"/>
          <w:spacing w:val="6"/>
          <w:sz w:val="35"/>
          <w:szCs w:val="35"/>
          <w:lang w:eastAsia="zh-CN"/>
        </w:rPr>
      </w:pPr>
    </w:p>
    <w:p w14:paraId="5FFEB9A0">
      <w:pPr>
        <w:spacing w:before="139" w:line="225" w:lineRule="auto"/>
        <w:ind w:left="207"/>
        <w:rPr>
          <w:rFonts w:hint="eastAsia" w:ascii="宋体" w:hAnsi="宋体" w:eastAsia="宋体" w:cs="宋体"/>
          <w:b/>
          <w:bCs/>
          <w:color w:val="auto"/>
          <w:spacing w:val="6"/>
          <w:sz w:val="35"/>
          <w:szCs w:val="35"/>
          <w:lang w:eastAsia="zh-CN"/>
        </w:rPr>
      </w:pPr>
    </w:p>
    <w:p w14:paraId="4DB6F86F">
      <w:pPr>
        <w:spacing w:before="139" w:line="225" w:lineRule="auto"/>
        <w:ind w:left="207"/>
        <w:jc w:val="center"/>
        <w:rPr>
          <w:rFonts w:hint="eastAsia" w:ascii="宋体" w:hAnsi="宋体" w:eastAsia="宋体" w:cs="宋体"/>
          <w:color w:val="auto"/>
          <w:sz w:val="35"/>
          <w:szCs w:val="35"/>
          <w:lang w:eastAsia="zh-CN"/>
        </w:rPr>
      </w:pPr>
      <w:r>
        <w:rPr>
          <w:rFonts w:hint="eastAsia" w:ascii="宋体" w:hAnsi="宋体" w:cs="宋体"/>
          <w:color w:val="auto"/>
          <w:sz w:val="35"/>
          <w:szCs w:val="35"/>
          <w:lang w:val="en-US" w:eastAsia="zh-CN"/>
        </w:rPr>
        <w:t>舒兰市</w:t>
      </w:r>
      <w:r>
        <w:rPr>
          <w:rFonts w:hint="eastAsia" w:ascii="宋体" w:hAnsi="宋体" w:eastAsia="宋体" w:cs="宋体"/>
          <w:color w:val="auto"/>
          <w:sz w:val="35"/>
          <w:szCs w:val="35"/>
          <w:lang w:eastAsia="zh-CN"/>
        </w:rPr>
        <w:t>朝阳镇新旭村水泥路工程</w:t>
      </w:r>
    </w:p>
    <w:p w14:paraId="6915E9A4">
      <w:pPr>
        <w:pStyle w:val="2"/>
        <w:spacing w:line="248" w:lineRule="auto"/>
        <w:rPr>
          <w:color w:val="auto"/>
        </w:rPr>
      </w:pPr>
    </w:p>
    <w:p w14:paraId="2C744156">
      <w:pPr>
        <w:pStyle w:val="2"/>
        <w:spacing w:line="248" w:lineRule="auto"/>
        <w:rPr>
          <w:color w:val="auto"/>
        </w:rPr>
      </w:pPr>
    </w:p>
    <w:p w14:paraId="7737A4F6">
      <w:pPr>
        <w:pStyle w:val="2"/>
        <w:spacing w:line="248" w:lineRule="auto"/>
        <w:rPr>
          <w:color w:val="auto"/>
        </w:rPr>
      </w:pPr>
    </w:p>
    <w:p w14:paraId="574307BA">
      <w:pPr>
        <w:pStyle w:val="2"/>
        <w:spacing w:line="248" w:lineRule="auto"/>
        <w:rPr>
          <w:color w:val="auto"/>
        </w:rPr>
      </w:pPr>
    </w:p>
    <w:p w14:paraId="23E68DDB">
      <w:pPr>
        <w:pStyle w:val="2"/>
        <w:spacing w:line="248" w:lineRule="auto"/>
        <w:rPr>
          <w:color w:val="auto"/>
        </w:rPr>
      </w:pPr>
    </w:p>
    <w:p w14:paraId="11FCB5C5">
      <w:pPr>
        <w:pStyle w:val="2"/>
        <w:spacing w:line="249" w:lineRule="auto"/>
        <w:rPr>
          <w:color w:val="auto"/>
        </w:rPr>
      </w:pPr>
    </w:p>
    <w:p w14:paraId="3F713B7D">
      <w:pPr>
        <w:pStyle w:val="2"/>
        <w:spacing w:line="249" w:lineRule="auto"/>
        <w:rPr>
          <w:color w:val="auto"/>
        </w:rPr>
      </w:pPr>
    </w:p>
    <w:p w14:paraId="471E13AC">
      <w:pPr>
        <w:pStyle w:val="2"/>
        <w:spacing w:line="249" w:lineRule="auto"/>
        <w:rPr>
          <w:color w:val="auto"/>
        </w:rPr>
      </w:pPr>
    </w:p>
    <w:p w14:paraId="1FA14B11">
      <w:pPr>
        <w:pStyle w:val="2"/>
        <w:spacing w:line="249" w:lineRule="auto"/>
        <w:rPr>
          <w:color w:val="auto"/>
        </w:rPr>
      </w:pPr>
    </w:p>
    <w:p w14:paraId="58B55A21">
      <w:pPr>
        <w:spacing w:before="231" w:line="223" w:lineRule="auto"/>
        <w:ind w:left="0" w:leftChars="0" w:firstLine="0" w:firstLineChars="0"/>
        <w:jc w:val="center"/>
        <w:rPr>
          <w:rFonts w:ascii="宋体" w:hAnsi="宋体" w:eastAsia="宋体" w:cs="宋体"/>
          <w:color w:val="auto"/>
          <w:sz w:val="71"/>
          <w:szCs w:val="71"/>
        </w:rPr>
      </w:pPr>
      <w:r>
        <w:rPr>
          <w:rFonts w:ascii="宋体" w:hAnsi="宋体" w:eastAsia="宋体" w:cs="宋体"/>
          <w:b/>
          <w:bCs/>
          <w:color w:val="auto"/>
          <w:spacing w:val="-26"/>
          <w:sz w:val="71"/>
          <w:szCs w:val="71"/>
        </w:rPr>
        <w:t>磋</w:t>
      </w:r>
      <w:r>
        <w:rPr>
          <w:rFonts w:ascii="宋体" w:hAnsi="宋体" w:eastAsia="宋体" w:cs="宋体"/>
          <w:color w:val="auto"/>
          <w:spacing w:val="53"/>
          <w:sz w:val="71"/>
          <w:szCs w:val="71"/>
        </w:rPr>
        <w:t xml:space="preserve"> </w:t>
      </w:r>
      <w:r>
        <w:rPr>
          <w:rFonts w:ascii="宋体" w:hAnsi="宋体" w:eastAsia="宋体" w:cs="宋体"/>
          <w:b/>
          <w:bCs/>
          <w:color w:val="auto"/>
          <w:spacing w:val="-26"/>
          <w:sz w:val="71"/>
          <w:szCs w:val="71"/>
        </w:rPr>
        <w:t>商</w:t>
      </w:r>
      <w:r>
        <w:rPr>
          <w:rFonts w:ascii="宋体" w:hAnsi="宋体" w:eastAsia="宋体" w:cs="宋体"/>
          <w:color w:val="auto"/>
          <w:spacing w:val="42"/>
          <w:sz w:val="71"/>
          <w:szCs w:val="71"/>
        </w:rPr>
        <w:t xml:space="preserve"> </w:t>
      </w:r>
      <w:r>
        <w:rPr>
          <w:rFonts w:ascii="宋体" w:hAnsi="宋体" w:eastAsia="宋体" w:cs="宋体"/>
          <w:b/>
          <w:bCs/>
          <w:color w:val="auto"/>
          <w:spacing w:val="-26"/>
          <w:sz w:val="71"/>
          <w:szCs w:val="71"/>
        </w:rPr>
        <w:t>文</w:t>
      </w:r>
      <w:r>
        <w:rPr>
          <w:rFonts w:ascii="宋体" w:hAnsi="宋体" w:eastAsia="宋体" w:cs="宋体"/>
          <w:color w:val="auto"/>
          <w:spacing w:val="35"/>
          <w:sz w:val="71"/>
          <w:szCs w:val="71"/>
        </w:rPr>
        <w:t xml:space="preserve"> </w:t>
      </w:r>
      <w:r>
        <w:rPr>
          <w:rFonts w:ascii="宋体" w:hAnsi="宋体" w:eastAsia="宋体" w:cs="宋体"/>
          <w:b/>
          <w:bCs/>
          <w:color w:val="auto"/>
          <w:spacing w:val="-26"/>
          <w:sz w:val="71"/>
          <w:szCs w:val="71"/>
        </w:rPr>
        <w:t>件</w:t>
      </w:r>
    </w:p>
    <w:p w14:paraId="62D62B64">
      <w:pPr>
        <w:pStyle w:val="2"/>
        <w:spacing w:line="336" w:lineRule="auto"/>
        <w:rPr>
          <w:color w:val="auto"/>
        </w:rPr>
      </w:pPr>
    </w:p>
    <w:p w14:paraId="2829035D">
      <w:pPr>
        <w:pStyle w:val="2"/>
        <w:spacing w:line="337" w:lineRule="auto"/>
        <w:rPr>
          <w:color w:val="auto"/>
        </w:rPr>
      </w:pPr>
    </w:p>
    <w:p w14:paraId="4C8912A7">
      <w:pPr>
        <w:spacing w:before="91" w:line="220" w:lineRule="auto"/>
        <w:ind w:left="202"/>
        <w:jc w:val="center"/>
        <w:rPr>
          <w:rFonts w:hint="eastAsia" w:ascii="宋体" w:hAnsi="宋体" w:eastAsia="宋体" w:cs="宋体"/>
          <w:b/>
          <w:bCs/>
          <w:color w:val="auto"/>
          <w:spacing w:val="-2"/>
          <w:sz w:val="28"/>
          <w:szCs w:val="28"/>
        </w:rPr>
      </w:pPr>
      <w:r>
        <w:rPr>
          <w:rFonts w:ascii="宋体" w:hAnsi="宋体" w:eastAsia="宋体" w:cs="宋体"/>
          <w:b/>
          <w:bCs/>
          <w:color w:val="auto"/>
          <w:spacing w:val="-2"/>
          <w:sz w:val="28"/>
          <w:szCs w:val="28"/>
        </w:rPr>
        <w:t>项目编号：</w:t>
      </w:r>
      <w:r>
        <w:rPr>
          <w:rFonts w:hint="eastAsia" w:ascii="宋体" w:hAnsi="宋体" w:eastAsia="宋体" w:cs="宋体"/>
          <w:b/>
          <w:bCs/>
          <w:color w:val="auto"/>
          <w:spacing w:val="-2"/>
          <w:sz w:val="28"/>
          <w:szCs w:val="28"/>
        </w:rPr>
        <w:t>采购计划-[2026]-00954号-01</w:t>
      </w:r>
    </w:p>
    <w:p w14:paraId="578DC6B1">
      <w:pPr>
        <w:spacing w:before="91" w:line="220" w:lineRule="auto"/>
        <w:ind w:left="202"/>
        <w:jc w:val="center"/>
        <w:rPr>
          <w:rFonts w:hint="eastAsia" w:ascii="宋体" w:hAnsi="宋体" w:eastAsia="宋体" w:cs="宋体"/>
          <w:b/>
          <w:bCs/>
          <w:color w:val="auto"/>
          <w:spacing w:val="-3"/>
          <w:sz w:val="28"/>
          <w:szCs w:val="28"/>
          <w:lang w:val="en-US" w:eastAsia="zh-CN"/>
        </w:rPr>
      </w:pPr>
    </w:p>
    <w:p w14:paraId="03D91281">
      <w:pPr>
        <w:pStyle w:val="2"/>
        <w:spacing w:line="243" w:lineRule="auto"/>
        <w:jc w:val="center"/>
        <w:rPr>
          <w:color w:val="auto"/>
        </w:rPr>
      </w:pPr>
    </w:p>
    <w:p w14:paraId="446F4BB2">
      <w:pPr>
        <w:pStyle w:val="2"/>
        <w:spacing w:line="243" w:lineRule="auto"/>
        <w:rPr>
          <w:color w:val="auto"/>
        </w:rPr>
      </w:pPr>
    </w:p>
    <w:p w14:paraId="370C1BFA">
      <w:pPr>
        <w:pStyle w:val="2"/>
        <w:spacing w:line="243" w:lineRule="auto"/>
        <w:rPr>
          <w:color w:val="auto"/>
        </w:rPr>
      </w:pPr>
    </w:p>
    <w:p w14:paraId="7A18720F">
      <w:pPr>
        <w:pStyle w:val="2"/>
        <w:spacing w:line="243" w:lineRule="auto"/>
        <w:rPr>
          <w:color w:val="auto"/>
        </w:rPr>
      </w:pPr>
    </w:p>
    <w:p w14:paraId="7308DDF3">
      <w:pPr>
        <w:pStyle w:val="2"/>
        <w:spacing w:line="243" w:lineRule="auto"/>
        <w:rPr>
          <w:color w:val="auto"/>
        </w:rPr>
      </w:pPr>
    </w:p>
    <w:p w14:paraId="180F9DB9">
      <w:pPr>
        <w:pStyle w:val="2"/>
        <w:spacing w:line="243" w:lineRule="auto"/>
        <w:rPr>
          <w:color w:val="auto"/>
        </w:rPr>
      </w:pPr>
    </w:p>
    <w:p w14:paraId="598A7C9B">
      <w:pPr>
        <w:pStyle w:val="2"/>
        <w:spacing w:line="243" w:lineRule="auto"/>
        <w:rPr>
          <w:color w:val="auto"/>
        </w:rPr>
      </w:pPr>
    </w:p>
    <w:p w14:paraId="1AC0C78F">
      <w:pPr>
        <w:pStyle w:val="2"/>
        <w:spacing w:line="243" w:lineRule="auto"/>
        <w:rPr>
          <w:color w:val="auto"/>
        </w:rPr>
      </w:pPr>
    </w:p>
    <w:p w14:paraId="0BDA4027">
      <w:pPr>
        <w:pStyle w:val="2"/>
        <w:spacing w:line="243" w:lineRule="auto"/>
        <w:rPr>
          <w:color w:val="auto"/>
        </w:rPr>
      </w:pPr>
    </w:p>
    <w:p w14:paraId="442C3631">
      <w:pPr>
        <w:pStyle w:val="2"/>
        <w:spacing w:line="243" w:lineRule="auto"/>
        <w:rPr>
          <w:color w:val="auto"/>
        </w:rPr>
      </w:pPr>
    </w:p>
    <w:p w14:paraId="242E23DE">
      <w:pPr>
        <w:pStyle w:val="2"/>
        <w:spacing w:line="243" w:lineRule="auto"/>
        <w:rPr>
          <w:color w:val="auto"/>
        </w:rPr>
      </w:pPr>
    </w:p>
    <w:p w14:paraId="04C83444">
      <w:pPr>
        <w:pStyle w:val="2"/>
        <w:spacing w:line="244" w:lineRule="auto"/>
        <w:rPr>
          <w:color w:val="auto"/>
        </w:rPr>
      </w:pPr>
    </w:p>
    <w:p w14:paraId="259339A3">
      <w:pPr>
        <w:pStyle w:val="2"/>
        <w:spacing w:line="244" w:lineRule="auto"/>
        <w:rPr>
          <w:color w:val="auto"/>
        </w:rPr>
      </w:pPr>
    </w:p>
    <w:p w14:paraId="0AAD7196">
      <w:pPr>
        <w:spacing w:before="101" w:line="225" w:lineRule="auto"/>
        <w:ind w:left="25"/>
        <w:rPr>
          <w:rFonts w:hint="eastAsia" w:ascii="宋体" w:hAnsi="宋体" w:eastAsia="宋体" w:cs="宋体"/>
          <w:color w:val="auto"/>
          <w:sz w:val="31"/>
          <w:szCs w:val="31"/>
          <w:lang w:eastAsia="zh-CN"/>
        </w:rPr>
      </w:pPr>
      <w:r>
        <w:rPr>
          <w:rFonts w:ascii="宋体" w:hAnsi="宋体" w:eastAsia="宋体" w:cs="宋体"/>
          <w:b/>
          <w:bCs/>
          <w:color w:val="auto"/>
          <w:spacing w:val="7"/>
          <w:sz w:val="31"/>
          <w:szCs w:val="31"/>
        </w:rPr>
        <w:t>采购人：</w:t>
      </w:r>
      <w:r>
        <w:rPr>
          <w:rFonts w:hint="eastAsia" w:ascii="宋体" w:hAnsi="宋体" w:eastAsia="宋体" w:cs="宋体"/>
          <w:b/>
          <w:bCs/>
          <w:color w:val="auto"/>
          <w:spacing w:val="7"/>
          <w:sz w:val="31"/>
          <w:szCs w:val="31"/>
          <w:lang w:eastAsia="zh-CN"/>
        </w:rPr>
        <w:t>舒兰市</w:t>
      </w:r>
      <w:r>
        <w:rPr>
          <w:rFonts w:hint="eastAsia" w:ascii="宋体" w:hAnsi="宋体" w:cs="宋体"/>
          <w:b/>
          <w:bCs/>
          <w:color w:val="auto"/>
          <w:spacing w:val="7"/>
          <w:sz w:val="31"/>
          <w:szCs w:val="31"/>
          <w:lang w:eastAsia="zh-CN"/>
        </w:rPr>
        <w:t>朝阳镇</w:t>
      </w:r>
      <w:r>
        <w:rPr>
          <w:rFonts w:hint="eastAsia" w:ascii="宋体" w:hAnsi="宋体" w:eastAsia="宋体" w:cs="宋体"/>
          <w:b/>
          <w:bCs/>
          <w:color w:val="auto"/>
          <w:spacing w:val="7"/>
          <w:sz w:val="31"/>
          <w:szCs w:val="31"/>
          <w:lang w:eastAsia="zh-CN"/>
        </w:rPr>
        <w:t>人民政府</w:t>
      </w:r>
    </w:p>
    <w:p w14:paraId="28575D62">
      <w:pPr>
        <w:pStyle w:val="2"/>
        <w:spacing w:line="276" w:lineRule="auto"/>
        <w:rPr>
          <w:color w:val="auto"/>
        </w:rPr>
      </w:pPr>
    </w:p>
    <w:p w14:paraId="0FD817DD">
      <w:pPr>
        <w:pStyle w:val="2"/>
        <w:spacing w:line="277" w:lineRule="auto"/>
        <w:rPr>
          <w:color w:val="auto"/>
        </w:rPr>
      </w:pPr>
    </w:p>
    <w:p w14:paraId="62D8D9E7">
      <w:pPr>
        <w:pStyle w:val="2"/>
        <w:spacing w:line="277" w:lineRule="auto"/>
        <w:rPr>
          <w:color w:val="auto"/>
        </w:rPr>
      </w:pPr>
    </w:p>
    <w:p w14:paraId="0083832B">
      <w:pPr>
        <w:spacing w:before="101" w:line="225" w:lineRule="auto"/>
        <w:ind w:left="25"/>
        <w:rPr>
          <w:rFonts w:hint="eastAsia" w:ascii="宋体" w:hAnsi="宋体" w:eastAsia="宋体" w:cs="宋体"/>
          <w:color w:val="auto"/>
          <w:sz w:val="31"/>
          <w:szCs w:val="31"/>
          <w:lang w:eastAsia="zh-CN"/>
        </w:rPr>
      </w:pPr>
      <w:r>
        <w:rPr>
          <w:rFonts w:ascii="宋体" w:hAnsi="宋体" w:eastAsia="宋体" w:cs="宋体"/>
          <w:b/>
          <w:bCs/>
          <w:color w:val="auto"/>
          <w:spacing w:val="7"/>
          <w:sz w:val="31"/>
          <w:szCs w:val="31"/>
        </w:rPr>
        <w:t>采购代理机构：</w:t>
      </w:r>
      <w:r>
        <w:rPr>
          <w:rFonts w:hint="eastAsia" w:ascii="宋体" w:hAnsi="宋体" w:eastAsia="宋体" w:cs="宋体"/>
          <w:b/>
          <w:bCs/>
          <w:color w:val="auto"/>
          <w:spacing w:val="7"/>
          <w:sz w:val="31"/>
          <w:szCs w:val="31"/>
        </w:rPr>
        <w:t>吉林省顺展招投标代理有限公司</w:t>
      </w:r>
    </w:p>
    <w:p w14:paraId="276E516B">
      <w:pPr>
        <w:pStyle w:val="2"/>
        <w:spacing w:line="259" w:lineRule="auto"/>
        <w:rPr>
          <w:color w:val="auto"/>
        </w:rPr>
      </w:pPr>
    </w:p>
    <w:p w14:paraId="4A411AF4">
      <w:pPr>
        <w:pStyle w:val="2"/>
        <w:spacing w:line="259" w:lineRule="auto"/>
        <w:rPr>
          <w:color w:val="auto"/>
        </w:rPr>
      </w:pPr>
    </w:p>
    <w:p w14:paraId="1B97BC07">
      <w:pPr>
        <w:pStyle w:val="2"/>
        <w:spacing w:line="259" w:lineRule="auto"/>
        <w:rPr>
          <w:color w:val="auto"/>
        </w:rPr>
      </w:pPr>
    </w:p>
    <w:p w14:paraId="50A76B09">
      <w:pPr>
        <w:spacing w:before="98" w:line="220" w:lineRule="auto"/>
        <w:ind w:left="3179"/>
        <w:rPr>
          <w:rFonts w:ascii="宋体" w:hAnsi="宋体" w:eastAsia="宋体" w:cs="宋体"/>
          <w:color w:val="auto"/>
          <w:sz w:val="30"/>
          <w:szCs w:val="30"/>
        </w:rPr>
      </w:pPr>
      <w:r>
        <w:rPr>
          <w:rFonts w:ascii="宋体" w:hAnsi="宋体" w:eastAsia="宋体" w:cs="宋体"/>
          <w:b/>
          <w:bCs/>
          <w:color w:val="auto"/>
          <w:spacing w:val="-5"/>
          <w:sz w:val="30"/>
          <w:szCs w:val="30"/>
        </w:rPr>
        <w:t>二〇二六年</w:t>
      </w:r>
      <w:r>
        <w:rPr>
          <w:rFonts w:hint="eastAsia" w:ascii="宋体" w:hAnsi="宋体" w:cs="宋体"/>
          <w:b/>
          <w:bCs/>
          <w:color w:val="auto"/>
          <w:spacing w:val="-5"/>
          <w:sz w:val="30"/>
          <w:szCs w:val="30"/>
          <w:lang w:val="en-US" w:eastAsia="zh-CN"/>
        </w:rPr>
        <w:t>四</w:t>
      </w:r>
      <w:r>
        <w:rPr>
          <w:rFonts w:ascii="宋体" w:hAnsi="宋体" w:eastAsia="宋体" w:cs="宋体"/>
          <w:b/>
          <w:bCs/>
          <w:color w:val="auto"/>
          <w:spacing w:val="-5"/>
          <w:sz w:val="30"/>
          <w:szCs w:val="30"/>
        </w:rPr>
        <w:t>月</w:t>
      </w:r>
    </w:p>
    <w:p w14:paraId="54195082">
      <w:pPr>
        <w:spacing w:line="220" w:lineRule="auto"/>
        <w:rPr>
          <w:rFonts w:ascii="宋体" w:hAnsi="宋体" w:eastAsia="宋体" w:cs="宋体"/>
          <w:color w:val="auto"/>
          <w:sz w:val="30"/>
          <w:szCs w:val="30"/>
        </w:rPr>
        <w:sectPr>
          <w:pgSz w:w="11906" w:h="16839"/>
          <w:pgMar w:top="1440" w:right="1080" w:bottom="1440" w:left="1080" w:header="0" w:footer="0" w:gutter="0"/>
          <w:cols w:space="720" w:num="1"/>
        </w:sectPr>
      </w:pPr>
    </w:p>
    <w:p w14:paraId="3BB6CDB3">
      <w:pPr>
        <w:pStyle w:val="2"/>
        <w:spacing w:line="290" w:lineRule="auto"/>
        <w:rPr>
          <w:color w:val="auto"/>
        </w:rPr>
      </w:pPr>
    </w:p>
    <w:p w14:paraId="4E63076B">
      <w:pPr>
        <w:pStyle w:val="2"/>
        <w:spacing w:line="291" w:lineRule="auto"/>
        <w:rPr>
          <w:color w:val="auto"/>
        </w:rPr>
      </w:pPr>
    </w:p>
    <w:sdt>
      <w:sdtPr>
        <w:rPr>
          <w:rFonts w:ascii="宋体" w:hAnsi="宋体" w:eastAsia="宋体" w:cs="Arial"/>
          <w:snapToGrid w:val="0"/>
          <w:color w:val="auto"/>
          <w:kern w:val="0"/>
          <w:sz w:val="21"/>
          <w:szCs w:val="21"/>
          <w:lang w:val="en-US" w:eastAsia="en-US" w:bidi="ar-SA"/>
        </w:rPr>
        <w:id w:val="147478207"/>
        <w15:color w:val="DBDBDB"/>
        <w:docPartObj>
          <w:docPartGallery w:val="Table of Contents"/>
          <w:docPartUnique/>
        </w:docPartObj>
      </w:sdtPr>
      <w:sdtEndPr>
        <w:rPr>
          <w:rFonts w:ascii="Times New Roman" w:hAnsi="Times New Roman" w:eastAsia="Times New Roman" w:cs="Times New Roman"/>
          <w:snapToGrid w:val="0"/>
          <w:color w:val="auto"/>
          <w:kern w:val="0"/>
          <w:sz w:val="21"/>
          <w:szCs w:val="24"/>
          <w:lang w:val="en-US" w:eastAsia="en-US" w:bidi="ar-SA"/>
        </w:rPr>
      </w:sdtEndPr>
      <w:sdtContent>
        <w:p w14:paraId="760A258F">
          <w:pPr>
            <w:spacing w:before="0" w:beforeLines="0" w:after="0" w:afterLines="0" w:line="240" w:lineRule="auto"/>
            <w:ind w:left="0" w:leftChars="0" w:right="0" w:rightChars="0" w:firstLine="0" w:firstLineChars="0"/>
            <w:jc w:val="center"/>
            <w:rPr>
              <w:color w:val="auto"/>
            </w:rPr>
          </w:pPr>
          <w:r>
            <w:rPr>
              <w:rFonts w:ascii="宋体" w:hAnsi="宋体" w:eastAsia="宋体"/>
              <w:color w:val="auto"/>
              <w:sz w:val="21"/>
            </w:rPr>
            <w:t>目录</w:t>
          </w:r>
        </w:p>
        <w:p w14:paraId="4BA3FA68">
          <w:pPr>
            <w:pStyle w:val="7"/>
            <w:tabs>
              <w:tab w:val="right" w:leader="dot" w:pos="9746"/>
            </w:tabs>
            <w:rPr>
              <w:color w:val="auto"/>
            </w:rPr>
          </w:pPr>
          <w:r>
            <w:rPr>
              <w:rFonts w:ascii="Times New Roman" w:hAnsi="Times New Roman" w:eastAsia="Times New Roman" w:cs="Times New Roman"/>
              <w:snapToGrid w:val="0"/>
              <w:color w:val="auto"/>
              <w:kern w:val="0"/>
              <w:sz w:val="21"/>
              <w:szCs w:val="24"/>
              <w:lang w:val="en-US" w:eastAsia="en-US" w:bidi="ar-SA"/>
            </w:rPr>
            <w:fldChar w:fldCharType="begin"/>
          </w:r>
          <w:r>
            <w:rPr>
              <w:rFonts w:ascii="Times New Roman" w:hAnsi="Times New Roman" w:eastAsia="Times New Roman" w:cs="Times New Roman"/>
              <w:snapToGrid w:val="0"/>
              <w:color w:val="auto"/>
              <w:kern w:val="0"/>
              <w:sz w:val="21"/>
              <w:szCs w:val="24"/>
              <w:lang w:val="en-US" w:eastAsia="en-US" w:bidi="ar-SA"/>
            </w:rPr>
            <w:instrText xml:space="preserve">TOC \o "1-1" \h \u </w:instrText>
          </w:r>
          <w:r>
            <w:rPr>
              <w:rFonts w:ascii="Times New Roman" w:hAnsi="Times New Roman" w:eastAsia="Times New Roman" w:cs="Times New Roman"/>
              <w:snapToGrid w:val="0"/>
              <w:color w:val="auto"/>
              <w:kern w:val="0"/>
              <w:sz w:val="21"/>
              <w:szCs w:val="24"/>
              <w:lang w:val="en-US" w:eastAsia="en-US" w:bidi="ar-SA"/>
            </w:rPr>
            <w:fldChar w:fldCharType="separate"/>
          </w:r>
          <w:r>
            <w:rPr>
              <w:rFonts w:ascii="Times New Roman" w:hAnsi="Times New Roman" w:eastAsia="Times New Roman" w:cs="Times New Roman"/>
              <w:snapToGrid w:val="0"/>
              <w:color w:val="auto"/>
              <w:kern w:val="0"/>
              <w:szCs w:val="24"/>
              <w:lang w:val="en-US" w:eastAsia="en-US" w:bidi="ar-SA"/>
            </w:rPr>
            <w:fldChar w:fldCharType="begin"/>
          </w:r>
          <w:r>
            <w:rPr>
              <w:rFonts w:ascii="Times New Roman" w:hAnsi="Times New Roman" w:eastAsia="Times New Roman" w:cs="Times New Roman"/>
              <w:snapToGrid w:val="0"/>
              <w:color w:val="auto"/>
              <w:kern w:val="0"/>
              <w:szCs w:val="24"/>
              <w:lang w:val="en-US" w:eastAsia="en-US" w:bidi="ar-SA"/>
            </w:rPr>
            <w:instrText xml:space="preserve"> HYPERLINK \l _Toc9760 </w:instrText>
          </w:r>
          <w:r>
            <w:rPr>
              <w:rFonts w:ascii="Times New Roman" w:hAnsi="Times New Roman" w:eastAsia="Times New Roman" w:cs="Times New Roman"/>
              <w:snapToGrid w:val="0"/>
              <w:color w:val="auto"/>
              <w:kern w:val="0"/>
              <w:szCs w:val="24"/>
              <w:lang w:val="en-US" w:eastAsia="en-US" w:bidi="ar-SA"/>
            </w:rPr>
            <w:fldChar w:fldCharType="separate"/>
          </w:r>
          <w:r>
            <w:rPr>
              <w:rFonts w:ascii="宋体" w:hAnsi="宋体" w:eastAsia="宋体" w:cs="宋体"/>
              <w:bCs/>
              <w:color w:val="auto"/>
              <w:spacing w:val="6"/>
              <w:szCs w:val="35"/>
            </w:rPr>
            <w:t>第一章</w:t>
          </w:r>
          <w:r>
            <w:rPr>
              <w:rFonts w:ascii="宋体" w:hAnsi="宋体" w:eastAsia="宋体" w:cs="宋体"/>
              <w:color w:val="auto"/>
              <w:spacing w:val="6"/>
              <w:szCs w:val="35"/>
            </w:rPr>
            <w:t xml:space="preserve"> </w:t>
          </w:r>
          <w:r>
            <w:rPr>
              <w:rFonts w:ascii="宋体" w:hAnsi="宋体" w:eastAsia="宋体" w:cs="宋体"/>
              <w:bCs/>
              <w:color w:val="auto"/>
              <w:spacing w:val="6"/>
              <w:szCs w:val="35"/>
            </w:rPr>
            <w:t>竞争性磋商公告</w:t>
          </w:r>
          <w:r>
            <w:rPr>
              <w:color w:val="auto"/>
            </w:rPr>
            <w:tab/>
          </w:r>
          <w:r>
            <w:rPr>
              <w:color w:val="auto"/>
            </w:rPr>
            <w:fldChar w:fldCharType="begin"/>
          </w:r>
          <w:r>
            <w:rPr>
              <w:color w:val="auto"/>
            </w:rPr>
            <w:instrText xml:space="preserve"> PAGEREF _Toc9760 \h </w:instrText>
          </w:r>
          <w:r>
            <w:rPr>
              <w:color w:val="auto"/>
            </w:rPr>
            <w:fldChar w:fldCharType="separate"/>
          </w:r>
          <w:r>
            <w:rPr>
              <w:color w:val="auto"/>
            </w:rPr>
            <w:t>1</w:t>
          </w:r>
          <w:r>
            <w:rPr>
              <w:color w:val="auto"/>
            </w:rPr>
            <w:fldChar w:fldCharType="end"/>
          </w:r>
          <w:r>
            <w:rPr>
              <w:rFonts w:ascii="Times New Roman" w:hAnsi="Times New Roman" w:eastAsia="Times New Roman" w:cs="Times New Roman"/>
              <w:snapToGrid w:val="0"/>
              <w:color w:val="auto"/>
              <w:kern w:val="0"/>
              <w:szCs w:val="24"/>
              <w:lang w:val="en-US" w:eastAsia="en-US" w:bidi="ar-SA"/>
            </w:rPr>
            <w:fldChar w:fldCharType="end"/>
          </w:r>
        </w:p>
        <w:p w14:paraId="7357F5AC">
          <w:pPr>
            <w:pStyle w:val="7"/>
            <w:tabs>
              <w:tab w:val="right" w:leader="dot" w:pos="9746"/>
            </w:tabs>
            <w:rPr>
              <w:color w:val="auto"/>
            </w:rPr>
          </w:pPr>
          <w:r>
            <w:rPr>
              <w:rFonts w:ascii="Times New Roman" w:hAnsi="Times New Roman" w:eastAsia="Times New Roman" w:cs="Times New Roman"/>
              <w:snapToGrid w:val="0"/>
              <w:color w:val="auto"/>
              <w:kern w:val="0"/>
              <w:szCs w:val="24"/>
              <w:lang w:val="en-US" w:eastAsia="en-US" w:bidi="ar-SA"/>
            </w:rPr>
            <w:fldChar w:fldCharType="begin"/>
          </w:r>
          <w:r>
            <w:rPr>
              <w:rFonts w:ascii="Times New Roman" w:hAnsi="Times New Roman" w:eastAsia="Times New Roman" w:cs="Times New Roman"/>
              <w:snapToGrid w:val="0"/>
              <w:color w:val="auto"/>
              <w:kern w:val="0"/>
              <w:szCs w:val="24"/>
              <w:lang w:val="en-US" w:eastAsia="en-US" w:bidi="ar-SA"/>
            </w:rPr>
            <w:instrText xml:space="preserve"> HYPERLINK \l _Toc23246 </w:instrText>
          </w:r>
          <w:r>
            <w:rPr>
              <w:rFonts w:ascii="Times New Roman" w:hAnsi="Times New Roman" w:eastAsia="Times New Roman" w:cs="Times New Roman"/>
              <w:snapToGrid w:val="0"/>
              <w:color w:val="auto"/>
              <w:kern w:val="0"/>
              <w:szCs w:val="24"/>
              <w:lang w:val="en-US" w:eastAsia="en-US" w:bidi="ar-SA"/>
            </w:rPr>
            <w:fldChar w:fldCharType="separate"/>
          </w:r>
          <w:r>
            <w:rPr>
              <w:rFonts w:ascii="宋体" w:hAnsi="宋体" w:eastAsia="宋体" w:cs="宋体"/>
              <w:bCs/>
              <w:color w:val="auto"/>
              <w:spacing w:val="6"/>
              <w:szCs w:val="35"/>
            </w:rPr>
            <w:t>第二章</w:t>
          </w:r>
          <w:r>
            <w:rPr>
              <w:rFonts w:ascii="宋体" w:hAnsi="宋体" w:eastAsia="宋体" w:cs="宋体"/>
              <w:color w:val="auto"/>
              <w:spacing w:val="6"/>
              <w:szCs w:val="35"/>
            </w:rPr>
            <w:t xml:space="preserve"> </w:t>
          </w:r>
          <w:r>
            <w:rPr>
              <w:rFonts w:ascii="宋体" w:hAnsi="宋体" w:eastAsia="宋体" w:cs="宋体"/>
              <w:bCs/>
              <w:color w:val="auto"/>
              <w:spacing w:val="6"/>
              <w:szCs w:val="35"/>
            </w:rPr>
            <w:t>供应商须知前附表及供应商须知</w:t>
          </w:r>
          <w:r>
            <w:rPr>
              <w:color w:val="auto"/>
            </w:rPr>
            <w:tab/>
          </w:r>
          <w:r>
            <w:rPr>
              <w:color w:val="auto"/>
            </w:rPr>
            <w:fldChar w:fldCharType="begin"/>
          </w:r>
          <w:r>
            <w:rPr>
              <w:color w:val="auto"/>
            </w:rPr>
            <w:instrText xml:space="preserve"> PAGEREF _Toc23246 \h </w:instrText>
          </w:r>
          <w:r>
            <w:rPr>
              <w:color w:val="auto"/>
            </w:rPr>
            <w:fldChar w:fldCharType="separate"/>
          </w:r>
          <w:r>
            <w:rPr>
              <w:color w:val="auto"/>
            </w:rPr>
            <w:t>4</w:t>
          </w:r>
          <w:r>
            <w:rPr>
              <w:color w:val="auto"/>
            </w:rPr>
            <w:fldChar w:fldCharType="end"/>
          </w:r>
          <w:r>
            <w:rPr>
              <w:rFonts w:ascii="Times New Roman" w:hAnsi="Times New Roman" w:eastAsia="Times New Roman" w:cs="Times New Roman"/>
              <w:snapToGrid w:val="0"/>
              <w:color w:val="auto"/>
              <w:kern w:val="0"/>
              <w:szCs w:val="24"/>
              <w:lang w:val="en-US" w:eastAsia="en-US" w:bidi="ar-SA"/>
            </w:rPr>
            <w:fldChar w:fldCharType="end"/>
          </w:r>
        </w:p>
        <w:p w14:paraId="61AE88D8">
          <w:pPr>
            <w:pStyle w:val="7"/>
            <w:tabs>
              <w:tab w:val="right" w:leader="dot" w:pos="9746"/>
            </w:tabs>
            <w:rPr>
              <w:color w:val="auto"/>
            </w:rPr>
          </w:pPr>
          <w:r>
            <w:rPr>
              <w:rFonts w:ascii="Times New Roman" w:hAnsi="Times New Roman" w:eastAsia="Times New Roman" w:cs="Times New Roman"/>
              <w:snapToGrid w:val="0"/>
              <w:color w:val="auto"/>
              <w:kern w:val="0"/>
              <w:szCs w:val="24"/>
              <w:lang w:val="en-US" w:eastAsia="en-US" w:bidi="ar-SA"/>
            </w:rPr>
            <w:fldChar w:fldCharType="begin"/>
          </w:r>
          <w:r>
            <w:rPr>
              <w:rFonts w:ascii="Times New Roman" w:hAnsi="Times New Roman" w:eastAsia="Times New Roman" w:cs="Times New Roman"/>
              <w:snapToGrid w:val="0"/>
              <w:color w:val="auto"/>
              <w:kern w:val="0"/>
              <w:szCs w:val="24"/>
              <w:lang w:val="en-US" w:eastAsia="en-US" w:bidi="ar-SA"/>
            </w:rPr>
            <w:instrText xml:space="preserve"> HYPERLINK \l _Toc3495 </w:instrText>
          </w:r>
          <w:r>
            <w:rPr>
              <w:rFonts w:ascii="Times New Roman" w:hAnsi="Times New Roman" w:eastAsia="Times New Roman" w:cs="Times New Roman"/>
              <w:snapToGrid w:val="0"/>
              <w:color w:val="auto"/>
              <w:kern w:val="0"/>
              <w:szCs w:val="24"/>
              <w:lang w:val="en-US" w:eastAsia="en-US" w:bidi="ar-SA"/>
            </w:rPr>
            <w:fldChar w:fldCharType="separate"/>
          </w:r>
          <w:r>
            <w:rPr>
              <w:rFonts w:ascii="宋体" w:hAnsi="宋体" w:eastAsia="宋体" w:cs="宋体"/>
              <w:bCs/>
              <w:color w:val="auto"/>
              <w:spacing w:val="5"/>
              <w:szCs w:val="35"/>
            </w:rPr>
            <w:t>第三章</w:t>
          </w:r>
          <w:r>
            <w:rPr>
              <w:rFonts w:ascii="宋体" w:hAnsi="宋体" w:eastAsia="宋体" w:cs="宋体"/>
              <w:color w:val="auto"/>
              <w:spacing w:val="5"/>
              <w:szCs w:val="35"/>
            </w:rPr>
            <w:t xml:space="preserve"> </w:t>
          </w:r>
          <w:r>
            <w:rPr>
              <w:rFonts w:ascii="宋体" w:hAnsi="宋体" w:eastAsia="宋体" w:cs="宋体"/>
              <w:bCs/>
              <w:color w:val="auto"/>
              <w:spacing w:val="5"/>
              <w:szCs w:val="35"/>
            </w:rPr>
            <w:t>磋商评审细则</w:t>
          </w:r>
          <w:r>
            <w:rPr>
              <w:color w:val="auto"/>
            </w:rPr>
            <w:tab/>
          </w:r>
          <w:r>
            <w:rPr>
              <w:color w:val="auto"/>
            </w:rPr>
            <w:fldChar w:fldCharType="begin"/>
          </w:r>
          <w:r>
            <w:rPr>
              <w:color w:val="auto"/>
            </w:rPr>
            <w:instrText xml:space="preserve"> PAGEREF _Toc3495 \h </w:instrText>
          </w:r>
          <w:r>
            <w:rPr>
              <w:color w:val="auto"/>
            </w:rPr>
            <w:fldChar w:fldCharType="separate"/>
          </w:r>
          <w:r>
            <w:rPr>
              <w:color w:val="auto"/>
            </w:rPr>
            <w:t>16</w:t>
          </w:r>
          <w:r>
            <w:rPr>
              <w:color w:val="auto"/>
            </w:rPr>
            <w:fldChar w:fldCharType="end"/>
          </w:r>
          <w:r>
            <w:rPr>
              <w:rFonts w:ascii="Times New Roman" w:hAnsi="Times New Roman" w:eastAsia="Times New Roman" w:cs="Times New Roman"/>
              <w:snapToGrid w:val="0"/>
              <w:color w:val="auto"/>
              <w:kern w:val="0"/>
              <w:szCs w:val="24"/>
              <w:lang w:val="en-US" w:eastAsia="en-US" w:bidi="ar-SA"/>
            </w:rPr>
            <w:fldChar w:fldCharType="end"/>
          </w:r>
        </w:p>
        <w:p w14:paraId="5FCC55A8">
          <w:pPr>
            <w:pStyle w:val="7"/>
            <w:tabs>
              <w:tab w:val="right" w:leader="dot" w:pos="9746"/>
            </w:tabs>
            <w:rPr>
              <w:color w:val="auto"/>
            </w:rPr>
          </w:pPr>
          <w:r>
            <w:rPr>
              <w:rFonts w:ascii="Times New Roman" w:hAnsi="Times New Roman" w:eastAsia="Times New Roman" w:cs="Times New Roman"/>
              <w:snapToGrid w:val="0"/>
              <w:color w:val="auto"/>
              <w:kern w:val="0"/>
              <w:szCs w:val="24"/>
              <w:lang w:val="en-US" w:eastAsia="en-US" w:bidi="ar-SA"/>
            </w:rPr>
            <w:fldChar w:fldCharType="begin"/>
          </w:r>
          <w:r>
            <w:rPr>
              <w:rFonts w:ascii="Times New Roman" w:hAnsi="Times New Roman" w:eastAsia="Times New Roman" w:cs="Times New Roman"/>
              <w:snapToGrid w:val="0"/>
              <w:color w:val="auto"/>
              <w:kern w:val="0"/>
              <w:szCs w:val="24"/>
              <w:lang w:val="en-US" w:eastAsia="en-US" w:bidi="ar-SA"/>
            </w:rPr>
            <w:instrText xml:space="preserve"> HYPERLINK \l _Toc4706 </w:instrText>
          </w:r>
          <w:r>
            <w:rPr>
              <w:rFonts w:ascii="Times New Roman" w:hAnsi="Times New Roman" w:eastAsia="Times New Roman" w:cs="Times New Roman"/>
              <w:snapToGrid w:val="0"/>
              <w:color w:val="auto"/>
              <w:kern w:val="0"/>
              <w:szCs w:val="24"/>
              <w:lang w:val="en-US" w:eastAsia="en-US" w:bidi="ar-SA"/>
            </w:rPr>
            <w:fldChar w:fldCharType="separate"/>
          </w:r>
          <w:r>
            <w:rPr>
              <w:rFonts w:ascii="宋体" w:hAnsi="宋体" w:eastAsia="宋体" w:cs="宋体"/>
              <w:bCs/>
              <w:color w:val="auto"/>
              <w:spacing w:val="6"/>
              <w:szCs w:val="35"/>
            </w:rPr>
            <w:t>第四章</w:t>
          </w:r>
          <w:r>
            <w:rPr>
              <w:rFonts w:ascii="宋体" w:hAnsi="宋体" w:eastAsia="宋体" w:cs="宋体"/>
              <w:color w:val="auto"/>
              <w:spacing w:val="6"/>
              <w:szCs w:val="35"/>
            </w:rPr>
            <w:t xml:space="preserve"> </w:t>
          </w:r>
          <w:r>
            <w:rPr>
              <w:rFonts w:ascii="宋体" w:hAnsi="宋体" w:eastAsia="宋体" w:cs="宋体"/>
              <w:bCs/>
              <w:color w:val="auto"/>
              <w:spacing w:val="6"/>
              <w:szCs w:val="35"/>
            </w:rPr>
            <w:t>合同条款及格式</w:t>
          </w:r>
          <w:r>
            <w:rPr>
              <w:color w:val="auto"/>
            </w:rPr>
            <w:tab/>
          </w:r>
          <w:r>
            <w:rPr>
              <w:color w:val="auto"/>
            </w:rPr>
            <w:fldChar w:fldCharType="begin"/>
          </w:r>
          <w:r>
            <w:rPr>
              <w:color w:val="auto"/>
            </w:rPr>
            <w:instrText xml:space="preserve"> PAGEREF _Toc4706 \h </w:instrText>
          </w:r>
          <w:r>
            <w:rPr>
              <w:color w:val="auto"/>
            </w:rPr>
            <w:fldChar w:fldCharType="separate"/>
          </w:r>
          <w:r>
            <w:rPr>
              <w:color w:val="auto"/>
            </w:rPr>
            <w:t>27</w:t>
          </w:r>
          <w:r>
            <w:rPr>
              <w:color w:val="auto"/>
            </w:rPr>
            <w:fldChar w:fldCharType="end"/>
          </w:r>
          <w:r>
            <w:rPr>
              <w:rFonts w:ascii="Times New Roman" w:hAnsi="Times New Roman" w:eastAsia="Times New Roman" w:cs="Times New Roman"/>
              <w:snapToGrid w:val="0"/>
              <w:color w:val="auto"/>
              <w:kern w:val="0"/>
              <w:szCs w:val="24"/>
              <w:lang w:val="en-US" w:eastAsia="en-US" w:bidi="ar-SA"/>
            </w:rPr>
            <w:fldChar w:fldCharType="end"/>
          </w:r>
        </w:p>
        <w:p w14:paraId="33C5FA0F">
          <w:pPr>
            <w:pStyle w:val="7"/>
            <w:tabs>
              <w:tab w:val="right" w:leader="dot" w:pos="9746"/>
            </w:tabs>
            <w:rPr>
              <w:color w:val="auto"/>
            </w:rPr>
          </w:pPr>
          <w:r>
            <w:rPr>
              <w:rFonts w:ascii="Times New Roman" w:hAnsi="Times New Roman" w:eastAsia="Times New Roman" w:cs="Times New Roman"/>
              <w:snapToGrid w:val="0"/>
              <w:color w:val="auto"/>
              <w:kern w:val="0"/>
              <w:szCs w:val="24"/>
              <w:lang w:val="en-US" w:eastAsia="en-US" w:bidi="ar-SA"/>
            </w:rPr>
            <w:fldChar w:fldCharType="begin"/>
          </w:r>
          <w:r>
            <w:rPr>
              <w:rFonts w:ascii="Times New Roman" w:hAnsi="Times New Roman" w:eastAsia="Times New Roman" w:cs="Times New Roman"/>
              <w:snapToGrid w:val="0"/>
              <w:color w:val="auto"/>
              <w:kern w:val="0"/>
              <w:szCs w:val="24"/>
              <w:lang w:val="en-US" w:eastAsia="en-US" w:bidi="ar-SA"/>
            </w:rPr>
            <w:instrText xml:space="preserve"> HYPERLINK \l _Toc15502 </w:instrText>
          </w:r>
          <w:r>
            <w:rPr>
              <w:rFonts w:ascii="Times New Roman" w:hAnsi="Times New Roman" w:eastAsia="Times New Roman" w:cs="Times New Roman"/>
              <w:snapToGrid w:val="0"/>
              <w:color w:val="auto"/>
              <w:kern w:val="0"/>
              <w:szCs w:val="24"/>
              <w:lang w:val="en-US" w:eastAsia="en-US" w:bidi="ar-SA"/>
            </w:rPr>
            <w:fldChar w:fldCharType="separate"/>
          </w:r>
          <w:r>
            <w:rPr>
              <w:rFonts w:ascii="宋体" w:hAnsi="宋体" w:eastAsia="宋体" w:cs="宋体"/>
              <w:bCs/>
              <w:color w:val="auto"/>
              <w:spacing w:val="5"/>
              <w:szCs w:val="35"/>
            </w:rPr>
            <w:t>第五章</w:t>
          </w:r>
          <w:r>
            <w:rPr>
              <w:rFonts w:ascii="宋体" w:hAnsi="宋体" w:eastAsia="宋体" w:cs="宋体"/>
              <w:color w:val="auto"/>
              <w:spacing w:val="5"/>
              <w:szCs w:val="35"/>
            </w:rPr>
            <w:t xml:space="preserve"> </w:t>
          </w:r>
          <w:r>
            <w:rPr>
              <w:rFonts w:ascii="宋体" w:hAnsi="宋体" w:eastAsia="宋体" w:cs="宋体"/>
              <w:bCs/>
              <w:color w:val="auto"/>
              <w:spacing w:val="5"/>
              <w:szCs w:val="35"/>
            </w:rPr>
            <w:t>工程量清单</w:t>
          </w:r>
          <w:r>
            <w:rPr>
              <w:color w:val="auto"/>
            </w:rPr>
            <w:tab/>
          </w:r>
          <w:r>
            <w:rPr>
              <w:color w:val="auto"/>
            </w:rPr>
            <w:fldChar w:fldCharType="begin"/>
          </w:r>
          <w:r>
            <w:rPr>
              <w:color w:val="auto"/>
            </w:rPr>
            <w:instrText xml:space="preserve"> PAGEREF _Toc15502 \h </w:instrText>
          </w:r>
          <w:r>
            <w:rPr>
              <w:color w:val="auto"/>
            </w:rPr>
            <w:fldChar w:fldCharType="separate"/>
          </w:r>
          <w:r>
            <w:rPr>
              <w:color w:val="auto"/>
            </w:rPr>
            <w:t>28</w:t>
          </w:r>
          <w:r>
            <w:rPr>
              <w:color w:val="auto"/>
            </w:rPr>
            <w:fldChar w:fldCharType="end"/>
          </w:r>
          <w:r>
            <w:rPr>
              <w:rFonts w:ascii="Times New Roman" w:hAnsi="Times New Roman" w:eastAsia="Times New Roman" w:cs="Times New Roman"/>
              <w:snapToGrid w:val="0"/>
              <w:color w:val="auto"/>
              <w:kern w:val="0"/>
              <w:szCs w:val="24"/>
              <w:lang w:val="en-US" w:eastAsia="en-US" w:bidi="ar-SA"/>
            </w:rPr>
            <w:fldChar w:fldCharType="end"/>
          </w:r>
        </w:p>
        <w:p w14:paraId="1E27334C">
          <w:pPr>
            <w:pStyle w:val="7"/>
            <w:tabs>
              <w:tab w:val="right" w:leader="dot" w:pos="9746"/>
            </w:tabs>
            <w:rPr>
              <w:color w:val="auto"/>
            </w:rPr>
          </w:pPr>
          <w:r>
            <w:rPr>
              <w:rFonts w:ascii="Times New Roman" w:hAnsi="Times New Roman" w:eastAsia="Times New Roman" w:cs="Times New Roman"/>
              <w:snapToGrid w:val="0"/>
              <w:color w:val="auto"/>
              <w:kern w:val="0"/>
              <w:szCs w:val="24"/>
              <w:lang w:val="en-US" w:eastAsia="en-US" w:bidi="ar-SA"/>
            </w:rPr>
            <w:fldChar w:fldCharType="begin"/>
          </w:r>
          <w:r>
            <w:rPr>
              <w:rFonts w:ascii="Times New Roman" w:hAnsi="Times New Roman" w:eastAsia="Times New Roman" w:cs="Times New Roman"/>
              <w:snapToGrid w:val="0"/>
              <w:color w:val="auto"/>
              <w:kern w:val="0"/>
              <w:szCs w:val="24"/>
              <w:lang w:val="en-US" w:eastAsia="en-US" w:bidi="ar-SA"/>
            </w:rPr>
            <w:instrText xml:space="preserve"> HYPERLINK \l _Toc9313 </w:instrText>
          </w:r>
          <w:r>
            <w:rPr>
              <w:rFonts w:ascii="Times New Roman" w:hAnsi="Times New Roman" w:eastAsia="Times New Roman" w:cs="Times New Roman"/>
              <w:snapToGrid w:val="0"/>
              <w:color w:val="auto"/>
              <w:kern w:val="0"/>
              <w:szCs w:val="24"/>
              <w:lang w:val="en-US" w:eastAsia="en-US" w:bidi="ar-SA"/>
            </w:rPr>
            <w:fldChar w:fldCharType="separate"/>
          </w:r>
          <w:r>
            <w:rPr>
              <w:rFonts w:ascii="宋体" w:hAnsi="宋体" w:eastAsia="宋体" w:cs="宋体"/>
              <w:bCs/>
              <w:color w:val="auto"/>
              <w:spacing w:val="-6"/>
              <w:szCs w:val="35"/>
            </w:rPr>
            <w:t>第六章</w:t>
          </w:r>
          <w:r>
            <w:rPr>
              <w:rFonts w:ascii="宋体" w:hAnsi="宋体" w:eastAsia="宋体" w:cs="宋体"/>
              <w:color w:val="auto"/>
              <w:spacing w:val="31"/>
              <w:szCs w:val="35"/>
            </w:rPr>
            <w:t xml:space="preserve">  </w:t>
          </w:r>
          <w:r>
            <w:rPr>
              <w:rFonts w:ascii="宋体" w:hAnsi="宋体" w:eastAsia="宋体" w:cs="宋体"/>
              <w:bCs/>
              <w:color w:val="auto"/>
              <w:spacing w:val="-6"/>
              <w:szCs w:val="35"/>
            </w:rPr>
            <w:t>图纸</w:t>
          </w:r>
          <w:r>
            <w:rPr>
              <w:color w:val="auto"/>
            </w:rPr>
            <w:tab/>
          </w:r>
          <w:r>
            <w:rPr>
              <w:color w:val="auto"/>
            </w:rPr>
            <w:fldChar w:fldCharType="begin"/>
          </w:r>
          <w:r>
            <w:rPr>
              <w:color w:val="auto"/>
            </w:rPr>
            <w:instrText xml:space="preserve"> PAGEREF _Toc9313 \h </w:instrText>
          </w:r>
          <w:r>
            <w:rPr>
              <w:color w:val="auto"/>
            </w:rPr>
            <w:fldChar w:fldCharType="separate"/>
          </w:r>
          <w:r>
            <w:rPr>
              <w:color w:val="auto"/>
            </w:rPr>
            <w:t>29</w:t>
          </w:r>
          <w:r>
            <w:rPr>
              <w:color w:val="auto"/>
            </w:rPr>
            <w:fldChar w:fldCharType="end"/>
          </w:r>
          <w:r>
            <w:rPr>
              <w:rFonts w:ascii="Times New Roman" w:hAnsi="Times New Roman" w:eastAsia="Times New Roman" w:cs="Times New Roman"/>
              <w:snapToGrid w:val="0"/>
              <w:color w:val="auto"/>
              <w:kern w:val="0"/>
              <w:szCs w:val="24"/>
              <w:lang w:val="en-US" w:eastAsia="en-US" w:bidi="ar-SA"/>
            </w:rPr>
            <w:fldChar w:fldCharType="end"/>
          </w:r>
        </w:p>
        <w:p w14:paraId="34B27F05">
          <w:pPr>
            <w:pStyle w:val="7"/>
            <w:tabs>
              <w:tab w:val="right" w:leader="dot" w:pos="9746"/>
            </w:tabs>
            <w:rPr>
              <w:color w:val="auto"/>
            </w:rPr>
          </w:pPr>
          <w:r>
            <w:rPr>
              <w:rFonts w:ascii="Times New Roman" w:hAnsi="Times New Roman" w:eastAsia="Times New Roman" w:cs="Times New Roman"/>
              <w:snapToGrid w:val="0"/>
              <w:color w:val="auto"/>
              <w:kern w:val="0"/>
              <w:szCs w:val="24"/>
              <w:lang w:val="en-US" w:eastAsia="en-US" w:bidi="ar-SA"/>
            </w:rPr>
            <w:fldChar w:fldCharType="begin"/>
          </w:r>
          <w:r>
            <w:rPr>
              <w:rFonts w:ascii="Times New Roman" w:hAnsi="Times New Roman" w:eastAsia="Times New Roman" w:cs="Times New Roman"/>
              <w:snapToGrid w:val="0"/>
              <w:color w:val="auto"/>
              <w:kern w:val="0"/>
              <w:szCs w:val="24"/>
              <w:lang w:val="en-US" w:eastAsia="en-US" w:bidi="ar-SA"/>
            </w:rPr>
            <w:instrText xml:space="preserve"> HYPERLINK \l _Toc19342 </w:instrText>
          </w:r>
          <w:r>
            <w:rPr>
              <w:rFonts w:ascii="Times New Roman" w:hAnsi="Times New Roman" w:eastAsia="Times New Roman" w:cs="Times New Roman"/>
              <w:snapToGrid w:val="0"/>
              <w:color w:val="auto"/>
              <w:kern w:val="0"/>
              <w:szCs w:val="24"/>
              <w:lang w:val="en-US" w:eastAsia="en-US" w:bidi="ar-SA"/>
            </w:rPr>
            <w:fldChar w:fldCharType="separate"/>
          </w:r>
          <w:r>
            <w:rPr>
              <w:rFonts w:ascii="宋体" w:hAnsi="宋体" w:eastAsia="宋体" w:cs="宋体"/>
              <w:bCs/>
              <w:color w:val="auto"/>
              <w:spacing w:val="6"/>
              <w:szCs w:val="35"/>
            </w:rPr>
            <w:t>第七章</w:t>
          </w:r>
          <w:r>
            <w:rPr>
              <w:rFonts w:ascii="宋体" w:hAnsi="宋体" w:eastAsia="宋体" w:cs="宋体"/>
              <w:color w:val="auto"/>
              <w:spacing w:val="6"/>
              <w:szCs w:val="35"/>
            </w:rPr>
            <w:t xml:space="preserve">  </w:t>
          </w:r>
          <w:r>
            <w:rPr>
              <w:rFonts w:ascii="宋体" w:hAnsi="宋体" w:eastAsia="宋体" w:cs="宋体"/>
              <w:bCs/>
              <w:color w:val="auto"/>
              <w:spacing w:val="6"/>
              <w:szCs w:val="35"/>
            </w:rPr>
            <w:t>竞争性磋商文件格式</w:t>
          </w:r>
          <w:r>
            <w:rPr>
              <w:color w:val="auto"/>
            </w:rPr>
            <w:tab/>
          </w:r>
          <w:r>
            <w:rPr>
              <w:color w:val="auto"/>
            </w:rPr>
            <w:fldChar w:fldCharType="begin"/>
          </w:r>
          <w:r>
            <w:rPr>
              <w:color w:val="auto"/>
            </w:rPr>
            <w:instrText xml:space="preserve"> PAGEREF _Toc19342 \h </w:instrText>
          </w:r>
          <w:r>
            <w:rPr>
              <w:color w:val="auto"/>
            </w:rPr>
            <w:fldChar w:fldCharType="separate"/>
          </w:r>
          <w:r>
            <w:rPr>
              <w:color w:val="auto"/>
            </w:rPr>
            <w:t>30</w:t>
          </w:r>
          <w:r>
            <w:rPr>
              <w:color w:val="auto"/>
            </w:rPr>
            <w:fldChar w:fldCharType="end"/>
          </w:r>
          <w:r>
            <w:rPr>
              <w:rFonts w:ascii="Times New Roman" w:hAnsi="Times New Roman" w:eastAsia="Times New Roman" w:cs="Times New Roman"/>
              <w:snapToGrid w:val="0"/>
              <w:color w:val="auto"/>
              <w:kern w:val="0"/>
              <w:szCs w:val="24"/>
              <w:lang w:val="en-US" w:eastAsia="en-US" w:bidi="ar-SA"/>
            </w:rPr>
            <w:fldChar w:fldCharType="end"/>
          </w:r>
        </w:p>
        <w:p w14:paraId="1002E6D0">
          <w:pPr>
            <w:spacing w:line="219" w:lineRule="auto"/>
            <w:rPr>
              <w:rFonts w:ascii="Times New Roman" w:hAnsi="Times New Roman" w:eastAsia="Times New Roman" w:cs="Times New Roman"/>
              <w:snapToGrid w:val="0"/>
              <w:color w:val="auto"/>
              <w:kern w:val="0"/>
              <w:sz w:val="21"/>
              <w:szCs w:val="24"/>
              <w:lang w:val="en-US" w:eastAsia="en-US" w:bidi="ar-SA"/>
            </w:rPr>
          </w:pPr>
          <w:r>
            <w:rPr>
              <w:rFonts w:ascii="Times New Roman" w:hAnsi="Times New Roman" w:eastAsia="Times New Roman" w:cs="Times New Roman"/>
              <w:snapToGrid w:val="0"/>
              <w:color w:val="auto"/>
              <w:kern w:val="0"/>
              <w:szCs w:val="24"/>
              <w:lang w:val="en-US" w:eastAsia="en-US" w:bidi="ar-SA"/>
            </w:rPr>
            <w:fldChar w:fldCharType="end"/>
          </w:r>
        </w:p>
      </w:sdtContent>
    </w:sdt>
    <w:p w14:paraId="36C4F2B9">
      <w:pPr>
        <w:spacing w:line="219" w:lineRule="auto"/>
        <w:rPr>
          <w:rFonts w:ascii="Times New Roman" w:hAnsi="Times New Roman" w:eastAsia="Times New Roman" w:cs="Times New Roman"/>
          <w:snapToGrid w:val="0"/>
          <w:color w:val="auto"/>
          <w:kern w:val="0"/>
          <w:sz w:val="21"/>
          <w:szCs w:val="24"/>
          <w:lang w:val="en-US" w:eastAsia="en-US" w:bidi="ar-SA"/>
        </w:rPr>
        <w:sectPr>
          <w:footerReference r:id="rId5" w:type="default"/>
          <w:pgSz w:w="11906" w:h="16839"/>
          <w:pgMar w:top="1440" w:right="1080" w:bottom="1440" w:left="1080" w:header="0" w:footer="1011" w:gutter="0"/>
          <w:cols w:space="720" w:num="1"/>
        </w:sectPr>
      </w:pPr>
    </w:p>
    <w:p w14:paraId="203BAD1F">
      <w:pPr>
        <w:spacing w:before="139" w:line="224" w:lineRule="auto"/>
        <w:ind w:left="2502"/>
        <w:outlineLvl w:val="0"/>
        <w:rPr>
          <w:rFonts w:ascii="宋体" w:hAnsi="宋体" w:eastAsia="宋体" w:cs="宋体"/>
          <w:color w:val="auto"/>
          <w:sz w:val="35"/>
          <w:szCs w:val="35"/>
        </w:rPr>
      </w:pPr>
      <w:bookmarkStart w:id="0" w:name="bookmark1"/>
      <w:bookmarkEnd w:id="0"/>
      <w:bookmarkStart w:id="1" w:name="_Toc9760"/>
      <w:bookmarkStart w:id="2" w:name="_Toc5370"/>
      <w:r>
        <w:rPr>
          <w:rFonts w:ascii="宋体" w:hAnsi="宋体" w:eastAsia="宋体" w:cs="宋体"/>
          <w:b/>
          <w:bCs/>
          <w:color w:val="auto"/>
          <w:spacing w:val="6"/>
          <w:sz w:val="35"/>
          <w:szCs w:val="35"/>
        </w:rPr>
        <w:t>第一章</w:t>
      </w:r>
      <w:r>
        <w:rPr>
          <w:rFonts w:ascii="宋体" w:hAnsi="宋体" w:eastAsia="宋体" w:cs="宋体"/>
          <w:color w:val="auto"/>
          <w:spacing w:val="6"/>
          <w:sz w:val="35"/>
          <w:szCs w:val="35"/>
        </w:rPr>
        <w:t xml:space="preserve"> </w:t>
      </w:r>
      <w:r>
        <w:rPr>
          <w:rFonts w:ascii="宋体" w:hAnsi="宋体" w:eastAsia="宋体" w:cs="宋体"/>
          <w:b/>
          <w:bCs/>
          <w:color w:val="auto"/>
          <w:spacing w:val="6"/>
          <w:sz w:val="35"/>
          <w:szCs w:val="35"/>
        </w:rPr>
        <w:t>竞争性磋商公告</w:t>
      </w:r>
      <w:bookmarkEnd w:id="1"/>
      <w:bookmarkEnd w:id="2"/>
    </w:p>
    <w:p w14:paraId="3C99B6BD">
      <w:pPr>
        <w:spacing w:before="182" w:line="220" w:lineRule="auto"/>
        <w:ind w:left="5"/>
        <w:rPr>
          <w:rFonts w:ascii="宋体" w:hAnsi="宋体" w:eastAsia="宋体" w:cs="宋体"/>
          <w:color w:val="auto"/>
          <w:sz w:val="24"/>
          <w:szCs w:val="24"/>
        </w:rPr>
      </w:pPr>
      <w:r>
        <w:rPr>
          <w:rFonts w:ascii="宋体" w:hAnsi="宋体" w:eastAsia="宋体" w:cs="宋体"/>
          <w:b/>
          <w:bCs/>
          <w:color w:val="auto"/>
          <w:spacing w:val="-6"/>
          <w:sz w:val="24"/>
          <w:szCs w:val="24"/>
        </w:rPr>
        <w:t>项目概况</w:t>
      </w:r>
    </w:p>
    <w:p w14:paraId="03DB5DF3">
      <w:pPr>
        <w:spacing w:before="181" w:line="360" w:lineRule="auto"/>
        <w:ind w:firstLine="481"/>
        <w:jc w:val="both"/>
        <w:rPr>
          <w:rFonts w:ascii="宋体" w:hAnsi="宋体" w:eastAsia="宋体" w:cs="宋体"/>
          <w:color w:val="auto"/>
          <w:sz w:val="24"/>
          <w:szCs w:val="24"/>
        </w:rPr>
      </w:pPr>
      <w:r>
        <w:rPr>
          <w:rFonts w:hint="eastAsia" w:ascii="宋体" w:hAnsi="宋体" w:eastAsia="宋体" w:cs="宋体"/>
          <w:color w:val="auto"/>
          <w:spacing w:val="2"/>
          <w:sz w:val="24"/>
          <w:szCs w:val="24"/>
        </w:rPr>
        <w:t>舒兰市朝阳镇新旭村水泥路</w:t>
      </w:r>
      <w:r>
        <w:rPr>
          <w:rFonts w:hint="eastAsia" w:ascii="宋体" w:hAnsi="宋体" w:cs="宋体"/>
          <w:color w:val="auto"/>
          <w:spacing w:val="2"/>
          <w:sz w:val="24"/>
          <w:szCs w:val="24"/>
          <w:lang w:val="en-US" w:eastAsia="zh-CN"/>
        </w:rPr>
        <w:t>工程</w:t>
      </w:r>
      <w:r>
        <w:rPr>
          <w:rFonts w:ascii="宋体" w:hAnsi="宋体" w:eastAsia="宋体" w:cs="宋体"/>
          <w:color w:val="auto"/>
          <w:spacing w:val="2"/>
          <w:sz w:val="24"/>
          <w:szCs w:val="24"/>
        </w:rPr>
        <w:t>的潜在供应商应在“政采云</w:t>
      </w:r>
      <w:r>
        <w:rPr>
          <w:rFonts w:ascii="宋体" w:hAnsi="宋体" w:eastAsia="宋体" w:cs="宋体"/>
          <w:color w:val="auto"/>
          <w:spacing w:val="-87"/>
          <w:sz w:val="24"/>
          <w:szCs w:val="24"/>
        </w:rPr>
        <w:t xml:space="preserve"> </w:t>
      </w:r>
      <w:r>
        <w:rPr>
          <w:rFonts w:ascii="宋体" w:hAnsi="宋体" w:eastAsia="宋体" w:cs="宋体"/>
          <w:color w:val="auto"/>
          <w:spacing w:val="2"/>
          <w:sz w:val="24"/>
          <w:szCs w:val="24"/>
        </w:rPr>
        <w:t>”</w:t>
      </w:r>
      <w:r>
        <w:rPr>
          <w:rFonts w:ascii="宋体" w:hAnsi="宋体" w:eastAsia="宋体" w:cs="宋体"/>
          <w:color w:val="auto"/>
          <w:spacing w:val="-2"/>
          <w:sz w:val="24"/>
          <w:szCs w:val="24"/>
        </w:rPr>
        <w:t>平台（</w:t>
      </w:r>
      <w:r>
        <w:rPr>
          <w:color w:val="auto"/>
        </w:rPr>
        <w:fldChar w:fldCharType="begin"/>
      </w:r>
      <w:r>
        <w:rPr>
          <w:color w:val="auto"/>
        </w:rPr>
        <w:instrText xml:space="preserve"> HYPERLINK "https://www.zcygov.cn/" </w:instrText>
      </w:r>
      <w:r>
        <w:rPr>
          <w:color w:val="auto"/>
        </w:rPr>
        <w:fldChar w:fldCharType="separate"/>
      </w:r>
      <w:r>
        <w:rPr>
          <w:rFonts w:ascii="宋体" w:hAnsi="宋体" w:eastAsia="宋体" w:cs="宋体"/>
          <w:color w:val="auto"/>
          <w:spacing w:val="-2"/>
          <w:sz w:val="24"/>
          <w:szCs w:val="24"/>
        </w:rPr>
        <w:t>https://www.zcygov.cn/</w:t>
      </w:r>
      <w:r>
        <w:rPr>
          <w:rFonts w:ascii="宋体" w:hAnsi="宋体" w:eastAsia="宋体" w:cs="宋体"/>
          <w:color w:val="auto"/>
          <w:spacing w:val="-2"/>
          <w:sz w:val="24"/>
          <w:szCs w:val="24"/>
        </w:rPr>
        <w:fldChar w:fldCharType="end"/>
      </w:r>
      <w:r>
        <w:rPr>
          <w:rFonts w:ascii="宋体" w:hAnsi="宋体" w:eastAsia="宋体" w:cs="宋体"/>
          <w:color w:val="auto"/>
          <w:spacing w:val="-2"/>
          <w:sz w:val="24"/>
          <w:szCs w:val="24"/>
        </w:rPr>
        <w:t>）获取采购文件，并于2026年</w:t>
      </w:r>
      <w:r>
        <w:rPr>
          <w:rFonts w:hint="eastAsia" w:ascii="宋体" w:hAnsi="宋体" w:cs="宋体"/>
          <w:color w:val="auto"/>
          <w:spacing w:val="-2"/>
          <w:sz w:val="24"/>
          <w:szCs w:val="24"/>
          <w:lang w:val="en-US" w:eastAsia="zh-CN"/>
        </w:rPr>
        <w:t>05</w:t>
      </w:r>
      <w:r>
        <w:rPr>
          <w:rFonts w:ascii="宋体" w:hAnsi="宋体" w:eastAsia="宋体" w:cs="宋体"/>
          <w:color w:val="auto"/>
          <w:spacing w:val="-2"/>
          <w:sz w:val="24"/>
          <w:szCs w:val="24"/>
        </w:rPr>
        <w:t>月</w:t>
      </w:r>
      <w:r>
        <w:rPr>
          <w:rFonts w:hint="eastAsia" w:ascii="宋体" w:hAnsi="宋体" w:cs="宋体"/>
          <w:color w:val="auto"/>
          <w:spacing w:val="-2"/>
          <w:sz w:val="24"/>
          <w:szCs w:val="24"/>
          <w:lang w:val="en-US" w:eastAsia="zh-CN"/>
        </w:rPr>
        <w:t>09</w:t>
      </w:r>
      <w:r>
        <w:rPr>
          <w:rFonts w:ascii="宋体" w:hAnsi="宋体" w:eastAsia="宋体" w:cs="宋体"/>
          <w:color w:val="auto"/>
          <w:spacing w:val="-2"/>
          <w:sz w:val="24"/>
          <w:szCs w:val="24"/>
        </w:rPr>
        <w:t>日</w:t>
      </w:r>
      <w:r>
        <w:rPr>
          <w:rFonts w:hint="eastAsia" w:ascii="宋体" w:hAnsi="宋体" w:cs="宋体"/>
          <w:color w:val="auto"/>
          <w:spacing w:val="-2"/>
          <w:sz w:val="24"/>
          <w:szCs w:val="24"/>
          <w:lang w:val="en-US" w:eastAsia="zh-CN"/>
        </w:rPr>
        <w:t>09</w:t>
      </w:r>
      <w:r>
        <w:rPr>
          <w:rFonts w:ascii="宋体" w:hAnsi="宋体" w:eastAsia="宋体" w:cs="宋体"/>
          <w:color w:val="auto"/>
          <w:spacing w:val="-2"/>
          <w:sz w:val="24"/>
          <w:szCs w:val="24"/>
        </w:rPr>
        <w:t>点</w:t>
      </w:r>
      <w:r>
        <w:rPr>
          <w:rFonts w:hint="eastAsia" w:ascii="宋体" w:hAnsi="宋体" w:cs="宋体"/>
          <w:color w:val="auto"/>
          <w:spacing w:val="-2"/>
          <w:sz w:val="24"/>
          <w:szCs w:val="24"/>
          <w:lang w:val="en-US" w:eastAsia="zh-CN"/>
        </w:rPr>
        <w:t>3</w:t>
      </w:r>
      <w:r>
        <w:rPr>
          <w:rFonts w:ascii="宋体" w:hAnsi="宋体" w:eastAsia="宋体" w:cs="宋体"/>
          <w:color w:val="auto"/>
          <w:spacing w:val="-2"/>
          <w:sz w:val="24"/>
          <w:szCs w:val="24"/>
        </w:rPr>
        <w:t>0分（北</w:t>
      </w:r>
      <w:r>
        <w:rPr>
          <w:rFonts w:ascii="宋体" w:hAnsi="宋体" w:eastAsia="宋体" w:cs="宋体"/>
          <w:color w:val="auto"/>
          <w:spacing w:val="-1"/>
          <w:sz w:val="24"/>
          <w:szCs w:val="24"/>
        </w:rPr>
        <w:t>京时间）前提交响应文件。</w:t>
      </w:r>
    </w:p>
    <w:p w14:paraId="7779116B">
      <w:pPr>
        <w:spacing w:line="219" w:lineRule="auto"/>
        <w:ind w:left="5"/>
        <w:rPr>
          <w:rFonts w:ascii="宋体" w:hAnsi="宋体" w:eastAsia="宋体" w:cs="宋体"/>
          <w:color w:val="auto"/>
          <w:sz w:val="24"/>
          <w:szCs w:val="24"/>
        </w:rPr>
      </w:pPr>
      <w:r>
        <w:rPr>
          <w:rFonts w:ascii="宋体" w:hAnsi="宋体" w:eastAsia="宋体" w:cs="宋体"/>
          <w:b/>
          <w:bCs/>
          <w:color w:val="auto"/>
          <w:spacing w:val="-4"/>
          <w:sz w:val="24"/>
          <w:szCs w:val="24"/>
        </w:rPr>
        <w:t>一、项目基本情况</w:t>
      </w:r>
    </w:p>
    <w:p w14:paraId="0FA194C1">
      <w:pPr>
        <w:spacing w:before="183" w:line="219" w:lineRule="auto"/>
        <w:ind w:left="19"/>
        <w:rPr>
          <w:rFonts w:hint="eastAsia" w:ascii="宋体" w:hAnsi="宋体" w:eastAsia="宋体" w:cs="宋体"/>
          <w:color w:val="auto"/>
          <w:sz w:val="24"/>
          <w:szCs w:val="24"/>
        </w:rPr>
      </w:pPr>
      <w:r>
        <w:rPr>
          <w:rFonts w:ascii="宋体" w:hAnsi="宋体" w:eastAsia="宋体" w:cs="宋体"/>
          <w:color w:val="auto"/>
          <w:sz w:val="24"/>
          <w:szCs w:val="24"/>
        </w:rPr>
        <w:t>1.项目编号：</w:t>
      </w:r>
      <w:r>
        <w:rPr>
          <w:rFonts w:hint="eastAsia" w:ascii="宋体" w:hAnsi="宋体" w:eastAsia="宋体" w:cs="宋体"/>
          <w:color w:val="auto"/>
          <w:sz w:val="24"/>
          <w:szCs w:val="24"/>
        </w:rPr>
        <w:t>采购计划-[2026]-00954号-01</w:t>
      </w:r>
    </w:p>
    <w:p w14:paraId="53393915">
      <w:pPr>
        <w:spacing w:before="184" w:line="219" w:lineRule="auto"/>
        <w:ind w:left="4"/>
        <w:rPr>
          <w:rFonts w:ascii="宋体" w:hAnsi="宋体" w:eastAsia="宋体" w:cs="宋体"/>
          <w:color w:val="auto"/>
          <w:sz w:val="24"/>
          <w:szCs w:val="24"/>
        </w:rPr>
      </w:pPr>
      <w:r>
        <w:rPr>
          <w:rFonts w:ascii="宋体" w:hAnsi="宋体" w:eastAsia="宋体" w:cs="宋体"/>
          <w:color w:val="auto"/>
          <w:spacing w:val="-1"/>
          <w:sz w:val="24"/>
          <w:szCs w:val="24"/>
        </w:rPr>
        <w:t>2.项目名称：</w:t>
      </w:r>
      <w:r>
        <w:rPr>
          <w:rFonts w:hint="eastAsia" w:ascii="宋体" w:hAnsi="宋体" w:cs="宋体"/>
          <w:color w:val="auto"/>
          <w:spacing w:val="-1"/>
          <w:sz w:val="24"/>
          <w:szCs w:val="24"/>
          <w:lang w:val="en-US" w:eastAsia="zh-CN"/>
        </w:rPr>
        <w:t>舒兰市</w:t>
      </w:r>
      <w:r>
        <w:rPr>
          <w:rFonts w:hint="eastAsia" w:ascii="宋体" w:hAnsi="宋体" w:eastAsia="宋体" w:cs="宋体"/>
          <w:color w:val="auto"/>
          <w:spacing w:val="-1"/>
          <w:sz w:val="24"/>
          <w:szCs w:val="24"/>
        </w:rPr>
        <w:t>朝阳镇新旭村水泥路</w:t>
      </w:r>
      <w:r>
        <w:rPr>
          <w:rFonts w:hint="eastAsia" w:ascii="宋体" w:hAnsi="宋体" w:cs="宋体"/>
          <w:color w:val="auto"/>
          <w:spacing w:val="-1"/>
          <w:sz w:val="24"/>
          <w:szCs w:val="24"/>
          <w:lang w:eastAsia="zh-CN"/>
        </w:rPr>
        <w:t>工程</w:t>
      </w:r>
      <w:r>
        <w:rPr>
          <w:rFonts w:ascii="宋体" w:hAnsi="宋体" w:eastAsia="宋体" w:cs="宋体"/>
          <w:color w:val="auto"/>
          <w:spacing w:val="7"/>
          <w:sz w:val="24"/>
          <w:szCs w:val="24"/>
        </w:rPr>
        <w:t>；</w:t>
      </w:r>
    </w:p>
    <w:p w14:paraId="74ACA139">
      <w:pPr>
        <w:spacing w:before="183" w:line="219" w:lineRule="auto"/>
        <w:ind w:left="6"/>
        <w:rPr>
          <w:rFonts w:ascii="宋体" w:hAnsi="宋体" w:eastAsia="宋体" w:cs="宋体"/>
          <w:color w:val="auto"/>
          <w:sz w:val="24"/>
          <w:szCs w:val="24"/>
        </w:rPr>
      </w:pPr>
      <w:r>
        <w:rPr>
          <w:rFonts w:ascii="宋体" w:hAnsi="宋体" w:eastAsia="宋体" w:cs="宋体"/>
          <w:color w:val="auto"/>
          <w:spacing w:val="-2"/>
          <w:sz w:val="24"/>
          <w:szCs w:val="24"/>
        </w:rPr>
        <w:t>3.采购方式：竞争性磋商；</w:t>
      </w:r>
    </w:p>
    <w:p w14:paraId="4F64CE1E">
      <w:pPr>
        <w:spacing w:before="183" w:line="220" w:lineRule="auto"/>
        <w:rPr>
          <w:rFonts w:ascii="宋体" w:hAnsi="宋体" w:eastAsia="宋体" w:cs="宋体"/>
          <w:color w:val="auto"/>
          <w:sz w:val="24"/>
          <w:szCs w:val="24"/>
        </w:rPr>
      </w:pPr>
      <w:r>
        <w:rPr>
          <w:rFonts w:ascii="宋体" w:hAnsi="宋体" w:eastAsia="宋体" w:cs="宋体"/>
          <w:color w:val="auto"/>
          <w:spacing w:val="-1"/>
          <w:sz w:val="24"/>
          <w:szCs w:val="24"/>
        </w:rPr>
        <w:t>4.预算金额：</w:t>
      </w:r>
      <w:r>
        <w:rPr>
          <w:rFonts w:hint="eastAsia" w:ascii="宋体" w:hAnsi="宋体" w:eastAsia="宋体" w:cs="宋体"/>
          <w:color w:val="auto"/>
          <w:spacing w:val="-1"/>
          <w:sz w:val="24"/>
          <w:szCs w:val="24"/>
        </w:rPr>
        <w:t>1,182,839.00元</w:t>
      </w:r>
      <w:r>
        <w:rPr>
          <w:rFonts w:ascii="宋体" w:hAnsi="宋体" w:eastAsia="宋体" w:cs="宋体"/>
          <w:color w:val="auto"/>
          <w:spacing w:val="-1"/>
          <w:sz w:val="24"/>
          <w:szCs w:val="24"/>
        </w:rPr>
        <w:t>；</w:t>
      </w:r>
    </w:p>
    <w:p w14:paraId="1BE8525F">
      <w:pPr>
        <w:spacing w:before="181" w:line="219" w:lineRule="auto"/>
        <w:ind w:left="6"/>
        <w:rPr>
          <w:rFonts w:ascii="宋体" w:hAnsi="宋体" w:eastAsia="宋体" w:cs="宋体"/>
          <w:color w:val="auto"/>
          <w:spacing w:val="-1"/>
          <w:sz w:val="24"/>
          <w:szCs w:val="24"/>
        </w:rPr>
      </w:pPr>
      <w:r>
        <w:rPr>
          <w:rFonts w:ascii="宋体" w:hAnsi="宋体" w:eastAsia="宋体" w:cs="宋体"/>
          <w:color w:val="auto"/>
          <w:spacing w:val="-1"/>
          <w:sz w:val="24"/>
          <w:szCs w:val="24"/>
        </w:rPr>
        <w:t>5.最高限价：</w:t>
      </w:r>
      <w:r>
        <w:rPr>
          <w:rFonts w:hint="eastAsia" w:ascii="宋体" w:hAnsi="宋体" w:eastAsia="宋体" w:cs="宋体"/>
          <w:color w:val="auto"/>
          <w:spacing w:val="-1"/>
          <w:sz w:val="24"/>
          <w:szCs w:val="24"/>
        </w:rPr>
        <w:t>1,182,839.00元</w:t>
      </w:r>
      <w:r>
        <w:rPr>
          <w:rFonts w:ascii="宋体" w:hAnsi="宋体" w:eastAsia="宋体" w:cs="宋体"/>
          <w:color w:val="auto"/>
          <w:spacing w:val="-1"/>
          <w:sz w:val="24"/>
          <w:szCs w:val="24"/>
        </w:rPr>
        <w:t>；</w:t>
      </w:r>
    </w:p>
    <w:p w14:paraId="76407A1C">
      <w:pPr>
        <w:spacing w:before="184" w:line="290" w:lineRule="auto"/>
        <w:ind w:left="24" w:right="125" w:hanging="21"/>
        <w:rPr>
          <w:rFonts w:ascii="宋体" w:hAnsi="宋体" w:eastAsia="宋体" w:cs="宋体"/>
          <w:color w:val="auto"/>
          <w:sz w:val="24"/>
          <w:szCs w:val="24"/>
        </w:rPr>
      </w:pPr>
      <w:r>
        <w:rPr>
          <w:rFonts w:ascii="宋体" w:hAnsi="宋体" w:eastAsia="宋体" w:cs="宋体"/>
          <w:color w:val="auto"/>
          <w:spacing w:val="-3"/>
          <w:sz w:val="24"/>
          <w:szCs w:val="24"/>
        </w:rPr>
        <w:t>6.采购需求：</w:t>
      </w:r>
      <w:r>
        <w:rPr>
          <w:rFonts w:hint="eastAsia" w:ascii="宋体" w:hAnsi="宋体" w:eastAsia="宋体" w:cs="宋体"/>
          <w:color w:val="auto"/>
          <w:spacing w:val="-1"/>
          <w:sz w:val="24"/>
          <w:szCs w:val="24"/>
        </w:rPr>
        <w:t>舒兰市朝阳镇新旭村水泥路工程</w:t>
      </w:r>
      <w:r>
        <w:rPr>
          <w:rFonts w:hint="eastAsia" w:ascii="宋体" w:hAnsi="宋体" w:cs="宋体"/>
          <w:color w:val="auto"/>
          <w:spacing w:val="2"/>
          <w:sz w:val="24"/>
          <w:szCs w:val="24"/>
          <w:lang w:eastAsia="zh-CN"/>
        </w:rPr>
        <w:t>，</w:t>
      </w:r>
      <w:r>
        <w:rPr>
          <w:rFonts w:ascii="宋体" w:hAnsi="宋体" w:eastAsia="宋体" w:cs="宋体"/>
          <w:color w:val="auto"/>
          <w:spacing w:val="-2"/>
          <w:sz w:val="24"/>
          <w:szCs w:val="24"/>
        </w:rPr>
        <w:t>详见工程量清单；</w:t>
      </w:r>
    </w:p>
    <w:p w14:paraId="1A31C115">
      <w:pPr>
        <w:spacing w:before="182" w:line="220" w:lineRule="auto"/>
        <w:ind w:left="7"/>
        <w:rPr>
          <w:rFonts w:ascii="宋体" w:hAnsi="宋体" w:eastAsia="宋体" w:cs="宋体"/>
          <w:color w:val="auto"/>
          <w:sz w:val="24"/>
          <w:szCs w:val="24"/>
        </w:rPr>
      </w:pPr>
      <w:r>
        <w:rPr>
          <w:rFonts w:ascii="宋体" w:hAnsi="宋体" w:eastAsia="宋体" w:cs="宋体"/>
          <w:color w:val="auto"/>
          <w:spacing w:val="-3"/>
          <w:sz w:val="24"/>
          <w:szCs w:val="24"/>
        </w:rPr>
        <w:t>7.合同履行期限：</w:t>
      </w:r>
      <w:r>
        <w:rPr>
          <w:rFonts w:ascii="宋体" w:hAnsi="宋体" w:eastAsia="宋体" w:cs="宋体"/>
          <w:color w:val="auto"/>
          <w:spacing w:val="-71"/>
          <w:sz w:val="24"/>
          <w:szCs w:val="24"/>
        </w:rPr>
        <w:t xml:space="preserve"> </w:t>
      </w:r>
      <w:r>
        <w:rPr>
          <w:rFonts w:ascii="宋体" w:hAnsi="宋体" w:eastAsia="宋体" w:cs="宋体"/>
          <w:color w:val="auto"/>
          <w:spacing w:val="-3"/>
          <w:sz w:val="24"/>
          <w:szCs w:val="24"/>
        </w:rPr>
        <w:t>自合同签订后</w:t>
      </w:r>
      <w:r>
        <w:rPr>
          <w:rFonts w:hint="eastAsia" w:ascii="宋体" w:hAnsi="宋体" w:cs="宋体"/>
          <w:color w:val="auto"/>
          <w:spacing w:val="-3"/>
          <w:sz w:val="24"/>
          <w:szCs w:val="24"/>
          <w:lang w:val="en-US" w:eastAsia="zh-CN"/>
        </w:rPr>
        <w:t>一年内</w:t>
      </w:r>
      <w:r>
        <w:rPr>
          <w:rFonts w:ascii="宋体" w:hAnsi="宋体" w:eastAsia="宋体" w:cs="宋体"/>
          <w:color w:val="auto"/>
          <w:spacing w:val="-3"/>
          <w:sz w:val="24"/>
          <w:szCs w:val="24"/>
        </w:rPr>
        <w:t>完成；</w:t>
      </w:r>
    </w:p>
    <w:p w14:paraId="6981C296">
      <w:pPr>
        <w:spacing w:before="183" w:line="219" w:lineRule="auto"/>
        <w:ind w:left="2"/>
        <w:rPr>
          <w:rFonts w:ascii="宋体" w:hAnsi="宋体" w:eastAsia="宋体" w:cs="宋体"/>
          <w:color w:val="auto"/>
          <w:sz w:val="24"/>
          <w:szCs w:val="24"/>
        </w:rPr>
      </w:pPr>
      <w:r>
        <w:rPr>
          <w:rFonts w:ascii="宋体" w:hAnsi="宋体" w:eastAsia="宋体" w:cs="宋体"/>
          <w:color w:val="auto"/>
          <w:spacing w:val="-1"/>
          <w:sz w:val="24"/>
          <w:szCs w:val="24"/>
        </w:rPr>
        <w:t>8.本项目（否）接受联合体。</w:t>
      </w:r>
    </w:p>
    <w:p w14:paraId="20446A69">
      <w:pPr>
        <w:spacing w:before="183" w:line="220" w:lineRule="auto"/>
        <w:ind w:left="5"/>
        <w:rPr>
          <w:rFonts w:ascii="宋体" w:hAnsi="宋体" w:eastAsia="宋体" w:cs="宋体"/>
          <w:color w:val="auto"/>
          <w:sz w:val="24"/>
          <w:szCs w:val="24"/>
        </w:rPr>
      </w:pPr>
      <w:r>
        <w:rPr>
          <w:rFonts w:ascii="宋体" w:hAnsi="宋体" w:eastAsia="宋体" w:cs="宋体"/>
          <w:b/>
          <w:bCs/>
          <w:color w:val="auto"/>
          <w:spacing w:val="-3"/>
          <w:sz w:val="24"/>
          <w:szCs w:val="24"/>
        </w:rPr>
        <w:t>二、申请人的资格要求</w:t>
      </w:r>
    </w:p>
    <w:p w14:paraId="0FA5D504">
      <w:pPr>
        <w:spacing w:before="182" w:line="219" w:lineRule="auto"/>
        <w:ind w:left="19"/>
        <w:rPr>
          <w:rFonts w:ascii="宋体" w:hAnsi="宋体" w:eastAsia="宋体" w:cs="宋体"/>
          <w:color w:val="auto"/>
          <w:sz w:val="24"/>
          <w:szCs w:val="24"/>
        </w:rPr>
      </w:pPr>
      <w:r>
        <w:rPr>
          <w:rFonts w:ascii="宋体" w:hAnsi="宋体" w:eastAsia="宋体" w:cs="宋体"/>
          <w:color w:val="auto"/>
          <w:spacing w:val="-1"/>
          <w:sz w:val="24"/>
          <w:szCs w:val="24"/>
        </w:rPr>
        <w:t>1.满足《中华人民共和国政府采购法》第二十二条</w:t>
      </w:r>
      <w:r>
        <w:rPr>
          <w:rFonts w:ascii="宋体" w:hAnsi="宋体" w:eastAsia="宋体" w:cs="宋体"/>
          <w:color w:val="auto"/>
          <w:spacing w:val="-2"/>
          <w:sz w:val="24"/>
          <w:szCs w:val="24"/>
        </w:rPr>
        <w:t>规定。</w:t>
      </w:r>
    </w:p>
    <w:p w14:paraId="31F43660">
      <w:pPr>
        <w:spacing w:before="184" w:line="313" w:lineRule="auto"/>
        <w:ind w:right="206" w:firstLine="3"/>
        <w:rPr>
          <w:rFonts w:ascii="宋体" w:hAnsi="宋体" w:eastAsia="宋体" w:cs="宋体"/>
          <w:color w:val="auto"/>
          <w:sz w:val="24"/>
          <w:szCs w:val="24"/>
        </w:rPr>
      </w:pPr>
      <w:r>
        <w:rPr>
          <w:rFonts w:ascii="宋体" w:hAnsi="宋体" w:eastAsia="宋体" w:cs="宋体"/>
          <w:color w:val="auto"/>
          <w:spacing w:val="-3"/>
          <w:sz w:val="24"/>
          <w:szCs w:val="24"/>
        </w:rPr>
        <w:t>2.落实政府采购政策需满足的资格要求：本项目为专门面向中小企业的采购项目；</w:t>
      </w:r>
      <w:r>
        <w:rPr>
          <w:rFonts w:ascii="宋体" w:hAnsi="宋体" w:eastAsia="宋体" w:cs="宋体"/>
          <w:color w:val="auto"/>
          <w:spacing w:val="-1"/>
          <w:sz w:val="24"/>
          <w:szCs w:val="24"/>
        </w:rPr>
        <w:t>所属行业：建筑业。</w:t>
      </w:r>
    </w:p>
    <w:p w14:paraId="0F7B9A28">
      <w:pPr>
        <w:spacing w:before="182" w:line="219" w:lineRule="auto"/>
        <w:ind w:left="6"/>
        <w:rPr>
          <w:rFonts w:ascii="宋体" w:hAnsi="宋体" w:eastAsia="宋体" w:cs="宋体"/>
          <w:color w:val="auto"/>
          <w:sz w:val="24"/>
          <w:szCs w:val="24"/>
        </w:rPr>
      </w:pPr>
      <w:r>
        <w:rPr>
          <w:rFonts w:ascii="宋体" w:hAnsi="宋体" w:eastAsia="宋体" w:cs="宋体"/>
          <w:color w:val="auto"/>
          <w:spacing w:val="-2"/>
          <w:sz w:val="24"/>
          <w:szCs w:val="24"/>
        </w:rPr>
        <w:t>3.本项目特定资格要求：</w:t>
      </w:r>
    </w:p>
    <w:p w14:paraId="3873255B">
      <w:pPr>
        <w:spacing w:before="180" w:line="337" w:lineRule="auto"/>
        <w:ind w:right="142" w:firstLine="5"/>
        <w:rPr>
          <w:rFonts w:ascii="宋体" w:hAnsi="宋体" w:eastAsia="宋体" w:cs="宋体"/>
          <w:color w:val="auto"/>
          <w:sz w:val="24"/>
          <w:szCs w:val="24"/>
        </w:rPr>
      </w:pPr>
      <w:r>
        <w:rPr>
          <w:rFonts w:ascii="宋体" w:hAnsi="宋体" w:eastAsia="宋体" w:cs="宋体"/>
          <w:color w:val="auto"/>
          <w:sz w:val="24"/>
          <w:szCs w:val="24"/>
        </w:rPr>
        <w:t>3.1供应商</w:t>
      </w:r>
      <w:r>
        <w:rPr>
          <w:rFonts w:hint="eastAsia" w:ascii="宋体" w:hAnsi="宋体" w:cs="宋体"/>
          <w:color w:val="auto"/>
          <w:sz w:val="24"/>
          <w:szCs w:val="24"/>
          <w:lang w:val="en-US" w:eastAsia="zh-CN"/>
        </w:rPr>
        <w:t>须</w:t>
      </w:r>
      <w:r>
        <w:rPr>
          <w:rFonts w:ascii="宋体" w:hAnsi="宋体" w:eastAsia="宋体" w:cs="宋体"/>
          <w:color w:val="auto"/>
          <w:sz w:val="24"/>
          <w:szCs w:val="24"/>
        </w:rPr>
        <w:t>具备建设行政主管部门颁发的</w:t>
      </w:r>
      <w:r>
        <w:rPr>
          <w:rFonts w:hint="eastAsia" w:ascii="宋体" w:hAnsi="宋体" w:cs="宋体"/>
          <w:color w:val="auto"/>
          <w:sz w:val="24"/>
          <w:szCs w:val="24"/>
          <w:lang w:eastAsia="zh-CN"/>
        </w:rPr>
        <w:t>市政公用</w:t>
      </w:r>
      <w:r>
        <w:rPr>
          <w:rFonts w:ascii="宋体" w:hAnsi="宋体" w:eastAsia="宋体" w:cs="宋体"/>
          <w:color w:val="auto"/>
          <w:sz w:val="24"/>
          <w:szCs w:val="24"/>
        </w:rPr>
        <w:t>工程施工总承包</w:t>
      </w:r>
      <w:r>
        <w:rPr>
          <w:rFonts w:hint="eastAsia" w:ascii="宋体" w:hAnsi="宋体" w:cs="宋体"/>
          <w:color w:val="auto"/>
          <w:sz w:val="24"/>
          <w:szCs w:val="24"/>
          <w:lang w:val="en-US" w:eastAsia="zh-CN"/>
        </w:rPr>
        <w:t>贰</w:t>
      </w:r>
      <w:r>
        <w:rPr>
          <w:rFonts w:ascii="宋体" w:hAnsi="宋体" w:eastAsia="宋体" w:cs="宋体"/>
          <w:color w:val="auto"/>
          <w:sz w:val="24"/>
          <w:szCs w:val="24"/>
        </w:rPr>
        <w:t>级</w:t>
      </w:r>
      <w:r>
        <w:rPr>
          <w:rFonts w:hint="eastAsia" w:ascii="宋体" w:hAnsi="宋体" w:cs="宋体"/>
          <w:color w:val="auto"/>
          <w:sz w:val="24"/>
          <w:szCs w:val="24"/>
          <w:lang w:val="en-US" w:eastAsia="zh-CN"/>
        </w:rPr>
        <w:t>或公路工程施工总承包贰</w:t>
      </w:r>
      <w:r>
        <w:rPr>
          <w:rFonts w:ascii="宋体" w:hAnsi="宋体" w:eastAsia="宋体" w:cs="宋体"/>
          <w:color w:val="auto"/>
          <w:sz w:val="24"/>
          <w:szCs w:val="24"/>
        </w:rPr>
        <w:t>级</w:t>
      </w:r>
      <w:r>
        <w:rPr>
          <w:rFonts w:hint="eastAsia" w:ascii="宋体" w:hAnsi="宋体" w:cs="宋体"/>
          <w:color w:val="auto"/>
          <w:spacing w:val="-1"/>
          <w:sz w:val="24"/>
          <w:szCs w:val="24"/>
          <w:lang w:val="en-US" w:eastAsia="zh-CN"/>
        </w:rPr>
        <w:t>及</w:t>
      </w:r>
      <w:r>
        <w:rPr>
          <w:rFonts w:ascii="宋体" w:hAnsi="宋体" w:eastAsia="宋体" w:cs="宋体"/>
          <w:color w:val="auto"/>
          <w:spacing w:val="-3"/>
          <w:sz w:val="24"/>
          <w:szCs w:val="24"/>
        </w:rPr>
        <w:t>以上资质，具备有效的安全生产许可证；并在人员、设备、资金等方面具有相应的施工能力。注：①根据《吉林省住房和城乡建设厅关于建筑业企业资质延续有关事宜</w:t>
      </w:r>
      <w:r>
        <w:rPr>
          <w:rFonts w:ascii="宋体" w:hAnsi="宋体" w:eastAsia="宋体" w:cs="宋体"/>
          <w:color w:val="auto"/>
          <w:spacing w:val="-2"/>
          <w:sz w:val="24"/>
          <w:szCs w:val="24"/>
        </w:rPr>
        <w:t>的通知》(吉建管〔2023〕23号)文件要求</w:t>
      </w:r>
      <w:r>
        <w:rPr>
          <w:rFonts w:ascii="宋体" w:hAnsi="宋体" w:eastAsia="宋体" w:cs="宋体"/>
          <w:color w:val="auto"/>
          <w:spacing w:val="-3"/>
          <w:sz w:val="24"/>
          <w:szCs w:val="24"/>
        </w:rPr>
        <w:t>，吉林省住建厅核发的建筑业企业总承包叁</w:t>
      </w:r>
      <w:r>
        <w:rPr>
          <w:rFonts w:ascii="宋体" w:hAnsi="宋体" w:eastAsia="宋体" w:cs="宋体"/>
          <w:color w:val="auto"/>
          <w:spacing w:val="-7"/>
          <w:sz w:val="24"/>
          <w:szCs w:val="24"/>
        </w:rPr>
        <w:t>级、专业承包叁级资质，自2024年7月1日起，原资质许可机关不再受理资质换证申请，</w:t>
      </w:r>
      <w:r>
        <w:rPr>
          <w:rFonts w:ascii="宋体" w:hAnsi="宋体" w:eastAsia="宋体" w:cs="宋体"/>
          <w:color w:val="auto"/>
          <w:spacing w:val="-1"/>
          <w:sz w:val="24"/>
          <w:szCs w:val="24"/>
        </w:rPr>
        <w:t>相应证书逾期自动作废。</w:t>
      </w:r>
    </w:p>
    <w:p w14:paraId="20E8331D">
      <w:pPr>
        <w:spacing w:before="182" w:line="290" w:lineRule="auto"/>
        <w:ind w:left="6" w:right="206" w:hanging="6"/>
        <w:rPr>
          <w:rFonts w:ascii="宋体" w:hAnsi="宋体" w:eastAsia="宋体" w:cs="宋体"/>
          <w:color w:val="auto"/>
          <w:spacing w:val="-1"/>
          <w:sz w:val="24"/>
          <w:szCs w:val="24"/>
        </w:rPr>
      </w:pPr>
      <w:r>
        <w:rPr>
          <w:rFonts w:ascii="宋体" w:hAnsi="宋体" w:eastAsia="宋体" w:cs="宋体"/>
          <w:color w:val="auto"/>
          <w:spacing w:val="-3"/>
          <w:sz w:val="24"/>
          <w:szCs w:val="24"/>
        </w:rPr>
        <w:t>②其他省（市）核发的资质涉及有效期届满有效期延续问题的，按照当地建设行政主管部门文件执行。投标文件内须提供当地住房和城乡建设部门官方网站发布的准予延</w:t>
      </w:r>
      <w:r>
        <w:rPr>
          <w:rFonts w:ascii="宋体" w:hAnsi="宋体" w:eastAsia="宋体" w:cs="宋体"/>
          <w:color w:val="auto"/>
          <w:spacing w:val="-1"/>
          <w:sz w:val="24"/>
          <w:szCs w:val="24"/>
        </w:rPr>
        <w:t>期的文件截图及网址，否则不予认定。</w:t>
      </w:r>
    </w:p>
    <w:p w14:paraId="686F143F">
      <w:pPr>
        <w:spacing w:before="182" w:line="290" w:lineRule="auto"/>
        <w:ind w:left="6" w:right="206" w:hanging="6"/>
        <w:rPr>
          <w:rFonts w:hint="eastAsia" w:ascii="宋体" w:hAnsi="宋体" w:eastAsia="宋体" w:cs="宋体"/>
          <w:color w:val="auto"/>
          <w:sz w:val="24"/>
          <w:szCs w:val="24"/>
          <w:lang w:eastAsia="zh-CN"/>
        </w:rPr>
      </w:pPr>
      <w:r>
        <w:rPr>
          <w:rFonts w:ascii="宋体" w:hAnsi="宋体" w:eastAsia="宋体" w:cs="宋体"/>
          <w:color w:val="auto"/>
          <w:sz w:val="24"/>
          <w:szCs w:val="24"/>
        </w:rPr>
        <w:t>3.2供应商拟派出的项目经理须具备</w:t>
      </w:r>
      <w:r>
        <w:rPr>
          <w:rFonts w:hint="eastAsia" w:ascii="宋体" w:hAnsi="宋体" w:cs="宋体"/>
          <w:color w:val="auto"/>
          <w:sz w:val="24"/>
          <w:szCs w:val="24"/>
          <w:lang w:eastAsia="zh-CN"/>
        </w:rPr>
        <w:t>市政公用</w:t>
      </w:r>
      <w:r>
        <w:rPr>
          <w:rFonts w:ascii="宋体" w:hAnsi="宋体" w:eastAsia="宋体" w:cs="宋体"/>
          <w:color w:val="auto"/>
          <w:sz w:val="24"/>
          <w:szCs w:val="24"/>
        </w:rPr>
        <w:t>工程专业二级或</w:t>
      </w:r>
      <w:r>
        <w:rPr>
          <w:rFonts w:hint="eastAsia" w:ascii="宋体" w:hAnsi="宋体" w:eastAsia="宋体" w:cs="宋体"/>
          <w:color w:val="auto"/>
          <w:sz w:val="24"/>
          <w:szCs w:val="24"/>
        </w:rPr>
        <w:t>公路工程专业二级</w:t>
      </w:r>
      <w:r>
        <w:rPr>
          <w:rFonts w:ascii="宋体" w:hAnsi="宋体" w:eastAsia="宋体" w:cs="宋体"/>
          <w:color w:val="auto"/>
          <w:sz w:val="24"/>
          <w:szCs w:val="24"/>
        </w:rPr>
        <w:t>以上注册建造师资格，具备有效的安全生产考核合格证书（B类</w:t>
      </w:r>
      <w:r>
        <w:rPr>
          <w:rFonts w:ascii="宋体" w:hAnsi="宋体" w:eastAsia="宋体" w:cs="宋体"/>
          <w:color w:val="auto"/>
          <w:spacing w:val="8"/>
          <w:sz w:val="24"/>
          <w:szCs w:val="24"/>
        </w:rPr>
        <w:t>），</w:t>
      </w:r>
      <w:r>
        <w:rPr>
          <w:rFonts w:ascii="宋体" w:hAnsi="宋体" w:eastAsia="宋体" w:cs="宋体"/>
          <w:color w:val="auto"/>
          <w:sz w:val="24"/>
          <w:szCs w:val="24"/>
        </w:rPr>
        <w:t>且无在建工程；拟派本项目的项目经理</w:t>
      </w:r>
      <w:r>
        <w:rPr>
          <w:rFonts w:ascii="宋体" w:hAnsi="宋体" w:eastAsia="宋体" w:cs="宋体"/>
          <w:color w:val="auto"/>
          <w:spacing w:val="-1"/>
          <w:sz w:val="24"/>
          <w:szCs w:val="24"/>
        </w:rPr>
        <w:t>及其他管理人员均须为本单位在职人员。技术负责人具备</w:t>
      </w:r>
      <w:r>
        <w:rPr>
          <w:rFonts w:hint="eastAsia" w:ascii="宋体" w:hAnsi="宋体" w:cs="宋体"/>
          <w:color w:val="auto"/>
          <w:spacing w:val="-1"/>
          <w:sz w:val="24"/>
          <w:szCs w:val="24"/>
          <w:lang w:eastAsia="zh-CN"/>
        </w:rPr>
        <w:t>市政公用</w:t>
      </w:r>
      <w:r>
        <w:rPr>
          <w:rFonts w:ascii="宋体" w:hAnsi="宋体" w:eastAsia="宋体" w:cs="宋体"/>
          <w:color w:val="auto"/>
          <w:spacing w:val="-1"/>
          <w:sz w:val="24"/>
          <w:szCs w:val="24"/>
        </w:rPr>
        <w:t>工程相关专业中级或</w:t>
      </w:r>
      <w:r>
        <w:rPr>
          <w:rFonts w:hint="eastAsia" w:ascii="宋体" w:hAnsi="宋体" w:eastAsia="宋体" w:cs="宋体"/>
          <w:color w:val="auto"/>
          <w:spacing w:val="-1"/>
          <w:sz w:val="24"/>
          <w:szCs w:val="24"/>
        </w:rPr>
        <w:t>公路工程专业</w:t>
      </w:r>
      <w:r>
        <w:rPr>
          <w:rFonts w:hint="eastAsia" w:ascii="宋体" w:hAnsi="宋体" w:cs="宋体"/>
          <w:color w:val="auto"/>
          <w:spacing w:val="-1"/>
          <w:sz w:val="24"/>
          <w:szCs w:val="24"/>
          <w:lang w:val="en-US" w:eastAsia="zh-CN"/>
        </w:rPr>
        <w:t>中</w:t>
      </w:r>
      <w:r>
        <w:rPr>
          <w:rFonts w:hint="eastAsia" w:ascii="宋体" w:hAnsi="宋体" w:eastAsia="宋体" w:cs="宋体"/>
          <w:color w:val="auto"/>
          <w:spacing w:val="-1"/>
          <w:sz w:val="24"/>
          <w:szCs w:val="24"/>
        </w:rPr>
        <w:t>级</w:t>
      </w:r>
      <w:r>
        <w:rPr>
          <w:rFonts w:hint="eastAsia" w:ascii="宋体" w:hAnsi="宋体" w:cs="宋体"/>
          <w:color w:val="auto"/>
          <w:spacing w:val="-1"/>
          <w:sz w:val="24"/>
          <w:szCs w:val="24"/>
          <w:lang w:val="en-US" w:eastAsia="zh-CN"/>
        </w:rPr>
        <w:t>及</w:t>
      </w:r>
      <w:r>
        <w:rPr>
          <w:rFonts w:ascii="宋体" w:hAnsi="宋体" w:eastAsia="宋体" w:cs="宋体"/>
          <w:color w:val="auto"/>
          <w:spacing w:val="-1"/>
          <w:sz w:val="24"/>
          <w:szCs w:val="24"/>
        </w:rPr>
        <w:t>以上技术职称；拟投入施工现场管理人员须具备相关主管部门核发的职称证或岗位证或电子证书，应无在建工程，标书内附加盖公章的复印件</w:t>
      </w:r>
      <w:r>
        <w:rPr>
          <w:rFonts w:hint="eastAsia" w:ascii="宋体" w:hAnsi="宋体" w:cs="宋体"/>
          <w:color w:val="auto"/>
          <w:spacing w:val="-1"/>
          <w:sz w:val="24"/>
          <w:szCs w:val="24"/>
          <w:lang w:eastAsia="zh-CN"/>
        </w:rPr>
        <w:t>。</w:t>
      </w:r>
    </w:p>
    <w:p w14:paraId="1543BC23">
      <w:pPr>
        <w:spacing w:before="182" w:line="219" w:lineRule="auto"/>
        <w:ind w:left="5"/>
        <w:rPr>
          <w:rFonts w:ascii="宋体" w:hAnsi="宋体" w:eastAsia="宋体" w:cs="宋体"/>
          <w:color w:val="auto"/>
          <w:sz w:val="24"/>
          <w:szCs w:val="24"/>
        </w:rPr>
      </w:pPr>
      <w:r>
        <w:rPr>
          <w:rFonts w:ascii="宋体" w:hAnsi="宋体" w:eastAsia="宋体" w:cs="宋体"/>
          <w:color w:val="auto"/>
          <w:spacing w:val="-1"/>
          <w:sz w:val="24"/>
          <w:szCs w:val="24"/>
        </w:rPr>
        <w:t>3.</w:t>
      </w:r>
      <w:r>
        <w:rPr>
          <w:rFonts w:hint="eastAsia" w:ascii="宋体" w:hAnsi="宋体" w:eastAsia="宋体" w:cs="宋体"/>
          <w:color w:val="auto"/>
          <w:spacing w:val="-1"/>
          <w:sz w:val="24"/>
          <w:szCs w:val="24"/>
          <w:lang w:val="en-US" w:eastAsia="zh-CN"/>
        </w:rPr>
        <w:t>3</w:t>
      </w:r>
      <w:r>
        <w:rPr>
          <w:rFonts w:ascii="宋体" w:hAnsi="宋体" w:eastAsia="宋体" w:cs="宋体"/>
          <w:color w:val="auto"/>
          <w:spacing w:val="-1"/>
          <w:sz w:val="24"/>
          <w:szCs w:val="24"/>
        </w:rPr>
        <w:t>拒绝列入政府取消投标资格期间的企业或个人投标。</w:t>
      </w:r>
    </w:p>
    <w:p w14:paraId="02E2B936">
      <w:pPr>
        <w:spacing w:before="181" w:line="336" w:lineRule="auto"/>
        <w:ind w:firstLine="5"/>
        <w:rPr>
          <w:rFonts w:ascii="宋体" w:hAnsi="宋体" w:eastAsia="宋体" w:cs="宋体"/>
          <w:color w:val="auto"/>
          <w:sz w:val="24"/>
          <w:szCs w:val="24"/>
        </w:rPr>
      </w:pPr>
      <w:r>
        <w:rPr>
          <w:rFonts w:ascii="宋体" w:hAnsi="宋体" w:eastAsia="宋体" w:cs="宋体"/>
          <w:color w:val="auto"/>
          <w:spacing w:val="-3"/>
          <w:sz w:val="24"/>
          <w:szCs w:val="24"/>
        </w:rPr>
        <w:t>3.</w:t>
      </w:r>
      <w:r>
        <w:rPr>
          <w:rFonts w:hint="eastAsia" w:ascii="宋体" w:hAnsi="宋体" w:eastAsia="宋体" w:cs="宋体"/>
          <w:color w:val="auto"/>
          <w:spacing w:val="-3"/>
          <w:sz w:val="24"/>
          <w:szCs w:val="24"/>
          <w:lang w:val="en-US" w:eastAsia="zh-CN"/>
        </w:rPr>
        <w:t>4</w:t>
      </w:r>
      <w:r>
        <w:rPr>
          <w:rFonts w:ascii="宋体" w:hAnsi="宋体" w:eastAsia="宋体" w:cs="宋体"/>
          <w:color w:val="auto"/>
          <w:spacing w:val="-3"/>
          <w:sz w:val="24"/>
          <w:szCs w:val="24"/>
        </w:rPr>
        <w:t>对在“信用中国”网站（</w:t>
      </w:r>
      <w:r>
        <w:rPr>
          <w:color w:val="auto"/>
        </w:rPr>
        <w:fldChar w:fldCharType="begin"/>
      </w:r>
      <w:r>
        <w:rPr>
          <w:color w:val="auto"/>
        </w:rPr>
        <w:instrText xml:space="preserve"> HYPERLINK "https://www.creditchina.gov.cn" </w:instrText>
      </w:r>
      <w:r>
        <w:rPr>
          <w:color w:val="auto"/>
        </w:rPr>
        <w:fldChar w:fldCharType="separate"/>
      </w:r>
      <w:r>
        <w:rPr>
          <w:rFonts w:ascii="宋体" w:hAnsi="宋体" w:eastAsia="宋体" w:cs="宋体"/>
          <w:color w:val="auto"/>
          <w:spacing w:val="-3"/>
          <w:sz w:val="24"/>
          <w:szCs w:val="24"/>
        </w:rPr>
        <w:t>www.creditchina.gov</w:t>
      </w:r>
      <w:r>
        <w:rPr>
          <w:rFonts w:ascii="宋体" w:hAnsi="宋体" w:eastAsia="宋体" w:cs="宋体"/>
          <w:color w:val="auto"/>
          <w:spacing w:val="-4"/>
          <w:sz w:val="24"/>
          <w:szCs w:val="24"/>
        </w:rPr>
        <w:t>.cn</w:t>
      </w:r>
      <w:r>
        <w:rPr>
          <w:rFonts w:ascii="宋体" w:hAnsi="宋体" w:eastAsia="宋体" w:cs="宋体"/>
          <w:color w:val="auto"/>
          <w:spacing w:val="-4"/>
          <w:sz w:val="24"/>
          <w:szCs w:val="24"/>
        </w:rPr>
        <w:fldChar w:fldCharType="end"/>
      </w:r>
      <w:r>
        <w:rPr>
          <w:rFonts w:ascii="宋体" w:hAnsi="宋体" w:eastAsia="宋体" w:cs="宋体"/>
          <w:color w:val="auto"/>
          <w:spacing w:val="-4"/>
          <w:sz w:val="24"/>
          <w:szCs w:val="24"/>
        </w:rPr>
        <w:t>）列入重大税收违法失信主体；</w:t>
      </w:r>
      <w:r>
        <w:rPr>
          <w:rFonts w:ascii="宋体" w:hAnsi="宋体" w:eastAsia="宋体" w:cs="宋体"/>
          <w:color w:val="auto"/>
          <w:spacing w:val="-2"/>
          <w:sz w:val="24"/>
          <w:szCs w:val="24"/>
        </w:rPr>
        <w:t>对在中国执行信息公开网（</w:t>
      </w:r>
      <w:r>
        <w:rPr>
          <w:color w:val="auto"/>
        </w:rPr>
        <w:fldChar w:fldCharType="begin"/>
      </w:r>
      <w:r>
        <w:rPr>
          <w:color w:val="auto"/>
        </w:rPr>
        <w:instrText xml:space="preserve"> HYPERLINK "http://zxgk.court.gov.cn" </w:instrText>
      </w:r>
      <w:r>
        <w:rPr>
          <w:color w:val="auto"/>
        </w:rPr>
        <w:fldChar w:fldCharType="separate"/>
      </w:r>
      <w:r>
        <w:rPr>
          <w:rFonts w:ascii="宋体" w:hAnsi="宋体" w:eastAsia="宋体" w:cs="宋体"/>
          <w:color w:val="auto"/>
          <w:spacing w:val="-2"/>
          <w:sz w:val="24"/>
          <w:szCs w:val="24"/>
        </w:rPr>
        <w:t>http://zxgk.court.gov.cn</w:t>
      </w:r>
      <w:r>
        <w:rPr>
          <w:rFonts w:ascii="宋体" w:hAnsi="宋体" w:eastAsia="宋体" w:cs="宋体"/>
          <w:color w:val="auto"/>
          <w:spacing w:val="-2"/>
          <w:sz w:val="24"/>
          <w:szCs w:val="24"/>
        </w:rPr>
        <w:fldChar w:fldCharType="end"/>
      </w:r>
      <w:r>
        <w:rPr>
          <w:rFonts w:ascii="宋体" w:hAnsi="宋体" w:eastAsia="宋体" w:cs="宋体"/>
          <w:color w:val="auto"/>
          <w:spacing w:val="-2"/>
          <w:sz w:val="24"/>
          <w:szCs w:val="24"/>
        </w:rPr>
        <w:t>）列入失信被执行人；</w:t>
      </w:r>
      <w:r>
        <w:rPr>
          <w:rFonts w:ascii="宋体" w:hAnsi="宋体" w:eastAsia="宋体" w:cs="宋体"/>
          <w:color w:val="auto"/>
          <w:spacing w:val="-3"/>
          <w:sz w:val="24"/>
          <w:szCs w:val="24"/>
        </w:rPr>
        <w:t>对在中</w:t>
      </w:r>
      <w:r>
        <w:rPr>
          <w:rFonts w:ascii="宋体" w:hAnsi="宋体" w:eastAsia="宋体" w:cs="宋体"/>
          <w:color w:val="auto"/>
          <w:sz w:val="24"/>
          <w:szCs w:val="24"/>
        </w:rPr>
        <w:t>国政府采购网（</w:t>
      </w:r>
      <w:r>
        <w:rPr>
          <w:color w:val="auto"/>
        </w:rPr>
        <w:fldChar w:fldCharType="begin"/>
      </w:r>
      <w:r>
        <w:rPr>
          <w:color w:val="auto"/>
        </w:rPr>
        <w:instrText xml:space="preserve"> HYPERLINK "https://www.ccgp.gov.cn" </w:instrText>
      </w:r>
      <w:r>
        <w:rPr>
          <w:color w:val="auto"/>
        </w:rPr>
        <w:fldChar w:fldCharType="separate"/>
      </w:r>
      <w:r>
        <w:rPr>
          <w:rFonts w:ascii="宋体" w:hAnsi="宋体" w:eastAsia="宋体" w:cs="宋体"/>
          <w:color w:val="auto"/>
          <w:sz w:val="24"/>
          <w:szCs w:val="24"/>
        </w:rPr>
        <w:t>www.ccgp.gov.cn</w:t>
      </w:r>
      <w:r>
        <w:rPr>
          <w:rFonts w:ascii="宋体" w:hAnsi="宋体" w:eastAsia="宋体" w:cs="宋体"/>
          <w:color w:val="auto"/>
          <w:sz w:val="24"/>
          <w:szCs w:val="24"/>
        </w:rPr>
        <w:fldChar w:fldCharType="end"/>
      </w:r>
      <w:r>
        <w:rPr>
          <w:rFonts w:ascii="宋体" w:hAnsi="宋体" w:eastAsia="宋体" w:cs="宋体"/>
          <w:color w:val="auto"/>
          <w:sz w:val="24"/>
          <w:szCs w:val="24"/>
        </w:rPr>
        <w:t>）列入政府采购严重违法失信行为记录名单及其他</w:t>
      </w:r>
      <w:r>
        <w:rPr>
          <w:rFonts w:ascii="宋体" w:hAnsi="宋体" w:eastAsia="宋体" w:cs="宋体"/>
          <w:color w:val="auto"/>
          <w:spacing w:val="-3"/>
          <w:sz w:val="24"/>
          <w:szCs w:val="24"/>
        </w:rPr>
        <w:t>不符合《中华人民共和国政府采购法》第二十二条规定，不得参加政府采购活动。须</w:t>
      </w:r>
      <w:r>
        <w:rPr>
          <w:rFonts w:ascii="宋体" w:hAnsi="宋体" w:eastAsia="宋体" w:cs="宋体"/>
          <w:color w:val="auto"/>
          <w:spacing w:val="11"/>
          <w:sz w:val="24"/>
          <w:szCs w:val="24"/>
        </w:rPr>
        <w:t>提供本</w:t>
      </w:r>
      <w:r>
        <w:rPr>
          <w:rFonts w:ascii="宋体" w:hAnsi="宋体" w:eastAsia="宋体" w:cs="宋体"/>
          <w:color w:val="auto"/>
          <w:spacing w:val="-53"/>
          <w:sz w:val="24"/>
          <w:szCs w:val="24"/>
        </w:rPr>
        <w:t xml:space="preserve"> </w:t>
      </w:r>
      <w:r>
        <w:rPr>
          <w:rFonts w:ascii="宋体" w:hAnsi="宋体" w:eastAsia="宋体" w:cs="宋体"/>
          <w:color w:val="auto"/>
          <w:spacing w:val="11"/>
          <w:sz w:val="24"/>
          <w:szCs w:val="24"/>
        </w:rPr>
        <w:t>公</w:t>
      </w:r>
      <w:r>
        <w:rPr>
          <w:rFonts w:ascii="宋体" w:hAnsi="宋体" w:eastAsia="宋体" w:cs="宋体"/>
          <w:color w:val="auto"/>
          <w:spacing w:val="-65"/>
          <w:sz w:val="24"/>
          <w:szCs w:val="24"/>
        </w:rPr>
        <w:t xml:space="preserve"> </w:t>
      </w:r>
      <w:r>
        <w:rPr>
          <w:rFonts w:ascii="宋体" w:hAnsi="宋体" w:eastAsia="宋体" w:cs="宋体"/>
          <w:color w:val="auto"/>
          <w:spacing w:val="11"/>
          <w:sz w:val="24"/>
          <w:szCs w:val="24"/>
        </w:rPr>
        <w:t>司及个人（法</w:t>
      </w:r>
      <w:r>
        <w:rPr>
          <w:rFonts w:ascii="宋体" w:hAnsi="宋体" w:eastAsia="宋体" w:cs="宋体"/>
          <w:color w:val="auto"/>
          <w:spacing w:val="-69"/>
          <w:sz w:val="24"/>
          <w:szCs w:val="24"/>
        </w:rPr>
        <w:t xml:space="preserve"> </w:t>
      </w:r>
      <w:r>
        <w:rPr>
          <w:rFonts w:ascii="宋体" w:hAnsi="宋体" w:eastAsia="宋体" w:cs="宋体"/>
          <w:color w:val="auto"/>
          <w:spacing w:val="11"/>
          <w:sz w:val="24"/>
          <w:szCs w:val="24"/>
        </w:rPr>
        <w:t>定代表人</w:t>
      </w:r>
      <w:r>
        <w:rPr>
          <w:rFonts w:ascii="宋体" w:hAnsi="宋体" w:eastAsia="宋体" w:cs="宋体"/>
          <w:color w:val="auto"/>
          <w:spacing w:val="-60"/>
          <w:sz w:val="24"/>
          <w:szCs w:val="24"/>
        </w:rPr>
        <w:t xml:space="preserve"> </w:t>
      </w:r>
      <w:r>
        <w:rPr>
          <w:rFonts w:ascii="宋体" w:hAnsi="宋体" w:eastAsia="宋体" w:cs="宋体"/>
          <w:color w:val="auto"/>
          <w:spacing w:val="11"/>
          <w:sz w:val="24"/>
          <w:szCs w:val="24"/>
        </w:rPr>
        <w:t>、拟委任的项目经理）在中国裁判文</w:t>
      </w:r>
      <w:r>
        <w:rPr>
          <w:rFonts w:ascii="宋体" w:hAnsi="宋体" w:eastAsia="宋体" w:cs="宋体"/>
          <w:color w:val="auto"/>
          <w:spacing w:val="-70"/>
          <w:sz w:val="24"/>
          <w:szCs w:val="24"/>
        </w:rPr>
        <w:t xml:space="preserve"> </w:t>
      </w:r>
      <w:r>
        <w:rPr>
          <w:rFonts w:ascii="宋体" w:hAnsi="宋体" w:eastAsia="宋体" w:cs="宋体"/>
          <w:color w:val="auto"/>
          <w:spacing w:val="11"/>
          <w:sz w:val="24"/>
          <w:szCs w:val="24"/>
        </w:rPr>
        <w:t>书</w:t>
      </w:r>
      <w:r>
        <w:rPr>
          <w:rFonts w:ascii="宋体" w:hAnsi="宋体" w:eastAsia="宋体" w:cs="宋体"/>
          <w:color w:val="auto"/>
          <w:spacing w:val="-56"/>
          <w:sz w:val="24"/>
          <w:szCs w:val="24"/>
        </w:rPr>
        <w:t xml:space="preserve"> </w:t>
      </w:r>
      <w:r>
        <w:rPr>
          <w:rFonts w:ascii="宋体" w:hAnsi="宋体" w:eastAsia="宋体" w:cs="宋体"/>
          <w:color w:val="auto"/>
          <w:spacing w:val="11"/>
          <w:sz w:val="24"/>
          <w:szCs w:val="24"/>
        </w:rPr>
        <w:t>网</w:t>
      </w:r>
      <w:r>
        <w:rPr>
          <w:rFonts w:ascii="宋体" w:hAnsi="宋体" w:eastAsia="宋体" w:cs="宋体"/>
          <w:color w:val="auto"/>
          <w:sz w:val="24"/>
          <w:szCs w:val="24"/>
        </w:rPr>
        <w:t>（wenshu.court.gov.c</w:t>
      </w:r>
      <w:r>
        <w:rPr>
          <w:rFonts w:ascii="宋体" w:hAnsi="宋体" w:eastAsia="宋体" w:cs="宋体"/>
          <w:color w:val="auto"/>
          <w:spacing w:val="-1"/>
          <w:sz w:val="24"/>
          <w:szCs w:val="24"/>
        </w:rPr>
        <w:t>n）无行贿犯罪记录。</w:t>
      </w:r>
    </w:p>
    <w:p w14:paraId="3A523B29">
      <w:pPr>
        <w:spacing w:before="189" w:line="220" w:lineRule="auto"/>
        <w:ind w:left="5"/>
        <w:rPr>
          <w:rFonts w:ascii="宋体" w:hAnsi="宋体" w:eastAsia="宋体" w:cs="宋体"/>
          <w:color w:val="auto"/>
          <w:sz w:val="24"/>
          <w:szCs w:val="24"/>
        </w:rPr>
      </w:pPr>
      <w:r>
        <w:rPr>
          <w:rFonts w:ascii="宋体" w:hAnsi="宋体" w:eastAsia="宋体" w:cs="宋体"/>
          <w:color w:val="auto"/>
          <w:sz w:val="24"/>
          <w:szCs w:val="24"/>
        </w:rPr>
        <w:t>3.</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未被市场监督部门在全国企业信用信息公示</w:t>
      </w:r>
      <w:r>
        <w:rPr>
          <w:rFonts w:ascii="宋体" w:hAnsi="宋体" w:eastAsia="宋体" w:cs="宋体"/>
          <w:color w:val="auto"/>
          <w:spacing w:val="-1"/>
          <w:sz w:val="24"/>
          <w:szCs w:val="24"/>
        </w:rPr>
        <w:t>系统中列入严重违法失信企业名单。</w:t>
      </w:r>
    </w:p>
    <w:p w14:paraId="7703AC6E">
      <w:pPr>
        <w:spacing w:before="181" w:line="314" w:lineRule="auto"/>
        <w:ind w:right="7" w:firstLine="4"/>
        <w:rPr>
          <w:rFonts w:ascii="宋体" w:hAnsi="宋体" w:eastAsia="宋体" w:cs="宋体"/>
          <w:color w:val="auto"/>
          <w:spacing w:val="-2"/>
          <w:sz w:val="24"/>
          <w:szCs w:val="24"/>
        </w:rPr>
      </w:pPr>
      <w:r>
        <w:rPr>
          <w:rFonts w:ascii="宋体" w:hAnsi="宋体" w:eastAsia="宋体" w:cs="宋体"/>
          <w:color w:val="auto"/>
          <w:sz w:val="24"/>
          <w:szCs w:val="24"/>
        </w:rPr>
        <w:t>3.</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与采购人存在利害关系可能影响招标公正性的法人、其他组织或者个人，不得参</w:t>
      </w:r>
      <w:r>
        <w:rPr>
          <w:rFonts w:ascii="宋体" w:hAnsi="宋体" w:eastAsia="宋体" w:cs="宋体"/>
          <w:color w:val="auto"/>
          <w:spacing w:val="-3"/>
          <w:sz w:val="24"/>
          <w:szCs w:val="24"/>
        </w:rPr>
        <w:t>加投标。单位负责人为同一人或者存在控股、管理关系的不同单位，不得参加同一标</w:t>
      </w:r>
      <w:r>
        <w:rPr>
          <w:rFonts w:ascii="宋体" w:hAnsi="宋体" w:eastAsia="宋体" w:cs="宋体"/>
          <w:color w:val="auto"/>
          <w:spacing w:val="-1"/>
          <w:sz w:val="24"/>
          <w:szCs w:val="24"/>
        </w:rPr>
        <w:t>段投标或者未划分标段的同一招标项目投标。违反这两</w:t>
      </w:r>
      <w:r>
        <w:rPr>
          <w:rFonts w:ascii="宋体" w:hAnsi="宋体" w:eastAsia="宋体" w:cs="宋体"/>
          <w:color w:val="auto"/>
          <w:spacing w:val="-2"/>
          <w:sz w:val="24"/>
          <w:szCs w:val="24"/>
        </w:rPr>
        <w:t>款规定的，相关投标均无效。</w:t>
      </w:r>
    </w:p>
    <w:p w14:paraId="4ED11C09">
      <w:pPr>
        <w:spacing w:before="181" w:line="219" w:lineRule="auto"/>
        <w:rPr>
          <w:rFonts w:ascii="宋体" w:hAnsi="宋体" w:eastAsia="宋体" w:cs="宋体"/>
          <w:color w:val="auto"/>
          <w:sz w:val="24"/>
          <w:szCs w:val="24"/>
        </w:rPr>
      </w:pPr>
      <w:r>
        <w:rPr>
          <w:rFonts w:ascii="宋体" w:hAnsi="宋体" w:eastAsia="宋体" w:cs="宋体"/>
          <w:b/>
          <w:bCs/>
          <w:color w:val="auto"/>
          <w:spacing w:val="-3"/>
          <w:sz w:val="24"/>
          <w:szCs w:val="24"/>
        </w:rPr>
        <w:t>三、获取采购文件</w:t>
      </w:r>
    </w:p>
    <w:p w14:paraId="35C060B2">
      <w:pPr>
        <w:spacing w:before="183" w:line="220" w:lineRule="auto"/>
        <w:ind w:left="18"/>
        <w:rPr>
          <w:rFonts w:ascii="宋体" w:hAnsi="宋体" w:eastAsia="宋体" w:cs="宋体"/>
          <w:color w:val="auto"/>
          <w:sz w:val="24"/>
          <w:szCs w:val="24"/>
        </w:rPr>
      </w:pPr>
      <w:r>
        <w:rPr>
          <w:rFonts w:ascii="宋体" w:hAnsi="宋体" w:eastAsia="宋体" w:cs="宋体"/>
          <w:color w:val="auto"/>
          <w:spacing w:val="-1"/>
          <w:sz w:val="24"/>
          <w:szCs w:val="24"/>
        </w:rPr>
        <w:t>1.时间：2026年</w:t>
      </w:r>
      <w:r>
        <w:rPr>
          <w:rFonts w:hint="eastAsia" w:ascii="宋体" w:hAnsi="宋体" w:cs="宋体"/>
          <w:color w:val="auto"/>
          <w:spacing w:val="-1"/>
          <w:sz w:val="24"/>
          <w:szCs w:val="24"/>
          <w:lang w:val="en-US" w:eastAsia="zh-CN"/>
        </w:rPr>
        <w:t>05</w:t>
      </w:r>
      <w:r>
        <w:rPr>
          <w:rFonts w:ascii="宋体" w:hAnsi="宋体" w:eastAsia="宋体" w:cs="宋体"/>
          <w:color w:val="auto"/>
          <w:spacing w:val="-1"/>
          <w:sz w:val="24"/>
          <w:szCs w:val="24"/>
        </w:rPr>
        <w:t>月</w:t>
      </w:r>
      <w:r>
        <w:rPr>
          <w:rFonts w:hint="eastAsia" w:ascii="宋体" w:hAnsi="宋体" w:cs="宋体"/>
          <w:color w:val="auto"/>
          <w:spacing w:val="-1"/>
          <w:sz w:val="24"/>
          <w:szCs w:val="24"/>
          <w:lang w:val="en-US" w:eastAsia="zh-CN"/>
        </w:rPr>
        <w:t>11</w:t>
      </w:r>
      <w:r>
        <w:rPr>
          <w:rFonts w:ascii="宋体" w:hAnsi="宋体" w:eastAsia="宋体" w:cs="宋体"/>
          <w:color w:val="auto"/>
          <w:spacing w:val="-1"/>
          <w:sz w:val="24"/>
          <w:szCs w:val="24"/>
        </w:rPr>
        <w:t>日至2026年</w:t>
      </w:r>
      <w:r>
        <w:rPr>
          <w:rFonts w:hint="eastAsia" w:ascii="宋体" w:hAnsi="宋体" w:cs="宋体"/>
          <w:color w:val="auto"/>
          <w:spacing w:val="-1"/>
          <w:sz w:val="24"/>
          <w:szCs w:val="24"/>
          <w:lang w:val="en-US" w:eastAsia="zh-CN"/>
        </w:rPr>
        <w:t>05</w:t>
      </w:r>
      <w:r>
        <w:rPr>
          <w:rFonts w:hint="eastAsia" w:ascii="宋体" w:hAnsi="宋体" w:eastAsia="宋体" w:cs="宋体"/>
          <w:color w:val="auto"/>
          <w:spacing w:val="-1"/>
          <w:sz w:val="24"/>
          <w:szCs w:val="24"/>
          <w:lang w:val="en-US" w:eastAsia="zh-CN"/>
        </w:rPr>
        <w:t>月</w:t>
      </w:r>
      <w:r>
        <w:rPr>
          <w:rFonts w:hint="eastAsia" w:ascii="宋体" w:hAnsi="宋体" w:cs="宋体"/>
          <w:color w:val="auto"/>
          <w:spacing w:val="-1"/>
          <w:sz w:val="24"/>
          <w:szCs w:val="24"/>
          <w:lang w:val="en-US" w:eastAsia="zh-CN"/>
        </w:rPr>
        <w:t>18</w:t>
      </w:r>
      <w:r>
        <w:rPr>
          <w:rFonts w:ascii="宋体" w:hAnsi="宋体" w:eastAsia="宋体" w:cs="宋体"/>
          <w:color w:val="auto"/>
          <w:spacing w:val="-2"/>
          <w:sz w:val="24"/>
          <w:szCs w:val="24"/>
        </w:rPr>
        <w:t>日。</w:t>
      </w:r>
    </w:p>
    <w:p w14:paraId="3108E734">
      <w:pPr>
        <w:spacing w:before="182" w:line="313" w:lineRule="auto"/>
        <w:ind w:firstLine="3"/>
        <w:rPr>
          <w:rFonts w:ascii="宋体" w:hAnsi="宋体" w:eastAsia="宋体" w:cs="宋体"/>
          <w:color w:val="auto"/>
          <w:sz w:val="24"/>
          <w:szCs w:val="24"/>
        </w:rPr>
      </w:pPr>
      <w:r>
        <w:rPr>
          <w:rFonts w:ascii="宋体" w:hAnsi="宋体" w:eastAsia="宋体" w:cs="宋体"/>
          <w:color w:val="auto"/>
          <w:spacing w:val="-18"/>
          <w:sz w:val="24"/>
          <w:szCs w:val="24"/>
        </w:rPr>
        <w:t>2.获取方式：网上下载。本项目不发放纸质文件，供应商可自行在“政采云”平台（</w:t>
      </w:r>
      <w:r>
        <w:rPr>
          <w:color w:val="auto"/>
        </w:rPr>
        <w:fldChar w:fldCharType="begin"/>
      </w:r>
      <w:r>
        <w:rPr>
          <w:color w:val="auto"/>
        </w:rPr>
        <w:instrText xml:space="preserve"> HYPERLINK "http：" </w:instrText>
      </w:r>
      <w:r>
        <w:rPr>
          <w:color w:val="auto"/>
        </w:rPr>
        <w:fldChar w:fldCharType="separate"/>
      </w:r>
      <w:r>
        <w:rPr>
          <w:rFonts w:ascii="宋体" w:hAnsi="宋体" w:eastAsia="宋体" w:cs="宋体"/>
          <w:color w:val="auto"/>
          <w:spacing w:val="-18"/>
          <w:sz w:val="24"/>
          <w:szCs w:val="24"/>
        </w:rPr>
        <w:t>http：</w:t>
      </w:r>
      <w:r>
        <w:rPr>
          <w:rFonts w:ascii="宋体" w:hAnsi="宋体" w:eastAsia="宋体" w:cs="宋体"/>
          <w:color w:val="auto"/>
          <w:spacing w:val="-18"/>
          <w:sz w:val="24"/>
          <w:szCs w:val="24"/>
        </w:rPr>
        <w:fldChar w:fldCharType="end"/>
      </w:r>
      <w:r>
        <w:rPr>
          <w:rFonts w:ascii="宋体" w:hAnsi="宋体" w:eastAsia="宋体" w:cs="宋体"/>
          <w:color w:val="auto"/>
          <w:spacing w:val="9"/>
          <w:sz w:val="24"/>
          <w:szCs w:val="24"/>
        </w:rPr>
        <w:t xml:space="preserve"> </w:t>
      </w:r>
      <w:r>
        <w:rPr>
          <w:rFonts w:ascii="宋体" w:hAnsi="宋体" w:eastAsia="宋体" w:cs="宋体"/>
          <w:color w:val="auto"/>
          <w:sz w:val="24"/>
          <w:szCs w:val="24"/>
        </w:rPr>
        <w:t>//</w:t>
      </w:r>
      <w:r>
        <w:rPr>
          <w:color w:val="auto"/>
        </w:rPr>
        <w:fldChar w:fldCharType="begin"/>
      </w:r>
      <w:r>
        <w:rPr>
          <w:color w:val="auto"/>
        </w:rPr>
        <w:instrText xml:space="preserve"> HYPERLINK "https://www.zcygov.cn" </w:instrText>
      </w:r>
      <w:r>
        <w:rPr>
          <w:color w:val="auto"/>
        </w:rPr>
        <w:fldChar w:fldCharType="separate"/>
      </w:r>
      <w:r>
        <w:rPr>
          <w:rFonts w:ascii="宋体" w:hAnsi="宋体" w:eastAsia="宋体" w:cs="宋体"/>
          <w:color w:val="auto"/>
          <w:sz w:val="24"/>
          <w:szCs w:val="24"/>
        </w:rPr>
        <w:t>www.zcygov.cn</w:t>
      </w:r>
      <w:r>
        <w:rPr>
          <w:rFonts w:ascii="宋体" w:hAnsi="宋体" w:eastAsia="宋体" w:cs="宋体"/>
          <w:color w:val="auto"/>
          <w:sz w:val="24"/>
          <w:szCs w:val="24"/>
        </w:rPr>
        <w:fldChar w:fldCharType="end"/>
      </w:r>
      <w:r>
        <w:rPr>
          <w:rFonts w:ascii="宋体" w:hAnsi="宋体" w:eastAsia="宋体" w:cs="宋体"/>
          <w:color w:val="auto"/>
          <w:sz w:val="24"/>
          <w:szCs w:val="24"/>
        </w:rPr>
        <w:t>）下载采购文件（操作路径：登录“政采云”平台-项目采购-获取</w:t>
      </w:r>
      <w:r>
        <w:rPr>
          <w:rFonts w:ascii="宋体" w:hAnsi="宋体" w:eastAsia="宋体" w:cs="宋体"/>
          <w:color w:val="auto"/>
          <w:spacing w:val="-4"/>
          <w:sz w:val="24"/>
          <w:szCs w:val="24"/>
        </w:rPr>
        <w:t>采购文件-找到本项目-点击“</w:t>
      </w:r>
      <w:r>
        <w:rPr>
          <w:rFonts w:ascii="宋体" w:hAnsi="宋体" w:eastAsia="宋体" w:cs="宋体"/>
          <w:color w:val="auto"/>
          <w:spacing w:val="-62"/>
          <w:sz w:val="24"/>
          <w:szCs w:val="24"/>
        </w:rPr>
        <w:t xml:space="preserve"> </w:t>
      </w:r>
      <w:r>
        <w:rPr>
          <w:rFonts w:ascii="宋体" w:hAnsi="宋体" w:eastAsia="宋体" w:cs="宋体"/>
          <w:color w:val="auto"/>
          <w:spacing w:val="-4"/>
          <w:sz w:val="24"/>
          <w:szCs w:val="24"/>
        </w:rPr>
        <w:t>申请获取采购文件</w:t>
      </w:r>
      <w:r>
        <w:rPr>
          <w:rFonts w:ascii="宋体" w:hAnsi="宋体" w:eastAsia="宋体" w:cs="宋体"/>
          <w:color w:val="auto"/>
          <w:spacing w:val="-88"/>
          <w:sz w:val="24"/>
          <w:szCs w:val="24"/>
        </w:rPr>
        <w:t xml:space="preserve"> </w:t>
      </w:r>
      <w:r>
        <w:rPr>
          <w:rFonts w:ascii="宋体" w:hAnsi="宋体" w:eastAsia="宋体" w:cs="宋体"/>
          <w:color w:val="auto"/>
          <w:spacing w:val="-4"/>
          <w:sz w:val="24"/>
          <w:szCs w:val="24"/>
        </w:rPr>
        <w:t>”）。</w:t>
      </w:r>
    </w:p>
    <w:p w14:paraId="7FE0A80F">
      <w:pPr>
        <w:spacing w:before="184" w:line="219" w:lineRule="auto"/>
        <w:ind w:left="5"/>
        <w:rPr>
          <w:rFonts w:ascii="宋体" w:hAnsi="宋体" w:eastAsia="宋体" w:cs="宋体"/>
          <w:color w:val="auto"/>
          <w:sz w:val="24"/>
          <w:szCs w:val="24"/>
        </w:rPr>
      </w:pPr>
      <w:r>
        <w:rPr>
          <w:rFonts w:ascii="宋体" w:hAnsi="宋体" w:eastAsia="宋体" w:cs="宋体"/>
          <w:color w:val="auto"/>
          <w:spacing w:val="-1"/>
          <w:sz w:val="24"/>
          <w:szCs w:val="24"/>
        </w:rPr>
        <w:t>3.未进行网上注册并办理CA认证的供应商将无法参与本次招标活动。</w:t>
      </w:r>
    </w:p>
    <w:p w14:paraId="11A66AD5">
      <w:pPr>
        <w:spacing w:before="183" w:line="219" w:lineRule="auto"/>
        <w:rPr>
          <w:rFonts w:ascii="宋体" w:hAnsi="宋体" w:eastAsia="宋体" w:cs="宋体"/>
          <w:color w:val="auto"/>
          <w:sz w:val="24"/>
          <w:szCs w:val="24"/>
        </w:rPr>
      </w:pPr>
      <w:r>
        <w:rPr>
          <w:rFonts w:ascii="宋体" w:hAnsi="宋体" w:eastAsia="宋体" w:cs="宋体"/>
          <w:color w:val="auto"/>
          <w:spacing w:val="-1"/>
          <w:sz w:val="24"/>
          <w:szCs w:val="24"/>
        </w:rPr>
        <w:t>4.有效供应商不足三家时，采购人另行组织采购。</w:t>
      </w:r>
    </w:p>
    <w:p w14:paraId="4224B541">
      <w:pPr>
        <w:spacing w:before="183" w:line="220" w:lineRule="auto"/>
        <w:ind w:left="23"/>
        <w:rPr>
          <w:rFonts w:ascii="宋体" w:hAnsi="宋体" w:eastAsia="宋体" w:cs="宋体"/>
          <w:color w:val="auto"/>
          <w:sz w:val="24"/>
          <w:szCs w:val="24"/>
        </w:rPr>
      </w:pPr>
      <w:r>
        <w:rPr>
          <w:rFonts w:ascii="宋体" w:hAnsi="宋体" w:eastAsia="宋体" w:cs="宋体"/>
          <w:b/>
          <w:bCs/>
          <w:color w:val="auto"/>
          <w:spacing w:val="-6"/>
          <w:sz w:val="24"/>
          <w:szCs w:val="24"/>
        </w:rPr>
        <w:t>四、响应文件提交</w:t>
      </w:r>
    </w:p>
    <w:p w14:paraId="213A2A76">
      <w:pPr>
        <w:spacing w:before="182" w:line="360" w:lineRule="auto"/>
        <w:ind w:left="18"/>
        <w:rPr>
          <w:rFonts w:hint="eastAsia" w:ascii="宋体" w:hAnsi="宋体" w:eastAsia="宋体" w:cs="宋体"/>
          <w:color w:val="auto"/>
          <w:sz w:val="24"/>
          <w:szCs w:val="24"/>
        </w:rPr>
      </w:pPr>
      <w:r>
        <w:rPr>
          <w:rFonts w:hint="eastAsia" w:ascii="宋体" w:hAnsi="宋体" w:eastAsia="宋体" w:cs="宋体"/>
          <w:color w:val="auto"/>
          <w:spacing w:val="-1"/>
          <w:sz w:val="24"/>
          <w:szCs w:val="24"/>
        </w:rPr>
        <w:t>1.截止时间：2026年</w:t>
      </w:r>
      <w:r>
        <w:rPr>
          <w:rFonts w:hint="eastAsia" w:ascii="宋体" w:hAnsi="宋体" w:cs="宋体"/>
          <w:color w:val="auto"/>
          <w:spacing w:val="-1"/>
          <w:sz w:val="24"/>
          <w:szCs w:val="24"/>
          <w:lang w:val="en-US" w:eastAsia="zh-CN"/>
        </w:rPr>
        <w:t>05</w:t>
      </w:r>
      <w:r>
        <w:rPr>
          <w:rFonts w:hint="eastAsia" w:ascii="宋体" w:hAnsi="宋体" w:eastAsia="宋体" w:cs="宋体"/>
          <w:color w:val="auto"/>
          <w:spacing w:val="-1"/>
          <w:sz w:val="24"/>
          <w:szCs w:val="24"/>
        </w:rPr>
        <w:t>月</w:t>
      </w:r>
      <w:r>
        <w:rPr>
          <w:rFonts w:hint="eastAsia" w:ascii="宋体" w:hAnsi="宋体" w:cs="宋体"/>
          <w:color w:val="auto"/>
          <w:spacing w:val="-1"/>
          <w:sz w:val="24"/>
          <w:szCs w:val="24"/>
          <w:lang w:val="en-US" w:eastAsia="zh-CN"/>
        </w:rPr>
        <w:t>21</w:t>
      </w:r>
      <w:r>
        <w:rPr>
          <w:rFonts w:hint="eastAsia" w:ascii="宋体" w:hAnsi="宋体" w:eastAsia="宋体" w:cs="宋体"/>
          <w:color w:val="auto"/>
          <w:spacing w:val="-1"/>
          <w:sz w:val="24"/>
          <w:szCs w:val="24"/>
        </w:rPr>
        <w:t>日</w:t>
      </w:r>
      <w:r>
        <w:rPr>
          <w:rFonts w:hint="eastAsia" w:ascii="宋体" w:hAnsi="宋体" w:cs="宋体"/>
          <w:color w:val="auto"/>
          <w:spacing w:val="-1"/>
          <w:sz w:val="24"/>
          <w:szCs w:val="24"/>
          <w:lang w:val="en-US" w:eastAsia="zh-CN"/>
        </w:rPr>
        <w:t>14</w:t>
      </w:r>
      <w:r>
        <w:rPr>
          <w:rFonts w:hint="eastAsia" w:ascii="宋体" w:hAnsi="宋体" w:eastAsia="宋体" w:cs="宋体"/>
          <w:color w:val="auto"/>
          <w:spacing w:val="-1"/>
          <w:sz w:val="24"/>
          <w:szCs w:val="24"/>
        </w:rPr>
        <w:t>点</w:t>
      </w:r>
      <w:r>
        <w:rPr>
          <w:rFonts w:hint="eastAsia" w:ascii="宋体" w:hAnsi="宋体" w:cs="宋体"/>
          <w:color w:val="auto"/>
          <w:spacing w:val="-1"/>
          <w:sz w:val="24"/>
          <w:szCs w:val="24"/>
          <w:lang w:val="en-US" w:eastAsia="zh-CN"/>
        </w:rPr>
        <w:t>0</w:t>
      </w:r>
      <w:r>
        <w:rPr>
          <w:rFonts w:hint="eastAsia" w:ascii="宋体" w:hAnsi="宋体" w:eastAsia="宋体" w:cs="宋体"/>
          <w:color w:val="auto"/>
          <w:spacing w:val="-1"/>
          <w:sz w:val="24"/>
          <w:szCs w:val="24"/>
        </w:rPr>
        <w:t>0分（北京时间）。</w:t>
      </w:r>
    </w:p>
    <w:p w14:paraId="00BF4425">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地点：舒兰市公共资源交易中心六楼开标室（迎宾大街1号舒兰市市民服务中心604室）；在线开标（请登录政采云投标客户端投标，逾期未上传电子投标文件，将不予受理。本项目执行电子化招投标，投标人须通过政府采购云平台（网址：http:// www.zcygov.cn）递交电子版响应文件。</w:t>
      </w:r>
    </w:p>
    <w:p w14:paraId="215136BE">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3.逾期上传的或者未按照要求加密的响应文件，采购人不予受理。</w:t>
      </w:r>
    </w:p>
    <w:p w14:paraId="6361FA91">
      <w:pPr>
        <w:spacing w:before="182" w:line="222" w:lineRule="auto"/>
        <w:ind w:left="4"/>
        <w:rPr>
          <w:rFonts w:ascii="宋体" w:hAnsi="宋体" w:eastAsia="宋体" w:cs="宋体"/>
          <w:color w:val="auto"/>
          <w:sz w:val="24"/>
          <w:szCs w:val="24"/>
        </w:rPr>
      </w:pPr>
      <w:bookmarkStart w:id="3" w:name="bookmark16"/>
      <w:bookmarkEnd w:id="3"/>
      <w:r>
        <w:rPr>
          <w:rFonts w:ascii="宋体" w:hAnsi="宋体" w:eastAsia="宋体" w:cs="宋体"/>
          <w:b/>
          <w:bCs/>
          <w:color w:val="auto"/>
          <w:spacing w:val="-6"/>
          <w:sz w:val="24"/>
          <w:szCs w:val="24"/>
        </w:rPr>
        <w:t>五、开启</w:t>
      </w:r>
    </w:p>
    <w:p w14:paraId="38F20667">
      <w:pPr>
        <w:spacing w:before="180" w:line="220" w:lineRule="auto"/>
        <w:ind w:left="18"/>
        <w:rPr>
          <w:rFonts w:ascii="宋体" w:hAnsi="宋体" w:eastAsia="宋体" w:cs="宋体"/>
          <w:color w:val="auto"/>
          <w:sz w:val="24"/>
          <w:szCs w:val="24"/>
        </w:rPr>
      </w:pPr>
      <w:r>
        <w:rPr>
          <w:rFonts w:ascii="宋体" w:hAnsi="宋体" w:eastAsia="宋体" w:cs="宋体"/>
          <w:color w:val="auto"/>
          <w:spacing w:val="-1"/>
          <w:sz w:val="24"/>
          <w:szCs w:val="24"/>
        </w:rPr>
        <w:t>1.时间：</w:t>
      </w:r>
      <w:r>
        <w:rPr>
          <w:rFonts w:hint="eastAsia" w:ascii="宋体" w:hAnsi="宋体" w:eastAsia="宋体" w:cs="宋体"/>
          <w:color w:val="auto"/>
          <w:spacing w:val="-1"/>
          <w:sz w:val="24"/>
          <w:szCs w:val="24"/>
        </w:rPr>
        <w:t>2026年</w:t>
      </w:r>
      <w:r>
        <w:rPr>
          <w:rFonts w:hint="eastAsia" w:cs="宋体"/>
          <w:color w:val="auto"/>
          <w:spacing w:val="-1"/>
          <w:sz w:val="24"/>
          <w:szCs w:val="24"/>
          <w:lang w:val="en-US" w:eastAsia="zh-CN"/>
        </w:rPr>
        <w:t>05</w:t>
      </w:r>
      <w:r>
        <w:rPr>
          <w:rFonts w:hint="eastAsia" w:ascii="宋体" w:hAnsi="宋体" w:eastAsia="宋体" w:cs="宋体"/>
          <w:color w:val="auto"/>
          <w:spacing w:val="-1"/>
          <w:sz w:val="24"/>
          <w:szCs w:val="24"/>
        </w:rPr>
        <w:t>月</w:t>
      </w:r>
      <w:r>
        <w:rPr>
          <w:rFonts w:hint="eastAsia" w:cs="宋体"/>
          <w:color w:val="auto"/>
          <w:spacing w:val="-1"/>
          <w:sz w:val="24"/>
          <w:szCs w:val="24"/>
          <w:lang w:val="en-US" w:eastAsia="zh-CN"/>
        </w:rPr>
        <w:t>21</w:t>
      </w:r>
      <w:r>
        <w:rPr>
          <w:rFonts w:hint="eastAsia" w:ascii="宋体" w:hAnsi="宋体" w:eastAsia="宋体" w:cs="宋体"/>
          <w:color w:val="auto"/>
          <w:spacing w:val="-1"/>
          <w:sz w:val="24"/>
          <w:szCs w:val="24"/>
        </w:rPr>
        <w:t>日</w:t>
      </w:r>
      <w:r>
        <w:rPr>
          <w:rFonts w:hint="eastAsia" w:cs="宋体"/>
          <w:color w:val="auto"/>
          <w:spacing w:val="-1"/>
          <w:sz w:val="24"/>
          <w:szCs w:val="24"/>
          <w:lang w:val="en-US" w:eastAsia="zh-CN"/>
        </w:rPr>
        <w:t>14</w:t>
      </w:r>
      <w:r>
        <w:rPr>
          <w:rFonts w:hint="eastAsia" w:ascii="宋体" w:hAnsi="宋体" w:eastAsia="宋体" w:cs="宋体"/>
          <w:color w:val="auto"/>
          <w:spacing w:val="-1"/>
          <w:sz w:val="24"/>
          <w:szCs w:val="24"/>
        </w:rPr>
        <w:t>点</w:t>
      </w:r>
      <w:r>
        <w:rPr>
          <w:rFonts w:hint="eastAsia" w:cs="宋体"/>
          <w:color w:val="auto"/>
          <w:spacing w:val="-1"/>
          <w:sz w:val="24"/>
          <w:szCs w:val="24"/>
          <w:lang w:val="en-US" w:eastAsia="zh-CN"/>
        </w:rPr>
        <w:t>0</w:t>
      </w:r>
      <w:r>
        <w:rPr>
          <w:rFonts w:hint="eastAsia" w:ascii="宋体" w:hAnsi="宋体" w:eastAsia="宋体" w:cs="宋体"/>
          <w:color w:val="auto"/>
          <w:spacing w:val="-1"/>
          <w:sz w:val="24"/>
          <w:szCs w:val="24"/>
        </w:rPr>
        <w:t>0分（北京时间）</w:t>
      </w:r>
      <w:bookmarkStart w:id="43" w:name="_GoBack"/>
      <w:bookmarkEnd w:id="43"/>
      <w:r>
        <w:rPr>
          <w:rFonts w:ascii="宋体" w:hAnsi="宋体" w:eastAsia="宋体" w:cs="宋体"/>
          <w:color w:val="auto"/>
          <w:spacing w:val="-1"/>
          <w:sz w:val="24"/>
          <w:szCs w:val="24"/>
        </w:rPr>
        <w:t>。</w:t>
      </w:r>
    </w:p>
    <w:p w14:paraId="004DB0DE">
      <w:pPr>
        <w:spacing w:before="182" w:line="290" w:lineRule="auto"/>
        <w:ind w:left="5" w:right="65" w:hanging="2"/>
        <w:rPr>
          <w:rFonts w:ascii="宋体" w:hAnsi="宋体" w:eastAsia="宋体" w:cs="宋体"/>
          <w:color w:val="auto"/>
          <w:sz w:val="24"/>
          <w:szCs w:val="24"/>
        </w:rPr>
      </w:pPr>
      <w:r>
        <w:rPr>
          <w:rFonts w:ascii="宋体" w:hAnsi="宋体" w:eastAsia="宋体" w:cs="宋体"/>
          <w:color w:val="auto"/>
          <w:spacing w:val="3"/>
          <w:sz w:val="24"/>
          <w:szCs w:val="24"/>
        </w:rPr>
        <w:t>2.地点：</w:t>
      </w:r>
      <w:r>
        <w:rPr>
          <w:rFonts w:hint="eastAsia" w:ascii="宋体" w:hAnsi="宋体" w:eastAsia="宋体" w:cs="宋体"/>
          <w:color w:val="auto"/>
          <w:sz w:val="24"/>
          <w:szCs w:val="24"/>
        </w:rPr>
        <w:t>舒兰市公共资源交易中心六楼开标室（迎宾大街1号舒兰市市民服务中心604室）</w:t>
      </w:r>
      <w:r>
        <w:rPr>
          <w:rFonts w:ascii="宋体" w:hAnsi="宋体" w:eastAsia="宋体" w:cs="宋体"/>
          <w:color w:val="auto"/>
          <w:spacing w:val="-2"/>
          <w:sz w:val="24"/>
          <w:szCs w:val="24"/>
        </w:rPr>
        <w:t>。</w:t>
      </w:r>
    </w:p>
    <w:p w14:paraId="2B7523C8">
      <w:pPr>
        <w:spacing w:before="181" w:line="219" w:lineRule="auto"/>
        <w:ind w:left="2"/>
        <w:rPr>
          <w:rFonts w:ascii="宋体" w:hAnsi="宋体" w:eastAsia="宋体" w:cs="宋体"/>
          <w:color w:val="auto"/>
          <w:sz w:val="24"/>
          <w:szCs w:val="24"/>
        </w:rPr>
      </w:pPr>
      <w:r>
        <w:rPr>
          <w:rFonts w:ascii="宋体" w:hAnsi="宋体" w:eastAsia="宋体" w:cs="宋体"/>
          <w:b/>
          <w:bCs/>
          <w:color w:val="auto"/>
          <w:spacing w:val="-4"/>
          <w:sz w:val="24"/>
          <w:szCs w:val="24"/>
        </w:rPr>
        <w:t>六、公告期限</w:t>
      </w:r>
    </w:p>
    <w:p w14:paraId="6C031AD0">
      <w:pPr>
        <w:spacing w:before="183" w:line="219" w:lineRule="auto"/>
        <w:ind w:left="40"/>
        <w:rPr>
          <w:rFonts w:ascii="宋体" w:hAnsi="宋体" w:eastAsia="宋体" w:cs="宋体"/>
          <w:color w:val="auto"/>
          <w:sz w:val="24"/>
          <w:szCs w:val="24"/>
        </w:rPr>
      </w:pPr>
      <w:r>
        <w:rPr>
          <w:rFonts w:ascii="宋体" w:hAnsi="宋体" w:eastAsia="宋体" w:cs="宋体"/>
          <w:color w:val="auto"/>
          <w:spacing w:val="-4"/>
          <w:sz w:val="24"/>
          <w:szCs w:val="24"/>
        </w:rPr>
        <w:t>自本公告发布之日起</w:t>
      </w:r>
      <w:r>
        <w:rPr>
          <w:rFonts w:hint="eastAsia" w:ascii="宋体" w:hAnsi="宋体" w:eastAsia="宋体" w:cs="宋体"/>
          <w:color w:val="auto"/>
          <w:spacing w:val="-4"/>
          <w:sz w:val="24"/>
          <w:szCs w:val="24"/>
          <w:lang w:val="en-US" w:eastAsia="zh-CN"/>
        </w:rPr>
        <w:t>3</w:t>
      </w:r>
      <w:r>
        <w:rPr>
          <w:rFonts w:ascii="宋体" w:hAnsi="宋体" w:eastAsia="宋体" w:cs="宋体"/>
          <w:color w:val="auto"/>
          <w:spacing w:val="-4"/>
          <w:sz w:val="24"/>
          <w:szCs w:val="24"/>
        </w:rPr>
        <w:t>个工作日。</w:t>
      </w:r>
    </w:p>
    <w:p w14:paraId="0BA9D3CA">
      <w:pPr>
        <w:spacing w:before="183" w:line="221" w:lineRule="auto"/>
        <w:rPr>
          <w:rFonts w:ascii="宋体" w:hAnsi="宋体" w:eastAsia="宋体" w:cs="宋体"/>
          <w:color w:val="auto"/>
          <w:sz w:val="24"/>
          <w:szCs w:val="24"/>
        </w:rPr>
      </w:pPr>
      <w:r>
        <w:rPr>
          <w:rFonts w:ascii="宋体" w:hAnsi="宋体" w:eastAsia="宋体" w:cs="宋体"/>
          <w:b/>
          <w:bCs/>
          <w:color w:val="auto"/>
          <w:spacing w:val="-3"/>
          <w:sz w:val="24"/>
          <w:szCs w:val="24"/>
        </w:rPr>
        <w:t>七、其他补充事宜</w:t>
      </w:r>
    </w:p>
    <w:p w14:paraId="3957AD96">
      <w:pPr>
        <w:spacing w:before="180" w:line="290" w:lineRule="auto"/>
        <w:ind w:left="12" w:firstLine="6"/>
        <w:rPr>
          <w:rFonts w:ascii="宋体" w:hAnsi="宋体" w:eastAsia="宋体" w:cs="宋体"/>
          <w:color w:val="auto"/>
          <w:sz w:val="24"/>
          <w:szCs w:val="24"/>
        </w:rPr>
      </w:pPr>
      <w:r>
        <w:rPr>
          <w:rFonts w:ascii="宋体" w:hAnsi="宋体" w:eastAsia="宋体" w:cs="宋体"/>
          <w:color w:val="auto"/>
          <w:spacing w:val="-4"/>
          <w:sz w:val="24"/>
          <w:szCs w:val="24"/>
        </w:rPr>
        <w:t>1.按照财政部财库</w:t>
      </w:r>
      <w:r>
        <w:rPr>
          <w:rFonts w:ascii="宋体" w:hAnsi="宋体" w:eastAsia="宋体" w:cs="宋体"/>
          <w:color w:val="auto"/>
          <w:spacing w:val="47"/>
          <w:sz w:val="24"/>
          <w:szCs w:val="24"/>
        </w:rPr>
        <w:t xml:space="preserve"> </w:t>
      </w:r>
      <w:r>
        <w:rPr>
          <w:rFonts w:ascii="宋体" w:hAnsi="宋体" w:eastAsia="宋体" w:cs="宋体"/>
          <w:color w:val="auto"/>
          <w:spacing w:val="-4"/>
          <w:sz w:val="24"/>
          <w:szCs w:val="24"/>
        </w:rPr>
        <w:t>[2014]68号、[2017]141号、[2019]9号、[2020]46</w:t>
      </w:r>
      <w:r>
        <w:rPr>
          <w:rFonts w:ascii="宋体" w:hAnsi="宋体" w:eastAsia="宋体" w:cs="宋体"/>
          <w:color w:val="auto"/>
          <w:spacing w:val="-5"/>
          <w:sz w:val="24"/>
          <w:szCs w:val="24"/>
        </w:rPr>
        <w:t>号等文件要求，</w:t>
      </w:r>
      <w:r>
        <w:rPr>
          <w:rFonts w:ascii="宋体" w:hAnsi="宋体" w:eastAsia="宋体" w:cs="宋体"/>
          <w:color w:val="auto"/>
          <w:spacing w:val="-1"/>
          <w:sz w:val="24"/>
          <w:szCs w:val="24"/>
        </w:rPr>
        <w:t>需要落实政府采购支持节能环保、中小企业发展等政策。</w:t>
      </w:r>
    </w:p>
    <w:p w14:paraId="177089FE">
      <w:pPr>
        <w:spacing w:before="184" w:line="313" w:lineRule="auto"/>
        <w:ind w:right="65" w:firstLine="3"/>
        <w:rPr>
          <w:rFonts w:ascii="宋体" w:hAnsi="宋体" w:eastAsia="宋体" w:cs="宋体"/>
          <w:color w:val="auto"/>
          <w:sz w:val="24"/>
          <w:szCs w:val="24"/>
        </w:rPr>
      </w:pPr>
      <w:r>
        <w:rPr>
          <w:rFonts w:ascii="宋体" w:hAnsi="宋体" w:eastAsia="宋体" w:cs="宋体"/>
          <w:color w:val="auto"/>
          <w:spacing w:val="-7"/>
          <w:sz w:val="24"/>
          <w:szCs w:val="24"/>
        </w:rPr>
        <w:t>2.本次竞争性磋商公告在“政采云”平台（</w:t>
      </w:r>
      <w:r>
        <w:rPr>
          <w:color w:val="auto"/>
        </w:rPr>
        <w:fldChar w:fldCharType="begin"/>
      </w:r>
      <w:r>
        <w:rPr>
          <w:color w:val="auto"/>
        </w:rPr>
        <w:instrText xml:space="preserve"> HYPERLINK "http://www.zcygov.cn" </w:instrText>
      </w:r>
      <w:r>
        <w:rPr>
          <w:color w:val="auto"/>
        </w:rPr>
        <w:fldChar w:fldCharType="separate"/>
      </w:r>
      <w:r>
        <w:rPr>
          <w:rFonts w:ascii="宋体" w:hAnsi="宋体" w:eastAsia="宋体" w:cs="宋体"/>
          <w:color w:val="auto"/>
          <w:spacing w:val="-7"/>
          <w:sz w:val="24"/>
          <w:szCs w:val="24"/>
        </w:rPr>
        <w:t>http://www.zcygov.cn</w:t>
      </w:r>
      <w:r>
        <w:rPr>
          <w:rFonts w:ascii="宋体" w:hAnsi="宋体" w:eastAsia="宋体" w:cs="宋体"/>
          <w:color w:val="auto"/>
          <w:spacing w:val="-7"/>
          <w:sz w:val="24"/>
          <w:szCs w:val="24"/>
        </w:rPr>
        <w:fldChar w:fldCharType="end"/>
      </w:r>
      <w:r>
        <w:rPr>
          <w:rFonts w:ascii="宋体" w:hAnsi="宋体" w:eastAsia="宋体" w:cs="宋体"/>
          <w:color w:val="auto"/>
          <w:spacing w:val="-7"/>
          <w:sz w:val="24"/>
          <w:szCs w:val="24"/>
        </w:rPr>
        <w:t>）发布，</w:t>
      </w:r>
      <w:r>
        <w:rPr>
          <w:rFonts w:ascii="宋体" w:hAnsi="宋体" w:eastAsia="宋体" w:cs="宋体"/>
          <w:color w:val="auto"/>
          <w:spacing w:val="-8"/>
          <w:sz w:val="24"/>
          <w:szCs w:val="24"/>
        </w:rPr>
        <w:t>并由“政</w:t>
      </w:r>
      <w:r>
        <w:rPr>
          <w:rFonts w:ascii="宋体" w:hAnsi="宋体" w:eastAsia="宋体" w:cs="宋体"/>
          <w:color w:val="auto"/>
          <w:sz w:val="24"/>
          <w:szCs w:val="24"/>
        </w:rPr>
        <w:t>采云”平台(</w:t>
      </w:r>
      <w:r>
        <w:rPr>
          <w:color w:val="auto"/>
        </w:rPr>
        <w:fldChar w:fldCharType="begin"/>
      </w:r>
      <w:r>
        <w:rPr>
          <w:color w:val="auto"/>
        </w:rPr>
        <w:instrText xml:space="preserve"> HYPERLINK "http：//www.zcygov.cn" </w:instrText>
      </w:r>
      <w:r>
        <w:rPr>
          <w:color w:val="auto"/>
        </w:rPr>
        <w:fldChar w:fldCharType="separate"/>
      </w:r>
      <w:r>
        <w:rPr>
          <w:rFonts w:ascii="宋体" w:hAnsi="宋体" w:eastAsia="宋体" w:cs="宋体"/>
          <w:color w:val="auto"/>
          <w:sz w:val="24"/>
          <w:szCs w:val="24"/>
        </w:rPr>
        <w:t>http：//www.zcygov.cn</w:t>
      </w:r>
      <w:r>
        <w:rPr>
          <w:rFonts w:ascii="宋体" w:hAnsi="宋体" w:eastAsia="宋体" w:cs="宋体"/>
          <w:color w:val="auto"/>
          <w:sz w:val="24"/>
          <w:szCs w:val="24"/>
        </w:rPr>
        <w:fldChar w:fldCharType="end"/>
      </w:r>
      <w:r>
        <w:rPr>
          <w:rFonts w:ascii="宋体" w:hAnsi="宋体" w:eastAsia="宋体" w:cs="宋体"/>
          <w:color w:val="auto"/>
          <w:sz w:val="24"/>
          <w:szCs w:val="24"/>
        </w:rPr>
        <w:t>)同步推送至《中国政府采购网》《吉林省政府</w:t>
      </w:r>
      <w:r>
        <w:rPr>
          <w:rFonts w:ascii="宋体" w:hAnsi="宋体" w:eastAsia="宋体" w:cs="宋体"/>
          <w:color w:val="auto"/>
          <w:spacing w:val="-1"/>
          <w:sz w:val="24"/>
          <w:szCs w:val="24"/>
        </w:rPr>
        <w:t>采购网》。</w:t>
      </w:r>
    </w:p>
    <w:p w14:paraId="278639A5">
      <w:pPr>
        <w:spacing w:before="183" w:line="219" w:lineRule="auto"/>
        <w:ind w:left="4"/>
        <w:rPr>
          <w:rFonts w:ascii="宋体" w:hAnsi="宋体" w:eastAsia="宋体" w:cs="宋体"/>
          <w:color w:val="auto"/>
          <w:sz w:val="24"/>
          <w:szCs w:val="24"/>
        </w:rPr>
      </w:pPr>
      <w:r>
        <w:rPr>
          <w:rFonts w:ascii="宋体" w:hAnsi="宋体" w:eastAsia="宋体" w:cs="宋体"/>
          <w:b/>
          <w:bCs/>
          <w:color w:val="auto"/>
          <w:spacing w:val="-3"/>
          <w:sz w:val="24"/>
          <w:szCs w:val="24"/>
        </w:rPr>
        <w:t>八、凡对本次采购提出询问，请按以下方式联系</w:t>
      </w:r>
    </w:p>
    <w:p w14:paraId="7B0F1ABC">
      <w:pPr>
        <w:spacing w:before="183" w:line="219" w:lineRule="auto"/>
        <w:ind w:left="18"/>
        <w:rPr>
          <w:rFonts w:ascii="宋体" w:hAnsi="宋体" w:eastAsia="宋体" w:cs="宋体"/>
          <w:color w:val="auto"/>
          <w:sz w:val="24"/>
          <w:szCs w:val="24"/>
        </w:rPr>
      </w:pPr>
      <w:r>
        <w:rPr>
          <w:rFonts w:ascii="宋体" w:hAnsi="宋体" w:eastAsia="宋体" w:cs="宋体"/>
          <w:color w:val="auto"/>
          <w:spacing w:val="-4"/>
          <w:sz w:val="24"/>
          <w:szCs w:val="24"/>
        </w:rPr>
        <w:t>1.采购人信息</w:t>
      </w:r>
    </w:p>
    <w:p w14:paraId="0AAFA4FE">
      <w:pPr>
        <w:spacing w:before="181" w:line="222" w:lineRule="auto"/>
        <w:ind w:left="1"/>
        <w:rPr>
          <w:rFonts w:hint="eastAsia" w:ascii="宋体" w:hAnsi="宋体" w:eastAsia="宋体" w:cs="宋体"/>
          <w:color w:val="auto"/>
          <w:sz w:val="24"/>
          <w:szCs w:val="24"/>
        </w:rPr>
      </w:pPr>
      <w:r>
        <w:rPr>
          <w:rFonts w:hint="eastAsia" w:ascii="宋体" w:hAnsi="宋体" w:eastAsia="宋体" w:cs="宋体"/>
          <w:color w:val="auto"/>
          <w:sz w:val="24"/>
          <w:szCs w:val="24"/>
        </w:rPr>
        <w:t>名    称：舒兰市朝阳镇人民政府</w:t>
      </w:r>
    </w:p>
    <w:p w14:paraId="222B5B2D">
      <w:pPr>
        <w:spacing w:before="181" w:line="222" w:lineRule="auto"/>
        <w:ind w:left="1"/>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地    址：</w:t>
      </w:r>
      <w:r>
        <w:rPr>
          <w:rFonts w:hint="eastAsia" w:ascii="宋体" w:hAnsi="宋体" w:cs="宋体"/>
          <w:color w:val="auto"/>
          <w:sz w:val="24"/>
          <w:szCs w:val="24"/>
          <w:lang w:eastAsia="zh-CN"/>
        </w:rPr>
        <w:t>吉林市舒兰市</w:t>
      </w:r>
      <w:r>
        <w:rPr>
          <w:rFonts w:hint="eastAsia" w:ascii="宋体" w:hAnsi="宋体" w:cs="宋体"/>
          <w:color w:val="auto"/>
          <w:sz w:val="24"/>
          <w:szCs w:val="24"/>
          <w:lang w:val="en-US" w:eastAsia="zh-CN"/>
        </w:rPr>
        <w:t>303省道</w:t>
      </w:r>
    </w:p>
    <w:p w14:paraId="11D98C20">
      <w:pPr>
        <w:spacing w:before="181" w:line="222" w:lineRule="auto"/>
        <w:ind w:left="1"/>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 系 人：</w:t>
      </w:r>
      <w:r>
        <w:rPr>
          <w:rFonts w:hint="eastAsia" w:ascii="宋体" w:hAnsi="宋体" w:cs="宋体"/>
          <w:color w:val="auto"/>
          <w:sz w:val="24"/>
          <w:szCs w:val="24"/>
          <w:lang w:eastAsia="zh-CN"/>
        </w:rPr>
        <w:t>刘会</w:t>
      </w:r>
    </w:p>
    <w:p w14:paraId="674BA33A">
      <w:pPr>
        <w:spacing w:before="181" w:line="222" w:lineRule="auto"/>
        <w:ind w:left="1"/>
        <w:rPr>
          <w:rFonts w:ascii="宋体" w:hAnsi="宋体" w:eastAsia="宋体" w:cs="宋体"/>
          <w:color w:val="auto"/>
          <w:sz w:val="24"/>
          <w:szCs w:val="24"/>
        </w:rPr>
      </w:pPr>
      <w:r>
        <w:rPr>
          <w:rFonts w:hint="eastAsia" w:ascii="宋体" w:hAnsi="宋体" w:eastAsia="宋体" w:cs="宋体"/>
          <w:color w:val="auto"/>
          <w:sz w:val="24"/>
          <w:szCs w:val="24"/>
        </w:rPr>
        <w:t>联系方式：0432-68902303</w:t>
      </w:r>
    </w:p>
    <w:p w14:paraId="5823EF1E">
      <w:pPr>
        <w:spacing w:before="180" w:line="219" w:lineRule="auto"/>
        <w:ind w:left="3"/>
        <w:rPr>
          <w:rFonts w:ascii="宋体" w:hAnsi="宋体" w:eastAsia="宋体" w:cs="宋体"/>
          <w:color w:val="auto"/>
          <w:sz w:val="24"/>
          <w:szCs w:val="24"/>
        </w:rPr>
      </w:pPr>
      <w:r>
        <w:rPr>
          <w:rFonts w:ascii="宋体" w:hAnsi="宋体" w:eastAsia="宋体" w:cs="宋体"/>
          <w:color w:val="auto"/>
          <w:spacing w:val="-2"/>
          <w:sz w:val="24"/>
          <w:szCs w:val="24"/>
        </w:rPr>
        <w:t>2.采购代理机构信息</w:t>
      </w:r>
    </w:p>
    <w:p w14:paraId="3958E98E">
      <w:pPr>
        <w:spacing w:before="181" w:line="222" w:lineRule="auto"/>
        <w:ind w:left="1"/>
        <w:rPr>
          <w:rFonts w:hint="eastAsia" w:ascii="宋体" w:hAnsi="宋体" w:eastAsia="宋体" w:cs="宋体"/>
          <w:color w:val="auto"/>
          <w:sz w:val="24"/>
          <w:szCs w:val="24"/>
        </w:rPr>
      </w:pPr>
      <w:r>
        <w:rPr>
          <w:rFonts w:hint="eastAsia" w:ascii="宋体" w:hAnsi="宋体" w:eastAsia="宋体" w:cs="宋体"/>
          <w:color w:val="auto"/>
          <w:sz w:val="24"/>
          <w:szCs w:val="24"/>
        </w:rPr>
        <w:t>采购代理机构名称：吉林省顺展招投标代理有限公司</w:t>
      </w:r>
    </w:p>
    <w:p w14:paraId="60A8C7A3">
      <w:pPr>
        <w:spacing w:before="181" w:line="222" w:lineRule="auto"/>
        <w:ind w:left="1"/>
        <w:rPr>
          <w:rFonts w:hint="eastAsia" w:ascii="宋体" w:hAnsi="宋体" w:eastAsia="宋体" w:cs="宋体"/>
          <w:color w:val="auto"/>
          <w:sz w:val="24"/>
          <w:szCs w:val="24"/>
        </w:rPr>
      </w:pPr>
      <w:r>
        <w:rPr>
          <w:rFonts w:hint="eastAsia" w:ascii="宋体" w:hAnsi="宋体" w:eastAsia="宋体" w:cs="宋体"/>
          <w:color w:val="auto"/>
          <w:sz w:val="24"/>
          <w:szCs w:val="24"/>
        </w:rPr>
        <w:t>地址：长春市南关区永宁路信达·东湾半岛C组团C4号楼408号</w:t>
      </w:r>
    </w:p>
    <w:p w14:paraId="7736A022">
      <w:pPr>
        <w:spacing w:before="181" w:line="222" w:lineRule="auto"/>
        <w:ind w:left="1"/>
        <w:rPr>
          <w:rFonts w:hint="eastAsia" w:ascii="宋体" w:hAnsi="宋体" w:cs="宋体"/>
          <w:color w:val="auto"/>
          <w:sz w:val="24"/>
          <w:szCs w:val="24"/>
          <w:lang w:val="en-US" w:eastAsia="zh-CN"/>
        </w:rPr>
      </w:pPr>
      <w:r>
        <w:rPr>
          <w:rFonts w:hint="eastAsia" w:ascii="宋体" w:hAnsi="宋体" w:eastAsia="宋体" w:cs="宋体"/>
          <w:color w:val="auto"/>
          <w:sz w:val="24"/>
          <w:szCs w:val="24"/>
        </w:rPr>
        <w:t>联系人：李薇薇</w:t>
      </w:r>
    </w:p>
    <w:p w14:paraId="1F7D3054">
      <w:pPr>
        <w:spacing w:before="181" w:line="222" w:lineRule="auto"/>
        <w:ind w:left="1"/>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default" w:ascii="宋体" w:hAnsi="宋体" w:eastAsia="宋体" w:cs="宋体"/>
          <w:b w:val="0"/>
          <w:bCs w:val="0"/>
          <w:color w:val="auto"/>
          <w:sz w:val="21"/>
          <w:szCs w:val="21"/>
          <w:highlight w:val="none"/>
          <w:lang w:val="en-US" w:eastAsia="zh-CN"/>
        </w:rPr>
        <w:t>0431-86663000</w:t>
      </w:r>
    </w:p>
    <w:p w14:paraId="0F59D1AB">
      <w:pPr>
        <w:spacing w:before="180" w:line="221" w:lineRule="auto"/>
        <w:ind w:left="5"/>
        <w:rPr>
          <w:rFonts w:ascii="宋体" w:hAnsi="宋体" w:eastAsia="宋体" w:cs="宋体"/>
          <w:color w:val="auto"/>
          <w:sz w:val="24"/>
          <w:szCs w:val="24"/>
        </w:rPr>
      </w:pPr>
      <w:r>
        <w:rPr>
          <w:rFonts w:ascii="宋体" w:hAnsi="宋体" w:eastAsia="宋体" w:cs="宋体"/>
          <w:color w:val="auto"/>
          <w:spacing w:val="-2"/>
          <w:sz w:val="24"/>
          <w:szCs w:val="24"/>
        </w:rPr>
        <w:t>3.项目联系方式</w:t>
      </w:r>
    </w:p>
    <w:p w14:paraId="36F7581F">
      <w:pPr>
        <w:spacing w:before="181" w:line="221" w:lineRule="auto"/>
        <w:ind w:left="4"/>
        <w:rPr>
          <w:rFonts w:hint="eastAsia" w:ascii="宋体" w:hAnsi="宋体" w:eastAsia="宋体" w:cs="宋体"/>
          <w:color w:val="auto"/>
          <w:sz w:val="24"/>
          <w:szCs w:val="24"/>
          <w:lang w:eastAsia="zh-CN"/>
        </w:rPr>
      </w:pPr>
      <w:r>
        <w:rPr>
          <w:rFonts w:ascii="宋体" w:hAnsi="宋体" w:eastAsia="宋体" w:cs="宋体"/>
          <w:color w:val="auto"/>
          <w:spacing w:val="-2"/>
          <w:sz w:val="24"/>
          <w:szCs w:val="24"/>
        </w:rPr>
        <w:t>项目联系人：</w:t>
      </w:r>
      <w:r>
        <w:rPr>
          <w:rFonts w:hint="eastAsia" w:ascii="宋体" w:hAnsi="宋体" w:eastAsia="宋体" w:cs="宋体"/>
          <w:b w:val="0"/>
          <w:bCs w:val="0"/>
          <w:color w:val="auto"/>
          <w:sz w:val="21"/>
          <w:szCs w:val="21"/>
          <w:highlight w:val="none"/>
          <w:lang w:val="en-US" w:eastAsia="zh-CN"/>
        </w:rPr>
        <w:t>李薇薇</w:t>
      </w:r>
    </w:p>
    <w:p w14:paraId="21EDCEBF">
      <w:pPr>
        <w:spacing w:before="181" w:line="222" w:lineRule="auto"/>
        <w:ind w:left="29"/>
        <w:rPr>
          <w:rFonts w:hint="default" w:ascii="宋体" w:hAnsi="宋体" w:eastAsia="宋体" w:cs="宋体"/>
          <w:color w:val="auto"/>
          <w:sz w:val="24"/>
          <w:szCs w:val="24"/>
          <w:lang w:val="en-US" w:eastAsia="zh-CN"/>
        </w:rPr>
      </w:pPr>
      <w:r>
        <w:rPr>
          <w:rFonts w:ascii="宋体" w:hAnsi="宋体" w:eastAsia="宋体" w:cs="宋体"/>
          <w:color w:val="auto"/>
          <w:spacing w:val="-2"/>
          <w:sz w:val="24"/>
          <w:szCs w:val="24"/>
        </w:rPr>
        <w:t>电     话：</w:t>
      </w:r>
      <w:r>
        <w:rPr>
          <w:rFonts w:hint="default" w:ascii="宋体" w:hAnsi="宋体" w:eastAsia="宋体" w:cs="宋体"/>
          <w:b w:val="0"/>
          <w:bCs w:val="0"/>
          <w:color w:val="auto"/>
          <w:sz w:val="21"/>
          <w:szCs w:val="21"/>
          <w:highlight w:val="none"/>
          <w:lang w:val="en-US" w:eastAsia="zh-CN"/>
        </w:rPr>
        <w:t>0431-86663000</w:t>
      </w:r>
    </w:p>
    <w:p w14:paraId="2BF52AFA">
      <w:pPr>
        <w:numPr>
          <w:ilvl w:val="0"/>
          <w:numId w:val="1"/>
        </w:numPr>
        <w:spacing w:before="180" w:line="219" w:lineRule="auto"/>
        <w:rPr>
          <w:rFonts w:hint="eastAsia" w:ascii="宋体" w:hAnsi="宋体" w:eastAsia="宋体" w:cs="宋体"/>
          <w:b w:val="0"/>
          <w:bCs w:val="0"/>
          <w:color w:val="auto"/>
          <w:sz w:val="24"/>
          <w:szCs w:val="24"/>
          <w:highlight w:val="none"/>
          <w:lang w:val="en-US" w:eastAsia="zh-CN"/>
        </w:rPr>
      </w:pPr>
      <w:r>
        <w:rPr>
          <w:rFonts w:ascii="宋体" w:hAnsi="宋体" w:eastAsia="宋体" w:cs="宋体"/>
          <w:color w:val="auto"/>
          <w:spacing w:val="-1"/>
          <w:sz w:val="24"/>
          <w:szCs w:val="24"/>
        </w:rPr>
        <w:t>监管部门：</w:t>
      </w:r>
      <w:r>
        <w:rPr>
          <w:rFonts w:hint="eastAsia" w:ascii="宋体" w:hAnsi="宋体" w:eastAsia="宋体" w:cs="宋体"/>
          <w:b w:val="0"/>
          <w:bCs w:val="0"/>
          <w:color w:val="auto"/>
          <w:sz w:val="24"/>
          <w:szCs w:val="24"/>
          <w:highlight w:val="none"/>
          <w:lang w:val="en-US" w:eastAsia="zh-CN"/>
        </w:rPr>
        <w:t>舒兰市政府采购办公室</w:t>
      </w:r>
    </w:p>
    <w:p w14:paraId="6DE0A702">
      <w:pPr>
        <w:widowControl w:val="0"/>
        <w:numPr>
          <w:ilvl w:val="0"/>
          <w:numId w:val="0"/>
        </w:numPr>
        <w:kinsoku w:val="0"/>
        <w:autoSpaceDE w:val="0"/>
        <w:autoSpaceDN w:val="0"/>
        <w:adjustRightInd w:val="0"/>
        <w:snapToGrid w:val="0"/>
        <w:spacing w:before="180" w:line="219" w:lineRule="auto"/>
        <w:jc w:val="left"/>
        <w:textAlignment w:val="baseline"/>
        <w:rPr>
          <w:rFonts w:hint="eastAsia" w:ascii="宋体" w:hAnsi="宋体" w:eastAsia="宋体" w:cs="宋体"/>
          <w:b w:val="0"/>
          <w:bCs w:val="0"/>
          <w:color w:val="auto"/>
          <w:sz w:val="24"/>
          <w:szCs w:val="24"/>
          <w:highlight w:val="none"/>
          <w:lang w:val="en-US" w:eastAsia="zh-CN"/>
        </w:rPr>
      </w:pPr>
    </w:p>
    <w:p w14:paraId="2DE12E6D">
      <w:pPr>
        <w:widowControl w:val="0"/>
        <w:numPr>
          <w:ilvl w:val="0"/>
          <w:numId w:val="0"/>
        </w:numPr>
        <w:kinsoku w:val="0"/>
        <w:autoSpaceDE w:val="0"/>
        <w:autoSpaceDN w:val="0"/>
        <w:adjustRightInd w:val="0"/>
        <w:snapToGrid w:val="0"/>
        <w:spacing w:before="180" w:line="219" w:lineRule="auto"/>
        <w:jc w:val="left"/>
        <w:textAlignment w:val="baseline"/>
        <w:rPr>
          <w:rFonts w:hint="eastAsia" w:ascii="宋体" w:hAnsi="宋体" w:eastAsia="宋体" w:cs="宋体"/>
          <w:b w:val="0"/>
          <w:bCs w:val="0"/>
          <w:color w:val="auto"/>
          <w:sz w:val="24"/>
          <w:szCs w:val="24"/>
          <w:highlight w:val="none"/>
          <w:lang w:val="en-US" w:eastAsia="zh-CN"/>
        </w:rPr>
      </w:pPr>
    </w:p>
    <w:p w14:paraId="62D4C45A">
      <w:pPr>
        <w:widowControl w:val="0"/>
        <w:numPr>
          <w:ilvl w:val="0"/>
          <w:numId w:val="0"/>
        </w:numPr>
        <w:kinsoku w:val="0"/>
        <w:autoSpaceDE w:val="0"/>
        <w:autoSpaceDN w:val="0"/>
        <w:adjustRightInd w:val="0"/>
        <w:snapToGrid w:val="0"/>
        <w:spacing w:before="180" w:line="219" w:lineRule="auto"/>
        <w:jc w:val="left"/>
        <w:textAlignment w:val="baseline"/>
        <w:rPr>
          <w:rFonts w:hint="eastAsia" w:ascii="宋体" w:hAnsi="宋体" w:eastAsia="宋体" w:cs="宋体"/>
          <w:b w:val="0"/>
          <w:bCs w:val="0"/>
          <w:color w:val="auto"/>
          <w:sz w:val="24"/>
          <w:szCs w:val="24"/>
          <w:highlight w:val="none"/>
          <w:lang w:val="en-US" w:eastAsia="zh-CN"/>
        </w:rPr>
      </w:pPr>
    </w:p>
    <w:p w14:paraId="1270B59A">
      <w:pPr>
        <w:widowControl w:val="0"/>
        <w:numPr>
          <w:ilvl w:val="0"/>
          <w:numId w:val="0"/>
        </w:numPr>
        <w:kinsoku w:val="0"/>
        <w:autoSpaceDE w:val="0"/>
        <w:autoSpaceDN w:val="0"/>
        <w:adjustRightInd w:val="0"/>
        <w:snapToGrid w:val="0"/>
        <w:spacing w:before="180" w:line="219" w:lineRule="auto"/>
        <w:jc w:val="left"/>
        <w:textAlignment w:val="baseline"/>
        <w:rPr>
          <w:rFonts w:hint="eastAsia" w:ascii="宋体" w:hAnsi="宋体" w:eastAsia="宋体" w:cs="宋体"/>
          <w:b w:val="0"/>
          <w:bCs w:val="0"/>
          <w:color w:val="auto"/>
          <w:sz w:val="24"/>
          <w:szCs w:val="24"/>
          <w:highlight w:val="none"/>
          <w:lang w:val="en-US" w:eastAsia="zh-CN"/>
        </w:rPr>
      </w:pPr>
    </w:p>
    <w:p w14:paraId="56B01DB3">
      <w:pPr>
        <w:widowControl w:val="0"/>
        <w:numPr>
          <w:ilvl w:val="0"/>
          <w:numId w:val="0"/>
        </w:numPr>
        <w:kinsoku w:val="0"/>
        <w:autoSpaceDE w:val="0"/>
        <w:autoSpaceDN w:val="0"/>
        <w:adjustRightInd w:val="0"/>
        <w:snapToGrid w:val="0"/>
        <w:spacing w:before="180" w:line="219" w:lineRule="auto"/>
        <w:jc w:val="left"/>
        <w:textAlignment w:val="baseline"/>
        <w:rPr>
          <w:rFonts w:hint="eastAsia" w:ascii="宋体" w:hAnsi="宋体" w:eastAsia="宋体" w:cs="宋体"/>
          <w:b w:val="0"/>
          <w:bCs w:val="0"/>
          <w:color w:val="auto"/>
          <w:sz w:val="24"/>
          <w:szCs w:val="24"/>
          <w:highlight w:val="none"/>
          <w:lang w:val="en-US" w:eastAsia="zh-CN"/>
        </w:rPr>
      </w:pPr>
    </w:p>
    <w:p w14:paraId="5EAB7246">
      <w:pPr>
        <w:spacing w:before="180" w:line="219" w:lineRule="auto"/>
        <w:rPr>
          <w:rFonts w:hint="eastAsia" w:ascii="宋体" w:hAnsi="宋体" w:eastAsia="宋体" w:cs="宋体"/>
          <w:b w:val="0"/>
          <w:bCs w:val="0"/>
          <w:color w:val="auto"/>
          <w:sz w:val="24"/>
          <w:szCs w:val="24"/>
          <w:highlight w:val="none"/>
          <w:lang w:val="en-US" w:eastAsia="zh-CN"/>
        </w:rPr>
      </w:pPr>
    </w:p>
    <w:p w14:paraId="11A8E140">
      <w:pPr>
        <w:spacing w:before="139" w:line="225" w:lineRule="auto"/>
        <w:ind w:left="1817"/>
        <w:outlineLvl w:val="0"/>
        <w:rPr>
          <w:rFonts w:ascii="宋体" w:hAnsi="宋体" w:eastAsia="宋体" w:cs="宋体"/>
          <w:color w:val="auto"/>
          <w:sz w:val="35"/>
          <w:szCs w:val="35"/>
        </w:rPr>
      </w:pPr>
      <w:bookmarkStart w:id="4" w:name="_Toc23246"/>
      <w:bookmarkStart w:id="5" w:name="_Toc24638"/>
      <w:r>
        <w:rPr>
          <w:rFonts w:ascii="宋体" w:hAnsi="宋体" w:eastAsia="宋体" w:cs="宋体"/>
          <w:b/>
          <w:bCs/>
          <w:color w:val="auto"/>
          <w:spacing w:val="6"/>
          <w:sz w:val="35"/>
          <w:szCs w:val="35"/>
        </w:rPr>
        <w:t>第二章</w:t>
      </w:r>
      <w:r>
        <w:rPr>
          <w:rFonts w:ascii="宋体" w:hAnsi="宋体" w:eastAsia="宋体" w:cs="宋体"/>
          <w:color w:val="auto"/>
          <w:spacing w:val="6"/>
          <w:sz w:val="35"/>
          <w:szCs w:val="35"/>
        </w:rPr>
        <w:t xml:space="preserve"> </w:t>
      </w:r>
      <w:r>
        <w:rPr>
          <w:rFonts w:ascii="宋体" w:hAnsi="宋体" w:eastAsia="宋体" w:cs="宋体"/>
          <w:b/>
          <w:bCs/>
          <w:color w:val="auto"/>
          <w:spacing w:val="6"/>
          <w:sz w:val="35"/>
          <w:szCs w:val="35"/>
        </w:rPr>
        <w:t>供应商须知前附表及供应商须知</w:t>
      </w:r>
      <w:bookmarkEnd w:id="4"/>
      <w:bookmarkEnd w:id="5"/>
    </w:p>
    <w:p w14:paraId="35C52FC2">
      <w:pPr>
        <w:spacing w:before="239" w:line="220" w:lineRule="auto"/>
        <w:ind w:left="3718"/>
        <w:rPr>
          <w:rFonts w:ascii="宋体" w:hAnsi="宋体" w:eastAsia="宋体" w:cs="宋体"/>
          <w:color w:val="auto"/>
          <w:sz w:val="28"/>
          <w:szCs w:val="28"/>
        </w:rPr>
      </w:pPr>
      <w:r>
        <w:rPr>
          <w:rFonts w:ascii="宋体" w:hAnsi="宋体" w:eastAsia="宋体" w:cs="宋体"/>
          <w:b/>
          <w:bCs/>
          <w:color w:val="auto"/>
          <w:spacing w:val="-4"/>
          <w:sz w:val="28"/>
          <w:szCs w:val="28"/>
        </w:rPr>
        <w:t>（一）供应商须知前附表</w:t>
      </w:r>
    </w:p>
    <w:p w14:paraId="0EC33BD4">
      <w:pPr>
        <w:spacing w:line="117" w:lineRule="exact"/>
        <w:rPr>
          <w:color w:val="auto"/>
        </w:rPr>
      </w:pPr>
    </w:p>
    <w:tbl>
      <w:tblPr>
        <w:tblStyle w:val="15"/>
        <w:tblW w:w="98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2165"/>
        <w:gridCol w:w="6965"/>
      </w:tblGrid>
      <w:tr w14:paraId="4F17F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3" w:type="dxa"/>
            <w:vAlign w:val="top"/>
          </w:tcPr>
          <w:p w14:paraId="7723251E">
            <w:pPr>
              <w:pStyle w:val="16"/>
              <w:spacing w:before="211" w:line="222" w:lineRule="auto"/>
              <w:ind w:left="116"/>
              <w:rPr>
                <w:color w:val="auto"/>
              </w:rPr>
            </w:pPr>
            <w:r>
              <w:rPr>
                <w:b/>
                <w:bCs/>
                <w:color w:val="auto"/>
                <w:spacing w:val="-7"/>
              </w:rPr>
              <w:t>序号</w:t>
            </w:r>
          </w:p>
        </w:tc>
        <w:tc>
          <w:tcPr>
            <w:tcW w:w="2165" w:type="dxa"/>
            <w:vAlign w:val="top"/>
          </w:tcPr>
          <w:p w14:paraId="56496F9D">
            <w:pPr>
              <w:pStyle w:val="16"/>
              <w:spacing w:before="221" w:line="220" w:lineRule="auto"/>
              <w:ind w:left="114"/>
              <w:rPr>
                <w:color w:val="auto"/>
              </w:rPr>
            </w:pPr>
            <w:r>
              <w:rPr>
                <w:b/>
                <w:bCs/>
                <w:color w:val="auto"/>
                <w:spacing w:val="-5"/>
              </w:rPr>
              <w:t>条款名称</w:t>
            </w:r>
          </w:p>
        </w:tc>
        <w:tc>
          <w:tcPr>
            <w:tcW w:w="6965" w:type="dxa"/>
            <w:vAlign w:val="top"/>
          </w:tcPr>
          <w:p w14:paraId="29C04B21">
            <w:pPr>
              <w:pStyle w:val="16"/>
              <w:spacing w:before="221" w:line="220" w:lineRule="auto"/>
              <w:ind w:left="116"/>
              <w:rPr>
                <w:color w:val="auto"/>
              </w:rPr>
            </w:pPr>
            <w:r>
              <w:rPr>
                <w:b/>
                <w:bCs/>
                <w:color w:val="auto"/>
                <w:spacing w:val="-5"/>
              </w:rPr>
              <w:t>编列内容</w:t>
            </w:r>
          </w:p>
        </w:tc>
      </w:tr>
      <w:tr w14:paraId="1CBB4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8" w:hRule="atLeast"/>
        </w:trPr>
        <w:tc>
          <w:tcPr>
            <w:tcW w:w="713" w:type="dxa"/>
            <w:vAlign w:val="top"/>
          </w:tcPr>
          <w:p w14:paraId="632A7CBC">
            <w:pPr>
              <w:spacing w:line="245" w:lineRule="auto"/>
              <w:rPr>
                <w:rFonts w:ascii="Arial"/>
                <w:color w:val="auto"/>
                <w:sz w:val="21"/>
              </w:rPr>
            </w:pPr>
          </w:p>
          <w:p w14:paraId="64A4DD99">
            <w:pPr>
              <w:spacing w:line="245" w:lineRule="auto"/>
              <w:rPr>
                <w:rFonts w:ascii="Arial"/>
                <w:color w:val="auto"/>
                <w:sz w:val="21"/>
              </w:rPr>
            </w:pPr>
          </w:p>
          <w:p w14:paraId="1A501F42">
            <w:pPr>
              <w:spacing w:line="245" w:lineRule="auto"/>
              <w:rPr>
                <w:rFonts w:ascii="Arial"/>
                <w:color w:val="auto"/>
                <w:sz w:val="21"/>
              </w:rPr>
            </w:pPr>
          </w:p>
          <w:p w14:paraId="2498D45C">
            <w:pPr>
              <w:pStyle w:val="16"/>
              <w:spacing w:before="78" w:line="242" w:lineRule="auto"/>
              <w:ind w:left="135"/>
              <w:rPr>
                <w:color w:val="auto"/>
              </w:rPr>
            </w:pPr>
            <w:r>
              <w:rPr>
                <w:color w:val="auto"/>
              </w:rPr>
              <w:t>1</w:t>
            </w:r>
          </w:p>
        </w:tc>
        <w:tc>
          <w:tcPr>
            <w:tcW w:w="2165" w:type="dxa"/>
            <w:vAlign w:val="top"/>
          </w:tcPr>
          <w:p w14:paraId="7E73030F">
            <w:pPr>
              <w:spacing w:line="245" w:lineRule="auto"/>
              <w:rPr>
                <w:rFonts w:ascii="Arial"/>
                <w:color w:val="auto"/>
                <w:sz w:val="21"/>
              </w:rPr>
            </w:pPr>
          </w:p>
          <w:p w14:paraId="29B03AD7">
            <w:pPr>
              <w:spacing w:line="245" w:lineRule="auto"/>
              <w:rPr>
                <w:rFonts w:ascii="Arial"/>
                <w:color w:val="auto"/>
                <w:sz w:val="21"/>
              </w:rPr>
            </w:pPr>
          </w:p>
          <w:p w14:paraId="13AEF25D">
            <w:pPr>
              <w:spacing w:line="245" w:lineRule="auto"/>
              <w:rPr>
                <w:rFonts w:ascii="Arial"/>
                <w:color w:val="auto"/>
                <w:sz w:val="21"/>
              </w:rPr>
            </w:pPr>
          </w:p>
          <w:p w14:paraId="469730FA">
            <w:pPr>
              <w:pStyle w:val="16"/>
              <w:spacing w:before="78" w:line="219" w:lineRule="auto"/>
              <w:ind w:left="111"/>
              <w:rPr>
                <w:color w:val="auto"/>
              </w:rPr>
            </w:pPr>
            <w:r>
              <w:rPr>
                <w:color w:val="auto"/>
                <w:spacing w:val="-3"/>
              </w:rPr>
              <w:t>采购人</w:t>
            </w:r>
          </w:p>
        </w:tc>
        <w:tc>
          <w:tcPr>
            <w:tcW w:w="6965" w:type="dxa"/>
            <w:vAlign w:val="top"/>
          </w:tcPr>
          <w:p w14:paraId="728B67D2">
            <w:pPr>
              <w:spacing w:before="181" w:line="222" w:lineRule="auto"/>
              <w:ind w:left="1"/>
              <w:rPr>
                <w:rFonts w:hint="eastAsia" w:ascii="宋体" w:hAnsi="宋体" w:eastAsia="宋体" w:cs="宋体"/>
                <w:color w:val="auto"/>
                <w:sz w:val="24"/>
                <w:szCs w:val="24"/>
              </w:rPr>
            </w:pPr>
            <w:r>
              <w:rPr>
                <w:rFonts w:hint="eastAsia" w:ascii="宋体" w:hAnsi="宋体" w:eastAsia="宋体" w:cs="宋体"/>
                <w:color w:val="auto"/>
                <w:sz w:val="24"/>
                <w:szCs w:val="24"/>
              </w:rPr>
              <w:t>名    称：舒兰市</w:t>
            </w:r>
            <w:r>
              <w:rPr>
                <w:rFonts w:hint="eastAsia" w:ascii="宋体" w:hAnsi="宋体" w:cs="宋体"/>
                <w:color w:val="auto"/>
                <w:sz w:val="24"/>
                <w:szCs w:val="24"/>
                <w:lang w:eastAsia="zh-CN"/>
              </w:rPr>
              <w:t>朝阳镇</w:t>
            </w:r>
            <w:r>
              <w:rPr>
                <w:rFonts w:hint="eastAsia" w:ascii="宋体" w:hAnsi="宋体" w:eastAsia="宋体" w:cs="宋体"/>
                <w:color w:val="auto"/>
                <w:sz w:val="24"/>
                <w:szCs w:val="24"/>
              </w:rPr>
              <w:t>人民政府</w:t>
            </w:r>
          </w:p>
          <w:p w14:paraId="261555AB">
            <w:pPr>
              <w:spacing w:before="181" w:line="222" w:lineRule="auto"/>
              <w:ind w:left="1"/>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地    址：</w:t>
            </w:r>
            <w:r>
              <w:rPr>
                <w:rFonts w:hint="eastAsia" w:ascii="宋体" w:hAnsi="宋体" w:cs="宋体"/>
                <w:color w:val="auto"/>
                <w:sz w:val="24"/>
                <w:szCs w:val="24"/>
                <w:lang w:eastAsia="zh-CN"/>
              </w:rPr>
              <w:t>吉林市舒兰市</w:t>
            </w:r>
            <w:r>
              <w:rPr>
                <w:rFonts w:hint="eastAsia" w:ascii="宋体" w:hAnsi="宋体" w:cs="宋体"/>
                <w:color w:val="auto"/>
                <w:sz w:val="24"/>
                <w:szCs w:val="24"/>
                <w:lang w:val="en-US" w:eastAsia="zh-CN"/>
              </w:rPr>
              <w:t>303省道</w:t>
            </w:r>
          </w:p>
          <w:p w14:paraId="2F180E44">
            <w:pPr>
              <w:spacing w:before="181" w:line="222" w:lineRule="auto"/>
              <w:ind w:left="1"/>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 系 人：</w:t>
            </w:r>
            <w:r>
              <w:rPr>
                <w:rFonts w:hint="eastAsia" w:ascii="宋体" w:hAnsi="宋体" w:cs="宋体"/>
                <w:color w:val="auto"/>
                <w:sz w:val="24"/>
                <w:szCs w:val="24"/>
                <w:lang w:eastAsia="zh-CN"/>
              </w:rPr>
              <w:t>刘会</w:t>
            </w:r>
          </w:p>
          <w:p w14:paraId="6D6EEB6F">
            <w:pPr>
              <w:spacing w:before="181" w:line="222" w:lineRule="auto"/>
              <w:ind w:left="1"/>
              <w:rPr>
                <w:rFonts w:hint="default" w:eastAsia="宋体"/>
                <w:color w:val="auto"/>
                <w:lang w:val="en-US" w:eastAsia="zh-CN"/>
              </w:rPr>
            </w:pPr>
            <w:r>
              <w:rPr>
                <w:rFonts w:hint="eastAsia" w:ascii="宋体" w:hAnsi="宋体" w:eastAsia="宋体" w:cs="宋体"/>
                <w:color w:val="auto"/>
                <w:sz w:val="24"/>
                <w:szCs w:val="24"/>
              </w:rPr>
              <w:t>联系方式：</w:t>
            </w:r>
            <w:r>
              <w:rPr>
                <w:rFonts w:hint="eastAsia" w:ascii="宋体" w:hAnsi="宋体" w:cs="宋体"/>
                <w:color w:val="auto"/>
                <w:sz w:val="24"/>
                <w:szCs w:val="24"/>
                <w:lang w:val="en-US" w:eastAsia="zh-CN"/>
              </w:rPr>
              <w:t>0432-</w:t>
            </w:r>
            <w:r>
              <w:rPr>
                <w:rFonts w:hint="eastAsia" w:ascii="宋体" w:hAnsi="宋体" w:cs="宋体"/>
                <w:color w:val="auto"/>
                <w:spacing w:val="-1"/>
                <w:sz w:val="24"/>
                <w:szCs w:val="24"/>
                <w:lang w:val="en-US" w:eastAsia="zh-CN"/>
              </w:rPr>
              <w:t>68902303</w:t>
            </w:r>
          </w:p>
        </w:tc>
      </w:tr>
      <w:tr w14:paraId="1EC3E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0" w:hRule="atLeast"/>
        </w:trPr>
        <w:tc>
          <w:tcPr>
            <w:tcW w:w="713" w:type="dxa"/>
            <w:vAlign w:val="top"/>
          </w:tcPr>
          <w:p w14:paraId="0CB2A4F9">
            <w:pPr>
              <w:spacing w:line="351" w:lineRule="auto"/>
              <w:rPr>
                <w:rFonts w:ascii="Arial"/>
                <w:color w:val="auto"/>
                <w:sz w:val="21"/>
              </w:rPr>
            </w:pPr>
          </w:p>
          <w:p w14:paraId="76F48990">
            <w:pPr>
              <w:spacing w:line="352" w:lineRule="auto"/>
              <w:rPr>
                <w:rFonts w:ascii="Arial"/>
                <w:color w:val="auto"/>
                <w:sz w:val="21"/>
              </w:rPr>
            </w:pPr>
          </w:p>
          <w:p w14:paraId="77546123">
            <w:pPr>
              <w:pStyle w:val="16"/>
              <w:spacing w:before="78" w:line="242" w:lineRule="auto"/>
              <w:ind w:left="120"/>
              <w:rPr>
                <w:color w:val="auto"/>
              </w:rPr>
            </w:pPr>
            <w:r>
              <w:rPr>
                <w:color w:val="auto"/>
              </w:rPr>
              <w:t>2</w:t>
            </w:r>
          </w:p>
        </w:tc>
        <w:tc>
          <w:tcPr>
            <w:tcW w:w="2165" w:type="dxa"/>
            <w:vAlign w:val="top"/>
          </w:tcPr>
          <w:p w14:paraId="59C27A33">
            <w:pPr>
              <w:spacing w:line="351" w:lineRule="auto"/>
              <w:rPr>
                <w:rFonts w:ascii="Arial"/>
                <w:color w:val="auto"/>
                <w:sz w:val="21"/>
              </w:rPr>
            </w:pPr>
          </w:p>
          <w:p w14:paraId="141EA287">
            <w:pPr>
              <w:spacing w:line="352" w:lineRule="auto"/>
              <w:rPr>
                <w:rFonts w:ascii="Arial"/>
                <w:color w:val="auto"/>
                <w:sz w:val="21"/>
              </w:rPr>
            </w:pPr>
          </w:p>
          <w:p w14:paraId="3E9F3C38">
            <w:pPr>
              <w:pStyle w:val="16"/>
              <w:spacing w:before="78" w:line="219" w:lineRule="auto"/>
              <w:ind w:left="111"/>
              <w:rPr>
                <w:color w:val="auto"/>
              </w:rPr>
            </w:pPr>
            <w:r>
              <w:rPr>
                <w:color w:val="auto"/>
                <w:spacing w:val="-2"/>
              </w:rPr>
              <w:t>采购代理机构</w:t>
            </w:r>
          </w:p>
        </w:tc>
        <w:tc>
          <w:tcPr>
            <w:tcW w:w="6965" w:type="dxa"/>
            <w:vAlign w:val="top"/>
          </w:tcPr>
          <w:p w14:paraId="47D0A4C3">
            <w:pPr>
              <w:spacing w:before="181" w:line="222" w:lineRule="auto"/>
              <w:ind w:left="1"/>
              <w:rPr>
                <w:rFonts w:hint="eastAsia"/>
                <w:color w:val="auto"/>
                <w:sz w:val="24"/>
                <w:szCs w:val="24"/>
              </w:rPr>
            </w:pPr>
            <w:r>
              <w:rPr>
                <w:rFonts w:hint="eastAsia"/>
                <w:color w:val="auto"/>
                <w:sz w:val="24"/>
                <w:szCs w:val="24"/>
              </w:rPr>
              <w:t>名    称：吉林省顺展招投标代理有限公司</w:t>
            </w:r>
          </w:p>
          <w:p w14:paraId="515EC1F0">
            <w:pPr>
              <w:spacing w:before="181" w:line="222" w:lineRule="auto"/>
              <w:ind w:left="1"/>
              <w:rPr>
                <w:rFonts w:hint="eastAsia"/>
                <w:color w:val="auto"/>
                <w:sz w:val="24"/>
                <w:szCs w:val="24"/>
              </w:rPr>
            </w:pPr>
            <w:r>
              <w:rPr>
                <w:rFonts w:hint="eastAsia"/>
                <w:color w:val="auto"/>
                <w:sz w:val="24"/>
                <w:szCs w:val="24"/>
              </w:rPr>
              <w:t>地　　址：长春市南关区永宁路信达·东湾半岛C组团C4号楼408号</w:t>
            </w:r>
          </w:p>
          <w:p w14:paraId="71FE182C">
            <w:pPr>
              <w:spacing w:before="181" w:line="222" w:lineRule="auto"/>
              <w:ind w:left="1"/>
              <w:rPr>
                <w:rFonts w:hint="eastAsia"/>
                <w:color w:val="auto"/>
                <w:sz w:val="24"/>
                <w:szCs w:val="24"/>
              </w:rPr>
            </w:pPr>
            <w:r>
              <w:rPr>
                <w:rFonts w:hint="eastAsia"/>
                <w:color w:val="auto"/>
                <w:sz w:val="24"/>
                <w:szCs w:val="24"/>
              </w:rPr>
              <w:t>联 系 人：李薇薇</w:t>
            </w:r>
          </w:p>
          <w:p w14:paraId="1F396D05">
            <w:pPr>
              <w:spacing w:before="181" w:line="222" w:lineRule="auto"/>
              <w:ind w:left="1"/>
              <w:rPr>
                <w:color w:val="auto"/>
              </w:rPr>
            </w:pPr>
            <w:r>
              <w:rPr>
                <w:rFonts w:hint="eastAsia"/>
                <w:color w:val="auto"/>
                <w:sz w:val="24"/>
                <w:szCs w:val="24"/>
              </w:rPr>
              <w:t>联系方式：0431-86663000</w:t>
            </w:r>
          </w:p>
        </w:tc>
      </w:tr>
      <w:tr w14:paraId="23E29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13" w:type="dxa"/>
            <w:vAlign w:val="top"/>
          </w:tcPr>
          <w:p w14:paraId="1BD8D2BB">
            <w:pPr>
              <w:pStyle w:val="16"/>
              <w:spacing w:before="118" w:line="213" w:lineRule="auto"/>
              <w:ind w:left="122"/>
              <w:rPr>
                <w:color w:val="auto"/>
              </w:rPr>
            </w:pPr>
            <w:r>
              <w:rPr>
                <w:color w:val="auto"/>
              </w:rPr>
              <w:t>3</w:t>
            </w:r>
          </w:p>
        </w:tc>
        <w:tc>
          <w:tcPr>
            <w:tcW w:w="2165" w:type="dxa"/>
            <w:vAlign w:val="top"/>
          </w:tcPr>
          <w:p w14:paraId="73B76D58">
            <w:pPr>
              <w:pStyle w:val="16"/>
              <w:spacing w:before="118" w:line="213" w:lineRule="auto"/>
              <w:ind w:left="116"/>
              <w:rPr>
                <w:color w:val="auto"/>
              </w:rPr>
            </w:pPr>
            <w:r>
              <w:rPr>
                <w:color w:val="auto"/>
                <w:spacing w:val="-4"/>
              </w:rPr>
              <w:t>项目名称</w:t>
            </w:r>
          </w:p>
        </w:tc>
        <w:tc>
          <w:tcPr>
            <w:tcW w:w="6965" w:type="dxa"/>
            <w:vAlign w:val="top"/>
          </w:tcPr>
          <w:p w14:paraId="06431394">
            <w:pPr>
              <w:pStyle w:val="16"/>
              <w:spacing w:before="118" w:line="213" w:lineRule="auto"/>
              <w:ind w:left="115"/>
              <w:rPr>
                <w:rFonts w:hint="eastAsia" w:eastAsia="宋体"/>
                <w:color w:val="auto"/>
                <w:lang w:eastAsia="zh-CN"/>
              </w:rPr>
            </w:pPr>
            <w:r>
              <w:rPr>
                <w:rFonts w:hint="eastAsia"/>
                <w:color w:val="auto"/>
                <w:lang w:val="en-US" w:eastAsia="zh-CN"/>
              </w:rPr>
              <w:t>舒兰市</w:t>
            </w:r>
            <w:r>
              <w:rPr>
                <w:rFonts w:hint="eastAsia" w:eastAsia="宋体"/>
                <w:color w:val="auto"/>
                <w:lang w:eastAsia="zh-CN"/>
              </w:rPr>
              <w:t>朝阳镇新旭村水泥路</w:t>
            </w:r>
            <w:r>
              <w:rPr>
                <w:rFonts w:hint="eastAsia"/>
                <w:color w:val="auto"/>
                <w:lang w:eastAsia="zh-CN"/>
              </w:rPr>
              <w:t>工程</w:t>
            </w:r>
          </w:p>
        </w:tc>
      </w:tr>
      <w:tr w14:paraId="691CF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3" w:type="dxa"/>
            <w:vAlign w:val="top"/>
          </w:tcPr>
          <w:p w14:paraId="5A2496CD">
            <w:pPr>
              <w:pStyle w:val="16"/>
              <w:spacing w:before="200" w:line="242" w:lineRule="auto"/>
              <w:ind w:left="116"/>
              <w:rPr>
                <w:color w:val="auto"/>
              </w:rPr>
            </w:pPr>
            <w:r>
              <w:rPr>
                <w:color w:val="auto"/>
              </w:rPr>
              <w:t>4</w:t>
            </w:r>
          </w:p>
        </w:tc>
        <w:tc>
          <w:tcPr>
            <w:tcW w:w="2165" w:type="dxa"/>
            <w:vAlign w:val="top"/>
          </w:tcPr>
          <w:p w14:paraId="4C37B034">
            <w:pPr>
              <w:pStyle w:val="16"/>
              <w:spacing w:before="199" w:line="222" w:lineRule="auto"/>
              <w:ind w:left="115"/>
              <w:rPr>
                <w:color w:val="auto"/>
              </w:rPr>
            </w:pPr>
            <w:r>
              <w:rPr>
                <w:color w:val="auto"/>
                <w:spacing w:val="-4"/>
              </w:rPr>
              <w:t>建设地点</w:t>
            </w:r>
          </w:p>
        </w:tc>
        <w:tc>
          <w:tcPr>
            <w:tcW w:w="6965" w:type="dxa"/>
            <w:vAlign w:val="top"/>
          </w:tcPr>
          <w:p w14:paraId="025DDAB3">
            <w:pPr>
              <w:pStyle w:val="16"/>
              <w:spacing w:before="200" w:line="219" w:lineRule="auto"/>
              <w:ind w:left="119"/>
              <w:rPr>
                <w:color w:val="auto"/>
              </w:rPr>
            </w:pPr>
            <w:r>
              <w:rPr>
                <w:rFonts w:hint="eastAsia" w:ascii="宋体" w:hAnsi="宋体" w:eastAsia="宋体" w:cs="宋体"/>
                <w:color w:val="auto"/>
                <w:sz w:val="24"/>
                <w:szCs w:val="24"/>
              </w:rPr>
              <w:t>舒兰市</w:t>
            </w:r>
            <w:r>
              <w:rPr>
                <w:rFonts w:hint="eastAsia" w:cs="宋体"/>
                <w:color w:val="auto"/>
                <w:sz w:val="24"/>
                <w:szCs w:val="24"/>
                <w:lang w:eastAsia="zh-CN"/>
              </w:rPr>
              <w:t>朝阳镇</w:t>
            </w:r>
          </w:p>
        </w:tc>
      </w:tr>
      <w:tr w14:paraId="186A7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3" w:type="dxa"/>
            <w:vAlign w:val="top"/>
          </w:tcPr>
          <w:p w14:paraId="3B1D54A3">
            <w:pPr>
              <w:pStyle w:val="16"/>
              <w:spacing w:before="202"/>
              <w:ind w:left="122"/>
              <w:rPr>
                <w:color w:val="auto"/>
              </w:rPr>
            </w:pPr>
            <w:r>
              <w:rPr>
                <w:color w:val="auto"/>
              </w:rPr>
              <w:t>5</w:t>
            </w:r>
          </w:p>
        </w:tc>
        <w:tc>
          <w:tcPr>
            <w:tcW w:w="2165" w:type="dxa"/>
            <w:vAlign w:val="top"/>
          </w:tcPr>
          <w:p w14:paraId="604AC7E7">
            <w:pPr>
              <w:pStyle w:val="16"/>
              <w:spacing w:before="201" w:line="220" w:lineRule="auto"/>
              <w:ind w:left="123"/>
              <w:rPr>
                <w:color w:val="auto"/>
              </w:rPr>
            </w:pPr>
            <w:r>
              <w:rPr>
                <w:color w:val="auto"/>
                <w:spacing w:val="-5"/>
              </w:rPr>
              <w:t>资金来源</w:t>
            </w:r>
          </w:p>
        </w:tc>
        <w:tc>
          <w:tcPr>
            <w:tcW w:w="6965" w:type="dxa"/>
            <w:vAlign w:val="top"/>
          </w:tcPr>
          <w:p w14:paraId="4ADE7ABC">
            <w:pPr>
              <w:pStyle w:val="16"/>
              <w:spacing w:before="201" w:line="222" w:lineRule="auto"/>
              <w:ind w:left="115"/>
              <w:rPr>
                <w:color w:val="auto"/>
              </w:rPr>
            </w:pPr>
            <w:r>
              <w:rPr>
                <w:color w:val="auto"/>
                <w:spacing w:val="-3"/>
              </w:rPr>
              <w:t>财政资金</w:t>
            </w:r>
          </w:p>
        </w:tc>
      </w:tr>
      <w:tr w14:paraId="684AC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3" w:type="dxa"/>
            <w:vAlign w:val="top"/>
          </w:tcPr>
          <w:p w14:paraId="55418EC2">
            <w:pPr>
              <w:pStyle w:val="16"/>
              <w:spacing w:before="201"/>
              <w:ind w:left="119"/>
              <w:rPr>
                <w:color w:val="auto"/>
              </w:rPr>
            </w:pPr>
            <w:r>
              <w:rPr>
                <w:color w:val="auto"/>
              </w:rPr>
              <w:t>6</w:t>
            </w:r>
          </w:p>
        </w:tc>
        <w:tc>
          <w:tcPr>
            <w:tcW w:w="2165" w:type="dxa"/>
            <w:vAlign w:val="top"/>
          </w:tcPr>
          <w:p w14:paraId="08253A98">
            <w:pPr>
              <w:pStyle w:val="16"/>
              <w:spacing w:before="200" w:line="222" w:lineRule="auto"/>
              <w:ind w:left="133"/>
              <w:rPr>
                <w:color w:val="auto"/>
              </w:rPr>
            </w:pPr>
            <w:r>
              <w:rPr>
                <w:color w:val="auto"/>
                <w:spacing w:val="-8"/>
              </w:rPr>
              <w:t>出资比例</w:t>
            </w:r>
          </w:p>
        </w:tc>
        <w:tc>
          <w:tcPr>
            <w:tcW w:w="6965" w:type="dxa"/>
            <w:vAlign w:val="top"/>
          </w:tcPr>
          <w:p w14:paraId="49911772">
            <w:pPr>
              <w:pStyle w:val="16"/>
              <w:spacing w:before="201"/>
              <w:ind w:left="132"/>
              <w:rPr>
                <w:color w:val="auto"/>
              </w:rPr>
            </w:pPr>
            <w:r>
              <w:rPr>
                <w:color w:val="auto"/>
                <w:spacing w:val="-7"/>
              </w:rPr>
              <w:t>100%</w:t>
            </w:r>
          </w:p>
        </w:tc>
      </w:tr>
      <w:tr w14:paraId="3CF83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3" w:type="dxa"/>
            <w:vAlign w:val="top"/>
          </w:tcPr>
          <w:p w14:paraId="2D78ED09">
            <w:pPr>
              <w:pStyle w:val="16"/>
              <w:spacing w:before="200"/>
              <w:ind w:left="123"/>
              <w:rPr>
                <w:color w:val="auto"/>
              </w:rPr>
            </w:pPr>
            <w:r>
              <w:rPr>
                <w:color w:val="auto"/>
              </w:rPr>
              <w:t>7</w:t>
            </w:r>
          </w:p>
        </w:tc>
        <w:tc>
          <w:tcPr>
            <w:tcW w:w="2165" w:type="dxa"/>
            <w:vAlign w:val="top"/>
          </w:tcPr>
          <w:p w14:paraId="22B72E7B">
            <w:pPr>
              <w:pStyle w:val="16"/>
              <w:spacing w:before="199" w:line="221" w:lineRule="auto"/>
              <w:ind w:left="123"/>
              <w:rPr>
                <w:color w:val="auto"/>
              </w:rPr>
            </w:pPr>
            <w:r>
              <w:rPr>
                <w:color w:val="auto"/>
                <w:spacing w:val="-4"/>
              </w:rPr>
              <w:t>资金落实情况</w:t>
            </w:r>
          </w:p>
        </w:tc>
        <w:tc>
          <w:tcPr>
            <w:tcW w:w="6965" w:type="dxa"/>
            <w:vAlign w:val="top"/>
          </w:tcPr>
          <w:p w14:paraId="50D42D9B">
            <w:pPr>
              <w:pStyle w:val="16"/>
              <w:spacing w:before="199" w:line="221" w:lineRule="auto"/>
              <w:ind w:left="141"/>
              <w:rPr>
                <w:color w:val="auto"/>
              </w:rPr>
            </w:pPr>
            <w:r>
              <w:rPr>
                <w:color w:val="auto"/>
                <w:spacing w:val="-12"/>
              </w:rPr>
              <w:t>已落实</w:t>
            </w:r>
          </w:p>
        </w:tc>
      </w:tr>
      <w:tr w14:paraId="5EAF4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3" w:type="dxa"/>
            <w:vAlign w:val="top"/>
          </w:tcPr>
          <w:p w14:paraId="0594FE1B">
            <w:pPr>
              <w:spacing w:line="306" w:lineRule="auto"/>
              <w:rPr>
                <w:rFonts w:ascii="Arial"/>
                <w:color w:val="auto"/>
                <w:sz w:val="21"/>
              </w:rPr>
            </w:pPr>
          </w:p>
          <w:p w14:paraId="2751EA16">
            <w:pPr>
              <w:pStyle w:val="16"/>
              <w:spacing w:before="78"/>
              <w:ind w:left="118"/>
              <w:rPr>
                <w:color w:val="auto"/>
              </w:rPr>
            </w:pPr>
            <w:r>
              <w:rPr>
                <w:color w:val="auto"/>
              </w:rPr>
              <w:t>8</w:t>
            </w:r>
          </w:p>
        </w:tc>
        <w:tc>
          <w:tcPr>
            <w:tcW w:w="2165" w:type="dxa"/>
            <w:vAlign w:val="top"/>
          </w:tcPr>
          <w:p w14:paraId="00BA11BC">
            <w:pPr>
              <w:spacing w:line="306" w:lineRule="auto"/>
              <w:rPr>
                <w:rFonts w:ascii="Arial"/>
                <w:color w:val="auto"/>
                <w:sz w:val="21"/>
              </w:rPr>
            </w:pPr>
          </w:p>
          <w:p w14:paraId="5C0F4C63">
            <w:pPr>
              <w:pStyle w:val="16"/>
              <w:spacing w:before="78" w:line="219" w:lineRule="auto"/>
              <w:ind w:left="111"/>
              <w:rPr>
                <w:color w:val="auto"/>
              </w:rPr>
            </w:pPr>
            <w:r>
              <w:rPr>
                <w:color w:val="auto"/>
                <w:spacing w:val="-3"/>
              </w:rPr>
              <w:t>采购内容</w:t>
            </w:r>
          </w:p>
        </w:tc>
        <w:tc>
          <w:tcPr>
            <w:tcW w:w="6965" w:type="dxa"/>
            <w:vAlign w:val="center"/>
          </w:tcPr>
          <w:p w14:paraId="4E91DA84">
            <w:pPr>
              <w:pStyle w:val="16"/>
              <w:spacing w:before="116" w:line="313" w:lineRule="auto"/>
              <w:ind w:left="116" w:right="108" w:hanging="1"/>
              <w:jc w:val="both"/>
              <w:rPr>
                <w:color w:val="auto"/>
              </w:rPr>
            </w:pPr>
            <w:r>
              <w:rPr>
                <w:rFonts w:hint="eastAsia" w:cs="宋体"/>
                <w:color w:val="auto"/>
                <w:spacing w:val="-2"/>
                <w:sz w:val="24"/>
                <w:szCs w:val="24"/>
                <w:lang w:val="en-US" w:eastAsia="zh-CN"/>
              </w:rPr>
              <w:t>舒兰市</w:t>
            </w:r>
            <w:r>
              <w:rPr>
                <w:rFonts w:hint="eastAsia" w:ascii="宋体" w:hAnsi="宋体" w:eastAsia="宋体" w:cs="宋体"/>
                <w:color w:val="auto"/>
                <w:spacing w:val="-2"/>
                <w:sz w:val="24"/>
                <w:szCs w:val="24"/>
              </w:rPr>
              <w:t>朝阳镇新旭村水泥路工程</w:t>
            </w:r>
            <w:r>
              <w:rPr>
                <w:rFonts w:ascii="宋体" w:hAnsi="宋体" w:eastAsia="宋体" w:cs="宋体"/>
                <w:color w:val="auto"/>
                <w:spacing w:val="-2"/>
                <w:sz w:val="24"/>
                <w:szCs w:val="24"/>
              </w:rPr>
              <w:t>，详见工程量清单</w:t>
            </w:r>
          </w:p>
        </w:tc>
      </w:tr>
      <w:tr w14:paraId="12ACC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3" w:type="dxa"/>
            <w:vAlign w:val="top"/>
          </w:tcPr>
          <w:p w14:paraId="307FFFB4">
            <w:pPr>
              <w:pStyle w:val="16"/>
              <w:spacing w:before="202"/>
              <w:ind w:left="118"/>
              <w:rPr>
                <w:color w:val="auto"/>
              </w:rPr>
            </w:pPr>
            <w:r>
              <w:rPr>
                <w:color w:val="auto"/>
              </w:rPr>
              <w:t>9</w:t>
            </w:r>
          </w:p>
        </w:tc>
        <w:tc>
          <w:tcPr>
            <w:tcW w:w="2165" w:type="dxa"/>
            <w:vAlign w:val="top"/>
          </w:tcPr>
          <w:p w14:paraId="0605BC03">
            <w:pPr>
              <w:pStyle w:val="16"/>
              <w:spacing w:before="201" w:line="221" w:lineRule="auto"/>
              <w:ind w:left="113"/>
              <w:rPr>
                <w:color w:val="auto"/>
              </w:rPr>
            </w:pPr>
            <w:r>
              <w:rPr>
                <w:color w:val="auto"/>
                <w:spacing w:val="-2"/>
              </w:rPr>
              <w:t>合同履行期限</w:t>
            </w:r>
          </w:p>
        </w:tc>
        <w:tc>
          <w:tcPr>
            <w:tcW w:w="6965" w:type="dxa"/>
            <w:vAlign w:val="top"/>
          </w:tcPr>
          <w:p w14:paraId="53806AEE">
            <w:pPr>
              <w:pStyle w:val="16"/>
              <w:spacing w:before="201" w:line="220" w:lineRule="auto"/>
              <w:ind w:left="154"/>
              <w:rPr>
                <w:color w:val="auto"/>
              </w:rPr>
            </w:pPr>
            <w:r>
              <w:rPr>
                <w:color w:val="auto"/>
                <w:spacing w:val="-4"/>
              </w:rPr>
              <w:t>自合同签订后</w:t>
            </w:r>
            <w:r>
              <w:rPr>
                <w:rFonts w:hint="eastAsia"/>
                <w:color w:val="auto"/>
                <w:spacing w:val="-4"/>
                <w:lang w:val="en-US" w:eastAsia="zh-CN"/>
              </w:rPr>
              <w:t>一年内</w:t>
            </w:r>
            <w:r>
              <w:rPr>
                <w:color w:val="auto"/>
                <w:spacing w:val="-4"/>
              </w:rPr>
              <w:t>完成；</w:t>
            </w:r>
          </w:p>
        </w:tc>
      </w:tr>
      <w:tr w14:paraId="77CEE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3" w:type="dxa"/>
            <w:vAlign w:val="top"/>
          </w:tcPr>
          <w:p w14:paraId="4C2D28D7">
            <w:pPr>
              <w:pStyle w:val="16"/>
              <w:spacing w:before="201"/>
              <w:ind w:left="135"/>
              <w:rPr>
                <w:color w:val="auto"/>
              </w:rPr>
            </w:pPr>
            <w:r>
              <w:rPr>
                <w:color w:val="auto"/>
                <w:spacing w:val="-14"/>
              </w:rPr>
              <w:t>10</w:t>
            </w:r>
          </w:p>
        </w:tc>
        <w:tc>
          <w:tcPr>
            <w:tcW w:w="2165" w:type="dxa"/>
            <w:vAlign w:val="top"/>
          </w:tcPr>
          <w:p w14:paraId="1B4A072E">
            <w:pPr>
              <w:pStyle w:val="16"/>
              <w:spacing w:before="200" w:line="221" w:lineRule="auto"/>
              <w:ind w:left="113"/>
              <w:rPr>
                <w:color w:val="auto"/>
              </w:rPr>
            </w:pPr>
            <w:r>
              <w:rPr>
                <w:color w:val="auto"/>
                <w:spacing w:val="-3"/>
              </w:rPr>
              <w:t>质量要求</w:t>
            </w:r>
          </w:p>
        </w:tc>
        <w:tc>
          <w:tcPr>
            <w:tcW w:w="6965" w:type="dxa"/>
            <w:vAlign w:val="top"/>
          </w:tcPr>
          <w:p w14:paraId="3F771975">
            <w:pPr>
              <w:pStyle w:val="16"/>
              <w:spacing w:before="200" w:line="220" w:lineRule="auto"/>
              <w:ind w:left="116"/>
              <w:rPr>
                <w:color w:val="auto"/>
              </w:rPr>
            </w:pPr>
            <w:r>
              <w:rPr>
                <w:color w:val="auto"/>
                <w:spacing w:val="-1"/>
              </w:rPr>
              <w:t>符合国家相关质量验收规范标准的合格标准。</w:t>
            </w:r>
          </w:p>
        </w:tc>
      </w:tr>
      <w:tr w14:paraId="4E3C6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2" w:hRule="atLeast"/>
        </w:trPr>
        <w:tc>
          <w:tcPr>
            <w:tcW w:w="713" w:type="dxa"/>
            <w:vAlign w:val="top"/>
          </w:tcPr>
          <w:p w14:paraId="1D33609F">
            <w:pPr>
              <w:spacing w:line="244" w:lineRule="auto"/>
              <w:rPr>
                <w:rFonts w:ascii="Arial"/>
                <w:color w:val="auto"/>
                <w:sz w:val="21"/>
              </w:rPr>
            </w:pPr>
          </w:p>
          <w:p w14:paraId="03C49FCB">
            <w:pPr>
              <w:spacing w:line="244" w:lineRule="auto"/>
              <w:rPr>
                <w:rFonts w:ascii="Arial"/>
                <w:color w:val="auto"/>
                <w:sz w:val="21"/>
              </w:rPr>
            </w:pPr>
          </w:p>
          <w:p w14:paraId="0423CCC2">
            <w:pPr>
              <w:spacing w:line="245" w:lineRule="auto"/>
              <w:rPr>
                <w:rFonts w:ascii="Arial"/>
                <w:color w:val="auto"/>
                <w:sz w:val="21"/>
              </w:rPr>
            </w:pPr>
          </w:p>
          <w:p w14:paraId="48DA4905">
            <w:pPr>
              <w:spacing w:line="245" w:lineRule="auto"/>
              <w:rPr>
                <w:rFonts w:ascii="Arial"/>
                <w:color w:val="auto"/>
                <w:sz w:val="21"/>
              </w:rPr>
            </w:pPr>
          </w:p>
          <w:p w14:paraId="40F5A4D0">
            <w:pPr>
              <w:spacing w:line="245" w:lineRule="auto"/>
              <w:rPr>
                <w:rFonts w:ascii="Arial"/>
                <w:color w:val="auto"/>
                <w:sz w:val="21"/>
              </w:rPr>
            </w:pPr>
          </w:p>
          <w:p w14:paraId="3E16C5F9">
            <w:pPr>
              <w:spacing w:line="245" w:lineRule="auto"/>
              <w:rPr>
                <w:rFonts w:ascii="Arial"/>
                <w:color w:val="auto"/>
                <w:sz w:val="21"/>
              </w:rPr>
            </w:pPr>
          </w:p>
          <w:p w14:paraId="7216DC45">
            <w:pPr>
              <w:pStyle w:val="16"/>
              <w:spacing w:before="78" w:line="242" w:lineRule="auto"/>
              <w:ind w:left="135"/>
              <w:rPr>
                <w:color w:val="auto"/>
              </w:rPr>
            </w:pPr>
            <w:r>
              <w:rPr>
                <w:color w:val="auto"/>
                <w:spacing w:val="-14"/>
              </w:rPr>
              <w:t>11</w:t>
            </w:r>
          </w:p>
        </w:tc>
        <w:tc>
          <w:tcPr>
            <w:tcW w:w="2165" w:type="dxa"/>
            <w:vAlign w:val="top"/>
          </w:tcPr>
          <w:p w14:paraId="6DD37FFF">
            <w:pPr>
              <w:spacing w:line="254" w:lineRule="auto"/>
              <w:rPr>
                <w:rFonts w:ascii="Arial"/>
                <w:color w:val="auto"/>
                <w:sz w:val="21"/>
              </w:rPr>
            </w:pPr>
          </w:p>
          <w:p w14:paraId="0F8C5631">
            <w:pPr>
              <w:spacing w:line="254" w:lineRule="auto"/>
              <w:rPr>
                <w:rFonts w:ascii="Arial"/>
                <w:color w:val="auto"/>
                <w:sz w:val="21"/>
              </w:rPr>
            </w:pPr>
          </w:p>
          <w:p w14:paraId="1D379B0F">
            <w:pPr>
              <w:spacing w:line="254" w:lineRule="auto"/>
              <w:rPr>
                <w:rFonts w:ascii="Arial"/>
                <w:color w:val="auto"/>
                <w:sz w:val="21"/>
              </w:rPr>
            </w:pPr>
          </w:p>
          <w:p w14:paraId="0980F9FF">
            <w:pPr>
              <w:spacing w:line="254" w:lineRule="auto"/>
              <w:rPr>
                <w:rFonts w:ascii="Arial"/>
                <w:color w:val="auto"/>
                <w:sz w:val="21"/>
              </w:rPr>
            </w:pPr>
          </w:p>
          <w:p w14:paraId="3C8291F0">
            <w:pPr>
              <w:spacing w:line="254" w:lineRule="auto"/>
              <w:rPr>
                <w:rFonts w:ascii="Arial"/>
                <w:color w:val="auto"/>
                <w:sz w:val="21"/>
              </w:rPr>
            </w:pPr>
          </w:p>
          <w:p w14:paraId="22A289C5">
            <w:pPr>
              <w:pStyle w:val="16"/>
              <w:spacing w:before="78" w:line="310" w:lineRule="auto"/>
              <w:ind w:left="121" w:right="147" w:hanging="9"/>
              <w:rPr>
                <w:color w:val="auto"/>
              </w:rPr>
            </w:pPr>
            <w:r>
              <w:rPr>
                <w:color w:val="auto"/>
                <w:spacing w:val="-3"/>
              </w:rPr>
              <w:t>供应商资质条件、</w:t>
            </w:r>
            <w:r>
              <w:rPr>
                <w:color w:val="auto"/>
                <w:spacing w:val="-4"/>
              </w:rPr>
              <w:t>能力和信誉</w:t>
            </w:r>
          </w:p>
        </w:tc>
        <w:tc>
          <w:tcPr>
            <w:tcW w:w="6965" w:type="dxa"/>
            <w:vAlign w:val="top"/>
          </w:tcPr>
          <w:p w14:paraId="4844D8A1">
            <w:pPr>
              <w:pStyle w:val="16"/>
              <w:spacing w:before="114" w:line="347" w:lineRule="auto"/>
              <w:ind w:right="105"/>
              <w:jc w:val="both"/>
              <w:rPr>
                <w:rFonts w:hint="eastAsia"/>
                <w:color w:val="auto"/>
              </w:rPr>
            </w:pPr>
            <w:r>
              <w:rPr>
                <w:rFonts w:hint="eastAsia"/>
                <w:color w:val="auto"/>
              </w:rPr>
              <w:t>1供应商须具备建设行政主管部门颁发的市政公用工程施工总承包贰级或公路工程施工总承包贰级及以上资质，具备有效的安全生产许可证；并在人员、设备、资金等方面具有相应的施工能力。注：①根据《吉林省住房和城乡建设厅关于建筑业企业资质延续有关事宜的通知》(吉建管〔2023〕23号)文件要求，吉林省住建厅核发的建筑业企业总承包叁级、专业承包叁级资质，自2024年7月1日起，原资质许可机关不再受理资质换证申请，相应证书逾期自动作废。</w:t>
            </w:r>
          </w:p>
          <w:p w14:paraId="70599D68">
            <w:pPr>
              <w:pStyle w:val="16"/>
              <w:spacing w:before="114" w:line="347" w:lineRule="auto"/>
              <w:ind w:right="105"/>
              <w:jc w:val="both"/>
              <w:rPr>
                <w:rFonts w:hint="eastAsia"/>
                <w:color w:val="auto"/>
              </w:rPr>
            </w:pPr>
            <w:r>
              <w:rPr>
                <w:rFonts w:hint="eastAsia"/>
                <w:color w:val="auto"/>
              </w:rPr>
              <w:t>②其他省（市）核发的资质涉及有效期届满有效期延续问题的，按照当地建设行政主管部门文件执行。投标文件内须提供当地住房和城乡建设部门官方网站发布的准予延期的文件截图及网址，否则不予认定。</w:t>
            </w:r>
          </w:p>
          <w:p w14:paraId="69CBF20B">
            <w:pPr>
              <w:pStyle w:val="16"/>
              <w:spacing w:before="114" w:line="347" w:lineRule="auto"/>
              <w:ind w:right="105"/>
              <w:jc w:val="both"/>
              <w:rPr>
                <w:rFonts w:hint="eastAsia"/>
                <w:color w:val="auto"/>
              </w:rPr>
            </w:pPr>
            <w:r>
              <w:rPr>
                <w:rFonts w:hint="eastAsia"/>
                <w:color w:val="auto"/>
              </w:rPr>
              <w:t>2供应商拟派出的项目经理须具备市政公用工程专业二级或公路工程专业二级以上注册建造师资格，具备有效的安全生产考核合格证书（B类），且无在建工程；拟派本项目的项目经理及其他管理人员均须为本单位在职人员。技术负责人具备市政公用工程相关专业中级或</w:t>
            </w:r>
            <w:r>
              <w:rPr>
                <w:rFonts w:hint="eastAsia" w:ascii="宋体" w:hAnsi="宋体" w:eastAsia="宋体" w:cs="宋体"/>
                <w:color w:val="auto"/>
                <w:spacing w:val="-1"/>
                <w:sz w:val="24"/>
                <w:szCs w:val="24"/>
              </w:rPr>
              <w:t>公路工程专业</w:t>
            </w:r>
            <w:r>
              <w:rPr>
                <w:rFonts w:hint="eastAsia" w:ascii="宋体" w:hAnsi="宋体" w:cs="宋体"/>
                <w:color w:val="auto"/>
                <w:spacing w:val="-1"/>
                <w:sz w:val="24"/>
                <w:szCs w:val="24"/>
                <w:lang w:val="en-US" w:eastAsia="zh-CN"/>
              </w:rPr>
              <w:t>中</w:t>
            </w:r>
            <w:r>
              <w:rPr>
                <w:rFonts w:hint="eastAsia" w:ascii="宋体" w:hAnsi="宋体" w:eastAsia="宋体" w:cs="宋体"/>
                <w:color w:val="auto"/>
                <w:spacing w:val="-1"/>
                <w:sz w:val="24"/>
                <w:szCs w:val="24"/>
              </w:rPr>
              <w:t>级</w:t>
            </w:r>
            <w:r>
              <w:rPr>
                <w:rFonts w:hint="eastAsia" w:ascii="宋体" w:hAnsi="宋体" w:cs="宋体"/>
                <w:color w:val="auto"/>
                <w:spacing w:val="-1"/>
                <w:sz w:val="24"/>
                <w:szCs w:val="24"/>
                <w:lang w:val="en-US" w:eastAsia="zh-CN"/>
              </w:rPr>
              <w:t>及</w:t>
            </w:r>
            <w:r>
              <w:rPr>
                <w:rFonts w:hint="eastAsia"/>
                <w:color w:val="auto"/>
              </w:rPr>
              <w:t>以上技术职称；拟投入施工现场管理人员须具备相关主管部门核发的职称证或岗位证或电子证书，应无在建工程，标书内附加盖公章的复印件。</w:t>
            </w:r>
          </w:p>
          <w:p w14:paraId="5CEFD566">
            <w:pPr>
              <w:pStyle w:val="16"/>
              <w:spacing w:before="114" w:line="347" w:lineRule="auto"/>
              <w:ind w:right="105"/>
              <w:jc w:val="both"/>
              <w:rPr>
                <w:rFonts w:hint="eastAsia"/>
                <w:color w:val="auto"/>
              </w:rPr>
            </w:pPr>
            <w:r>
              <w:rPr>
                <w:rFonts w:hint="eastAsia"/>
                <w:color w:val="auto"/>
              </w:rPr>
              <w:t>3拒绝列入政府取消投标资格期间的企业或个人投标。</w:t>
            </w:r>
          </w:p>
          <w:p w14:paraId="1ADD307F">
            <w:pPr>
              <w:pStyle w:val="16"/>
              <w:spacing w:before="114" w:line="347" w:lineRule="auto"/>
              <w:ind w:right="105"/>
              <w:jc w:val="both"/>
              <w:rPr>
                <w:rFonts w:hint="eastAsia"/>
                <w:color w:val="auto"/>
              </w:rPr>
            </w:pPr>
            <w:r>
              <w:rPr>
                <w:rFonts w:hint="eastAsia"/>
                <w:color w:val="auto"/>
              </w:rPr>
              <w:t>4对在“信用中国”网站（www.creditchina.gov.cn）列入重大税收违法失信主体；对在中国执行信息公开网（http://zxgk.court.gov.cn）列入失信被执行人；对在中国政府采购网（www.ccgp.gov.cn）列入政府采购严重违法失信行为记录名单及其他不符合《中华人民共和国政府采购法》第二十二条规定，不得参加政府采购活动。须提供本 公 司及个人（法 定代表人 、拟委任的项目经理）在中国裁判文书网（wenshu.court.gov.cn）无行贿犯罪记录。</w:t>
            </w:r>
          </w:p>
          <w:p w14:paraId="1109415F">
            <w:pPr>
              <w:pStyle w:val="16"/>
              <w:spacing w:before="114" w:line="347" w:lineRule="auto"/>
              <w:ind w:right="105"/>
              <w:jc w:val="both"/>
              <w:rPr>
                <w:rFonts w:hint="eastAsia"/>
                <w:color w:val="auto"/>
              </w:rPr>
            </w:pPr>
            <w:r>
              <w:rPr>
                <w:rFonts w:hint="eastAsia"/>
                <w:color w:val="auto"/>
              </w:rPr>
              <w:t>5未被市场监督部门在全国企业信用信息公示系统中列入严重违法失信企业名单。</w:t>
            </w:r>
          </w:p>
          <w:p w14:paraId="6C9311AB">
            <w:pPr>
              <w:pStyle w:val="16"/>
              <w:spacing w:before="114" w:line="347" w:lineRule="auto"/>
              <w:ind w:right="105"/>
              <w:jc w:val="both"/>
              <w:rPr>
                <w:color w:val="auto"/>
              </w:rPr>
            </w:pPr>
            <w:r>
              <w:rPr>
                <w:rFonts w:hint="eastAsia"/>
                <w:color w:val="auto"/>
              </w:rPr>
              <w:t>6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tc>
      </w:tr>
      <w:tr w14:paraId="43187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13" w:type="dxa"/>
            <w:shd w:val="clear" w:color="auto" w:fill="auto"/>
            <w:vAlign w:val="top"/>
          </w:tcPr>
          <w:p w14:paraId="48FAE6F9">
            <w:pPr>
              <w:pStyle w:val="16"/>
              <w:spacing w:before="319" w:line="242" w:lineRule="auto"/>
              <w:ind w:left="135" w:leftChars="0"/>
              <w:rPr>
                <w:rFonts w:ascii="宋体" w:hAnsi="宋体" w:eastAsia="宋体" w:cs="宋体"/>
                <w:snapToGrid w:val="0"/>
                <w:color w:val="auto"/>
                <w:kern w:val="0"/>
                <w:sz w:val="24"/>
                <w:szCs w:val="24"/>
                <w:lang w:val="en-US" w:eastAsia="en-US" w:bidi="ar-SA"/>
              </w:rPr>
            </w:pPr>
            <w:r>
              <w:rPr>
                <w:color w:val="auto"/>
                <w:spacing w:val="-14"/>
              </w:rPr>
              <w:t>12</w:t>
            </w:r>
          </w:p>
        </w:tc>
        <w:tc>
          <w:tcPr>
            <w:tcW w:w="2165" w:type="dxa"/>
            <w:shd w:val="clear" w:color="auto" w:fill="auto"/>
            <w:vAlign w:val="top"/>
          </w:tcPr>
          <w:p w14:paraId="119BF2B7">
            <w:pPr>
              <w:pStyle w:val="16"/>
              <w:spacing w:before="120" w:line="260" w:lineRule="auto"/>
              <w:ind w:left="113" w:leftChars="0" w:right="107" w:rightChars="0" w:firstLine="2" w:firstLineChars="0"/>
              <w:rPr>
                <w:rFonts w:ascii="宋体" w:hAnsi="宋体" w:eastAsia="宋体" w:cs="宋体"/>
                <w:snapToGrid w:val="0"/>
                <w:color w:val="auto"/>
                <w:kern w:val="0"/>
                <w:sz w:val="24"/>
                <w:szCs w:val="24"/>
                <w:lang w:val="en-US" w:eastAsia="en-US" w:bidi="ar-SA"/>
              </w:rPr>
            </w:pPr>
            <w:r>
              <w:rPr>
                <w:color w:val="auto"/>
                <w:spacing w:val="1"/>
              </w:rPr>
              <w:t>是否接受联合体投</w:t>
            </w:r>
            <w:r>
              <w:rPr>
                <w:color w:val="auto"/>
              </w:rPr>
              <w:t>标</w:t>
            </w:r>
          </w:p>
        </w:tc>
        <w:tc>
          <w:tcPr>
            <w:tcW w:w="6965" w:type="dxa"/>
            <w:shd w:val="clear" w:color="auto" w:fill="auto"/>
            <w:vAlign w:val="top"/>
          </w:tcPr>
          <w:p w14:paraId="6A3F72CD">
            <w:pPr>
              <w:pStyle w:val="16"/>
              <w:spacing w:before="120" w:line="222" w:lineRule="auto"/>
              <w:ind w:left="139"/>
              <w:rPr>
                <w:color w:val="auto"/>
              </w:rPr>
            </w:pPr>
            <w:r>
              <w:rPr>
                <w:color w:val="auto"/>
                <w:spacing w:val="-9"/>
              </w:rPr>
              <w:t>■不接受</w:t>
            </w:r>
          </w:p>
          <w:p w14:paraId="58574811">
            <w:pPr>
              <w:pStyle w:val="16"/>
              <w:spacing w:before="110" w:line="214" w:lineRule="auto"/>
              <w:ind w:left="137" w:leftChars="0"/>
              <w:rPr>
                <w:rFonts w:ascii="宋体" w:hAnsi="宋体" w:eastAsia="宋体" w:cs="宋体"/>
                <w:snapToGrid w:val="0"/>
                <w:color w:val="auto"/>
                <w:kern w:val="0"/>
                <w:sz w:val="24"/>
                <w:szCs w:val="24"/>
                <w:lang w:val="en-US" w:eastAsia="en-US" w:bidi="ar-SA"/>
              </w:rPr>
            </w:pPr>
            <w:r>
              <w:rPr>
                <w:rFonts w:ascii="MS UI Gothic" w:hAnsi="MS UI Gothic" w:eastAsia="MS UI Gothic" w:cs="MS UI Gothic"/>
                <w:color w:val="auto"/>
                <w:spacing w:val="-8"/>
              </w:rPr>
              <w:t>□</w:t>
            </w:r>
            <w:r>
              <w:rPr>
                <w:color w:val="auto"/>
                <w:spacing w:val="-8"/>
              </w:rPr>
              <w:t>接受。</w:t>
            </w:r>
          </w:p>
        </w:tc>
      </w:tr>
      <w:tr w14:paraId="33B3A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13" w:type="dxa"/>
            <w:shd w:val="clear" w:color="auto" w:fill="auto"/>
            <w:vAlign w:val="top"/>
          </w:tcPr>
          <w:p w14:paraId="24BD4829">
            <w:pPr>
              <w:spacing w:line="241" w:lineRule="auto"/>
              <w:rPr>
                <w:rFonts w:ascii="Arial"/>
                <w:color w:val="auto"/>
                <w:sz w:val="21"/>
              </w:rPr>
            </w:pPr>
          </w:p>
          <w:p w14:paraId="713FC327">
            <w:pPr>
              <w:pStyle w:val="16"/>
              <w:spacing w:before="78"/>
              <w:ind w:left="135" w:leftChars="0"/>
              <w:rPr>
                <w:rFonts w:ascii="宋体" w:hAnsi="宋体" w:eastAsia="宋体" w:cs="宋体"/>
                <w:snapToGrid w:val="0"/>
                <w:color w:val="auto"/>
                <w:kern w:val="0"/>
                <w:sz w:val="24"/>
                <w:szCs w:val="24"/>
                <w:lang w:val="en-US" w:eastAsia="en-US" w:bidi="ar-SA"/>
              </w:rPr>
            </w:pPr>
            <w:r>
              <w:rPr>
                <w:color w:val="auto"/>
                <w:spacing w:val="-14"/>
              </w:rPr>
              <w:t>13</w:t>
            </w:r>
          </w:p>
        </w:tc>
        <w:tc>
          <w:tcPr>
            <w:tcW w:w="2165" w:type="dxa"/>
            <w:shd w:val="clear" w:color="auto" w:fill="auto"/>
            <w:vAlign w:val="top"/>
          </w:tcPr>
          <w:p w14:paraId="43571B6E">
            <w:pPr>
              <w:rPr>
                <w:rFonts w:ascii="Arial"/>
                <w:color w:val="auto"/>
                <w:sz w:val="21"/>
              </w:rPr>
            </w:pPr>
          </w:p>
          <w:p w14:paraId="090F0C61">
            <w:pPr>
              <w:pStyle w:val="16"/>
              <w:spacing w:before="78" w:line="220" w:lineRule="auto"/>
              <w:ind w:left="113" w:leftChars="0"/>
              <w:rPr>
                <w:rFonts w:ascii="宋体" w:hAnsi="宋体" w:eastAsia="宋体" w:cs="宋体"/>
                <w:snapToGrid w:val="0"/>
                <w:color w:val="auto"/>
                <w:kern w:val="0"/>
                <w:sz w:val="24"/>
                <w:szCs w:val="24"/>
                <w:lang w:val="en-US" w:eastAsia="en-US" w:bidi="ar-SA"/>
              </w:rPr>
            </w:pPr>
            <w:r>
              <w:rPr>
                <w:color w:val="auto"/>
                <w:spacing w:val="-3"/>
              </w:rPr>
              <w:t>踏勘现场</w:t>
            </w:r>
          </w:p>
        </w:tc>
        <w:tc>
          <w:tcPr>
            <w:tcW w:w="6965" w:type="dxa"/>
            <w:shd w:val="clear" w:color="auto" w:fill="auto"/>
            <w:vAlign w:val="top"/>
          </w:tcPr>
          <w:p w14:paraId="1976FEF3">
            <w:pPr>
              <w:pStyle w:val="16"/>
              <w:spacing w:before="117" w:line="262" w:lineRule="auto"/>
              <w:ind w:left="137" w:leftChars="0" w:right="5894" w:rightChars="0" w:firstLine="1" w:firstLineChars="0"/>
              <w:rPr>
                <w:rFonts w:ascii="宋体" w:hAnsi="宋体" w:eastAsia="宋体" w:cs="宋体"/>
                <w:snapToGrid w:val="0"/>
                <w:color w:val="auto"/>
                <w:kern w:val="0"/>
                <w:sz w:val="24"/>
                <w:szCs w:val="24"/>
                <w:lang w:val="en-US" w:eastAsia="en-US" w:bidi="ar-SA"/>
              </w:rPr>
            </w:pPr>
            <w:r>
              <w:rPr>
                <w:color w:val="auto"/>
                <w:spacing w:val="-9"/>
              </w:rPr>
              <w:t>■不组织</w:t>
            </w:r>
            <w:r>
              <w:rPr>
                <w:rFonts w:ascii="MS UI Gothic" w:hAnsi="MS UI Gothic" w:eastAsia="MS UI Gothic" w:cs="MS UI Gothic"/>
                <w:color w:val="auto"/>
                <w:spacing w:val="-11"/>
              </w:rPr>
              <w:t>□</w:t>
            </w:r>
            <w:r>
              <w:rPr>
                <w:color w:val="auto"/>
                <w:spacing w:val="-11"/>
              </w:rPr>
              <w:t>组织</w:t>
            </w:r>
          </w:p>
        </w:tc>
      </w:tr>
      <w:tr w14:paraId="028C9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13" w:type="dxa"/>
            <w:shd w:val="clear" w:color="auto" w:fill="auto"/>
            <w:vAlign w:val="top"/>
          </w:tcPr>
          <w:p w14:paraId="7DB9157A">
            <w:pPr>
              <w:pStyle w:val="16"/>
              <w:spacing w:before="314" w:line="242" w:lineRule="auto"/>
              <w:ind w:left="135" w:leftChars="0"/>
              <w:rPr>
                <w:rFonts w:ascii="宋体" w:hAnsi="宋体" w:eastAsia="宋体" w:cs="宋体"/>
                <w:snapToGrid w:val="0"/>
                <w:color w:val="auto"/>
                <w:kern w:val="0"/>
                <w:sz w:val="24"/>
                <w:szCs w:val="24"/>
                <w:lang w:val="en-US" w:eastAsia="en-US" w:bidi="ar-SA"/>
              </w:rPr>
            </w:pPr>
            <w:r>
              <w:rPr>
                <w:color w:val="auto"/>
                <w:spacing w:val="-14"/>
              </w:rPr>
              <w:t>14</w:t>
            </w:r>
          </w:p>
        </w:tc>
        <w:tc>
          <w:tcPr>
            <w:tcW w:w="2165" w:type="dxa"/>
            <w:shd w:val="clear" w:color="auto" w:fill="auto"/>
            <w:vAlign w:val="top"/>
          </w:tcPr>
          <w:p w14:paraId="20A3B40B">
            <w:pPr>
              <w:pStyle w:val="16"/>
              <w:spacing w:before="315" w:line="219" w:lineRule="auto"/>
              <w:ind w:left="115" w:leftChars="0"/>
              <w:rPr>
                <w:rFonts w:ascii="宋体" w:hAnsi="宋体" w:eastAsia="宋体" w:cs="宋体"/>
                <w:snapToGrid w:val="0"/>
                <w:color w:val="auto"/>
                <w:kern w:val="0"/>
                <w:sz w:val="24"/>
                <w:szCs w:val="24"/>
                <w:lang w:val="en-US" w:eastAsia="en-US" w:bidi="ar-SA"/>
              </w:rPr>
            </w:pPr>
            <w:r>
              <w:rPr>
                <w:color w:val="auto"/>
                <w:spacing w:val="-3"/>
              </w:rPr>
              <w:t>投标预备会</w:t>
            </w:r>
          </w:p>
        </w:tc>
        <w:tc>
          <w:tcPr>
            <w:tcW w:w="6965" w:type="dxa"/>
            <w:shd w:val="clear" w:color="auto" w:fill="auto"/>
            <w:vAlign w:val="top"/>
          </w:tcPr>
          <w:p w14:paraId="6C87288F">
            <w:pPr>
              <w:pStyle w:val="16"/>
              <w:spacing w:before="116" w:line="261" w:lineRule="auto"/>
              <w:ind w:left="139" w:leftChars="0" w:right="5894" w:rightChars="0"/>
              <w:rPr>
                <w:rFonts w:ascii="宋体" w:hAnsi="宋体" w:eastAsia="宋体" w:cs="宋体"/>
                <w:snapToGrid w:val="0"/>
                <w:color w:val="auto"/>
                <w:kern w:val="0"/>
                <w:sz w:val="24"/>
                <w:szCs w:val="24"/>
                <w:lang w:val="en-US" w:eastAsia="en-US" w:bidi="ar-SA"/>
              </w:rPr>
            </w:pPr>
            <w:r>
              <w:rPr>
                <w:color w:val="auto"/>
                <w:spacing w:val="-9"/>
              </w:rPr>
              <w:t>■不召开</w:t>
            </w:r>
            <w:r>
              <w:rPr>
                <w:color w:val="auto"/>
                <w:spacing w:val="-12"/>
              </w:rPr>
              <w:t>□召开</w:t>
            </w:r>
          </w:p>
        </w:tc>
      </w:tr>
    </w:tbl>
    <w:p w14:paraId="130BF29D">
      <w:pPr>
        <w:spacing w:line="91" w:lineRule="auto"/>
        <w:rPr>
          <w:rFonts w:ascii="Arial"/>
          <w:color w:val="auto"/>
          <w:sz w:val="2"/>
        </w:rPr>
      </w:pPr>
    </w:p>
    <w:p w14:paraId="374D572B">
      <w:pPr>
        <w:spacing w:line="91" w:lineRule="auto"/>
        <w:rPr>
          <w:rFonts w:ascii="Arial"/>
          <w:color w:val="auto"/>
          <w:sz w:val="2"/>
        </w:rPr>
      </w:pPr>
    </w:p>
    <w:tbl>
      <w:tblPr>
        <w:tblStyle w:val="15"/>
        <w:tblpPr w:leftFromText="180" w:rightFromText="180" w:vertAnchor="text" w:horzAnchor="page" w:tblpX="1056" w:tblpY="42"/>
        <w:tblOverlap w:val="never"/>
        <w:tblW w:w="984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2165"/>
        <w:gridCol w:w="6965"/>
      </w:tblGrid>
      <w:tr w14:paraId="42243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13" w:type="dxa"/>
            <w:vAlign w:val="top"/>
          </w:tcPr>
          <w:p w14:paraId="792455DE">
            <w:pPr>
              <w:pStyle w:val="16"/>
              <w:spacing w:before="316"/>
              <w:ind w:left="135"/>
              <w:rPr>
                <w:color w:val="auto"/>
              </w:rPr>
            </w:pPr>
            <w:r>
              <w:rPr>
                <w:color w:val="auto"/>
                <w:spacing w:val="-14"/>
              </w:rPr>
              <w:t>15</w:t>
            </w:r>
          </w:p>
        </w:tc>
        <w:tc>
          <w:tcPr>
            <w:tcW w:w="2165" w:type="dxa"/>
            <w:vAlign w:val="top"/>
          </w:tcPr>
          <w:p w14:paraId="736381B4">
            <w:pPr>
              <w:pStyle w:val="16"/>
              <w:spacing w:before="113" w:line="262" w:lineRule="auto"/>
              <w:ind w:left="111" w:right="376"/>
              <w:rPr>
                <w:color w:val="auto"/>
              </w:rPr>
            </w:pPr>
            <w:r>
              <w:rPr>
                <w:color w:val="auto"/>
                <w:spacing w:val="-2"/>
              </w:rPr>
              <w:t>供应商提出问题</w:t>
            </w:r>
            <w:r>
              <w:rPr>
                <w:color w:val="auto"/>
                <w:spacing w:val="-3"/>
              </w:rPr>
              <w:t>截止时间</w:t>
            </w:r>
          </w:p>
        </w:tc>
        <w:tc>
          <w:tcPr>
            <w:tcW w:w="6965" w:type="dxa"/>
            <w:vAlign w:val="top"/>
          </w:tcPr>
          <w:p w14:paraId="69CCDC36">
            <w:pPr>
              <w:pStyle w:val="16"/>
              <w:spacing w:before="316" w:line="220" w:lineRule="auto"/>
              <w:ind w:left="115"/>
              <w:rPr>
                <w:color w:val="auto"/>
              </w:rPr>
            </w:pPr>
            <w:r>
              <w:rPr>
                <w:color w:val="auto"/>
                <w:spacing w:val="-1"/>
              </w:rPr>
              <w:t>提交首次响应文件截止时间5日前</w:t>
            </w:r>
          </w:p>
        </w:tc>
      </w:tr>
      <w:tr w14:paraId="160A5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13" w:type="dxa"/>
            <w:vAlign w:val="top"/>
          </w:tcPr>
          <w:p w14:paraId="1839345F">
            <w:pPr>
              <w:pStyle w:val="16"/>
              <w:spacing w:before="315"/>
              <w:ind w:left="135"/>
              <w:rPr>
                <w:color w:val="auto"/>
              </w:rPr>
            </w:pPr>
            <w:r>
              <w:rPr>
                <w:color w:val="auto"/>
                <w:spacing w:val="-14"/>
              </w:rPr>
              <w:t>16</w:t>
            </w:r>
          </w:p>
        </w:tc>
        <w:tc>
          <w:tcPr>
            <w:tcW w:w="2165" w:type="dxa"/>
            <w:vAlign w:val="top"/>
          </w:tcPr>
          <w:p w14:paraId="7F1D7654">
            <w:pPr>
              <w:pStyle w:val="16"/>
              <w:spacing w:before="116" w:line="261" w:lineRule="auto"/>
              <w:ind w:left="123" w:right="107" w:hanging="12"/>
              <w:rPr>
                <w:color w:val="auto"/>
              </w:rPr>
            </w:pPr>
            <w:r>
              <w:rPr>
                <w:color w:val="auto"/>
                <w:spacing w:val="2"/>
              </w:rPr>
              <w:t>采购人书面澄清的</w:t>
            </w:r>
            <w:r>
              <w:rPr>
                <w:color w:val="auto"/>
                <w:spacing w:val="-11"/>
              </w:rPr>
              <w:t>时间</w:t>
            </w:r>
          </w:p>
        </w:tc>
        <w:tc>
          <w:tcPr>
            <w:tcW w:w="6965" w:type="dxa"/>
            <w:vAlign w:val="top"/>
          </w:tcPr>
          <w:p w14:paraId="5E8701B7">
            <w:pPr>
              <w:pStyle w:val="16"/>
              <w:spacing w:before="315" w:line="220" w:lineRule="auto"/>
              <w:ind w:left="115"/>
              <w:rPr>
                <w:color w:val="auto"/>
              </w:rPr>
            </w:pPr>
            <w:r>
              <w:rPr>
                <w:color w:val="auto"/>
                <w:spacing w:val="-1"/>
              </w:rPr>
              <w:t>提交首次响应文件截止时间5日前</w:t>
            </w:r>
          </w:p>
        </w:tc>
      </w:tr>
      <w:tr w14:paraId="67072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13" w:type="dxa"/>
            <w:vAlign w:val="top"/>
          </w:tcPr>
          <w:p w14:paraId="4FDB169C">
            <w:pPr>
              <w:pStyle w:val="16"/>
              <w:spacing w:before="316"/>
              <w:ind w:left="135"/>
              <w:rPr>
                <w:color w:val="auto"/>
              </w:rPr>
            </w:pPr>
            <w:r>
              <w:rPr>
                <w:color w:val="auto"/>
                <w:spacing w:val="-14"/>
              </w:rPr>
              <w:t>17</w:t>
            </w:r>
          </w:p>
        </w:tc>
        <w:tc>
          <w:tcPr>
            <w:tcW w:w="2165" w:type="dxa"/>
            <w:vAlign w:val="top"/>
          </w:tcPr>
          <w:p w14:paraId="7F45AB04">
            <w:pPr>
              <w:pStyle w:val="16"/>
              <w:spacing w:before="315" w:line="221" w:lineRule="auto"/>
              <w:ind w:left="115"/>
              <w:rPr>
                <w:color w:val="auto"/>
              </w:rPr>
            </w:pPr>
            <w:r>
              <w:rPr>
                <w:color w:val="auto"/>
                <w:spacing w:val="-7"/>
              </w:rPr>
              <w:t>分包</w:t>
            </w:r>
          </w:p>
        </w:tc>
        <w:tc>
          <w:tcPr>
            <w:tcW w:w="6965" w:type="dxa"/>
            <w:vAlign w:val="top"/>
          </w:tcPr>
          <w:p w14:paraId="4690EDBB">
            <w:pPr>
              <w:pStyle w:val="16"/>
              <w:spacing w:before="114" w:line="220" w:lineRule="auto"/>
              <w:ind w:left="139"/>
              <w:rPr>
                <w:color w:val="auto"/>
              </w:rPr>
            </w:pPr>
            <w:r>
              <w:rPr>
                <w:color w:val="auto"/>
                <w:spacing w:val="-12"/>
              </w:rPr>
              <w:t>■</w:t>
            </w:r>
            <w:r>
              <w:rPr>
                <w:color w:val="auto"/>
                <w:spacing w:val="13"/>
              </w:rPr>
              <w:t xml:space="preserve"> </w:t>
            </w:r>
            <w:r>
              <w:rPr>
                <w:color w:val="auto"/>
                <w:spacing w:val="-12"/>
              </w:rPr>
              <w:t>不允许</w:t>
            </w:r>
          </w:p>
          <w:p w14:paraId="20790C99">
            <w:pPr>
              <w:pStyle w:val="16"/>
              <w:spacing w:before="114" w:line="215" w:lineRule="auto"/>
              <w:ind w:left="139"/>
              <w:rPr>
                <w:color w:val="auto"/>
              </w:rPr>
            </w:pPr>
            <w:r>
              <w:rPr>
                <w:color w:val="auto"/>
                <w:spacing w:val="-18"/>
              </w:rPr>
              <w:t>□</w:t>
            </w:r>
            <w:r>
              <w:rPr>
                <w:color w:val="auto"/>
                <w:spacing w:val="19"/>
              </w:rPr>
              <w:t xml:space="preserve"> </w:t>
            </w:r>
            <w:r>
              <w:rPr>
                <w:color w:val="auto"/>
                <w:spacing w:val="-18"/>
              </w:rPr>
              <w:t>允许</w:t>
            </w:r>
          </w:p>
        </w:tc>
      </w:tr>
      <w:tr w14:paraId="71B68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13" w:type="dxa"/>
            <w:vAlign w:val="top"/>
          </w:tcPr>
          <w:p w14:paraId="1C2604D9">
            <w:pPr>
              <w:pStyle w:val="16"/>
              <w:spacing w:before="315"/>
              <w:ind w:left="135"/>
              <w:rPr>
                <w:color w:val="auto"/>
              </w:rPr>
            </w:pPr>
            <w:r>
              <w:rPr>
                <w:color w:val="auto"/>
                <w:spacing w:val="-14"/>
              </w:rPr>
              <w:t>18</w:t>
            </w:r>
          </w:p>
        </w:tc>
        <w:tc>
          <w:tcPr>
            <w:tcW w:w="2165" w:type="dxa"/>
            <w:vAlign w:val="top"/>
          </w:tcPr>
          <w:p w14:paraId="1C51FEB3">
            <w:pPr>
              <w:pStyle w:val="16"/>
              <w:spacing w:before="315" w:line="220" w:lineRule="auto"/>
              <w:ind w:left="112"/>
              <w:rPr>
                <w:color w:val="auto"/>
              </w:rPr>
            </w:pPr>
            <w:r>
              <w:rPr>
                <w:color w:val="auto"/>
                <w:spacing w:val="-5"/>
              </w:rPr>
              <w:t>偏离</w:t>
            </w:r>
          </w:p>
        </w:tc>
        <w:tc>
          <w:tcPr>
            <w:tcW w:w="6965" w:type="dxa"/>
            <w:vAlign w:val="top"/>
          </w:tcPr>
          <w:p w14:paraId="0A76DB09">
            <w:pPr>
              <w:pStyle w:val="16"/>
              <w:spacing w:before="115" w:line="220" w:lineRule="auto"/>
              <w:ind w:left="144"/>
              <w:rPr>
                <w:color w:val="auto"/>
              </w:rPr>
            </w:pPr>
            <w:r>
              <w:rPr>
                <w:color w:val="auto"/>
                <w:spacing w:val="-12"/>
              </w:rPr>
              <w:t>■</w:t>
            </w:r>
            <w:r>
              <w:rPr>
                <w:color w:val="auto"/>
                <w:spacing w:val="13"/>
              </w:rPr>
              <w:t xml:space="preserve"> </w:t>
            </w:r>
            <w:r>
              <w:rPr>
                <w:color w:val="auto"/>
                <w:spacing w:val="-12"/>
              </w:rPr>
              <w:t>不允许</w:t>
            </w:r>
          </w:p>
          <w:p w14:paraId="6F5D6398">
            <w:pPr>
              <w:pStyle w:val="16"/>
              <w:spacing w:before="114" w:line="214" w:lineRule="auto"/>
              <w:ind w:left="139"/>
              <w:rPr>
                <w:color w:val="auto"/>
              </w:rPr>
            </w:pPr>
            <w:r>
              <w:rPr>
                <w:color w:val="auto"/>
                <w:spacing w:val="-18"/>
              </w:rPr>
              <w:t>□</w:t>
            </w:r>
            <w:r>
              <w:rPr>
                <w:color w:val="auto"/>
                <w:spacing w:val="19"/>
              </w:rPr>
              <w:t xml:space="preserve"> </w:t>
            </w:r>
            <w:r>
              <w:rPr>
                <w:color w:val="auto"/>
                <w:spacing w:val="-18"/>
              </w:rPr>
              <w:t>允许</w:t>
            </w:r>
          </w:p>
        </w:tc>
      </w:tr>
      <w:tr w14:paraId="39B92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13" w:type="dxa"/>
            <w:vAlign w:val="top"/>
          </w:tcPr>
          <w:p w14:paraId="2284CF8C">
            <w:pPr>
              <w:pStyle w:val="16"/>
              <w:spacing w:before="316"/>
              <w:ind w:left="135"/>
              <w:rPr>
                <w:color w:val="auto"/>
              </w:rPr>
            </w:pPr>
            <w:r>
              <w:rPr>
                <w:color w:val="auto"/>
                <w:spacing w:val="-14"/>
              </w:rPr>
              <w:t>19</w:t>
            </w:r>
          </w:p>
        </w:tc>
        <w:tc>
          <w:tcPr>
            <w:tcW w:w="2165" w:type="dxa"/>
            <w:vAlign w:val="top"/>
          </w:tcPr>
          <w:p w14:paraId="2F754F65">
            <w:pPr>
              <w:pStyle w:val="16"/>
              <w:spacing w:before="113" w:line="262" w:lineRule="auto"/>
              <w:ind w:left="112" w:right="107" w:firstLine="2"/>
              <w:rPr>
                <w:color w:val="auto"/>
              </w:rPr>
            </w:pPr>
            <w:r>
              <w:rPr>
                <w:color w:val="auto"/>
                <w:spacing w:val="2"/>
              </w:rPr>
              <w:t>构成磋商文件的其</w:t>
            </w:r>
            <w:r>
              <w:rPr>
                <w:color w:val="auto"/>
                <w:spacing w:val="-4"/>
              </w:rPr>
              <w:t>他材料</w:t>
            </w:r>
          </w:p>
        </w:tc>
        <w:tc>
          <w:tcPr>
            <w:tcW w:w="6965" w:type="dxa"/>
            <w:vAlign w:val="top"/>
          </w:tcPr>
          <w:p w14:paraId="0F901AD0">
            <w:pPr>
              <w:pStyle w:val="16"/>
              <w:spacing w:before="316" w:line="220" w:lineRule="auto"/>
              <w:ind w:left="113"/>
              <w:rPr>
                <w:color w:val="auto"/>
              </w:rPr>
            </w:pPr>
            <w:r>
              <w:rPr>
                <w:color w:val="auto"/>
                <w:spacing w:val="-1"/>
              </w:rPr>
              <w:t>磋商文件的澄清、修改、补充文件、工程量清单。</w:t>
            </w:r>
          </w:p>
        </w:tc>
      </w:tr>
      <w:tr w14:paraId="54844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13" w:type="dxa"/>
            <w:vAlign w:val="top"/>
          </w:tcPr>
          <w:p w14:paraId="2019A872">
            <w:pPr>
              <w:pStyle w:val="16"/>
              <w:spacing w:before="252"/>
              <w:ind w:left="120"/>
              <w:rPr>
                <w:color w:val="auto"/>
              </w:rPr>
            </w:pPr>
            <w:r>
              <w:rPr>
                <w:color w:val="auto"/>
                <w:spacing w:val="-7"/>
              </w:rPr>
              <w:t>20</w:t>
            </w:r>
          </w:p>
        </w:tc>
        <w:tc>
          <w:tcPr>
            <w:tcW w:w="2165" w:type="dxa"/>
            <w:vAlign w:val="top"/>
          </w:tcPr>
          <w:p w14:paraId="26625785">
            <w:pPr>
              <w:pStyle w:val="16"/>
              <w:spacing w:before="252" w:line="221" w:lineRule="auto"/>
              <w:ind w:left="111"/>
              <w:rPr>
                <w:color w:val="auto"/>
              </w:rPr>
            </w:pPr>
            <w:r>
              <w:rPr>
                <w:color w:val="auto"/>
                <w:spacing w:val="-2"/>
              </w:rPr>
              <w:t>磋商截止时间</w:t>
            </w:r>
          </w:p>
        </w:tc>
        <w:tc>
          <w:tcPr>
            <w:tcW w:w="6965" w:type="dxa"/>
            <w:vAlign w:val="top"/>
          </w:tcPr>
          <w:p w14:paraId="3D7DB2E6">
            <w:pPr>
              <w:pStyle w:val="16"/>
              <w:spacing w:before="252" w:line="220" w:lineRule="auto"/>
              <w:ind w:left="117"/>
              <w:rPr>
                <w:color w:val="auto"/>
              </w:rPr>
            </w:pPr>
            <w:r>
              <w:rPr>
                <w:rFonts w:hint="eastAsia" w:ascii="宋体" w:hAnsi="宋体" w:eastAsia="宋体" w:cs="宋体"/>
                <w:color w:val="auto"/>
                <w:spacing w:val="-1"/>
                <w:sz w:val="24"/>
                <w:szCs w:val="24"/>
              </w:rPr>
              <w:t>2026年</w:t>
            </w:r>
            <w:r>
              <w:rPr>
                <w:rFonts w:hint="eastAsia" w:cs="宋体"/>
                <w:color w:val="auto"/>
                <w:spacing w:val="-1"/>
                <w:sz w:val="24"/>
                <w:szCs w:val="24"/>
                <w:lang w:val="en-US" w:eastAsia="zh-CN"/>
              </w:rPr>
              <w:t>05</w:t>
            </w:r>
            <w:r>
              <w:rPr>
                <w:rFonts w:hint="eastAsia" w:ascii="宋体" w:hAnsi="宋体" w:eastAsia="宋体" w:cs="宋体"/>
                <w:color w:val="auto"/>
                <w:spacing w:val="-1"/>
                <w:sz w:val="24"/>
                <w:szCs w:val="24"/>
              </w:rPr>
              <w:t>月</w:t>
            </w:r>
            <w:r>
              <w:rPr>
                <w:rFonts w:hint="eastAsia" w:cs="宋体"/>
                <w:color w:val="auto"/>
                <w:spacing w:val="-1"/>
                <w:sz w:val="24"/>
                <w:szCs w:val="24"/>
                <w:lang w:val="en-US" w:eastAsia="zh-CN"/>
              </w:rPr>
              <w:t>09</w:t>
            </w:r>
            <w:r>
              <w:rPr>
                <w:rFonts w:hint="eastAsia" w:ascii="宋体" w:hAnsi="宋体" w:eastAsia="宋体" w:cs="宋体"/>
                <w:color w:val="auto"/>
                <w:spacing w:val="-1"/>
                <w:sz w:val="24"/>
                <w:szCs w:val="24"/>
              </w:rPr>
              <w:t>日</w:t>
            </w:r>
            <w:r>
              <w:rPr>
                <w:rFonts w:hint="eastAsia" w:cs="宋体"/>
                <w:color w:val="auto"/>
                <w:spacing w:val="-1"/>
                <w:sz w:val="24"/>
                <w:szCs w:val="24"/>
                <w:lang w:val="en-US" w:eastAsia="zh-CN"/>
              </w:rPr>
              <w:t>09</w:t>
            </w:r>
            <w:r>
              <w:rPr>
                <w:rFonts w:hint="eastAsia" w:ascii="宋体" w:hAnsi="宋体" w:eastAsia="宋体" w:cs="宋体"/>
                <w:color w:val="auto"/>
                <w:spacing w:val="-1"/>
                <w:sz w:val="24"/>
                <w:szCs w:val="24"/>
              </w:rPr>
              <w:t>点</w:t>
            </w:r>
            <w:r>
              <w:rPr>
                <w:rFonts w:hint="eastAsia" w:ascii="宋体" w:hAnsi="宋体" w:cs="宋体"/>
                <w:color w:val="auto"/>
                <w:spacing w:val="-1"/>
                <w:sz w:val="24"/>
                <w:szCs w:val="24"/>
                <w:lang w:val="en-US" w:eastAsia="zh-CN"/>
              </w:rPr>
              <w:t>3</w:t>
            </w:r>
            <w:r>
              <w:rPr>
                <w:rFonts w:hint="eastAsia" w:ascii="宋体" w:hAnsi="宋体" w:eastAsia="宋体" w:cs="宋体"/>
                <w:color w:val="auto"/>
                <w:spacing w:val="-1"/>
                <w:sz w:val="24"/>
                <w:szCs w:val="24"/>
              </w:rPr>
              <w:t>0分（北京时间）</w:t>
            </w:r>
          </w:p>
        </w:tc>
      </w:tr>
      <w:tr w14:paraId="715DC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13" w:type="dxa"/>
            <w:vAlign w:val="top"/>
          </w:tcPr>
          <w:p w14:paraId="68999A44">
            <w:pPr>
              <w:spacing w:line="433" w:lineRule="auto"/>
              <w:rPr>
                <w:rFonts w:ascii="Arial"/>
                <w:color w:val="auto"/>
                <w:sz w:val="21"/>
              </w:rPr>
            </w:pPr>
          </w:p>
          <w:p w14:paraId="30331F58">
            <w:pPr>
              <w:pStyle w:val="16"/>
              <w:spacing w:before="78" w:line="242" w:lineRule="auto"/>
              <w:ind w:left="120"/>
              <w:rPr>
                <w:color w:val="auto"/>
              </w:rPr>
            </w:pPr>
            <w:r>
              <w:rPr>
                <w:color w:val="auto"/>
                <w:spacing w:val="-7"/>
              </w:rPr>
              <w:t>21</w:t>
            </w:r>
          </w:p>
        </w:tc>
        <w:tc>
          <w:tcPr>
            <w:tcW w:w="2165" w:type="dxa"/>
            <w:vAlign w:val="top"/>
          </w:tcPr>
          <w:p w14:paraId="3A4A7A10">
            <w:pPr>
              <w:pStyle w:val="16"/>
              <w:spacing w:before="116" w:line="219" w:lineRule="auto"/>
              <w:ind w:left="112"/>
              <w:rPr>
                <w:color w:val="auto"/>
              </w:rPr>
            </w:pPr>
            <w:r>
              <w:rPr>
                <w:color w:val="auto"/>
                <w:spacing w:val="-2"/>
              </w:rPr>
              <w:t>供应商确认收到</w:t>
            </w:r>
          </w:p>
          <w:p w14:paraId="4CFA3BBB">
            <w:pPr>
              <w:pStyle w:val="16"/>
              <w:spacing w:before="114" w:line="261" w:lineRule="auto"/>
              <w:ind w:left="130" w:right="107" w:hanging="19"/>
              <w:rPr>
                <w:color w:val="auto"/>
              </w:rPr>
            </w:pPr>
            <w:r>
              <w:rPr>
                <w:color w:val="auto"/>
                <w:spacing w:val="2"/>
              </w:rPr>
              <w:t>磋商文件澄清的时</w:t>
            </w:r>
            <w:r>
              <w:rPr>
                <w:color w:val="auto"/>
              </w:rPr>
              <w:t>间</w:t>
            </w:r>
          </w:p>
        </w:tc>
        <w:tc>
          <w:tcPr>
            <w:tcW w:w="6965" w:type="dxa"/>
            <w:vAlign w:val="top"/>
          </w:tcPr>
          <w:p w14:paraId="452FA2D9">
            <w:pPr>
              <w:spacing w:line="434" w:lineRule="auto"/>
              <w:rPr>
                <w:rFonts w:ascii="Arial"/>
                <w:color w:val="auto"/>
                <w:sz w:val="21"/>
              </w:rPr>
            </w:pPr>
          </w:p>
          <w:p w14:paraId="6273B374">
            <w:pPr>
              <w:pStyle w:val="16"/>
              <w:spacing w:before="78" w:line="220" w:lineRule="auto"/>
              <w:ind w:left="117"/>
              <w:rPr>
                <w:color w:val="auto"/>
              </w:rPr>
            </w:pPr>
            <w:r>
              <w:rPr>
                <w:color w:val="auto"/>
                <w:spacing w:val="-3"/>
              </w:rPr>
              <w:t>24小时以内</w:t>
            </w:r>
          </w:p>
        </w:tc>
      </w:tr>
      <w:tr w14:paraId="14C2F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13" w:type="dxa"/>
            <w:vAlign w:val="top"/>
          </w:tcPr>
          <w:p w14:paraId="006B1CDF">
            <w:pPr>
              <w:spacing w:line="436" w:lineRule="auto"/>
              <w:rPr>
                <w:rFonts w:ascii="Arial"/>
                <w:color w:val="auto"/>
                <w:sz w:val="21"/>
              </w:rPr>
            </w:pPr>
          </w:p>
          <w:p w14:paraId="69DC4C63">
            <w:pPr>
              <w:pStyle w:val="16"/>
              <w:spacing w:before="78" w:line="242" w:lineRule="auto"/>
              <w:ind w:left="120"/>
              <w:rPr>
                <w:color w:val="auto"/>
              </w:rPr>
            </w:pPr>
            <w:r>
              <w:rPr>
                <w:color w:val="auto"/>
                <w:spacing w:val="-7"/>
              </w:rPr>
              <w:t>22</w:t>
            </w:r>
          </w:p>
        </w:tc>
        <w:tc>
          <w:tcPr>
            <w:tcW w:w="2165" w:type="dxa"/>
            <w:vAlign w:val="top"/>
          </w:tcPr>
          <w:p w14:paraId="68411E2F">
            <w:pPr>
              <w:pStyle w:val="16"/>
              <w:spacing w:before="117" w:line="219" w:lineRule="auto"/>
              <w:ind w:left="112"/>
              <w:rPr>
                <w:color w:val="auto"/>
              </w:rPr>
            </w:pPr>
            <w:r>
              <w:rPr>
                <w:color w:val="auto"/>
                <w:spacing w:val="-2"/>
              </w:rPr>
              <w:t>供应商确认收到</w:t>
            </w:r>
          </w:p>
          <w:p w14:paraId="404223FA">
            <w:pPr>
              <w:pStyle w:val="16"/>
              <w:spacing w:before="116" w:line="260" w:lineRule="auto"/>
              <w:ind w:left="130" w:right="107" w:hanging="19"/>
              <w:rPr>
                <w:color w:val="auto"/>
              </w:rPr>
            </w:pPr>
            <w:r>
              <w:rPr>
                <w:color w:val="auto"/>
                <w:spacing w:val="2"/>
              </w:rPr>
              <w:t>磋商文件修改的时</w:t>
            </w:r>
            <w:r>
              <w:rPr>
                <w:color w:val="auto"/>
              </w:rPr>
              <w:t>间</w:t>
            </w:r>
          </w:p>
        </w:tc>
        <w:tc>
          <w:tcPr>
            <w:tcW w:w="6965" w:type="dxa"/>
            <w:vAlign w:val="top"/>
          </w:tcPr>
          <w:p w14:paraId="38452FDE">
            <w:pPr>
              <w:spacing w:line="437" w:lineRule="auto"/>
              <w:rPr>
                <w:rFonts w:ascii="Arial"/>
                <w:color w:val="auto"/>
                <w:sz w:val="21"/>
              </w:rPr>
            </w:pPr>
          </w:p>
          <w:p w14:paraId="75A8BC44">
            <w:pPr>
              <w:pStyle w:val="16"/>
              <w:spacing w:before="78" w:line="220" w:lineRule="auto"/>
              <w:ind w:left="117"/>
              <w:rPr>
                <w:color w:val="auto"/>
              </w:rPr>
            </w:pPr>
            <w:r>
              <w:rPr>
                <w:color w:val="auto"/>
                <w:spacing w:val="-3"/>
              </w:rPr>
              <w:t>24小时以内</w:t>
            </w:r>
          </w:p>
        </w:tc>
      </w:tr>
      <w:tr w14:paraId="77672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13" w:type="dxa"/>
            <w:vAlign w:val="top"/>
          </w:tcPr>
          <w:p w14:paraId="18F6DFAA">
            <w:pPr>
              <w:pStyle w:val="16"/>
              <w:spacing w:before="316"/>
              <w:ind w:left="120"/>
              <w:rPr>
                <w:color w:val="auto"/>
              </w:rPr>
            </w:pPr>
            <w:r>
              <w:rPr>
                <w:color w:val="auto"/>
                <w:spacing w:val="-7"/>
              </w:rPr>
              <w:t>23</w:t>
            </w:r>
          </w:p>
        </w:tc>
        <w:tc>
          <w:tcPr>
            <w:tcW w:w="2165" w:type="dxa"/>
            <w:vAlign w:val="top"/>
          </w:tcPr>
          <w:p w14:paraId="2AF2B3B5">
            <w:pPr>
              <w:pStyle w:val="16"/>
              <w:spacing w:before="118" w:line="260" w:lineRule="auto"/>
              <w:ind w:left="112" w:right="107" w:firstLine="2"/>
              <w:rPr>
                <w:color w:val="auto"/>
              </w:rPr>
            </w:pPr>
            <w:r>
              <w:rPr>
                <w:color w:val="auto"/>
                <w:spacing w:val="2"/>
              </w:rPr>
              <w:t>构成响应文件的其</w:t>
            </w:r>
            <w:r>
              <w:rPr>
                <w:color w:val="auto"/>
                <w:spacing w:val="-4"/>
              </w:rPr>
              <w:t>他材料</w:t>
            </w:r>
          </w:p>
        </w:tc>
        <w:tc>
          <w:tcPr>
            <w:tcW w:w="6965" w:type="dxa"/>
            <w:vAlign w:val="top"/>
          </w:tcPr>
          <w:p w14:paraId="17BADABB">
            <w:pPr>
              <w:pStyle w:val="16"/>
              <w:spacing w:before="316" w:line="225" w:lineRule="auto"/>
              <w:ind w:left="113"/>
              <w:rPr>
                <w:color w:val="auto"/>
              </w:rPr>
            </w:pPr>
            <w:r>
              <w:rPr>
                <w:color w:val="auto"/>
              </w:rPr>
              <w:t>/</w:t>
            </w:r>
          </w:p>
        </w:tc>
      </w:tr>
      <w:tr w14:paraId="71413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713" w:type="dxa"/>
            <w:vAlign w:val="top"/>
          </w:tcPr>
          <w:p w14:paraId="37F38C2C">
            <w:pPr>
              <w:pStyle w:val="16"/>
              <w:spacing w:before="251" w:line="242" w:lineRule="auto"/>
              <w:ind w:left="120"/>
              <w:rPr>
                <w:color w:val="auto"/>
              </w:rPr>
            </w:pPr>
            <w:r>
              <w:rPr>
                <w:color w:val="auto"/>
                <w:spacing w:val="-7"/>
              </w:rPr>
              <w:t>24</w:t>
            </w:r>
          </w:p>
        </w:tc>
        <w:tc>
          <w:tcPr>
            <w:tcW w:w="2165" w:type="dxa"/>
            <w:vAlign w:val="top"/>
          </w:tcPr>
          <w:p w14:paraId="10EF99C8">
            <w:pPr>
              <w:pStyle w:val="16"/>
              <w:spacing w:before="251" w:line="221" w:lineRule="auto"/>
              <w:ind w:left="115"/>
              <w:rPr>
                <w:color w:val="auto"/>
              </w:rPr>
            </w:pPr>
            <w:r>
              <w:rPr>
                <w:color w:val="auto"/>
                <w:spacing w:val="-3"/>
              </w:rPr>
              <w:t>投标有效期</w:t>
            </w:r>
          </w:p>
        </w:tc>
        <w:tc>
          <w:tcPr>
            <w:tcW w:w="6965" w:type="dxa"/>
            <w:vAlign w:val="top"/>
          </w:tcPr>
          <w:p w14:paraId="0D3F663A">
            <w:pPr>
              <w:pStyle w:val="16"/>
              <w:spacing w:before="251" w:line="220" w:lineRule="auto"/>
              <w:ind w:left="117"/>
              <w:rPr>
                <w:color w:val="auto"/>
              </w:rPr>
            </w:pPr>
            <w:r>
              <w:rPr>
                <w:color w:val="auto"/>
                <w:spacing w:val="-5"/>
              </w:rPr>
              <w:t>投标截止之日后90天（</w:t>
            </w:r>
            <w:r>
              <w:rPr>
                <w:color w:val="auto"/>
                <w:spacing w:val="-34"/>
              </w:rPr>
              <w:t xml:space="preserve"> </w:t>
            </w:r>
            <w:r>
              <w:rPr>
                <w:color w:val="auto"/>
                <w:spacing w:val="-5"/>
              </w:rPr>
              <w:t>日历天</w:t>
            </w:r>
            <w:r>
              <w:rPr>
                <w:color w:val="auto"/>
                <w:spacing w:val="10"/>
              </w:rPr>
              <w:t>），</w:t>
            </w:r>
            <w:r>
              <w:rPr>
                <w:color w:val="auto"/>
                <w:spacing w:val="-5"/>
              </w:rPr>
              <w:t>从投标截止之日算起。</w:t>
            </w:r>
          </w:p>
        </w:tc>
      </w:tr>
    </w:tbl>
    <w:p w14:paraId="75251872">
      <w:pPr>
        <w:spacing w:line="91" w:lineRule="auto"/>
        <w:rPr>
          <w:rFonts w:ascii="Arial"/>
          <w:color w:val="auto"/>
          <w:sz w:val="2"/>
        </w:rPr>
      </w:pPr>
    </w:p>
    <w:tbl>
      <w:tblPr>
        <w:tblStyle w:val="15"/>
        <w:tblW w:w="98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2165"/>
        <w:gridCol w:w="6971"/>
      </w:tblGrid>
      <w:tr w14:paraId="38780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2" w:hRule="atLeast"/>
        </w:trPr>
        <w:tc>
          <w:tcPr>
            <w:tcW w:w="713" w:type="dxa"/>
            <w:vAlign w:val="top"/>
          </w:tcPr>
          <w:p w14:paraId="6491C634">
            <w:pPr>
              <w:spacing w:line="271" w:lineRule="auto"/>
              <w:rPr>
                <w:rFonts w:ascii="Arial"/>
                <w:color w:val="auto"/>
                <w:sz w:val="21"/>
              </w:rPr>
            </w:pPr>
          </w:p>
          <w:p w14:paraId="6D6F612D">
            <w:pPr>
              <w:spacing w:line="271" w:lineRule="auto"/>
              <w:rPr>
                <w:rFonts w:ascii="Arial"/>
                <w:color w:val="auto"/>
                <w:sz w:val="21"/>
              </w:rPr>
            </w:pPr>
          </w:p>
          <w:p w14:paraId="0459A310">
            <w:pPr>
              <w:spacing w:line="272" w:lineRule="auto"/>
              <w:rPr>
                <w:rFonts w:ascii="Arial"/>
                <w:color w:val="auto"/>
                <w:sz w:val="21"/>
              </w:rPr>
            </w:pPr>
          </w:p>
          <w:p w14:paraId="37EB94A0">
            <w:pPr>
              <w:spacing w:line="272" w:lineRule="auto"/>
              <w:rPr>
                <w:rFonts w:ascii="Arial"/>
                <w:color w:val="auto"/>
                <w:sz w:val="21"/>
              </w:rPr>
            </w:pPr>
          </w:p>
          <w:p w14:paraId="03EFF4A3">
            <w:pPr>
              <w:spacing w:line="272" w:lineRule="auto"/>
              <w:rPr>
                <w:rFonts w:ascii="Arial"/>
                <w:color w:val="auto"/>
                <w:sz w:val="21"/>
              </w:rPr>
            </w:pPr>
          </w:p>
          <w:p w14:paraId="5B360F96">
            <w:pPr>
              <w:spacing w:line="272" w:lineRule="auto"/>
              <w:rPr>
                <w:rFonts w:ascii="Arial"/>
                <w:color w:val="auto"/>
                <w:sz w:val="21"/>
              </w:rPr>
            </w:pPr>
          </w:p>
          <w:p w14:paraId="13318833">
            <w:pPr>
              <w:pStyle w:val="16"/>
              <w:spacing w:before="78"/>
              <w:ind w:left="120" w:leftChars="0"/>
              <w:rPr>
                <w:rFonts w:ascii="Arial"/>
                <w:color w:val="auto"/>
                <w:sz w:val="21"/>
              </w:rPr>
            </w:pPr>
            <w:r>
              <w:rPr>
                <w:color w:val="auto"/>
                <w:spacing w:val="-7"/>
              </w:rPr>
              <w:t>25</w:t>
            </w:r>
          </w:p>
        </w:tc>
        <w:tc>
          <w:tcPr>
            <w:tcW w:w="2165" w:type="dxa"/>
            <w:vAlign w:val="top"/>
          </w:tcPr>
          <w:p w14:paraId="1331BDF3">
            <w:pPr>
              <w:spacing w:line="271" w:lineRule="auto"/>
              <w:rPr>
                <w:rFonts w:ascii="Arial"/>
                <w:color w:val="auto"/>
                <w:sz w:val="21"/>
              </w:rPr>
            </w:pPr>
          </w:p>
          <w:p w14:paraId="14FED9B8">
            <w:pPr>
              <w:spacing w:line="271" w:lineRule="auto"/>
              <w:rPr>
                <w:rFonts w:ascii="Arial"/>
                <w:color w:val="auto"/>
                <w:sz w:val="21"/>
              </w:rPr>
            </w:pPr>
          </w:p>
          <w:p w14:paraId="66FF0A06">
            <w:pPr>
              <w:spacing w:line="271" w:lineRule="auto"/>
              <w:rPr>
                <w:rFonts w:ascii="Arial"/>
                <w:color w:val="auto"/>
                <w:sz w:val="21"/>
              </w:rPr>
            </w:pPr>
          </w:p>
          <w:p w14:paraId="20498111">
            <w:pPr>
              <w:spacing w:line="272" w:lineRule="auto"/>
              <w:rPr>
                <w:rFonts w:ascii="Arial"/>
                <w:color w:val="auto"/>
                <w:sz w:val="21"/>
              </w:rPr>
            </w:pPr>
          </w:p>
          <w:p w14:paraId="02688C5A">
            <w:pPr>
              <w:spacing w:line="272" w:lineRule="auto"/>
              <w:rPr>
                <w:rFonts w:ascii="Arial"/>
                <w:color w:val="auto"/>
                <w:sz w:val="21"/>
              </w:rPr>
            </w:pPr>
          </w:p>
          <w:p w14:paraId="502BA7F2">
            <w:pPr>
              <w:spacing w:line="272" w:lineRule="auto"/>
              <w:rPr>
                <w:rFonts w:ascii="Arial"/>
                <w:color w:val="auto"/>
                <w:sz w:val="21"/>
              </w:rPr>
            </w:pPr>
          </w:p>
          <w:p w14:paraId="08C492C9">
            <w:pPr>
              <w:pStyle w:val="16"/>
              <w:spacing w:before="78" w:line="221" w:lineRule="auto"/>
              <w:ind w:left="111" w:leftChars="0"/>
              <w:rPr>
                <w:rFonts w:ascii="Arial"/>
                <w:color w:val="auto"/>
                <w:sz w:val="21"/>
              </w:rPr>
            </w:pPr>
            <w:r>
              <w:rPr>
                <w:color w:val="auto"/>
                <w:spacing w:val="-2"/>
              </w:rPr>
              <w:t>磋商保证金</w:t>
            </w:r>
          </w:p>
        </w:tc>
        <w:tc>
          <w:tcPr>
            <w:tcW w:w="6971" w:type="dxa"/>
            <w:vAlign w:val="top"/>
          </w:tcPr>
          <w:p w14:paraId="63C42734">
            <w:pPr>
              <w:bidi w:val="0"/>
              <w:spacing w:line="360" w:lineRule="auto"/>
              <w:rPr>
                <w:color w:val="auto"/>
                <w:sz w:val="24"/>
                <w:szCs w:val="24"/>
              </w:rPr>
            </w:pPr>
            <w:r>
              <w:rPr>
                <w:rFonts w:hint="eastAsia"/>
                <w:color w:val="auto"/>
                <w:sz w:val="24"/>
                <w:szCs w:val="24"/>
              </w:rPr>
              <w:t>投标保证金额：</w:t>
            </w:r>
            <w:r>
              <w:rPr>
                <w:rFonts w:hint="eastAsia"/>
                <w:color w:val="auto"/>
                <w:sz w:val="24"/>
                <w:szCs w:val="24"/>
                <w:lang w:val="en-US" w:eastAsia="zh-CN"/>
              </w:rPr>
              <w:t>10000.00元（壹万元整）</w:t>
            </w:r>
            <w:r>
              <w:rPr>
                <w:rFonts w:hint="eastAsia"/>
                <w:color w:val="auto"/>
                <w:sz w:val="24"/>
                <w:szCs w:val="24"/>
              </w:rPr>
              <w:t>。投标保证金应当以支票、汇票、本票或者金融机构、担保机构出具的保函等非现金形式提交。以银行电汇形式在投标保证金递交截止时间前汇入集中采购机构指定的账户，应从基本账户转出。银行电汇单据扫描件及基本账户开户许可证扫描件应放入投标文件中。</w:t>
            </w:r>
          </w:p>
          <w:p w14:paraId="09694961">
            <w:pPr>
              <w:bidi w:val="0"/>
              <w:spacing w:line="360" w:lineRule="auto"/>
              <w:rPr>
                <w:color w:val="auto"/>
                <w:sz w:val="24"/>
                <w:szCs w:val="24"/>
              </w:rPr>
            </w:pPr>
            <w:r>
              <w:rPr>
                <w:rFonts w:hint="eastAsia"/>
                <w:color w:val="auto"/>
                <w:sz w:val="24"/>
                <w:szCs w:val="24"/>
              </w:rPr>
              <w:t>保证金的递交时间及地点：于</w:t>
            </w:r>
            <w:r>
              <w:rPr>
                <w:rFonts w:hint="eastAsia"/>
                <w:color w:val="auto"/>
                <w:sz w:val="24"/>
                <w:szCs w:val="24"/>
                <w:lang w:val="en-US" w:eastAsia="zh-CN"/>
              </w:rPr>
              <w:t>投标截止时间</w:t>
            </w:r>
            <w:r>
              <w:rPr>
                <w:rFonts w:hint="eastAsia"/>
                <w:color w:val="auto"/>
                <w:sz w:val="24"/>
                <w:szCs w:val="24"/>
              </w:rPr>
              <w:t>前请电汇至</w:t>
            </w:r>
          </w:p>
          <w:p w14:paraId="528A1067">
            <w:pPr>
              <w:bidi w:val="0"/>
              <w:spacing w:line="360" w:lineRule="auto"/>
              <w:rPr>
                <w:rFonts w:hint="eastAsia"/>
                <w:color w:val="auto"/>
                <w:sz w:val="24"/>
                <w:szCs w:val="24"/>
                <w:lang w:val="zh-CN"/>
              </w:rPr>
            </w:pPr>
            <w:r>
              <w:rPr>
                <w:rFonts w:hint="eastAsia"/>
                <w:color w:val="auto"/>
                <w:sz w:val="24"/>
                <w:szCs w:val="24"/>
                <w:lang w:val="zh-CN"/>
              </w:rPr>
              <w:t>收款单位：吉林省顺展招投标代理有限公司；</w:t>
            </w:r>
          </w:p>
          <w:p w14:paraId="1018E4BC">
            <w:pPr>
              <w:bidi w:val="0"/>
              <w:spacing w:line="360" w:lineRule="auto"/>
              <w:rPr>
                <w:rFonts w:hint="eastAsia"/>
                <w:color w:val="auto"/>
                <w:sz w:val="24"/>
                <w:szCs w:val="24"/>
                <w:lang w:val="zh-CN"/>
              </w:rPr>
            </w:pPr>
            <w:r>
              <w:rPr>
                <w:rFonts w:hint="eastAsia"/>
                <w:color w:val="auto"/>
                <w:sz w:val="24"/>
                <w:szCs w:val="24"/>
                <w:lang w:val="zh-CN"/>
              </w:rPr>
              <w:t>开户行：吉林银行股份有限公司长春人民广场支行；</w:t>
            </w:r>
          </w:p>
          <w:p w14:paraId="626D12F5">
            <w:pPr>
              <w:bidi w:val="0"/>
              <w:spacing w:line="360" w:lineRule="auto"/>
              <w:rPr>
                <w:color w:val="auto"/>
                <w:sz w:val="24"/>
                <w:szCs w:val="24"/>
                <w:lang w:val="zh-CN"/>
              </w:rPr>
            </w:pPr>
            <w:r>
              <w:rPr>
                <w:rFonts w:hint="eastAsia"/>
                <w:color w:val="auto"/>
                <w:sz w:val="24"/>
                <w:szCs w:val="24"/>
                <w:lang w:val="zh-CN"/>
              </w:rPr>
              <w:t>帐号：8935175652000001</w:t>
            </w:r>
          </w:p>
          <w:p w14:paraId="5F85EE0E">
            <w:pPr>
              <w:bidi w:val="0"/>
              <w:spacing w:line="360" w:lineRule="auto"/>
              <w:rPr>
                <w:rFonts w:hint="default"/>
                <w:color w:val="auto"/>
                <w:sz w:val="24"/>
                <w:szCs w:val="24"/>
                <w:lang w:val="en-US"/>
              </w:rPr>
            </w:pPr>
            <w:r>
              <w:rPr>
                <w:rFonts w:hint="eastAsia"/>
                <w:color w:val="auto"/>
                <w:sz w:val="24"/>
                <w:szCs w:val="24"/>
                <w:lang w:val="zh-CN"/>
              </w:rPr>
              <w:t>联系电话：0431-86663000</w:t>
            </w:r>
          </w:p>
          <w:p w14:paraId="7D7395BA">
            <w:pPr>
              <w:bidi w:val="0"/>
              <w:spacing w:line="360" w:lineRule="auto"/>
              <w:rPr>
                <w:rFonts w:hint="eastAsia"/>
                <w:color w:val="auto"/>
                <w:sz w:val="24"/>
                <w:szCs w:val="24"/>
                <w:lang w:val="en-US" w:eastAsia="zh-CN"/>
              </w:rPr>
            </w:pPr>
            <w:r>
              <w:rPr>
                <w:rFonts w:hint="eastAsia"/>
                <w:color w:val="auto"/>
                <w:sz w:val="24"/>
                <w:szCs w:val="24"/>
                <w:lang w:val="en-US" w:eastAsia="zh-CN"/>
              </w:rPr>
              <w:t>1.投标人以转帐、电汇等形式递交投标保证金的应将投标保证金存入采购代理机构指定账户，银行进账单或电汇凭证等凭证上应明确用途为“投标保证金”、项目名称（可简写）、项目编号等，以便核对查实，需将基本账户开户许可证明及投标保证金汇款凭证复印件装入投标文件中；</w:t>
            </w:r>
          </w:p>
          <w:p w14:paraId="7AD607E9">
            <w:pPr>
              <w:bidi w:val="0"/>
              <w:spacing w:line="360" w:lineRule="auto"/>
              <w:rPr>
                <w:color w:val="auto"/>
              </w:rPr>
            </w:pPr>
            <w:r>
              <w:rPr>
                <w:rFonts w:hint="eastAsia"/>
                <w:color w:val="auto"/>
                <w:sz w:val="24"/>
                <w:szCs w:val="24"/>
                <w:lang w:val="en-US" w:eastAsia="zh-CN"/>
              </w:rPr>
              <w:t>2.保证金在提交投标文件截止时间前递交完毕，以到账为准；投标人以保函方式提交投标保证金的，须在此时间前一天将保函扫描件发送至1597253456@qq.com邮箱。未查询到账或未收到保函扫描件导致异常情况后果自负</w:t>
            </w:r>
            <w:r>
              <w:rPr>
                <w:rFonts w:hint="eastAsia"/>
                <w:color w:val="auto"/>
                <w:lang w:val="en-US" w:eastAsia="zh-CN"/>
              </w:rPr>
              <w:t xml:space="preserve"> </w:t>
            </w:r>
          </w:p>
        </w:tc>
      </w:tr>
      <w:tr w14:paraId="69D1A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13" w:type="dxa"/>
            <w:vAlign w:val="top"/>
          </w:tcPr>
          <w:p w14:paraId="38E5A0B2">
            <w:pPr>
              <w:rPr>
                <w:rFonts w:ascii="Arial"/>
                <w:color w:val="auto"/>
                <w:sz w:val="21"/>
              </w:rPr>
            </w:pPr>
          </w:p>
        </w:tc>
        <w:tc>
          <w:tcPr>
            <w:tcW w:w="2165" w:type="dxa"/>
            <w:vAlign w:val="top"/>
          </w:tcPr>
          <w:p w14:paraId="31B41DB1">
            <w:pPr>
              <w:pStyle w:val="16"/>
              <w:spacing w:before="125" w:line="263" w:lineRule="auto"/>
              <w:ind w:left="157" w:right="107" w:hanging="46"/>
              <w:rPr>
                <w:color w:val="auto"/>
              </w:rPr>
            </w:pPr>
            <w:r>
              <w:rPr>
                <w:color w:val="auto"/>
                <w:spacing w:val="2"/>
              </w:rPr>
              <w:t>近年完成的类似项</w:t>
            </w:r>
            <w:r>
              <w:rPr>
                <w:color w:val="auto"/>
                <w:spacing w:val="-10"/>
              </w:rPr>
              <w:t>目的年份要求</w:t>
            </w:r>
          </w:p>
        </w:tc>
        <w:tc>
          <w:tcPr>
            <w:tcW w:w="6971" w:type="dxa"/>
            <w:vAlign w:val="top"/>
          </w:tcPr>
          <w:p w14:paraId="04A8260E">
            <w:pPr>
              <w:spacing w:line="246" w:lineRule="auto"/>
              <w:rPr>
                <w:rFonts w:ascii="Arial"/>
                <w:color w:val="auto"/>
                <w:sz w:val="21"/>
              </w:rPr>
            </w:pPr>
          </w:p>
          <w:p w14:paraId="144B5CB0">
            <w:pPr>
              <w:pStyle w:val="16"/>
              <w:spacing w:before="78" w:line="220" w:lineRule="auto"/>
              <w:ind w:left="113"/>
              <w:rPr>
                <w:color w:val="auto"/>
              </w:rPr>
            </w:pPr>
            <w:r>
              <w:rPr>
                <w:color w:val="auto"/>
                <w:spacing w:val="-1"/>
              </w:rPr>
              <w:t>近三年（2023年1月1日－至今）</w:t>
            </w:r>
          </w:p>
        </w:tc>
      </w:tr>
      <w:tr w14:paraId="65DF8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13" w:type="dxa"/>
            <w:vAlign w:val="top"/>
          </w:tcPr>
          <w:p w14:paraId="7C1FD7BB">
            <w:pPr>
              <w:pStyle w:val="16"/>
              <w:spacing w:before="318"/>
              <w:ind w:left="120"/>
              <w:rPr>
                <w:color w:val="auto"/>
              </w:rPr>
            </w:pPr>
            <w:r>
              <w:rPr>
                <w:color w:val="auto"/>
                <w:spacing w:val="-7"/>
              </w:rPr>
              <w:t>27</w:t>
            </w:r>
          </w:p>
        </w:tc>
        <w:tc>
          <w:tcPr>
            <w:tcW w:w="2165" w:type="dxa"/>
            <w:vAlign w:val="top"/>
          </w:tcPr>
          <w:p w14:paraId="75D367B0">
            <w:pPr>
              <w:pStyle w:val="16"/>
              <w:spacing w:before="118" w:line="260" w:lineRule="auto"/>
              <w:ind w:left="115" w:right="107"/>
              <w:rPr>
                <w:color w:val="auto"/>
              </w:rPr>
            </w:pPr>
            <w:r>
              <w:rPr>
                <w:color w:val="auto"/>
                <w:spacing w:val="1"/>
              </w:rPr>
              <w:t>是否提交设备部署</w:t>
            </w:r>
            <w:r>
              <w:rPr>
                <w:color w:val="auto"/>
                <w:spacing w:val="-3"/>
              </w:rPr>
              <w:t>或迁移方案</w:t>
            </w:r>
          </w:p>
        </w:tc>
        <w:tc>
          <w:tcPr>
            <w:tcW w:w="6971" w:type="dxa"/>
            <w:vAlign w:val="top"/>
          </w:tcPr>
          <w:p w14:paraId="73D1BE2B">
            <w:pPr>
              <w:pStyle w:val="16"/>
              <w:spacing w:before="118" w:line="260" w:lineRule="auto"/>
              <w:ind w:left="139" w:right="5900"/>
              <w:rPr>
                <w:color w:val="auto"/>
              </w:rPr>
            </w:pPr>
            <w:r>
              <w:rPr>
                <w:color w:val="auto"/>
                <w:spacing w:val="-9"/>
              </w:rPr>
              <w:t>■不允许</w:t>
            </w:r>
            <w:r>
              <w:rPr>
                <w:color w:val="auto"/>
                <w:spacing w:val="-12"/>
              </w:rPr>
              <w:t>□允许</w:t>
            </w:r>
          </w:p>
        </w:tc>
      </w:tr>
      <w:tr w14:paraId="3A237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13" w:type="dxa"/>
            <w:vAlign w:val="top"/>
          </w:tcPr>
          <w:p w14:paraId="7C9A234E">
            <w:pPr>
              <w:pStyle w:val="16"/>
              <w:spacing w:before="319"/>
              <w:ind w:left="120"/>
              <w:rPr>
                <w:color w:val="auto"/>
              </w:rPr>
            </w:pPr>
            <w:r>
              <w:rPr>
                <w:color w:val="auto"/>
                <w:spacing w:val="-7"/>
              </w:rPr>
              <w:t>28</w:t>
            </w:r>
          </w:p>
        </w:tc>
        <w:tc>
          <w:tcPr>
            <w:tcW w:w="2165" w:type="dxa"/>
            <w:vAlign w:val="top"/>
          </w:tcPr>
          <w:p w14:paraId="28BDCBFB">
            <w:pPr>
              <w:pStyle w:val="16"/>
              <w:spacing w:before="118" w:line="260" w:lineRule="auto"/>
              <w:ind w:left="115" w:right="107"/>
              <w:rPr>
                <w:color w:val="auto"/>
              </w:rPr>
            </w:pPr>
            <w:r>
              <w:rPr>
                <w:color w:val="auto"/>
                <w:spacing w:val="1"/>
              </w:rPr>
              <w:t>是否允许递交备选</w:t>
            </w:r>
            <w:r>
              <w:rPr>
                <w:color w:val="auto"/>
                <w:spacing w:val="-4"/>
              </w:rPr>
              <w:t>投标方案</w:t>
            </w:r>
          </w:p>
        </w:tc>
        <w:tc>
          <w:tcPr>
            <w:tcW w:w="6971" w:type="dxa"/>
            <w:vAlign w:val="top"/>
          </w:tcPr>
          <w:p w14:paraId="36B95FCC">
            <w:pPr>
              <w:pStyle w:val="16"/>
              <w:spacing w:before="118" w:line="260" w:lineRule="auto"/>
              <w:ind w:left="139" w:right="5900"/>
              <w:rPr>
                <w:color w:val="auto"/>
              </w:rPr>
            </w:pPr>
            <w:r>
              <w:rPr>
                <w:color w:val="auto"/>
                <w:spacing w:val="-9"/>
              </w:rPr>
              <w:t>■不允许</w:t>
            </w:r>
            <w:r>
              <w:rPr>
                <w:color w:val="auto"/>
                <w:spacing w:val="-12"/>
              </w:rPr>
              <w:t>□允许</w:t>
            </w:r>
          </w:p>
        </w:tc>
      </w:tr>
      <w:tr w14:paraId="4FC1F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713" w:type="dxa"/>
            <w:vAlign w:val="top"/>
          </w:tcPr>
          <w:p w14:paraId="3B55C0BC">
            <w:pPr>
              <w:spacing w:line="246" w:lineRule="auto"/>
              <w:rPr>
                <w:rFonts w:ascii="Arial"/>
                <w:color w:val="auto"/>
                <w:sz w:val="21"/>
              </w:rPr>
            </w:pPr>
          </w:p>
          <w:p w14:paraId="5F41F2AB">
            <w:pPr>
              <w:spacing w:line="246" w:lineRule="auto"/>
              <w:rPr>
                <w:rFonts w:ascii="Arial"/>
                <w:color w:val="auto"/>
                <w:sz w:val="21"/>
              </w:rPr>
            </w:pPr>
          </w:p>
          <w:p w14:paraId="1591104E">
            <w:pPr>
              <w:spacing w:line="247" w:lineRule="auto"/>
              <w:rPr>
                <w:rFonts w:ascii="Arial"/>
                <w:color w:val="auto"/>
                <w:sz w:val="21"/>
              </w:rPr>
            </w:pPr>
          </w:p>
          <w:p w14:paraId="5CBB391C">
            <w:pPr>
              <w:spacing w:line="247" w:lineRule="auto"/>
              <w:rPr>
                <w:rFonts w:ascii="Arial"/>
                <w:color w:val="auto"/>
                <w:sz w:val="21"/>
              </w:rPr>
            </w:pPr>
          </w:p>
          <w:p w14:paraId="4FDE20BD">
            <w:pPr>
              <w:spacing w:line="247" w:lineRule="auto"/>
              <w:rPr>
                <w:rFonts w:ascii="Arial"/>
                <w:color w:val="auto"/>
                <w:sz w:val="21"/>
              </w:rPr>
            </w:pPr>
          </w:p>
          <w:p w14:paraId="72C113FD">
            <w:pPr>
              <w:pStyle w:val="16"/>
              <w:spacing w:before="78"/>
              <w:ind w:left="120"/>
              <w:rPr>
                <w:color w:val="auto"/>
              </w:rPr>
            </w:pPr>
            <w:r>
              <w:rPr>
                <w:color w:val="auto"/>
                <w:spacing w:val="-7"/>
              </w:rPr>
              <w:t>29</w:t>
            </w:r>
          </w:p>
        </w:tc>
        <w:tc>
          <w:tcPr>
            <w:tcW w:w="2165" w:type="dxa"/>
            <w:vAlign w:val="top"/>
          </w:tcPr>
          <w:p w14:paraId="5D9254E4">
            <w:pPr>
              <w:spacing w:line="246" w:lineRule="auto"/>
              <w:rPr>
                <w:rFonts w:ascii="Arial"/>
                <w:color w:val="auto"/>
                <w:sz w:val="21"/>
              </w:rPr>
            </w:pPr>
          </w:p>
          <w:p w14:paraId="7591C1BE">
            <w:pPr>
              <w:spacing w:line="246" w:lineRule="auto"/>
              <w:rPr>
                <w:rFonts w:ascii="Arial"/>
                <w:color w:val="auto"/>
                <w:sz w:val="21"/>
              </w:rPr>
            </w:pPr>
          </w:p>
          <w:p w14:paraId="5B1D5F25">
            <w:pPr>
              <w:spacing w:line="247" w:lineRule="auto"/>
              <w:rPr>
                <w:rFonts w:ascii="Arial"/>
                <w:color w:val="auto"/>
                <w:sz w:val="21"/>
              </w:rPr>
            </w:pPr>
          </w:p>
          <w:p w14:paraId="1449E5DF">
            <w:pPr>
              <w:spacing w:line="247" w:lineRule="auto"/>
              <w:rPr>
                <w:rFonts w:ascii="Arial"/>
                <w:color w:val="auto"/>
                <w:sz w:val="21"/>
              </w:rPr>
            </w:pPr>
          </w:p>
          <w:p w14:paraId="4D79EC8C">
            <w:pPr>
              <w:spacing w:line="247" w:lineRule="auto"/>
              <w:rPr>
                <w:rFonts w:ascii="Arial"/>
                <w:color w:val="auto"/>
                <w:sz w:val="21"/>
              </w:rPr>
            </w:pPr>
          </w:p>
          <w:p w14:paraId="5DE4CA19">
            <w:pPr>
              <w:pStyle w:val="16"/>
              <w:spacing w:before="78" w:line="219" w:lineRule="auto"/>
              <w:ind w:left="112"/>
              <w:rPr>
                <w:color w:val="auto"/>
              </w:rPr>
            </w:pPr>
            <w:r>
              <w:rPr>
                <w:color w:val="auto"/>
                <w:spacing w:val="-2"/>
              </w:rPr>
              <w:t>签字或盖章要求</w:t>
            </w:r>
          </w:p>
        </w:tc>
        <w:tc>
          <w:tcPr>
            <w:tcW w:w="6971" w:type="dxa"/>
            <w:vAlign w:val="top"/>
          </w:tcPr>
          <w:p w14:paraId="0A4F95F0">
            <w:pPr>
              <w:pStyle w:val="16"/>
              <w:spacing w:before="117" w:line="308" w:lineRule="auto"/>
              <w:ind w:left="113" w:right="111" w:firstLine="2"/>
              <w:jc w:val="both"/>
              <w:rPr>
                <w:color w:val="auto"/>
              </w:rPr>
            </w:pPr>
            <w:r>
              <w:rPr>
                <w:color w:val="auto"/>
                <w:spacing w:val="-1"/>
              </w:rPr>
              <w:t>按政府采购云平台（网址：</w:t>
            </w:r>
            <w:r>
              <w:rPr>
                <w:color w:val="auto"/>
              </w:rPr>
              <w:fldChar w:fldCharType="begin"/>
            </w:r>
            <w:r>
              <w:rPr>
                <w:color w:val="auto"/>
              </w:rPr>
              <w:instrText xml:space="preserve"> HYPERLINK "http://www.zcygov.cn" </w:instrText>
            </w:r>
            <w:r>
              <w:rPr>
                <w:color w:val="auto"/>
              </w:rPr>
              <w:fldChar w:fldCharType="separate"/>
            </w:r>
            <w:r>
              <w:rPr>
                <w:color w:val="auto"/>
                <w:spacing w:val="-1"/>
              </w:rPr>
              <w:t>http://</w:t>
            </w:r>
            <w:r>
              <w:rPr>
                <w:color w:val="auto"/>
                <w:spacing w:val="-59"/>
              </w:rPr>
              <w:t xml:space="preserve"> </w:t>
            </w:r>
            <w:r>
              <w:rPr>
                <w:color w:val="auto"/>
                <w:spacing w:val="-1"/>
              </w:rPr>
              <w:t>www.zcygov</w:t>
            </w:r>
            <w:r>
              <w:rPr>
                <w:color w:val="auto"/>
                <w:spacing w:val="-2"/>
              </w:rPr>
              <w:t>.cn</w:t>
            </w:r>
            <w:r>
              <w:rPr>
                <w:color w:val="auto"/>
                <w:spacing w:val="-2"/>
              </w:rPr>
              <w:fldChar w:fldCharType="end"/>
            </w:r>
            <w:r>
              <w:rPr>
                <w:color w:val="auto"/>
                <w:spacing w:val="-2"/>
              </w:rPr>
              <w:t>）提供的格式</w:t>
            </w:r>
            <w:r>
              <w:rPr>
                <w:color w:val="auto"/>
                <w:spacing w:val="1"/>
              </w:rPr>
              <w:t>及要求填写。按磋商文件提供的格式要求由</w:t>
            </w:r>
            <w:r>
              <w:rPr>
                <w:color w:val="auto"/>
              </w:rPr>
              <w:t>供应商的法定代表人</w:t>
            </w:r>
            <w:r>
              <w:rPr>
                <w:color w:val="auto"/>
                <w:spacing w:val="1"/>
              </w:rPr>
              <w:t>或其委托代理人签字（不得使用印章、签名</w:t>
            </w:r>
            <w:r>
              <w:rPr>
                <w:color w:val="auto"/>
              </w:rPr>
              <w:t>章或其他电子制版签</w:t>
            </w:r>
            <w:r>
              <w:rPr>
                <w:color w:val="auto"/>
                <w:spacing w:val="-1"/>
              </w:rPr>
              <w:t>名代替）和加盖供应商单位公章。</w:t>
            </w:r>
          </w:p>
          <w:p w14:paraId="18CE2394">
            <w:pPr>
              <w:pStyle w:val="16"/>
              <w:spacing w:before="2" w:line="275" w:lineRule="auto"/>
              <w:ind w:left="114" w:right="111" w:firstLine="26"/>
              <w:jc w:val="both"/>
              <w:rPr>
                <w:color w:val="auto"/>
              </w:rPr>
            </w:pPr>
            <w:r>
              <w:rPr>
                <w:color w:val="auto"/>
              </w:rPr>
              <w:t>已标价的工程量清单中的响应总价、工程项目</w:t>
            </w:r>
            <w:r>
              <w:rPr>
                <w:color w:val="auto"/>
                <w:spacing w:val="-1"/>
              </w:rPr>
              <w:t>总价表和分类分项</w:t>
            </w:r>
            <w:r>
              <w:rPr>
                <w:color w:val="auto"/>
              </w:rPr>
              <w:t>工程量清单报价表必须有造价工程师签字。有改动之处应加盖单</w:t>
            </w:r>
            <w:r>
              <w:rPr>
                <w:color w:val="auto"/>
                <w:spacing w:val="-1"/>
              </w:rPr>
              <w:t>位公章或由供应商法定代表人或其授权代理人签名确认。</w:t>
            </w:r>
          </w:p>
        </w:tc>
      </w:tr>
      <w:tr w14:paraId="18687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13" w:type="dxa"/>
            <w:vAlign w:val="top"/>
          </w:tcPr>
          <w:p w14:paraId="5965012A">
            <w:pPr>
              <w:rPr>
                <w:rFonts w:ascii="Arial"/>
                <w:color w:val="auto"/>
                <w:sz w:val="21"/>
              </w:rPr>
            </w:pPr>
          </w:p>
          <w:p w14:paraId="73CAF142">
            <w:pPr>
              <w:pStyle w:val="16"/>
              <w:spacing w:before="78"/>
              <w:ind w:left="122"/>
              <w:rPr>
                <w:color w:val="auto"/>
              </w:rPr>
            </w:pPr>
            <w:r>
              <w:rPr>
                <w:color w:val="auto"/>
                <w:spacing w:val="-8"/>
              </w:rPr>
              <w:t>30</w:t>
            </w:r>
          </w:p>
        </w:tc>
        <w:tc>
          <w:tcPr>
            <w:tcW w:w="2165" w:type="dxa"/>
            <w:vAlign w:val="top"/>
          </w:tcPr>
          <w:p w14:paraId="77C2D3FA">
            <w:pPr>
              <w:pStyle w:val="16"/>
              <w:spacing w:before="319" w:line="220" w:lineRule="auto"/>
              <w:ind w:left="125"/>
              <w:rPr>
                <w:color w:val="auto"/>
              </w:rPr>
            </w:pPr>
            <w:r>
              <w:rPr>
                <w:color w:val="auto"/>
                <w:spacing w:val="-4"/>
              </w:rPr>
              <w:t>响应文件份数</w:t>
            </w:r>
          </w:p>
        </w:tc>
        <w:tc>
          <w:tcPr>
            <w:tcW w:w="6971" w:type="dxa"/>
            <w:vAlign w:val="top"/>
          </w:tcPr>
          <w:p w14:paraId="0201923F">
            <w:pPr>
              <w:pStyle w:val="16"/>
              <w:spacing w:before="120" w:line="260" w:lineRule="auto"/>
              <w:ind w:left="119" w:right="114" w:hanging="2"/>
              <w:rPr>
                <w:color w:val="auto"/>
              </w:rPr>
            </w:pPr>
            <w:r>
              <w:rPr>
                <w:color w:val="auto"/>
              </w:rPr>
              <w:t>投标单位在“政采云”平台（</w:t>
            </w:r>
            <w:r>
              <w:rPr>
                <w:color w:val="auto"/>
              </w:rPr>
              <w:fldChar w:fldCharType="begin"/>
            </w:r>
            <w:r>
              <w:rPr>
                <w:color w:val="auto"/>
              </w:rPr>
              <w:instrText xml:space="preserve"> HYPERLINK "https://www.zcygov.cn/" </w:instrText>
            </w:r>
            <w:r>
              <w:rPr>
                <w:color w:val="auto"/>
              </w:rPr>
              <w:fldChar w:fldCharType="separate"/>
            </w:r>
            <w:r>
              <w:rPr>
                <w:color w:val="auto"/>
              </w:rPr>
              <w:t>https://www.zcygov.cn/</w:t>
            </w:r>
            <w:r>
              <w:rPr>
                <w:color w:val="auto"/>
              </w:rPr>
              <w:fldChar w:fldCharType="end"/>
            </w:r>
            <w:r>
              <w:rPr>
                <w:color w:val="auto"/>
              </w:rPr>
              <w:t>）通过有</w:t>
            </w:r>
            <w:r>
              <w:rPr>
                <w:color w:val="auto"/>
                <w:spacing w:val="-8"/>
              </w:rPr>
              <w:t>效数字证书（CA认证）制作的投标文件（此投标文件须上传至“政</w:t>
            </w:r>
            <w:r>
              <w:rPr>
                <w:color w:val="auto"/>
                <w:spacing w:val="-6"/>
              </w:rPr>
              <w:t>采云</w:t>
            </w:r>
            <w:r>
              <w:rPr>
                <w:color w:val="auto"/>
                <w:spacing w:val="-88"/>
              </w:rPr>
              <w:t xml:space="preserve"> </w:t>
            </w:r>
            <w:r>
              <w:rPr>
                <w:color w:val="auto"/>
                <w:spacing w:val="-6"/>
              </w:rPr>
              <w:t>”平台）。</w:t>
            </w:r>
          </w:p>
        </w:tc>
      </w:tr>
    </w:tbl>
    <w:p w14:paraId="598EA44B">
      <w:pPr>
        <w:spacing w:line="91" w:lineRule="auto"/>
        <w:rPr>
          <w:rFonts w:ascii="Arial"/>
          <w:color w:val="auto"/>
          <w:sz w:val="2"/>
        </w:rPr>
      </w:pPr>
    </w:p>
    <w:tbl>
      <w:tblPr>
        <w:tblStyle w:val="15"/>
        <w:tblW w:w="98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2165"/>
        <w:gridCol w:w="6965"/>
      </w:tblGrid>
      <w:tr w14:paraId="0A378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13" w:type="dxa"/>
            <w:vAlign w:val="top"/>
          </w:tcPr>
          <w:p w14:paraId="43149384">
            <w:pPr>
              <w:pStyle w:val="16"/>
              <w:spacing w:before="239"/>
              <w:ind w:left="122"/>
              <w:rPr>
                <w:color w:val="auto"/>
              </w:rPr>
            </w:pPr>
            <w:r>
              <w:rPr>
                <w:color w:val="auto"/>
                <w:spacing w:val="-8"/>
              </w:rPr>
              <w:t>31</w:t>
            </w:r>
          </w:p>
        </w:tc>
        <w:tc>
          <w:tcPr>
            <w:tcW w:w="2165" w:type="dxa"/>
            <w:vAlign w:val="top"/>
          </w:tcPr>
          <w:p w14:paraId="60F083A2">
            <w:pPr>
              <w:pStyle w:val="16"/>
              <w:spacing w:before="238" w:line="221" w:lineRule="auto"/>
              <w:ind w:left="112"/>
              <w:rPr>
                <w:color w:val="auto"/>
              </w:rPr>
            </w:pPr>
            <w:r>
              <w:rPr>
                <w:color w:val="auto"/>
                <w:spacing w:val="-3"/>
              </w:rPr>
              <w:t>装订要求</w:t>
            </w:r>
          </w:p>
        </w:tc>
        <w:tc>
          <w:tcPr>
            <w:tcW w:w="6965" w:type="dxa"/>
            <w:vAlign w:val="top"/>
          </w:tcPr>
          <w:p w14:paraId="328D2163">
            <w:pPr>
              <w:pStyle w:val="16"/>
              <w:spacing w:before="114" w:line="225" w:lineRule="auto"/>
              <w:ind w:left="113"/>
              <w:rPr>
                <w:color w:val="auto"/>
              </w:rPr>
            </w:pPr>
            <w:r>
              <w:rPr>
                <w:color w:val="auto"/>
              </w:rPr>
              <w:t>/</w:t>
            </w:r>
          </w:p>
        </w:tc>
      </w:tr>
      <w:tr w14:paraId="05796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13" w:type="dxa"/>
            <w:vAlign w:val="top"/>
          </w:tcPr>
          <w:p w14:paraId="0F66CAF9">
            <w:pPr>
              <w:pStyle w:val="16"/>
              <w:spacing w:before="251"/>
              <w:ind w:left="122"/>
              <w:rPr>
                <w:color w:val="auto"/>
              </w:rPr>
            </w:pPr>
            <w:r>
              <w:rPr>
                <w:color w:val="auto"/>
                <w:spacing w:val="-8"/>
              </w:rPr>
              <w:t>32</w:t>
            </w:r>
          </w:p>
        </w:tc>
        <w:tc>
          <w:tcPr>
            <w:tcW w:w="2165" w:type="dxa"/>
            <w:vAlign w:val="top"/>
          </w:tcPr>
          <w:p w14:paraId="7E504F85">
            <w:pPr>
              <w:pStyle w:val="16"/>
              <w:spacing w:before="251" w:line="220" w:lineRule="auto"/>
              <w:ind w:left="111"/>
              <w:rPr>
                <w:color w:val="auto"/>
              </w:rPr>
            </w:pPr>
            <w:r>
              <w:rPr>
                <w:color w:val="auto"/>
                <w:spacing w:val="-2"/>
              </w:rPr>
              <w:t>封套上写明</w:t>
            </w:r>
          </w:p>
        </w:tc>
        <w:tc>
          <w:tcPr>
            <w:tcW w:w="6965" w:type="dxa"/>
            <w:vAlign w:val="top"/>
          </w:tcPr>
          <w:p w14:paraId="3044D854">
            <w:pPr>
              <w:pStyle w:val="16"/>
              <w:spacing w:before="114" w:line="225" w:lineRule="auto"/>
              <w:ind w:left="113"/>
              <w:rPr>
                <w:color w:val="auto"/>
              </w:rPr>
            </w:pPr>
            <w:r>
              <w:rPr>
                <w:color w:val="auto"/>
              </w:rPr>
              <w:t>/</w:t>
            </w:r>
          </w:p>
        </w:tc>
      </w:tr>
      <w:tr w14:paraId="4F2C0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trPr>
        <w:tc>
          <w:tcPr>
            <w:tcW w:w="713" w:type="dxa"/>
            <w:vAlign w:val="top"/>
          </w:tcPr>
          <w:p w14:paraId="3A8E2704">
            <w:pPr>
              <w:spacing w:line="450" w:lineRule="auto"/>
              <w:rPr>
                <w:rFonts w:ascii="Arial"/>
                <w:color w:val="auto"/>
                <w:sz w:val="21"/>
              </w:rPr>
            </w:pPr>
          </w:p>
          <w:p w14:paraId="3A11853B">
            <w:pPr>
              <w:pStyle w:val="16"/>
              <w:spacing w:before="78"/>
              <w:ind w:left="122"/>
              <w:rPr>
                <w:color w:val="auto"/>
              </w:rPr>
            </w:pPr>
            <w:r>
              <w:rPr>
                <w:color w:val="auto"/>
                <w:spacing w:val="-8"/>
              </w:rPr>
              <w:t>33</w:t>
            </w:r>
          </w:p>
        </w:tc>
        <w:tc>
          <w:tcPr>
            <w:tcW w:w="2165" w:type="dxa"/>
            <w:vAlign w:val="top"/>
          </w:tcPr>
          <w:p w14:paraId="3942AD90">
            <w:pPr>
              <w:spacing w:line="450" w:lineRule="auto"/>
              <w:rPr>
                <w:rFonts w:ascii="Arial"/>
                <w:color w:val="auto"/>
                <w:sz w:val="21"/>
              </w:rPr>
            </w:pPr>
          </w:p>
          <w:p w14:paraId="6D3FDF0E">
            <w:pPr>
              <w:pStyle w:val="16"/>
              <w:spacing w:before="78" w:line="221" w:lineRule="auto"/>
              <w:ind w:left="113"/>
              <w:rPr>
                <w:color w:val="auto"/>
              </w:rPr>
            </w:pPr>
            <w:r>
              <w:rPr>
                <w:color w:val="auto"/>
                <w:spacing w:val="-3"/>
              </w:rPr>
              <w:t>开标地点</w:t>
            </w:r>
          </w:p>
        </w:tc>
        <w:tc>
          <w:tcPr>
            <w:tcW w:w="6965" w:type="dxa"/>
            <w:vAlign w:val="top"/>
          </w:tcPr>
          <w:p w14:paraId="0C5C6471">
            <w:pPr>
              <w:pStyle w:val="16"/>
              <w:spacing w:before="131" w:line="307" w:lineRule="auto"/>
              <w:ind w:left="125" w:right="108" w:hanging="11"/>
              <w:rPr>
                <w:color w:val="auto"/>
              </w:rPr>
            </w:pPr>
            <w:r>
              <w:rPr>
                <w:color w:val="auto"/>
                <w:spacing w:val="-4"/>
              </w:rPr>
              <w:t>地点：</w:t>
            </w:r>
            <w:r>
              <w:rPr>
                <w:rFonts w:hint="eastAsia"/>
                <w:color w:val="auto"/>
                <w:spacing w:val="-4"/>
              </w:rPr>
              <w:t>舒兰市公共资源交易中心六楼开标室（迎宾大街1号舒兰市市民服务中心604室）</w:t>
            </w:r>
            <w:r>
              <w:rPr>
                <w:color w:val="auto"/>
                <w:spacing w:val="-3"/>
              </w:rPr>
              <w:t>。</w:t>
            </w:r>
          </w:p>
          <w:p w14:paraId="7A9861EE">
            <w:pPr>
              <w:pStyle w:val="16"/>
              <w:spacing w:line="220" w:lineRule="auto"/>
              <w:ind w:left="115"/>
              <w:rPr>
                <w:color w:val="auto"/>
              </w:rPr>
            </w:pPr>
            <w:r>
              <w:rPr>
                <w:color w:val="auto"/>
                <w:spacing w:val="-6"/>
              </w:rPr>
              <w:t>提交截止时间：</w:t>
            </w:r>
            <w:r>
              <w:rPr>
                <w:rFonts w:hint="eastAsia" w:ascii="宋体" w:hAnsi="宋体" w:eastAsia="宋体" w:cs="宋体"/>
                <w:color w:val="auto"/>
                <w:spacing w:val="-1"/>
                <w:sz w:val="24"/>
                <w:szCs w:val="24"/>
              </w:rPr>
              <w:t>2026年</w:t>
            </w:r>
            <w:r>
              <w:rPr>
                <w:rFonts w:hint="eastAsia" w:cs="宋体"/>
                <w:color w:val="auto"/>
                <w:spacing w:val="-1"/>
                <w:sz w:val="24"/>
                <w:szCs w:val="24"/>
                <w:lang w:val="en-US" w:eastAsia="zh-CN"/>
              </w:rPr>
              <w:t>05</w:t>
            </w:r>
            <w:r>
              <w:rPr>
                <w:rFonts w:hint="eastAsia" w:ascii="宋体" w:hAnsi="宋体" w:eastAsia="宋体" w:cs="宋体"/>
                <w:color w:val="auto"/>
                <w:spacing w:val="-1"/>
                <w:sz w:val="24"/>
                <w:szCs w:val="24"/>
              </w:rPr>
              <w:t>月</w:t>
            </w:r>
            <w:r>
              <w:rPr>
                <w:rFonts w:hint="eastAsia" w:cs="宋体"/>
                <w:color w:val="auto"/>
                <w:spacing w:val="-1"/>
                <w:sz w:val="24"/>
                <w:szCs w:val="24"/>
                <w:lang w:val="en-US" w:eastAsia="zh-CN"/>
              </w:rPr>
              <w:t>21</w:t>
            </w:r>
            <w:r>
              <w:rPr>
                <w:rFonts w:hint="eastAsia" w:ascii="宋体" w:hAnsi="宋体" w:eastAsia="宋体" w:cs="宋体"/>
                <w:color w:val="auto"/>
                <w:spacing w:val="-1"/>
                <w:sz w:val="24"/>
                <w:szCs w:val="24"/>
              </w:rPr>
              <w:t>日</w:t>
            </w:r>
            <w:r>
              <w:rPr>
                <w:rFonts w:hint="eastAsia" w:cs="宋体"/>
                <w:color w:val="auto"/>
                <w:spacing w:val="-1"/>
                <w:sz w:val="24"/>
                <w:szCs w:val="24"/>
                <w:lang w:val="en-US" w:eastAsia="zh-CN"/>
              </w:rPr>
              <w:t>14</w:t>
            </w:r>
            <w:r>
              <w:rPr>
                <w:rFonts w:hint="eastAsia" w:ascii="宋体" w:hAnsi="宋体" w:eastAsia="宋体" w:cs="宋体"/>
                <w:color w:val="auto"/>
                <w:spacing w:val="-1"/>
                <w:sz w:val="24"/>
                <w:szCs w:val="24"/>
              </w:rPr>
              <w:t>点</w:t>
            </w:r>
            <w:r>
              <w:rPr>
                <w:rFonts w:hint="eastAsia" w:cs="宋体"/>
                <w:color w:val="auto"/>
                <w:spacing w:val="-1"/>
                <w:sz w:val="24"/>
                <w:szCs w:val="24"/>
                <w:lang w:val="en-US" w:eastAsia="zh-CN"/>
              </w:rPr>
              <w:t>0</w:t>
            </w:r>
            <w:r>
              <w:rPr>
                <w:rFonts w:hint="eastAsia" w:ascii="宋体" w:hAnsi="宋体" w:eastAsia="宋体" w:cs="宋体"/>
                <w:color w:val="auto"/>
                <w:spacing w:val="-1"/>
                <w:sz w:val="24"/>
                <w:szCs w:val="24"/>
              </w:rPr>
              <w:t>0分（北京时间）</w:t>
            </w:r>
            <w:r>
              <w:rPr>
                <w:color w:val="auto"/>
                <w:spacing w:val="-6"/>
              </w:rPr>
              <w:t>。</w:t>
            </w:r>
          </w:p>
        </w:tc>
      </w:tr>
      <w:tr w14:paraId="0413A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713" w:type="dxa"/>
            <w:vAlign w:val="top"/>
          </w:tcPr>
          <w:p w14:paraId="08F7CD8F">
            <w:pPr>
              <w:pStyle w:val="16"/>
              <w:spacing w:before="220"/>
              <w:ind w:left="122"/>
              <w:rPr>
                <w:color w:val="auto"/>
              </w:rPr>
            </w:pPr>
            <w:r>
              <w:rPr>
                <w:color w:val="auto"/>
                <w:spacing w:val="-8"/>
              </w:rPr>
              <w:t>34</w:t>
            </w:r>
          </w:p>
        </w:tc>
        <w:tc>
          <w:tcPr>
            <w:tcW w:w="2165" w:type="dxa"/>
            <w:vAlign w:val="top"/>
          </w:tcPr>
          <w:p w14:paraId="1A1638B3">
            <w:pPr>
              <w:pStyle w:val="16"/>
              <w:spacing w:before="220" w:line="220" w:lineRule="auto"/>
              <w:ind w:left="116"/>
              <w:rPr>
                <w:color w:val="auto"/>
              </w:rPr>
            </w:pPr>
            <w:r>
              <w:rPr>
                <w:color w:val="auto"/>
                <w:spacing w:val="-2"/>
              </w:rPr>
              <w:t>是否退还响应文件</w:t>
            </w:r>
          </w:p>
        </w:tc>
        <w:tc>
          <w:tcPr>
            <w:tcW w:w="6965" w:type="dxa"/>
            <w:vAlign w:val="top"/>
          </w:tcPr>
          <w:p w14:paraId="7A471E07">
            <w:pPr>
              <w:pStyle w:val="16"/>
              <w:spacing w:before="220" w:line="223" w:lineRule="auto"/>
              <w:ind w:left="118"/>
              <w:rPr>
                <w:color w:val="auto"/>
              </w:rPr>
            </w:pPr>
            <w:r>
              <w:rPr>
                <w:color w:val="auto"/>
                <w:spacing w:val="-5"/>
              </w:rPr>
              <w:t>不退还</w:t>
            </w:r>
          </w:p>
        </w:tc>
      </w:tr>
      <w:tr w14:paraId="56AC0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13" w:type="dxa"/>
            <w:vAlign w:val="top"/>
          </w:tcPr>
          <w:p w14:paraId="11966866">
            <w:pPr>
              <w:spacing w:line="435" w:lineRule="auto"/>
              <w:rPr>
                <w:rFonts w:ascii="Arial"/>
                <w:color w:val="auto"/>
                <w:sz w:val="21"/>
              </w:rPr>
            </w:pPr>
          </w:p>
          <w:p w14:paraId="50F1ABA7">
            <w:pPr>
              <w:pStyle w:val="16"/>
              <w:spacing w:before="78"/>
              <w:ind w:left="122"/>
              <w:rPr>
                <w:color w:val="auto"/>
              </w:rPr>
            </w:pPr>
            <w:r>
              <w:rPr>
                <w:color w:val="auto"/>
                <w:spacing w:val="-8"/>
              </w:rPr>
              <w:t>35</w:t>
            </w:r>
          </w:p>
        </w:tc>
        <w:tc>
          <w:tcPr>
            <w:tcW w:w="2165" w:type="dxa"/>
            <w:vAlign w:val="top"/>
          </w:tcPr>
          <w:p w14:paraId="687613D9">
            <w:pPr>
              <w:spacing w:line="435" w:lineRule="auto"/>
              <w:rPr>
                <w:rFonts w:ascii="Arial"/>
                <w:color w:val="auto"/>
                <w:sz w:val="21"/>
              </w:rPr>
            </w:pPr>
          </w:p>
          <w:p w14:paraId="48C2869C">
            <w:pPr>
              <w:pStyle w:val="16"/>
              <w:spacing w:before="78" w:line="221" w:lineRule="auto"/>
              <w:ind w:left="111"/>
              <w:rPr>
                <w:color w:val="auto"/>
              </w:rPr>
            </w:pPr>
            <w:r>
              <w:rPr>
                <w:color w:val="auto"/>
                <w:spacing w:val="-2"/>
              </w:rPr>
              <w:t>磋商时间和地点</w:t>
            </w:r>
          </w:p>
        </w:tc>
        <w:tc>
          <w:tcPr>
            <w:tcW w:w="6965" w:type="dxa"/>
            <w:vAlign w:val="top"/>
          </w:tcPr>
          <w:p w14:paraId="578E8345">
            <w:pPr>
              <w:pStyle w:val="16"/>
              <w:spacing w:before="115" w:line="220" w:lineRule="auto"/>
              <w:ind w:left="113"/>
              <w:rPr>
                <w:color w:val="auto"/>
              </w:rPr>
            </w:pPr>
            <w:r>
              <w:rPr>
                <w:color w:val="auto"/>
                <w:spacing w:val="-6"/>
              </w:rPr>
              <w:t>磋商时间：</w:t>
            </w:r>
            <w:r>
              <w:rPr>
                <w:rFonts w:hint="eastAsia" w:ascii="宋体" w:hAnsi="宋体" w:eastAsia="宋体" w:cs="宋体"/>
                <w:color w:val="auto"/>
                <w:spacing w:val="-1"/>
                <w:sz w:val="24"/>
                <w:szCs w:val="24"/>
              </w:rPr>
              <w:t>2026年</w:t>
            </w:r>
            <w:r>
              <w:rPr>
                <w:rFonts w:hint="eastAsia" w:cs="宋体"/>
                <w:color w:val="auto"/>
                <w:spacing w:val="-1"/>
                <w:sz w:val="24"/>
                <w:szCs w:val="24"/>
                <w:lang w:val="en-US" w:eastAsia="zh-CN"/>
              </w:rPr>
              <w:t>05</w:t>
            </w:r>
            <w:r>
              <w:rPr>
                <w:rFonts w:hint="eastAsia" w:ascii="宋体" w:hAnsi="宋体" w:eastAsia="宋体" w:cs="宋体"/>
                <w:color w:val="auto"/>
                <w:spacing w:val="-1"/>
                <w:sz w:val="24"/>
                <w:szCs w:val="24"/>
              </w:rPr>
              <w:t>月</w:t>
            </w:r>
            <w:r>
              <w:rPr>
                <w:rFonts w:hint="eastAsia" w:cs="宋体"/>
                <w:color w:val="auto"/>
                <w:spacing w:val="-1"/>
                <w:sz w:val="24"/>
                <w:szCs w:val="24"/>
                <w:lang w:val="en-US" w:eastAsia="zh-CN"/>
              </w:rPr>
              <w:t>21</w:t>
            </w:r>
            <w:r>
              <w:rPr>
                <w:rFonts w:hint="eastAsia" w:ascii="宋体" w:hAnsi="宋体" w:eastAsia="宋体" w:cs="宋体"/>
                <w:color w:val="auto"/>
                <w:spacing w:val="-1"/>
                <w:sz w:val="24"/>
                <w:szCs w:val="24"/>
              </w:rPr>
              <w:t>日</w:t>
            </w:r>
            <w:r>
              <w:rPr>
                <w:rFonts w:hint="eastAsia" w:cs="宋体"/>
                <w:color w:val="auto"/>
                <w:spacing w:val="-1"/>
                <w:sz w:val="24"/>
                <w:szCs w:val="24"/>
                <w:lang w:val="en-US" w:eastAsia="zh-CN"/>
              </w:rPr>
              <w:t>14</w:t>
            </w:r>
            <w:r>
              <w:rPr>
                <w:rFonts w:hint="eastAsia" w:ascii="宋体" w:hAnsi="宋体" w:eastAsia="宋体" w:cs="宋体"/>
                <w:color w:val="auto"/>
                <w:spacing w:val="-1"/>
                <w:sz w:val="24"/>
                <w:szCs w:val="24"/>
              </w:rPr>
              <w:t>点</w:t>
            </w:r>
            <w:r>
              <w:rPr>
                <w:rFonts w:hint="eastAsia" w:cs="宋体"/>
                <w:color w:val="auto"/>
                <w:spacing w:val="-1"/>
                <w:sz w:val="24"/>
                <w:szCs w:val="24"/>
                <w:lang w:val="en-US" w:eastAsia="zh-CN"/>
              </w:rPr>
              <w:t>0</w:t>
            </w:r>
            <w:r>
              <w:rPr>
                <w:rFonts w:hint="eastAsia" w:ascii="宋体" w:hAnsi="宋体" w:eastAsia="宋体" w:cs="宋体"/>
                <w:color w:val="auto"/>
                <w:spacing w:val="-1"/>
                <w:sz w:val="24"/>
                <w:szCs w:val="24"/>
              </w:rPr>
              <w:t>0分（北京时间）</w:t>
            </w:r>
          </w:p>
          <w:p w14:paraId="4BFD09A3">
            <w:pPr>
              <w:pStyle w:val="16"/>
              <w:spacing w:before="113" w:line="261" w:lineRule="auto"/>
              <w:ind w:left="114" w:right="108" w:hanging="1"/>
              <w:rPr>
                <w:color w:val="auto"/>
              </w:rPr>
            </w:pPr>
            <w:r>
              <w:rPr>
                <w:color w:val="auto"/>
                <w:spacing w:val="9"/>
              </w:rPr>
              <w:t>磋商地点：</w:t>
            </w:r>
            <w:r>
              <w:rPr>
                <w:rFonts w:hint="eastAsia"/>
                <w:color w:val="auto"/>
                <w:spacing w:val="9"/>
              </w:rPr>
              <w:t>舒兰市公共资源交易中心六楼开标室（迎宾大街1号舒兰市市民服务中心604室）</w:t>
            </w:r>
            <w:r>
              <w:rPr>
                <w:color w:val="auto"/>
                <w:spacing w:val="-2"/>
              </w:rPr>
              <w:t>。</w:t>
            </w:r>
          </w:p>
        </w:tc>
      </w:tr>
      <w:tr w14:paraId="59007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713" w:type="dxa"/>
            <w:vAlign w:val="top"/>
          </w:tcPr>
          <w:p w14:paraId="7724ABF5">
            <w:pPr>
              <w:pStyle w:val="16"/>
              <w:spacing w:before="313"/>
              <w:ind w:left="122"/>
              <w:rPr>
                <w:color w:val="auto"/>
              </w:rPr>
            </w:pPr>
            <w:r>
              <w:rPr>
                <w:color w:val="auto"/>
                <w:spacing w:val="-8"/>
              </w:rPr>
              <w:t>36</w:t>
            </w:r>
          </w:p>
        </w:tc>
        <w:tc>
          <w:tcPr>
            <w:tcW w:w="2165" w:type="dxa"/>
            <w:vAlign w:val="top"/>
          </w:tcPr>
          <w:p w14:paraId="2EA489BE">
            <w:pPr>
              <w:pStyle w:val="16"/>
              <w:spacing w:before="312" w:line="221" w:lineRule="auto"/>
              <w:ind w:left="113"/>
              <w:rPr>
                <w:color w:val="auto"/>
              </w:rPr>
            </w:pPr>
            <w:r>
              <w:rPr>
                <w:color w:val="auto"/>
                <w:spacing w:val="-3"/>
              </w:rPr>
              <w:t>开标程序</w:t>
            </w:r>
          </w:p>
        </w:tc>
        <w:tc>
          <w:tcPr>
            <w:tcW w:w="6965" w:type="dxa"/>
            <w:vAlign w:val="top"/>
          </w:tcPr>
          <w:p w14:paraId="2D158713">
            <w:pPr>
              <w:pStyle w:val="16"/>
              <w:spacing w:before="313" w:line="219" w:lineRule="auto"/>
              <w:ind w:left="143"/>
              <w:rPr>
                <w:color w:val="auto"/>
              </w:rPr>
            </w:pPr>
            <w:r>
              <w:rPr>
                <w:color w:val="auto"/>
                <w:spacing w:val="-4"/>
              </w:rPr>
              <w:t>由供应商解密投标文件</w:t>
            </w:r>
          </w:p>
        </w:tc>
      </w:tr>
      <w:tr w14:paraId="4BE93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13" w:type="dxa"/>
            <w:vAlign w:val="top"/>
          </w:tcPr>
          <w:p w14:paraId="24FBE985">
            <w:pPr>
              <w:spacing w:line="436" w:lineRule="auto"/>
              <w:rPr>
                <w:rFonts w:ascii="Arial"/>
                <w:color w:val="auto"/>
                <w:sz w:val="21"/>
              </w:rPr>
            </w:pPr>
          </w:p>
          <w:p w14:paraId="06FD4407">
            <w:pPr>
              <w:pStyle w:val="16"/>
              <w:spacing w:before="78"/>
              <w:ind w:left="122"/>
              <w:rPr>
                <w:color w:val="auto"/>
              </w:rPr>
            </w:pPr>
            <w:r>
              <w:rPr>
                <w:color w:val="auto"/>
                <w:spacing w:val="-8"/>
              </w:rPr>
              <w:t>37</w:t>
            </w:r>
          </w:p>
        </w:tc>
        <w:tc>
          <w:tcPr>
            <w:tcW w:w="2165" w:type="dxa"/>
            <w:vAlign w:val="top"/>
          </w:tcPr>
          <w:p w14:paraId="328F09EF">
            <w:pPr>
              <w:spacing w:line="435" w:lineRule="auto"/>
              <w:rPr>
                <w:rFonts w:ascii="Arial"/>
                <w:color w:val="auto"/>
                <w:sz w:val="21"/>
              </w:rPr>
            </w:pPr>
          </w:p>
          <w:p w14:paraId="085FAF03">
            <w:pPr>
              <w:pStyle w:val="16"/>
              <w:spacing w:before="78" w:line="221" w:lineRule="auto"/>
              <w:ind w:left="111"/>
              <w:rPr>
                <w:color w:val="auto"/>
              </w:rPr>
            </w:pPr>
            <w:r>
              <w:rPr>
                <w:color w:val="auto"/>
                <w:spacing w:val="-2"/>
              </w:rPr>
              <w:t>磋商小组的组建</w:t>
            </w:r>
          </w:p>
        </w:tc>
        <w:tc>
          <w:tcPr>
            <w:tcW w:w="6965" w:type="dxa"/>
            <w:vAlign w:val="top"/>
          </w:tcPr>
          <w:p w14:paraId="5A68A778">
            <w:pPr>
              <w:pStyle w:val="16"/>
              <w:spacing w:before="116" w:line="219" w:lineRule="auto"/>
              <w:ind w:left="113"/>
              <w:rPr>
                <w:color w:val="auto"/>
              </w:rPr>
            </w:pPr>
            <w:r>
              <w:rPr>
                <w:color w:val="auto"/>
                <w:spacing w:val="-2"/>
              </w:rPr>
              <w:t>磋商小组构成：社会专家</w:t>
            </w:r>
            <w:r>
              <w:rPr>
                <w:color w:val="auto"/>
                <w:spacing w:val="-44"/>
              </w:rPr>
              <w:t xml:space="preserve"> </w:t>
            </w:r>
            <w:r>
              <w:rPr>
                <w:color w:val="auto"/>
                <w:spacing w:val="-2"/>
              </w:rPr>
              <w:t>3</w:t>
            </w:r>
            <w:r>
              <w:rPr>
                <w:color w:val="auto"/>
                <w:spacing w:val="-49"/>
              </w:rPr>
              <w:t xml:space="preserve"> </w:t>
            </w:r>
            <w:r>
              <w:rPr>
                <w:color w:val="auto"/>
                <w:spacing w:val="-2"/>
              </w:rPr>
              <w:t>人</w:t>
            </w:r>
          </w:p>
          <w:p w14:paraId="6C0D65F5">
            <w:pPr>
              <w:pStyle w:val="16"/>
              <w:spacing w:before="116" w:line="260" w:lineRule="auto"/>
              <w:ind w:left="113" w:right="105"/>
              <w:rPr>
                <w:color w:val="auto"/>
              </w:rPr>
            </w:pPr>
            <w:r>
              <w:rPr>
                <w:color w:val="auto"/>
                <w:spacing w:val="1"/>
              </w:rPr>
              <w:t>评标专家确定方式：从依法设立的政府采购</w:t>
            </w:r>
            <w:r>
              <w:rPr>
                <w:color w:val="auto"/>
              </w:rPr>
              <w:t>专家库中按相应的专</w:t>
            </w:r>
            <w:r>
              <w:rPr>
                <w:color w:val="auto"/>
                <w:spacing w:val="-2"/>
              </w:rPr>
              <w:t>业随机抽取。</w:t>
            </w:r>
          </w:p>
        </w:tc>
      </w:tr>
      <w:tr w14:paraId="46550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713" w:type="dxa"/>
            <w:vAlign w:val="top"/>
          </w:tcPr>
          <w:p w14:paraId="36D4B8A2">
            <w:pPr>
              <w:spacing w:line="437" w:lineRule="auto"/>
              <w:rPr>
                <w:rFonts w:ascii="Arial"/>
                <w:color w:val="auto"/>
                <w:sz w:val="21"/>
              </w:rPr>
            </w:pPr>
          </w:p>
          <w:p w14:paraId="532AE1D2">
            <w:pPr>
              <w:pStyle w:val="16"/>
              <w:spacing w:before="78"/>
              <w:ind w:left="122"/>
              <w:rPr>
                <w:color w:val="auto"/>
              </w:rPr>
            </w:pPr>
            <w:r>
              <w:rPr>
                <w:color w:val="auto"/>
                <w:spacing w:val="-8"/>
              </w:rPr>
              <w:t>38</w:t>
            </w:r>
          </w:p>
        </w:tc>
        <w:tc>
          <w:tcPr>
            <w:tcW w:w="2165" w:type="dxa"/>
            <w:vAlign w:val="top"/>
          </w:tcPr>
          <w:p w14:paraId="53A3B2C0">
            <w:pPr>
              <w:pStyle w:val="16"/>
              <w:spacing w:before="114" w:line="277" w:lineRule="auto"/>
              <w:ind w:left="112" w:right="107" w:firstLine="3"/>
              <w:jc w:val="both"/>
              <w:rPr>
                <w:color w:val="auto"/>
              </w:rPr>
            </w:pPr>
            <w:r>
              <w:rPr>
                <w:color w:val="auto"/>
                <w:spacing w:val="1"/>
              </w:rPr>
              <w:t>是否授权竞争性磋</w:t>
            </w:r>
            <w:r>
              <w:rPr>
                <w:color w:val="auto"/>
                <w:spacing w:val="2"/>
              </w:rPr>
              <w:t>商小组确定成交单</w:t>
            </w:r>
            <w:r>
              <w:rPr>
                <w:color w:val="auto"/>
              </w:rPr>
              <w:t>位</w:t>
            </w:r>
          </w:p>
        </w:tc>
        <w:tc>
          <w:tcPr>
            <w:tcW w:w="6965" w:type="dxa"/>
            <w:vAlign w:val="top"/>
          </w:tcPr>
          <w:p w14:paraId="525D790E">
            <w:pPr>
              <w:pStyle w:val="16"/>
              <w:spacing w:before="114" w:line="277" w:lineRule="auto"/>
              <w:ind w:left="114" w:right="105"/>
              <w:jc w:val="both"/>
              <w:rPr>
                <w:color w:val="auto"/>
              </w:rPr>
            </w:pPr>
            <w:r>
              <w:rPr>
                <w:color w:val="auto"/>
              </w:rPr>
              <w:t>根据各单位最终报价和合格磋商单位的响应文件进行磋商综合详细打分，按照汇总得分由高到低的顺序排序，并确定排名第一的</w:t>
            </w:r>
            <w:r>
              <w:rPr>
                <w:color w:val="auto"/>
                <w:spacing w:val="-2"/>
              </w:rPr>
              <w:t>为预成交单位。</w:t>
            </w:r>
          </w:p>
        </w:tc>
      </w:tr>
      <w:tr w14:paraId="422A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713" w:type="dxa"/>
            <w:vAlign w:val="top"/>
          </w:tcPr>
          <w:p w14:paraId="176794A3">
            <w:pPr>
              <w:spacing w:line="318" w:lineRule="auto"/>
              <w:rPr>
                <w:rFonts w:ascii="Arial"/>
                <w:color w:val="auto"/>
                <w:sz w:val="21"/>
              </w:rPr>
            </w:pPr>
          </w:p>
          <w:p w14:paraId="1D732960">
            <w:pPr>
              <w:spacing w:line="319" w:lineRule="auto"/>
              <w:rPr>
                <w:rFonts w:ascii="Arial"/>
                <w:color w:val="auto"/>
                <w:sz w:val="21"/>
              </w:rPr>
            </w:pPr>
          </w:p>
          <w:p w14:paraId="3FDE6110">
            <w:pPr>
              <w:pStyle w:val="16"/>
              <w:spacing w:before="78"/>
              <w:ind w:left="122"/>
              <w:rPr>
                <w:color w:val="auto"/>
              </w:rPr>
            </w:pPr>
            <w:r>
              <w:rPr>
                <w:color w:val="auto"/>
                <w:spacing w:val="-8"/>
              </w:rPr>
              <w:t>39</w:t>
            </w:r>
          </w:p>
        </w:tc>
        <w:tc>
          <w:tcPr>
            <w:tcW w:w="2165" w:type="dxa"/>
            <w:vAlign w:val="top"/>
          </w:tcPr>
          <w:p w14:paraId="1DDE23FD">
            <w:pPr>
              <w:spacing w:line="437" w:lineRule="auto"/>
              <w:rPr>
                <w:rFonts w:ascii="Arial"/>
                <w:color w:val="auto"/>
                <w:sz w:val="21"/>
              </w:rPr>
            </w:pPr>
          </w:p>
          <w:p w14:paraId="0B12C8E7">
            <w:pPr>
              <w:pStyle w:val="16"/>
              <w:spacing w:before="78" w:line="310" w:lineRule="auto"/>
              <w:ind w:left="112" w:right="107" w:firstLine="3"/>
              <w:rPr>
                <w:color w:val="auto"/>
              </w:rPr>
            </w:pPr>
            <w:r>
              <w:rPr>
                <w:color w:val="auto"/>
                <w:spacing w:val="1"/>
              </w:rPr>
              <w:t>履约、支付担保金</w:t>
            </w:r>
            <w:r>
              <w:rPr>
                <w:color w:val="auto"/>
              </w:rPr>
              <w:t>额</w:t>
            </w:r>
          </w:p>
        </w:tc>
        <w:tc>
          <w:tcPr>
            <w:tcW w:w="6965" w:type="dxa"/>
            <w:vAlign w:val="top"/>
          </w:tcPr>
          <w:p w14:paraId="4513A840">
            <w:pPr>
              <w:pStyle w:val="16"/>
              <w:spacing w:before="116" w:line="222" w:lineRule="auto"/>
              <w:ind w:left="137"/>
              <w:rPr>
                <w:color w:val="auto"/>
              </w:rPr>
            </w:pPr>
            <w:r>
              <w:rPr>
                <w:rFonts w:ascii="MS UI Gothic" w:hAnsi="MS UI Gothic" w:eastAsia="MS UI Gothic" w:cs="MS UI Gothic"/>
                <w:color w:val="auto"/>
                <w:spacing w:val="-11"/>
              </w:rPr>
              <w:t>□</w:t>
            </w:r>
            <w:r>
              <w:rPr>
                <w:color w:val="auto"/>
                <w:spacing w:val="-11"/>
              </w:rPr>
              <w:t>收取</w:t>
            </w:r>
          </w:p>
          <w:p w14:paraId="6E3EC8DD">
            <w:pPr>
              <w:pStyle w:val="16"/>
              <w:spacing w:before="112" w:line="220" w:lineRule="auto"/>
              <w:ind w:left="118"/>
              <w:rPr>
                <w:color w:val="auto"/>
              </w:rPr>
            </w:pPr>
            <w:r>
              <w:rPr>
                <w:color w:val="auto"/>
                <w:spacing w:val="-1"/>
              </w:rPr>
              <w:t>履约、支付担保的形式：银行汇票及银行、保函</w:t>
            </w:r>
          </w:p>
          <w:p w14:paraId="05CD0459">
            <w:pPr>
              <w:pStyle w:val="16"/>
              <w:spacing w:before="114" w:line="220" w:lineRule="auto"/>
              <w:ind w:left="118"/>
              <w:rPr>
                <w:color w:val="auto"/>
              </w:rPr>
            </w:pPr>
            <w:r>
              <w:rPr>
                <w:color w:val="auto"/>
                <w:spacing w:val="-1"/>
              </w:rPr>
              <w:t>履约、支付担保的金额：以合同签订为准</w:t>
            </w:r>
          </w:p>
          <w:p w14:paraId="2B99B894">
            <w:pPr>
              <w:pStyle w:val="16"/>
              <w:spacing w:before="111" w:line="214" w:lineRule="auto"/>
              <w:ind w:left="124"/>
              <w:rPr>
                <w:color w:val="auto"/>
              </w:rPr>
            </w:pPr>
            <w:r>
              <w:rPr>
                <w:rFonts w:ascii="MS UI Gothic" w:hAnsi="MS UI Gothic" w:eastAsia="MS UI Gothic" w:cs="MS UI Gothic"/>
                <w:color w:val="auto"/>
                <w:spacing w:val="-5"/>
              </w:rPr>
              <w:t>☑</w:t>
            </w:r>
            <w:r>
              <w:rPr>
                <w:color w:val="auto"/>
                <w:spacing w:val="-5"/>
              </w:rPr>
              <w:t>不收取</w:t>
            </w:r>
          </w:p>
        </w:tc>
      </w:tr>
      <w:tr w14:paraId="6892A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13" w:type="dxa"/>
            <w:vAlign w:val="top"/>
          </w:tcPr>
          <w:p w14:paraId="3D9EB17A">
            <w:pPr>
              <w:rPr>
                <w:rFonts w:ascii="Arial"/>
                <w:color w:val="auto"/>
                <w:sz w:val="21"/>
              </w:rPr>
            </w:pPr>
          </w:p>
          <w:p w14:paraId="72EE893D">
            <w:pPr>
              <w:pStyle w:val="16"/>
              <w:spacing w:before="78"/>
              <w:ind w:left="116"/>
              <w:rPr>
                <w:color w:val="auto"/>
              </w:rPr>
            </w:pPr>
            <w:r>
              <w:rPr>
                <w:color w:val="auto"/>
                <w:spacing w:val="-5"/>
              </w:rPr>
              <w:t>40</w:t>
            </w:r>
          </w:p>
        </w:tc>
        <w:tc>
          <w:tcPr>
            <w:tcW w:w="2165" w:type="dxa"/>
            <w:vAlign w:val="top"/>
          </w:tcPr>
          <w:p w14:paraId="4560461A">
            <w:pPr>
              <w:pStyle w:val="16"/>
              <w:spacing w:before="318" w:line="219" w:lineRule="auto"/>
              <w:ind w:left="113"/>
              <w:rPr>
                <w:color w:val="auto"/>
              </w:rPr>
            </w:pPr>
            <w:r>
              <w:rPr>
                <w:color w:val="auto"/>
                <w:spacing w:val="-3"/>
              </w:rPr>
              <w:t>招标控制价</w:t>
            </w:r>
          </w:p>
        </w:tc>
        <w:tc>
          <w:tcPr>
            <w:tcW w:w="6965" w:type="dxa"/>
            <w:vAlign w:val="top"/>
          </w:tcPr>
          <w:p w14:paraId="7FE1085B">
            <w:pPr>
              <w:pStyle w:val="16"/>
              <w:spacing w:before="113" w:line="213" w:lineRule="auto"/>
              <w:ind w:left="114"/>
              <w:rPr>
                <w:rFonts w:hint="eastAsia" w:ascii="宋体" w:hAnsi="宋体" w:cs="宋体"/>
                <w:color w:val="auto"/>
                <w:spacing w:val="2"/>
                <w:sz w:val="24"/>
                <w:szCs w:val="24"/>
                <w:lang w:val="en-US" w:eastAsia="zh-CN"/>
              </w:rPr>
            </w:pPr>
            <w:r>
              <w:rPr>
                <w:rFonts w:hint="eastAsia" w:ascii="宋体" w:hAnsi="宋体" w:cs="宋体"/>
                <w:color w:val="auto"/>
                <w:spacing w:val="2"/>
                <w:sz w:val="24"/>
                <w:szCs w:val="24"/>
                <w:lang w:val="en-US" w:eastAsia="zh-CN"/>
              </w:rPr>
              <w:t>1,182,839.00元</w:t>
            </w:r>
          </w:p>
          <w:p w14:paraId="067BE1C0">
            <w:pPr>
              <w:pStyle w:val="16"/>
              <w:spacing w:before="113" w:line="213" w:lineRule="auto"/>
              <w:ind w:left="114"/>
              <w:rPr>
                <w:color w:val="auto"/>
              </w:rPr>
            </w:pPr>
            <w:r>
              <w:rPr>
                <w:color w:val="auto"/>
                <w:spacing w:val="-1"/>
              </w:rPr>
              <w:t>注：超过招标控制价的投标报价将会被废标。</w:t>
            </w:r>
          </w:p>
        </w:tc>
      </w:tr>
      <w:tr w14:paraId="79821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13" w:type="dxa"/>
            <w:vAlign w:val="top"/>
          </w:tcPr>
          <w:p w14:paraId="5F170CFE">
            <w:pPr>
              <w:pStyle w:val="16"/>
              <w:spacing w:before="200" w:line="242" w:lineRule="auto"/>
              <w:ind w:left="116"/>
              <w:rPr>
                <w:color w:val="auto"/>
              </w:rPr>
            </w:pPr>
            <w:r>
              <w:rPr>
                <w:color w:val="auto"/>
                <w:spacing w:val="-5"/>
              </w:rPr>
              <w:t>41</w:t>
            </w:r>
          </w:p>
        </w:tc>
        <w:tc>
          <w:tcPr>
            <w:tcW w:w="2165" w:type="dxa"/>
            <w:vAlign w:val="top"/>
          </w:tcPr>
          <w:p w14:paraId="238EA87F">
            <w:pPr>
              <w:pStyle w:val="16"/>
              <w:spacing w:before="200" w:line="220" w:lineRule="auto"/>
              <w:ind w:left="111"/>
              <w:rPr>
                <w:color w:val="auto"/>
              </w:rPr>
            </w:pPr>
            <w:r>
              <w:rPr>
                <w:color w:val="auto"/>
                <w:spacing w:val="-3"/>
              </w:rPr>
              <w:t>评审办法</w:t>
            </w:r>
          </w:p>
        </w:tc>
        <w:tc>
          <w:tcPr>
            <w:tcW w:w="6965" w:type="dxa"/>
            <w:vAlign w:val="top"/>
          </w:tcPr>
          <w:p w14:paraId="490AA148">
            <w:pPr>
              <w:pStyle w:val="16"/>
              <w:spacing w:before="200" w:line="221" w:lineRule="auto"/>
              <w:ind w:left="117"/>
              <w:rPr>
                <w:color w:val="auto"/>
              </w:rPr>
            </w:pPr>
            <w:r>
              <w:rPr>
                <w:color w:val="auto"/>
                <w:spacing w:val="-3"/>
              </w:rPr>
              <w:t>综合评分法</w:t>
            </w:r>
          </w:p>
        </w:tc>
      </w:tr>
      <w:tr w14:paraId="291C2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713" w:type="dxa"/>
            <w:vAlign w:val="top"/>
          </w:tcPr>
          <w:p w14:paraId="217DE4B0">
            <w:pPr>
              <w:spacing w:line="278" w:lineRule="auto"/>
              <w:rPr>
                <w:rFonts w:ascii="Arial"/>
                <w:color w:val="auto"/>
                <w:sz w:val="21"/>
              </w:rPr>
            </w:pPr>
          </w:p>
          <w:p w14:paraId="7EE9EFCF">
            <w:pPr>
              <w:spacing w:line="278" w:lineRule="auto"/>
              <w:rPr>
                <w:rFonts w:ascii="Arial"/>
                <w:color w:val="auto"/>
                <w:sz w:val="21"/>
              </w:rPr>
            </w:pPr>
          </w:p>
          <w:p w14:paraId="303CAA92">
            <w:pPr>
              <w:spacing w:line="278" w:lineRule="auto"/>
              <w:rPr>
                <w:rFonts w:ascii="Arial"/>
                <w:color w:val="auto"/>
                <w:sz w:val="21"/>
              </w:rPr>
            </w:pPr>
          </w:p>
          <w:p w14:paraId="1CB31BD6">
            <w:pPr>
              <w:pStyle w:val="16"/>
              <w:spacing w:before="78"/>
              <w:ind w:left="116"/>
              <w:rPr>
                <w:color w:val="auto"/>
              </w:rPr>
            </w:pPr>
            <w:r>
              <w:rPr>
                <w:color w:val="auto"/>
                <w:spacing w:val="-5"/>
              </w:rPr>
              <w:t>43</w:t>
            </w:r>
          </w:p>
        </w:tc>
        <w:tc>
          <w:tcPr>
            <w:tcW w:w="2165" w:type="dxa"/>
            <w:vAlign w:val="top"/>
          </w:tcPr>
          <w:p w14:paraId="4F9A1155">
            <w:pPr>
              <w:spacing w:line="278" w:lineRule="auto"/>
              <w:rPr>
                <w:rFonts w:ascii="Arial"/>
                <w:color w:val="auto"/>
                <w:sz w:val="21"/>
              </w:rPr>
            </w:pPr>
          </w:p>
          <w:p w14:paraId="487C6EC6">
            <w:pPr>
              <w:spacing w:line="278" w:lineRule="auto"/>
              <w:rPr>
                <w:rFonts w:ascii="Arial"/>
                <w:color w:val="auto"/>
                <w:sz w:val="21"/>
              </w:rPr>
            </w:pPr>
          </w:p>
          <w:p w14:paraId="2AC4C088">
            <w:pPr>
              <w:spacing w:line="278" w:lineRule="auto"/>
              <w:rPr>
                <w:rFonts w:ascii="Arial"/>
                <w:color w:val="auto"/>
                <w:sz w:val="21"/>
              </w:rPr>
            </w:pPr>
          </w:p>
          <w:p w14:paraId="3ECCF18C">
            <w:pPr>
              <w:pStyle w:val="16"/>
              <w:spacing w:before="78" w:line="220" w:lineRule="auto"/>
              <w:ind w:left="113"/>
              <w:rPr>
                <w:color w:val="auto"/>
              </w:rPr>
            </w:pPr>
            <w:r>
              <w:rPr>
                <w:color w:val="auto"/>
                <w:spacing w:val="-2"/>
              </w:rPr>
              <w:t>招标代理服务费</w:t>
            </w:r>
          </w:p>
        </w:tc>
        <w:tc>
          <w:tcPr>
            <w:tcW w:w="6965" w:type="dxa"/>
            <w:vAlign w:val="top"/>
          </w:tcPr>
          <w:p w14:paraId="6CA6AF24">
            <w:pPr>
              <w:pStyle w:val="16"/>
              <w:spacing w:before="115" w:line="289" w:lineRule="auto"/>
              <w:ind w:left="113" w:right="108"/>
              <w:jc w:val="both"/>
              <w:rPr>
                <w:color w:val="auto"/>
              </w:rPr>
            </w:pPr>
            <w:r>
              <w:rPr>
                <w:color w:val="auto"/>
                <w:spacing w:val="5"/>
              </w:rPr>
              <w:t>代理报酬的金额或收取比例:参照中华人民共和国国家</w:t>
            </w:r>
            <w:r>
              <w:rPr>
                <w:color w:val="auto"/>
                <w:spacing w:val="4"/>
              </w:rPr>
              <w:t>计划委员</w:t>
            </w:r>
            <w:r>
              <w:rPr>
                <w:color w:val="auto"/>
                <w:spacing w:val="-4"/>
              </w:rPr>
              <w:t>会招标代理服务收费管理暂行办法[计价格</w:t>
            </w:r>
            <w:r>
              <w:rPr>
                <w:color w:val="auto"/>
                <w:spacing w:val="-5"/>
              </w:rPr>
              <w:t>【2002】1980</w:t>
            </w:r>
            <w:r>
              <w:rPr>
                <w:color w:val="auto"/>
                <w:spacing w:val="-45"/>
              </w:rPr>
              <w:t xml:space="preserve"> </w:t>
            </w:r>
            <w:r>
              <w:rPr>
                <w:color w:val="auto"/>
                <w:spacing w:val="-5"/>
              </w:rPr>
              <w:t>号</w:t>
            </w:r>
            <w:r>
              <w:rPr>
                <w:color w:val="auto"/>
                <w:spacing w:val="-33"/>
              </w:rPr>
              <w:t xml:space="preserve"> </w:t>
            </w:r>
            <w:r>
              <w:rPr>
                <w:color w:val="auto"/>
                <w:spacing w:val="-5"/>
              </w:rPr>
              <w:t>1、国</w:t>
            </w:r>
            <w:r>
              <w:rPr>
                <w:color w:val="auto"/>
              </w:rPr>
              <w:t>家发展改革委《关于进一步放开建设项目专业服务价格的通知》</w:t>
            </w:r>
            <w:r>
              <w:rPr>
                <w:color w:val="auto"/>
                <w:spacing w:val="9"/>
              </w:rPr>
              <w:t xml:space="preserve"> </w:t>
            </w:r>
            <w:r>
              <w:rPr>
                <w:color w:val="auto"/>
                <w:spacing w:val="2"/>
              </w:rPr>
              <w:t>(发改价格(2015)299</w:t>
            </w:r>
            <w:r>
              <w:rPr>
                <w:color w:val="auto"/>
                <w:spacing w:val="-43"/>
              </w:rPr>
              <w:t xml:space="preserve"> </w:t>
            </w:r>
            <w:r>
              <w:rPr>
                <w:color w:val="auto"/>
                <w:spacing w:val="2"/>
              </w:rPr>
              <w:t>号)，实行市场价格。本项</w:t>
            </w:r>
            <w:r>
              <w:rPr>
                <w:color w:val="auto"/>
                <w:spacing w:val="1"/>
              </w:rPr>
              <w:t>目招标代理服务</w:t>
            </w:r>
            <w:r>
              <w:rPr>
                <w:color w:val="auto"/>
                <w:spacing w:val="-2"/>
              </w:rPr>
              <w:t>费按中标额</w:t>
            </w:r>
            <w:r>
              <w:rPr>
                <w:color w:val="auto"/>
                <w:spacing w:val="-22"/>
              </w:rPr>
              <w:t xml:space="preserve"> </w:t>
            </w:r>
            <w:r>
              <w:rPr>
                <w:color w:val="auto"/>
                <w:spacing w:val="-2"/>
              </w:rPr>
              <w:t>1.5%收取，招标代理费由成交人支付。</w:t>
            </w:r>
          </w:p>
        </w:tc>
      </w:tr>
      <w:tr w14:paraId="474C4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713" w:type="dxa"/>
            <w:vAlign w:val="top"/>
          </w:tcPr>
          <w:p w14:paraId="34493B7E">
            <w:pPr>
              <w:pStyle w:val="16"/>
              <w:spacing w:before="283" w:line="242" w:lineRule="auto"/>
              <w:ind w:left="116"/>
              <w:rPr>
                <w:color w:val="auto"/>
              </w:rPr>
            </w:pPr>
            <w:r>
              <w:rPr>
                <w:color w:val="auto"/>
                <w:spacing w:val="-5"/>
              </w:rPr>
              <w:t>44</w:t>
            </w:r>
          </w:p>
        </w:tc>
        <w:tc>
          <w:tcPr>
            <w:tcW w:w="2165" w:type="dxa"/>
            <w:vAlign w:val="top"/>
          </w:tcPr>
          <w:p w14:paraId="75BA2AE5">
            <w:pPr>
              <w:pStyle w:val="16"/>
              <w:spacing w:before="283" w:line="221" w:lineRule="auto"/>
              <w:ind w:left="113"/>
              <w:rPr>
                <w:color w:val="auto"/>
              </w:rPr>
            </w:pPr>
            <w:r>
              <w:rPr>
                <w:color w:val="auto"/>
                <w:spacing w:val="-3"/>
              </w:rPr>
              <w:t>其他要求</w:t>
            </w:r>
          </w:p>
        </w:tc>
        <w:tc>
          <w:tcPr>
            <w:tcW w:w="6965" w:type="dxa"/>
            <w:vAlign w:val="top"/>
          </w:tcPr>
          <w:p w14:paraId="310265DF">
            <w:pPr>
              <w:pStyle w:val="16"/>
              <w:spacing w:before="118" w:line="240" w:lineRule="auto"/>
              <w:ind w:left="115"/>
              <w:rPr>
                <w:color w:val="auto"/>
              </w:rPr>
            </w:pPr>
            <w:r>
              <w:rPr>
                <w:color w:val="auto"/>
                <w:spacing w:val="-3"/>
              </w:rPr>
              <w:t>1、本项目采用两轮报价（包括首次报价</w:t>
            </w:r>
            <w:r>
              <w:rPr>
                <w:color w:val="auto"/>
                <w:spacing w:val="-18"/>
              </w:rPr>
              <w:t>），</w:t>
            </w:r>
            <w:r>
              <w:rPr>
                <w:color w:val="auto"/>
                <w:spacing w:val="-3"/>
              </w:rPr>
              <w:t>第二轮报</w:t>
            </w:r>
            <w:r>
              <w:rPr>
                <w:color w:val="auto"/>
                <w:spacing w:val="-4"/>
              </w:rPr>
              <w:t>价即最后报</w:t>
            </w:r>
            <w:r>
              <w:rPr>
                <w:color w:val="auto"/>
                <w:spacing w:val="-6"/>
              </w:rPr>
              <w:t>价；</w:t>
            </w:r>
          </w:p>
          <w:p w14:paraId="4A45EDF6">
            <w:pPr>
              <w:pStyle w:val="16"/>
              <w:spacing w:before="115" w:line="240" w:lineRule="auto"/>
              <w:ind w:left="113" w:right="105" w:firstLine="4"/>
              <w:rPr>
                <w:color w:val="auto"/>
                <w:spacing w:val="-1"/>
              </w:rPr>
            </w:pPr>
            <w:r>
              <w:rPr>
                <w:color w:val="auto"/>
                <w:spacing w:val="-4"/>
              </w:rPr>
              <w:t>2、每一名造价师只能担任本项目其中一个供应商的造价工作，且</w:t>
            </w:r>
            <w:r>
              <w:rPr>
                <w:color w:val="auto"/>
              </w:rPr>
              <w:t>此造价师应该承认该项目的二次报价（最终报价</w:t>
            </w:r>
            <w:r>
              <w:rPr>
                <w:color w:val="auto"/>
                <w:spacing w:val="10"/>
              </w:rPr>
              <w:t>），</w:t>
            </w:r>
            <w:r>
              <w:rPr>
                <w:color w:val="auto"/>
              </w:rPr>
              <w:t>并根据二次</w:t>
            </w:r>
            <w:r>
              <w:rPr>
                <w:color w:val="auto"/>
                <w:spacing w:val="-1"/>
              </w:rPr>
              <w:t>报价修改分项报价。</w:t>
            </w:r>
          </w:p>
          <w:p w14:paraId="72E339D4">
            <w:pPr>
              <w:pStyle w:val="16"/>
              <w:spacing w:before="115" w:line="240" w:lineRule="auto"/>
              <w:ind w:left="113" w:right="105" w:firstLine="4"/>
              <w:rPr>
                <w:color w:val="auto"/>
              </w:rPr>
            </w:pPr>
            <w:r>
              <w:rPr>
                <w:color w:val="auto"/>
                <w:spacing w:val="-4"/>
              </w:rPr>
              <w:t>3、本次采购最高磋商限价包含工程所需所有费用，供应商报价应</w:t>
            </w:r>
            <w:r>
              <w:rPr>
                <w:color w:val="auto"/>
                <w:spacing w:val="-1"/>
              </w:rPr>
              <w:t>包括完成本次工程项目所发生全部费用。</w:t>
            </w:r>
          </w:p>
        </w:tc>
      </w:tr>
      <w:tr w14:paraId="41E48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713" w:type="dxa"/>
            <w:vAlign w:val="top"/>
          </w:tcPr>
          <w:p w14:paraId="39D6D090">
            <w:pPr>
              <w:pStyle w:val="16"/>
              <w:spacing w:before="281"/>
              <w:ind w:left="116"/>
              <w:rPr>
                <w:color w:val="auto"/>
              </w:rPr>
            </w:pPr>
            <w:r>
              <w:rPr>
                <w:color w:val="auto"/>
                <w:spacing w:val="-5"/>
              </w:rPr>
              <w:t>45</w:t>
            </w:r>
          </w:p>
        </w:tc>
        <w:tc>
          <w:tcPr>
            <w:tcW w:w="2165" w:type="dxa"/>
            <w:vAlign w:val="top"/>
          </w:tcPr>
          <w:p w14:paraId="06122ECA">
            <w:pPr>
              <w:pStyle w:val="16"/>
              <w:spacing w:before="280" w:line="220" w:lineRule="auto"/>
              <w:ind w:left="114"/>
              <w:rPr>
                <w:color w:val="auto"/>
              </w:rPr>
            </w:pPr>
            <w:r>
              <w:rPr>
                <w:color w:val="auto"/>
                <w:spacing w:val="-2"/>
              </w:rPr>
              <w:t>纸质版投标文件</w:t>
            </w:r>
          </w:p>
        </w:tc>
        <w:tc>
          <w:tcPr>
            <w:tcW w:w="6965" w:type="dxa"/>
            <w:vAlign w:val="top"/>
          </w:tcPr>
          <w:p w14:paraId="58382B3A">
            <w:pPr>
              <w:pStyle w:val="16"/>
              <w:spacing w:before="281" w:line="219" w:lineRule="auto"/>
              <w:ind w:left="115"/>
              <w:rPr>
                <w:color w:val="auto"/>
              </w:rPr>
            </w:pPr>
            <w:r>
              <w:rPr>
                <w:color w:val="auto"/>
                <w:spacing w:val="-1"/>
              </w:rPr>
              <w:t>本项目为电子标，不需要提供纸质版文件。</w:t>
            </w:r>
          </w:p>
        </w:tc>
      </w:tr>
      <w:tr w14:paraId="0E41F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713" w:type="dxa"/>
            <w:vAlign w:val="top"/>
          </w:tcPr>
          <w:p w14:paraId="5512807E">
            <w:pPr>
              <w:spacing w:line="317" w:lineRule="auto"/>
              <w:rPr>
                <w:rFonts w:ascii="Arial"/>
                <w:color w:val="auto"/>
                <w:sz w:val="21"/>
              </w:rPr>
            </w:pPr>
          </w:p>
          <w:p w14:paraId="4DD3AB00">
            <w:pPr>
              <w:spacing w:line="317" w:lineRule="auto"/>
              <w:rPr>
                <w:rFonts w:ascii="Arial"/>
                <w:color w:val="auto"/>
                <w:sz w:val="21"/>
              </w:rPr>
            </w:pPr>
          </w:p>
          <w:p w14:paraId="564E38E7">
            <w:pPr>
              <w:pStyle w:val="16"/>
              <w:spacing w:before="78"/>
              <w:ind w:left="116"/>
              <w:rPr>
                <w:color w:val="auto"/>
              </w:rPr>
            </w:pPr>
            <w:r>
              <w:rPr>
                <w:color w:val="auto"/>
                <w:spacing w:val="-5"/>
              </w:rPr>
              <w:t>46</w:t>
            </w:r>
          </w:p>
        </w:tc>
        <w:tc>
          <w:tcPr>
            <w:tcW w:w="2165" w:type="dxa"/>
            <w:vAlign w:val="top"/>
          </w:tcPr>
          <w:p w14:paraId="1C7DC0B9">
            <w:pPr>
              <w:spacing w:line="317" w:lineRule="auto"/>
              <w:rPr>
                <w:rFonts w:ascii="Arial"/>
                <w:color w:val="auto"/>
                <w:sz w:val="21"/>
              </w:rPr>
            </w:pPr>
          </w:p>
          <w:p w14:paraId="34F37984">
            <w:pPr>
              <w:spacing w:line="317" w:lineRule="auto"/>
              <w:rPr>
                <w:rFonts w:ascii="Arial"/>
                <w:color w:val="auto"/>
                <w:sz w:val="21"/>
              </w:rPr>
            </w:pPr>
          </w:p>
          <w:p w14:paraId="2C6C2DDA">
            <w:pPr>
              <w:pStyle w:val="16"/>
              <w:spacing w:before="78" w:line="220" w:lineRule="auto"/>
              <w:ind w:left="117"/>
              <w:rPr>
                <w:color w:val="auto"/>
              </w:rPr>
            </w:pPr>
            <w:r>
              <w:rPr>
                <w:color w:val="auto"/>
                <w:spacing w:val="-4"/>
              </w:rPr>
              <w:t>知识产权</w:t>
            </w:r>
          </w:p>
        </w:tc>
        <w:tc>
          <w:tcPr>
            <w:tcW w:w="6965" w:type="dxa"/>
            <w:vAlign w:val="top"/>
          </w:tcPr>
          <w:p w14:paraId="6C8089CC">
            <w:pPr>
              <w:pStyle w:val="16"/>
              <w:spacing w:before="117" w:line="284" w:lineRule="auto"/>
              <w:ind w:left="114" w:right="105" w:firstLine="2"/>
              <w:jc w:val="both"/>
              <w:rPr>
                <w:color w:val="auto"/>
              </w:rPr>
            </w:pPr>
            <w:r>
              <w:rPr>
                <w:color w:val="auto"/>
              </w:rPr>
              <w:t>构成本磋商文件各个组成部分的文件，未经采购人书面同意，供应商不得擅自复印和用于非本招标项目所需的其他目的。采购人</w:t>
            </w:r>
            <w:r>
              <w:rPr>
                <w:color w:val="auto"/>
                <w:spacing w:val="9"/>
              </w:rPr>
              <w:t>全部或者部分使用未中标人响应文件中的技术成果或技术方案</w:t>
            </w:r>
            <w:r>
              <w:rPr>
                <w:color w:val="auto"/>
                <w:spacing w:val="-1"/>
              </w:rPr>
              <w:t>时，须征得其书面同意，并不得擅自复印或提供给第三人。</w:t>
            </w:r>
          </w:p>
        </w:tc>
      </w:tr>
      <w:tr w14:paraId="65223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713" w:type="dxa"/>
            <w:vAlign w:val="top"/>
          </w:tcPr>
          <w:p w14:paraId="603A4A3F">
            <w:pPr>
              <w:spacing w:line="317" w:lineRule="auto"/>
              <w:rPr>
                <w:rFonts w:ascii="Arial"/>
                <w:color w:val="auto"/>
                <w:sz w:val="21"/>
              </w:rPr>
            </w:pPr>
          </w:p>
          <w:p w14:paraId="6173DEAD">
            <w:pPr>
              <w:spacing w:line="318" w:lineRule="auto"/>
              <w:rPr>
                <w:rFonts w:ascii="Arial"/>
                <w:color w:val="auto"/>
                <w:sz w:val="21"/>
              </w:rPr>
            </w:pPr>
          </w:p>
          <w:p w14:paraId="0BE49C04">
            <w:pPr>
              <w:pStyle w:val="16"/>
              <w:spacing w:before="78"/>
              <w:ind w:left="116"/>
              <w:rPr>
                <w:color w:val="auto"/>
              </w:rPr>
            </w:pPr>
            <w:r>
              <w:rPr>
                <w:color w:val="auto"/>
                <w:spacing w:val="-5"/>
              </w:rPr>
              <w:t>47</w:t>
            </w:r>
          </w:p>
        </w:tc>
        <w:tc>
          <w:tcPr>
            <w:tcW w:w="2165" w:type="dxa"/>
            <w:vAlign w:val="top"/>
          </w:tcPr>
          <w:p w14:paraId="613DE08E">
            <w:pPr>
              <w:spacing w:line="317" w:lineRule="auto"/>
              <w:rPr>
                <w:rFonts w:ascii="Arial"/>
                <w:color w:val="auto"/>
                <w:sz w:val="21"/>
              </w:rPr>
            </w:pPr>
          </w:p>
          <w:p w14:paraId="58BAE027">
            <w:pPr>
              <w:spacing w:line="318" w:lineRule="auto"/>
              <w:rPr>
                <w:rFonts w:ascii="Arial"/>
                <w:color w:val="auto"/>
                <w:sz w:val="21"/>
              </w:rPr>
            </w:pPr>
          </w:p>
          <w:p w14:paraId="6CFFD598">
            <w:pPr>
              <w:pStyle w:val="16"/>
              <w:spacing w:before="78" w:line="221" w:lineRule="auto"/>
              <w:ind w:left="116"/>
              <w:rPr>
                <w:color w:val="auto"/>
              </w:rPr>
            </w:pPr>
            <w:r>
              <w:rPr>
                <w:color w:val="auto"/>
                <w:spacing w:val="-3"/>
              </w:rPr>
              <w:t>不良行为记录</w:t>
            </w:r>
          </w:p>
        </w:tc>
        <w:tc>
          <w:tcPr>
            <w:tcW w:w="6965" w:type="dxa"/>
            <w:vAlign w:val="top"/>
          </w:tcPr>
          <w:p w14:paraId="0A3F74C3">
            <w:pPr>
              <w:pStyle w:val="16"/>
              <w:spacing w:before="117" w:line="284" w:lineRule="auto"/>
              <w:ind w:left="114" w:right="105" w:firstLine="3"/>
              <w:jc w:val="both"/>
              <w:rPr>
                <w:color w:val="auto"/>
              </w:rPr>
            </w:pPr>
            <w:r>
              <w:rPr>
                <w:color w:val="auto"/>
              </w:rPr>
              <w:t>不良行为记录是指：供应商企业在招标过程中违反有关招标的法律、法规、规章或强制性标准和执业行为规范，经县级以上建设行政主管部门或其委托的执法监督机构已查实的行政处罚，形成</w:t>
            </w:r>
            <w:r>
              <w:rPr>
                <w:color w:val="auto"/>
                <w:spacing w:val="-2"/>
              </w:rPr>
              <w:t>不良行为记录。</w:t>
            </w:r>
          </w:p>
        </w:tc>
      </w:tr>
      <w:tr w14:paraId="456A6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713" w:type="dxa"/>
            <w:vAlign w:val="top"/>
          </w:tcPr>
          <w:p w14:paraId="29975BA9">
            <w:pPr>
              <w:pStyle w:val="16"/>
              <w:spacing w:before="284"/>
              <w:ind w:left="116"/>
              <w:rPr>
                <w:color w:val="auto"/>
              </w:rPr>
            </w:pPr>
            <w:r>
              <w:rPr>
                <w:color w:val="auto"/>
                <w:spacing w:val="-5"/>
              </w:rPr>
              <w:t>48</w:t>
            </w:r>
          </w:p>
        </w:tc>
        <w:tc>
          <w:tcPr>
            <w:tcW w:w="2165" w:type="dxa"/>
            <w:vAlign w:val="top"/>
          </w:tcPr>
          <w:p w14:paraId="267731F1">
            <w:pPr>
              <w:pStyle w:val="16"/>
              <w:spacing w:before="283" w:line="222" w:lineRule="auto"/>
              <w:ind w:left="113"/>
              <w:rPr>
                <w:color w:val="auto"/>
              </w:rPr>
            </w:pPr>
            <w:r>
              <w:rPr>
                <w:color w:val="auto"/>
                <w:spacing w:val="-3"/>
              </w:rPr>
              <w:t>合同方式</w:t>
            </w:r>
          </w:p>
        </w:tc>
        <w:tc>
          <w:tcPr>
            <w:tcW w:w="6965" w:type="dxa"/>
            <w:vAlign w:val="top"/>
          </w:tcPr>
          <w:p w14:paraId="18156E78">
            <w:pPr>
              <w:pStyle w:val="16"/>
              <w:spacing w:before="283" w:line="219" w:lineRule="auto"/>
              <w:ind w:left="135"/>
              <w:rPr>
                <w:color w:val="auto"/>
              </w:rPr>
            </w:pPr>
            <w:r>
              <w:rPr>
                <w:color w:val="auto"/>
                <w:spacing w:val="-5"/>
              </w:rPr>
              <w:t>固定</w:t>
            </w:r>
            <w:r>
              <w:rPr>
                <w:rFonts w:hint="eastAsia"/>
                <w:color w:val="auto"/>
                <w:spacing w:val="-5"/>
                <w:lang w:val="en-US" w:eastAsia="zh-CN"/>
              </w:rPr>
              <w:t>总价</w:t>
            </w:r>
            <w:r>
              <w:rPr>
                <w:color w:val="auto"/>
                <w:spacing w:val="-5"/>
              </w:rPr>
              <w:t>合同</w:t>
            </w:r>
          </w:p>
        </w:tc>
      </w:tr>
      <w:tr w14:paraId="70140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713" w:type="dxa"/>
            <w:vAlign w:val="top"/>
          </w:tcPr>
          <w:p w14:paraId="1BC1E5C9">
            <w:pPr>
              <w:pStyle w:val="16"/>
              <w:spacing w:before="285"/>
              <w:ind w:left="116"/>
              <w:rPr>
                <w:color w:val="auto"/>
              </w:rPr>
            </w:pPr>
            <w:r>
              <w:rPr>
                <w:color w:val="auto"/>
                <w:spacing w:val="-5"/>
              </w:rPr>
              <w:t>49</w:t>
            </w:r>
          </w:p>
        </w:tc>
        <w:tc>
          <w:tcPr>
            <w:tcW w:w="2165" w:type="dxa"/>
            <w:vAlign w:val="top"/>
          </w:tcPr>
          <w:p w14:paraId="086861D8">
            <w:pPr>
              <w:pStyle w:val="16"/>
              <w:spacing w:before="284" w:line="220" w:lineRule="auto"/>
              <w:ind w:left="112"/>
              <w:rPr>
                <w:color w:val="auto"/>
              </w:rPr>
            </w:pPr>
            <w:r>
              <w:rPr>
                <w:color w:val="auto"/>
                <w:spacing w:val="-3"/>
              </w:rPr>
              <w:t>付款方式</w:t>
            </w:r>
          </w:p>
        </w:tc>
        <w:tc>
          <w:tcPr>
            <w:tcW w:w="6965" w:type="dxa"/>
            <w:vAlign w:val="top"/>
          </w:tcPr>
          <w:p w14:paraId="09F797C7">
            <w:pPr>
              <w:pStyle w:val="16"/>
              <w:spacing w:before="284" w:line="220" w:lineRule="auto"/>
              <w:ind w:left="116"/>
              <w:rPr>
                <w:color w:val="auto"/>
              </w:rPr>
            </w:pPr>
            <w:r>
              <w:rPr>
                <w:color w:val="auto"/>
                <w:spacing w:val="-2"/>
              </w:rPr>
              <w:t>按合同约定执行</w:t>
            </w:r>
          </w:p>
        </w:tc>
      </w:tr>
      <w:tr w14:paraId="2A2AB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713" w:type="dxa"/>
            <w:vAlign w:val="top"/>
          </w:tcPr>
          <w:p w14:paraId="51E95BCA">
            <w:pPr>
              <w:pStyle w:val="16"/>
              <w:spacing w:before="283"/>
              <w:ind w:left="122"/>
              <w:rPr>
                <w:color w:val="auto"/>
              </w:rPr>
            </w:pPr>
            <w:r>
              <w:rPr>
                <w:color w:val="auto"/>
                <w:spacing w:val="-8"/>
              </w:rPr>
              <w:t>50</w:t>
            </w:r>
          </w:p>
        </w:tc>
        <w:tc>
          <w:tcPr>
            <w:tcW w:w="2165" w:type="dxa"/>
            <w:vAlign w:val="top"/>
          </w:tcPr>
          <w:p w14:paraId="6CBD8CC0">
            <w:pPr>
              <w:pStyle w:val="16"/>
              <w:spacing w:before="282" w:line="221" w:lineRule="auto"/>
              <w:ind w:left="113"/>
              <w:rPr>
                <w:color w:val="auto"/>
              </w:rPr>
            </w:pPr>
            <w:r>
              <w:rPr>
                <w:color w:val="auto"/>
                <w:spacing w:val="-4"/>
              </w:rPr>
              <w:t>质保期</w:t>
            </w:r>
          </w:p>
        </w:tc>
        <w:tc>
          <w:tcPr>
            <w:tcW w:w="6965" w:type="dxa"/>
            <w:vAlign w:val="top"/>
          </w:tcPr>
          <w:p w14:paraId="51FA96FB">
            <w:pPr>
              <w:pStyle w:val="16"/>
              <w:spacing w:before="283" w:line="220" w:lineRule="auto"/>
              <w:ind w:left="116"/>
              <w:rPr>
                <w:color w:val="auto"/>
              </w:rPr>
            </w:pPr>
            <w:r>
              <w:rPr>
                <w:color w:val="auto"/>
                <w:spacing w:val="-1"/>
              </w:rPr>
              <w:t>符合现行国家、省、市行业相关规定</w:t>
            </w:r>
          </w:p>
        </w:tc>
      </w:tr>
      <w:tr w14:paraId="2A22A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13" w:type="dxa"/>
            <w:vAlign w:val="top"/>
          </w:tcPr>
          <w:p w14:paraId="10E53D9D">
            <w:pPr>
              <w:rPr>
                <w:rFonts w:ascii="Arial"/>
                <w:color w:val="auto"/>
                <w:sz w:val="21"/>
              </w:rPr>
            </w:pPr>
          </w:p>
          <w:p w14:paraId="720C6FBC">
            <w:pPr>
              <w:pStyle w:val="16"/>
              <w:spacing w:before="78"/>
              <w:ind w:left="122"/>
              <w:rPr>
                <w:color w:val="auto"/>
              </w:rPr>
            </w:pPr>
            <w:r>
              <w:rPr>
                <w:color w:val="auto"/>
                <w:spacing w:val="-8"/>
              </w:rPr>
              <w:t>51</w:t>
            </w:r>
          </w:p>
        </w:tc>
        <w:tc>
          <w:tcPr>
            <w:tcW w:w="9130" w:type="dxa"/>
            <w:gridSpan w:val="2"/>
            <w:vAlign w:val="top"/>
          </w:tcPr>
          <w:p w14:paraId="40250B63">
            <w:pPr>
              <w:pStyle w:val="16"/>
              <w:spacing w:before="118" w:line="260" w:lineRule="auto"/>
              <w:ind w:left="114" w:right="108" w:hanging="3"/>
              <w:rPr>
                <w:color w:val="auto"/>
              </w:rPr>
            </w:pPr>
            <w:r>
              <w:rPr>
                <w:b/>
                <w:bCs/>
                <w:color w:val="auto"/>
                <w:spacing w:val="-2"/>
              </w:rPr>
              <w:t>在评标中如发现响应文件中营业执照、业绩合同等所有资料存在弄虚作假的行为，其</w:t>
            </w:r>
            <w:r>
              <w:rPr>
                <w:b/>
                <w:bCs/>
                <w:color w:val="auto"/>
                <w:spacing w:val="-4"/>
              </w:rPr>
              <w:t>投标将被否决。</w:t>
            </w:r>
          </w:p>
        </w:tc>
      </w:tr>
      <w:tr w14:paraId="4B499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13" w:type="dxa"/>
            <w:vAlign w:val="top"/>
          </w:tcPr>
          <w:p w14:paraId="69B1AA51">
            <w:pPr>
              <w:rPr>
                <w:rFonts w:ascii="Arial"/>
                <w:color w:val="auto"/>
                <w:sz w:val="21"/>
              </w:rPr>
            </w:pPr>
          </w:p>
          <w:p w14:paraId="4F836714">
            <w:pPr>
              <w:pStyle w:val="16"/>
              <w:spacing w:before="78"/>
              <w:ind w:left="122"/>
              <w:rPr>
                <w:color w:val="auto"/>
              </w:rPr>
            </w:pPr>
            <w:r>
              <w:rPr>
                <w:color w:val="auto"/>
                <w:spacing w:val="-8"/>
              </w:rPr>
              <w:t>52</w:t>
            </w:r>
          </w:p>
        </w:tc>
        <w:tc>
          <w:tcPr>
            <w:tcW w:w="9130" w:type="dxa"/>
            <w:gridSpan w:val="2"/>
            <w:vAlign w:val="top"/>
          </w:tcPr>
          <w:p w14:paraId="4CFB49CE">
            <w:pPr>
              <w:pStyle w:val="16"/>
              <w:spacing w:before="120" w:line="261" w:lineRule="auto"/>
              <w:ind w:left="141" w:right="108" w:hanging="30"/>
              <w:rPr>
                <w:color w:val="auto"/>
              </w:rPr>
            </w:pPr>
            <w:r>
              <w:rPr>
                <w:b/>
                <w:bCs/>
                <w:color w:val="auto"/>
                <w:spacing w:val="-2"/>
              </w:rPr>
              <w:t>磋商公告内容有不一致之处，以最新发布的磋商公告内容为准。磋商公告与磋商文件</w:t>
            </w:r>
            <w:r>
              <w:rPr>
                <w:b/>
                <w:bCs/>
                <w:color w:val="auto"/>
                <w:spacing w:val="-4"/>
              </w:rPr>
              <w:t>内容有不一致之处，以磋商文件最终版内容为准。</w:t>
            </w:r>
          </w:p>
        </w:tc>
      </w:tr>
    </w:tbl>
    <w:p w14:paraId="0040E229">
      <w:pPr>
        <w:pStyle w:val="2"/>
        <w:rPr>
          <w:color w:val="auto"/>
        </w:rPr>
      </w:pPr>
    </w:p>
    <w:p w14:paraId="50F5965D">
      <w:pPr>
        <w:rPr>
          <w:color w:val="auto"/>
        </w:rPr>
        <w:sectPr>
          <w:footerReference r:id="rId6" w:type="default"/>
          <w:pgSz w:w="11906" w:h="16839"/>
          <w:pgMar w:top="1440" w:right="1080" w:bottom="1440" w:left="1080" w:header="0" w:footer="1011" w:gutter="0"/>
          <w:pgNumType w:fmt="decimal"/>
          <w:cols w:space="720" w:num="1"/>
        </w:sectPr>
      </w:pPr>
    </w:p>
    <w:p w14:paraId="6F316760">
      <w:pPr>
        <w:spacing w:before="87" w:line="220" w:lineRule="auto"/>
        <w:ind w:left="3280"/>
        <w:rPr>
          <w:rFonts w:ascii="宋体" w:hAnsi="宋体" w:eastAsia="宋体" w:cs="宋体"/>
          <w:color w:val="auto"/>
          <w:sz w:val="28"/>
          <w:szCs w:val="28"/>
        </w:rPr>
      </w:pPr>
      <w:r>
        <w:rPr>
          <w:rFonts w:ascii="宋体" w:hAnsi="宋体" w:eastAsia="宋体" w:cs="宋体"/>
          <w:b/>
          <w:bCs/>
          <w:color w:val="auto"/>
          <w:spacing w:val="-5"/>
          <w:sz w:val="28"/>
          <w:szCs w:val="28"/>
        </w:rPr>
        <w:t>（二）供应商须知</w:t>
      </w:r>
    </w:p>
    <w:p w14:paraId="103594E3">
      <w:pPr>
        <w:spacing w:before="102" w:line="220" w:lineRule="auto"/>
        <w:ind w:left="3551"/>
        <w:rPr>
          <w:rFonts w:ascii="宋体" w:hAnsi="宋体" w:eastAsia="宋体" w:cs="宋体"/>
          <w:color w:val="auto"/>
          <w:sz w:val="24"/>
          <w:szCs w:val="24"/>
        </w:rPr>
      </w:pPr>
      <w:r>
        <w:rPr>
          <w:rFonts w:ascii="宋体" w:hAnsi="宋体" w:eastAsia="宋体" w:cs="宋体"/>
          <w:b/>
          <w:bCs/>
          <w:color w:val="auto"/>
          <w:spacing w:val="-3"/>
          <w:sz w:val="24"/>
          <w:szCs w:val="24"/>
        </w:rPr>
        <w:t>第一部分</w:t>
      </w:r>
      <w:r>
        <w:rPr>
          <w:rFonts w:ascii="宋体" w:hAnsi="宋体" w:eastAsia="宋体" w:cs="宋体"/>
          <w:color w:val="auto"/>
          <w:spacing w:val="-3"/>
          <w:sz w:val="24"/>
          <w:szCs w:val="24"/>
        </w:rPr>
        <w:t xml:space="preserve">  </w:t>
      </w:r>
      <w:r>
        <w:rPr>
          <w:rFonts w:ascii="宋体" w:hAnsi="宋体" w:eastAsia="宋体" w:cs="宋体"/>
          <w:b/>
          <w:bCs/>
          <w:color w:val="auto"/>
          <w:spacing w:val="-3"/>
          <w:sz w:val="24"/>
          <w:szCs w:val="24"/>
        </w:rPr>
        <w:t>磋商程序</w:t>
      </w:r>
    </w:p>
    <w:p w14:paraId="316A340C">
      <w:pPr>
        <w:spacing w:before="182" w:line="219" w:lineRule="auto"/>
        <w:ind w:left="19"/>
        <w:rPr>
          <w:rFonts w:ascii="宋体" w:hAnsi="宋体" w:eastAsia="宋体" w:cs="宋体"/>
          <w:color w:val="auto"/>
          <w:sz w:val="24"/>
          <w:szCs w:val="24"/>
        </w:rPr>
      </w:pPr>
      <w:r>
        <w:rPr>
          <w:rFonts w:ascii="宋体" w:hAnsi="宋体" w:eastAsia="宋体" w:cs="宋体"/>
          <w:color w:val="auto"/>
          <w:spacing w:val="-5"/>
          <w:sz w:val="24"/>
          <w:szCs w:val="24"/>
        </w:rPr>
        <w:t>1、采购方式</w:t>
      </w:r>
    </w:p>
    <w:p w14:paraId="04D5BC50">
      <w:pPr>
        <w:spacing w:before="183" w:line="219" w:lineRule="auto"/>
        <w:ind w:left="482"/>
        <w:rPr>
          <w:rFonts w:ascii="宋体" w:hAnsi="宋体" w:eastAsia="宋体" w:cs="宋体"/>
          <w:color w:val="auto"/>
          <w:sz w:val="24"/>
          <w:szCs w:val="24"/>
        </w:rPr>
      </w:pPr>
      <w:r>
        <w:rPr>
          <w:rFonts w:ascii="宋体" w:hAnsi="宋体" w:eastAsia="宋体" w:cs="宋体"/>
          <w:color w:val="auto"/>
          <w:spacing w:val="-1"/>
          <w:sz w:val="24"/>
          <w:szCs w:val="24"/>
        </w:rPr>
        <w:t>本次采购采用竞争性磋商的方式。</w:t>
      </w:r>
    </w:p>
    <w:p w14:paraId="47FBE11E">
      <w:pPr>
        <w:spacing w:before="182" w:line="221" w:lineRule="auto"/>
        <w:ind w:left="4"/>
        <w:rPr>
          <w:rFonts w:ascii="宋体" w:hAnsi="宋体" w:eastAsia="宋体" w:cs="宋体"/>
          <w:color w:val="auto"/>
          <w:sz w:val="24"/>
          <w:szCs w:val="24"/>
        </w:rPr>
      </w:pPr>
      <w:r>
        <w:rPr>
          <w:rFonts w:ascii="宋体" w:hAnsi="宋体" w:eastAsia="宋体" w:cs="宋体"/>
          <w:color w:val="auto"/>
          <w:spacing w:val="-3"/>
          <w:sz w:val="24"/>
          <w:szCs w:val="24"/>
        </w:rPr>
        <w:t>2、磋商程序</w:t>
      </w:r>
    </w:p>
    <w:p w14:paraId="2DDFD895">
      <w:pPr>
        <w:spacing w:before="181" w:line="290" w:lineRule="auto"/>
        <w:ind w:firstLine="483"/>
        <w:rPr>
          <w:rFonts w:ascii="宋体" w:hAnsi="宋体" w:eastAsia="宋体" w:cs="宋体"/>
          <w:color w:val="auto"/>
          <w:sz w:val="24"/>
          <w:szCs w:val="24"/>
        </w:rPr>
      </w:pPr>
      <w:r>
        <w:rPr>
          <w:rFonts w:ascii="宋体" w:hAnsi="宋体" w:eastAsia="宋体" w:cs="宋体"/>
          <w:color w:val="auto"/>
          <w:spacing w:val="-3"/>
          <w:sz w:val="24"/>
          <w:szCs w:val="24"/>
        </w:rPr>
        <w:t>2.1 在规定的时间内由供应商将磋商响应文件提交给采购代理机构，由磋商小组</w:t>
      </w:r>
      <w:r>
        <w:rPr>
          <w:rFonts w:ascii="宋体" w:hAnsi="宋体" w:eastAsia="宋体" w:cs="宋体"/>
          <w:color w:val="auto"/>
          <w:spacing w:val="-1"/>
          <w:sz w:val="24"/>
          <w:szCs w:val="24"/>
        </w:rPr>
        <w:t>对磋商响应文件进行评审。</w:t>
      </w:r>
    </w:p>
    <w:p w14:paraId="41A1E03B">
      <w:pPr>
        <w:spacing w:before="183" w:line="290" w:lineRule="auto"/>
        <w:ind w:left="1" w:firstLine="482"/>
        <w:rPr>
          <w:rFonts w:ascii="宋体" w:hAnsi="宋体" w:eastAsia="宋体" w:cs="宋体"/>
          <w:color w:val="auto"/>
          <w:sz w:val="24"/>
          <w:szCs w:val="24"/>
        </w:rPr>
      </w:pPr>
      <w:r>
        <w:rPr>
          <w:rFonts w:ascii="宋体" w:hAnsi="宋体" w:eastAsia="宋体" w:cs="宋体"/>
          <w:color w:val="auto"/>
          <w:spacing w:val="-3"/>
          <w:sz w:val="24"/>
          <w:szCs w:val="24"/>
        </w:rPr>
        <w:t>2.2 就商务、技术方案及价格等进行磋商，经过磋商小组的评审确定最终成交供</w:t>
      </w:r>
      <w:r>
        <w:rPr>
          <w:rFonts w:ascii="宋体" w:hAnsi="宋体" w:eastAsia="宋体" w:cs="宋体"/>
          <w:color w:val="auto"/>
          <w:spacing w:val="-4"/>
          <w:sz w:val="24"/>
          <w:szCs w:val="24"/>
        </w:rPr>
        <w:t>应商。</w:t>
      </w:r>
    </w:p>
    <w:p w14:paraId="7110038C">
      <w:pPr>
        <w:spacing w:before="181" w:line="219" w:lineRule="auto"/>
        <w:ind w:left="6"/>
        <w:rPr>
          <w:rFonts w:ascii="宋体" w:hAnsi="宋体" w:eastAsia="宋体" w:cs="宋体"/>
          <w:color w:val="auto"/>
          <w:sz w:val="24"/>
          <w:szCs w:val="24"/>
        </w:rPr>
      </w:pPr>
      <w:r>
        <w:rPr>
          <w:rFonts w:ascii="宋体" w:hAnsi="宋体" w:eastAsia="宋体" w:cs="宋体"/>
          <w:color w:val="auto"/>
          <w:spacing w:val="-2"/>
          <w:sz w:val="24"/>
          <w:szCs w:val="24"/>
        </w:rPr>
        <w:t>3、合格供应商的资格要求</w:t>
      </w:r>
    </w:p>
    <w:p w14:paraId="312E50C6">
      <w:pPr>
        <w:spacing w:before="184" w:line="219" w:lineRule="auto"/>
        <w:ind w:left="499"/>
        <w:rPr>
          <w:rFonts w:ascii="宋体" w:hAnsi="宋体" w:eastAsia="宋体" w:cs="宋体"/>
          <w:color w:val="auto"/>
          <w:sz w:val="24"/>
          <w:szCs w:val="24"/>
        </w:rPr>
      </w:pPr>
      <w:r>
        <w:rPr>
          <w:rFonts w:ascii="宋体" w:hAnsi="宋体" w:eastAsia="宋体" w:cs="宋体"/>
          <w:color w:val="auto"/>
          <w:spacing w:val="-1"/>
          <w:sz w:val="24"/>
          <w:szCs w:val="24"/>
        </w:rPr>
        <w:t>1.满足《中华人民共和国政府采购法》第二十二条</w:t>
      </w:r>
      <w:r>
        <w:rPr>
          <w:rFonts w:ascii="宋体" w:hAnsi="宋体" w:eastAsia="宋体" w:cs="宋体"/>
          <w:color w:val="auto"/>
          <w:spacing w:val="-2"/>
          <w:sz w:val="24"/>
          <w:szCs w:val="24"/>
        </w:rPr>
        <w:t>规定。</w:t>
      </w:r>
    </w:p>
    <w:p w14:paraId="7D92B887">
      <w:pPr>
        <w:spacing w:before="116" w:line="278" w:lineRule="auto"/>
        <w:ind w:firstLine="484"/>
        <w:rPr>
          <w:rFonts w:ascii="宋体" w:hAnsi="宋体" w:eastAsia="宋体" w:cs="宋体"/>
          <w:color w:val="auto"/>
          <w:sz w:val="24"/>
          <w:szCs w:val="24"/>
        </w:rPr>
      </w:pPr>
      <w:r>
        <w:rPr>
          <w:rFonts w:ascii="宋体" w:hAnsi="宋体" w:eastAsia="宋体" w:cs="宋体"/>
          <w:color w:val="auto"/>
          <w:spacing w:val="4"/>
          <w:sz w:val="24"/>
          <w:szCs w:val="24"/>
        </w:rPr>
        <w:t>2.落实政府采购政策需满足的资格要求：本项目为专门面向中小企</w:t>
      </w:r>
      <w:r>
        <w:rPr>
          <w:rFonts w:ascii="宋体" w:hAnsi="宋体" w:eastAsia="宋体" w:cs="宋体"/>
          <w:color w:val="auto"/>
          <w:spacing w:val="3"/>
          <w:sz w:val="24"/>
          <w:szCs w:val="24"/>
        </w:rPr>
        <w:t>业的采购项</w:t>
      </w:r>
      <w:r>
        <w:rPr>
          <w:rFonts w:ascii="宋体" w:hAnsi="宋体" w:eastAsia="宋体" w:cs="宋体"/>
          <w:color w:val="auto"/>
          <w:spacing w:val="-3"/>
          <w:sz w:val="24"/>
          <w:szCs w:val="24"/>
        </w:rPr>
        <w:t>目</w:t>
      </w:r>
      <w:r>
        <w:rPr>
          <w:rFonts w:ascii="宋体" w:hAnsi="宋体" w:eastAsia="宋体" w:cs="宋体"/>
          <w:color w:val="auto"/>
          <w:spacing w:val="-2"/>
          <w:sz w:val="24"/>
          <w:szCs w:val="24"/>
        </w:rPr>
        <w:t>。</w:t>
      </w:r>
    </w:p>
    <w:p w14:paraId="11A63872">
      <w:pPr>
        <w:spacing w:before="115" w:line="219" w:lineRule="auto"/>
        <w:ind w:left="486"/>
        <w:rPr>
          <w:rFonts w:ascii="宋体" w:hAnsi="宋体" w:eastAsia="宋体" w:cs="宋体"/>
          <w:color w:val="auto"/>
          <w:sz w:val="24"/>
          <w:szCs w:val="24"/>
        </w:rPr>
      </w:pPr>
      <w:r>
        <w:rPr>
          <w:rFonts w:ascii="宋体" w:hAnsi="宋体" w:eastAsia="宋体" w:cs="宋体"/>
          <w:color w:val="auto"/>
          <w:spacing w:val="-2"/>
          <w:sz w:val="24"/>
          <w:szCs w:val="24"/>
        </w:rPr>
        <w:t>3.本项目特定资格要求：</w:t>
      </w:r>
    </w:p>
    <w:p w14:paraId="591801AA">
      <w:pPr>
        <w:spacing w:before="182" w:line="219" w:lineRule="auto"/>
        <w:ind w:left="6"/>
        <w:rPr>
          <w:rFonts w:ascii="宋体" w:hAnsi="宋体" w:eastAsia="宋体" w:cs="宋体"/>
          <w:color w:val="auto"/>
          <w:sz w:val="24"/>
          <w:szCs w:val="24"/>
        </w:rPr>
      </w:pPr>
      <w:r>
        <w:rPr>
          <w:rFonts w:ascii="宋体" w:hAnsi="宋体" w:eastAsia="宋体" w:cs="宋体"/>
          <w:color w:val="auto"/>
          <w:spacing w:val="-2"/>
          <w:sz w:val="24"/>
          <w:szCs w:val="24"/>
        </w:rPr>
        <w:t>3.本项目特定资格要求：</w:t>
      </w:r>
    </w:p>
    <w:p w14:paraId="322B228B">
      <w:pPr>
        <w:spacing w:before="181" w:line="314" w:lineRule="auto"/>
        <w:ind w:right="7" w:firstLine="4"/>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1供应商须具备建设行政主管部门颁发的市政公用工程施工总承包贰级或公路工程施工总承包贰级及以上资质，具备有效的安全生产许可证；并在人员、设备、资金等方面具有相应的施工能力。注：①根据《吉林省住房和城乡建设厅关于建筑业企业资质延续有关事宜的通知》(吉建管〔2023〕23号)文件要求，吉林省住建厅核发的建筑业企业总承包叁级、专业承包叁级资质，自2024年7月1日起，原资质许可机关不再受理资质换证申请，相应证书逾期自动作废</w:t>
      </w:r>
      <w:r>
        <w:rPr>
          <w:rFonts w:hint="eastAsia" w:ascii="宋体" w:hAnsi="宋体" w:cs="宋体"/>
          <w:color w:val="auto"/>
          <w:spacing w:val="-2"/>
          <w:sz w:val="24"/>
          <w:szCs w:val="24"/>
          <w:lang w:eastAsia="zh-CN"/>
        </w:rPr>
        <w:t>。</w:t>
      </w:r>
    </w:p>
    <w:p w14:paraId="2EA2D368">
      <w:pPr>
        <w:spacing w:before="181" w:line="314" w:lineRule="auto"/>
        <w:ind w:right="7" w:firstLine="4"/>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②其他省（市）核发的资质涉及有效期届满有效期延续问题的，按照当地建设行政主管部门文件执行。投标文件内须提供当地住房和城乡建设部门官方网站发布的准予延期的文件截图及网址，否则不予认定。</w:t>
      </w:r>
    </w:p>
    <w:p w14:paraId="4A47EE7F">
      <w:pPr>
        <w:spacing w:before="181" w:line="314" w:lineRule="auto"/>
        <w:ind w:right="7" w:firstLine="4"/>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3.2供应商拟派出的项目经理须具备市政公用工程专业二级或公路工程专业二级以上注册建造师资格，具备有效的安全生产考核合格证书（B类），且无在建工程；拟派本项目的项目经理及其他管理人员均须为本单位在职人员。技术负责人具备市政公用工程相关专业中级或</w:t>
      </w:r>
      <w:r>
        <w:rPr>
          <w:rFonts w:hint="eastAsia" w:ascii="宋体" w:hAnsi="宋体" w:eastAsia="宋体" w:cs="宋体"/>
          <w:color w:val="auto"/>
          <w:spacing w:val="-1"/>
          <w:sz w:val="24"/>
          <w:szCs w:val="24"/>
        </w:rPr>
        <w:t>公路工程专业</w:t>
      </w:r>
      <w:r>
        <w:rPr>
          <w:rFonts w:hint="eastAsia" w:ascii="宋体" w:hAnsi="宋体" w:cs="宋体"/>
          <w:color w:val="auto"/>
          <w:spacing w:val="-1"/>
          <w:sz w:val="24"/>
          <w:szCs w:val="24"/>
          <w:lang w:val="en-US" w:eastAsia="zh-CN"/>
        </w:rPr>
        <w:t>中</w:t>
      </w:r>
      <w:r>
        <w:rPr>
          <w:rFonts w:hint="eastAsia" w:ascii="宋体" w:hAnsi="宋体" w:eastAsia="宋体" w:cs="宋体"/>
          <w:color w:val="auto"/>
          <w:spacing w:val="-1"/>
          <w:sz w:val="24"/>
          <w:szCs w:val="24"/>
        </w:rPr>
        <w:t>级</w:t>
      </w:r>
      <w:r>
        <w:rPr>
          <w:rFonts w:hint="eastAsia" w:ascii="宋体" w:hAnsi="宋体" w:cs="宋体"/>
          <w:color w:val="auto"/>
          <w:spacing w:val="-1"/>
          <w:sz w:val="24"/>
          <w:szCs w:val="24"/>
          <w:lang w:val="en-US" w:eastAsia="zh-CN"/>
        </w:rPr>
        <w:t>及</w:t>
      </w:r>
      <w:r>
        <w:rPr>
          <w:rFonts w:hint="eastAsia" w:ascii="宋体" w:hAnsi="宋体" w:eastAsia="宋体" w:cs="宋体"/>
          <w:color w:val="auto"/>
          <w:spacing w:val="-2"/>
          <w:sz w:val="24"/>
          <w:szCs w:val="24"/>
        </w:rPr>
        <w:t>以上技术职称；拟投入施工现场管理人员须具备相关主管部门核发的职称证或岗位证或电子证书，应无在建工程，标书内附加盖公章的复印件。</w:t>
      </w:r>
    </w:p>
    <w:p w14:paraId="06816372">
      <w:pPr>
        <w:spacing w:before="181" w:line="314" w:lineRule="auto"/>
        <w:ind w:right="7" w:firstLine="4"/>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3.3拒绝列入政府取消投标资格期间的企业或个人投标。</w:t>
      </w:r>
    </w:p>
    <w:p w14:paraId="5D3BB1AE">
      <w:pPr>
        <w:spacing w:before="181" w:line="314" w:lineRule="auto"/>
        <w:ind w:right="7" w:firstLine="4"/>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3.4对在“信用中国”网站（www.creditchina.gov.cn）列入重大税收违法失信主体；对在中国执行信息公开网（http://zxgk.court.gov.cn）列入失信被执行人；对在中国政府采购网（www.ccgp.gov.cn）列入政府采购严重违法失信行为记录名单及其他不符合《中华人民共和国政府采购法》第二十二条规定，不得参加政府采购活动。须提供本 公 司及个人（法 定代表人 、拟委任的项目经理）在中国裁判文书网（wenshu.court.gov.cn）无行贿犯罪记录。</w:t>
      </w:r>
    </w:p>
    <w:p w14:paraId="0A0189ED">
      <w:pPr>
        <w:spacing w:before="181" w:line="314" w:lineRule="auto"/>
        <w:ind w:right="7" w:firstLine="4"/>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3.5未被市场监督部门在全国企业信用信息公示系统中列入严重违法失信企业名单。</w:t>
      </w:r>
    </w:p>
    <w:p w14:paraId="4044B732">
      <w:pPr>
        <w:spacing w:before="181" w:line="314" w:lineRule="auto"/>
        <w:ind w:right="7" w:firstLine="4"/>
        <w:rPr>
          <w:rFonts w:ascii="宋体" w:hAnsi="宋体" w:eastAsia="宋体" w:cs="宋体"/>
          <w:color w:val="auto"/>
          <w:spacing w:val="-2"/>
          <w:sz w:val="24"/>
          <w:szCs w:val="24"/>
        </w:rPr>
      </w:pPr>
      <w:r>
        <w:rPr>
          <w:rFonts w:hint="eastAsia" w:ascii="宋体" w:hAnsi="宋体" w:eastAsia="宋体" w:cs="宋体"/>
          <w:color w:val="auto"/>
          <w:spacing w:val="-2"/>
          <w:sz w:val="24"/>
          <w:szCs w:val="24"/>
        </w:rPr>
        <w:t>3.6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p w14:paraId="0FC4EA39">
      <w:pPr>
        <w:spacing w:before="182" w:line="221" w:lineRule="auto"/>
        <w:rPr>
          <w:rFonts w:ascii="宋体" w:hAnsi="宋体" w:eastAsia="宋体" w:cs="宋体"/>
          <w:color w:val="auto"/>
          <w:sz w:val="24"/>
          <w:szCs w:val="24"/>
        </w:rPr>
      </w:pPr>
      <w:r>
        <w:rPr>
          <w:rFonts w:ascii="宋体" w:hAnsi="宋体" w:eastAsia="宋体" w:cs="宋体"/>
          <w:color w:val="auto"/>
          <w:spacing w:val="-2"/>
          <w:sz w:val="24"/>
          <w:szCs w:val="24"/>
        </w:rPr>
        <w:t>4、磋商费用</w:t>
      </w:r>
    </w:p>
    <w:p w14:paraId="7EFA97AC">
      <w:pPr>
        <w:spacing w:before="181" w:line="362" w:lineRule="auto"/>
        <w:ind w:right="34" w:firstLine="481"/>
        <w:rPr>
          <w:rFonts w:ascii="宋体" w:hAnsi="宋体" w:eastAsia="宋体" w:cs="宋体"/>
          <w:color w:val="auto"/>
          <w:sz w:val="24"/>
          <w:szCs w:val="24"/>
        </w:rPr>
      </w:pPr>
      <w:r>
        <w:rPr>
          <w:rFonts w:ascii="宋体" w:hAnsi="宋体" w:eastAsia="宋体" w:cs="宋体"/>
          <w:color w:val="auto"/>
          <w:spacing w:val="-3"/>
          <w:sz w:val="24"/>
          <w:szCs w:val="24"/>
        </w:rPr>
        <w:t>供应商应承担所有与准备和参加磋商有关的费用，采购代理机构和采购人在任何</w:t>
      </w:r>
      <w:r>
        <w:rPr>
          <w:rFonts w:ascii="宋体" w:hAnsi="宋体" w:eastAsia="宋体" w:cs="宋体"/>
          <w:color w:val="auto"/>
          <w:spacing w:val="-1"/>
          <w:sz w:val="24"/>
          <w:szCs w:val="24"/>
        </w:rPr>
        <w:t>情况下均无义务和责任承担这些费用。</w:t>
      </w:r>
    </w:p>
    <w:p w14:paraId="38AAD7D1">
      <w:pPr>
        <w:spacing w:before="151" w:line="220" w:lineRule="auto"/>
        <w:ind w:left="3251"/>
        <w:rPr>
          <w:rFonts w:ascii="宋体" w:hAnsi="宋体" w:eastAsia="宋体" w:cs="宋体"/>
          <w:color w:val="auto"/>
          <w:sz w:val="24"/>
          <w:szCs w:val="24"/>
        </w:rPr>
      </w:pPr>
      <w:r>
        <w:rPr>
          <w:rFonts w:ascii="宋体" w:hAnsi="宋体" w:eastAsia="宋体" w:cs="宋体"/>
          <w:b/>
          <w:bCs/>
          <w:color w:val="auto"/>
          <w:spacing w:val="-3"/>
          <w:sz w:val="24"/>
          <w:szCs w:val="24"/>
        </w:rPr>
        <w:t>第二部分</w:t>
      </w:r>
      <w:r>
        <w:rPr>
          <w:rFonts w:ascii="宋体" w:hAnsi="宋体" w:eastAsia="宋体" w:cs="宋体"/>
          <w:color w:val="auto"/>
          <w:spacing w:val="-3"/>
          <w:sz w:val="24"/>
          <w:szCs w:val="24"/>
        </w:rPr>
        <w:t xml:space="preserve">   </w:t>
      </w:r>
      <w:r>
        <w:rPr>
          <w:rFonts w:ascii="宋体" w:hAnsi="宋体" w:eastAsia="宋体" w:cs="宋体"/>
          <w:b/>
          <w:bCs/>
          <w:color w:val="auto"/>
          <w:spacing w:val="-3"/>
          <w:sz w:val="24"/>
          <w:szCs w:val="24"/>
        </w:rPr>
        <w:t>磋商文件</w:t>
      </w:r>
    </w:p>
    <w:p w14:paraId="0214CF89">
      <w:pPr>
        <w:pStyle w:val="2"/>
        <w:spacing w:line="257" w:lineRule="auto"/>
        <w:rPr>
          <w:color w:val="auto"/>
        </w:rPr>
      </w:pPr>
    </w:p>
    <w:p w14:paraId="6BA7B670">
      <w:pPr>
        <w:spacing w:before="79" w:line="313" w:lineRule="auto"/>
        <w:ind w:left="1" w:right="34" w:firstLine="497"/>
        <w:rPr>
          <w:rFonts w:ascii="宋体" w:hAnsi="宋体" w:eastAsia="宋体" w:cs="宋体"/>
          <w:color w:val="auto"/>
          <w:sz w:val="24"/>
          <w:szCs w:val="24"/>
        </w:rPr>
      </w:pPr>
      <w:r>
        <w:rPr>
          <w:rFonts w:ascii="宋体" w:hAnsi="宋体" w:eastAsia="宋体" w:cs="宋体"/>
          <w:color w:val="auto"/>
          <w:spacing w:val="-3"/>
          <w:sz w:val="24"/>
          <w:szCs w:val="24"/>
        </w:rPr>
        <w:t>1.供应商应认真阅读竞争性磋商文件所有的事项、格</w:t>
      </w:r>
      <w:r>
        <w:rPr>
          <w:rFonts w:ascii="宋体" w:hAnsi="宋体" w:eastAsia="宋体" w:cs="宋体"/>
          <w:color w:val="auto"/>
          <w:spacing w:val="-4"/>
          <w:sz w:val="24"/>
          <w:szCs w:val="24"/>
        </w:rPr>
        <w:t>式、条款和技术规格等。如</w:t>
      </w:r>
      <w:r>
        <w:rPr>
          <w:rFonts w:ascii="宋体" w:hAnsi="宋体" w:eastAsia="宋体" w:cs="宋体"/>
          <w:color w:val="auto"/>
          <w:spacing w:val="-3"/>
          <w:sz w:val="24"/>
          <w:szCs w:val="24"/>
        </w:rPr>
        <w:t>供应商没有按照磋商文件要求提交全部资料，或者磋商响应文件没有对磋商文件在各</w:t>
      </w:r>
      <w:r>
        <w:rPr>
          <w:rFonts w:ascii="宋体" w:hAnsi="宋体" w:eastAsia="宋体" w:cs="宋体"/>
          <w:color w:val="auto"/>
          <w:sz w:val="24"/>
          <w:szCs w:val="24"/>
        </w:rPr>
        <w:t>方面都作出实质性响应是供应商的风险，并</w:t>
      </w:r>
      <w:r>
        <w:rPr>
          <w:rFonts w:ascii="宋体" w:hAnsi="宋体" w:eastAsia="宋体" w:cs="宋体"/>
          <w:color w:val="auto"/>
          <w:spacing w:val="-1"/>
          <w:sz w:val="24"/>
          <w:szCs w:val="24"/>
        </w:rPr>
        <w:t>可能导致其报价被拒绝。</w:t>
      </w:r>
    </w:p>
    <w:p w14:paraId="7E10D7B4">
      <w:pPr>
        <w:spacing w:before="183" w:line="220" w:lineRule="auto"/>
        <w:ind w:left="484"/>
        <w:rPr>
          <w:rFonts w:ascii="宋体" w:hAnsi="宋体" w:eastAsia="宋体" w:cs="宋体"/>
          <w:color w:val="auto"/>
          <w:sz w:val="24"/>
          <w:szCs w:val="24"/>
        </w:rPr>
      </w:pPr>
      <w:r>
        <w:rPr>
          <w:rFonts w:ascii="宋体" w:hAnsi="宋体" w:eastAsia="宋体" w:cs="宋体"/>
          <w:color w:val="auto"/>
          <w:spacing w:val="-2"/>
          <w:sz w:val="24"/>
          <w:szCs w:val="24"/>
        </w:rPr>
        <w:t>2.磋商文件的澄清及修改</w:t>
      </w:r>
    </w:p>
    <w:p w14:paraId="5CA0AC4F">
      <w:pPr>
        <w:spacing w:before="181" w:line="290" w:lineRule="auto"/>
        <w:ind w:left="10" w:right="34" w:firstLine="474"/>
        <w:rPr>
          <w:rFonts w:ascii="宋体" w:hAnsi="宋体" w:eastAsia="宋体" w:cs="宋体"/>
          <w:color w:val="auto"/>
          <w:sz w:val="24"/>
          <w:szCs w:val="24"/>
        </w:rPr>
      </w:pPr>
      <w:r>
        <w:rPr>
          <w:rFonts w:ascii="宋体" w:hAnsi="宋体" w:eastAsia="宋体" w:cs="宋体"/>
          <w:color w:val="auto"/>
          <w:spacing w:val="-3"/>
          <w:sz w:val="24"/>
          <w:szCs w:val="24"/>
        </w:rPr>
        <w:t>2.1</w:t>
      </w:r>
      <w:r>
        <w:rPr>
          <w:rFonts w:ascii="宋体" w:hAnsi="宋体" w:eastAsia="宋体" w:cs="宋体"/>
          <w:color w:val="auto"/>
          <w:spacing w:val="-52"/>
          <w:sz w:val="24"/>
          <w:szCs w:val="24"/>
        </w:rPr>
        <w:t xml:space="preserve"> </w:t>
      </w:r>
      <w:r>
        <w:rPr>
          <w:rFonts w:ascii="宋体" w:hAnsi="宋体" w:eastAsia="宋体" w:cs="宋体"/>
          <w:color w:val="auto"/>
          <w:spacing w:val="-3"/>
          <w:sz w:val="24"/>
          <w:szCs w:val="24"/>
        </w:rPr>
        <w:t>任何要求对磋商文件进行澄清的供应商，</w:t>
      </w:r>
      <w:r>
        <w:rPr>
          <w:rFonts w:ascii="宋体" w:hAnsi="宋体" w:eastAsia="宋体" w:cs="宋体"/>
          <w:color w:val="auto"/>
          <w:spacing w:val="-4"/>
          <w:sz w:val="24"/>
          <w:szCs w:val="24"/>
        </w:rPr>
        <w:t>磋商截止时间</w:t>
      </w:r>
      <w:r>
        <w:rPr>
          <w:rFonts w:ascii="宋体" w:hAnsi="宋体" w:eastAsia="宋体" w:cs="宋体"/>
          <w:color w:val="auto"/>
          <w:spacing w:val="-46"/>
          <w:sz w:val="24"/>
          <w:szCs w:val="24"/>
        </w:rPr>
        <w:t xml:space="preserve"> </w:t>
      </w:r>
      <w:r>
        <w:rPr>
          <w:rFonts w:ascii="宋体" w:hAnsi="宋体" w:eastAsia="宋体" w:cs="宋体"/>
          <w:color w:val="auto"/>
          <w:spacing w:val="-4"/>
          <w:sz w:val="24"/>
          <w:szCs w:val="24"/>
        </w:rPr>
        <w:t>5 日前应将纸质版盖</w:t>
      </w:r>
      <w:r>
        <w:rPr>
          <w:rFonts w:ascii="宋体" w:hAnsi="宋体" w:eastAsia="宋体" w:cs="宋体"/>
          <w:color w:val="auto"/>
          <w:spacing w:val="-1"/>
          <w:sz w:val="24"/>
          <w:szCs w:val="24"/>
        </w:rPr>
        <w:t>章资料递交至招标代理机构。招标代理机构在规定时间内以书面形式予以答复。</w:t>
      </w:r>
    </w:p>
    <w:p w14:paraId="1CE1849E">
      <w:pPr>
        <w:spacing w:before="182" w:line="290" w:lineRule="auto"/>
        <w:ind w:firstLine="483"/>
        <w:rPr>
          <w:rFonts w:ascii="宋体" w:hAnsi="宋体" w:eastAsia="宋体" w:cs="宋体"/>
          <w:color w:val="auto"/>
          <w:sz w:val="24"/>
          <w:szCs w:val="24"/>
        </w:rPr>
      </w:pPr>
      <w:r>
        <w:rPr>
          <w:rFonts w:ascii="宋体" w:hAnsi="宋体" w:eastAsia="宋体" w:cs="宋体"/>
          <w:color w:val="auto"/>
          <w:spacing w:val="-2"/>
          <w:sz w:val="24"/>
          <w:szCs w:val="24"/>
        </w:rPr>
        <w:t>2.2 采购单位可主动地或在解答供应商提出的澄清问题时对磋商文件进行修改，</w:t>
      </w:r>
      <w:r>
        <w:rPr>
          <w:rFonts w:ascii="宋体" w:hAnsi="宋体" w:eastAsia="宋体" w:cs="宋体"/>
          <w:color w:val="auto"/>
          <w:spacing w:val="-3"/>
          <w:sz w:val="24"/>
          <w:szCs w:val="24"/>
        </w:rPr>
        <w:t>磋商文件的修改应以书面形式通知招标代理机构，由招标代理机构以书面形式通知所</w:t>
      </w:r>
      <w:r>
        <w:rPr>
          <w:rFonts w:ascii="宋体" w:hAnsi="宋体" w:eastAsia="宋体" w:cs="宋体"/>
          <w:color w:val="auto"/>
          <w:spacing w:val="-1"/>
          <w:sz w:val="24"/>
          <w:szCs w:val="24"/>
        </w:rPr>
        <w:t>有供应商，并对其具有约束力。</w:t>
      </w:r>
    </w:p>
    <w:p w14:paraId="0405F939">
      <w:pPr>
        <w:spacing w:before="182" w:line="362" w:lineRule="auto"/>
        <w:ind w:firstLine="483"/>
        <w:rPr>
          <w:rFonts w:ascii="宋体" w:hAnsi="宋体" w:eastAsia="宋体" w:cs="宋体"/>
          <w:color w:val="auto"/>
          <w:sz w:val="24"/>
          <w:szCs w:val="24"/>
        </w:rPr>
      </w:pPr>
      <w:r>
        <w:rPr>
          <w:rFonts w:ascii="宋体" w:hAnsi="宋体" w:eastAsia="宋体" w:cs="宋体"/>
          <w:color w:val="auto"/>
          <w:spacing w:val="-2"/>
          <w:sz w:val="24"/>
          <w:szCs w:val="24"/>
        </w:rPr>
        <w:t>2.3</w:t>
      </w:r>
      <w:r>
        <w:rPr>
          <w:rFonts w:ascii="宋体" w:hAnsi="宋体" w:eastAsia="宋体" w:cs="宋体"/>
          <w:color w:val="auto"/>
          <w:spacing w:val="-33"/>
          <w:sz w:val="24"/>
          <w:szCs w:val="24"/>
        </w:rPr>
        <w:t xml:space="preserve"> </w:t>
      </w:r>
      <w:r>
        <w:rPr>
          <w:rFonts w:ascii="宋体" w:hAnsi="宋体" w:eastAsia="宋体" w:cs="宋体"/>
          <w:color w:val="auto"/>
          <w:spacing w:val="-2"/>
          <w:sz w:val="24"/>
          <w:szCs w:val="24"/>
        </w:rPr>
        <w:t>为使供应商有足够的时间对磋商响应文件的修改部分进行研究，采购单位有</w:t>
      </w:r>
      <w:r>
        <w:rPr>
          <w:rFonts w:ascii="宋体" w:hAnsi="宋体" w:eastAsia="宋体" w:cs="宋体"/>
          <w:color w:val="auto"/>
          <w:spacing w:val="-1"/>
          <w:sz w:val="24"/>
          <w:szCs w:val="24"/>
        </w:rPr>
        <w:t>权决定是否延长磋商截止期。</w:t>
      </w:r>
    </w:p>
    <w:p w14:paraId="6C697325">
      <w:pPr>
        <w:spacing w:before="150" w:line="220" w:lineRule="auto"/>
        <w:ind w:left="3008"/>
        <w:rPr>
          <w:rFonts w:ascii="宋体" w:hAnsi="宋体" w:eastAsia="宋体" w:cs="宋体"/>
          <w:color w:val="auto"/>
          <w:sz w:val="24"/>
          <w:szCs w:val="24"/>
        </w:rPr>
      </w:pPr>
      <w:r>
        <w:rPr>
          <w:rFonts w:ascii="宋体" w:hAnsi="宋体" w:eastAsia="宋体" w:cs="宋体"/>
          <w:b/>
          <w:bCs/>
          <w:color w:val="auto"/>
          <w:spacing w:val="-3"/>
          <w:sz w:val="24"/>
          <w:szCs w:val="24"/>
        </w:rPr>
        <w:t>第三部分</w:t>
      </w:r>
      <w:r>
        <w:rPr>
          <w:rFonts w:ascii="宋体" w:hAnsi="宋体" w:eastAsia="宋体" w:cs="宋体"/>
          <w:color w:val="auto"/>
          <w:spacing w:val="-3"/>
          <w:sz w:val="24"/>
          <w:szCs w:val="24"/>
        </w:rPr>
        <w:t xml:space="preserve"> </w:t>
      </w:r>
      <w:r>
        <w:rPr>
          <w:rFonts w:ascii="宋体" w:hAnsi="宋体" w:eastAsia="宋体" w:cs="宋体"/>
          <w:b/>
          <w:bCs/>
          <w:color w:val="auto"/>
          <w:spacing w:val="-3"/>
          <w:sz w:val="24"/>
          <w:szCs w:val="24"/>
        </w:rPr>
        <w:t>磋商响应文件的编制</w:t>
      </w:r>
    </w:p>
    <w:p w14:paraId="2104BDC3">
      <w:pPr>
        <w:pStyle w:val="2"/>
        <w:spacing w:line="258" w:lineRule="auto"/>
        <w:rPr>
          <w:color w:val="auto"/>
        </w:rPr>
      </w:pPr>
    </w:p>
    <w:p w14:paraId="34440BD8">
      <w:pPr>
        <w:spacing w:before="78" w:line="220" w:lineRule="auto"/>
        <w:ind w:left="18"/>
        <w:rPr>
          <w:rFonts w:ascii="宋体" w:hAnsi="宋体" w:eastAsia="宋体" w:cs="宋体"/>
          <w:color w:val="auto"/>
          <w:sz w:val="24"/>
          <w:szCs w:val="24"/>
        </w:rPr>
      </w:pPr>
      <w:r>
        <w:rPr>
          <w:rFonts w:ascii="宋体" w:hAnsi="宋体" w:eastAsia="宋体" w:cs="宋体"/>
          <w:color w:val="auto"/>
          <w:spacing w:val="-2"/>
          <w:sz w:val="24"/>
          <w:szCs w:val="24"/>
        </w:rPr>
        <w:t>1.磋商范围及磋商相应文件中计量单位的使用</w:t>
      </w:r>
    </w:p>
    <w:p w14:paraId="050D855C">
      <w:pPr>
        <w:spacing w:before="183" w:line="289" w:lineRule="auto"/>
        <w:ind w:left="2" w:firstLine="495"/>
        <w:rPr>
          <w:rFonts w:ascii="宋体" w:hAnsi="宋体" w:eastAsia="宋体" w:cs="宋体"/>
          <w:color w:val="auto"/>
          <w:sz w:val="24"/>
          <w:szCs w:val="24"/>
        </w:rPr>
      </w:pPr>
      <w:r>
        <w:rPr>
          <w:rFonts w:ascii="宋体" w:hAnsi="宋体" w:eastAsia="宋体" w:cs="宋体"/>
          <w:color w:val="auto"/>
          <w:spacing w:val="-2"/>
          <w:sz w:val="24"/>
          <w:szCs w:val="24"/>
        </w:rPr>
        <w:t>1.1</w:t>
      </w:r>
      <w:r>
        <w:rPr>
          <w:rFonts w:ascii="宋体" w:hAnsi="宋体" w:eastAsia="宋体" w:cs="宋体"/>
          <w:color w:val="auto"/>
          <w:spacing w:val="-48"/>
          <w:sz w:val="24"/>
          <w:szCs w:val="24"/>
        </w:rPr>
        <w:t xml:space="preserve"> </w:t>
      </w:r>
      <w:r>
        <w:rPr>
          <w:rFonts w:ascii="宋体" w:hAnsi="宋体" w:eastAsia="宋体" w:cs="宋体"/>
          <w:color w:val="auto"/>
          <w:spacing w:val="-2"/>
          <w:sz w:val="24"/>
          <w:szCs w:val="24"/>
        </w:rPr>
        <w:t>投标供应商应按磋商文件的采购需求内容进行报价，不能将整个的内容拆开</w:t>
      </w:r>
      <w:r>
        <w:rPr>
          <w:rFonts w:ascii="宋体" w:hAnsi="宋体" w:eastAsia="宋体" w:cs="宋体"/>
          <w:color w:val="auto"/>
          <w:spacing w:val="-1"/>
          <w:sz w:val="24"/>
          <w:szCs w:val="24"/>
        </w:rPr>
        <w:t>就其中一项或一部分进行报价。</w:t>
      </w:r>
    </w:p>
    <w:p w14:paraId="2ED1BC8C">
      <w:pPr>
        <w:spacing w:before="183" w:line="290" w:lineRule="auto"/>
        <w:ind w:left="1" w:firstLine="496"/>
        <w:rPr>
          <w:rFonts w:ascii="宋体" w:hAnsi="宋体" w:eastAsia="宋体" w:cs="宋体"/>
          <w:color w:val="auto"/>
          <w:sz w:val="24"/>
          <w:szCs w:val="24"/>
        </w:rPr>
      </w:pPr>
      <w:r>
        <w:rPr>
          <w:rFonts w:ascii="宋体" w:hAnsi="宋体" w:eastAsia="宋体" w:cs="宋体"/>
          <w:color w:val="auto"/>
          <w:spacing w:val="-3"/>
          <w:sz w:val="24"/>
          <w:szCs w:val="24"/>
        </w:rPr>
        <w:t>1.2 磋商响应文件中所使用的计量单位，除磋商文件中有特</w:t>
      </w:r>
      <w:r>
        <w:rPr>
          <w:rFonts w:ascii="宋体" w:hAnsi="宋体" w:eastAsia="宋体" w:cs="宋体"/>
          <w:color w:val="auto"/>
          <w:spacing w:val="-4"/>
          <w:sz w:val="24"/>
          <w:szCs w:val="24"/>
        </w:rPr>
        <w:t>殊要求外，应采用中</w:t>
      </w:r>
      <w:r>
        <w:rPr>
          <w:rFonts w:ascii="宋体" w:hAnsi="宋体" w:eastAsia="宋体" w:cs="宋体"/>
          <w:color w:val="auto"/>
          <w:spacing w:val="-1"/>
          <w:sz w:val="24"/>
          <w:szCs w:val="24"/>
        </w:rPr>
        <w:t>华人民共和国法定计量单位。</w:t>
      </w:r>
    </w:p>
    <w:p w14:paraId="57B89E64">
      <w:pPr>
        <w:spacing w:before="182" w:line="220" w:lineRule="auto"/>
        <w:ind w:left="3"/>
        <w:rPr>
          <w:rFonts w:ascii="宋体" w:hAnsi="宋体" w:eastAsia="宋体" w:cs="宋体"/>
          <w:color w:val="auto"/>
          <w:sz w:val="24"/>
          <w:szCs w:val="24"/>
        </w:rPr>
      </w:pPr>
      <w:r>
        <w:rPr>
          <w:rFonts w:ascii="宋体" w:hAnsi="宋体" w:eastAsia="宋体" w:cs="宋体"/>
          <w:color w:val="auto"/>
          <w:spacing w:val="-2"/>
          <w:sz w:val="24"/>
          <w:szCs w:val="24"/>
        </w:rPr>
        <w:t>2.磋商响应文件构成</w:t>
      </w:r>
    </w:p>
    <w:p w14:paraId="0141C4C8">
      <w:pPr>
        <w:spacing w:before="182" w:line="360" w:lineRule="auto"/>
        <w:ind w:firstLine="480"/>
        <w:rPr>
          <w:rFonts w:ascii="宋体" w:hAnsi="宋体" w:eastAsia="宋体" w:cs="宋体"/>
          <w:color w:val="auto"/>
          <w:sz w:val="24"/>
          <w:szCs w:val="24"/>
        </w:rPr>
      </w:pPr>
      <w:r>
        <w:rPr>
          <w:rFonts w:ascii="宋体" w:hAnsi="宋体" w:eastAsia="宋体" w:cs="宋体"/>
          <w:color w:val="auto"/>
          <w:spacing w:val="-3"/>
          <w:sz w:val="24"/>
          <w:szCs w:val="24"/>
        </w:rPr>
        <w:t>供应商应完整的按磋商文件提供的磋商响应文件格式填写磋商响应文件，磋商响</w:t>
      </w:r>
      <w:r>
        <w:rPr>
          <w:rFonts w:ascii="宋体" w:hAnsi="宋体" w:eastAsia="宋体" w:cs="宋体"/>
          <w:color w:val="auto"/>
          <w:spacing w:val="-1"/>
          <w:sz w:val="24"/>
          <w:szCs w:val="24"/>
        </w:rPr>
        <w:t>应文件应包括以下内容：</w:t>
      </w:r>
    </w:p>
    <w:p w14:paraId="45AB757D">
      <w:pPr>
        <w:spacing w:before="1" w:line="219" w:lineRule="auto"/>
        <w:ind w:left="483"/>
        <w:rPr>
          <w:rFonts w:ascii="宋体" w:hAnsi="宋体" w:eastAsia="宋体" w:cs="宋体"/>
          <w:color w:val="auto"/>
          <w:sz w:val="24"/>
          <w:szCs w:val="24"/>
        </w:rPr>
      </w:pPr>
      <w:r>
        <w:rPr>
          <w:rFonts w:ascii="宋体" w:hAnsi="宋体" w:eastAsia="宋体" w:cs="宋体"/>
          <w:color w:val="auto"/>
          <w:spacing w:val="-1"/>
          <w:sz w:val="24"/>
          <w:szCs w:val="24"/>
        </w:rPr>
        <w:t>2.1</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供应商编写的响应文件应包括下列部</w:t>
      </w:r>
      <w:r>
        <w:rPr>
          <w:rFonts w:ascii="宋体" w:hAnsi="宋体" w:eastAsia="宋体" w:cs="宋体"/>
          <w:color w:val="auto"/>
          <w:spacing w:val="-2"/>
          <w:sz w:val="24"/>
          <w:szCs w:val="24"/>
        </w:rPr>
        <w:t>分：</w:t>
      </w:r>
    </w:p>
    <w:p w14:paraId="12BFCE07">
      <w:pPr>
        <w:spacing w:before="182" w:line="221" w:lineRule="auto"/>
        <w:ind w:left="498"/>
        <w:rPr>
          <w:rFonts w:ascii="宋体" w:hAnsi="宋体" w:eastAsia="宋体" w:cs="宋体"/>
          <w:color w:val="auto"/>
          <w:sz w:val="24"/>
          <w:szCs w:val="24"/>
        </w:rPr>
      </w:pPr>
      <w:r>
        <w:rPr>
          <w:rFonts w:ascii="宋体" w:hAnsi="宋体" w:eastAsia="宋体" w:cs="宋体"/>
          <w:color w:val="auto"/>
          <w:spacing w:val="-6"/>
          <w:sz w:val="24"/>
          <w:szCs w:val="24"/>
        </w:rPr>
        <w:t>1、磋商函</w:t>
      </w:r>
    </w:p>
    <w:p w14:paraId="471915C8">
      <w:pPr>
        <w:spacing w:before="181" w:line="220" w:lineRule="auto"/>
        <w:ind w:left="483"/>
        <w:rPr>
          <w:rFonts w:ascii="宋体" w:hAnsi="宋体" w:eastAsia="宋体" w:cs="宋体"/>
          <w:color w:val="auto"/>
          <w:sz w:val="24"/>
          <w:szCs w:val="24"/>
        </w:rPr>
      </w:pPr>
      <w:r>
        <w:rPr>
          <w:rFonts w:ascii="宋体" w:hAnsi="宋体" w:eastAsia="宋体" w:cs="宋体"/>
          <w:color w:val="auto"/>
          <w:spacing w:val="-2"/>
          <w:sz w:val="24"/>
          <w:szCs w:val="24"/>
        </w:rPr>
        <w:t>2、法定代表人身份证明</w:t>
      </w:r>
    </w:p>
    <w:p w14:paraId="2DAA710D">
      <w:pPr>
        <w:spacing w:before="183" w:line="219" w:lineRule="auto"/>
        <w:ind w:left="485"/>
        <w:rPr>
          <w:rFonts w:ascii="宋体" w:hAnsi="宋体" w:eastAsia="宋体" w:cs="宋体"/>
          <w:color w:val="auto"/>
          <w:sz w:val="24"/>
          <w:szCs w:val="24"/>
        </w:rPr>
      </w:pPr>
      <w:r>
        <w:rPr>
          <w:rFonts w:ascii="宋体" w:hAnsi="宋体" w:eastAsia="宋体" w:cs="宋体"/>
          <w:color w:val="auto"/>
          <w:spacing w:val="-3"/>
          <w:sz w:val="24"/>
          <w:szCs w:val="24"/>
        </w:rPr>
        <w:t>3、授权委托书</w:t>
      </w:r>
    </w:p>
    <w:p w14:paraId="66CDD99E">
      <w:pPr>
        <w:spacing w:before="182" w:line="221" w:lineRule="auto"/>
        <w:ind w:left="480"/>
        <w:rPr>
          <w:rFonts w:ascii="宋体" w:hAnsi="宋体" w:eastAsia="宋体" w:cs="宋体"/>
          <w:color w:val="auto"/>
          <w:sz w:val="24"/>
          <w:szCs w:val="24"/>
        </w:rPr>
      </w:pPr>
      <w:r>
        <w:rPr>
          <w:rFonts w:ascii="宋体" w:hAnsi="宋体" w:eastAsia="宋体" w:cs="宋体"/>
          <w:color w:val="auto"/>
          <w:spacing w:val="-2"/>
          <w:sz w:val="24"/>
          <w:szCs w:val="24"/>
        </w:rPr>
        <w:t>4、开标一览表</w:t>
      </w:r>
    </w:p>
    <w:p w14:paraId="31633824">
      <w:pPr>
        <w:spacing w:before="181" w:line="220" w:lineRule="auto"/>
        <w:ind w:left="485"/>
        <w:rPr>
          <w:rFonts w:ascii="宋体" w:hAnsi="宋体" w:eastAsia="宋体" w:cs="宋体"/>
          <w:color w:val="auto"/>
          <w:sz w:val="24"/>
          <w:szCs w:val="24"/>
        </w:rPr>
      </w:pPr>
      <w:r>
        <w:rPr>
          <w:rFonts w:ascii="宋体" w:hAnsi="宋体" w:eastAsia="宋体" w:cs="宋体"/>
          <w:color w:val="auto"/>
          <w:spacing w:val="-2"/>
          <w:sz w:val="24"/>
          <w:szCs w:val="24"/>
        </w:rPr>
        <w:t>5、优惠条件及保修承诺</w:t>
      </w:r>
    </w:p>
    <w:p w14:paraId="6510BB73">
      <w:pPr>
        <w:spacing w:before="182" w:line="219" w:lineRule="auto"/>
        <w:ind w:left="482"/>
        <w:rPr>
          <w:rFonts w:ascii="宋体" w:hAnsi="宋体" w:eastAsia="宋体" w:cs="宋体"/>
          <w:color w:val="auto"/>
          <w:sz w:val="24"/>
          <w:szCs w:val="24"/>
        </w:rPr>
      </w:pPr>
      <w:r>
        <w:rPr>
          <w:rFonts w:ascii="宋体" w:hAnsi="宋体" w:eastAsia="宋体" w:cs="宋体"/>
          <w:color w:val="auto"/>
          <w:spacing w:val="-2"/>
          <w:sz w:val="24"/>
          <w:szCs w:val="24"/>
        </w:rPr>
        <w:t>6、已标价工程量清单</w:t>
      </w:r>
    </w:p>
    <w:p w14:paraId="0E90934E">
      <w:pPr>
        <w:spacing w:before="183" w:line="222" w:lineRule="auto"/>
        <w:ind w:left="486"/>
        <w:rPr>
          <w:rFonts w:ascii="宋体" w:hAnsi="宋体" w:eastAsia="宋体" w:cs="宋体"/>
          <w:color w:val="auto"/>
          <w:sz w:val="24"/>
          <w:szCs w:val="24"/>
        </w:rPr>
      </w:pPr>
      <w:r>
        <w:rPr>
          <w:rFonts w:ascii="宋体" w:hAnsi="宋体" w:eastAsia="宋体" w:cs="宋体"/>
          <w:color w:val="auto"/>
          <w:spacing w:val="-2"/>
          <w:sz w:val="24"/>
          <w:szCs w:val="24"/>
        </w:rPr>
        <w:t>7、施工组织设计</w:t>
      </w:r>
    </w:p>
    <w:p w14:paraId="6A373774">
      <w:pPr>
        <w:spacing w:before="181" w:line="219" w:lineRule="auto"/>
        <w:ind w:left="481"/>
        <w:rPr>
          <w:rFonts w:ascii="宋体" w:hAnsi="宋体" w:eastAsia="宋体" w:cs="宋体"/>
          <w:color w:val="auto"/>
          <w:sz w:val="24"/>
          <w:szCs w:val="24"/>
        </w:rPr>
      </w:pPr>
      <w:r>
        <w:rPr>
          <w:rFonts w:ascii="宋体" w:hAnsi="宋体" w:eastAsia="宋体" w:cs="宋体"/>
          <w:color w:val="auto"/>
          <w:spacing w:val="-2"/>
          <w:sz w:val="24"/>
          <w:szCs w:val="24"/>
        </w:rPr>
        <w:t>8、项目管理机构</w:t>
      </w:r>
    </w:p>
    <w:p w14:paraId="3B547C62">
      <w:pPr>
        <w:spacing w:before="182" w:line="220" w:lineRule="auto"/>
        <w:ind w:left="481"/>
        <w:rPr>
          <w:rFonts w:ascii="宋体" w:hAnsi="宋体" w:eastAsia="宋体" w:cs="宋体"/>
          <w:color w:val="auto"/>
          <w:sz w:val="24"/>
          <w:szCs w:val="24"/>
        </w:rPr>
      </w:pPr>
      <w:r>
        <w:rPr>
          <w:rFonts w:ascii="宋体" w:hAnsi="宋体" w:eastAsia="宋体" w:cs="宋体"/>
          <w:color w:val="auto"/>
          <w:spacing w:val="-2"/>
          <w:sz w:val="24"/>
          <w:szCs w:val="24"/>
        </w:rPr>
        <w:t>9、资格审查资料</w:t>
      </w:r>
    </w:p>
    <w:p w14:paraId="585188AB">
      <w:pPr>
        <w:spacing w:before="183" w:line="219" w:lineRule="auto"/>
        <w:ind w:left="498"/>
        <w:rPr>
          <w:rFonts w:ascii="宋体" w:hAnsi="宋体" w:eastAsia="宋体" w:cs="宋体"/>
          <w:color w:val="auto"/>
          <w:sz w:val="24"/>
          <w:szCs w:val="24"/>
        </w:rPr>
      </w:pPr>
      <w:r>
        <w:rPr>
          <w:rFonts w:ascii="宋体" w:hAnsi="宋体" w:eastAsia="宋体" w:cs="宋体"/>
          <w:color w:val="auto"/>
          <w:spacing w:val="-4"/>
          <w:sz w:val="24"/>
          <w:szCs w:val="24"/>
        </w:rPr>
        <w:t>10、其他材料</w:t>
      </w:r>
    </w:p>
    <w:p w14:paraId="67CA4CCF">
      <w:pPr>
        <w:spacing w:before="182" w:line="219" w:lineRule="auto"/>
        <w:ind w:left="5"/>
        <w:rPr>
          <w:rFonts w:ascii="宋体" w:hAnsi="宋体" w:eastAsia="宋体" w:cs="宋体"/>
          <w:color w:val="auto"/>
          <w:sz w:val="24"/>
          <w:szCs w:val="24"/>
        </w:rPr>
      </w:pPr>
      <w:r>
        <w:rPr>
          <w:rFonts w:ascii="宋体" w:hAnsi="宋体" w:eastAsia="宋体" w:cs="宋体"/>
          <w:color w:val="auto"/>
          <w:spacing w:val="-4"/>
          <w:sz w:val="24"/>
          <w:szCs w:val="24"/>
        </w:rPr>
        <w:t>3.报价</w:t>
      </w:r>
    </w:p>
    <w:p w14:paraId="571A0F3A">
      <w:pPr>
        <w:spacing w:before="184" w:line="219" w:lineRule="auto"/>
        <w:ind w:left="485"/>
        <w:rPr>
          <w:rFonts w:ascii="宋体" w:hAnsi="宋体" w:eastAsia="宋体" w:cs="宋体"/>
          <w:color w:val="auto"/>
          <w:sz w:val="24"/>
          <w:szCs w:val="24"/>
        </w:rPr>
      </w:pPr>
      <w:r>
        <w:rPr>
          <w:rFonts w:ascii="宋体" w:hAnsi="宋体" w:eastAsia="宋体" w:cs="宋体"/>
          <w:color w:val="auto"/>
          <w:spacing w:val="-2"/>
          <w:sz w:val="24"/>
          <w:szCs w:val="24"/>
        </w:rPr>
        <w:t>3.1</w:t>
      </w:r>
      <w:r>
        <w:rPr>
          <w:rFonts w:ascii="宋体" w:hAnsi="宋体" w:eastAsia="宋体" w:cs="宋体"/>
          <w:color w:val="auto"/>
          <w:spacing w:val="-36"/>
          <w:sz w:val="24"/>
          <w:szCs w:val="24"/>
        </w:rPr>
        <w:t xml:space="preserve"> </w:t>
      </w:r>
      <w:r>
        <w:rPr>
          <w:rFonts w:ascii="宋体" w:hAnsi="宋体" w:eastAsia="宋体" w:cs="宋体"/>
          <w:color w:val="auto"/>
          <w:spacing w:val="-2"/>
          <w:sz w:val="24"/>
          <w:szCs w:val="24"/>
        </w:rPr>
        <w:t>报价原则：所有投标均以人民币报价。</w:t>
      </w:r>
    </w:p>
    <w:p w14:paraId="2921838E">
      <w:pPr>
        <w:spacing w:before="183" w:line="219" w:lineRule="auto"/>
        <w:ind w:left="485"/>
        <w:rPr>
          <w:rFonts w:ascii="宋体" w:hAnsi="宋体" w:eastAsia="宋体" w:cs="宋体"/>
          <w:color w:val="auto"/>
          <w:sz w:val="24"/>
          <w:szCs w:val="24"/>
        </w:rPr>
      </w:pPr>
      <w:r>
        <w:rPr>
          <w:rFonts w:ascii="宋体" w:hAnsi="宋体" w:eastAsia="宋体" w:cs="宋体"/>
          <w:color w:val="auto"/>
          <w:sz w:val="24"/>
          <w:szCs w:val="24"/>
        </w:rPr>
        <w:t>3.1.1 采购人设有采购预算的，投标供</w:t>
      </w:r>
      <w:r>
        <w:rPr>
          <w:rFonts w:ascii="宋体" w:hAnsi="宋体" w:eastAsia="宋体" w:cs="宋体"/>
          <w:color w:val="auto"/>
          <w:spacing w:val="-1"/>
          <w:sz w:val="24"/>
          <w:szCs w:val="24"/>
        </w:rPr>
        <w:t>应商的投标报价不得超过采购预算。</w:t>
      </w:r>
    </w:p>
    <w:p w14:paraId="3FD4830C">
      <w:pPr>
        <w:spacing w:before="184" w:line="289" w:lineRule="auto"/>
        <w:ind w:firstLine="484"/>
        <w:rPr>
          <w:rFonts w:ascii="宋体" w:hAnsi="宋体" w:eastAsia="宋体" w:cs="宋体"/>
          <w:color w:val="auto"/>
          <w:sz w:val="24"/>
          <w:szCs w:val="24"/>
        </w:rPr>
      </w:pPr>
      <w:r>
        <w:rPr>
          <w:rFonts w:ascii="宋体" w:hAnsi="宋体" w:eastAsia="宋体" w:cs="宋体"/>
          <w:color w:val="auto"/>
          <w:spacing w:val="-2"/>
          <w:sz w:val="24"/>
          <w:szCs w:val="24"/>
        </w:rPr>
        <w:t>3.1.2</w:t>
      </w:r>
      <w:r>
        <w:rPr>
          <w:rFonts w:ascii="宋体" w:hAnsi="宋体" w:eastAsia="宋体" w:cs="宋体"/>
          <w:color w:val="auto"/>
          <w:spacing w:val="-33"/>
          <w:sz w:val="24"/>
          <w:szCs w:val="24"/>
        </w:rPr>
        <w:t xml:space="preserve"> </w:t>
      </w:r>
      <w:r>
        <w:rPr>
          <w:rFonts w:ascii="宋体" w:hAnsi="宋体" w:eastAsia="宋体" w:cs="宋体"/>
          <w:color w:val="auto"/>
          <w:spacing w:val="-2"/>
          <w:sz w:val="24"/>
          <w:szCs w:val="24"/>
        </w:rPr>
        <w:t>供应商所报的价格在合同执行过程中是固定不变的，不得以任何理由予以</w:t>
      </w:r>
      <w:r>
        <w:rPr>
          <w:rFonts w:ascii="宋体" w:hAnsi="宋体" w:eastAsia="宋体" w:cs="宋体"/>
          <w:color w:val="auto"/>
          <w:sz w:val="24"/>
          <w:szCs w:val="24"/>
        </w:rPr>
        <w:t>变更。以可调整的价格提交的投标将作为非</w:t>
      </w:r>
      <w:r>
        <w:rPr>
          <w:rFonts w:ascii="宋体" w:hAnsi="宋体" w:eastAsia="宋体" w:cs="宋体"/>
          <w:color w:val="auto"/>
          <w:spacing w:val="-1"/>
          <w:sz w:val="24"/>
          <w:szCs w:val="24"/>
        </w:rPr>
        <w:t>响应性投标而予以拒绝。</w:t>
      </w:r>
    </w:p>
    <w:p w14:paraId="3B707856">
      <w:pPr>
        <w:spacing w:before="184" w:line="219" w:lineRule="auto"/>
        <w:ind w:left="485"/>
        <w:rPr>
          <w:rFonts w:ascii="宋体" w:hAnsi="宋体" w:eastAsia="宋体" w:cs="宋体"/>
          <w:color w:val="auto"/>
          <w:sz w:val="24"/>
          <w:szCs w:val="24"/>
        </w:rPr>
      </w:pPr>
      <w:r>
        <w:rPr>
          <w:rFonts w:ascii="宋体" w:hAnsi="宋体" w:eastAsia="宋体" w:cs="宋体"/>
          <w:color w:val="auto"/>
          <w:spacing w:val="-1"/>
          <w:sz w:val="24"/>
          <w:szCs w:val="24"/>
        </w:rPr>
        <w:t>3.1.3</w:t>
      </w:r>
      <w:r>
        <w:rPr>
          <w:rFonts w:ascii="宋体" w:hAnsi="宋体" w:eastAsia="宋体" w:cs="宋体"/>
          <w:color w:val="auto"/>
          <w:spacing w:val="-49"/>
          <w:sz w:val="24"/>
          <w:szCs w:val="24"/>
        </w:rPr>
        <w:t xml:space="preserve"> </w:t>
      </w:r>
      <w:r>
        <w:rPr>
          <w:rFonts w:ascii="宋体" w:hAnsi="宋体" w:eastAsia="宋体" w:cs="宋体"/>
          <w:color w:val="auto"/>
          <w:spacing w:val="-1"/>
          <w:sz w:val="24"/>
          <w:szCs w:val="24"/>
        </w:rPr>
        <w:t>本项目采用两轮报价（第二轮报价即最后报价）。</w:t>
      </w:r>
    </w:p>
    <w:p w14:paraId="67193BCC">
      <w:pPr>
        <w:spacing w:before="122" w:line="221" w:lineRule="auto"/>
        <w:rPr>
          <w:rFonts w:ascii="宋体" w:hAnsi="宋体" w:eastAsia="宋体" w:cs="宋体"/>
          <w:color w:val="auto"/>
          <w:sz w:val="24"/>
          <w:szCs w:val="24"/>
        </w:rPr>
      </w:pPr>
      <w:r>
        <w:rPr>
          <w:rFonts w:ascii="宋体" w:hAnsi="宋体" w:eastAsia="宋体" w:cs="宋体"/>
          <w:b/>
          <w:bCs/>
          <w:color w:val="auto"/>
          <w:spacing w:val="-4"/>
          <w:sz w:val="24"/>
          <w:szCs w:val="24"/>
        </w:rPr>
        <w:t>4.磋商保证金</w:t>
      </w:r>
    </w:p>
    <w:p w14:paraId="215200DF">
      <w:pPr>
        <w:spacing w:before="181" w:line="290" w:lineRule="auto"/>
        <w:ind w:left="3" w:right="2" w:firstLine="476"/>
        <w:rPr>
          <w:rFonts w:ascii="宋体" w:hAnsi="宋体" w:eastAsia="宋体" w:cs="宋体"/>
          <w:color w:val="auto"/>
          <w:sz w:val="24"/>
          <w:szCs w:val="24"/>
        </w:rPr>
      </w:pPr>
      <w:r>
        <w:rPr>
          <w:rFonts w:ascii="宋体" w:hAnsi="宋体" w:eastAsia="宋体" w:cs="宋体"/>
          <w:color w:val="auto"/>
          <w:spacing w:val="5"/>
          <w:sz w:val="24"/>
          <w:szCs w:val="24"/>
        </w:rPr>
        <w:t>4.1</w:t>
      </w:r>
      <w:r>
        <w:rPr>
          <w:rFonts w:ascii="宋体" w:hAnsi="宋体" w:eastAsia="宋体" w:cs="宋体"/>
          <w:color w:val="auto"/>
          <w:spacing w:val="-39"/>
          <w:sz w:val="24"/>
          <w:szCs w:val="24"/>
        </w:rPr>
        <w:t xml:space="preserve"> </w:t>
      </w:r>
      <w:r>
        <w:rPr>
          <w:rFonts w:ascii="宋体" w:hAnsi="宋体" w:eastAsia="宋体" w:cs="宋体"/>
          <w:color w:val="auto"/>
          <w:spacing w:val="5"/>
          <w:sz w:val="24"/>
          <w:szCs w:val="24"/>
          <w:u w:val="single" w:color="auto"/>
        </w:rPr>
        <w:t>供应商应按供应商须知前附表要求的金额和方式并于磋商截止日前递交至</w:t>
      </w:r>
      <w:r>
        <w:rPr>
          <w:rFonts w:ascii="宋体" w:hAnsi="宋体" w:eastAsia="宋体" w:cs="宋体"/>
          <w:color w:val="auto"/>
          <w:spacing w:val="-1"/>
          <w:sz w:val="24"/>
          <w:szCs w:val="24"/>
          <w:u w:val="single" w:color="auto"/>
        </w:rPr>
        <w:t>指定账户（以实际到账为准</w:t>
      </w:r>
      <w:r>
        <w:rPr>
          <w:rFonts w:ascii="宋体" w:hAnsi="宋体" w:eastAsia="宋体" w:cs="宋体"/>
          <w:color w:val="auto"/>
          <w:spacing w:val="7"/>
          <w:sz w:val="24"/>
          <w:szCs w:val="24"/>
          <w:u w:val="single" w:color="auto"/>
        </w:rPr>
        <w:t>）</w:t>
      </w:r>
      <w:r>
        <w:rPr>
          <w:rFonts w:ascii="宋体" w:hAnsi="宋体" w:eastAsia="宋体" w:cs="宋体"/>
          <w:color w:val="auto"/>
          <w:spacing w:val="7"/>
          <w:sz w:val="24"/>
          <w:szCs w:val="24"/>
        </w:rPr>
        <w:t>，</w:t>
      </w:r>
      <w:r>
        <w:rPr>
          <w:rFonts w:ascii="宋体" w:hAnsi="宋体" w:eastAsia="宋体" w:cs="宋体"/>
          <w:color w:val="auto"/>
          <w:spacing w:val="-1"/>
          <w:sz w:val="24"/>
          <w:szCs w:val="24"/>
        </w:rPr>
        <w:t>并作为其磋商响应文件的一部</w:t>
      </w:r>
      <w:r>
        <w:rPr>
          <w:rFonts w:ascii="宋体" w:hAnsi="宋体" w:eastAsia="宋体" w:cs="宋体"/>
          <w:color w:val="auto"/>
          <w:spacing w:val="-2"/>
          <w:sz w:val="24"/>
          <w:szCs w:val="24"/>
        </w:rPr>
        <w:t>分。</w:t>
      </w:r>
    </w:p>
    <w:p w14:paraId="6BC8BC1B">
      <w:pPr>
        <w:spacing w:before="182" w:line="219" w:lineRule="auto"/>
        <w:ind w:left="480"/>
        <w:rPr>
          <w:rFonts w:ascii="宋体" w:hAnsi="宋体" w:eastAsia="宋体" w:cs="宋体"/>
          <w:color w:val="auto"/>
          <w:sz w:val="24"/>
          <w:szCs w:val="24"/>
        </w:rPr>
      </w:pPr>
      <w:r>
        <w:rPr>
          <w:rFonts w:ascii="宋体" w:hAnsi="宋体" w:eastAsia="宋体" w:cs="宋体"/>
          <w:color w:val="auto"/>
          <w:spacing w:val="-1"/>
          <w:sz w:val="24"/>
          <w:szCs w:val="24"/>
        </w:rPr>
        <w:t>4.2</w:t>
      </w:r>
      <w:r>
        <w:rPr>
          <w:rFonts w:ascii="宋体" w:hAnsi="宋体" w:eastAsia="宋体" w:cs="宋体"/>
          <w:color w:val="auto"/>
          <w:spacing w:val="-35"/>
          <w:sz w:val="24"/>
          <w:szCs w:val="24"/>
        </w:rPr>
        <w:t xml:space="preserve"> </w:t>
      </w:r>
      <w:r>
        <w:rPr>
          <w:rFonts w:ascii="宋体" w:hAnsi="宋体" w:eastAsia="宋体" w:cs="宋体"/>
          <w:color w:val="auto"/>
          <w:spacing w:val="-1"/>
          <w:sz w:val="24"/>
          <w:szCs w:val="24"/>
        </w:rPr>
        <w:t>磋商保证金是为了保护采购单位免遭因供应商的行为蒙受损失而要求的。</w:t>
      </w:r>
    </w:p>
    <w:p w14:paraId="2308F0AE">
      <w:pPr>
        <w:spacing w:before="182" w:line="220" w:lineRule="auto"/>
        <w:ind w:left="488"/>
        <w:rPr>
          <w:rFonts w:ascii="宋体" w:hAnsi="宋体" w:eastAsia="宋体" w:cs="宋体"/>
          <w:color w:val="auto"/>
          <w:sz w:val="24"/>
          <w:szCs w:val="24"/>
        </w:rPr>
      </w:pPr>
      <w:r>
        <w:rPr>
          <w:rFonts w:ascii="宋体" w:hAnsi="宋体" w:eastAsia="宋体" w:cs="宋体"/>
          <w:color w:val="auto"/>
          <w:spacing w:val="-1"/>
          <w:sz w:val="24"/>
          <w:szCs w:val="24"/>
        </w:rPr>
        <w:t>下列任何情况发生，保证金将被没收：</w:t>
      </w:r>
    </w:p>
    <w:p w14:paraId="6E61105E">
      <w:pPr>
        <w:spacing w:before="182" w:line="219" w:lineRule="auto"/>
        <w:ind w:left="492"/>
        <w:rPr>
          <w:rFonts w:ascii="宋体" w:hAnsi="宋体" w:eastAsia="宋体" w:cs="宋体"/>
          <w:color w:val="auto"/>
          <w:sz w:val="24"/>
          <w:szCs w:val="24"/>
        </w:rPr>
      </w:pPr>
      <w:r>
        <w:rPr>
          <w:rFonts w:ascii="宋体" w:hAnsi="宋体" w:eastAsia="宋体" w:cs="宋体"/>
          <w:color w:val="auto"/>
          <w:spacing w:val="-1"/>
          <w:sz w:val="24"/>
          <w:szCs w:val="24"/>
        </w:rPr>
        <w:t>（1）在递交磋商响应文件之日后到有效期满前，供应商擅自退出竞争性采购</w:t>
      </w:r>
    </w:p>
    <w:p w14:paraId="70501922">
      <w:pPr>
        <w:spacing w:before="183" w:line="219" w:lineRule="auto"/>
        <w:ind w:left="492"/>
        <w:rPr>
          <w:rFonts w:ascii="宋体" w:hAnsi="宋体" w:eastAsia="宋体" w:cs="宋体"/>
          <w:color w:val="auto"/>
          <w:sz w:val="24"/>
          <w:szCs w:val="24"/>
        </w:rPr>
      </w:pPr>
      <w:r>
        <w:rPr>
          <w:rFonts w:ascii="宋体" w:hAnsi="宋体" w:eastAsia="宋体" w:cs="宋体"/>
          <w:color w:val="auto"/>
          <w:spacing w:val="-1"/>
          <w:sz w:val="24"/>
          <w:szCs w:val="24"/>
        </w:rPr>
        <w:t>（2）成交供应商在规定的时间内不与采购人签订合同的；</w:t>
      </w:r>
    </w:p>
    <w:p w14:paraId="3D9AF720">
      <w:pPr>
        <w:spacing w:before="183" w:line="219" w:lineRule="auto"/>
        <w:ind w:left="480"/>
        <w:rPr>
          <w:rFonts w:ascii="宋体" w:hAnsi="宋体" w:eastAsia="宋体" w:cs="宋体"/>
          <w:color w:val="auto"/>
          <w:sz w:val="24"/>
          <w:szCs w:val="24"/>
        </w:rPr>
      </w:pPr>
      <w:r>
        <w:rPr>
          <w:rFonts w:ascii="宋体" w:hAnsi="宋体" w:eastAsia="宋体" w:cs="宋体"/>
          <w:color w:val="auto"/>
          <w:spacing w:val="-1"/>
          <w:sz w:val="24"/>
          <w:szCs w:val="24"/>
        </w:rPr>
        <w:t>4.3</w:t>
      </w:r>
      <w:r>
        <w:rPr>
          <w:rFonts w:ascii="宋体" w:hAnsi="宋体" w:eastAsia="宋体" w:cs="宋体"/>
          <w:color w:val="auto"/>
          <w:spacing w:val="-46"/>
          <w:sz w:val="24"/>
          <w:szCs w:val="24"/>
        </w:rPr>
        <w:t xml:space="preserve"> </w:t>
      </w:r>
      <w:r>
        <w:rPr>
          <w:rFonts w:ascii="宋体" w:hAnsi="宋体" w:eastAsia="宋体" w:cs="宋体"/>
          <w:color w:val="auto"/>
          <w:spacing w:val="-1"/>
          <w:sz w:val="24"/>
          <w:szCs w:val="24"/>
        </w:rPr>
        <w:t>磋商保证金的递交形式详见供应商须知前附表。</w:t>
      </w:r>
    </w:p>
    <w:p w14:paraId="7032E41B">
      <w:pPr>
        <w:spacing w:before="184" w:line="219" w:lineRule="auto"/>
        <w:ind w:left="480"/>
        <w:rPr>
          <w:rFonts w:ascii="宋体" w:hAnsi="宋体" w:eastAsia="宋体" w:cs="宋体"/>
          <w:color w:val="auto"/>
          <w:sz w:val="24"/>
          <w:szCs w:val="24"/>
        </w:rPr>
      </w:pPr>
      <w:r>
        <w:rPr>
          <w:rFonts w:ascii="宋体" w:hAnsi="宋体" w:eastAsia="宋体" w:cs="宋体"/>
          <w:color w:val="auto"/>
          <w:spacing w:val="-1"/>
          <w:sz w:val="24"/>
          <w:szCs w:val="24"/>
        </w:rPr>
        <w:t>4.4</w:t>
      </w:r>
      <w:r>
        <w:rPr>
          <w:rFonts w:ascii="宋体" w:hAnsi="宋体" w:eastAsia="宋体" w:cs="宋体"/>
          <w:color w:val="auto"/>
          <w:spacing w:val="-37"/>
          <w:sz w:val="24"/>
          <w:szCs w:val="24"/>
        </w:rPr>
        <w:t xml:space="preserve"> </w:t>
      </w:r>
      <w:r>
        <w:rPr>
          <w:rFonts w:ascii="宋体" w:hAnsi="宋体" w:eastAsia="宋体" w:cs="宋体"/>
          <w:color w:val="auto"/>
          <w:spacing w:val="-1"/>
          <w:sz w:val="24"/>
          <w:szCs w:val="24"/>
        </w:rPr>
        <w:t>凡未按磋商文件要求提交保证金的，将被视为非响应性而予以拒绝。</w:t>
      </w:r>
    </w:p>
    <w:p w14:paraId="1603FEE7">
      <w:pPr>
        <w:spacing w:before="184" w:line="313" w:lineRule="auto"/>
        <w:ind w:firstLine="479"/>
        <w:rPr>
          <w:rFonts w:ascii="宋体" w:hAnsi="宋体" w:eastAsia="宋体" w:cs="宋体"/>
          <w:color w:val="auto"/>
          <w:sz w:val="24"/>
          <w:szCs w:val="24"/>
        </w:rPr>
      </w:pPr>
      <w:r>
        <w:rPr>
          <w:rFonts w:ascii="宋体" w:hAnsi="宋体" w:eastAsia="宋体" w:cs="宋体"/>
          <w:color w:val="auto"/>
          <w:spacing w:val="-1"/>
          <w:sz w:val="24"/>
          <w:szCs w:val="24"/>
        </w:rPr>
        <w:t>4.5</w:t>
      </w:r>
      <w:r>
        <w:rPr>
          <w:rFonts w:ascii="宋体" w:hAnsi="宋体" w:eastAsia="宋体" w:cs="宋体"/>
          <w:color w:val="auto"/>
          <w:spacing w:val="-49"/>
          <w:sz w:val="24"/>
          <w:szCs w:val="24"/>
        </w:rPr>
        <w:t xml:space="preserve"> </w:t>
      </w:r>
      <w:r>
        <w:rPr>
          <w:rFonts w:ascii="宋体" w:hAnsi="宋体" w:eastAsia="宋体" w:cs="宋体"/>
          <w:color w:val="auto"/>
          <w:spacing w:val="-1"/>
          <w:sz w:val="24"/>
          <w:szCs w:val="24"/>
        </w:rPr>
        <w:t>成交供应商的保证金，在接到成交通知</w:t>
      </w:r>
      <w:r>
        <w:rPr>
          <w:rFonts w:ascii="宋体" w:hAnsi="宋体" w:eastAsia="宋体" w:cs="宋体"/>
          <w:color w:val="auto"/>
          <w:spacing w:val="-2"/>
          <w:sz w:val="24"/>
          <w:szCs w:val="24"/>
        </w:rPr>
        <w:t>书并签订合同后扣除成交服务费后，</w:t>
      </w:r>
      <w:r>
        <w:rPr>
          <w:rFonts w:ascii="宋体" w:hAnsi="宋体" w:eastAsia="宋体" w:cs="宋体"/>
          <w:color w:val="auto"/>
          <w:spacing w:val="-3"/>
          <w:sz w:val="24"/>
          <w:szCs w:val="24"/>
        </w:rPr>
        <w:t>剩余部分凭签订的合同原件无息退还成交供应商；未成交供应商的磋商保证金在公示结束后</w:t>
      </w:r>
      <w:r>
        <w:rPr>
          <w:rFonts w:ascii="宋体" w:hAnsi="宋体" w:eastAsia="宋体" w:cs="宋体"/>
          <w:color w:val="auto"/>
          <w:spacing w:val="-38"/>
          <w:sz w:val="24"/>
          <w:szCs w:val="24"/>
        </w:rPr>
        <w:t xml:space="preserve"> </w:t>
      </w:r>
      <w:r>
        <w:rPr>
          <w:rFonts w:ascii="宋体" w:hAnsi="宋体" w:eastAsia="宋体" w:cs="宋体"/>
          <w:color w:val="auto"/>
          <w:spacing w:val="-3"/>
          <w:sz w:val="24"/>
          <w:szCs w:val="24"/>
        </w:rPr>
        <w:t>5</w:t>
      </w:r>
      <w:r>
        <w:rPr>
          <w:rFonts w:ascii="宋体" w:hAnsi="宋体" w:eastAsia="宋体" w:cs="宋体"/>
          <w:color w:val="auto"/>
          <w:spacing w:val="-51"/>
          <w:sz w:val="24"/>
          <w:szCs w:val="24"/>
        </w:rPr>
        <w:t xml:space="preserve"> </w:t>
      </w:r>
      <w:r>
        <w:rPr>
          <w:rFonts w:ascii="宋体" w:hAnsi="宋体" w:eastAsia="宋体" w:cs="宋体"/>
          <w:color w:val="auto"/>
          <w:spacing w:val="-3"/>
          <w:sz w:val="24"/>
          <w:szCs w:val="24"/>
        </w:rPr>
        <w:t>个工作日内无息退还。</w:t>
      </w:r>
    </w:p>
    <w:p w14:paraId="4FF3E3E3">
      <w:pPr>
        <w:spacing w:before="182" w:line="221" w:lineRule="auto"/>
        <w:ind w:left="5"/>
        <w:rPr>
          <w:rFonts w:ascii="宋体" w:hAnsi="宋体" w:eastAsia="宋体" w:cs="宋体"/>
          <w:color w:val="auto"/>
          <w:sz w:val="24"/>
          <w:szCs w:val="24"/>
        </w:rPr>
      </w:pPr>
      <w:r>
        <w:rPr>
          <w:rFonts w:ascii="宋体" w:hAnsi="宋体" w:eastAsia="宋体" w:cs="宋体"/>
          <w:color w:val="auto"/>
          <w:spacing w:val="-5"/>
          <w:sz w:val="24"/>
          <w:szCs w:val="24"/>
        </w:rPr>
        <w:t>5.</w:t>
      </w:r>
      <w:r>
        <w:rPr>
          <w:rFonts w:ascii="宋体" w:hAnsi="宋体" w:eastAsia="宋体" w:cs="宋体"/>
          <w:color w:val="auto"/>
          <w:spacing w:val="-38"/>
          <w:sz w:val="24"/>
          <w:szCs w:val="24"/>
        </w:rPr>
        <w:t xml:space="preserve"> </w:t>
      </w:r>
      <w:r>
        <w:rPr>
          <w:rFonts w:ascii="宋体" w:hAnsi="宋体" w:eastAsia="宋体" w:cs="宋体"/>
          <w:color w:val="auto"/>
          <w:spacing w:val="-5"/>
          <w:sz w:val="24"/>
          <w:szCs w:val="24"/>
        </w:rPr>
        <w:t>有效期</w:t>
      </w:r>
    </w:p>
    <w:p w14:paraId="58091335">
      <w:pPr>
        <w:spacing w:before="181" w:line="290" w:lineRule="auto"/>
        <w:ind w:left="1" w:right="2" w:firstLine="483"/>
        <w:rPr>
          <w:rFonts w:ascii="宋体" w:hAnsi="宋体" w:eastAsia="宋体" w:cs="宋体"/>
          <w:color w:val="auto"/>
          <w:sz w:val="24"/>
          <w:szCs w:val="24"/>
        </w:rPr>
      </w:pPr>
      <w:r>
        <w:rPr>
          <w:rFonts w:ascii="宋体" w:hAnsi="宋体" w:eastAsia="宋体" w:cs="宋体"/>
          <w:color w:val="auto"/>
          <w:spacing w:val="1"/>
          <w:sz w:val="24"/>
          <w:szCs w:val="24"/>
        </w:rPr>
        <w:t>5.1</w:t>
      </w:r>
      <w:r>
        <w:rPr>
          <w:rFonts w:ascii="宋体" w:hAnsi="宋体" w:eastAsia="宋体" w:cs="宋体"/>
          <w:color w:val="auto"/>
          <w:spacing w:val="-48"/>
          <w:sz w:val="24"/>
          <w:szCs w:val="24"/>
        </w:rPr>
        <w:t xml:space="preserve"> </w:t>
      </w:r>
      <w:r>
        <w:rPr>
          <w:rFonts w:ascii="宋体" w:hAnsi="宋体" w:eastAsia="宋体" w:cs="宋体"/>
          <w:color w:val="auto"/>
          <w:spacing w:val="1"/>
          <w:sz w:val="24"/>
          <w:szCs w:val="24"/>
        </w:rPr>
        <w:t>供应商的磋商响应文件应在规定的递交磋商响应文件截止日</w:t>
      </w:r>
      <w:r>
        <w:rPr>
          <w:rFonts w:ascii="宋体" w:hAnsi="宋体" w:eastAsia="宋体" w:cs="宋体"/>
          <w:color w:val="auto"/>
          <w:sz w:val="24"/>
          <w:szCs w:val="24"/>
        </w:rPr>
        <w:t>后</w:t>
      </w:r>
      <w:r>
        <w:rPr>
          <w:rFonts w:ascii="宋体" w:hAnsi="宋体" w:eastAsia="宋体" w:cs="宋体"/>
          <w:color w:val="auto"/>
          <w:spacing w:val="-47"/>
          <w:sz w:val="24"/>
          <w:szCs w:val="24"/>
        </w:rPr>
        <w:t xml:space="preserve"> </w:t>
      </w:r>
      <w:r>
        <w:rPr>
          <w:rFonts w:ascii="宋体" w:hAnsi="宋体" w:eastAsia="宋体" w:cs="宋体"/>
          <w:color w:val="auto"/>
          <w:sz w:val="24"/>
          <w:szCs w:val="24"/>
          <w:u w:val="single" w:color="auto"/>
        </w:rPr>
        <w:t>90</w:t>
      </w:r>
      <w:r>
        <w:rPr>
          <w:rFonts w:ascii="宋体" w:hAnsi="宋体" w:eastAsia="宋体" w:cs="宋体"/>
          <w:color w:val="auto"/>
          <w:spacing w:val="-43"/>
          <w:sz w:val="24"/>
          <w:szCs w:val="24"/>
          <w:u w:val="single" w:color="auto"/>
        </w:rPr>
        <w:t xml:space="preserve"> </w:t>
      </w:r>
      <w:r>
        <w:rPr>
          <w:rFonts w:ascii="宋体" w:hAnsi="宋体" w:eastAsia="宋体" w:cs="宋体"/>
          <w:color w:val="auto"/>
          <w:sz w:val="24"/>
          <w:szCs w:val="24"/>
        </w:rPr>
        <w:t>天内保持有效，有效期不满足要求的磋商响应文件将被视为</w:t>
      </w:r>
      <w:r>
        <w:rPr>
          <w:rFonts w:ascii="宋体" w:hAnsi="宋体" w:eastAsia="宋体" w:cs="宋体"/>
          <w:color w:val="auto"/>
          <w:spacing w:val="-1"/>
          <w:sz w:val="24"/>
          <w:szCs w:val="24"/>
        </w:rPr>
        <w:t>非实质性响应而予以拒绝。</w:t>
      </w:r>
    </w:p>
    <w:p w14:paraId="00BB8AC9">
      <w:pPr>
        <w:spacing w:before="181" w:line="325" w:lineRule="auto"/>
        <w:ind w:firstLine="484"/>
        <w:rPr>
          <w:rFonts w:ascii="宋体" w:hAnsi="宋体" w:eastAsia="宋体" w:cs="宋体"/>
          <w:color w:val="auto"/>
          <w:sz w:val="24"/>
          <w:szCs w:val="24"/>
        </w:rPr>
      </w:pPr>
      <w:r>
        <w:rPr>
          <w:rFonts w:ascii="宋体" w:hAnsi="宋体" w:eastAsia="宋体" w:cs="宋体"/>
          <w:color w:val="auto"/>
          <w:spacing w:val="-3"/>
          <w:sz w:val="24"/>
          <w:szCs w:val="24"/>
        </w:rPr>
        <w:t>5.2 采购单位可根据实际情况，在原有效期截止之前，要求供应商同意延长有效期。接受该要求的供应商将不得要求修正其报价，且本须知中有关保证金的要求将在延长的有效期内继续有效。供应商也可以拒绝采购单位的这种要求，其保证金将不会</w:t>
      </w:r>
      <w:r>
        <w:rPr>
          <w:rFonts w:ascii="宋体" w:hAnsi="宋体" w:eastAsia="宋体" w:cs="宋体"/>
          <w:color w:val="auto"/>
          <w:spacing w:val="-1"/>
          <w:sz w:val="24"/>
          <w:szCs w:val="24"/>
        </w:rPr>
        <w:t>被没收。上述要求和答复都应以书面形式提交。</w:t>
      </w:r>
    </w:p>
    <w:p w14:paraId="5C9CEE98">
      <w:pPr>
        <w:spacing w:before="262" w:line="219" w:lineRule="auto"/>
        <w:ind w:left="1320"/>
        <w:rPr>
          <w:rFonts w:ascii="宋体" w:hAnsi="宋体" w:eastAsia="宋体" w:cs="宋体"/>
          <w:color w:val="auto"/>
          <w:sz w:val="24"/>
          <w:szCs w:val="24"/>
        </w:rPr>
      </w:pPr>
      <w:r>
        <w:rPr>
          <w:rFonts w:ascii="宋体" w:hAnsi="宋体" w:eastAsia="宋体" w:cs="宋体"/>
          <w:b/>
          <w:bCs/>
          <w:color w:val="auto"/>
          <w:spacing w:val="-2"/>
          <w:sz w:val="24"/>
          <w:szCs w:val="24"/>
        </w:rPr>
        <w:t>第四部分</w:t>
      </w:r>
      <w:r>
        <w:rPr>
          <w:rFonts w:ascii="宋体" w:hAnsi="宋体" w:eastAsia="宋体" w:cs="宋体"/>
          <w:color w:val="auto"/>
          <w:spacing w:val="-2"/>
          <w:sz w:val="24"/>
          <w:szCs w:val="24"/>
        </w:rPr>
        <w:t xml:space="preserve">   </w:t>
      </w:r>
      <w:r>
        <w:rPr>
          <w:rFonts w:ascii="宋体" w:hAnsi="宋体" w:eastAsia="宋体" w:cs="宋体"/>
          <w:b/>
          <w:bCs/>
          <w:color w:val="auto"/>
          <w:spacing w:val="-2"/>
          <w:sz w:val="24"/>
          <w:szCs w:val="24"/>
        </w:rPr>
        <w:t>磋商响应文件的递交（本项目为电子标，不适用）</w:t>
      </w:r>
    </w:p>
    <w:p w14:paraId="12A2EC9A">
      <w:pPr>
        <w:spacing w:before="260" w:line="220" w:lineRule="auto"/>
        <w:ind w:left="18"/>
        <w:rPr>
          <w:rFonts w:ascii="宋体" w:hAnsi="宋体" w:eastAsia="宋体" w:cs="宋体"/>
          <w:color w:val="auto"/>
          <w:sz w:val="24"/>
          <w:szCs w:val="24"/>
        </w:rPr>
      </w:pPr>
      <w:r>
        <w:rPr>
          <w:rFonts w:ascii="宋体" w:hAnsi="宋体" w:eastAsia="宋体" w:cs="宋体"/>
          <w:color w:val="auto"/>
          <w:spacing w:val="-2"/>
          <w:sz w:val="24"/>
          <w:szCs w:val="24"/>
        </w:rPr>
        <w:t>1.磋商响应文件的密封和标记</w:t>
      </w:r>
    </w:p>
    <w:p w14:paraId="1661F810">
      <w:pPr>
        <w:spacing w:before="182" w:line="313" w:lineRule="auto"/>
        <w:ind w:firstLine="497"/>
        <w:rPr>
          <w:rFonts w:ascii="宋体" w:hAnsi="宋体" w:eastAsia="宋体" w:cs="宋体"/>
          <w:color w:val="auto"/>
          <w:sz w:val="24"/>
          <w:szCs w:val="24"/>
        </w:rPr>
      </w:pPr>
      <w:r>
        <w:rPr>
          <w:rFonts w:ascii="宋体" w:hAnsi="宋体" w:eastAsia="宋体" w:cs="宋体"/>
          <w:color w:val="auto"/>
          <w:spacing w:val="-2"/>
          <w:sz w:val="24"/>
          <w:szCs w:val="24"/>
        </w:rPr>
        <w:t>1.1</w:t>
      </w:r>
      <w:r>
        <w:rPr>
          <w:rFonts w:ascii="宋体" w:hAnsi="宋体" w:eastAsia="宋体" w:cs="宋体"/>
          <w:color w:val="auto"/>
          <w:spacing w:val="-48"/>
          <w:sz w:val="24"/>
          <w:szCs w:val="24"/>
        </w:rPr>
        <w:t xml:space="preserve"> </w:t>
      </w:r>
      <w:r>
        <w:rPr>
          <w:rFonts w:ascii="宋体" w:hAnsi="宋体" w:eastAsia="宋体" w:cs="宋体"/>
          <w:color w:val="auto"/>
          <w:spacing w:val="-2"/>
          <w:sz w:val="24"/>
          <w:szCs w:val="24"/>
        </w:rPr>
        <w:t>递交磋商响应文件时，供应商应将磋商响应文件正本和所有的副本分开密封</w:t>
      </w:r>
      <w:r>
        <w:rPr>
          <w:rFonts w:ascii="宋体" w:hAnsi="宋体" w:eastAsia="宋体" w:cs="宋体"/>
          <w:color w:val="auto"/>
          <w:spacing w:val="-4"/>
          <w:sz w:val="24"/>
          <w:szCs w:val="24"/>
        </w:rPr>
        <w:t>装在单独的标袋中，且在标袋正面标明“正</w:t>
      </w:r>
      <w:r>
        <w:rPr>
          <w:rFonts w:ascii="宋体" w:hAnsi="宋体" w:eastAsia="宋体" w:cs="宋体"/>
          <w:color w:val="auto"/>
          <w:spacing w:val="-5"/>
          <w:sz w:val="24"/>
          <w:szCs w:val="24"/>
        </w:rPr>
        <w:t>本</w:t>
      </w:r>
      <w:r>
        <w:rPr>
          <w:rFonts w:ascii="宋体" w:hAnsi="宋体" w:eastAsia="宋体" w:cs="宋体"/>
          <w:color w:val="auto"/>
          <w:spacing w:val="-88"/>
          <w:sz w:val="24"/>
          <w:szCs w:val="24"/>
        </w:rPr>
        <w:t xml:space="preserve"> </w:t>
      </w:r>
      <w:r>
        <w:rPr>
          <w:rFonts w:ascii="宋体" w:hAnsi="宋体" w:eastAsia="宋体" w:cs="宋体"/>
          <w:color w:val="auto"/>
          <w:spacing w:val="-5"/>
          <w:sz w:val="24"/>
          <w:szCs w:val="24"/>
        </w:rPr>
        <w:t>”“副本</w:t>
      </w:r>
      <w:r>
        <w:rPr>
          <w:rFonts w:ascii="宋体" w:hAnsi="宋体" w:eastAsia="宋体" w:cs="宋体"/>
          <w:color w:val="auto"/>
          <w:spacing w:val="-88"/>
          <w:sz w:val="24"/>
          <w:szCs w:val="24"/>
        </w:rPr>
        <w:t xml:space="preserve"> </w:t>
      </w:r>
      <w:r>
        <w:rPr>
          <w:rFonts w:ascii="宋体" w:hAnsi="宋体" w:eastAsia="宋体" w:cs="宋体"/>
          <w:color w:val="auto"/>
          <w:spacing w:val="-5"/>
          <w:sz w:val="24"/>
          <w:szCs w:val="24"/>
        </w:rPr>
        <w:t>”字样。二次报价表须供应商</w:t>
      </w:r>
      <w:r>
        <w:rPr>
          <w:rFonts w:ascii="宋体" w:hAnsi="宋体" w:eastAsia="宋体" w:cs="宋体"/>
          <w:color w:val="auto"/>
          <w:spacing w:val="-2"/>
          <w:sz w:val="24"/>
          <w:szCs w:val="24"/>
        </w:rPr>
        <w:t>自行准备（盖供应商公章</w:t>
      </w:r>
      <w:r>
        <w:rPr>
          <w:rFonts w:ascii="宋体" w:hAnsi="宋体" w:eastAsia="宋体" w:cs="宋体"/>
          <w:color w:val="auto"/>
          <w:spacing w:val="15"/>
          <w:sz w:val="24"/>
          <w:szCs w:val="24"/>
        </w:rPr>
        <w:t>），</w:t>
      </w:r>
      <w:r>
        <w:rPr>
          <w:rFonts w:ascii="宋体" w:hAnsi="宋体" w:eastAsia="宋体" w:cs="宋体"/>
          <w:color w:val="auto"/>
          <w:spacing w:val="-2"/>
          <w:sz w:val="24"/>
          <w:szCs w:val="24"/>
        </w:rPr>
        <w:t>随响应文件一同递交。</w:t>
      </w:r>
    </w:p>
    <w:p w14:paraId="6684623E">
      <w:pPr>
        <w:spacing w:before="184" w:line="219" w:lineRule="auto"/>
        <w:ind w:left="498"/>
        <w:rPr>
          <w:rFonts w:ascii="宋体" w:hAnsi="宋体" w:eastAsia="宋体" w:cs="宋体"/>
          <w:color w:val="auto"/>
          <w:sz w:val="24"/>
          <w:szCs w:val="24"/>
        </w:rPr>
      </w:pPr>
      <w:r>
        <w:rPr>
          <w:rFonts w:ascii="宋体" w:hAnsi="宋体" w:eastAsia="宋体" w:cs="宋体"/>
          <w:color w:val="auto"/>
          <w:spacing w:val="-3"/>
          <w:sz w:val="24"/>
          <w:szCs w:val="24"/>
        </w:rPr>
        <w:t>1.2</w:t>
      </w:r>
      <w:r>
        <w:rPr>
          <w:rFonts w:ascii="宋体" w:hAnsi="宋体" w:eastAsia="宋体" w:cs="宋体"/>
          <w:color w:val="auto"/>
          <w:spacing w:val="-47"/>
          <w:sz w:val="24"/>
          <w:szCs w:val="24"/>
        </w:rPr>
        <w:t xml:space="preserve"> </w:t>
      </w:r>
      <w:r>
        <w:rPr>
          <w:rFonts w:ascii="宋体" w:hAnsi="宋体" w:eastAsia="宋体" w:cs="宋体"/>
          <w:color w:val="auto"/>
          <w:spacing w:val="-3"/>
          <w:sz w:val="24"/>
          <w:szCs w:val="24"/>
        </w:rPr>
        <w:t>封套格式：见须知前附表</w:t>
      </w:r>
    </w:p>
    <w:p w14:paraId="3BDB4345">
      <w:pPr>
        <w:spacing w:before="182" w:line="290" w:lineRule="auto"/>
        <w:ind w:left="3" w:firstLine="494"/>
        <w:rPr>
          <w:rFonts w:ascii="宋体" w:hAnsi="宋体" w:eastAsia="宋体" w:cs="宋体"/>
          <w:color w:val="auto"/>
          <w:sz w:val="24"/>
          <w:szCs w:val="24"/>
        </w:rPr>
      </w:pPr>
      <w:r>
        <w:rPr>
          <w:rFonts w:ascii="宋体" w:hAnsi="宋体" w:eastAsia="宋体" w:cs="宋体"/>
          <w:color w:val="auto"/>
          <w:spacing w:val="-2"/>
          <w:sz w:val="24"/>
          <w:szCs w:val="24"/>
        </w:rPr>
        <w:t>1.3</w:t>
      </w:r>
      <w:r>
        <w:rPr>
          <w:rFonts w:ascii="宋体" w:hAnsi="宋体" w:eastAsia="宋体" w:cs="宋体"/>
          <w:color w:val="auto"/>
          <w:spacing w:val="-47"/>
          <w:sz w:val="24"/>
          <w:szCs w:val="24"/>
        </w:rPr>
        <w:t xml:space="preserve"> </w:t>
      </w:r>
      <w:r>
        <w:rPr>
          <w:rFonts w:ascii="宋体" w:hAnsi="宋体" w:eastAsia="宋体" w:cs="宋体"/>
          <w:color w:val="auto"/>
          <w:spacing w:val="-2"/>
          <w:sz w:val="24"/>
          <w:szCs w:val="24"/>
        </w:rPr>
        <w:t>如果供应商未按上述要求密封及加写标记，采购单位对磋商响应文件的误投或过早启封概不负责。</w:t>
      </w:r>
    </w:p>
    <w:p w14:paraId="1E3ACCA4">
      <w:pPr>
        <w:spacing w:before="182" w:line="221" w:lineRule="auto"/>
        <w:ind w:left="3"/>
        <w:rPr>
          <w:rFonts w:ascii="宋体" w:hAnsi="宋体" w:eastAsia="宋体" w:cs="宋体"/>
          <w:color w:val="auto"/>
          <w:sz w:val="24"/>
          <w:szCs w:val="24"/>
        </w:rPr>
      </w:pPr>
      <w:r>
        <w:rPr>
          <w:rFonts w:ascii="宋体" w:hAnsi="宋体" w:eastAsia="宋体" w:cs="宋体"/>
          <w:color w:val="auto"/>
          <w:spacing w:val="-3"/>
          <w:sz w:val="24"/>
          <w:szCs w:val="24"/>
        </w:rPr>
        <w:t>2.截止期</w:t>
      </w:r>
    </w:p>
    <w:p w14:paraId="7C8D1D57">
      <w:pPr>
        <w:bidi w:val="0"/>
        <w:rPr>
          <w:rFonts w:ascii="宋体" w:hAnsi="宋体" w:eastAsia="宋体" w:cs="宋体"/>
          <w:color w:val="auto"/>
          <w:sz w:val="24"/>
          <w:szCs w:val="24"/>
        </w:rPr>
      </w:pPr>
      <w:r>
        <w:rPr>
          <w:rFonts w:ascii="宋体" w:hAnsi="宋体" w:eastAsia="宋体" w:cs="宋体"/>
          <w:color w:val="auto"/>
          <w:spacing w:val="-2"/>
          <w:sz w:val="24"/>
          <w:szCs w:val="24"/>
        </w:rPr>
        <w:t>2.1</w:t>
      </w:r>
      <w:r>
        <w:rPr>
          <w:rFonts w:ascii="宋体" w:hAnsi="宋体" w:eastAsia="宋体" w:cs="宋体"/>
          <w:color w:val="auto"/>
          <w:spacing w:val="-33"/>
          <w:sz w:val="24"/>
          <w:szCs w:val="24"/>
        </w:rPr>
        <w:t xml:space="preserve"> </w:t>
      </w:r>
      <w:r>
        <w:rPr>
          <w:rFonts w:ascii="宋体" w:hAnsi="宋体" w:eastAsia="宋体" w:cs="宋体"/>
          <w:color w:val="auto"/>
          <w:spacing w:val="-2"/>
          <w:sz w:val="24"/>
          <w:szCs w:val="24"/>
        </w:rPr>
        <w:t>供应商应在磋商公告中规定的截止日期和时间内，将磋商响应文件递交至磋商公告中规定的地址。</w:t>
      </w:r>
    </w:p>
    <w:p w14:paraId="37AC318A">
      <w:pPr>
        <w:spacing w:before="182" w:line="314" w:lineRule="auto"/>
        <w:ind w:right="52" w:firstLine="483"/>
        <w:rPr>
          <w:rFonts w:ascii="宋体" w:hAnsi="宋体" w:eastAsia="宋体" w:cs="宋体"/>
          <w:color w:val="auto"/>
          <w:sz w:val="24"/>
          <w:szCs w:val="24"/>
        </w:rPr>
      </w:pPr>
      <w:r>
        <w:rPr>
          <w:rFonts w:ascii="宋体" w:hAnsi="宋体" w:eastAsia="宋体" w:cs="宋体"/>
          <w:color w:val="auto"/>
          <w:spacing w:val="-1"/>
          <w:sz w:val="24"/>
          <w:szCs w:val="24"/>
        </w:rPr>
        <w:t>2.2</w:t>
      </w:r>
      <w:r>
        <w:rPr>
          <w:rFonts w:ascii="宋体" w:hAnsi="宋体" w:eastAsia="宋体" w:cs="宋体"/>
          <w:color w:val="auto"/>
          <w:spacing w:val="-52"/>
          <w:sz w:val="24"/>
          <w:szCs w:val="24"/>
        </w:rPr>
        <w:t xml:space="preserve"> </w:t>
      </w:r>
      <w:r>
        <w:rPr>
          <w:rFonts w:ascii="宋体" w:hAnsi="宋体" w:eastAsia="宋体" w:cs="宋体"/>
          <w:color w:val="auto"/>
          <w:spacing w:val="-1"/>
          <w:sz w:val="24"/>
          <w:szCs w:val="24"/>
        </w:rPr>
        <w:t>采购单位有权按本须知的规定，通过</w:t>
      </w:r>
      <w:r>
        <w:rPr>
          <w:rFonts w:ascii="宋体" w:hAnsi="宋体" w:eastAsia="宋体" w:cs="宋体"/>
          <w:color w:val="auto"/>
          <w:spacing w:val="-2"/>
          <w:sz w:val="24"/>
          <w:szCs w:val="24"/>
        </w:rPr>
        <w:t>修改磋商文件延长磋商响应文件递交的</w:t>
      </w:r>
      <w:r>
        <w:rPr>
          <w:rFonts w:ascii="宋体" w:hAnsi="宋体" w:eastAsia="宋体" w:cs="宋体"/>
          <w:color w:val="auto"/>
          <w:spacing w:val="-3"/>
          <w:sz w:val="24"/>
          <w:szCs w:val="24"/>
        </w:rPr>
        <w:t>截止日期。在此情况下，采购单位和供应商受截止期制约的所有权利和义务均应延长</w:t>
      </w:r>
      <w:r>
        <w:rPr>
          <w:rFonts w:ascii="宋体" w:hAnsi="宋体" w:eastAsia="宋体" w:cs="宋体"/>
          <w:color w:val="auto"/>
          <w:spacing w:val="-2"/>
          <w:sz w:val="24"/>
          <w:szCs w:val="24"/>
        </w:rPr>
        <w:t>至新的截止期。</w:t>
      </w:r>
    </w:p>
    <w:p w14:paraId="65B94EAD">
      <w:pPr>
        <w:spacing w:before="181" w:line="290" w:lineRule="auto"/>
        <w:ind w:left="13" w:right="55" w:firstLine="470"/>
        <w:rPr>
          <w:rFonts w:ascii="宋体" w:hAnsi="宋体" w:eastAsia="宋体" w:cs="宋体"/>
          <w:color w:val="auto"/>
          <w:sz w:val="24"/>
          <w:szCs w:val="24"/>
        </w:rPr>
      </w:pPr>
      <w:r>
        <w:rPr>
          <w:rFonts w:ascii="宋体" w:hAnsi="宋体" w:eastAsia="宋体" w:cs="宋体"/>
          <w:color w:val="auto"/>
          <w:spacing w:val="5"/>
          <w:sz w:val="24"/>
          <w:szCs w:val="24"/>
        </w:rPr>
        <w:t>2.3</w:t>
      </w:r>
      <w:r>
        <w:rPr>
          <w:rFonts w:ascii="宋体" w:hAnsi="宋体" w:eastAsia="宋体" w:cs="宋体"/>
          <w:color w:val="auto"/>
          <w:spacing w:val="-43"/>
          <w:sz w:val="24"/>
          <w:szCs w:val="24"/>
        </w:rPr>
        <w:t xml:space="preserve"> </w:t>
      </w:r>
      <w:r>
        <w:rPr>
          <w:rFonts w:ascii="宋体" w:hAnsi="宋体" w:eastAsia="宋体" w:cs="宋体"/>
          <w:color w:val="auto"/>
          <w:spacing w:val="5"/>
          <w:sz w:val="24"/>
          <w:szCs w:val="24"/>
        </w:rPr>
        <w:t>招标代理机构将拒绝并原封退回在本须知规定的截止期后收到的任何磋商</w:t>
      </w:r>
      <w:r>
        <w:rPr>
          <w:rFonts w:ascii="宋体" w:hAnsi="宋体" w:eastAsia="宋体" w:cs="宋体"/>
          <w:color w:val="auto"/>
          <w:spacing w:val="-5"/>
          <w:sz w:val="24"/>
          <w:szCs w:val="24"/>
        </w:rPr>
        <w:t>响应文件。</w:t>
      </w:r>
    </w:p>
    <w:p w14:paraId="7B70240C">
      <w:pPr>
        <w:spacing w:before="181" w:line="220" w:lineRule="auto"/>
        <w:ind w:left="5"/>
        <w:rPr>
          <w:rFonts w:ascii="宋体" w:hAnsi="宋体" w:eastAsia="宋体" w:cs="宋体"/>
          <w:color w:val="auto"/>
          <w:sz w:val="24"/>
          <w:szCs w:val="24"/>
        </w:rPr>
      </w:pPr>
      <w:r>
        <w:rPr>
          <w:rFonts w:ascii="宋体" w:hAnsi="宋体" w:eastAsia="宋体" w:cs="宋体"/>
          <w:color w:val="auto"/>
          <w:spacing w:val="-2"/>
          <w:sz w:val="24"/>
          <w:szCs w:val="24"/>
        </w:rPr>
        <w:t>3.磋商响应文件的修改与撤回</w:t>
      </w:r>
    </w:p>
    <w:p w14:paraId="2ABBEF01">
      <w:pPr>
        <w:spacing w:before="182" w:line="289" w:lineRule="auto"/>
        <w:ind w:left="2" w:right="52" w:firstLine="482"/>
        <w:rPr>
          <w:rFonts w:ascii="宋体" w:hAnsi="宋体" w:eastAsia="宋体" w:cs="宋体"/>
          <w:color w:val="auto"/>
          <w:sz w:val="24"/>
          <w:szCs w:val="24"/>
        </w:rPr>
      </w:pPr>
      <w:r>
        <w:rPr>
          <w:rFonts w:ascii="宋体" w:hAnsi="宋体" w:eastAsia="宋体" w:cs="宋体"/>
          <w:color w:val="auto"/>
          <w:spacing w:val="-2"/>
          <w:sz w:val="24"/>
          <w:szCs w:val="24"/>
        </w:rPr>
        <w:t>3.1</w:t>
      </w:r>
      <w:r>
        <w:rPr>
          <w:rFonts w:ascii="宋体" w:hAnsi="宋体" w:eastAsia="宋体" w:cs="宋体"/>
          <w:color w:val="auto"/>
          <w:spacing w:val="-35"/>
          <w:sz w:val="24"/>
          <w:szCs w:val="24"/>
        </w:rPr>
        <w:t xml:space="preserve"> </w:t>
      </w:r>
      <w:r>
        <w:rPr>
          <w:rFonts w:ascii="宋体" w:hAnsi="宋体" w:eastAsia="宋体" w:cs="宋体"/>
          <w:color w:val="auto"/>
          <w:spacing w:val="-2"/>
          <w:sz w:val="24"/>
          <w:szCs w:val="24"/>
        </w:rPr>
        <w:t>磋商响应文件递交以后，如果供应商提出书面修改或撤标要求，在磋商响应</w:t>
      </w:r>
      <w:r>
        <w:rPr>
          <w:rFonts w:ascii="宋体" w:hAnsi="宋体" w:eastAsia="宋体" w:cs="宋体"/>
          <w:color w:val="auto"/>
          <w:sz w:val="24"/>
          <w:szCs w:val="24"/>
        </w:rPr>
        <w:t>文件递交截止时间前送达磋商公告中规定的地点的</w:t>
      </w:r>
      <w:r>
        <w:rPr>
          <w:rFonts w:ascii="宋体" w:hAnsi="宋体" w:eastAsia="宋体" w:cs="宋体"/>
          <w:color w:val="auto"/>
          <w:spacing w:val="-1"/>
          <w:sz w:val="24"/>
          <w:szCs w:val="24"/>
        </w:rPr>
        <w:t>，招标代理机构将予以接受。</w:t>
      </w:r>
    </w:p>
    <w:p w14:paraId="5D1E6C24">
      <w:pPr>
        <w:spacing w:before="185" w:line="290" w:lineRule="auto"/>
        <w:ind w:left="1" w:right="52" w:firstLine="483"/>
        <w:rPr>
          <w:rFonts w:ascii="宋体" w:hAnsi="宋体" w:eastAsia="宋体" w:cs="宋体"/>
          <w:color w:val="auto"/>
          <w:sz w:val="24"/>
          <w:szCs w:val="24"/>
        </w:rPr>
      </w:pPr>
      <w:r>
        <w:rPr>
          <w:rFonts w:ascii="宋体" w:hAnsi="宋体" w:eastAsia="宋体" w:cs="宋体"/>
          <w:color w:val="auto"/>
          <w:spacing w:val="-2"/>
          <w:sz w:val="24"/>
          <w:szCs w:val="24"/>
        </w:rPr>
        <w:t>3.2</w:t>
      </w:r>
      <w:r>
        <w:rPr>
          <w:rFonts w:ascii="宋体" w:hAnsi="宋体" w:eastAsia="宋体" w:cs="宋体"/>
          <w:color w:val="auto"/>
          <w:spacing w:val="-35"/>
          <w:sz w:val="24"/>
          <w:szCs w:val="24"/>
        </w:rPr>
        <w:t xml:space="preserve"> </w:t>
      </w:r>
      <w:r>
        <w:rPr>
          <w:rFonts w:ascii="宋体" w:hAnsi="宋体" w:eastAsia="宋体" w:cs="宋体"/>
          <w:color w:val="auto"/>
          <w:spacing w:val="-2"/>
          <w:sz w:val="24"/>
          <w:szCs w:val="24"/>
        </w:rPr>
        <w:t>供应商对磋商响应文件的修改或撤回通知应按本须知规定编制、密封、标记</w:t>
      </w:r>
      <w:r>
        <w:rPr>
          <w:rFonts w:ascii="宋体" w:hAnsi="宋体" w:eastAsia="宋体" w:cs="宋体"/>
          <w:color w:val="auto"/>
          <w:spacing w:val="-3"/>
          <w:sz w:val="24"/>
          <w:szCs w:val="24"/>
        </w:rPr>
        <w:t>和发送。</w:t>
      </w:r>
    </w:p>
    <w:p w14:paraId="75EA32E0">
      <w:pPr>
        <w:spacing w:before="181" w:line="219" w:lineRule="auto"/>
        <w:ind w:left="485"/>
        <w:rPr>
          <w:rFonts w:ascii="宋体" w:hAnsi="宋体" w:eastAsia="宋体" w:cs="宋体"/>
          <w:color w:val="auto"/>
          <w:sz w:val="24"/>
          <w:szCs w:val="24"/>
        </w:rPr>
      </w:pPr>
      <w:r>
        <w:rPr>
          <w:rFonts w:ascii="宋体" w:hAnsi="宋体" w:eastAsia="宋体" w:cs="宋体"/>
          <w:color w:val="auto"/>
          <w:spacing w:val="-1"/>
          <w:sz w:val="24"/>
          <w:szCs w:val="24"/>
        </w:rPr>
        <w:t>3.3</w:t>
      </w:r>
      <w:r>
        <w:rPr>
          <w:rFonts w:ascii="宋体" w:hAnsi="宋体" w:eastAsia="宋体" w:cs="宋体"/>
          <w:color w:val="auto"/>
          <w:spacing w:val="-47"/>
          <w:sz w:val="24"/>
          <w:szCs w:val="24"/>
        </w:rPr>
        <w:t xml:space="preserve"> </w:t>
      </w:r>
      <w:r>
        <w:rPr>
          <w:rFonts w:ascii="宋体" w:hAnsi="宋体" w:eastAsia="宋体" w:cs="宋体"/>
          <w:color w:val="auto"/>
          <w:spacing w:val="-1"/>
          <w:sz w:val="24"/>
          <w:szCs w:val="24"/>
        </w:rPr>
        <w:t>在截止期之后，供应商不得对其磋商响应文件作任何修改。</w:t>
      </w:r>
    </w:p>
    <w:p w14:paraId="274D70A9">
      <w:pPr>
        <w:spacing w:before="182" w:line="290" w:lineRule="auto"/>
        <w:ind w:left="1" w:right="52" w:firstLine="483"/>
        <w:rPr>
          <w:rFonts w:ascii="宋体" w:hAnsi="宋体" w:eastAsia="宋体" w:cs="宋体"/>
          <w:color w:val="auto"/>
          <w:sz w:val="24"/>
          <w:szCs w:val="24"/>
        </w:rPr>
      </w:pPr>
      <w:r>
        <w:rPr>
          <w:rFonts w:ascii="宋体" w:hAnsi="宋体" w:eastAsia="宋体" w:cs="宋体"/>
          <w:color w:val="auto"/>
          <w:spacing w:val="-2"/>
          <w:sz w:val="24"/>
          <w:szCs w:val="24"/>
        </w:rPr>
        <w:t>3.4</w:t>
      </w:r>
      <w:r>
        <w:rPr>
          <w:rFonts w:ascii="宋体" w:hAnsi="宋体" w:eastAsia="宋体" w:cs="宋体"/>
          <w:color w:val="auto"/>
          <w:spacing w:val="-35"/>
          <w:sz w:val="24"/>
          <w:szCs w:val="24"/>
        </w:rPr>
        <w:t xml:space="preserve"> </w:t>
      </w:r>
      <w:r>
        <w:rPr>
          <w:rFonts w:ascii="宋体" w:hAnsi="宋体" w:eastAsia="宋体" w:cs="宋体"/>
          <w:color w:val="auto"/>
          <w:spacing w:val="-2"/>
          <w:sz w:val="24"/>
          <w:szCs w:val="24"/>
        </w:rPr>
        <w:t>从截止期至供应商在磋商响应文件格式中确定的报价有效期之间，供应商不</w:t>
      </w:r>
      <w:r>
        <w:rPr>
          <w:rFonts w:ascii="宋体" w:hAnsi="宋体" w:eastAsia="宋体" w:cs="宋体"/>
          <w:color w:val="auto"/>
          <w:sz w:val="24"/>
          <w:szCs w:val="24"/>
        </w:rPr>
        <w:t>得撤回其磋商响应文件，否则其保证金将按</w:t>
      </w:r>
      <w:r>
        <w:rPr>
          <w:rFonts w:ascii="宋体" w:hAnsi="宋体" w:eastAsia="宋体" w:cs="宋体"/>
          <w:color w:val="auto"/>
          <w:spacing w:val="-1"/>
          <w:sz w:val="24"/>
          <w:szCs w:val="24"/>
        </w:rPr>
        <w:t>照本须知的规定不予退回。</w:t>
      </w:r>
    </w:p>
    <w:p w14:paraId="295CD566">
      <w:pPr>
        <w:spacing w:before="262" w:line="220" w:lineRule="auto"/>
        <w:ind w:left="2948"/>
        <w:rPr>
          <w:rFonts w:ascii="宋体" w:hAnsi="宋体" w:eastAsia="宋体" w:cs="宋体"/>
          <w:color w:val="auto"/>
          <w:sz w:val="24"/>
          <w:szCs w:val="24"/>
        </w:rPr>
      </w:pPr>
      <w:r>
        <w:rPr>
          <w:rFonts w:ascii="宋体" w:hAnsi="宋体" w:eastAsia="宋体" w:cs="宋体"/>
          <w:b/>
          <w:bCs/>
          <w:color w:val="auto"/>
          <w:spacing w:val="-3"/>
          <w:sz w:val="24"/>
          <w:szCs w:val="24"/>
        </w:rPr>
        <w:t>第五部分</w:t>
      </w:r>
      <w:r>
        <w:rPr>
          <w:rFonts w:ascii="宋体" w:hAnsi="宋体" w:eastAsia="宋体" w:cs="宋体"/>
          <w:color w:val="auto"/>
          <w:spacing w:val="-3"/>
          <w:sz w:val="24"/>
          <w:szCs w:val="24"/>
        </w:rPr>
        <w:t xml:space="preserve">  </w:t>
      </w:r>
      <w:r>
        <w:rPr>
          <w:rFonts w:ascii="宋体" w:hAnsi="宋体" w:eastAsia="宋体" w:cs="宋体"/>
          <w:b/>
          <w:bCs/>
          <w:color w:val="auto"/>
          <w:spacing w:val="-3"/>
          <w:sz w:val="24"/>
          <w:szCs w:val="24"/>
        </w:rPr>
        <w:t>磋商响应文件的评审</w:t>
      </w:r>
    </w:p>
    <w:p w14:paraId="08A82C9A">
      <w:pPr>
        <w:spacing w:before="259" w:line="221" w:lineRule="auto"/>
        <w:ind w:left="18"/>
        <w:rPr>
          <w:rFonts w:ascii="宋体" w:hAnsi="宋体" w:eastAsia="宋体" w:cs="宋体"/>
          <w:color w:val="auto"/>
          <w:sz w:val="24"/>
          <w:szCs w:val="24"/>
        </w:rPr>
      </w:pPr>
      <w:r>
        <w:rPr>
          <w:rFonts w:ascii="宋体" w:hAnsi="宋体" w:eastAsia="宋体" w:cs="宋体"/>
          <w:color w:val="auto"/>
          <w:spacing w:val="-4"/>
          <w:sz w:val="24"/>
          <w:szCs w:val="24"/>
        </w:rPr>
        <w:t>1.组建磋商小组</w:t>
      </w:r>
    </w:p>
    <w:p w14:paraId="01C45C9B">
      <w:pPr>
        <w:spacing w:before="181" w:line="360" w:lineRule="auto"/>
        <w:ind w:right="52" w:firstLine="480"/>
        <w:rPr>
          <w:rFonts w:ascii="宋体" w:hAnsi="宋体" w:eastAsia="宋体" w:cs="宋体"/>
          <w:color w:val="auto"/>
          <w:sz w:val="24"/>
          <w:szCs w:val="24"/>
        </w:rPr>
      </w:pPr>
      <w:r>
        <w:rPr>
          <w:rFonts w:ascii="宋体" w:hAnsi="宋体" w:eastAsia="宋体" w:cs="宋体"/>
          <w:color w:val="auto"/>
          <w:spacing w:val="-3"/>
          <w:sz w:val="24"/>
          <w:szCs w:val="24"/>
        </w:rPr>
        <w:t>磋商小组根据采购内容的特点进行组建，并负责评审磋商工作。磋商小组的构成</w:t>
      </w:r>
      <w:r>
        <w:rPr>
          <w:rFonts w:ascii="宋体" w:hAnsi="宋体" w:eastAsia="宋体" w:cs="宋体"/>
          <w:color w:val="auto"/>
          <w:spacing w:val="-1"/>
          <w:sz w:val="24"/>
          <w:szCs w:val="24"/>
        </w:rPr>
        <w:t>及抽取方式详见供应商须知前附表。</w:t>
      </w:r>
    </w:p>
    <w:p w14:paraId="670145E2">
      <w:pPr>
        <w:spacing w:line="220" w:lineRule="auto"/>
        <w:ind w:left="3"/>
        <w:rPr>
          <w:rFonts w:ascii="宋体" w:hAnsi="宋体" w:eastAsia="宋体" w:cs="宋体"/>
          <w:color w:val="auto"/>
          <w:sz w:val="24"/>
          <w:szCs w:val="24"/>
        </w:rPr>
      </w:pPr>
      <w:r>
        <w:rPr>
          <w:rFonts w:ascii="宋体" w:hAnsi="宋体" w:eastAsia="宋体" w:cs="宋体"/>
          <w:color w:val="auto"/>
          <w:spacing w:val="-1"/>
          <w:sz w:val="24"/>
          <w:szCs w:val="24"/>
        </w:rPr>
        <w:t>2.磋商响应文件的初审与澄清</w:t>
      </w:r>
    </w:p>
    <w:p w14:paraId="3E3D6481">
      <w:pPr>
        <w:spacing w:before="182" w:line="360" w:lineRule="auto"/>
        <w:ind w:firstLine="479"/>
        <w:jc w:val="both"/>
        <w:rPr>
          <w:rFonts w:ascii="宋体" w:hAnsi="宋体" w:eastAsia="宋体" w:cs="宋体"/>
          <w:color w:val="auto"/>
          <w:sz w:val="24"/>
          <w:szCs w:val="24"/>
        </w:rPr>
      </w:pPr>
      <w:r>
        <w:rPr>
          <w:rFonts w:ascii="宋体" w:hAnsi="宋体" w:eastAsia="宋体" w:cs="宋体"/>
          <w:color w:val="auto"/>
          <w:spacing w:val="-3"/>
          <w:sz w:val="24"/>
          <w:szCs w:val="24"/>
        </w:rPr>
        <w:t>磋商响应文件的初审分为形式评审、资格评审和响应性评审。形式、资格、响应性评审依据法律、法规和磋商文件的规定，对磋商响应文件中的资格证明、磋商保证</w:t>
      </w:r>
      <w:r>
        <w:rPr>
          <w:rFonts w:ascii="宋体" w:hAnsi="宋体" w:eastAsia="宋体" w:cs="宋体"/>
          <w:color w:val="auto"/>
          <w:spacing w:val="-1"/>
          <w:sz w:val="24"/>
          <w:szCs w:val="24"/>
        </w:rPr>
        <w:t>金等进行审查，以确定供应商是否具备报价资格。评审</w:t>
      </w:r>
      <w:r>
        <w:rPr>
          <w:rFonts w:ascii="宋体" w:hAnsi="宋体" w:eastAsia="宋体" w:cs="宋体"/>
          <w:color w:val="auto"/>
          <w:spacing w:val="-2"/>
          <w:sz w:val="24"/>
          <w:szCs w:val="24"/>
        </w:rPr>
        <w:t>标准详见《磋商评审细则》。</w:t>
      </w:r>
    </w:p>
    <w:p w14:paraId="2FCC66E7">
      <w:pPr>
        <w:spacing w:line="220" w:lineRule="auto"/>
        <w:ind w:left="5"/>
        <w:rPr>
          <w:rFonts w:ascii="宋体" w:hAnsi="宋体" w:eastAsia="宋体" w:cs="宋体"/>
          <w:color w:val="auto"/>
          <w:sz w:val="24"/>
          <w:szCs w:val="24"/>
        </w:rPr>
      </w:pPr>
      <w:r>
        <w:rPr>
          <w:rFonts w:ascii="宋体" w:hAnsi="宋体" w:eastAsia="宋体" w:cs="宋体"/>
          <w:color w:val="auto"/>
          <w:spacing w:val="-2"/>
          <w:sz w:val="24"/>
          <w:szCs w:val="24"/>
        </w:rPr>
        <w:t>3.磋商响应文件的澄清</w:t>
      </w:r>
    </w:p>
    <w:p w14:paraId="334EC07E">
      <w:pPr>
        <w:spacing w:before="182" w:line="325" w:lineRule="auto"/>
        <w:ind w:right="52" w:firstLine="484"/>
        <w:rPr>
          <w:rFonts w:ascii="宋体" w:hAnsi="宋体" w:eastAsia="宋体" w:cs="宋体"/>
          <w:color w:val="auto"/>
          <w:sz w:val="24"/>
          <w:szCs w:val="24"/>
        </w:rPr>
      </w:pPr>
      <w:r>
        <w:rPr>
          <w:rFonts w:ascii="宋体" w:hAnsi="宋体" w:eastAsia="宋体" w:cs="宋体"/>
          <w:color w:val="auto"/>
          <w:spacing w:val="-2"/>
          <w:sz w:val="24"/>
          <w:szCs w:val="24"/>
        </w:rPr>
        <w:t>3.1</w:t>
      </w:r>
      <w:r>
        <w:rPr>
          <w:rFonts w:ascii="宋体" w:hAnsi="宋体" w:eastAsia="宋体" w:cs="宋体"/>
          <w:color w:val="auto"/>
          <w:spacing w:val="-35"/>
          <w:sz w:val="24"/>
          <w:szCs w:val="24"/>
        </w:rPr>
        <w:t xml:space="preserve"> </w:t>
      </w:r>
      <w:r>
        <w:rPr>
          <w:rFonts w:ascii="宋体" w:hAnsi="宋体" w:eastAsia="宋体" w:cs="宋体"/>
          <w:color w:val="auto"/>
          <w:spacing w:val="-2"/>
          <w:sz w:val="24"/>
          <w:szCs w:val="24"/>
        </w:rPr>
        <w:t>在评审期间，磋商小组有权以书面方式要求供应商对其磋商响应文件中含义</w:t>
      </w:r>
      <w:r>
        <w:rPr>
          <w:rFonts w:ascii="宋体" w:hAnsi="宋体" w:eastAsia="宋体" w:cs="宋体"/>
          <w:color w:val="auto"/>
          <w:spacing w:val="-3"/>
          <w:sz w:val="24"/>
          <w:szCs w:val="24"/>
        </w:rPr>
        <w:t>不明确、对同类问题表述不一致或者有明显文字和计算错误的内容作必要的澄清。供应商澄清应在磋商小组规定的时间内以书面方式进行，并不得超出磋商响应文件范围</w:t>
      </w:r>
      <w:r>
        <w:rPr>
          <w:rFonts w:ascii="宋体" w:hAnsi="宋体" w:eastAsia="宋体" w:cs="宋体"/>
          <w:color w:val="auto"/>
          <w:spacing w:val="-1"/>
          <w:sz w:val="24"/>
          <w:szCs w:val="24"/>
        </w:rPr>
        <w:t>或者改变磋商响应文件的实质性内容。</w:t>
      </w:r>
    </w:p>
    <w:p w14:paraId="7D73CDF4">
      <w:pPr>
        <w:spacing w:before="182" w:line="220" w:lineRule="auto"/>
        <w:ind w:left="485"/>
        <w:rPr>
          <w:rFonts w:ascii="宋体" w:hAnsi="宋体" w:eastAsia="宋体" w:cs="宋体"/>
          <w:color w:val="auto"/>
          <w:sz w:val="24"/>
          <w:szCs w:val="24"/>
        </w:rPr>
      </w:pPr>
      <w:r>
        <w:rPr>
          <w:rFonts w:ascii="宋体" w:hAnsi="宋体" w:eastAsia="宋体" w:cs="宋体"/>
          <w:color w:val="auto"/>
          <w:spacing w:val="-1"/>
          <w:sz w:val="24"/>
          <w:szCs w:val="24"/>
        </w:rPr>
        <w:t>3.2</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澄清文件将作为磋商响应文件内容的一部</w:t>
      </w:r>
      <w:r>
        <w:rPr>
          <w:rFonts w:ascii="宋体" w:hAnsi="宋体" w:eastAsia="宋体" w:cs="宋体"/>
          <w:color w:val="auto"/>
          <w:spacing w:val="-2"/>
          <w:sz w:val="24"/>
          <w:szCs w:val="24"/>
        </w:rPr>
        <w:t>分。</w:t>
      </w:r>
    </w:p>
    <w:p w14:paraId="6049FEB7">
      <w:pPr>
        <w:spacing w:before="181" w:line="219" w:lineRule="auto"/>
        <w:rPr>
          <w:rFonts w:ascii="宋体" w:hAnsi="宋体" w:eastAsia="宋体" w:cs="宋体"/>
          <w:color w:val="auto"/>
          <w:sz w:val="24"/>
          <w:szCs w:val="24"/>
        </w:rPr>
      </w:pPr>
      <w:r>
        <w:rPr>
          <w:rFonts w:ascii="宋体" w:hAnsi="宋体" w:eastAsia="宋体" w:cs="宋体"/>
          <w:color w:val="auto"/>
          <w:spacing w:val="-2"/>
          <w:sz w:val="24"/>
          <w:szCs w:val="24"/>
        </w:rPr>
        <w:t>4.比较与评价</w:t>
      </w:r>
    </w:p>
    <w:p w14:paraId="39E5BEBE">
      <w:pPr>
        <w:spacing w:before="122" w:line="220" w:lineRule="auto"/>
        <w:ind w:left="480"/>
        <w:rPr>
          <w:rFonts w:ascii="宋体" w:hAnsi="宋体" w:eastAsia="宋体" w:cs="宋体"/>
          <w:color w:val="auto"/>
          <w:sz w:val="24"/>
          <w:szCs w:val="24"/>
        </w:rPr>
      </w:pPr>
      <w:r>
        <w:rPr>
          <w:rFonts w:ascii="宋体" w:hAnsi="宋体" w:eastAsia="宋体" w:cs="宋体"/>
          <w:color w:val="auto"/>
          <w:spacing w:val="-2"/>
          <w:sz w:val="24"/>
          <w:szCs w:val="24"/>
        </w:rPr>
        <w:t>4.1</w:t>
      </w:r>
      <w:r>
        <w:rPr>
          <w:rFonts w:ascii="宋体" w:hAnsi="宋体" w:eastAsia="宋体" w:cs="宋体"/>
          <w:color w:val="auto"/>
          <w:spacing w:val="-38"/>
          <w:sz w:val="24"/>
          <w:szCs w:val="24"/>
        </w:rPr>
        <w:t xml:space="preserve"> </w:t>
      </w:r>
      <w:r>
        <w:rPr>
          <w:rFonts w:ascii="宋体" w:hAnsi="宋体" w:eastAsia="宋体" w:cs="宋体"/>
          <w:color w:val="auto"/>
          <w:spacing w:val="-2"/>
          <w:sz w:val="24"/>
          <w:szCs w:val="24"/>
        </w:rPr>
        <w:t>经审查合格的磋商响应文件。</w:t>
      </w:r>
    </w:p>
    <w:p w14:paraId="71D982F1">
      <w:pPr>
        <w:spacing w:before="181" w:line="325" w:lineRule="auto"/>
        <w:ind w:firstLine="480"/>
        <w:rPr>
          <w:rFonts w:ascii="宋体" w:hAnsi="宋体" w:eastAsia="宋体" w:cs="宋体"/>
          <w:color w:val="auto"/>
          <w:sz w:val="24"/>
          <w:szCs w:val="24"/>
        </w:rPr>
      </w:pPr>
      <w:r>
        <w:rPr>
          <w:rFonts w:ascii="宋体" w:hAnsi="宋体" w:eastAsia="宋体" w:cs="宋体"/>
          <w:color w:val="auto"/>
          <w:spacing w:val="-1"/>
          <w:sz w:val="24"/>
          <w:szCs w:val="24"/>
        </w:rPr>
        <w:t>4.1.1</w:t>
      </w:r>
      <w:r>
        <w:rPr>
          <w:rFonts w:ascii="宋体" w:hAnsi="宋体" w:eastAsia="宋体" w:cs="宋体"/>
          <w:color w:val="auto"/>
          <w:spacing w:val="-52"/>
          <w:sz w:val="24"/>
          <w:szCs w:val="24"/>
        </w:rPr>
        <w:t xml:space="preserve"> </w:t>
      </w:r>
      <w:r>
        <w:rPr>
          <w:rFonts w:ascii="宋体" w:hAnsi="宋体" w:eastAsia="宋体" w:cs="宋体"/>
          <w:color w:val="auto"/>
          <w:spacing w:val="-1"/>
          <w:sz w:val="24"/>
          <w:szCs w:val="24"/>
        </w:rPr>
        <w:t>磋商小组所有成员应当集中与单一供应商分别</w:t>
      </w:r>
      <w:r>
        <w:rPr>
          <w:rFonts w:ascii="宋体" w:hAnsi="宋体" w:eastAsia="宋体" w:cs="宋体"/>
          <w:color w:val="auto"/>
          <w:spacing w:val="-2"/>
          <w:sz w:val="24"/>
          <w:szCs w:val="24"/>
        </w:rPr>
        <w:t>进行磋商，并给予所有参加</w:t>
      </w:r>
      <w:r>
        <w:rPr>
          <w:rFonts w:ascii="宋体" w:hAnsi="宋体" w:eastAsia="宋体" w:cs="宋体"/>
          <w:color w:val="auto"/>
          <w:spacing w:val="-3"/>
          <w:sz w:val="24"/>
          <w:szCs w:val="24"/>
        </w:rPr>
        <w:t>磋商的供应商平等的磋商机会。在磋商过程中，磋商小组可以根据磋商文件和磋商情况实质性变动采购需求中的技术、服务要求以及合同草案条款，但不变动磋商文件中</w:t>
      </w:r>
      <w:r>
        <w:rPr>
          <w:rFonts w:ascii="宋体" w:hAnsi="宋体" w:eastAsia="宋体" w:cs="宋体"/>
          <w:color w:val="auto"/>
          <w:spacing w:val="-1"/>
          <w:sz w:val="24"/>
          <w:szCs w:val="24"/>
        </w:rPr>
        <w:t>的其他内容。实质性变动的内容，需经采购人代表确认。</w:t>
      </w:r>
    </w:p>
    <w:p w14:paraId="2678913C">
      <w:pPr>
        <w:spacing w:before="181" w:line="290" w:lineRule="auto"/>
        <w:ind w:left="12" w:firstLine="467"/>
        <w:rPr>
          <w:rFonts w:ascii="宋体" w:hAnsi="宋体" w:eastAsia="宋体" w:cs="宋体"/>
          <w:color w:val="auto"/>
          <w:sz w:val="24"/>
          <w:szCs w:val="24"/>
        </w:rPr>
      </w:pPr>
      <w:r>
        <w:rPr>
          <w:rFonts w:ascii="宋体" w:hAnsi="宋体" w:eastAsia="宋体" w:cs="宋体"/>
          <w:color w:val="auto"/>
          <w:spacing w:val="-1"/>
          <w:sz w:val="24"/>
          <w:szCs w:val="24"/>
        </w:rPr>
        <w:t>4.1.2</w:t>
      </w:r>
      <w:r>
        <w:rPr>
          <w:rFonts w:ascii="宋体" w:hAnsi="宋体" w:eastAsia="宋体" w:cs="宋体"/>
          <w:color w:val="auto"/>
          <w:spacing w:val="-52"/>
          <w:sz w:val="24"/>
          <w:szCs w:val="24"/>
        </w:rPr>
        <w:t xml:space="preserve"> </w:t>
      </w:r>
      <w:r>
        <w:rPr>
          <w:rFonts w:ascii="宋体" w:hAnsi="宋体" w:eastAsia="宋体" w:cs="宋体"/>
          <w:color w:val="auto"/>
          <w:spacing w:val="-1"/>
          <w:sz w:val="24"/>
          <w:szCs w:val="24"/>
        </w:rPr>
        <w:t>对磋商文件作出的实质性变动是磋商文件的有</w:t>
      </w:r>
      <w:r>
        <w:rPr>
          <w:rFonts w:ascii="宋体" w:hAnsi="宋体" w:eastAsia="宋体" w:cs="宋体"/>
          <w:color w:val="auto"/>
          <w:spacing w:val="-2"/>
          <w:sz w:val="24"/>
          <w:szCs w:val="24"/>
        </w:rPr>
        <w:t>效组成部分，磋商小组将及时通知所有参加磋商的供应商。</w:t>
      </w:r>
    </w:p>
    <w:p w14:paraId="43CE84E2">
      <w:pPr>
        <w:spacing w:before="183" w:line="313" w:lineRule="auto"/>
        <w:ind w:firstLine="480"/>
        <w:rPr>
          <w:rFonts w:ascii="宋体" w:hAnsi="宋体" w:eastAsia="宋体" w:cs="宋体"/>
          <w:color w:val="auto"/>
          <w:sz w:val="24"/>
          <w:szCs w:val="24"/>
        </w:rPr>
      </w:pPr>
      <w:r>
        <w:rPr>
          <w:rFonts w:ascii="宋体" w:hAnsi="宋体" w:eastAsia="宋体" w:cs="宋体"/>
          <w:color w:val="auto"/>
          <w:spacing w:val="5"/>
          <w:sz w:val="24"/>
          <w:szCs w:val="24"/>
        </w:rPr>
        <w:t>4.1.3</w:t>
      </w:r>
      <w:r>
        <w:rPr>
          <w:rFonts w:ascii="宋体" w:hAnsi="宋体" w:eastAsia="宋体" w:cs="宋体"/>
          <w:color w:val="auto"/>
          <w:spacing w:val="-44"/>
          <w:sz w:val="24"/>
          <w:szCs w:val="24"/>
        </w:rPr>
        <w:t xml:space="preserve"> </w:t>
      </w:r>
      <w:r>
        <w:rPr>
          <w:rFonts w:ascii="宋体" w:hAnsi="宋体" w:eastAsia="宋体" w:cs="宋体"/>
          <w:color w:val="auto"/>
          <w:spacing w:val="5"/>
          <w:sz w:val="24"/>
          <w:szCs w:val="24"/>
        </w:rPr>
        <w:t>供应商应当按照磋商文件的变动情况和磋商小组的要求重新提交响应文</w:t>
      </w:r>
      <w:r>
        <w:rPr>
          <w:rFonts w:ascii="宋体" w:hAnsi="宋体" w:eastAsia="宋体" w:cs="宋体"/>
          <w:color w:val="auto"/>
          <w:spacing w:val="-3"/>
          <w:sz w:val="24"/>
          <w:szCs w:val="24"/>
        </w:rPr>
        <w:t>件，并由其法定代表人或授权代表签字或者加盖公章。由授权代表签字的，应当附法</w:t>
      </w:r>
      <w:r>
        <w:rPr>
          <w:rFonts w:ascii="宋体" w:hAnsi="宋体" w:eastAsia="宋体" w:cs="宋体"/>
          <w:color w:val="auto"/>
          <w:sz w:val="24"/>
          <w:szCs w:val="24"/>
        </w:rPr>
        <w:t>定代表人授权书。供应商为自然人的，应当由本</w:t>
      </w:r>
      <w:r>
        <w:rPr>
          <w:rFonts w:ascii="宋体" w:hAnsi="宋体" w:eastAsia="宋体" w:cs="宋体"/>
          <w:color w:val="auto"/>
          <w:spacing w:val="-1"/>
          <w:sz w:val="24"/>
          <w:szCs w:val="24"/>
        </w:rPr>
        <w:t>人签字并附身份证明。</w:t>
      </w:r>
    </w:p>
    <w:p w14:paraId="2DE5C2EC">
      <w:pPr>
        <w:spacing w:before="184" w:line="313" w:lineRule="auto"/>
        <w:ind w:left="3" w:firstLine="476"/>
        <w:rPr>
          <w:rFonts w:ascii="宋体" w:hAnsi="宋体" w:eastAsia="宋体" w:cs="宋体"/>
          <w:color w:val="auto"/>
          <w:spacing w:val="-3"/>
          <w:sz w:val="24"/>
          <w:szCs w:val="24"/>
        </w:rPr>
      </w:pPr>
      <w:r>
        <w:rPr>
          <w:rFonts w:ascii="宋体" w:hAnsi="宋体" w:eastAsia="宋体" w:cs="宋体"/>
          <w:color w:val="auto"/>
          <w:spacing w:val="-1"/>
          <w:sz w:val="24"/>
          <w:szCs w:val="24"/>
        </w:rPr>
        <w:t>4.1.4</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磋商结束后，磋商小组将要求所有实质性响</w:t>
      </w:r>
      <w:r>
        <w:rPr>
          <w:rFonts w:ascii="宋体" w:hAnsi="宋体" w:eastAsia="宋体" w:cs="宋体"/>
          <w:color w:val="auto"/>
          <w:spacing w:val="-2"/>
          <w:sz w:val="24"/>
          <w:szCs w:val="24"/>
        </w:rPr>
        <w:t>应的供应商在规定时间内提交</w:t>
      </w:r>
      <w:r>
        <w:rPr>
          <w:rFonts w:ascii="宋体" w:hAnsi="宋体" w:eastAsia="宋体" w:cs="宋体"/>
          <w:color w:val="auto"/>
          <w:spacing w:val="-4"/>
          <w:sz w:val="24"/>
          <w:szCs w:val="24"/>
        </w:rPr>
        <w:t>最后报价，提交最后报价的供应商不得少于</w:t>
      </w:r>
      <w:r>
        <w:rPr>
          <w:rFonts w:ascii="宋体" w:hAnsi="宋体" w:eastAsia="宋体" w:cs="宋体"/>
          <w:color w:val="auto"/>
          <w:spacing w:val="-28"/>
          <w:sz w:val="24"/>
          <w:szCs w:val="24"/>
        </w:rPr>
        <w:t xml:space="preserve"> </w:t>
      </w:r>
      <w:r>
        <w:rPr>
          <w:rFonts w:ascii="宋体" w:hAnsi="宋体" w:eastAsia="宋体" w:cs="宋体"/>
          <w:color w:val="auto"/>
          <w:spacing w:val="-4"/>
          <w:sz w:val="24"/>
          <w:szCs w:val="24"/>
        </w:rPr>
        <w:t>3</w:t>
      </w:r>
      <w:r>
        <w:rPr>
          <w:rFonts w:ascii="宋体" w:hAnsi="宋体" w:eastAsia="宋体" w:cs="宋体"/>
          <w:color w:val="auto"/>
          <w:spacing w:val="-49"/>
          <w:sz w:val="24"/>
          <w:szCs w:val="24"/>
        </w:rPr>
        <w:t xml:space="preserve"> </w:t>
      </w:r>
      <w:r>
        <w:rPr>
          <w:rFonts w:ascii="宋体" w:hAnsi="宋体" w:eastAsia="宋体" w:cs="宋体"/>
          <w:color w:val="auto"/>
          <w:spacing w:val="-4"/>
          <w:sz w:val="24"/>
          <w:szCs w:val="24"/>
        </w:rPr>
        <w:t>家。最后报价是供应商响应文件的有效</w:t>
      </w:r>
      <w:r>
        <w:rPr>
          <w:rFonts w:ascii="宋体" w:hAnsi="宋体" w:eastAsia="宋体" w:cs="宋体"/>
          <w:color w:val="auto"/>
          <w:spacing w:val="-3"/>
          <w:sz w:val="24"/>
          <w:szCs w:val="24"/>
        </w:rPr>
        <w:t>组成部分。</w:t>
      </w:r>
    </w:p>
    <w:p w14:paraId="0E411BDC">
      <w:pPr>
        <w:spacing w:before="184" w:line="313" w:lineRule="auto"/>
        <w:ind w:left="3" w:firstLine="476"/>
        <w:rPr>
          <w:rFonts w:ascii="宋体" w:hAnsi="宋体" w:eastAsia="宋体" w:cs="宋体"/>
          <w:color w:val="auto"/>
          <w:sz w:val="24"/>
          <w:szCs w:val="24"/>
        </w:rPr>
      </w:pPr>
      <w:r>
        <w:rPr>
          <w:rFonts w:ascii="宋体" w:hAnsi="宋体" w:eastAsia="宋体" w:cs="宋体"/>
          <w:color w:val="auto"/>
          <w:spacing w:val="-2"/>
          <w:sz w:val="24"/>
          <w:szCs w:val="24"/>
        </w:rPr>
        <w:t>4.1.5</w:t>
      </w:r>
      <w:r>
        <w:rPr>
          <w:rFonts w:ascii="宋体" w:hAnsi="宋体" w:eastAsia="宋体" w:cs="宋体"/>
          <w:color w:val="auto"/>
          <w:spacing w:val="-24"/>
          <w:sz w:val="24"/>
          <w:szCs w:val="24"/>
        </w:rPr>
        <w:t xml:space="preserve"> </w:t>
      </w:r>
      <w:r>
        <w:rPr>
          <w:rFonts w:ascii="宋体" w:hAnsi="宋体" w:eastAsia="宋体" w:cs="宋体"/>
          <w:color w:val="auto"/>
          <w:spacing w:val="-2"/>
          <w:sz w:val="24"/>
          <w:szCs w:val="24"/>
        </w:rPr>
        <w:t>已提交响应文件的供应商，在提交最后报价之前，可以根据磋商情</w:t>
      </w:r>
      <w:r>
        <w:rPr>
          <w:rFonts w:ascii="宋体" w:hAnsi="宋体" w:eastAsia="宋体" w:cs="宋体"/>
          <w:color w:val="auto"/>
          <w:spacing w:val="-3"/>
          <w:sz w:val="24"/>
          <w:szCs w:val="24"/>
        </w:rPr>
        <w:t>况退出</w:t>
      </w:r>
      <w:r>
        <w:rPr>
          <w:rFonts w:ascii="宋体" w:hAnsi="宋体" w:eastAsia="宋体" w:cs="宋体"/>
          <w:color w:val="auto"/>
          <w:sz w:val="24"/>
          <w:szCs w:val="24"/>
        </w:rPr>
        <w:t>磋商。采购人、招标代理机构将退还退出磋商的</w:t>
      </w:r>
      <w:r>
        <w:rPr>
          <w:rFonts w:ascii="宋体" w:hAnsi="宋体" w:eastAsia="宋体" w:cs="宋体"/>
          <w:color w:val="auto"/>
          <w:spacing w:val="-1"/>
          <w:sz w:val="24"/>
          <w:szCs w:val="24"/>
        </w:rPr>
        <w:t>供应商的磋商保证金。</w:t>
      </w:r>
    </w:p>
    <w:p w14:paraId="6B46DC88">
      <w:pPr>
        <w:spacing w:before="184" w:line="289" w:lineRule="auto"/>
        <w:ind w:left="1" w:firstLine="478"/>
        <w:rPr>
          <w:rFonts w:ascii="宋体" w:hAnsi="宋体" w:eastAsia="宋体" w:cs="宋体"/>
          <w:color w:val="auto"/>
          <w:sz w:val="24"/>
          <w:szCs w:val="24"/>
        </w:rPr>
      </w:pPr>
      <w:r>
        <w:rPr>
          <w:rFonts w:ascii="宋体" w:hAnsi="宋体" w:eastAsia="宋体" w:cs="宋体"/>
          <w:color w:val="auto"/>
          <w:spacing w:val="-1"/>
          <w:sz w:val="24"/>
          <w:szCs w:val="24"/>
        </w:rPr>
        <w:t>4.1.6</w:t>
      </w:r>
      <w:r>
        <w:rPr>
          <w:rFonts w:ascii="宋体" w:hAnsi="宋体" w:eastAsia="宋体" w:cs="宋体"/>
          <w:color w:val="auto"/>
          <w:spacing w:val="-49"/>
          <w:sz w:val="24"/>
          <w:szCs w:val="24"/>
        </w:rPr>
        <w:t xml:space="preserve"> </w:t>
      </w:r>
      <w:r>
        <w:rPr>
          <w:rFonts w:ascii="宋体" w:hAnsi="宋体" w:eastAsia="宋体" w:cs="宋体"/>
          <w:color w:val="auto"/>
          <w:spacing w:val="-1"/>
          <w:sz w:val="24"/>
          <w:szCs w:val="24"/>
        </w:rPr>
        <w:t>经磋商确定最终采购需求和提交最后报</w:t>
      </w:r>
      <w:r>
        <w:rPr>
          <w:rFonts w:ascii="宋体" w:hAnsi="宋体" w:eastAsia="宋体" w:cs="宋体"/>
          <w:color w:val="auto"/>
          <w:spacing w:val="-2"/>
          <w:sz w:val="24"/>
          <w:szCs w:val="24"/>
        </w:rPr>
        <w:t>价的供应商后，由磋商小组采用综</w:t>
      </w:r>
      <w:r>
        <w:rPr>
          <w:rFonts w:ascii="宋体" w:hAnsi="宋体" w:eastAsia="宋体" w:cs="宋体"/>
          <w:color w:val="auto"/>
          <w:sz w:val="24"/>
          <w:szCs w:val="24"/>
        </w:rPr>
        <w:t>合评分法对提交最后报价的供应商的响应文件</w:t>
      </w:r>
      <w:r>
        <w:rPr>
          <w:rFonts w:ascii="宋体" w:hAnsi="宋体" w:eastAsia="宋体" w:cs="宋体"/>
          <w:color w:val="auto"/>
          <w:spacing w:val="-1"/>
          <w:sz w:val="24"/>
          <w:szCs w:val="24"/>
        </w:rPr>
        <w:t>和最后报价进行综合评分。</w:t>
      </w:r>
    </w:p>
    <w:p w14:paraId="3D9524F4">
      <w:pPr>
        <w:spacing w:before="184" w:line="219" w:lineRule="auto"/>
        <w:ind w:left="480"/>
        <w:rPr>
          <w:rFonts w:ascii="宋体" w:hAnsi="宋体" w:eastAsia="宋体" w:cs="宋体"/>
          <w:color w:val="auto"/>
          <w:sz w:val="24"/>
          <w:szCs w:val="24"/>
        </w:rPr>
      </w:pPr>
      <w:r>
        <w:rPr>
          <w:rFonts w:ascii="宋体" w:hAnsi="宋体" w:eastAsia="宋体" w:cs="宋体"/>
          <w:color w:val="auto"/>
          <w:spacing w:val="-1"/>
          <w:sz w:val="24"/>
          <w:szCs w:val="24"/>
        </w:rPr>
        <w:t>4.2</w:t>
      </w:r>
      <w:r>
        <w:rPr>
          <w:rFonts w:ascii="宋体" w:hAnsi="宋体" w:eastAsia="宋体" w:cs="宋体"/>
          <w:color w:val="auto"/>
          <w:spacing w:val="-37"/>
          <w:sz w:val="24"/>
          <w:szCs w:val="24"/>
        </w:rPr>
        <w:t xml:space="preserve"> </w:t>
      </w:r>
      <w:r>
        <w:rPr>
          <w:rFonts w:ascii="宋体" w:hAnsi="宋体" w:eastAsia="宋体" w:cs="宋体"/>
          <w:color w:val="auto"/>
          <w:spacing w:val="-1"/>
          <w:sz w:val="24"/>
          <w:szCs w:val="24"/>
        </w:rPr>
        <w:t>评审严格按照磋商文件的要求和条件进行。评审时将考虑以下因素：</w:t>
      </w:r>
    </w:p>
    <w:p w14:paraId="6A578729">
      <w:pPr>
        <w:spacing w:before="183" w:line="219" w:lineRule="auto"/>
        <w:ind w:left="492"/>
        <w:rPr>
          <w:rFonts w:ascii="宋体" w:hAnsi="宋体" w:eastAsia="宋体" w:cs="宋体"/>
          <w:color w:val="auto"/>
          <w:sz w:val="24"/>
          <w:szCs w:val="24"/>
        </w:rPr>
      </w:pPr>
      <w:r>
        <w:rPr>
          <w:rFonts w:ascii="宋体" w:hAnsi="宋体" w:eastAsia="宋体" w:cs="宋体"/>
          <w:color w:val="auto"/>
          <w:spacing w:val="-3"/>
          <w:sz w:val="24"/>
          <w:szCs w:val="24"/>
        </w:rPr>
        <w:t>（1）供应商能力；</w:t>
      </w:r>
    </w:p>
    <w:p w14:paraId="4AFCC840">
      <w:pPr>
        <w:spacing w:before="183" w:line="219" w:lineRule="auto"/>
        <w:ind w:left="492"/>
        <w:rPr>
          <w:rFonts w:ascii="宋体" w:hAnsi="宋体" w:eastAsia="宋体" w:cs="宋体"/>
          <w:color w:val="auto"/>
          <w:sz w:val="24"/>
          <w:szCs w:val="24"/>
        </w:rPr>
      </w:pPr>
      <w:r>
        <w:rPr>
          <w:rFonts w:ascii="宋体" w:hAnsi="宋体" w:eastAsia="宋体" w:cs="宋体"/>
          <w:color w:val="auto"/>
          <w:spacing w:val="-3"/>
          <w:sz w:val="24"/>
          <w:szCs w:val="24"/>
        </w:rPr>
        <w:t>（2）报价的合理性；</w:t>
      </w:r>
    </w:p>
    <w:p w14:paraId="093D2E70">
      <w:pPr>
        <w:spacing w:before="183" w:line="220" w:lineRule="auto"/>
        <w:ind w:left="492"/>
        <w:rPr>
          <w:rFonts w:ascii="宋体" w:hAnsi="宋体" w:eastAsia="宋体" w:cs="宋体"/>
          <w:color w:val="auto"/>
          <w:sz w:val="24"/>
          <w:szCs w:val="24"/>
        </w:rPr>
      </w:pPr>
      <w:r>
        <w:rPr>
          <w:rFonts w:ascii="宋体" w:hAnsi="宋体" w:eastAsia="宋体" w:cs="宋体"/>
          <w:color w:val="auto"/>
          <w:spacing w:val="-3"/>
          <w:sz w:val="24"/>
          <w:szCs w:val="24"/>
        </w:rPr>
        <w:t>（3）方案实施能力；</w:t>
      </w:r>
    </w:p>
    <w:p w14:paraId="2DE8AEC3">
      <w:pPr>
        <w:spacing w:before="182" w:line="220" w:lineRule="auto"/>
        <w:ind w:left="492"/>
        <w:rPr>
          <w:rFonts w:ascii="宋体" w:hAnsi="宋体" w:eastAsia="宋体" w:cs="宋体"/>
          <w:color w:val="auto"/>
          <w:sz w:val="24"/>
          <w:szCs w:val="24"/>
        </w:rPr>
      </w:pPr>
      <w:r>
        <w:rPr>
          <w:rFonts w:ascii="宋体" w:hAnsi="宋体" w:eastAsia="宋体" w:cs="宋体"/>
          <w:color w:val="auto"/>
          <w:spacing w:val="-3"/>
          <w:sz w:val="24"/>
          <w:szCs w:val="24"/>
        </w:rPr>
        <w:t>（4）商务响应；</w:t>
      </w:r>
    </w:p>
    <w:p w14:paraId="367AC813">
      <w:pPr>
        <w:spacing w:before="182" w:line="220" w:lineRule="auto"/>
        <w:ind w:left="492"/>
        <w:rPr>
          <w:rFonts w:ascii="宋体" w:hAnsi="宋体" w:eastAsia="宋体" w:cs="宋体"/>
          <w:color w:val="auto"/>
          <w:sz w:val="24"/>
          <w:szCs w:val="24"/>
        </w:rPr>
      </w:pPr>
      <w:r>
        <w:rPr>
          <w:rFonts w:ascii="宋体" w:hAnsi="宋体" w:eastAsia="宋体" w:cs="宋体"/>
          <w:color w:val="auto"/>
          <w:spacing w:val="-3"/>
          <w:sz w:val="24"/>
          <w:szCs w:val="24"/>
        </w:rPr>
        <w:t>（5）技术响应。</w:t>
      </w:r>
    </w:p>
    <w:p w14:paraId="0E3DA6D3">
      <w:pPr>
        <w:spacing w:before="183" w:line="219" w:lineRule="auto"/>
        <w:ind w:left="480"/>
        <w:rPr>
          <w:rFonts w:ascii="宋体" w:hAnsi="宋体" w:eastAsia="宋体" w:cs="宋体"/>
          <w:color w:val="auto"/>
          <w:sz w:val="24"/>
          <w:szCs w:val="24"/>
        </w:rPr>
      </w:pPr>
      <w:r>
        <w:rPr>
          <w:rFonts w:ascii="宋体" w:hAnsi="宋体" w:eastAsia="宋体" w:cs="宋体"/>
          <w:color w:val="auto"/>
          <w:spacing w:val="-2"/>
          <w:sz w:val="24"/>
          <w:szCs w:val="24"/>
        </w:rPr>
        <w:t>4.3</w:t>
      </w:r>
      <w:r>
        <w:rPr>
          <w:rFonts w:ascii="宋体" w:hAnsi="宋体" w:eastAsia="宋体" w:cs="宋体"/>
          <w:color w:val="auto"/>
          <w:spacing w:val="-40"/>
          <w:sz w:val="24"/>
          <w:szCs w:val="24"/>
        </w:rPr>
        <w:t xml:space="preserve"> </w:t>
      </w:r>
      <w:r>
        <w:rPr>
          <w:rFonts w:ascii="宋体" w:hAnsi="宋体" w:eastAsia="宋体" w:cs="宋体"/>
          <w:color w:val="auto"/>
          <w:spacing w:val="-2"/>
          <w:sz w:val="24"/>
          <w:szCs w:val="24"/>
        </w:rPr>
        <w:t>本次评审将采用下列方法：</w:t>
      </w:r>
    </w:p>
    <w:p w14:paraId="55854C8E">
      <w:pPr>
        <w:spacing w:before="183" w:line="220" w:lineRule="auto"/>
        <w:ind w:left="843"/>
        <w:rPr>
          <w:rFonts w:ascii="宋体" w:hAnsi="宋体" w:eastAsia="宋体" w:cs="宋体"/>
          <w:color w:val="auto"/>
          <w:sz w:val="24"/>
          <w:szCs w:val="24"/>
        </w:rPr>
      </w:pPr>
      <w:r>
        <w:rPr>
          <w:rFonts w:ascii="宋体" w:hAnsi="宋体" w:eastAsia="宋体" w:cs="宋体"/>
          <w:color w:val="auto"/>
          <w:spacing w:val="-2"/>
          <w:sz w:val="24"/>
          <w:szCs w:val="24"/>
        </w:rPr>
        <w:t>详见评分标准。</w:t>
      </w:r>
    </w:p>
    <w:p w14:paraId="07FF8526">
      <w:pPr>
        <w:spacing w:before="181" w:line="221" w:lineRule="auto"/>
        <w:ind w:left="5"/>
        <w:rPr>
          <w:rFonts w:ascii="宋体" w:hAnsi="宋体" w:eastAsia="宋体" w:cs="宋体"/>
          <w:color w:val="auto"/>
          <w:sz w:val="24"/>
          <w:szCs w:val="24"/>
        </w:rPr>
      </w:pPr>
      <w:r>
        <w:rPr>
          <w:rFonts w:ascii="宋体" w:hAnsi="宋体" w:eastAsia="宋体" w:cs="宋体"/>
          <w:color w:val="auto"/>
          <w:spacing w:val="-2"/>
          <w:sz w:val="24"/>
          <w:szCs w:val="24"/>
        </w:rPr>
        <w:t>5.评审过程及保密原则</w:t>
      </w:r>
    </w:p>
    <w:p w14:paraId="130ECAEA">
      <w:pPr>
        <w:spacing w:before="180" w:line="240" w:lineRule="auto"/>
        <w:ind w:firstLine="485"/>
        <w:jc w:val="both"/>
        <w:rPr>
          <w:rFonts w:ascii="宋体" w:hAnsi="宋体" w:eastAsia="宋体" w:cs="宋体"/>
          <w:color w:val="auto"/>
          <w:sz w:val="24"/>
          <w:szCs w:val="24"/>
        </w:rPr>
      </w:pPr>
      <w:r>
        <w:rPr>
          <w:rFonts w:ascii="宋体" w:hAnsi="宋体" w:eastAsia="宋体" w:cs="宋体"/>
          <w:color w:val="auto"/>
          <w:spacing w:val="-2"/>
          <w:sz w:val="24"/>
          <w:szCs w:val="24"/>
        </w:rPr>
        <w:t>5.1</w:t>
      </w:r>
      <w:r>
        <w:rPr>
          <w:rFonts w:ascii="宋体" w:hAnsi="宋体" w:eastAsia="宋体" w:cs="宋体"/>
          <w:color w:val="auto"/>
          <w:spacing w:val="-35"/>
          <w:sz w:val="24"/>
          <w:szCs w:val="24"/>
        </w:rPr>
        <w:t xml:space="preserve"> </w:t>
      </w:r>
      <w:r>
        <w:rPr>
          <w:rFonts w:ascii="宋体" w:hAnsi="宋体" w:eastAsia="宋体" w:cs="宋体"/>
          <w:color w:val="auto"/>
          <w:spacing w:val="-2"/>
          <w:sz w:val="24"/>
          <w:szCs w:val="24"/>
        </w:rPr>
        <w:t>磋商响应文件递交后，直接授予成交供应商合同止，凡与本次采购有关人员</w:t>
      </w:r>
      <w:r>
        <w:rPr>
          <w:rFonts w:ascii="宋体" w:hAnsi="宋体" w:eastAsia="宋体" w:cs="宋体"/>
          <w:color w:val="auto"/>
          <w:spacing w:val="-3"/>
          <w:sz w:val="24"/>
          <w:szCs w:val="24"/>
        </w:rPr>
        <w:t>对属于审查、澄清、评价和比较报价的有关资料以及授标意向等，均不得向供应商或</w:t>
      </w:r>
      <w:r>
        <w:rPr>
          <w:rFonts w:ascii="宋体" w:hAnsi="宋体" w:eastAsia="宋体" w:cs="宋体"/>
          <w:color w:val="auto"/>
          <w:spacing w:val="-1"/>
          <w:sz w:val="24"/>
          <w:szCs w:val="24"/>
        </w:rPr>
        <w:t>其他无关的人员透露。</w:t>
      </w:r>
    </w:p>
    <w:p w14:paraId="5FD9FB2A">
      <w:pPr>
        <w:spacing w:before="123" w:line="240" w:lineRule="auto"/>
        <w:ind w:left="1" w:firstLine="483"/>
        <w:rPr>
          <w:rFonts w:ascii="宋体" w:hAnsi="宋体" w:eastAsia="宋体" w:cs="宋体"/>
          <w:color w:val="auto"/>
          <w:sz w:val="24"/>
          <w:szCs w:val="24"/>
        </w:rPr>
      </w:pPr>
      <w:bookmarkStart w:id="6" w:name="bookmark17"/>
      <w:bookmarkEnd w:id="6"/>
      <w:r>
        <w:rPr>
          <w:rFonts w:ascii="宋体" w:hAnsi="宋体" w:eastAsia="宋体" w:cs="宋体"/>
          <w:color w:val="auto"/>
          <w:spacing w:val="-2"/>
          <w:sz w:val="24"/>
          <w:szCs w:val="24"/>
        </w:rPr>
        <w:t>5.2</w:t>
      </w:r>
      <w:r>
        <w:rPr>
          <w:rFonts w:ascii="宋体" w:hAnsi="宋体" w:eastAsia="宋体" w:cs="宋体"/>
          <w:color w:val="auto"/>
          <w:spacing w:val="-35"/>
          <w:sz w:val="24"/>
          <w:szCs w:val="24"/>
        </w:rPr>
        <w:t xml:space="preserve"> </w:t>
      </w:r>
      <w:r>
        <w:rPr>
          <w:rFonts w:ascii="宋体" w:hAnsi="宋体" w:eastAsia="宋体" w:cs="宋体"/>
          <w:color w:val="auto"/>
          <w:spacing w:val="-2"/>
          <w:sz w:val="24"/>
          <w:szCs w:val="24"/>
        </w:rPr>
        <w:t>在磋商评审期间，供应商试图影响采购单位和磋商小组的任何活动，将导致</w:t>
      </w:r>
      <w:r>
        <w:rPr>
          <w:rFonts w:ascii="宋体" w:hAnsi="宋体" w:eastAsia="宋体" w:cs="宋体"/>
          <w:color w:val="auto"/>
          <w:spacing w:val="-1"/>
          <w:sz w:val="24"/>
          <w:szCs w:val="24"/>
        </w:rPr>
        <w:t>其报价被拒绝，并承担相应的法律责任。</w:t>
      </w:r>
    </w:p>
    <w:p w14:paraId="7790F9AC">
      <w:pPr>
        <w:spacing w:before="184" w:line="240" w:lineRule="auto"/>
        <w:ind w:left="1"/>
        <w:rPr>
          <w:rFonts w:ascii="宋体" w:hAnsi="宋体" w:eastAsia="宋体" w:cs="宋体"/>
          <w:color w:val="auto"/>
          <w:sz w:val="24"/>
          <w:szCs w:val="24"/>
        </w:rPr>
      </w:pPr>
      <w:r>
        <w:rPr>
          <w:rFonts w:ascii="宋体" w:hAnsi="宋体" w:eastAsia="宋体" w:cs="宋体"/>
          <w:color w:val="auto"/>
          <w:spacing w:val="-3"/>
          <w:sz w:val="24"/>
          <w:szCs w:val="24"/>
        </w:rPr>
        <w:t>6.本项目采用综合评分法，评审标准详见附表《磋商评审细则》，评审时磋商小组将严格按照评审细则中的分值设置与评审因素进行量化打分。磋商文件中没有规定的评</w:t>
      </w:r>
      <w:r>
        <w:rPr>
          <w:rFonts w:ascii="宋体" w:hAnsi="宋体" w:eastAsia="宋体" w:cs="宋体"/>
          <w:color w:val="auto"/>
          <w:spacing w:val="-1"/>
          <w:sz w:val="24"/>
          <w:szCs w:val="24"/>
        </w:rPr>
        <w:t>审标准不得作为评审依据。</w:t>
      </w:r>
    </w:p>
    <w:p w14:paraId="2830C1CF">
      <w:pPr>
        <w:spacing w:before="182" w:line="240" w:lineRule="auto"/>
        <w:ind w:right="2" w:firstLine="479"/>
        <w:rPr>
          <w:rFonts w:ascii="宋体" w:hAnsi="宋体" w:eastAsia="宋体" w:cs="宋体"/>
          <w:color w:val="auto"/>
          <w:sz w:val="24"/>
          <w:szCs w:val="24"/>
        </w:rPr>
      </w:pPr>
      <w:r>
        <w:rPr>
          <w:rFonts w:ascii="宋体" w:hAnsi="宋体" w:eastAsia="宋体" w:cs="宋体"/>
          <w:color w:val="auto"/>
          <w:spacing w:val="-3"/>
          <w:sz w:val="24"/>
          <w:szCs w:val="24"/>
        </w:rPr>
        <w:t>评审时，磋商小组各成员独立对每个有效响应的文件进行评价、打分，然后汇总</w:t>
      </w:r>
      <w:r>
        <w:rPr>
          <w:rFonts w:ascii="宋体" w:hAnsi="宋体" w:eastAsia="宋体" w:cs="宋体"/>
          <w:color w:val="auto"/>
          <w:spacing w:val="-1"/>
          <w:sz w:val="24"/>
          <w:szCs w:val="24"/>
        </w:rPr>
        <w:t>每个供应商每项评分因素的得分。</w:t>
      </w:r>
    </w:p>
    <w:p w14:paraId="4FD31290">
      <w:pPr>
        <w:spacing w:before="3" w:line="240" w:lineRule="auto"/>
        <w:ind w:firstLine="6"/>
        <w:rPr>
          <w:rFonts w:ascii="宋体" w:hAnsi="宋体" w:eastAsia="宋体" w:cs="宋体"/>
          <w:color w:val="auto"/>
          <w:sz w:val="24"/>
          <w:szCs w:val="24"/>
        </w:rPr>
      </w:pPr>
      <w:r>
        <w:rPr>
          <w:rFonts w:ascii="宋体" w:hAnsi="宋体" w:eastAsia="宋体" w:cs="宋体"/>
          <w:color w:val="auto"/>
          <w:spacing w:val="-3"/>
          <w:sz w:val="24"/>
          <w:szCs w:val="24"/>
        </w:rPr>
        <w:t>7.磋商小组根据综合评分情况，按照评审得分最高的确定为成交候选供应商，并编写评审报告。评审得分相同的，按照最后报价由低到高的顺序推荐。评审得分且最后报</w:t>
      </w:r>
      <w:r>
        <w:rPr>
          <w:rFonts w:ascii="宋体" w:hAnsi="宋体" w:eastAsia="宋体" w:cs="宋体"/>
          <w:color w:val="auto"/>
          <w:spacing w:val="-1"/>
          <w:sz w:val="24"/>
          <w:szCs w:val="24"/>
        </w:rPr>
        <w:t>价相同的，按照技术部分优劣顺序推荐。</w:t>
      </w:r>
    </w:p>
    <w:p w14:paraId="6B20F992">
      <w:pPr>
        <w:spacing w:before="183" w:line="240" w:lineRule="auto"/>
        <w:ind w:firstLine="1"/>
        <w:rPr>
          <w:rFonts w:ascii="宋体" w:hAnsi="宋体" w:eastAsia="宋体" w:cs="宋体"/>
          <w:color w:val="auto"/>
          <w:sz w:val="24"/>
          <w:szCs w:val="24"/>
        </w:rPr>
      </w:pPr>
      <w:r>
        <w:rPr>
          <w:rFonts w:ascii="宋体" w:hAnsi="宋体" w:eastAsia="宋体" w:cs="宋体"/>
          <w:color w:val="auto"/>
          <w:spacing w:val="-3"/>
          <w:sz w:val="24"/>
          <w:szCs w:val="24"/>
        </w:rPr>
        <w:t>8.原则上确定排名位于第一名的成交候选供应商为中标供应商。若排名第一的成交候选供应商放弃中标、因不可抗力提出不能履行合同或竞争性磋规定应当提交履约保证金而在规定的期限内未能提交的，采购人有权选择重新招标，或者采购人确定排名第</w:t>
      </w:r>
      <w:r>
        <w:rPr>
          <w:rFonts w:ascii="宋体" w:hAnsi="宋体" w:eastAsia="宋体" w:cs="宋体"/>
          <w:color w:val="auto"/>
          <w:spacing w:val="-1"/>
          <w:sz w:val="24"/>
          <w:szCs w:val="24"/>
        </w:rPr>
        <w:t>二的成交候选供应商为中标供应商，以此类推。</w:t>
      </w:r>
    </w:p>
    <w:p w14:paraId="7B5816AF">
      <w:pPr>
        <w:spacing w:before="182" w:line="219" w:lineRule="auto"/>
        <w:ind w:left="1"/>
        <w:rPr>
          <w:rFonts w:ascii="宋体" w:hAnsi="宋体" w:eastAsia="宋体" w:cs="宋体"/>
          <w:color w:val="auto"/>
          <w:sz w:val="24"/>
          <w:szCs w:val="24"/>
        </w:rPr>
      </w:pPr>
      <w:r>
        <w:rPr>
          <w:rFonts w:ascii="宋体" w:hAnsi="宋体" w:eastAsia="宋体" w:cs="宋体"/>
          <w:color w:val="auto"/>
          <w:spacing w:val="-1"/>
          <w:sz w:val="24"/>
          <w:szCs w:val="24"/>
        </w:rPr>
        <w:t>9.磋商小组完成评标后，应当向采购人提交书面评标报告。</w:t>
      </w:r>
    </w:p>
    <w:p w14:paraId="0361543F">
      <w:pPr>
        <w:spacing w:line="219" w:lineRule="auto"/>
        <w:rPr>
          <w:rFonts w:ascii="宋体" w:hAnsi="宋体" w:eastAsia="宋体" w:cs="宋体"/>
          <w:color w:val="auto"/>
          <w:sz w:val="24"/>
          <w:szCs w:val="24"/>
        </w:rPr>
        <w:sectPr>
          <w:footerReference r:id="rId7" w:type="default"/>
          <w:pgSz w:w="11906" w:h="16839"/>
          <w:pgMar w:top="1440" w:right="1080" w:bottom="1440" w:left="1080" w:header="0" w:footer="1011" w:gutter="0"/>
          <w:pgNumType w:fmt="decimal"/>
          <w:cols w:space="720" w:num="1"/>
        </w:sectPr>
      </w:pPr>
    </w:p>
    <w:p w14:paraId="04A7675C">
      <w:pPr>
        <w:spacing w:before="117" w:line="225" w:lineRule="auto"/>
        <w:ind w:left="3238"/>
        <w:outlineLvl w:val="0"/>
        <w:rPr>
          <w:rFonts w:ascii="宋体" w:hAnsi="宋体" w:eastAsia="宋体" w:cs="宋体"/>
          <w:color w:val="auto"/>
          <w:sz w:val="35"/>
          <w:szCs w:val="35"/>
        </w:rPr>
      </w:pPr>
      <w:bookmarkStart w:id="7" w:name="_Toc3495"/>
      <w:bookmarkStart w:id="8" w:name="_Toc14581"/>
      <w:r>
        <w:rPr>
          <w:rFonts w:ascii="宋体" w:hAnsi="宋体" w:eastAsia="宋体" w:cs="宋体"/>
          <w:b/>
          <w:bCs/>
          <w:color w:val="auto"/>
          <w:spacing w:val="5"/>
          <w:sz w:val="35"/>
          <w:szCs w:val="35"/>
        </w:rPr>
        <w:t>第三章</w:t>
      </w:r>
      <w:r>
        <w:rPr>
          <w:rFonts w:ascii="宋体" w:hAnsi="宋体" w:eastAsia="宋体" w:cs="宋体"/>
          <w:color w:val="auto"/>
          <w:spacing w:val="5"/>
          <w:sz w:val="35"/>
          <w:szCs w:val="35"/>
        </w:rPr>
        <w:t xml:space="preserve"> </w:t>
      </w:r>
      <w:r>
        <w:rPr>
          <w:rFonts w:ascii="宋体" w:hAnsi="宋体" w:eastAsia="宋体" w:cs="宋体"/>
          <w:b/>
          <w:bCs/>
          <w:color w:val="auto"/>
          <w:spacing w:val="5"/>
          <w:sz w:val="35"/>
          <w:szCs w:val="35"/>
        </w:rPr>
        <w:t>磋商评审细则</w:t>
      </w:r>
      <w:bookmarkEnd w:id="7"/>
      <w:bookmarkEnd w:id="8"/>
    </w:p>
    <w:p w14:paraId="63357CD6">
      <w:pPr>
        <w:spacing w:before="126" w:line="220" w:lineRule="auto"/>
        <w:ind w:left="3216"/>
        <w:rPr>
          <w:rFonts w:ascii="宋体" w:hAnsi="宋体" w:eastAsia="宋体" w:cs="宋体"/>
          <w:color w:val="auto"/>
          <w:sz w:val="24"/>
          <w:szCs w:val="24"/>
        </w:rPr>
      </w:pPr>
      <w:r>
        <w:rPr>
          <w:rFonts w:ascii="宋体" w:hAnsi="宋体" w:eastAsia="宋体" w:cs="宋体"/>
          <w:b/>
          <w:bCs/>
          <w:color w:val="auto"/>
          <w:spacing w:val="-4"/>
          <w:sz w:val="24"/>
          <w:szCs w:val="24"/>
        </w:rPr>
        <w:t>（一）资格及符合性审查</w:t>
      </w:r>
    </w:p>
    <w:p w14:paraId="045DB624">
      <w:pPr>
        <w:spacing w:line="142" w:lineRule="auto"/>
        <w:rPr>
          <w:rFonts w:ascii="Arial"/>
          <w:color w:val="auto"/>
          <w:sz w:val="2"/>
        </w:rPr>
      </w:pPr>
    </w:p>
    <w:tbl>
      <w:tblPr>
        <w:tblStyle w:val="15"/>
        <w:tblW w:w="98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1699"/>
        <w:gridCol w:w="7253"/>
      </w:tblGrid>
      <w:tr w14:paraId="0C05E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625" w:type="dxa"/>
            <w:gridSpan w:val="2"/>
            <w:vAlign w:val="top"/>
          </w:tcPr>
          <w:p w14:paraId="4BA94E81">
            <w:pPr>
              <w:pStyle w:val="16"/>
              <w:spacing w:before="102" w:line="214" w:lineRule="auto"/>
              <w:ind w:left="840"/>
              <w:rPr>
                <w:color w:val="auto"/>
              </w:rPr>
            </w:pPr>
            <w:r>
              <w:rPr>
                <w:color w:val="auto"/>
                <w:spacing w:val="-3"/>
              </w:rPr>
              <w:t>评审因素</w:t>
            </w:r>
          </w:p>
        </w:tc>
        <w:tc>
          <w:tcPr>
            <w:tcW w:w="7253" w:type="dxa"/>
            <w:vAlign w:val="top"/>
          </w:tcPr>
          <w:p w14:paraId="1C5244DD">
            <w:pPr>
              <w:pStyle w:val="16"/>
              <w:spacing w:before="102" w:line="214" w:lineRule="auto"/>
              <w:ind w:left="3152"/>
              <w:rPr>
                <w:color w:val="auto"/>
              </w:rPr>
            </w:pPr>
            <w:r>
              <w:rPr>
                <w:color w:val="auto"/>
                <w:spacing w:val="-3"/>
              </w:rPr>
              <w:t>评审标准</w:t>
            </w:r>
          </w:p>
        </w:tc>
      </w:tr>
      <w:tr w14:paraId="78D95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926" w:type="dxa"/>
            <w:vMerge w:val="restart"/>
            <w:tcBorders>
              <w:bottom w:val="nil"/>
            </w:tcBorders>
            <w:vAlign w:val="top"/>
          </w:tcPr>
          <w:p w14:paraId="28AFADDC">
            <w:pPr>
              <w:spacing w:line="248" w:lineRule="auto"/>
              <w:rPr>
                <w:rFonts w:ascii="Arial"/>
                <w:color w:val="auto"/>
                <w:sz w:val="21"/>
              </w:rPr>
            </w:pPr>
          </w:p>
          <w:p w14:paraId="36DAEBEC">
            <w:pPr>
              <w:spacing w:line="248" w:lineRule="auto"/>
              <w:rPr>
                <w:rFonts w:ascii="Arial"/>
                <w:color w:val="auto"/>
                <w:sz w:val="21"/>
              </w:rPr>
            </w:pPr>
          </w:p>
          <w:p w14:paraId="025CA47E">
            <w:pPr>
              <w:spacing w:line="248" w:lineRule="auto"/>
              <w:rPr>
                <w:rFonts w:ascii="Arial"/>
                <w:color w:val="auto"/>
                <w:sz w:val="21"/>
              </w:rPr>
            </w:pPr>
          </w:p>
          <w:p w14:paraId="25234AB1">
            <w:pPr>
              <w:spacing w:line="248" w:lineRule="auto"/>
              <w:rPr>
                <w:rFonts w:ascii="Arial"/>
                <w:color w:val="auto"/>
                <w:sz w:val="21"/>
              </w:rPr>
            </w:pPr>
          </w:p>
          <w:p w14:paraId="1A122D05">
            <w:pPr>
              <w:spacing w:line="248" w:lineRule="auto"/>
              <w:rPr>
                <w:rFonts w:ascii="Arial"/>
                <w:color w:val="auto"/>
                <w:sz w:val="21"/>
              </w:rPr>
            </w:pPr>
          </w:p>
          <w:p w14:paraId="69F672D4">
            <w:pPr>
              <w:spacing w:line="248" w:lineRule="auto"/>
              <w:rPr>
                <w:rFonts w:ascii="Arial"/>
                <w:color w:val="auto"/>
                <w:sz w:val="21"/>
              </w:rPr>
            </w:pPr>
          </w:p>
          <w:p w14:paraId="009BB781">
            <w:pPr>
              <w:spacing w:line="248" w:lineRule="auto"/>
              <w:rPr>
                <w:rFonts w:ascii="Arial"/>
                <w:color w:val="auto"/>
                <w:sz w:val="21"/>
              </w:rPr>
            </w:pPr>
          </w:p>
          <w:p w14:paraId="01AA5105">
            <w:pPr>
              <w:spacing w:line="248" w:lineRule="auto"/>
              <w:rPr>
                <w:rFonts w:ascii="Arial"/>
                <w:color w:val="auto"/>
                <w:sz w:val="21"/>
              </w:rPr>
            </w:pPr>
          </w:p>
          <w:p w14:paraId="1272799B">
            <w:pPr>
              <w:spacing w:line="248" w:lineRule="auto"/>
              <w:rPr>
                <w:rFonts w:ascii="Arial"/>
                <w:color w:val="auto"/>
                <w:sz w:val="21"/>
              </w:rPr>
            </w:pPr>
          </w:p>
          <w:p w14:paraId="1211B6DC">
            <w:pPr>
              <w:spacing w:line="248" w:lineRule="auto"/>
              <w:rPr>
                <w:rFonts w:ascii="Arial"/>
                <w:color w:val="auto"/>
                <w:sz w:val="21"/>
              </w:rPr>
            </w:pPr>
          </w:p>
          <w:p w14:paraId="40898830">
            <w:pPr>
              <w:spacing w:line="248" w:lineRule="auto"/>
              <w:rPr>
                <w:rFonts w:ascii="Arial"/>
                <w:color w:val="auto"/>
                <w:sz w:val="21"/>
              </w:rPr>
            </w:pPr>
          </w:p>
          <w:p w14:paraId="2DB94F74">
            <w:pPr>
              <w:spacing w:line="248" w:lineRule="auto"/>
              <w:rPr>
                <w:rFonts w:ascii="Arial"/>
                <w:color w:val="auto"/>
                <w:sz w:val="21"/>
              </w:rPr>
            </w:pPr>
          </w:p>
          <w:p w14:paraId="07E3E533">
            <w:pPr>
              <w:spacing w:line="248" w:lineRule="auto"/>
              <w:rPr>
                <w:rFonts w:ascii="Arial"/>
                <w:color w:val="auto"/>
                <w:sz w:val="21"/>
              </w:rPr>
            </w:pPr>
          </w:p>
          <w:p w14:paraId="0B726504">
            <w:pPr>
              <w:spacing w:line="248" w:lineRule="auto"/>
              <w:rPr>
                <w:rFonts w:ascii="Arial"/>
                <w:color w:val="auto"/>
                <w:sz w:val="21"/>
              </w:rPr>
            </w:pPr>
          </w:p>
          <w:p w14:paraId="5CCBF014">
            <w:pPr>
              <w:spacing w:line="249" w:lineRule="auto"/>
              <w:rPr>
                <w:rFonts w:ascii="Arial"/>
                <w:color w:val="auto"/>
                <w:sz w:val="21"/>
              </w:rPr>
            </w:pPr>
          </w:p>
          <w:p w14:paraId="2A6E1F72">
            <w:pPr>
              <w:spacing w:line="249" w:lineRule="auto"/>
              <w:rPr>
                <w:rFonts w:ascii="Arial"/>
                <w:color w:val="auto"/>
                <w:sz w:val="21"/>
              </w:rPr>
            </w:pPr>
          </w:p>
          <w:p w14:paraId="1C2722AB">
            <w:pPr>
              <w:pStyle w:val="16"/>
              <w:spacing w:before="78" w:line="293" w:lineRule="auto"/>
              <w:ind w:left="228" w:right="221" w:firstLine="11"/>
              <w:jc w:val="both"/>
              <w:rPr>
                <w:color w:val="auto"/>
              </w:rPr>
            </w:pPr>
            <w:r>
              <w:rPr>
                <w:color w:val="auto"/>
                <w:spacing w:val="-10"/>
              </w:rPr>
              <w:t>资格</w:t>
            </w:r>
            <w:r>
              <w:rPr>
                <w:color w:val="auto"/>
                <w:spacing w:val="-5"/>
              </w:rPr>
              <w:t>评审标准</w:t>
            </w:r>
          </w:p>
        </w:tc>
        <w:tc>
          <w:tcPr>
            <w:tcW w:w="1699" w:type="dxa"/>
            <w:vAlign w:val="top"/>
          </w:tcPr>
          <w:p w14:paraId="35BE821F">
            <w:pPr>
              <w:pStyle w:val="16"/>
              <w:spacing w:before="241" w:line="220" w:lineRule="auto"/>
              <w:ind w:left="383"/>
              <w:rPr>
                <w:color w:val="auto"/>
              </w:rPr>
            </w:pPr>
            <w:r>
              <w:rPr>
                <w:color w:val="auto"/>
                <w:spacing w:val="-5"/>
              </w:rPr>
              <w:t>营业执照</w:t>
            </w:r>
          </w:p>
        </w:tc>
        <w:tc>
          <w:tcPr>
            <w:tcW w:w="7253" w:type="dxa"/>
            <w:vAlign w:val="top"/>
          </w:tcPr>
          <w:p w14:paraId="69412EA2">
            <w:pPr>
              <w:pStyle w:val="16"/>
              <w:spacing w:before="241" w:line="219" w:lineRule="auto"/>
              <w:ind w:left="119"/>
              <w:rPr>
                <w:color w:val="auto"/>
              </w:rPr>
            </w:pPr>
            <w:r>
              <w:rPr>
                <w:color w:val="auto"/>
                <w:spacing w:val="-1"/>
              </w:rPr>
              <w:t>具有有效的企业营业执照，标书内附复印件加盖公章。</w:t>
            </w:r>
          </w:p>
        </w:tc>
      </w:tr>
      <w:tr w14:paraId="56C23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926" w:type="dxa"/>
            <w:vMerge w:val="continue"/>
            <w:tcBorders>
              <w:top w:val="nil"/>
              <w:bottom w:val="nil"/>
            </w:tcBorders>
            <w:vAlign w:val="top"/>
          </w:tcPr>
          <w:p w14:paraId="0E4E86BB">
            <w:pPr>
              <w:rPr>
                <w:rFonts w:ascii="Arial"/>
                <w:color w:val="auto"/>
                <w:sz w:val="21"/>
              </w:rPr>
            </w:pPr>
          </w:p>
        </w:tc>
        <w:tc>
          <w:tcPr>
            <w:tcW w:w="1699" w:type="dxa"/>
            <w:vAlign w:val="top"/>
          </w:tcPr>
          <w:p w14:paraId="06879533">
            <w:pPr>
              <w:spacing w:line="293" w:lineRule="auto"/>
              <w:rPr>
                <w:rFonts w:ascii="Arial"/>
                <w:color w:val="auto"/>
                <w:sz w:val="21"/>
              </w:rPr>
            </w:pPr>
          </w:p>
          <w:p w14:paraId="0CFA2F8E">
            <w:pPr>
              <w:spacing w:line="294" w:lineRule="auto"/>
              <w:rPr>
                <w:rFonts w:ascii="Arial"/>
                <w:color w:val="auto"/>
                <w:sz w:val="21"/>
              </w:rPr>
            </w:pPr>
          </w:p>
          <w:p w14:paraId="23816CB8">
            <w:pPr>
              <w:pStyle w:val="16"/>
              <w:spacing w:before="78" w:line="220" w:lineRule="auto"/>
              <w:ind w:left="386"/>
              <w:rPr>
                <w:color w:val="auto"/>
              </w:rPr>
            </w:pPr>
            <w:r>
              <w:rPr>
                <w:color w:val="auto"/>
                <w:spacing w:val="-5"/>
              </w:rPr>
              <w:t>资质等级</w:t>
            </w:r>
          </w:p>
        </w:tc>
        <w:tc>
          <w:tcPr>
            <w:tcW w:w="7253" w:type="dxa"/>
            <w:vAlign w:val="top"/>
          </w:tcPr>
          <w:p w14:paraId="191FC24C">
            <w:pPr>
              <w:pStyle w:val="16"/>
              <w:spacing w:before="99" w:line="272" w:lineRule="auto"/>
              <w:ind w:left="113" w:right="106" w:firstLine="12"/>
              <w:jc w:val="both"/>
              <w:rPr>
                <w:color w:val="auto"/>
              </w:rPr>
            </w:pPr>
            <w:r>
              <w:rPr>
                <w:color w:val="auto"/>
                <w:spacing w:val="2"/>
              </w:rPr>
              <w:t>需具备建设行政主管部门颁发的</w:t>
            </w:r>
            <w:r>
              <w:rPr>
                <w:rFonts w:hint="eastAsia" w:ascii="宋体" w:hAnsi="宋体" w:cs="宋体"/>
                <w:color w:val="auto"/>
                <w:sz w:val="24"/>
                <w:szCs w:val="24"/>
                <w:lang w:eastAsia="zh-CN"/>
              </w:rPr>
              <w:t>市政公用</w:t>
            </w:r>
            <w:r>
              <w:rPr>
                <w:rFonts w:ascii="宋体" w:hAnsi="宋体" w:eastAsia="宋体" w:cs="宋体"/>
                <w:color w:val="auto"/>
                <w:sz w:val="24"/>
                <w:szCs w:val="24"/>
              </w:rPr>
              <w:t>工程施工总承包</w:t>
            </w:r>
            <w:r>
              <w:rPr>
                <w:rFonts w:hint="eastAsia" w:ascii="宋体" w:hAnsi="宋体" w:cs="宋体"/>
                <w:color w:val="auto"/>
                <w:sz w:val="24"/>
                <w:szCs w:val="24"/>
                <w:lang w:val="en-US" w:eastAsia="zh-CN"/>
              </w:rPr>
              <w:t>贰</w:t>
            </w:r>
            <w:r>
              <w:rPr>
                <w:rFonts w:ascii="宋体" w:hAnsi="宋体" w:eastAsia="宋体" w:cs="宋体"/>
                <w:color w:val="auto"/>
                <w:sz w:val="24"/>
                <w:szCs w:val="24"/>
              </w:rPr>
              <w:t>级</w:t>
            </w:r>
            <w:r>
              <w:rPr>
                <w:rFonts w:hint="eastAsia" w:ascii="宋体" w:hAnsi="宋体" w:cs="宋体"/>
                <w:color w:val="auto"/>
                <w:sz w:val="24"/>
                <w:szCs w:val="24"/>
                <w:lang w:val="en-US" w:eastAsia="zh-CN"/>
              </w:rPr>
              <w:t>或公路工程施工总承包贰</w:t>
            </w:r>
            <w:r>
              <w:rPr>
                <w:rFonts w:ascii="宋体" w:hAnsi="宋体" w:eastAsia="宋体" w:cs="宋体"/>
                <w:color w:val="auto"/>
                <w:sz w:val="24"/>
                <w:szCs w:val="24"/>
              </w:rPr>
              <w:t>级</w:t>
            </w:r>
            <w:r>
              <w:rPr>
                <w:rFonts w:hint="eastAsia" w:ascii="宋体" w:hAnsi="宋体" w:cs="宋体"/>
                <w:color w:val="auto"/>
                <w:spacing w:val="-1"/>
                <w:sz w:val="24"/>
                <w:szCs w:val="24"/>
                <w:lang w:val="en-US" w:eastAsia="zh-CN"/>
              </w:rPr>
              <w:t>及</w:t>
            </w:r>
            <w:r>
              <w:rPr>
                <w:rFonts w:ascii="宋体" w:hAnsi="宋体" w:eastAsia="宋体" w:cs="宋体"/>
                <w:color w:val="auto"/>
                <w:spacing w:val="-3"/>
                <w:sz w:val="24"/>
                <w:szCs w:val="24"/>
              </w:rPr>
              <w:t>以上资质</w:t>
            </w:r>
            <w:r>
              <w:rPr>
                <w:color w:val="auto"/>
                <w:spacing w:val="2"/>
              </w:rPr>
              <w:t>，标书内附加盖公章的复印件。【新版建筑业企业资质证书复印件信息的真伪由评标委员会通过扫描二维码标识进</w:t>
            </w:r>
            <w:r>
              <w:rPr>
                <w:color w:val="auto"/>
                <w:spacing w:val="-2"/>
              </w:rPr>
              <w:t>行查询确认】。</w:t>
            </w:r>
          </w:p>
        </w:tc>
      </w:tr>
      <w:tr w14:paraId="15434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26" w:type="dxa"/>
            <w:vMerge w:val="continue"/>
            <w:tcBorders>
              <w:top w:val="nil"/>
              <w:bottom w:val="nil"/>
            </w:tcBorders>
            <w:vAlign w:val="top"/>
          </w:tcPr>
          <w:p w14:paraId="5ACBC0F1">
            <w:pPr>
              <w:rPr>
                <w:rFonts w:ascii="Arial"/>
                <w:color w:val="auto"/>
                <w:sz w:val="21"/>
              </w:rPr>
            </w:pPr>
          </w:p>
        </w:tc>
        <w:tc>
          <w:tcPr>
            <w:tcW w:w="1699" w:type="dxa"/>
            <w:vAlign w:val="top"/>
          </w:tcPr>
          <w:p w14:paraId="677B88FC">
            <w:pPr>
              <w:pStyle w:val="16"/>
              <w:spacing w:before="99" w:line="252" w:lineRule="auto"/>
              <w:ind w:left="735" w:right="127" w:hanging="595"/>
              <w:rPr>
                <w:color w:val="auto"/>
              </w:rPr>
            </w:pPr>
            <w:r>
              <w:rPr>
                <w:color w:val="auto"/>
                <w:spacing w:val="-3"/>
              </w:rPr>
              <w:t>安全生产许可</w:t>
            </w:r>
            <w:r>
              <w:rPr>
                <w:color w:val="auto"/>
              </w:rPr>
              <w:t>证</w:t>
            </w:r>
          </w:p>
        </w:tc>
        <w:tc>
          <w:tcPr>
            <w:tcW w:w="7253" w:type="dxa"/>
            <w:vAlign w:val="top"/>
          </w:tcPr>
          <w:p w14:paraId="193F0AEE">
            <w:pPr>
              <w:pStyle w:val="16"/>
              <w:spacing w:before="99" w:line="252" w:lineRule="auto"/>
              <w:ind w:left="114" w:right="182"/>
              <w:rPr>
                <w:color w:val="auto"/>
              </w:rPr>
            </w:pPr>
            <w:r>
              <w:rPr>
                <w:color w:val="auto"/>
                <w:spacing w:val="-1"/>
              </w:rPr>
              <w:t>提供有效的安全生产许可证副本或省级住房和城乡建设主管部门明确有效的电子证书，标书内附加盖公章的复印件。</w:t>
            </w:r>
          </w:p>
        </w:tc>
      </w:tr>
      <w:tr w14:paraId="50C21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4" w:hRule="atLeast"/>
        </w:trPr>
        <w:tc>
          <w:tcPr>
            <w:tcW w:w="926" w:type="dxa"/>
            <w:vMerge w:val="continue"/>
            <w:tcBorders>
              <w:top w:val="nil"/>
              <w:bottom w:val="nil"/>
            </w:tcBorders>
            <w:vAlign w:val="top"/>
          </w:tcPr>
          <w:p w14:paraId="7F602484">
            <w:pPr>
              <w:rPr>
                <w:rFonts w:ascii="Arial"/>
                <w:color w:val="auto"/>
                <w:sz w:val="21"/>
              </w:rPr>
            </w:pPr>
          </w:p>
        </w:tc>
        <w:tc>
          <w:tcPr>
            <w:tcW w:w="1699" w:type="dxa"/>
            <w:vAlign w:val="top"/>
          </w:tcPr>
          <w:p w14:paraId="063D4703">
            <w:pPr>
              <w:spacing w:line="288" w:lineRule="auto"/>
              <w:rPr>
                <w:rFonts w:ascii="Arial"/>
                <w:color w:val="auto"/>
                <w:sz w:val="21"/>
              </w:rPr>
            </w:pPr>
          </w:p>
          <w:p w14:paraId="5A064EB7">
            <w:pPr>
              <w:spacing w:line="289" w:lineRule="auto"/>
              <w:rPr>
                <w:rFonts w:ascii="Arial"/>
                <w:color w:val="auto"/>
                <w:sz w:val="21"/>
              </w:rPr>
            </w:pPr>
          </w:p>
          <w:p w14:paraId="7933D9D4">
            <w:pPr>
              <w:spacing w:line="289" w:lineRule="auto"/>
              <w:rPr>
                <w:rFonts w:ascii="Arial"/>
                <w:color w:val="auto"/>
                <w:sz w:val="21"/>
              </w:rPr>
            </w:pPr>
          </w:p>
          <w:p w14:paraId="2DF0351D">
            <w:pPr>
              <w:spacing w:line="289" w:lineRule="auto"/>
              <w:rPr>
                <w:rFonts w:ascii="Arial"/>
                <w:color w:val="auto"/>
                <w:sz w:val="21"/>
              </w:rPr>
            </w:pPr>
          </w:p>
          <w:p w14:paraId="399DBE69">
            <w:pPr>
              <w:pStyle w:val="16"/>
              <w:spacing w:before="78" w:line="221" w:lineRule="auto"/>
              <w:ind w:left="379"/>
              <w:rPr>
                <w:color w:val="auto"/>
              </w:rPr>
            </w:pPr>
            <w:r>
              <w:rPr>
                <w:color w:val="auto"/>
                <w:spacing w:val="-4"/>
              </w:rPr>
              <w:t>项目经理</w:t>
            </w:r>
          </w:p>
        </w:tc>
        <w:tc>
          <w:tcPr>
            <w:tcW w:w="7253" w:type="dxa"/>
            <w:vAlign w:val="top"/>
          </w:tcPr>
          <w:p w14:paraId="65ADA4C4">
            <w:pPr>
              <w:pStyle w:val="16"/>
              <w:spacing w:before="96" w:line="281" w:lineRule="auto"/>
              <w:ind w:left="111" w:right="106" w:firstLine="2"/>
              <w:rPr>
                <w:color w:val="auto"/>
              </w:rPr>
            </w:pPr>
            <w:r>
              <w:rPr>
                <w:color w:val="auto"/>
                <w:spacing w:val="2"/>
              </w:rPr>
              <w:t>拟派出的项目经理须具备</w:t>
            </w:r>
            <w:r>
              <w:rPr>
                <w:rFonts w:hint="eastAsia"/>
                <w:color w:val="auto"/>
                <w:spacing w:val="2"/>
                <w:lang w:val="en-US" w:eastAsia="zh-CN"/>
              </w:rPr>
              <w:t>市政公用</w:t>
            </w:r>
            <w:r>
              <w:rPr>
                <w:color w:val="auto"/>
                <w:spacing w:val="2"/>
              </w:rPr>
              <w:t>工程专业二级或</w:t>
            </w:r>
            <w:r>
              <w:rPr>
                <w:rFonts w:hint="eastAsia"/>
                <w:color w:val="auto"/>
                <w:spacing w:val="2"/>
                <w:lang w:val="en-US" w:eastAsia="zh-CN"/>
              </w:rPr>
              <w:t>公路工程专业二级</w:t>
            </w:r>
            <w:r>
              <w:rPr>
                <w:color w:val="auto"/>
                <w:spacing w:val="2"/>
              </w:rPr>
              <w:t>以上注册建造师</w:t>
            </w:r>
            <w:r>
              <w:rPr>
                <w:color w:val="auto"/>
                <w:spacing w:val="-12"/>
              </w:rPr>
              <w:t>资</w:t>
            </w:r>
            <w:r>
              <w:rPr>
                <w:color w:val="auto"/>
                <w:spacing w:val="-68"/>
              </w:rPr>
              <w:t xml:space="preserve"> </w:t>
            </w:r>
            <w:r>
              <w:rPr>
                <w:color w:val="auto"/>
                <w:spacing w:val="-12"/>
              </w:rPr>
              <w:t>格</w:t>
            </w:r>
            <w:r>
              <w:rPr>
                <w:color w:val="auto"/>
                <w:spacing w:val="-50"/>
              </w:rPr>
              <w:t xml:space="preserve"> </w:t>
            </w:r>
            <w:r>
              <w:rPr>
                <w:color w:val="auto"/>
                <w:spacing w:val="-12"/>
              </w:rPr>
              <w:t>，</w:t>
            </w:r>
            <w:r>
              <w:rPr>
                <w:color w:val="auto"/>
                <w:spacing w:val="-69"/>
              </w:rPr>
              <w:t xml:space="preserve"> </w:t>
            </w:r>
            <w:r>
              <w:rPr>
                <w:color w:val="auto"/>
                <w:spacing w:val="-12"/>
              </w:rPr>
              <w:t>提</w:t>
            </w:r>
            <w:r>
              <w:rPr>
                <w:color w:val="auto"/>
                <w:spacing w:val="-67"/>
              </w:rPr>
              <w:t xml:space="preserve"> </w:t>
            </w:r>
            <w:r>
              <w:rPr>
                <w:color w:val="auto"/>
                <w:spacing w:val="-12"/>
              </w:rPr>
              <w:t>供</w:t>
            </w:r>
            <w:r>
              <w:rPr>
                <w:color w:val="auto"/>
                <w:spacing w:val="-64"/>
              </w:rPr>
              <w:t xml:space="preserve"> </w:t>
            </w:r>
            <w:r>
              <w:rPr>
                <w:color w:val="auto"/>
                <w:spacing w:val="-12"/>
              </w:rPr>
              <w:t>项 目</w:t>
            </w:r>
            <w:r>
              <w:rPr>
                <w:color w:val="auto"/>
                <w:spacing w:val="-65"/>
              </w:rPr>
              <w:t xml:space="preserve"> </w:t>
            </w:r>
            <w:r>
              <w:rPr>
                <w:color w:val="auto"/>
                <w:spacing w:val="-12"/>
              </w:rPr>
              <w:t>经</w:t>
            </w:r>
            <w:r>
              <w:rPr>
                <w:color w:val="auto"/>
                <w:spacing w:val="-65"/>
              </w:rPr>
              <w:t xml:space="preserve"> </w:t>
            </w:r>
            <w:r>
              <w:rPr>
                <w:color w:val="auto"/>
                <w:spacing w:val="-12"/>
              </w:rPr>
              <w:t>理</w:t>
            </w:r>
            <w:r>
              <w:rPr>
                <w:color w:val="auto"/>
                <w:spacing w:val="-67"/>
              </w:rPr>
              <w:t xml:space="preserve"> </w:t>
            </w:r>
            <w:r>
              <w:rPr>
                <w:color w:val="auto"/>
                <w:spacing w:val="-12"/>
              </w:rPr>
              <w:t>建</w:t>
            </w:r>
            <w:r>
              <w:rPr>
                <w:color w:val="auto"/>
                <w:spacing w:val="-68"/>
              </w:rPr>
              <w:t xml:space="preserve"> </w:t>
            </w:r>
            <w:r>
              <w:rPr>
                <w:color w:val="auto"/>
                <w:spacing w:val="-12"/>
              </w:rPr>
              <w:t>造</w:t>
            </w:r>
            <w:r>
              <w:rPr>
                <w:color w:val="auto"/>
                <w:spacing w:val="-64"/>
              </w:rPr>
              <w:t xml:space="preserve"> </w:t>
            </w:r>
            <w:r>
              <w:rPr>
                <w:color w:val="auto"/>
                <w:spacing w:val="-12"/>
              </w:rPr>
              <w:t>师</w:t>
            </w:r>
            <w:r>
              <w:rPr>
                <w:color w:val="auto"/>
                <w:spacing w:val="-67"/>
              </w:rPr>
              <w:t xml:space="preserve"> </w:t>
            </w:r>
            <w:r>
              <w:rPr>
                <w:color w:val="auto"/>
                <w:spacing w:val="-12"/>
              </w:rPr>
              <w:t>注</w:t>
            </w:r>
            <w:r>
              <w:rPr>
                <w:color w:val="auto"/>
                <w:spacing w:val="-68"/>
              </w:rPr>
              <w:t xml:space="preserve"> </w:t>
            </w:r>
            <w:r>
              <w:rPr>
                <w:color w:val="auto"/>
                <w:spacing w:val="-12"/>
              </w:rPr>
              <w:t>册</w:t>
            </w:r>
            <w:r>
              <w:rPr>
                <w:color w:val="auto"/>
                <w:spacing w:val="-67"/>
              </w:rPr>
              <w:t xml:space="preserve"> </w:t>
            </w:r>
            <w:r>
              <w:rPr>
                <w:color w:val="auto"/>
                <w:spacing w:val="-12"/>
              </w:rPr>
              <w:t>证</w:t>
            </w:r>
            <w:r>
              <w:rPr>
                <w:color w:val="auto"/>
                <w:spacing w:val="-63"/>
              </w:rPr>
              <w:t xml:space="preserve"> </w:t>
            </w:r>
            <w:r>
              <w:rPr>
                <w:color w:val="auto"/>
                <w:spacing w:val="-12"/>
              </w:rPr>
              <w:t>书</w:t>
            </w:r>
            <w:r>
              <w:rPr>
                <w:color w:val="auto"/>
                <w:spacing w:val="-64"/>
              </w:rPr>
              <w:t xml:space="preserve"> </w:t>
            </w:r>
            <w:r>
              <w:rPr>
                <w:color w:val="auto"/>
                <w:spacing w:val="-12"/>
              </w:rPr>
              <w:t>或</w:t>
            </w:r>
            <w:r>
              <w:rPr>
                <w:color w:val="auto"/>
                <w:spacing w:val="-69"/>
              </w:rPr>
              <w:t xml:space="preserve"> </w:t>
            </w:r>
            <w:r>
              <w:rPr>
                <w:color w:val="auto"/>
                <w:spacing w:val="-12"/>
              </w:rPr>
              <w:t>平</w:t>
            </w:r>
            <w:r>
              <w:rPr>
                <w:color w:val="auto"/>
                <w:spacing w:val="-49"/>
              </w:rPr>
              <w:t xml:space="preserve"> </w:t>
            </w:r>
            <w:r>
              <w:rPr>
                <w:color w:val="auto"/>
                <w:spacing w:val="-12"/>
              </w:rPr>
              <w:t>台</w:t>
            </w:r>
            <w:r>
              <w:rPr>
                <w:color w:val="auto"/>
                <w:spacing w:val="-76"/>
              </w:rPr>
              <w:t xml:space="preserve"> </w:t>
            </w:r>
            <w:r>
              <w:rPr>
                <w:color w:val="auto"/>
                <w:spacing w:val="-12"/>
              </w:rPr>
              <w:t>（链</w:t>
            </w:r>
            <w:r>
              <w:rPr>
                <w:color w:val="auto"/>
                <w:spacing w:val="-69"/>
              </w:rPr>
              <w:t xml:space="preserve"> </w:t>
            </w:r>
            <w:r>
              <w:rPr>
                <w:color w:val="auto"/>
                <w:spacing w:val="-12"/>
              </w:rPr>
              <w:t>接</w:t>
            </w:r>
            <w:r>
              <w:rPr>
                <w:color w:val="auto"/>
                <w:spacing w:val="-67"/>
              </w:rPr>
              <w:t xml:space="preserve"> </w:t>
            </w:r>
            <w:r>
              <w:rPr>
                <w:color w:val="auto"/>
                <w:spacing w:val="-12"/>
              </w:rPr>
              <w:t>地</w:t>
            </w:r>
            <w:r>
              <w:rPr>
                <w:color w:val="auto"/>
                <w:spacing w:val="-67"/>
              </w:rPr>
              <w:t xml:space="preserve"> </w:t>
            </w:r>
            <w:r>
              <w:rPr>
                <w:color w:val="auto"/>
                <w:spacing w:val="-12"/>
              </w:rPr>
              <w:t>址</w:t>
            </w:r>
            <w:r>
              <w:rPr>
                <w:color w:val="auto"/>
                <w:spacing w:val="-46"/>
              </w:rPr>
              <w:t xml:space="preserve"> </w:t>
            </w:r>
            <w:r>
              <w:rPr>
                <w:color w:val="auto"/>
                <w:spacing w:val="-12"/>
              </w:rPr>
              <w:t>：</w:t>
            </w:r>
            <w:r>
              <w:rPr>
                <w:color w:val="auto"/>
              </w:rPr>
              <w:t xml:space="preserve"> </w:t>
            </w:r>
            <w:r>
              <w:rPr>
                <w:color w:val="auto"/>
              </w:rPr>
              <w:fldChar w:fldCharType="begin"/>
            </w:r>
            <w:r>
              <w:rPr>
                <w:color w:val="auto"/>
              </w:rPr>
              <w:instrText xml:space="preserve"> HYPERLINK "http://cx.jlsjsxxw.com/" </w:instrText>
            </w:r>
            <w:r>
              <w:rPr>
                <w:color w:val="auto"/>
              </w:rPr>
              <w:fldChar w:fldCharType="separate"/>
            </w:r>
            <w:r>
              <w:rPr>
                <w:color w:val="auto"/>
                <w:spacing w:val="-1"/>
              </w:rPr>
              <w:t>http://cx.jlsjsxxw.com/</w:t>
            </w:r>
            <w:r>
              <w:rPr>
                <w:color w:val="auto"/>
                <w:spacing w:val="-1"/>
              </w:rPr>
              <w:fldChar w:fldCharType="end"/>
            </w:r>
            <w:r>
              <w:rPr>
                <w:color w:val="auto"/>
                <w:spacing w:val="-1"/>
              </w:rPr>
              <w:t>）中打印的</w:t>
            </w:r>
            <w:r>
              <w:rPr>
                <w:color w:val="auto"/>
                <w:spacing w:val="-2"/>
              </w:rPr>
              <w:t>电子证书，且标书内附加盖公章的复印件；同时具备有效的安全生产考核合格证（B类</w:t>
            </w:r>
            <w:r>
              <w:rPr>
                <w:color w:val="auto"/>
                <w:spacing w:val="1"/>
              </w:rPr>
              <w:t>），</w:t>
            </w:r>
            <w:r>
              <w:rPr>
                <w:color w:val="auto"/>
                <w:spacing w:val="-2"/>
              </w:rPr>
              <w:t>提供安全生产考核合格证（B类）或省级住房和城乡建设主管部门明确有效</w:t>
            </w:r>
            <w:r>
              <w:rPr>
                <w:color w:val="auto"/>
                <w:spacing w:val="2"/>
              </w:rPr>
              <w:t>的电子证书，标书内附加盖公章的复印件；且未担任其他在施建设</w:t>
            </w:r>
            <w:r>
              <w:rPr>
                <w:color w:val="auto"/>
                <w:spacing w:val="-1"/>
              </w:rPr>
              <w:t>工程项目的项目经理。</w:t>
            </w:r>
          </w:p>
        </w:tc>
      </w:tr>
      <w:tr w14:paraId="7CF72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926" w:type="dxa"/>
            <w:vMerge w:val="continue"/>
            <w:tcBorders>
              <w:top w:val="nil"/>
              <w:bottom w:val="nil"/>
            </w:tcBorders>
            <w:vAlign w:val="top"/>
          </w:tcPr>
          <w:p w14:paraId="246723D7">
            <w:pPr>
              <w:rPr>
                <w:rFonts w:ascii="Arial"/>
                <w:color w:val="auto"/>
                <w:sz w:val="21"/>
              </w:rPr>
            </w:pPr>
          </w:p>
        </w:tc>
        <w:tc>
          <w:tcPr>
            <w:tcW w:w="1699" w:type="dxa"/>
            <w:vAlign w:val="top"/>
          </w:tcPr>
          <w:p w14:paraId="3D2222B4">
            <w:pPr>
              <w:spacing w:line="401" w:lineRule="auto"/>
              <w:rPr>
                <w:rFonts w:ascii="Arial"/>
                <w:color w:val="auto"/>
                <w:sz w:val="21"/>
              </w:rPr>
            </w:pPr>
          </w:p>
          <w:p w14:paraId="6F60892A">
            <w:pPr>
              <w:pStyle w:val="16"/>
              <w:spacing w:before="78" w:line="220" w:lineRule="auto"/>
              <w:ind w:left="139"/>
              <w:rPr>
                <w:color w:val="auto"/>
              </w:rPr>
            </w:pPr>
            <w:r>
              <w:rPr>
                <w:color w:val="auto"/>
                <w:spacing w:val="-3"/>
              </w:rPr>
              <w:t>项目管理人员</w:t>
            </w:r>
          </w:p>
        </w:tc>
        <w:tc>
          <w:tcPr>
            <w:tcW w:w="7253" w:type="dxa"/>
            <w:vAlign w:val="top"/>
          </w:tcPr>
          <w:p w14:paraId="310733F8">
            <w:pPr>
              <w:pStyle w:val="16"/>
              <w:spacing w:before="100" w:line="265" w:lineRule="auto"/>
              <w:ind w:left="113" w:right="106" w:firstLine="1"/>
              <w:jc w:val="both"/>
              <w:rPr>
                <w:color w:val="auto"/>
              </w:rPr>
            </w:pPr>
            <w:r>
              <w:rPr>
                <w:color w:val="auto"/>
                <w:spacing w:val="2"/>
              </w:rPr>
              <w:t>技术负责人具备</w:t>
            </w:r>
            <w:r>
              <w:rPr>
                <w:rFonts w:hint="eastAsia"/>
                <w:color w:val="auto"/>
                <w:spacing w:val="2"/>
                <w:lang w:val="en-US" w:eastAsia="zh-CN"/>
              </w:rPr>
              <w:t>市政公用</w:t>
            </w:r>
            <w:r>
              <w:rPr>
                <w:color w:val="auto"/>
                <w:spacing w:val="2"/>
              </w:rPr>
              <w:t>工程相关专业中级或</w:t>
            </w:r>
            <w:r>
              <w:rPr>
                <w:rFonts w:hint="eastAsia"/>
                <w:color w:val="auto"/>
                <w:spacing w:val="2"/>
                <w:lang w:val="en-US" w:eastAsia="zh-CN"/>
              </w:rPr>
              <w:t>公路工程中级及</w:t>
            </w:r>
            <w:r>
              <w:rPr>
                <w:color w:val="auto"/>
                <w:spacing w:val="2"/>
              </w:rPr>
              <w:t>以上技术职称；拟投入施工现场管理人员须具备相关主管部门核发的职称证或岗位证或</w:t>
            </w:r>
            <w:r>
              <w:rPr>
                <w:color w:val="auto"/>
                <w:spacing w:val="-1"/>
              </w:rPr>
              <w:t>电子证书，应无在建工程，标书内附加盖公章的复印件。</w:t>
            </w:r>
          </w:p>
        </w:tc>
      </w:tr>
      <w:tr w14:paraId="6E47B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926" w:type="dxa"/>
            <w:vMerge w:val="continue"/>
            <w:tcBorders>
              <w:top w:val="nil"/>
              <w:bottom w:val="nil"/>
            </w:tcBorders>
            <w:vAlign w:val="top"/>
          </w:tcPr>
          <w:p w14:paraId="09431CCC">
            <w:pPr>
              <w:rPr>
                <w:rFonts w:ascii="Arial"/>
                <w:color w:val="auto"/>
                <w:sz w:val="21"/>
              </w:rPr>
            </w:pPr>
          </w:p>
        </w:tc>
        <w:tc>
          <w:tcPr>
            <w:tcW w:w="1699" w:type="dxa"/>
            <w:vAlign w:val="top"/>
          </w:tcPr>
          <w:p w14:paraId="127AAB07">
            <w:pPr>
              <w:spacing w:line="259" w:lineRule="auto"/>
              <w:rPr>
                <w:rFonts w:ascii="Arial"/>
                <w:color w:val="auto"/>
                <w:sz w:val="21"/>
              </w:rPr>
            </w:pPr>
          </w:p>
          <w:p w14:paraId="54334A54">
            <w:pPr>
              <w:spacing w:line="260" w:lineRule="auto"/>
              <w:rPr>
                <w:rFonts w:ascii="Arial"/>
                <w:color w:val="auto"/>
                <w:sz w:val="21"/>
              </w:rPr>
            </w:pPr>
          </w:p>
          <w:p w14:paraId="43E043D1">
            <w:pPr>
              <w:pStyle w:val="16"/>
              <w:spacing w:before="78" w:line="220" w:lineRule="auto"/>
              <w:ind w:left="376"/>
              <w:rPr>
                <w:color w:val="auto"/>
              </w:rPr>
            </w:pPr>
            <w:r>
              <w:rPr>
                <w:color w:val="auto"/>
                <w:spacing w:val="-3"/>
              </w:rPr>
              <w:t>财务状况</w:t>
            </w:r>
          </w:p>
        </w:tc>
        <w:tc>
          <w:tcPr>
            <w:tcW w:w="7253" w:type="dxa"/>
            <w:vAlign w:val="top"/>
          </w:tcPr>
          <w:p w14:paraId="04A1CEBD">
            <w:pPr>
              <w:pStyle w:val="16"/>
              <w:spacing w:before="99" w:line="276" w:lineRule="auto"/>
              <w:ind w:left="114" w:right="106"/>
              <w:jc w:val="both"/>
              <w:rPr>
                <w:color w:val="auto"/>
              </w:rPr>
            </w:pPr>
            <w:r>
              <w:rPr>
                <w:color w:val="auto"/>
                <w:spacing w:val="2"/>
              </w:rPr>
              <w:t>供应商应</w:t>
            </w:r>
            <w:r>
              <w:rPr>
                <w:color w:val="auto"/>
                <w:spacing w:val="1"/>
              </w:rPr>
              <w:t>文件</w:t>
            </w:r>
            <w:r>
              <w:rPr>
                <w:color w:val="auto"/>
                <w:spacing w:val="2"/>
              </w:rPr>
              <w:t>要求在响应文件中提交反映其财务状况、依法缴纳税收和社保保障资金情况的资格条件承诺函，并对资格条件承诺函有关内容的真实</w:t>
            </w:r>
            <w:r>
              <w:rPr>
                <w:color w:val="auto"/>
                <w:spacing w:val="-3"/>
              </w:rPr>
              <w:t>性、有效性、合法性负责。</w:t>
            </w:r>
            <w:r>
              <w:rPr>
                <w:color w:val="auto"/>
                <w:spacing w:val="-65"/>
              </w:rPr>
              <w:t xml:space="preserve"> </w:t>
            </w:r>
            <w:r>
              <w:rPr>
                <w:color w:val="auto"/>
                <w:spacing w:val="-3"/>
              </w:rPr>
              <w:t>(承诺函格式见附件）</w:t>
            </w:r>
          </w:p>
        </w:tc>
      </w:tr>
      <w:tr w14:paraId="5B10D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926" w:type="dxa"/>
            <w:vMerge w:val="continue"/>
            <w:tcBorders>
              <w:top w:val="nil"/>
            </w:tcBorders>
            <w:vAlign w:val="top"/>
          </w:tcPr>
          <w:p w14:paraId="6C107B6A">
            <w:pPr>
              <w:rPr>
                <w:rFonts w:ascii="Arial"/>
                <w:color w:val="auto"/>
                <w:sz w:val="21"/>
              </w:rPr>
            </w:pPr>
          </w:p>
        </w:tc>
        <w:tc>
          <w:tcPr>
            <w:tcW w:w="1699" w:type="dxa"/>
            <w:vAlign w:val="top"/>
          </w:tcPr>
          <w:p w14:paraId="50EED6B2">
            <w:pPr>
              <w:pStyle w:val="16"/>
              <w:spacing w:before="101" w:line="252" w:lineRule="auto"/>
              <w:ind w:left="739" w:right="127" w:hanging="603"/>
              <w:rPr>
                <w:color w:val="auto"/>
              </w:rPr>
            </w:pPr>
            <w:r>
              <w:rPr>
                <w:color w:val="auto"/>
                <w:spacing w:val="-2"/>
              </w:rPr>
              <w:t>法人授权委托</w:t>
            </w:r>
            <w:r>
              <w:rPr>
                <w:color w:val="auto"/>
              </w:rPr>
              <w:t>书</w:t>
            </w:r>
          </w:p>
        </w:tc>
        <w:tc>
          <w:tcPr>
            <w:tcW w:w="7253" w:type="dxa"/>
            <w:vAlign w:val="top"/>
          </w:tcPr>
          <w:p w14:paraId="0DC5D321">
            <w:pPr>
              <w:pStyle w:val="16"/>
              <w:spacing w:before="292" w:line="219" w:lineRule="auto"/>
              <w:ind w:left="118"/>
              <w:rPr>
                <w:color w:val="auto"/>
              </w:rPr>
            </w:pPr>
            <w:r>
              <w:rPr>
                <w:color w:val="auto"/>
                <w:spacing w:val="-1"/>
              </w:rPr>
              <w:t>非法定代表人亲自投标时提供。标书内附复印件加盖公章。</w:t>
            </w:r>
          </w:p>
        </w:tc>
      </w:tr>
    </w:tbl>
    <w:p w14:paraId="56B3CD79">
      <w:pPr>
        <w:pStyle w:val="2"/>
        <w:rPr>
          <w:color w:val="auto"/>
        </w:rPr>
      </w:pPr>
    </w:p>
    <w:p w14:paraId="5899209B">
      <w:pPr>
        <w:rPr>
          <w:color w:val="auto"/>
        </w:rPr>
        <w:sectPr>
          <w:footerReference r:id="rId8" w:type="default"/>
          <w:pgSz w:w="11906" w:h="16839"/>
          <w:pgMar w:top="1440" w:right="1080" w:bottom="1440" w:left="1080" w:header="0" w:footer="0" w:gutter="0"/>
          <w:pgNumType w:fmt="decimal"/>
          <w:cols w:space="720" w:num="1"/>
        </w:sectPr>
      </w:pPr>
    </w:p>
    <w:tbl>
      <w:tblPr>
        <w:tblStyle w:val="15"/>
        <w:tblW w:w="98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1699"/>
        <w:gridCol w:w="7253"/>
      </w:tblGrid>
      <w:tr w14:paraId="6BD88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7" w:hRule="atLeast"/>
        </w:trPr>
        <w:tc>
          <w:tcPr>
            <w:tcW w:w="926" w:type="dxa"/>
            <w:vMerge w:val="restart"/>
            <w:tcBorders>
              <w:bottom w:val="nil"/>
            </w:tcBorders>
            <w:vAlign w:val="top"/>
          </w:tcPr>
          <w:p w14:paraId="1A30EBA3">
            <w:pPr>
              <w:rPr>
                <w:rFonts w:ascii="Arial"/>
                <w:color w:val="auto"/>
                <w:sz w:val="21"/>
              </w:rPr>
            </w:pPr>
          </w:p>
        </w:tc>
        <w:tc>
          <w:tcPr>
            <w:tcW w:w="1699" w:type="dxa"/>
            <w:vAlign w:val="top"/>
          </w:tcPr>
          <w:p w14:paraId="65648DAA">
            <w:pPr>
              <w:spacing w:line="248" w:lineRule="auto"/>
              <w:rPr>
                <w:rFonts w:ascii="Arial"/>
                <w:color w:val="auto"/>
                <w:sz w:val="21"/>
              </w:rPr>
            </w:pPr>
          </w:p>
          <w:p w14:paraId="3F7CCD58">
            <w:pPr>
              <w:spacing w:line="248" w:lineRule="auto"/>
              <w:rPr>
                <w:rFonts w:ascii="Arial"/>
                <w:color w:val="auto"/>
                <w:sz w:val="21"/>
              </w:rPr>
            </w:pPr>
          </w:p>
          <w:p w14:paraId="2829DBCB">
            <w:pPr>
              <w:spacing w:line="249" w:lineRule="auto"/>
              <w:rPr>
                <w:rFonts w:ascii="Arial"/>
                <w:color w:val="auto"/>
                <w:sz w:val="21"/>
              </w:rPr>
            </w:pPr>
          </w:p>
          <w:p w14:paraId="5E63F8FC">
            <w:pPr>
              <w:spacing w:line="249" w:lineRule="auto"/>
              <w:rPr>
                <w:rFonts w:ascii="Arial"/>
                <w:color w:val="auto"/>
                <w:sz w:val="21"/>
              </w:rPr>
            </w:pPr>
          </w:p>
          <w:p w14:paraId="61C10D4F">
            <w:pPr>
              <w:spacing w:line="249" w:lineRule="auto"/>
              <w:rPr>
                <w:rFonts w:ascii="Arial"/>
                <w:color w:val="auto"/>
                <w:sz w:val="21"/>
              </w:rPr>
            </w:pPr>
          </w:p>
          <w:p w14:paraId="5589864C">
            <w:pPr>
              <w:spacing w:line="249" w:lineRule="auto"/>
              <w:rPr>
                <w:rFonts w:ascii="Arial"/>
                <w:color w:val="auto"/>
                <w:sz w:val="21"/>
              </w:rPr>
            </w:pPr>
          </w:p>
          <w:p w14:paraId="7C588ACF">
            <w:pPr>
              <w:spacing w:line="249" w:lineRule="auto"/>
              <w:rPr>
                <w:rFonts w:ascii="Arial"/>
                <w:color w:val="auto"/>
                <w:sz w:val="21"/>
              </w:rPr>
            </w:pPr>
          </w:p>
          <w:p w14:paraId="4336845A">
            <w:pPr>
              <w:spacing w:line="249" w:lineRule="auto"/>
              <w:rPr>
                <w:rFonts w:ascii="Arial"/>
                <w:color w:val="auto"/>
                <w:sz w:val="21"/>
              </w:rPr>
            </w:pPr>
          </w:p>
          <w:p w14:paraId="2FCDF835">
            <w:pPr>
              <w:spacing w:line="249" w:lineRule="auto"/>
              <w:rPr>
                <w:rFonts w:ascii="Arial"/>
                <w:color w:val="auto"/>
                <w:sz w:val="21"/>
              </w:rPr>
            </w:pPr>
          </w:p>
          <w:p w14:paraId="290D4F2B">
            <w:pPr>
              <w:spacing w:line="249" w:lineRule="auto"/>
              <w:rPr>
                <w:rFonts w:ascii="Arial"/>
                <w:color w:val="auto"/>
                <w:sz w:val="21"/>
              </w:rPr>
            </w:pPr>
          </w:p>
          <w:p w14:paraId="3086C244">
            <w:pPr>
              <w:spacing w:line="249" w:lineRule="auto"/>
              <w:rPr>
                <w:rFonts w:ascii="Arial"/>
                <w:color w:val="auto"/>
                <w:sz w:val="21"/>
              </w:rPr>
            </w:pPr>
          </w:p>
          <w:p w14:paraId="0AB8B0AB">
            <w:pPr>
              <w:spacing w:line="249" w:lineRule="auto"/>
              <w:rPr>
                <w:rFonts w:ascii="Arial"/>
                <w:color w:val="auto"/>
                <w:sz w:val="21"/>
              </w:rPr>
            </w:pPr>
          </w:p>
          <w:p w14:paraId="7F5BB606">
            <w:pPr>
              <w:spacing w:line="249" w:lineRule="auto"/>
              <w:rPr>
                <w:rFonts w:ascii="Arial"/>
                <w:color w:val="auto"/>
                <w:sz w:val="21"/>
              </w:rPr>
            </w:pPr>
          </w:p>
          <w:p w14:paraId="419F9711">
            <w:pPr>
              <w:pStyle w:val="16"/>
              <w:spacing w:before="78" w:line="219" w:lineRule="auto"/>
              <w:ind w:left="375"/>
              <w:rPr>
                <w:color w:val="auto"/>
              </w:rPr>
            </w:pPr>
            <w:r>
              <w:rPr>
                <w:color w:val="auto"/>
                <w:spacing w:val="-3"/>
              </w:rPr>
              <w:t>信誉要求</w:t>
            </w:r>
          </w:p>
        </w:tc>
        <w:tc>
          <w:tcPr>
            <w:tcW w:w="7253" w:type="dxa"/>
            <w:vAlign w:val="top"/>
          </w:tcPr>
          <w:p w14:paraId="677D22D2">
            <w:pPr>
              <w:pStyle w:val="16"/>
              <w:spacing w:before="102" w:line="268" w:lineRule="auto"/>
              <w:ind w:left="114" w:right="106" w:firstLine="11"/>
              <w:rPr>
                <w:color w:val="auto"/>
              </w:rPr>
            </w:pPr>
            <w:r>
              <w:rPr>
                <w:color w:val="auto"/>
                <w:spacing w:val="-2"/>
              </w:rPr>
              <w:t>（1）诉讼及仲裁情况：没有涉及正在诉讼的案件</w:t>
            </w:r>
            <w:r>
              <w:rPr>
                <w:color w:val="auto"/>
                <w:spacing w:val="-3"/>
              </w:rPr>
              <w:t>，或涉及正在诉讼</w:t>
            </w:r>
            <w:r>
              <w:rPr>
                <w:color w:val="auto"/>
                <w:spacing w:val="2"/>
              </w:rPr>
              <w:t>的案件但经审查委员会认定不会对承担本项目造成重大影响；提供</w:t>
            </w:r>
            <w:r>
              <w:rPr>
                <w:color w:val="auto"/>
                <w:spacing w:val="-3"/>
              </w:rPr>
              <w:t>承诺书。</w:t>
            </w:r>
          </w:p>
          <w:p w14:paraId="04CFED1A">
            <w:pPr>
              <w:pStyle w:val="16"/>
              <w:spacing w:before="93" w:line="278" w:lineRule="auto"/>
              <w:ind w:left="115" w:right="106" w:firstLine="10"/>
              <w:rPr>
                <w:color w:val="auto"/>
              </w:rPr>
            </w:pPr>
            <w:r>
              <w:rPr>
                <w:color w:val="auto"/>
                <w:spacing w:val="-2"/>
              </w:rPr>
              <w:t>（2）不良行为记录：最近三年内（2023年1月1日至今）没有不</w:t>
            </w:r>
            <w:r>
              <w:rPr>
                <w:color w:val="auto"/>
                <w:spacing w:val="-3"/>
              </w:rPr>
              <w:t>良行</w:t>
            </w:r>
            <w:r>
              <w:rPr>
                <w:color w:val="auto"/>
                <w:spacing w:val="2"/>
              </w:rPr>
              <w:t>为记录；信誉良好，须提交处于正常生产经营状态，没有处于被责令停业、投标资格被取消、财产被接管、冻结、破产状态。近三年（2023年1月1日至今）没有出现违法违规或失信行为，没有骗</w:t>
            </w:r>
            <w:r>
              <w:rPr>
                <w:color w:val="auto"/>
                <w:spacing w:val="1"/>
              </w:rPr>
              <w:t>取中</w:t>
            </w:r>
            <w:r>
              <w:rPr>
                <w:color w:val="auto"/>
                <w:spacing w:val="-1"/>
              </w:rPr>
              <w:t>标和严重违约及严重工程质量问题的承诺书。</w:t>
            </w:r>
          </w:p>
          <w:p w14:paraId="4AC6AE46">
            <w:pPr>
              <w:pStyle w:val="16"/>
              <w:spacing w:before="93" w:line="221" w:lineRule="auto"/>
              <w:ind w:left="126"/>
              <w:rPr>
                <w:color w:val="auto"/>
              </w:rPr>
            </w:pPr>
            <w:r>
              <w:rPr>
                <w:color w:val="auto"/>
                <w:spacing w:val="-4"/>
              </w:rPr>
              <w:t>（3）其他：</w:t>
            </w:r>
          </w:p>
          <w:p w14:paraId="0505F278">
            <w:pPr>
              <w:pStyle w:val="16"/>
              <w:spacing w:before="94" w:line="292" w:lineRule="auto"/>
              <w:ind w:left="113" w:right="106"/>
              <w:rPr>
                <w:color w:val="auto"/>
              </w:rPr>
            </w:pPr>
            <w:r>
              <w:rPr>
                <w:color w:val="auto"/>
                <w:spacing w:val="3"/>
              </w:rPr>
              <w:t>对在“信用中国”网站（</w:t>
            </w:r>
            <w:r>
              <w:rPr>
                <w:color w:val="auto"/>
              </w:rPr>
              <w:fldChar w:fldCharType="begin"/>
            </w:r>
            <w:r>
              <w:rPr>
                <w:color w:val="auto"/>
              </w:rPr>
              <w:instrText xml:space="preserve"> HYPERLINK "https://www.creditchina.gov.cn" </w:instrText>
            </w:r>
            <w:r>
              <w:rPr>
                <w:color w:val="auto"/>
              </w:rPr>
              <w:fldChar w:fldCharType="separate"/>
            </w:r>
            <w:r>
              <w:rPr>
                <w:color w:val="auto"/>
              </w:rPr>
              <w:t>www</w:t>
            </w:r>
            <w:r>
              <w:rPr>
                <w:color w:val="auto"/>
                <w:spacing w:val="3"/>
              </w:rPr>
              <w:t>.</w:t>
            </w:r>
            <w:r>
              <w:rPr>
                <w:color w:val="auto"/>
              </w:rPr>
              <w:t>creditchina</w:t>
            </w:r>
            <w:r>
              <w:rPr>
                <w:color w:val="auto"/>
                <w:spacing w:val="3"/>
              </w:rPr>
              <w:t>.</w:t>
            </w:r>
            <w:r>
              <w:rPr>
                <w:color w:val="auto"/>
              </w:rPr>
              <w:t>gov</w:t>
            </w:r>
            <w:r>
              <w:rPr>
                <w:color w:val="auto"/>
                <w:spacing w:val="3"/>
              </w:rPr>
              <w:t>.</w:t>
            </w:r>
            <w:r>
              <w:rPr>
                <w:color w:val="auto"/>
              </w:rPr>
              <w:t>cn</w:t>
            </w:r>
            <w:r>
              <w:rPr>
                <w:color w:val="auto"/>
              </w:rPr>
              <w:fldChar w:fldCharType="end"/>
            </w:r>
            <w:r>
              <w:rPr>
                <w:color w:val="auto"/>
                <w:spacing w:val="3"/>
              </w:rPr>
              <w:t>）列入重大税收</w:t>
            </w:r>
            <w:r>
              <w:rPr>
                <w:color w:val="auto"/>
                <w:spacing w:val="-16"/>
              </w:rPr>
              <w:t>违</w:t>
            </w:r>
            <w:r>
              <w:rPr>
                <w:color w:val="auto"/>
                <w:spacing w:val="58"/>
              </w:rPr>
              <w:t xml:space="preserve"> </w:t>
            </w:r>
            <w:r>
              <w:rPr>
                <w:color w:val="auto"/>
                <w:spacing w:val="-16"/>
              </w:rPr>
              <w:t>法</w:t>
            </w:r>
            <w:r>
              <w:rPr>
                <w:color w:val="auto"/>
                <w:spacing w:val="54"/>
              </w:rPr>
              <w:t xml:space="preserve"> </w:t>
            </w:r>
            <w:r>
              <w:rPr>
                <w:color w:val="auto"/>
                <w:spacing w:val="-16"/>
              </w:rPr>
              <w:t>失</w:t>
            </w:r>
            <w:r>
              <w:rPr>
                <w:color w:val="auto"/>
                <w:spacing w:val="50"/>
              </w:rPr>
              <w:t xml:space="preserve"> </w:t>
            </w:r>
            <w:r>
              <w:rPr>
                <w:color w:val="auto"/>
                <w:spacing w:val="-16"/>
              </w:rPr>
              <w:t>信</w:t>
            </w:r>
            <w:r>
              <w:rPr>
                <w:color w:val="auto"/>
                <w:spacing w:val="50"/>
              </w:rPr>
              <w:t xml:space="preserve"> </w:t>
            </w:r>
            <w:r>
              <w:rPr>
                <w:color w:val="auto"/>
                <w:spacing w:val="-16"/>
              </w:rPr>
              <w:t>主</w:t>
            </w:r>
            <w:r>
              <w:rPr>
                <w:color w:val="auto"/>
                <w:spacing w:val="50"/>
              </w:rPr>
              <w:t xml:space="preserve"> </w:t>
            </w:r>
            <w:r>
              <w:rPr>
                <w:color w:val="auto"/>
                <w:spacing w:val="-16"/>
              </w:rPr>
              <w:t>体</w:t>
            </w:r>
            <w:r>
              <w:rPr>
                <w:color w:val="auto"/>
                <w:spacing w:val="68"/>
              </w:rPr>
              <w:t xml:space="preserve"> </w:t>
            </w:r>
            <w:r>
              <w:rPr>
                <w:color w:val="auto"/>
                <w:spacing w:val="-16"/>
              </w:rPr>
              <w:t>；</w:t>
            </w:r>
            <w:r>
              <w:rPr>
                <w:color w:val="auto"/>
                <w:spacing w:val="48"/>
              </w:rPr>
              <w:t xml:space="preserve"> </w:t>
            </w:r>
            <w:r>
              <w:rPr>
                <w:color w:val="auto"/>
                <w:spacing w:val="-16"/>
              </w:rPr>
              <w:t>对</w:t>
            </w:r>
            <w:r>
              <w:rPr>
                <w:color w:val="auto"/>
                <w:spacing w:val="50"/>
              </w:rPr>
              <w:t xml:space="preserve"> </w:t>
            </w:r>
            <w:r>
              <w:rPr>
                <w:color w:val="auto"/>
                <w:spacing w:val="-16"/>
              </w:rPr>
              <w:t>在</w:t>
            </w:r>
            <w:r>
              <w:rPr>
                <w:color w:val="auto"/>
                <w:spacing w:val="70"/>
              </w:rPr>
              <w:t xml:space="preserve"> </w:t>
            </w:r>
            <w:r>
              <w:rPr>
                <w:color w:val="auto"/>
                <w:spacing w:val="-16"/>
              </w:rPr>
              <w:t>中</w:t>
            </w:r>
            <w:r>
              <w:rPr>
                <w:color w:val="auto"/>
                <w:spacing w:val="74"/>
              </w:rPr>
              <w:t xml:space="preserve"> </w:t>
            </w:r>
            <w:r>
              <w:rPr>
                <w:color w:val="auto"/>
                <w:spacing w:val="-16"/>
              </w:rPr>
              <w:t>国</w:t>
            </w:r>
            <w:r>
              <w:rPr>
                <w:color w:val="auto"/>
                <w:spacing w:val="47"/>
              </w:rPr>
              <w:t xml:space="preserve"> </w:t>
            </w:r>
            <w:r>
              <w:rPr>
                <w:color w:val="auto"/>
                <w:spacing w:val="-16"/>
              </w:rPr>
              <w:t>执</w:t>
            </w:r>
            <w:r>
              <w:rPr>
                <w:color w:val="auto"/>
                <w:spacing w:val="54"/>
              </w:rPr>
              <w:t xml:space="preserve"> </w:t>
            </w:r>
            <w:r>
              <w:rPr>
                <w:color w:val="auto"/>
                <w:spacing w:val="-16"/>
              </w:rPr>
              <w:t>行</w:t>
            </w:r>
            <w:r>
              <w:rPr>
                <w:color w:val="auto"/>
                <w:spacing w:val="48"/>
              </w:rPr>
              <w:t xml:space="preserve"> </w:t>
            </w:r>
            <w:r>
              <w:rPr>
                <w:color w:val="auto"/>
                <w:spacing w:val="-16"/>
              </w:rPr>
              <w:t>信</w:t>
            </w:r>
            <w:r>
              <w:rPr>
                <w:color w:val="auto"/>
                <w:spacing w:val="58"/>
              </w:rPr>
              <w:t xml:space="preserve"> </w:t>
            </w:r>
            <w:r>
              <w:rPr>
                <w:color w:val="auto"/>
                <w:spacing w:val="-16"/>
              </w:rPr>
              <w:t>息</w:t>
            </w:r>
            <w:r>
              <w:rPr>
                <w:color w:val="auto"/>
                <w:spacing w:val="57"/>
              </w:rPr>
              <w:t xml:space="preserve"> </w:t>
            </w:r>
            <w:r>
              <w:rPr>
                <w:color w:val="auto"/>
                <w:spacing w:val="-16"/>
              </w:rPr>
              <w:t>公</w:t>
            </w:r>
            <w:r>
              <w:rPr>
                <w:color w:val="auto"/>
                <w:spacing w:val="49"/>
              </w:rPr>
              <w:t xml:space="preserve"> </w:t>
            </w:r>
            <w:r>
              <w:rPr>
                <w:color w:val="auto"/>
                <w:spacing w:val="-16"/>
              </w:rPr>
              <w:t>开</w:t>
            </w:r>
            <w:r>
              <w:rPr>
                <w:color w:val="auto"/>
                <w:spacing w:val="69"/>
              </w:rPr>
              <w:t xml:space="preserve"> </w:t>
            </w:r>
            <w:r>
              <w:rPr>
                <w:color w:val="auto"/>
                <w:spacing w:val="-16"/>
              </w:rPr>
              <w:t>网</w:t>
            </w:r>
          </w:p>
          <w:p w14:paraId="73042ED4">
            <w:pPr>
              <w:pStyle w:val="16"/>
              <w:spacing w:before="2" w:line="292" w:lineRule="auto"/>
              <w:ind w:left="113" w:right="106" w:firstLine="12"/>
              <w:jc w:val="both"/>
              <w:rPr>
                <w:color w:val="auto"/>
              </w:rPr>
            </w:pPr>
            <w:r>
              <w:rPr>
                <w:color w:val="auto"/>
                <w:spacing w:val="2"/>
              </w:rPr>
              <w:t>（</w:t>
            </w:r>
            <w:r>
              <w:rPr>
                <w:color w:val="auto"/>
              </w:rPr>
              <w:fldChar w:fldCharType="begin"/>
            </w:r>
            <w:r>
              <w:rPr>
                <w:color w:val="auto"/>
              </w:rPr>
              <w:instrText xml:space="preserve"> HYPERLINK "http://zxgk.court.gov.cn" </w:instrText>
            </w:r>
            <w:r>
              <w:rPr>
                <w:color w:val="auto"/>
              </w:rPr>
              <w:fldChar w:fldCharType="separate"/>
            </w:r>
            <w:r>
              <w:rPr>
                <w:color w:val="auto"/>
              </w:rPr>
              <w:t>http</w:t>
            </w:r>
            <w:r>
              <w:rPr>
                <w:color w:val="auto"/>
                <w:spacing w:val="2"/>
              </w:rPr>
              <w:t>://</w:t>
            </w:r>
            <w:r>
              <w:rPr>
                <w:color w:val="auto"/>
              </w:rPr>
              <w:t>zxgk</w:t>
            </w:r>
            <w:r>
              <w:rPr>
                <w:color w:val="auto"/>
                <w:spacing w:val="2"/>
              </w:rPr>
              <w:t>.</w:t>
            </w:r>
            <w:r>
              <w:rPr>
                <w:color w:val="auto"/>
              </w:rPr>
              <w:t>court</w:t>
            </w:r>
            <w:r>
              <w:rPr>
                <w:color w:val="auto"/>
                <w:spacing w:val="2"/>
              </w:rPr>
              <w:t>.</w:t>
            </w:r>
            <w:r>
              <w:rPr>
                <w:color w:val="auto"/>
              </w:rPr>
              <w:t>gov</w:t>
            </w:r>
            <w:r>
              <w:rPr>
                <w:color w:val="auto"/>
                <w:spacing w:val="2"/>
              </w:rPr>
              <w:t>.</w:t>
            </w:r>
            <w:r>
              <w:rPr>
                <w:color w:val="auto"/>
              </w:rPr>
              <w:t>cn</w:t>
            </w:r>
            <w:r>
              <w:rPr>
                <w:color w:val="auto"/>
              </w:rPr>
              <w:fldChar w:fldCharType="end"/>
            </w:r>
            <w:r>
              <w:rPr>
                <w:color w:val="auto"/>
                <w:spacing w:val="2"/>
              </w:rPr>
              <w:t>）列入失信被执行人；对在中国政府</w:t>
            </w:r>
            <w:r>
              <w:rPr>
                <w:color w:val="auto"/>
                <w:spacing w:val="-1"/>
              </w:rPr>
              <w:t>采购网（</w:t>
            </w:r>
            <w:r>
              <w:rPr>
                <w:color w:val="auto"/>
              </w:rPr>
              <w:fldChar w:fldCharType="begin"/>
            </w:r>
            <w:r>
              <w:rPr>
                <w:color w:val="auto"/>
              </w:rPr>
              <w:instrText xml:space="preserve"> HYPERLINK "https://www.ccgp.gov.cn" </w:instrText>
            </w:r>
            <w:r>
              <w:rPr>
                <w:color w:val="auto"/>
              </w:rPr>
              <w:fldChar w:fldCharType="separate"/>
            </w:r>
            <w:r>
              <w:rPr>
                <w:color w:val="auto"/>
                <w:spacing w:val="-1"/>
              </w:rPr>
              <w:t>www.ccgp.gov.c</w:t>
            </w:r>
            <w:r>
              <w:rPr>
                <w:color w:val="auto"/>
                <w:spacing w:val="-2"/>
              </w:rPr>
              <w:t>n</w:t>
            </w:r>
            <w:r>
              <w:rPr>
                <w:color w:val="auto"/>
                <w:spacing w:val="-2"/>
              </w:rPr>
              <w:fldChar w:fldCharType="end"/>
            </w:r>
            <w:r>
              <w:rPr>
                <w:color w:val="auto"/>
                <w:spacing w:val="-2"/>
              </w:rPr>
              <w:t>）列入政府采购严重违法失信行为记录名</w:t>
            </w:r>
            <w:r>
              <w:rPr>
                <w:color w:val="auto"/>
                <w:spacing w:val="2"/>
              </w:rPr>
              <w:t>单及其他不符合《中华人民共和国政府采购法》第二十二条规定，不得参加政府采购活动。须提供本公司及个人（法定代表人、拟委</w:t>
            </w:r>
            <w:r>
              <w:rPr>
                <w:color w:val="auto"/>
                <w:spacing w:val="-1"/>
              </w:rPr>
              <w:t>任的项目经理）在中国裁判文书网（wenshu</w:t>
            </w:r>
            <w:r>
              <w:rPr>
                <w:color w:val="auto"/>
                <w:spacing w:val="-2"/>
              </w:rPr>
              <w:t>.court.gov.cn）无行贿</w:t>
            </w:r>
            <w:r>
              <w:rPr>
                <w:color w:val="auto"/>
                <w:spacing w:val="-1"/>
              </w:rPr>
              <w:t>犯罪记录。提供网页截图（截图包括查询内容、查询时间）</w:t>
            </w:r>
          </w:p>
          <w:p w14:paraId="1919ED3B">
            <w:pPr>
              <w:pStyle w:val="16"/>
              <w:spacing w:before="1" w:line="210" w:lineRule="auto"/>
              <w:ind w:left="114"/>
              <w:rPr>
                <w:color w:val="auto"/>
              </w:rPr>
            </w:pPr>
            <w:r>
              <w:rPr>
                <w:color w:val="auto"/>
                <w:spacing w:val="-1"/>
              </w:rPr>
              <w:t>承诺书须经法定代表人或其授权委托人签字并加盖公章。</w:t>
            </w:r>
          </w:p>
        </w:tc>
      </w:tr>
      <w:tr w14:paraId="75C63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926" w:type="dxa"/>
            <w:vMerge w:val="continue"/>
            <w:tcBorders>
              <w:top w:val="nil"/>
              <w:bottom w:val="nil"/>
            </w:tcBorders>
            <w:vAlign w:val="top"/>
          </w:tcPr>
          <w:p w14:paraId="47599D11">
            <w:pPr>
              <w:rPr>
                <w:rFonts w:ascii="Arial"/>
                <w:color w:val="auto"/>
                <w:sz w:val="21"/>
              </w:rPr>
            </w:pPr>
          </w:p>
        </w:tc>
        <w:tc>
          <w:tcPr>
            <w:tcW w:w="1699" w:type="dxa"/>
            <w:vMerge w:val="restart"/>
            <w:tcBorders>
              <w:bottom w:val="nil"/>
            </w:tcBorders>
            <w:vAlign w:val="top"/>
          </w:tcPr>
          <w:p w14:paraId="7A016BC7">
            <w:pPr>
              <w:spacing w:line="261" w:lineRule="auto"/>
              <w:rPr>
                <w:rFonts w:ascii="Arial"/>
                <w:color w:val="auto"/>
                <w:sz w:val="21"/>
              </w:rPr>
            </w:pPr>
          </w:p>
          <w:p w14:paraId="13E14E59">
            <w:pPr>
              <w:spacing w:line="262" w:lineRule="auto"/>
              <w:rPr>
                <w:rFonts w:ascii="Arial"/>
                <w:color w:val="auto"/>
                <w:sz w:val="21"/>
              </w:rPr>
            </w:pPr>
          </w:p>
          <w:p w14:paraId="39E7D343">
            <w:pPr>
              <w:spacing w:line="262" w:lineRule="auto"/>
              <w:rPr>
                <w:rFonts w:ascii="Arial"/>
                <w:color w:val="auto"/>
                <w:sz w:val="21"/>
              </w:rPr>
            </w:pPr>
          </w:p>
          <w:p w14:paraId="4B86C7BA">
            <w:pPr>
              <w:spacing w:line="262" w:lineRule="auto"/>
              <w:rPr>
                <w:rFonts w:ascii="Arial"/>
                <w:color w:val="auto"/>
                <w:sz w:val="21"/>
              </w:rPr>
            </w:pPr>
          </w:p>
          <w:p w14:paraId="1B8852BC">
            <w:pPr>
              <w:spacing w:line="262" w:lineRule="auto"/>
              <w:rPr>
                <w:rFonts w:ascii="Arial"/>
                <w:color w:val="auto"/>
                <w:sz w:val="21"/>
              </w:rPr>
            </w:pPr>
          </w:p>
          <w:p w14:paraId="7BCA3F18">
            <w:pPr>
              <w:pStyle w:val="16"/>
              <w:spacing w:before="78" w:line="221" w:lineRule="auto"/>
              <w:ind w:left="376"/>
              <w:rPr>
                <w:color w:val="auto"/>
              </w:rPr>
            </w:pPr>
            <w:r>
              <w:rPr>
                <w:color w:val="auto"/>
                <w:spacing w:val="-3"/>
              </w:rPr>
              <w:t>其他要求</w:t>
            </w:r>
          </w:p>
        </w:tc>
        <w:tc>
          <w:tcPr>
            <w:tcW w:w="7253" w:type="dxa"/>
            <w:vAlign w:val="top"/>
          </w:tcPr>
          <w:p w14:paraId="6C447CCB">
            <w:pPr>
              <w:pStyle w:val="16"/>
              <w:spacing w:before="118" w:line="258" w:lineRule="auto"/>
              <w:ind w:left="118" w:right="108" w:hanging="3"/>
              <w:rPr>
                <w:color w:val="auto"/>
              </w:rPr>
            </w:pPr>
            <w:r>
              <w:rPr>
                <w:color w:val="auto"/>
                <w:spacing w:val="6"/>
              </w:rPr>
              <w:t>提供参与政府采购前3年内在经营活动中没有重大违法记录的书面</w:t>
            </w:r>
            <w:r>
              <w:rPr>
                <w:color w:val="auto"/>
                <w:spacing w:val="-1"/>
              </w:rPr>
              <w:t>声明。标书内附复印件加盖公章。</w:t>
            </w:r>
          </w:p>
        </w:tc>
      </w:tr>
      <w:tr w14:paraId="32863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8" w:hRule="atLeast"/>
        </w:trPr>
        <w:tc>
          <w:tcPr>
            <w:tcW w:w="926" w:type="dxa"/>
            <w:vMerge w:val="continue"/>
            <w:tcBorders>
              <w:top w:val="nil"/>
            </w:tcBorders>
            <w:vAlign w:val="top"/>
          </w:tcPr>
          <w:p w14:paraId="12058638">
            <w:pPr>
              <w:rPr>
                <w:rFonts w:ascii="Arial"/>
                <w:color w:val="auto"/>
                <w:sz w:val="21"/>
              </w:rPr>
            </w:pPr>
          </w:p>
        </w:tc>
        <w:tc>
          <w:tcPr>
            <w:tcW w:w="1699" w:type="dxa"/>
            <w:vMerge w:val="continue"/>
            <w:tcBorders>
              <w:top w:val="nil"/>
            </w:tcBorders>
            <w:vAlign w:val="top"/>
          </w:tcPr>
          <w:p w14:paraId="0318B6E1">
            <w:pPr>
              <w:rPr>
                <w:rFonts w:ascii="Arial"/>
                <w:color w:val="auto"/>
                <w:sz w:val="21"/>
              </w:rPr>
            </w:pPr>
          </w:p>
        </w:tc>
        <w:tc>
          <w:tcPr>
            <w:tcW w:w="7253" w:type="dxa"/>
            <w:vAlign w:val="top"/>
          </w:tcPr>
          <w:p w14:paraId="10B271CA">
            <w:pPr>
              <w:pStyle w:val="16"/>
              <w:spacing w:before="233" w:line="293" w:lineRule="auto"/>
              <w:ind w:left="114" w:right="106" w:firstLine="4"/>
              <w:jc w:val="both"/>
              <w:rPr>
                <w:color w:val="auto"/>
              </w:rPr>
            </w:pPr>
            <w:r>
              <w:rPr>
                <w:color w:val="auto"/>
                <w:spacing w:val="2"/>
              </w:rPr>
              <w:t>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提供承诺书。标</w:t>
            </w:r>
            <w:r>
              <w:rPr>
                <w:color w:val="auto"/>
                <w:spacing w:val="-1"/>
              </w:rPr>
              <w:t>书内附复印件加盖公章。</w:t>
            </w:r>
          </w:p>
        </w:tc>
      </w:tr>
      <w:tr w14:paraId="5F6F6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26" w:type="dxa"/>
            <w:vMerge w:val="restart"/>
            <w:tcBorders>
              <w:bottom w:val="nil"/>
            </w:tcBorders>
            <w:vAlign w:val="top"/>
          </w:tcPr>
          <w:p w14:paraId="60D67FA1">
            <w:pPr>
              <w:spacing w:line="255" w:lineRule="auto"/>
              <w:rPr>
                <w:rFonts w:ascii="Arial"/>
                <w:color w:val="auto"/>
                <w:sz w:val="21"/>
              </w:rPr>
            </w:pPr>
          </w:p>
          <w:p w14:paraId="776D7479">
            <w:pPr>
              <w:spacing w:line="255" w:lineRule="auto"/>
              <w:rPr>
                <w:rFonts w:ascii="Arial"/>
                <w:color w:val="auto"/>
                <w:sz w:val="21"/>
              </w:rPr>
            </w:pPr>
          </w:p>
          <w:p w14:paraId="3090FC97">
            <w:pPr>
              <w:spacing w:line="255" w:lineRule="auto"/>
              <w:rPr>
                <w:rFonts w:ascii="Arial"/>
                <w:color w:val="auto"/>
                <w:sz w:val="21"/>
              </w:rPr>
            </w:pPr>
          </w:p>
          <w:p w14:paraId="4D458361">
            <w:pPr>
              <w:spacing w:line="255" w:lineRule="auto"/>
              <w:rPr>
                <w:rFonts w:ascii="Arial"/>
                <w:color w:val="auto"/>
                <w:sz w:val="21"/>
              </w:rPr>
            </w:pPr>
          </w:p>
          <w:p w14:paraId="7157C8B6">
            <w:pPr>
              <w:spacing w:line="255" w:lineRule="auto"/>
              <w:rPr>
                <w:rFonts w:ascii="Arial"/>
                <w:color w:val="auto"/>
                <w:sz w:val="21"/>
              </w:rPr>
            </w:pPr>
          </w:p>
          <w:p w14:paraId="2AB0CF58">
            <w:pPr>
              <w:spacing w:line="255" w:lineRule="auto"/>
              <w:rPr>
                <w:rFonts w:ascii="Arial"/>
                <w:color w:val="auto"/>
                <w:sz w:val="21"/>
              </w:rPr>
            </w:pPr>
          </w:p>
          <w:p w14:paraId="7AFCE97F">
            <w:pPr>
              <w:spacing w:line="256" w:lineRule="auto"/>
              <w:rPr>
                <w:rFonts w:ascii="Arial"/>
                <w:color w:val="auto"/>
                <w:sz w:val="21"/>
              </w:rPr>
            </w:pPr>
          </w:p>
          <w:p w14:paraId="18E00487">
            <w:pPr>
              <w:spacing w:line="256" w:lineRule="auto"/>
              <w:rPr>
                <w:rFonts w:ascii="Arial"/>
                <w:color w:val="auto"/>
                <w:sz w:val="21"/>
              </w:rPr>
            </w:pPr>
          </w:p>
          <w:p w14:paraId="5FEB96F7">
            <w:pPr>
              <w:pStyle w:val="16"/>
              <w:spacing w:before="78" w:line="293" w:lineRule="auto"/>
              <w:ind w:left="228" w:right="221" w:firstLine="13"/>
              <w:jc w:val="both"/>
              <w:rPr>
                <w:color w:val="auto"/>
              </w:rPr>
            </w:pPr>
            <w:r>
              <w:rPr>
                <w:rFonts w:hint="eastAsia"/>
                <w:color w:val="auto"/>
                <w:spacing w:val="-11"/>
                <w:lang w:val="en-US" w:eastAsia="zh-CN"/>
              </w:rPr>
              <w:t>符合</w:t>
            </w:r>
            <w:r>
              <w:rPr>
                <w:color w:val="auto"/>
                <w:spacing w:val="-5"/>
              </w:rPr>
              <w:t>评审标准</w:t>
            </w:r>
          </w:p>
        </w:tc>
        <w:tc>
          <w:tcPr>
            <w:tcW w:w="1699" w:type="dxa"/>
            <w:vAlign w:val="top"/>
          </w:tcPr>
          <w:p w14:paraId="722B12FF">
            <w:pPr>
              <w:pStyle w:val="16"/>
              <w:spacing w:before="163" w:line="221" w:lineRule="auto"/>
              <w:ind w:left="136"/>
              <w:rPr>
                <w:color w:val="auto"/>
              </w:rPr>
            </w:pPr>
            <w:r>
              <w:rPr>
                <w:color w:val="auto"/>
                <w:spacing w:val="-2"/>
              </w:rPr>
              <w:t>合同履行期限</w:t>
            </w:r>
          </w:p>
        </w:tc>
        <w:tc>
          <w:tcPr>
            <w:tcW w:w="7253" w:type="dxa"/>
            <w:vAlign w:val="top"/>
          </w:tcPr>
          <w:p w14:paraId="21FB2A37">
            <w:pPr>
              <w:pStyle w:val="16"/>
              <w:spacing w:before="163" w:line="220" w:lineRule="auto"/>
              <w:ind w:left="153"/>
              <w:rPr>
                <w:color w:val="auto"/>
              </w:rPr>
            </w:pPr>
            <w:r>
              <w:rPr>
                <w:color w:val="auto"/>
                <w:spacing w:val="-4"/>
              </w:rPr>
              <w:t>自合同签订后</w:t>
            </w:r>
            <w:r>
              <w:rPr>
                <w:rFonts w:hint="eastAsia"/>
                <w:color w:val="auto"/>
                <w:spacing w:val="-4"/>
                <w:lang w:val="en-US" w:eastAsia="zh-CN"/>
              </w:rPr>
              <w:t>一年内</w:t>
            </w:r>
            <w:r>
              <w:rPr>
                <w:color w:val="auto"/>
                <w:spacing w:val="-4"/>
              </w:rPr>
              <w:t>完成。</w:t>
            </w:r>
          </w:p>
        </w:tc>
      </w:tr>
      <w:tr w14:paraId="2F349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926" w:type="dxa"/>
            <w:vMerge w:val="continue"/>
            <w:tcBorders>
              <w:top w:val="nil"/>
              <w:bottom w:val="nil"/>
            </w:tcBorders>
            <w:vAlign w:val="top"/>
          </w:tcPr>
          <w:p w14:paraId="066E4E2B">
            <w:pPr>
              <w:rPr>
                <w:rFonts w:ascii="Arial"/>
                <w:color w:val="auto"/>
                <w:sz w:val="21"/>
              </w:rPr>
            </w:pPr>
          </w:p>
        </w:tc>
        <w:tc>
          <w:tcPr>
            <w:tcW w:w="1699" w:type="dxa"/>
            <w:vAlign w:val="top"/>
          </w:tcPr>
          <w:p w14:paraId="4541CB72">
            <w:pPr>
              <w:pStyle w:val="16"/>
              <w:spacing w:before="207" w:line="221" w:lineRule="auto"/>
              <w:ind w:left="255"/>
              <w:rPr>
                <w:color w:val="auto"/>
              </w:rPr>
            </w:pPr>
            <w:r>
              <w:rPr>
                <w:color w:val="auto"/>
                <w:spacing w:val="-2"/>
              </w:rPr>
              <w:t>磋商有效期</w:t>
            </w:r>
          </w:p>
        </w:tc>
        <w:tc>
          <w:tcPr>
            <w:tcW w:w="7253" w:type="dxa"/>
            <w:vAlign w:val="top"/>
          </w:tcPr>
          <w:p w14:paraId="64ABBB3F">
            <w:pPr>
              <w:pStyle w:val="16"/>
              <w:spacing w:before="207" w:line="221" w:lineRule="auto"/>
              <w:ind w:left="117"/>
              <w:rPr>
                <w:color w:val="auto"/>
              </w:rPr>
            </w:pPr>
            <w:r>
              <w:rPr>
                <w:color w:val="auto"/>
                <w:spacing w:val="-7"/>
              </w:rPr>
              <w:t>投标截止之日后90天（</w:t>
            </w:r>
            <w:r>
              <w:rPr>
                <w:color w:val="auto"/>
                <w:spacing w:val="-29"/>
              </w:rPr>
              <w:t xml:space="preserve"> </w:t>
            </w:r>
            <w:r>
              <w:rPr>
                <w:color w:val="auto"/>
                <w:spacing w:val="-7"/>
              </w:rPr>
              <w:t>日历天）</w:t>
            </w:r>
          </w:p>
        </w:tc>
      </w:tr>
      <w:tr w14:paraId="378B3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26" w:type="dxa"/>
            <w:vMerge w:val="continue"/>
            <w:tcBorders>
              <w:top w:val="nil"/>
              <w:bottom w:val="nil"/>
            </w:tcBorders>
            <w:vAlign w:val="top"/>
          </w:tcPr>
          <w:p w14:paraId="66A8E5FB">
            <w:pPr>
              <w:rPr>
                <w:rFonts w:ascii="Arial"/>
                <w:color w:val="auto"/>
                <w:sz w:val="21"/>
              </w:rPr>
            </w:pPr>
          </w:p>
        </w:tc>
        <w:tc>
          <w:tcPr>
            <w:tcW w:w="1699" w:type="dxa"/>
            <w:vAlign w:val="top"/>
          </w:tcPr>
          <w:p w14:paraId="48FE9AD4">
            <w:pPr>
              <w:pStyle w:val="16"/>
              <w:spacing w:before="233" w:line="220" w:lineRule="auto"/>
              <w:ind w:left="375"/>
              <w:rPr>
                <w:color w:val="auto"/>
              </w:rPr>
            </w:pPr>
            <w:r>
              <w:rPr>
                <w:color w:val="auto"/>
                <w:spacing w:val="-3"/>
              </w:rPr>
              <w:t>权利义务</w:t>
            </w:r>
          </w:p>
        </w:tc>
        <w:tc>
          <w:tcPr>
            <w:tcW w:w="7253" w:type="dxa"/>
            <w:vAlign w:val="top"/>
          </w:tcPr>
          <w:p w14:paraId="061FFA6A">
            <w:pPr>
              <w:pStyle w:val="16"/>
              <w:spacing w:before="234" w:line="219" w:lineRule="auto"/>
              <w:ind w:left="116"/>
              <w:rPr>
                <w:color w:val="auto"/>
              </w:rPr>
            </w:pPr>
            <w:r>
              <w:rPr>
                <w:color w:val="auto"/>
                <w:spacing w:val="-3"/>
              </w:rPr>
              <w:t>符合第三章“合同条款及格式</w:t>
            </w:r>
            <w:r>
              <w:rPr>
                <w:color w:val="auto"/>
                <w:spacing w:val="-82"/>
              </w:rPr>
              <w:t xml:space="preserve"> </w:t>
            </w:r>
            <w:r>
              <w:rPr>
                <w:color w:val="auto"/>
                <w:spacing w:val="-3"/>
              </w:rPr>
              <w:t>”规定。</w:t>
            </w:r>
          </w:p>
        </w:tc>
      </w:tr>
      <w:tr w14:paraId="60676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926" w:type="dxa"/>
            <w:vMerge w:val="continue"/>
            <w:tcBorders>
              <w:top w:val="nil"/>
              <w:bottom w:val="nil"/>
            </w:tcBorders>
            <w:vAlign w:val="top"/>
          </w:tcPr>
          <w:p w14:paraId="3C2FFDC2">
            <w:pPr>
              <w:rPr>
                <w:rFonts w:ascii="Arial"/>
                <w:color w:val="auto"/>
                <w:sz w:val="21"/>
              </w:rPr>
            </w:pPr>
          </w:p>
        </w:tc>
        <w:tc>
          <w:tcPr>
            <w:tcW w:w="1699" w:type="dxa"/>
            <w:vAlign w:val="top"/>
          </w:tcPr>
          <w:p w14:paraId="55CE1465">
            <w:pPr>
              <w:spacing w:line="295" w:lineRule="auto"/>
              <w:rPr>
                <w:rFonts w:ascii="Arial"/>
                <w:color w:val="auto"/>
                <w:sz w:val="21"/>
              </w:rPr>
            </w:pPr>
          </w:p>
          <w:p w14:paraId="7DE0FC96">
            <w:pPr>
              <w:spacing w:line="296" w:lineRule="auto"/>
              <w:rPr>
                <w:rFonts w:ascii="Arial"/>
                <w:color w:val="auto"/>
                <w:sz w:val="21"/>
              </w:rPr>
            </w:pPr>
          </w:p>
          <w:p w14:paraId="3D867E09">
            <w:pPr>
              <w:pStyle w:val="16"/>
              <w:spacing w:before="78" w:line="220" w:lineRule="auto"/>
              <w:ind w:left="388"/>
              <w:rPr>
                <w:color w:val="auto"/>
              </w:rPr>
            </w:pPr>
            <w:r>
              <w:rPr>
                <w:color w:val="auto"/>
                <w:spacing w:val="-6"/>
              </w:rPr>
              <w:t>响应内容</w:t>
            </w:r>
          </w:p>
        </w:tc>
        <w:tc>
          <w:tcPr>
            <w:tcW w:w="7253" w:type="dxa"/>
            <w:vAlign w:val="top"/>
          </w:tcPr>
          <w:p w14:paraId="5DDB489D">
            <w:pPr>
              <w:pStyle w:val="16"/>
              <w:spacing w:before="104" w:line="271" w:lineRule="auto"/>
              <w:ind w:left="112" w:right="106" w:firstLine="4"/>
              <w:jc w:val="both"/>
              <w:rPr>
                <w:color w:val="auto"/>
              </w:rPr>
            </w:pPr>
            <w:r>
              <w:rPr>
                <w:color w:val="auto"/>
                <w:spacing w:val="2"/>
              </w:rPr>
              <w:t>投标文件应当对磋商文件有关工期、投标有效期、质量要求、技术标准和要求、招标范围等实质性内容作出响应。响应文件没有附采购人不能接受的条件，没有出现不符合竞争性磋中规定的其他实质</w:t>
            </w:r>
            <w:r>
              <w:rPr>
                <w:color w:val="auto"/>
                <w:spacing w:val="-2"/>
              </w:rPr>
              <w:t>性要求。</w:t>
            </w:r>
          </w:p>
        </w:tc>
      </w:tr>
      <w:tr w14:paraId="12759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926" w:type="dxa"/>
            <w:vMerge w:val="continue"/>
            <w:tcBorders>
              <w:top w:val="nil"/>
            </w:tcBorders>
            <w:vAlign w:val="top"/>
          </w:tcPr>
          <w:p w14:paraId="4E4AF829">
            <w:pPr>
              <w:rPr>
                <w:rFonts w:ascii="Arial"/>
                <w:color w:val="auto"/>
                <w:sz w:val="21"/>
              </w:rPr>
            </w:pPr>
          </w:p>
        </w:tc>
        <w:tc>
          <w:tcPr>
            <w:tcW w:w="1699" w:type="dxa"/>
            <w:vAlign w:val="top"/>
          </w:tcPr>
          <w:p w14:paraId="110626E3">
            <w:pPr>
              <w:pStyle w:val="16"/>
              <w:spacing w:before="293" w:line="219" w:lineRule="auto"/>
              <w:ind w:left="378"/>
              <w:rPr>
                <w:color w:val="auto"/>
              </w:rPr>
            </w:pPr>
            <w:r>
              <w:rPr>
                <w:color w:val="auto"/>
                <w:spacing w:val="-4"/>
              </w:rPr>
              <w:t>投标报价</w:t>
            </w:r>
          </w:p>
        </w:tc>
        <w:tc>
          <w:tcPr>
            <w:tcW w:w="7253" w:type="dxa"/>
            <w:vAlign w:val="top"/>
          </w:tcPr>
          <w:p w14:paraId="276BE849">
            <w:pPr>
              <w:pStyle w:val="16"/>
              <w:spacing w:before="293" w:line="219" w:lineRule="auto"/>
              <w:ind w:left="118"/>
              <w:rPr>
                <w:color w:val="auto"/>
              </w:rPr>
            </w:pPr>
            <w:r>
              <w:rPr>
                <w:color w:val="auto"/>
                <w:spacing w:val="-1"/>
              </w:rPr>
              <w:t>不超过采购预算（超出此采购预算的投标报价其投标将被否决）</w:t>
            </w:r>
          </w:p>
        </w:tc>
      </w:tr>
    </w:tbl>
    <w:p w14:paraId="49991FE0">
      <w:pPr>
        <w:pStyle w:val="2"/>
        <w:spacing w:line="227" w:lineRule="exact"/>
        <w:rPr>
          <w:color w:val="auto"/>
          <w:sz w:val="19"/>
        </w:rPr>
      </w:pPr>
    </w:p>
    <w:tbl>
      <w:tblPr>
        <w:tblStyle w:val="15"/>
        <w:tblW w:w="9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1699"/>
        <w:gridCol w:w="7259"/>
      </w:tblGrid>
      <w:tr w14:paraId="07187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8" w:hRule="atLeast"/>
        </w:trPr>
        <w:tc>
          <w:tcPr>
            <w:tcW w:w="926" w:type="dxa"/>
            <w:vMerge w:val="restart"/>
            <w:tcBorders>
              <w:bottom w:val="nil"/>
            </w:tcBorders>
            <w:vAlign w:val="top"/>
          </w:tcPr>
          <w:p w14:paraId="01A191E2">
            <w:pPr>
              <w:rPr>
                <w:rFonts w:ascii="Arial"/>
                <w:color w:val="auto"/>
                <w:sz w:val="21"/>
              </w:rPr>
            </w:pPr>
          </w:p>
        </w:tc>
        <w:tc>
          <w:tcPr>
            <w:tcW w:w="1699" w:type="dxa"/>
            <w:vAlign w:val="top"/>
          </w:tcPr>
          <w:p w14:paraId="00A55D1E">
            <w:pPr>
              <w:spacing w:line="260" w:lineRule="auto"/>
              <w:rPr>
                <w:rFonts w:ascii="Arial"/>
                <w:color w:val="auto"/>
                <w:sz w:val="21"/>
              </w:rPr>
            </w:pPr>
          </w:p>
          <w:p w14:paraId="6E0F8956">
            <w:pPr>
              <w:spacing w:line="260" w:lineRule="auto"/>
              <w:rPr>
                <w:rFonts w:ascii="Arial"/>
                <w:color w:val="auto"/>
                <w:sz w:val="21"/>
              </w:rPr>
            </w:pPr>
          </w:p>
          <w:p w14:paraId="0457C9D3">
            <w:pPr>
              <w:spacing w:line="260" w:lineRule="auto"/>
              <w:rPr>
                <w:rFonts w:ascii="Arial"/>
                <w:color w:val="auto"/>
                <w:sz w:val="21"/>
              </w:rPr>
            </w:pPr>
          </w:p>
          <w:p w14:paraId="59F8977D">
            <w:pPr>
              <w:pStyle w:val="16"/>
              <w:spacing w:before="78" w:line="296" w:lineRule="auto"/>
              <w:ind w:left="615" w:right="127" w:hanging="453"/>
              <w:rPr>
                <w:color w:val="auto"/>
              </w:rPr>
            </w:pPr>
            <w:r>
              <w:rPr>
                <w:color w:val="auto"/>
                <w:spacing w:val="-6"/>
              </w:rPr>
              <w:t>已标价工程量</w:t>
            </w:r>
            <w:r>
              <w:rPr>
                <w:color w:val="auto"/>
                <w:spacing w:val="-5"/>
              </w:rPr>
              <w:t>清单</w:t>
            </w:r>
          </w:p>
        </w:tc>
        <w:tc>
          <w:tcPr>
            <w:tcW w:w="7259" w:type="dxa"/>
            <w:vAlign w:val="top"/>
          </w:tcPr>
          <w:p w14:paraId="09808FF0">
            <w:pPr>
              <w:pStyle w:val="16"/>
              <w:spacing w:before="101" w:line="279" w:lineRule="auto"/>
              <w:ind w:left="114" w:right="112" w:firstLine="1"/>
              <w:jc w:val="both"/>
              <w:rPr>
                <w:color w:val="auto"/>
              </w:rPr>
            </w:pPr>
            <w:r>
              <w:rPr>
                <w:color w:val="auto"/>
                <w:spacing w:val="1"/>
              </w:rPr>
              <w:t>符合磋商文件“工程量清单</w:t>
            </w:r>
            <w:r>
              <w:rPr>
                <w:color w:val="auto"/>
                <w:spacing w:val="-88"/>
              </w:rPr>
              <w:t xml:space="preserve"> </w:t>
            </w:r>
            <w:r>
              <w:rPr>
                <w:color w:val="auto"/>
                <w:spacing w:val="1"/>
              </w:rPr>
              <w:t>”给出的范围及数量、工程量、清单描</w:t>
            </w:r>
            <w:r>
              <w:rPr>
                <w:color w:val="auto"/>
                <w:spacing w:val="2"/>
              </w:rPr>
              <w:t>述及编号等一致，并加盖注册造价师执业印章。同一单位的注册造价师在本招标项目中不能为两个及两个以上的投标单位编制工程量清单；非本单位的造价师，投标单位须与其造价师所在的注册单位（工程造价咨询服务机构）签订造价合同，其合同复印件需附在投</w:t>
            </w:r>
            <w:r>
              <w:rPr>
                <w:color w:val="auto"/>
                <w:spacing w:val="-1"/>
              </w:rPr>
              <w:t>标文件里；否则其投标将被否决。</w:t>
            </w:r>
          </w:p>
        </w:tc>
      </w:tr>
      <w:tr w14:paraId="2CA2F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6" w:hRule="atLeast"/>
        </w:trPr>
        <w:tc>
          <w:tcPr>
            <w:tcW w:w="926" w:type="dxa"/>
            <w:vMerge w:val="continue"/>
            <w:tcBorders>
              <w:top w:val="nil"/>
            </w:tcBorders>
            <w:vAlign w:val="top"/>
          </w:tcPr>
          <w:p w14:paraId="585A9DBD">
            <w:pPr>
              <w:rPr>
                <w:rFonts w:ascii="Arial"/>
                <w:color w:val="auto"/>
                <w:sz w:val="21"/>
              </w:rPr>
            </w:pPr>
          </w:p>
        </w:tc>
        <w:tc>
          <w:tcPr>
            <w:tcW w:w="1699" w:type="dxa"/>
            <w:vAlign w:val="top"/>
          </w:tcPr>
          <w:p w14:paraId="395B3891">
            <w:pPr>
              <w:spacing w:line="242" w:lineRule="auto"/>
              <w:rPr>
                <w:rFonts w:ascii="Arial"/>
                <w:color w:val="auto"/>
                <w:sz w:val="21"/>
              </w:rPr>
            </w:pPr>
          </w:p>
          <w:p w14:paraId="76C16BFC">
            <w:pPr>
              <w:spacing w:line="242" w:lineRule="auto"/>
              <w:rPr>
                <w:rFonts w:ascii="Arial"/>
                <w:color w:val="auto"/>
                <w:sz w:val="21"/>
              </w:rPr>
            </w:pPr>
          </w:p>
          <w:p w14:paraId="2832E4DF">
            <w:pPr>
              <w:spacing w:line="242" w:lineRule="auto"/>
              <w:rPr>
                <w:rFonts w:ascii="Arial"/>
                <w:color w:val="auto"/>
                <w:sz w:val="21"/>
              </w:rPr>
            </w:pPr>
          </w:p>
          <w:p w14:paraId="10B50AB2">
            <w:pPr>
              <w:spacing w:line="242" w:lineRule="auto"/>
              <w:rPr>
                <w:rFonts w:ascii="Arial"/>
                <w:color w:val="auto"/>
                <w:sz w:val="21"/>
              </w:rPr>
            </w:pPr>
          </w:p>
          <w:p w14:paraId="19EE0056">
            <w:pPr>
              <w:spacing w:line="242" w:lineRule="auto"/>
              <w:rPr>
                <w:rFonts w:ascii="Arial"/>
                <w:color w:val="auto"/>
                <w:sz w:val="21"/>
              </w:rPr>
            </w:pPr>
          </w:p>
          <w:p w14:paraId="26900AF7">
            <w:pPr>
              <w:spacing w:line="242" w:lineRule="auto"/>
              <w:rPr>
                <w:rFonts w:ascii="Arial"/>
                <w:color w:val="auto"/>
                <w:sz w:val="21"/>
              </w:rPr>
            </w:pPr>
          </w:p>
          <w:p w14:paraId="7BD5829A">
            <w:pPr>
              <w:spacing w:line="242" w:lineRule="auto"/>
              <w:rPr>
                <w:rFonts w:ascii="Arial"/>
                <w:color w:val="auto"/>
                <w:sz w:val="21"/>
              </w:rPr>
            </w:pPr>
          </w:p>
          <w:p w14:paraId="76EA1E37">
            <w:pPr>
              <w:spacing w:line="242" w:lineRule="auto"/>
              <w:rPr>
                <w:rFonts w:ascii="Arial"/>
                <w:color w:val="auto"/>
                <w:sz w:val="21"/>
              </w:rPr>
            </w:pPr>
          </w:p>
          <w:p w14:paraId="7631CED4">
            <w:pPr>
              <w:spacing w:line="243" w:lineRule="auto"/>
              <w:rPr>
                <w:rFonts w:ascii="Arial"/>
                <w:color w:val="auto"/>
                <w:sz w:val="21"/>
              </w:rPr>
            </w:pPr>
          </w:p>
          <w:p w14:paraId="167546E9">
            <w:pPr>
              <w:spacing w:line="243" w:lineRule="auto"/>
              <w:rPr>
                <w:rFonts w:ascii="Arial"/>
                <w:color w:val="auto"/>
                <w:sz w:val="21"/>
              </w:rPr>
            </w:pPr>
          </w:p>
          <w:p w14:paraId="3CD0D32A">
            <w:pPr>
              <w:spacing w:line="243" w:lineRule="auto"/>
              <w:rPr>
                <w:rFonts w:ascii="Arial"/>
                <w:color w:val="auto"/>
                <w:sz w:val="21"/>
              </w:rPr>
            </w:pPr>
          </w:p>
          <w:p w14:paraId="1440BC80">
            <w:pPr>
              <w:pStyle w:val="16"/>
              <w:spacing w:before="78" w:line="221" w:lineRule="auto"/>
              <w:ind w:left="386"/>
              <w:rPr>
                <w:color w:val="auto"/>
              </w:rPr>
            </w:pPr>
            <w:r>
              <w:rPr>
                <w:color w:val="auto"/>
                <w:spacing w:val="-5"/>
              </w:rPr>
              <w:t>暗标要求</w:t>
            </w:r>
          </w:p>
        </w:tc>
        <w:tc>
          <w:tcPr>
            <w:tcW w:w="7259" w:type="dxa"/>
            <w:vAlign w:val="top"/>
          </w:tcPr>
          <w:p w14:paraId="77C91A0C">
            <w:pPr>
              <w:pStyle w:val="16"/>
              <w:spacing w:before="100" w:line="292" w:lineRule="auto"/>
              <w:ind w:left="128" w:right="171" w:hanging="13"/>
              <w:rPr>
                <w:color w:val="auto"/>
              </w:rPr>
            </w:pPr>
            <w:r>
              <w:rPr>
                <w:color w:val="auto"/>
                <w:spacing w:val="-1"/>
              </w:rPr>
              <w:t>技术标文件（暗标）未按以下“盲评</w:t>
            </w:r>
            <w:r>
              <w:rPr>
                <w:color w:val="auto"/>
                <w:spacing w:val="-85"/>
              </w:rPr>
              <w:t xml:space="preserve"> </w:t>
            </w:r>
            <w:r>
              <w:rPr>
                <w:color w:val="auto"/>
                <w:spacing w:val="-1"/>
              </w:rPr>
              <w:t>”要求制作的，为无效投标，除下述要求外，不得因暗标格式问题认定为无效投标：</w:t>
            </w:r>
          </w:p>
          <w:p w14:paraId="625C8D96">
            <w:pPr>
              <w:pStyle w:val="16"/>
              <w:spacing w:before="1" w:line="220" w:lineRule="auto"/>
              <w:ind w:left="132"/>
              <w:rPr>
                <w:color w:val="auto"/>
              </w:rPr>
            </w:pPr>
            <w:r>
              <w:rPr>
                <w:color w:val="auto"/>
                <w:spacing w:val="-2"/>
              </w:rPr>
              <w:t>1.版面要求：A4纸张大小；</w:t>
            </w:r>
          </w:p>
          <w:p w14:paraId="1C489E9B">
            <w:pPr>
              <w:pStyle w:val="16"/>
              <w:spacing w:before="94" w:line="220" w:lineRule="auto"/>
              <w:ind w:left="117"/>
              <w:rPr>
                <w:color w:val="auto"/>
              </w:rPr>
            </w:pPr>
            <w:r>
              <w:rPr>
                <w:color w:val="auto"/>
                <w:spacing w:val="-1"/>
              </w:rPr>
              <w:t>2.颜色要求：所有文字、图表均为黑色；</w:t>
            </w:r>
          </w:p>
          <w:p w14:paraId="3B4061DE">
            <w:pPr>
              <w:pStyle w:val="16"/>
              <w:spacing w:before="94" w:line="268" w:lineRule="auto"/>
              <w:ind w:left="115" w:firstLine="3"/>
              <w:rPr>
                <w:color w:val="auto"/>
              </w:rPr>
            </w:pPr>
            <w:r>
              <w:rPr>
                <w:color w:val="auto"/>
                <w:spacing w:val="-4"/>
              </w:rPr>
              <w:t>3.字体要求：标题及正文部分所用文字均采用“宋体</w:t>
            </w:r>
            <w:r>
              <w:rPr>
                <w:color w:val="auto"/>
                <w:spacing w:val="-88"/>
              </w:rPr>
              <w:t xml:space="preserve"> </w:t>
            </w:r>
            <w:r>
              <w:rPr>
                <w:color w:val="auto"/>
                <w:spacing w:val="-4"/>
              </w:rPr>
              <w:t>”</w:t>
            </w:r>
            <w:r>
              <w:rPr>
                <w:color w:val="auto"/>
                <w:spacing w:val="-5"/>
              </w:rPr>
              <w:t>四号“常规</w:t>
            </w:r>
            <w:r>
              <w:rPr>
                <w:color w:val="auto"/>
                <w:spacing w:val="-89"/>
              </w:rPr>
              <w:t xml:space="preserve"> </w:t>
            </w:r>
            <w:r>
              <w:rPr>
                <w:color w:val="auto"/>
                <w:spacing w:val="-5"/>
              </w:rPr>
              <w:t>”</w:t>
            </w:r>
            <w:r>
              <w:rPr>
                <w:color w:val="auto"/>
                <w:spacing w:val="-2"/>
              </w:rPr>
              <w:t>字；图、表内的字体及字号不作要求；全部使用中文标点符号；所</w:t>
            </w:r>
            <w:r>
              <w:rPr>
                <w:color w:val="auto"/>
                <w:spacing w:val="2"/>
              </w:rPr>
              <w:t xml:space="preserve"> </w:t>
            </w:r>
            <w:r>
              <w:rPr>
                <w:color w:val="auto"/>
                <w:spacing w:val="-5"/>
              </w:rPr>
              <w:t>有字体均不得出现加粗、加色、倾斜、下划线等标记；</w:t>
            </w:r>
          </w:p>
          <w:p w14:paraId="67DB02E3">
            <w:pPr>
              <w:pStyle w:val="16"/>
              <w:spacing w:before="91" w:line="278" w:lineRule="auto"/>
              <w:ind w:left="112" w:right="112"/>
              <w:rPr>
                <w:color w:val="auto"/>
              </w:rPr>
            </w:pPr>
            <w:r>
              <w:rPr>
                <w:color w:val="auto"/>
                <w:spacing w:val="2"/>
              </w:rPr>
              <w:t>4.排版要求：页边距要求上边距2.5厘米，其余均为2厘米；不得设置目录；正文行间距为固定值30磅；文字内容（含正文标题、正文</w:t>
            </w:r>
            <w:r>
              <w:rPr>
                <w:color w:val="auto"/>
                <w:spacing w:val="-2"/>
              </w:rPr>
              <w:t>及表格标题）统一设为左对齐；首行缩进2字符，不得有空格；段落</w:t>
            </w:r>
            <w:r>
              <w:rPr>
                <w:color w:val="auto"/>
                <w:spacing w:val="2"/>
              </w:rPr>
              <w:t>前后不设置空行；不得设置页眉、页脚和页码；图、表部分对齐形</w:t>
            </w:r>
            <w:r>
              <w:rPr>
                <w:color w:val="auto"/>
                <w:spacing w:val="-1"/>
              </w:rPr>
              <w:t>式统一设为居中对齐；</w:t>
            </w:r>
          </w:p>
          <w:p w14:paraId="0B1D47AF">
            <w:pPr>
              <w:pStyle w:val="16"/>
              <w:spacing w:before="97" w:line="265" w:lineRule="auto"/>
              <w:ind w:left="116" w:right="114" w:firstLine="2"/>
              <w:rPr>
                <w:color w:val="auto"/>
              </w:rPr>
            </w:pPr>
            <w:r>
              <w:rPr>
                <w:color w:val="auto"/>
                <w:spacing w:val="1"/>
              </w:rPr>
              <w:t>5.其它：除满足上述各项要求外，构成投标文件的“</w:t>
            </w:r>
            <w:r>
              <w:rPr>
                <w:color w:val="auto"/>
              </w:rPr>
              <w:t>技术暗标</w:t>
            </w:r>
            <w:r>
              <w:rPr>
                <w:color w:val="auto"/>
                <w:spacing w:val="-85"/>
              </w:rPr>
              <w:t xml:space="preserve"> </w:t>
            </w:r>
            <w:r>
              <w:rPr>
                <w:color w:val="auto"/>
              </w:rPr>
              <w:t>”的</w:t>
            </w:r>
            <w:r>
              <w:rPr>
                <w:color w:val="auto"/>
                <w:spacing w:val="2"/>
              </w:rPr>
              <w:t>正文中均不得出现供应商的名称和其它可识别供应商身份的字符、</w:t>
            </w:r>
            <w:r>
              <w:rPr>
                <w:color w:val="auto"/>
                <w:spacing w:val="-1"/>
              </w:rPr>
              <w:t>徽标、人员名称以及其他可能被辨别出供应商身份的任何标记。</w:t>
            </w:r>
          </w:p>
        </w:tc>
      </w:tr>
    </w:tbl>
    <w:p w14:paraId="3C01FEA7">
      <w:pPr>
        <w:spacing w:before="117" w:line="307" w:lineRule="auto"/>
        <w:ind w:left="545" w:right="540" w:firstLine="236"/>
        <w:rPr>
          <w:rFonts w:ascii="宋体" w:hAnsi="宋体" w:eastAsia="宋体" w:cs="宋体"/>
          <w:color w:val="auto"/>
          <w:sz w:val="24"/>
          <w:szCs w:val="24"/>
        </w:rPr>
      </w:pPr>
      <w:r>
        <w:rPr>
          <w:rFonts w:ascii="宋体" w:hAnsi="宋体" w:eastAsia="宋体" w:cs="宋体"/>
          <w:b/>
          <w:bCs/>
          <w:color w:val="auto"/>
          <w:spacing w:val="-8"/>
          <w:sz w:val="24"/>
          <w:szCs w:val="24"/>
          <w:u w:val="single" w:color="auto"/>
        </w:rPr>
        <w:t>注：“</w:t>
      </w:r>
      <w:r>
        <w:rPr>
          <w:rFonts w:ascii="宋体" w:hAnsi="宋体" w:eastAsia="宋体" w:cs="宋体"/>
          <w:color w:val="auto"/>
          <w:spacing w:val="-51"/>
          <w:sz w:val="24"/>
          <w:szCs w:val="24"/>
          <w:u w:val="single" w:color="auto"/>
        </w:rPr>
        <w:t xml:space="preserve"> </w:t>
      </w:r>
      <w:r>
        <w:rPr>
          <w:rFonts w:ascii="宋体" w:hAnsi="宋体" w:eastAsia="宋体" w:cs="宋体"/>
          <w:b/>
          <w:bCs/>
          <w:color w:val="auto"/>
          <w:spacing w:val="-8"/>
          <w:sz w:val="24"/>
          <w:szCs w:val="24"/>
          <w:u w:val="single" w:color="auto"/>
        </w:rPr>
        <w:t>√</w:t>
      </w:r>
      <w:r>
        <w:rPr>
          <w:rFonts w:ascii="宋体" w:hAnsi="宋体" w:eastAsia="宋体" w:cs="宋体"/>
          <w:color w:val="auto"/>
          <w:spacing w:val="-86"/>
          <w:sz w:val="24"/>
          <w:szCs w:val="24"/>
          <w:u w:val="single" w:color="auto"/>
        </w:rPr>
        <w:t xml:space="preserve"> </w:t>
      </w:r>
      <w:r>
        <w:rPr>
          <w:rFonts w:ascii="宋体" w:hAnsi="宋体" w:eastAsia="宋体" w:cs="宋体"/>
          <w:b/>
          <w:bCs/>
          <w:color w:val="auto"/>
          <w:spacing w:val="-8"/>
          <w:sz w:val="24"/>
          <w:szCs w:val="24"/>
          <w:u w:val="single" w:color="auto"/>
        </w:rPr>
        <w:t>”为合格，“╳</w:t>
      </w:r>
      <w:r>
        <w:rPr>
          <w:rFonts w:ascii="宋体" w:hAnsi="宋体" w:eastAsia="宋体" w:cs="宋体"/>
          <w:color w:val="auto"/>
          <w:spacing w:val="-88"/>
          <w:sz w:val="24"/>
          <w:szCs w:val="24"/>
          <w:u w:val="single" w:color="auto"/>
        </w:rPr>
        <w:t xml:space="preserve"> </w:t>
      </w:r>
      <w:r>
        <w:rPr>
          <w:rFonts w:ascii="宋体" w:hAnsi="宋体" w:eastAsia="宋体" w:cs="宋体"/>
          <w:b/>
          <w:bCs/>
          <w:color w:val="auto"/>
          <w:spacing w:val="-8"/>
          <w:sz w:val="24"/>
          <w:szCs w:val="24"/>
          <w:u w:val="single" w:color="auto"/>
        </w:rPr>
        <w:t>”为不合格。以上形式、资格及</w:t>
      </w:r>
      <w:r>
        <w:rPr>
          <w:rFonts w:ascii="宋体" w:hAnsi="宋体" w:eastAsia="宋体" w:cs="宋体"/>
          <w:b/>
          <w:bCs/>
          <w:color w:val="auto"/>
          <w:spacing w:val="-9"/>
          <w:sz w:val="24"/>
          <w:szCs w:val="24"/>
          <w:u w:val="single" w:color="auto"/>
        </w:rPr>
        <w:t>符合性</w:t>
      </w:r>
      <w:r>
        <w:rPr>
          <w:rFonts w:ascii="宋体" w:hAnsi="宋体" w:eastAsia="宋体" w:cs="宋体"/>
          <w:b/>
          <w:bCs/>
          <w:color w:val="auto"/>
          <w:spacing w:val="-9"/>
          <w:sz w:val="24"/>
          <w:szCs w:val="24"/>
        </w:rPr>
        <w:t>磋商</w:t>
      </w:r>
      <w:r>
        <w:rPr>
          <w:rFonts w:ascii="宋体" w:hAnsi="宋体" w:eastAsia="宋体" w:cs="宋体"/>
          <w:b/>
          <w:bCs/>
          <w:color w:val="auto"/>
          <w:spacing w:val="-9"/>
          <w:sz w:val="24"/>
          <w:szCs w:val="24"/>
          <w:u w:val="single" w:color="auto"/>
        </w:rPr>
        <w:t>中内容只要有</w:t>
      </w:r>
      <w:r>
        <w:rPr>
          <w:rFonts w:ascii="宋体" w:hAnsi="宋体" w:eastAsia="宋体" w:cs="宋体"/>
          <w:b/>
          <w:bCs/>
          <w:color w:val="auto"/>
          <w:spacing w:val="-1"/>
          <w:sz w:val="24"/>
          <w:szCs w:val="24"/>
          <w:u w:val="single" w:color="auto"/>
        </w:rPr>
        <w:t>一条不满足，则响应文件无效。</w:t>
      </w:r>
    </w:p>
    <w:p w14:paraId="48F4BB3B">
      <w:pPr>
        <w:spacing w:line="219" w:lineRule="auto"/>
        <w:ind w:left="1043"/>
        <w:rPr>
          <w:rFonts w:ascii="宋体" w:hAnsi="宋体" w:eastAsia="宋体" w:cs="宋体"/>
          <w:color w:val="auto"/>
          <w:sz w:val="24"/>
          <w:szCs w:val="24"/>
        </w:rPr>
      </w:pPr>
      <w:r>
        <w:rPr>
          <w:rFonts w:ascii="宋体" w:hAnsi="宋体" w:eastAsia="宋体" w:cs="宋体"/>
          <w:color w:val="auto"/>
          <w:spacing w:val="-1"/>
          <w:sz w:val="24"/>
          <w:szCs w:val="24"/>
        </w:rPr>
        <w:t>1.磋商委员会在初审中，对算术错误的修正原</w:t>
      </w:r>
      <w:r>
        <w:rPr>
          <w:rFonts w:ascii="宋体" w:hAnsi="宋体" w:eastAsia="宋体" w:cs="宋体"/>
          <w:color w:val="auto"/>
          <w:spacing w:val="-2"/>
          <w:sz w:val="24"/>
          <w:szCs w:val="24"/>
        </w:rPr>
        <w:t>则如下：</w:t>
      </w:r>
    </w:p>
    <w:p w14:paraId="04195072">
      <w:pPr>
        <w:spacing w:before="114" w:line="308" w:lineRule="auto"/>
        <w:ind w:left="541" w:right="537" w:firstLine="497"/>
        <w:rPr>
          <w:rFonts w:ascii="宋体" w:hAnsi="宋体" w:eastAsia="宋体" w:cs="宋体"/>
          <w:color w:val="auto"/>
          <w:sz w:val="24"/>
          <w:szCs w:val="24"/>
        </w:rPr>
      </w:pPr>
      <w:r>
        <w:rPr>
          <w:rFonts w:ascii="宋体" w:hAnsi="宋体" w:eastAsia="宋体" w:cs="宋体"/>
          <w:color w:val="auto"/>
          <w:spacing w:val="-3"/>
          <w:sz w:val="24"/>
          <w:szCs w:val="24"/>
        </w:rPr>
        <w:t>响应文件的大写金额和小写金额不一致的，以大写金额为准；总价金额与按单价</w:t>
      </w:r>
      <w:r>
        <w:rPr>
          <w:rFonts w:ascii="宋体" w:hAnsi="宋体" w:eastAsia="宋体" w:cs="宋体"/>
          <w:color w:val="auto"/>
          <w:spacing w:val="-2"/>
          <w:sz w:val="24"/>
          <w:szCs w:val="24"/>
        </w:rPr>
        <w:t>汇总不一致的，以单价金额计算结果为准；单价金额小数点有明显错位的，应以总价</w:t>
      </w:r>
      <w:r>
        <w:rPr>
          <w:rFonts w:ascii="宋体" w:hAnsi="宋体" w:eastAsia="宋体" w:cs="宋体"/>
          <w:color w:val="auto"/>
          <w:sz w:val="24"/>
          <w:szCs w:val="24"/>
        </w:rPr>
        <w:t>为准，并修改单价；对不同文字文本的解释发生异</w:t>
      </w:r>
      <w:r>
        <w:rPr>
          <w:rFonts w:ascii="宋体" w:hAnsi="宋体" w:eastAsia="宋体" w:cs="宋体"/>
          <w:color w:val="auto"/>
          <w:spacing w:val="-1"/>
          <w:sz w:val="24"/>
          <w:szCs w:val="24"/>
        </w:rPr>
        <w:t>议的，以中文文本为准。</w:t>
      </w:r>
    </w:p>
    <w:p w14:paraId="2CC5A72A">
      <w:pPr>
        <w:spacing w:line="219" w:lineRule="auto"/>
        <w:ind w:left="1025"/>
        <w:rPr>
          <w:rFonts w:ascii="宋体" w:hAnsi="宋体" w:eastAsia="宋体" w:cs="宋体"/>
          <w:color w:val="auto"/>
          <w:sz w:val="24"/>
          <w:szCs w:val="24"/>
        </w:rPr>
      </w:pPr>
      <w:r>
        <w:rPr>
          <w:rFonts w:ascii="宋体" w:hAnsi="宋体" w:eastAsia="宋体" w:cs="宋体"/>
          <w:b/>
          <w:bCs/>
          <w:color w:val="auto"/>
          <w:spacing w:val="-2"/>
          <w:sz w:val="24"/>
          <w:szCs w:val="24"/>
        </w:rPr>
        <w:t>对通过初步性磋商和符合性磋商的供应商进行</w:t>
      </w:r>
      <w:r>
        <w:rPr>
          <w:rFonts w:ascii="宋体" w:hAnsi="宋体" w:eastAsia="宋体" w:cs="宋体"/>
          <w:b/>
          <w:bCs/>
          <w:color w:val="auto"/>
          <w:spacing w:val="-3"/>
          <w:sz w:val="24"/>
          <w:szCs w:val="24"/>
        </w:rPr>
        <w:t>磋商</w:t>
      </w:r>
    </w:p>
    <w:p w14:paraId="01CA531D">
      <w:pPr>
        <w:spacing w:before="114" w:line="308" w:lineRule="auto"/>
        <w:ind w:left="542" w:right="540" w:firstLine="501"/>
        <w:rPr>
          <w:rFonts w:ascii="宋体" w:hAnsi="宋体" w:eastAsia="宋体" w:cs="宋体"/>
          <w:color w:val="auto"/>
          <w:sz w:val="24"/>
          <w:szCs w:val="24"/>
        </w:rPr>
      </w:pPr>
      <w:r>
        <w:rPr>
          <w:rFonts w:ascii="宋体" w:hAnsi="宋体" w:eastAsia="宋体" w:cs="宋体"/>
          <w:color w:val="auto"/>
          <w:spacing w:val="1"/>
          <w:sz w:val="24"/>
          <w:szCs w:val="24"/>
        </w:rPr>
        <w:t>1. 磋商委员会将按照公开、公平、公正的原则对待</w:t>
      </w:r>
      <w:r>
        <w:rPr>
          <w:rFonts w:ascii="宋体" w:hAnsi="宋体" w:eastAsia="宋体" w:cs="宋体"/>
          <w:color w:val="auto"/>
          <w:sz w:val="24"/>
          <w:szCs w:val="24"/>
        </w:rPr>
        <w:t>所有参与磋商单位。具体工</w:t>
      </w:r>
      <w:r>
        <w:rPr>
          <w:rFonts w:ascii="宋体" w:hAnsi="宋体" w:eastAsia="宋体" w:cs="宋体"/>
          <w:color w:val="auto"/>
          <w:spacing w:val="-3"/>
          <w:sz w:val="24"/>
          <w:szCs w:val="24"/>
        </w:rPr>
        <w:t>作流程：</w:t>
      </w:r>
    </w:p>
    <w:p w14:paraId="76457FD9">
      <w:pPr>
        <w:spacing w:before="1" w:line="220" w:lineRule="auto"/>
        <w:ind w:left="1025"/>
        <w:rPr>
          <w:rFonts w:ascii="宋体" w:hAnsi="宋体" w:eastAsia="宋体" w:cs="宋体"/>
          <w:color w:val="auto"/>
          <w:sz w:val="24"/>
          <w:szCs w:val="24"/>
        </w:rPr>
      </w:pPr>
      <w:r>
        <w:rPr>
          <w:rFonts w:ascii="宋体" w:hAnsi="宋体" w:eastAsia="宋体" w:cs="宋体"/>
          <w:color w:val="auto"/>
          <w:spacing w:val="-1"/>
          <w:sz w:val="24"/>
          <w:szCs w:val="24"/>
        </w:rPr>
        <w:t>磋商小组讨论、通过磋商工作流程和要点。</w:t>
      </w:r>
    </w:p>
    <w:p w14:paraId="7C2DEEA3">
      <w:pPr>
        <w:spacing w:before="111" w:line="219" w:lineRule="auto"/>
        <w:ind w:left="1025"/>
        <w:rPr>
          <w:rFonts w:ascii="宋体" w:hAnsi="宋体" w:eastAsia="宋体" w:cs="宋体"/>
          <w:color w:val="auto"/>
          <w:sz w:val="24"/>
          <w:szCs w:val="24"/>
        </w:rPr>
      </w:pPr>
      <w:r>
        <w:rPr>
          <w:rFonts w:ascii="宋体" w:hAnsi="宋体" w:eastAsia="宋体" w:cs="宋体"/>
          <w:color w:val="auto"/>
          <w:spacing w:val="-1"/>
          <w:sz w:val="24"/>
          <w:szCs w:val="24"/>
        </w:rPr>
        <w:t>磋商小组审阅参与磋商的供应商的响应文件。</w:t>
      </w:r>
    </w:p>
    <w:p w14:paraId="7F8CF6FB">
      <w:pPr>
        <w:spacing w:before="116" w:line="307" w:lineRule="auto"/>
        <w:ind w:left="542" w:right="537" w:firstLine="505"/>
        <w:rPr>
          <w:rFonts w:ascii="宋体" w:hAnsi="宋体" w:eastAsia="宋体" w:cs="宋体"/>
          <w:color w:val="auto"/>
          <w:sz w:val="24"/>
          <w:szCs w:val="24"/>
        </w:rPr>
      </w:pPr>
      <w:r>
        <w:rPr>
          <w:rFonts w:ascii="宋体" w:hAnsi="宋体" w:eastAsia="宋体" w:cs="宋体"/>
          <w:color w:val="auto"/>
          <w:spacing w:val="-3"/>
          <w:sz w:val="24"/>
          <w:szCs w:val="24"/>
        </w:rPr>
        <w:t>围绕磋商要点，磋商小组全体成员集中与各有效供应商分别进行磋商。磋商文件</w:t>
      </w:r>
      <w:r>
        <w:rPr>
          <w:rFonts w:ascii="宋体" w:hAnsi="宋体" w:eastAsia="宋体" w:cs="宋体"/>
          <w:color w:val="auto"/>
          <w:spacing w:val="-1"/>
          <w:sz w:val="24"/>
          <w:szCs w:val="24"/>
        </w:rPr>
        <w:t>有实质性变动的，磋商小组将以书面形式通知所有参加的磋商单位。</w:t>
      </w:r>
    </w:p>
    <w:p w14:paraId="6C1C547A">
      <w:pPr>
        <w:spacing w:before="1" w:line="218" w:lineRule="auto"/>
        <w:ind w:left="1025"/>
        <w:rPr>
          <w:rFonts w:ascii="宋体" w:hAnsi="宋体" w:eastAsia="宋体" w:cs="宋体"/>
          <w:color w:val="auto"/>
          <w:sz w:val="24"/>
          <w:szCs w:val="24"/>
        </w:rPr>
      </w:pPr>
      <w:r>
        <w:rPr>
          <w:rFonts w:ascii="宋体" w:hAnsi="宋体" w:eastAsia="宋体" w:cs="宋体"/>
          <w:b/>
          <w:bCs/>
          <w:color w:val="auto"/>
          <w:spacing w:val="-5"/>
          <w:sz w:val="24"/>
          <w:szCs w:val="24"/>
          <w:u w:val="single" w:color="auto"/>
        </w:rPr>
        <w:t>磋商结束后，磋商小组将要求所有供应商在规定时间内确定并提交最终报价（第</w:t>
      </w:r>
    </w:p>
    <w:p w14:paraId="5FCAF64C">
      <w:pPr>
        <w:spacing w:line="218" w:lineRule="auto"/>
        <w:rPr>
          <w:rFonts w:ascii="宋体" w:hAnsi="宋体" w:eastAsia="宋体" w:cs="宋体"/>
          <w:color w:val="auto"/>
          <w:sz w:val="24"/>
          <w:szCs w:val="24"/>
        </w:rPr>
        <w:sectPr>
          <w:footerReference r:id="rId9" w:type="default"/>
          <w:pgSz w:w="11906" w:h="16839"/>
          <w:pgMar w:top="1440" w:right="1080" w:bottom="1440" w:left="1080" w:header="0" w:footer="1045" w:gutter="0"/>
          <w:pgNumType w:fmt="decimal"/>
          <w:cols w:space="720" w:num="1"/>
        </w:sectPr>
      </w:pPr>
    </w:p>
    <w:p w14:paraId="394317FC">
      <w:pPr>
        <w:spacing w:before="100" w:line="219" w:lineRule="auto"/>
        <w:rPr>
          <w:rFonts w:ascii="宋体" w:hAnsi="宋体" w:eastAsia="宋体" w:cs="宋体"/>
          <w:color w:val="auto"/>
          <w:sz w:val="24"/>
          <w:szCs w:val="24"/>
        </w:rPr>
      </w:pPr>
      <w:r>
        <w:rPr>
          <w:rFonts w:ascii="宋体" w:hAnsi="宋体" w:eastAsia="宋体" w:cs="宋体"/>
          <w:b/>
          <w:bCs/>
          <w:color w:val="auto"/>
          <w:spacing w:val="1"/>
          <w:sz w:val="24"/>
          <w:szCs w:val="24"/>
          <w:u w:val="single" w:color="auto"/>
        </w:rPr>
        <w:t>二次报价）。</w:t>
      </w:r>
    </w:p>
    <w:p w14:paraId="3B01F192">
      <w:pPr>
        <w:spacing w:before="117" w:line="308" w:lineRule="auto"/>
        <w:ind w:firstLine="477"/>
        <w:rPr>
          <w:rFonts w:ascii="宋体" w:hAnsi="宋体" w:eastAsia="宋体" w:cs="宋体"/>
          <w:color w:val="auto"/>
          <w:sz w:val="24"/>
          <w:szCs w:val="24"/>
        </w:rPr>
      </w:pPr>
      <w:r>
        <w:rPr>
          <w:rFonts w:ascii="宋体" w:hAnsi="宋体" w:eastAsia="宋体" w:cs="宋体"/>
          <w:b/>
          <w:bCs/>
          <w:color w:val="auto"/>
          <w:spacing w:val="-5"/>
          <w:sz w:val="24"/>
          <w:szCs w:val="24"/>
        </w:rPr>
        <w:t>根据各单位最终报价和合格磋商单位的响应文件进行磋商综合详细打分，按照汇</w:t>
      </w:r>
      <w:r>
        <w:rPr>
          <w:rFonts w:ascii="宋体" w:hAnsi="宋体" w:eastAsia="宋体" w:cs="宋体"/>
          <w:b/>
          <w:bCs/>
          <w:color w:val="auto"/>
          <w:spacing w:val="-3"/>
          <w:sz w:val="24"/>
          <w:szCs w:val="24"/>
        </w:rPr>
        <w:t>总得分最高的确定为成交人。</w:t>
      </w:r>
    </w:p>
    <w:p w14:paraId="04BA5E47">
      <w:pPr>
        <w:spacing w:line="308" w:lineRule="auto"/>
        <w:rPr>
          <w:rFonts w:ascii="宋体" w:hAnsi="宋体" w:eastAsia="宋体" w:cs="宋体"/>
          <w:color w:val="auto"/>
          <w:sz w:val="24"/>
          <w:szCs w:val="24"/>
        </w:rPr>
        <w:sectPr>
          <w:footerReference r:id="rId10" w:type="default"/>
          <w:pgSz w:w="11906" w:h="16839"/>
          <w:pgMar w:top="1440" w:right="1080" w:bottom="1440" w:left="1080" w:header="0" w:footer="1045" w:gutter="0"/>
          <w:pgNumType w:fmt="decimal"/>
          <w:cols w:space="720" w:num="1"/>
        </w:sectPr>
      </w:pPr>
    </w:p>
    <w:p w14:paraId="31EBAD3D">
      <w:pPr>
        <w:spacing w:before="100" w:line="221" w:lineRule="auto"/>
        <w:ind w:left="417"/>
        <w:rPr>
          <w:rFonts w:ascii="宋体" w:hAnsi="宋体" w:eastAsia="宋体" w:cs="宋体"/>
          <w:color w:val="auto"/>
          <w:sz w:val="24"/>
          <w:szCs w:val="24"/>
        </w:rPr>
      </w:pPr>
      <w:r>
        <w:rPr>
          <w:rFonts w:ascii="宋体" w:hAnsi="宋体" w:eastAsia="宋体" w:cs="宋体"/>
          <w:b/>
          <w:bCs/>
          <w:color w:val="auto"/>
          <w:spacing w:val="-4"/>
          <w:sz w:val="24"/>
          <w:szCs w:val="24"/>
        </w:rPr>
        <w:t>2、详细评审</w:t>
      </w:r>
    </w:p>
    <w:p w14:paraId="2EB1E501">
      <w:pPr>
        <w:spacing w:line="66" w:lineRule="exact"/>
        <w:rPr>
          <w:color w:val="auto"/>
        </w:rPr>
      </w:pPr>
    </w:p>
    <w:tbl>
      <w:tblPr>
        <w:tblStyle w:val="15"/>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044"/>
        <w:gridCol w:w="2099"/>
        <w:gridCol w:w="5708"/>
      </w:tblGrid>
      <w:tr w14:paraId="2D905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816" w:type="dxa"/>
            <w:gridSpan w:val="2"/>
            <w:vAlign w:val="top"/>
          </w:tcPr>
          <w:p w14:paraId="6A1E5D13">
            <w:pPr>
              <w:pStyle w:val="16"/>
              <w:spacing w:before="155" w:line="220" w:lineRule="auto"/>
              <w:ind w:left="555"/>
              <w:rPr>
                <w:color w:val="auto"/>
              </w:rPr>
            </w:pPr>
            <w:r>
              <w:rPr>
                <w:b/>
                <w:bCs/>
                <w:color w:val="auto"/>
                <w:spacing w:val="-6"/>
              </w:rPr>
              <w:t>条款号</w:t>
            </w:r>
          </w:p>
        </w:tc>
        <w:tc>
          <w:tcPr>
            <w:tcW w:w="2099" w:type="dxa"/>
            <w:vAlign w:val="top"/>
          </w:tcPr>
          <w:p w14:paraId="7931F032">
            <w:pPr>
              <w:pStyle w:val="16"/>
              <w:spacing w:before="155" w:line="220" w:lineRule="auto"/>
              <w:ind w:left="572"/>
              <w:rPr>
                <w:color w:val="auto"/>
              </w:rPr>
            </w:pPr>
            <w:r>
              <w:rPr>
                <w:b/>
                <w:bCs/>
                <w:color w:val="auto"/>
                <w:spacing w:val="-5"/>
              </w:rPr>
              <w:t>评审因素</w:t>
            </w:r>
          </w:p>
        </w:tc>
        <w:tc>
          <w:tcPr>
            <w:tcW w:w="5708" w:type="dxa"/>
            <w:vAlign w:val="top"/>
          </w:tcPr>
          <w:p w14:paraId="6DC7BAD9">
            <w:pPr>
              <w:pStyle w:val="16"/>
              <w:spacing w:before="154" w:line="221" w:lineRule="auto"/>
              <w:ind w:left="2378"/>
              <w:rPr>
                <w:color w:val="auto"/>
              </w:rPr>
            </w:pPr>
            <w:r>
              <w:rPr>
                <w:b/>
                <w:bCs/>
                <w:color w:val="auto"/>
                <w:spacing w:val="-5"/>
              </w:rPr>
              <w:t>评审标准</w:t>
            </w:r>
          </w:p>
        </w:tc>
      </w:tr>
      <w:tr w14:paraId="7E1A6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816" w:type="dxa"/>
            <w:gridSpan w:val="2"/>
            <w:vAlign w:val="top"/>
          </w:tcPr>
          <w:p w14:paraId="0ED73806">
            <w:pPr>
              <w:pStyle w:val="16"/>
              <w:spacing w:before="198"/>
              <w:ind w:left="618"/>
              <w:rPr>
                <w:color w:val="auto"/>
              </w:rPr>
            </w:pPr>
            <w:r>
              <w:rPr>
                <w:color w:val="auto"/>
                <w:spacing w:val="-3"/>
              </w:rPr>
              <w:t>2.2.1</w:t>
            </w:r>
          </w:p>
        </w:tc>
        <w:tc>
          <w:tcPr>
            <w:tcW w:w="2099" w:type="dxa"/>
            <w:vAlign w:val="top"/>
          </w:tcPr>
          <w:p w14:paraId="5D8D70A0">
            <w:pPr>
              <w:pStyle w:val="16"/>
              <w:spacing w:before="43" w:line="220" w:lineRule="auto"/>
              <w:ind w:left="578"/>
              <w:rPr>
                <w:color w:val="auto"/>
              </w:rPr>
            </w:pPr>
            <w:r>
              <w:rPr>
                <w:color w:val="auto"/>
                <w:spacing w:val="-4"/>
              </w:rPr>
              <w:t>分值构成</w:t>
            </w:r>
          </w:p>
          <w:p w14:paraId="3EABE151">
            <w:pPr>
              <w:pStyle w:val="16"/>
              <w:spacing w:before="25" w:line="215" w:lineRule="auto"/>
              <w:ind w:left="378"/>
              <w:rPr>
                <w:color w:val="auto"/>
              </w:rPr>
            </w:pPr>
            <w:r>
              <w:rPr>
                <w:color w:val="auto"/>
                <w:spacing w:val="-12"/>
              </w:rPr>
              <w:t>(总分</w:t>
            </w:r>
            <w:r>
              <w:rPr>
                <w:color w:val="auto"/>
                <w:spacing w:val="-29"/>
              </w:rPr>
              <w:t xml:space="preserve"> </w:t>
            </w:r>
            <w:r>
              <w:rPr>
                <w:color w:val="auto"/>
                <w:spacing w:val="-12"/>
              </w:rPr>
              <w:t>100</w:t>
            </w:r>
            <w:r>
              <w:rPr>
                <w:color w:val="auto"/>
                <w:spacing w:val="-48"/>
              </w:rPr>
              <w:t xml:space="preserve"> </w:t>
            </w:r>
            <w:r>
              <w:rPr>
                <w:color w:val="auto"/>
                <w:spacing w:val="-12"/>
              </w:rPr>
              <w:t>分)</w:t>
            </w:r>
          </w:p>
        </w:tc>
        <w:tc>
          <w:tcPr>
            <w:tcW w:w="5708" w:type="dxa"/>
            <w:vAlign w:val="top"/>
          </w:tcPr>
          <w:p w14:paraId="2037DCA8">
            <w:pPr>
              <w:pStyle w:val="16"/>
              <w:spacing w:before="43" w:line="219" w:lineRule="auto"/>
              <w:ind w:left="62"/>
              <w:rPr>
                <w:color w:val="auto"/>
              </w:rPr>
            </w:pPr>
            <w:r>
              <w:rPr>
                <w:color w:val="auto"/>
                <w:spacing w:val="-2"/>
              </w:rPr>
              <w:t>施工组织设计：50</w:t>
            </w:r>
            <w:r>
              <w:rPr>
                <w:color w:val="auto"/>
                <w:spacing w:val="-36"/>
              </w:rPr>
              <w:t xml:space="preserve"> </w:t>
            </w:r>
            <w:r>
              <w:rPr>
                <w:color w:val="auto"/>
                <w:spacing w:val="-2"/>
              </w:rPr>
              <w:t>分；  项目管理机构:8</w:t>
            </w:r>
            <w:r>
              <w:rPr>
                <w:color w:val="auto"/>
                <w:spacing w:val="-48"/>
              </w:rPr>
              <w:t xml:space="preserve"> </w:t>
            </w:r>
            <w:r>
              <w:rPr>
                <w:color w:val="auto"/>
                <w:spacing w:val="-2"/>
              </w:rPr>
              <w:t>分；</w:t>
            </w:r>
          </w:p>
          <w:p w14:paraId="3226543B">
            <w:pPr>
              <w:pStyle w:val="16"/>
              <w:spacing w:before="26" w:line="215" w:lineRule="auto"/>
              <w:ind w:left="62"/>
              <w:rPr>
                <w:color w:val="auto"/>
              </w:rPr>
            </w:pPr>
            <w:r>
              <w:rPr>
                <w:color w:val="auto"/>
                <w:spacing w:val="-2"/>
              </w:rPr>
              <w:t>磋商报价：30</w:t>
            </w:r>
            <w:r>
              <w:rPr>
                <w:color w:val="auto"/>
                <w:spacing w:val="-30"/>
              </w:rPr>
              <w:t xml:space="preserve"> </w:t>
            </w:r>
            <w:r>
              <w:rPr>
                <w:color w:val="auto"/>
                <w:spacing w:val="-2"/>
              </w:rPr>
              <w:t>分；      其他评分因素：12</w:t>
            </w:r>
            <w:r>
              <w:rPr>
                <w:color w:val="auto"/>
                <w:spacing w:val="-48"/>
              </w:rPr>
              <w:t xml:space="preserve"> </w:t>
            </w:r>
            <w:r>
              <w:rPr>
                <w:color w:val="auto"/>
                <w:spacing w:val="-2"/>
              </w:rPr>
              <w:t>分。</w:t>
            </w:r>
          </w:p>
        </w:tc>
      </w:tr>
      <w:tr w14:paraId="27AE5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1816" w:type="dxa"/>
            <w:gridSpan w:val="2"/>
            <w:vAlign w:val="top"/>
          </w:tcPr>
          <w:p w14:paraId="5451FECC">
            <w:pPr>
              <w:spacing w:line="432" w:lineRule="auto"/>
              <w:rPr>
                <w:rFonts w:ascii="Arial"/>
                <w:color w:val="auto"/>
                <w:sz w:val="21"/>
              </w:rPr>
            </w:pPr>
          </w:p>
          <w:p w14:paraId="142DCB1B">
            <w:pPr>
              <w:pStyle w:val="16"/>
              <w:spacing w:before="78"/>
              <w:ind w:left="618"/>
              <w:rPr>
                <w:color w:val="auto"/>
              </w:rPr>
            </w:pPr>
            <w:r>
              <w:rPr>
                <w:color w:val="auto"/>
                <w:spacing w:val="-3"/>
              </w:rPr>
              <w:t>2.2.2</w:t>
            </w:r>
          </w:p>
        </w:tc>
        <w:tc>
          <w:tcPr>
            <w:tcW w:w="2099" w:type="dxa"/>
            <w:vAlign w:val="top"/>
          </w:tcPr>
          <w:p w14:paraId="28B305A0">
            <w:pPr>
              <w:spacing w:line="277" w:lineRule="auto"/>
              <w:rPr>
                <w:rFonts w:ascii="Arial"/>
                <w:color w:val="auto"/>
                <w:sz w:val="21"/>
              </w:rPr>
            </w:pPr>
          </w:p>
          <w:p w14:paraId="06880582">
            <w:pPr>
              <w:pStyle w:val="16"/>
              <w:spacing w:before="78" w:line="243" w:lineRule="auto"/>
              <w:ind w:left="815" w:right="87" w:hanging="721"/>
              <w:rPr>
                <w:color w:val="auto"/>
              </w:rPr>
            </w:pPr>
            <w:r>
              <w:rPr>
                <w:color w:val="auto"/>
                <w:spacing w:val="-2"/>
              </w:rPr>
              <w:t>磋商报价得分计算</w:t>
            </w:r>
            <w:r>
              <w:rPr>
                <w:color w:val="auto"/>
                <w:spacing w:val="-6"/>
              </w:rPr>
              <w:t>方法</w:t>
            </w:r>
          </w:p>
        </w:tc>
        <w:tc>
          <w:tcPr>
            <w:tcW w:w="5708" w:type="dxa"/>
            <w:vAlign w:val="top"/>
          </w:tcPr>
          <w:p w14:paraId="6D7D545E">
            <w:pPr>
              <w:pStyle w:val="16"/>
              <w:spacing w:before="47" w:line="234" w:lineRule="auto"/>
              <w:ind w:left="64" w:right="57" w:firstLine="26"/>
              <w:jc w:val="both"/>
              <w:rPr>
                <w:color w:val="auto"/>
              </w:rPr>
            </w:pPr>
            <w:r>
              <w:rPr>
                <w:color w:val="auto"/>
                <w:spacing w:val="1"/>
              </w:rPr>
              <w:t>以所有有效最后磋商报价中最低报价为磋商基准价，</w:t>
            </w:r>
            <w:r>
              <w:rPr>
                <w:color w:val="auto"/>
                <w:spacing w:val="-4"/>
              </w:rPr>
              <w:t>其报价得分为</w:t>
            </w:r>
            <w:r>
              <w:rPr>
                <w:color w:val="auto"/>
                <w:spacing w:val="-36"/>
              </w:rPr>
              <w:t xml:space="preserve"> </w:t>
            </w:r>
            <w:r>
              <w:rPr>
                <w:color w:val="auto"/>
                <w:spacing w:val="-4"/>
              </w:rPr>
              <w:t>30</w:t>
            </w:r>
            <w:r>
              <w:rPr>
                <w:color w:val="auto"/>
                <w:spacing w:val="-48"/>
              </w:rPr>
              <w:t xml:space="preserve"> </w:t>
            </w:r>
            <w:r>
              <w:rPr>
                <w:color w:val="auto"/>
                <w:spacing w:val="-4"/>
              </w:rPr>
              <w:t>分，其他合格投标人的磋商报价得分</w:t>
            </w:r>
            <w:r>
              <w:rPr>
                <w:color w:val="auto"/>
                <w:spacing w:val="1"/>
              </w:rPr>
              <w:t>按照下列公式计算：磋商报价得分</w:t>
            </w:r>
            <w:r>
              <w:rPr>
                <w:color w:val="auto"/>
                <w:spacing w:val="-41"/>
              </w:rPr>
              <w:t>＝（</w:t>
            </w:r>
            <w:r>
              <w:rPr>
                <w:color w:val="auto"/>
                <w:spacing w:val="1"/>
              </w:rPr>
              <w:t>磋商基准价/最</w:t>
            </w:r>
            <w:r>
              <w:rPr>
                <w:color w:val="auto"/>
                <w:spacing w:val="-6"/>
              </w:rPr>
              <w:t>后磋商报价）</w:t>
            </w:r>
            <w:r>
              <w:rPr>
                <w:color w:val="auto"/>
                <w:spacing w:val="-70"/>
              </w:rPr>
              <w:t xml:space="preserve"> </w:t>
            </w:r>
            <w:r>
              <w:rPr>
                <w:color w:val="auto"/>
                <w:spacing w:val="-6"/>
              </w:rPr>
              <w:t>×价格权值（0.30）</w:t>
            </w:r>
            <w:r>
              <w:rPr>
                <w:color w:val="auto"/>
                <w:spacing w:val="-77"/>
              </w:rPr>
              <w:t xml:space="preserve"> </w:t>
            </w:r>
            <w:r>
              <w:rPr>
                <w:color w:val="auto"/>
                <w:spacing w:val="-6"/>
              </w:rPr>
              <w:t>×</w:t>
            </w:r>
            <w:r>
              <w:rPr>
                <w:color w:val="auto"/>
                <w:spacing w:val="-93"/>
              </w:rPr>
              <w:t xml:space="preserve"> </w:t>
            </w:r>
            <w:r>
              <w:rPr>
                <w:color w:val="auto"/>
                <w:spacing w:val="-6"/>
              </w:rPr>
              <w:t>100。</w:t>
            </w:r>
          </w:p>
        </w:tc>
      </w:tr>
      <w:tr w14:paraId="2C2B3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816" w:type="dxa"/>
            <w:gridSpan w:val="2"/>
            <w:vAlign w:val="top"/>
          </w:tcPr>
          <w:p w14:paraId="4677D8D3">
            <w:pPr>
              <w:pStyle w:val="16"/>
              <w:spacing w:before="58" w:line="220" w:lineRule="auto"/>
              <w:ind w:left="557"/>
              <w:rPr>
                <w:color w:val="auto"/>
              </w:rPr>
            </w:pPr>
            <w:r>
              <w:rPr>
                <w:color w:val="auto"/>
                <w:spacing w:val="-4"/>
              </w:rPr>
              <w:t>条款号</w:t>
            </w:r>
          </w:p>
        </w:tc>
        <w:tc>
          <w:tcPr>
            <w:tcW w:w="2099" w:type="dxa"/>
            <w:vAlign w:val="top"/>
          </w:tcPr>
          <w:p w14:paraId="0CE14FFD">
            <w:pPr>
              <w:pStyle w:val="16"/>
              <w:spacing w:before="58" w:line="220" w:lineRule="auto"/>
              <w:ind w:left="574"/>
              <w:rPr>
                <w:color w:val="auto"/>
              </w:rPr>
            </w:pPr>
            <w:r>
              <w:rPr>
                <w:color w:val="auto"/>
                <w:spacing w:val="-3"/>
              </w:rPr>
              <w:t>评分因素</w:t>
            </w:r>
          </w:p>
        </w:tc>
        <w:tc>
          <w:tcPr>
            <w:tcW w:w="5708" w:type="dxa"/>
            <w:vAlign w:val="top"/>
          </w:tcPr>
          <w:p w14:paraId="6BCC9DC9">
            <w:pPr>
              <w:pStyle w:val="16"/>
              <w:spacing w:before="58" w:line="221" w:lineRule="auto"/>
              <w:ind w:left="2378"/>
              <w:rPr>
                <w:color w:val="auto"/>
              </w:rPr>
            </w:pPr>
            <w:r>
              <w:rPr>
                <w:color w:val="auto"/>
                <w:spacing w:val="-3"/>
              </w:rPr>
              <w:t>评分标准</w:t>
            </w:r>
          </w:p>
        </w:tc>
      </w:tr>
      <w:tr w14:paraId="07012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772" w:type="dxa"/>
            <w:vMerge w:val="restart"/>
            <w:tcBorders>
              <w:bottom w:val="nil"/>
            </w:tcBorders>
            <w:vAlign w:val="top"/>
          </w:tcPr>
          <w:p w14:paraId="11D5FB41">
            <w:pPr>
              <w:rPr>
                <w:rFonts w:ascii="Arial"/>
                <w:color w:val="auto"/>
                <w:sz w:val="21"/>
              </w:rPr>
            </w:pPr>
          </w:p>
          <w:p w14:paraId="0D16799A">
            <w:pPr>
              <w:rPr>
                <w:rFonts w:ascii="Arial"/>
                <w:color w:val="auto"/>
                <w:sz w:val="21"/>
              </w:rPr>
            </w:pPr>
          </w:p>
          <w:p w14:paraId="4D9F0C9A">
            <w:pPr>
              <w:rPr>
                <w:rFonts w:ascii="Arial"/>
                <w:color w:val="auto"/>
                <w:sz w:val="21"/>
              </w:rPr>
            </w:pPr>
          </w:p>
          <w:p w14:paraId="768A4832">
            <w:pPr>
              <w:rPr>
                <w:rFonts w:ascii="Arial"/>
                <w:color w:val="auto"/>
                <w:sz w:val="21"/>
              </w:rPr>
            </w:pPr>
          </w:p>
          <w:p w14:paraId="77972402">
            <w:pPr>
              <w:rPr>
                <w:rFonts w:ascii="Arial"/>
                <w:color w:val="auto"/>
                <w:sz w:val="21"/>
              </w:rPr>
            </w:pPr>
          </w:p>
          <w:p w14:paraId="6AA12D9A">
            <w:pPr>
              <w:rPr>
                <w:rFonts w:ascii="Arial"/>
                <w:color w:val="auto"/>
                <w:sz w:val="21"/>
              </w:rPr>
            </w:pPr>
          </w:p>
          <w:p w14:paraId="77EE9710">
            <w:pPr>
              <w:rPr>
                <w:rFonts w:ascii="Arial"/>
                <w:color w:val="auto"/>
                <w:sz w:val="21"/>
              </w:rPr>
            </w:pPr>
          </w:p>
          <w:p w14:paraId="7F70A9D3">
            <w:pPr>
              <w:rPr>
                <w:rFonts w:ascii="Arial"/>
                <w:color w:val="auto"/>
                <w:sz w:val="21"/>
              </w:rPr>
            </w:pPr>
          </w:p>
          <w:p w14:paraId="61D1C05A">
            <w:pPr>
              <w:rPr>
                <w:rFonts w:ascii="Arial"/>
                <w:color w:val="auto"/>
                <w:sz w:val="21"/>
              </w:rPr>
            </w:pPr>
          </w:p>
          <w:p w14:paraId="54B058E8">
            <w:pPr>
              <w:rPr>
                <w:rFonts w:ascii="Arial"/>
                <w:color w:val="auto"/>
                <w:sz w:val="21"/>
              </w:rPr>
            </w:pPr>
          </w:p>
          <w:p w14:paraId="5B1FF849">
            <w:pPr>
              <w:rPr>
                <w:rFonts w:ascii="Arial"/>
                <w:color w:val="auto"/>
                <w:sz w:val="21"/>
              </w:rPr>
            </w:pPr>
          </w:p>
          <w:p w14:paraId="51D3E467">
            <w:pPr>
              <w:rPr>
                <w:rFonts w:ascii="Arial"/>
                <w:color w:val="auto"/>
                <w:sz w:val="21"/>
              </w:rPr>
            </w:pPr>
          </w:p>
          <w:p w14:paraId="0E5265E5">
            <w:pPr>
              <w:spacing w:line="241" w:lineRule="auto"/>
              <w:rPr>
                <w:rFonts w:ascii="Arial"/>
                <w:color w:val="auto"/>
                <w:sz w:val="21"/>
              </w:rPr>
            </w:pPr>
          </w:p>
          <w:p w14:paraId="0D17B4D2">
            <w:pPr>
              <w:spacing w:line="241" w:lineRule="auto"/>
              <w:rPr>
                <w:rFonts w:ascii="Arial"/>
                <w:color w:val="auto"/>
                <w:sz w:val="21"/>
              </w:rPr>
            </w:pPr>
          </w:p>
          <w:p w14:paraId="4249D386">
            <w:pPr>
              <w:spacing w:line="241" w:lineRule="auto"/>
              <w:rPr>
                <w:rFonts w:ascii="Arial"/>
                <w:color w:val="auto"/>
                <w:sz w:val="21"/>
              </w:rPr>
            </w:pPr>
          </w:p>
          <w:p w14:paraId="1D15632A">
            <w:pPr>
              <w:spacing w:line="241" w:lineRule="auto"/>
              <w:rPr>
                <w:rFonts w:ascii="Arial"/>
                <w:color w:val="auto"/>
                <w:sz w:val="21"/>
              </w:rPr>
            </w:pPr>
          </w:p>
          <w:p w14:paraId="5C05DFB6">
            <w:pPr>
              <w:spacing w:line="241" w:lineRule="auto"/>
              <w:rPr>
                <w:rFonts w:ascii="Arial"/>
                <w:color w:val="auto"/>
                <w:sz w:val="21"/>
              </w:rPr>
            </w:pPr>
          </w:p>
          <w:p w14:paraId="389865E2">
            <w:pPr>
              <w:spacing w:line="241" w:lineRule="auto"/>
              <w:rPr>
                <w:rFonts w:ascii="Arial"/>
                <w:color w:val="auto"/>
                <w:sz w:val="21"/>
              </w:rPr>
            </w:pPr>
          </w:p>
          <w:p w14:paraId="70C7CC93">
            <w:pPr>
              <w:pStyle w:val="16"/>
              <w:spacing w:before="78" w:line="238" w:lineRule="auto"/>
              <w:ind w:left="95"/>
              <w:rPr>
                <w:color w:val="auto"/>
              </w:rPr>
            </w:pPr>
            <w:r>
              <w:rPr>
                <w:color w:val="auto"/>
                <w:spacing w:val="-3"/>
              </w:rPr>
              <w:t>2.2.3</w:t>
            </w:r>
          </w:p>
          <w:p w14:paraId="55C77E2D">
            <w:pPr>
              <w:pStyle w:val="16"/>
              <w:spacing w:before="1" w:line="222" w:lineRule="auto"/>
              <w:ind w:left="254"/>
              <w:rPr>
                <w:color w:val="auto"/>
              </w:rPr>
            </w:pPr>
            <w:r>
              <w:rPr>
                <w:color w:val="auto"/>
                <w:spacing w:val="-18"/>
              </w:rPr>
              <w:t>(l)</w:t>
            </w:r>
          </w:p>
        </w:tc>
        <w:tc>
          <w:tcPr>
            <w:tcW w:w="1044" w:type="dxa"/>
            <w:vMerge w:val="restart"/>
            <w:tcBorders>
              <w:bottom w:val="nil"/>
            </w:tcBorders>
            <w:vAlign w:val="top"/>
          </w:tcPr>
          <w:p w14:paraId="42BB0932">
            <w:pPr>
              <w:spacing w:line="245" w:lineRule="auto"/>
              <w:rPr>
                <w:rFonts w:ascii="Arial"/>
                <w:color w:val="auto"/>
                <w:sz w:val="21"/>
              </w:rPr>
            </w:pPr>
          </w:p>
          <w:p w14:paraId="5B0D7F12">
            <w:pPr>
              <w:spacing w:line="245" w:lineRule="auto"/>
              <w:rPr>
                <w:rFonts w:ascii="Arial"/>
                <w:color w:val="auto"/>
                <w:sz w:val="21"/>
              </w:rPr>
            </w:pPr>
          </w:p>
          <w:p w14:paraId="7D88751A">
            <w:pPr>
              <w:spacing w:line="245" w:lineRule="auto"/>
              <w:rPr>
                <w:rFonts w:ascii="Arial"/>
                <w:color w:val="auto"/>
                <w:sz w:val="21"/>
              </w:rPr>
            </w:pPr>
          </w:p>
          <w:p w14:paraId="66CB7948">
            <w:pPr>
              <w:spacing w:line="245" w:lineRule="auto"/>
              <w:rPr>
                <w:rFonts w:ascii="Arial"/>
                <w:color w:val="auto"/>
                <w:sz w:val="21"/>
              </w:rPr>
            </w:pPr>
          </w:p>
          <w:p w14:paraId="064D01DA">
            <w:pPr>
              <w:spacing w:line="245" w:lineRule="auto"/>
              <w:rPr>
                <w:rFonts w:ascii="Arial"/>
                <w:color w:val="auto"/>
                <w:sz w:val="21"/>
              </w:rPr>
            </w:pPr>
          </w:p>
          <w:p w14:paraId="73ABF69E">
            <w:pPr>
              <w:spacing w:line="245" w:lineRule="auto"/>
              <w:rPr>
                <w:rFonts w:ascii="Arial"/>
                <w:color w:val="auto"/>
                <w:sz w:val="21"/>
              </w:rPr>
            </w:pPr>
          </w:p>
          <w:p w14:paraId="6DB52E7F">
            <w:pPr>
              <w:spacing w:line="245" w:lineRule="auto"/>
              <w:rPr>
                <w:rFonts w:ascii="Arial"/>
                <w:color w:val="auto"/>
                <w:sz w:val="21"/>
              </w:rPr>
            </w:pPr>
          </w:p>
          <w:p w14:paraId="156FF16A">
            <w:pPr>
              <w:spacing w:line="245" w:lineRule="auto"/>
              <w:rPr>
                <w:rFonts w:ascii="Arial"/>
                <w:color w:val="auto"/>
                <w:sz w:val="21"/>
              </w:rPr>
            </w:pPr>
          </w:p>
          <w:p w14:paraId="237E2C10">
            <w:pPr>
              <w:spacing w:line="245" w:lineRule="auto"/>
              <w:rPr>
                <w:rFonts w:ascii="Arial"/>
                <w:color w:val="auto"/>
                <w:sz w:val="21"/>
              </w:rPr>
            </w:pPr>
          </w:p>
          <w:p w14:paraId="4DEBFF71">
            <w:pPr>
              <w:spacing w:line="245" w:lineRule="auto"/>
              <w:rPr>
                <w:rFonts w:ascii="Arial"/>
                <w:color w:val="auto"/>
                <w:sz w:val="21"/>
              </w:rPr>
            </w:pPr>
          </w:p>
          <w:p w14:paraId="27713E8D">
            <w:pPr>
              <w:spacing w:line="245" w:lineRule="auto"/>
              <w:rPr>
                <w:rFonts w:ascii="Arial"/>
                <w:color w:val="auto"/>
                <w:sz w:val="21"/>
              </w:rPr>
            </w:pPr>
          </w:p>
          <w:p w14:paraId="4E8E587F">
            <w:pPr>
              <w:spacing w:line="245" w:lineRule="auto"/>
              <w:rPr>
                <w:rFonts w:ascii="Arial"/>
                <w:color w:val="auto"/>
                <w:sz w:val="21"/>
              </w:rPr>
            </w:pPr>
          </w:p>
          <w:p w14:paraId="25CDF210">
            <w:pPr>
              <w:spacing w:line="246" w:lineRule="auto"/>
              <w:rPr>
                <w:rFonts w:ascii="Arial"/>
                <w:color w:val="auto"/>
                <w:sz w:val="21"/>
              </w:rPr>
            </w:pPr>
          </w:p>
          <w:p w14:paraId="5841F6DB">
            <w:pPr>
              <w:spacing w:line="246" w:lineRule="auto"/>
              <w:rPr>
                <w:rFonts w:ascii="Arial"/>
                <w:color w:val="auto"/>
                <w:sz w:val="21"/>
              </w:rPr>
            </w:pPr>
          </w:p>
          <w:p w14:paraId="0207EA68">
            <w:pPr>
              <w:spacing w:line="246" w:lineRule="auto"/>
              <w:rPr>
                <w:rFonts w:ascii="Arial"/>
                <w:color w:val="auto"/>
                <w:sz w:val="21"/>
              </w:rPr>
            </w:pPr>
          </w:p>
          <w:p w14:paraId="50EC795F">
            <w:pPr>
              <w:spacing w:line="246" w:lineRule="auto"/>
              <w:rPr>
                <w:rFonts w:ascii="Arial"/>
                <w:color w:val="auto"/>
                <w:sz w:val="21"/>
              </w:rPr>
            </w:pPr>
          </w:p>
          <w:p w14:paraId="541C4950">
            <w:pPr>
              <w:spacing w:line="246" w:lineRule="auto"/>
              <w:rPr>
                <w:rFonts w:ascii="Arial"/>
                <w:color w:val="auto"/>
                <w:sz w:val="21"/>
              </w:rPr>
            </w:pPr>
          </w:p>
          <w:p w14:paraId="60F0613C">
            <w:pPr>
              <w:pStyle w:val="16"/>
              <w:spacing w:before="78" w:line="241" w:lineRule="auto"/>
              <w:ind w:left="73" w:firstLine="91"/>
              <w:jc w:val="both"/>
              <w:rPr>
                <w:color w:val="auto"/>
              </w:rPr>
            </w:pPr>
            <w:r>
              <w:rPr>
                <w:color w:val="auto"/>
                <w:spacing w:val="-6"/>
              </w:rPr>
              <w:t>施工组</w:t>
            </w:r>
            <w:r>
              <w:rPr>
                <w:color w:val="auto"/>
                <w:spacing w:val="24"/>
              </w:rPr>
              <w:t>织设计</w:t>
            </w:r>
            <w:r>
              <w:rPr>
                <w:color w:val="auto"/>
                <w:spacing w:val="-14"/>
              </w:rPr>
              <w:t>（50</w:t>
            </w:r>
            <w:r>
              <w:rPr>
                <w:color w:val="auto"/>
                <w:spacing w:val="-46"/>
              </w:rPr>
              <w:t xml:space="preserve"> </w:t>
            </w:r>
            <w:r>
              <w:rPr>
                <w:color w:val="auto"/>
                <w:spacing w:val="-14"/>
              </w:rPr>
              <w:t>分）</w:t>
            </w:r>
          </w:p>
        </w:tc>
        <w:tc>
          <w:tcPr>
            <w:tcW w:w="2099" w:type="dxa"/>
            <w:vAlign w:val="top"/>
          </w:tcPr>
          <w:p w14:paraId="71E93E97">
            <w:pPr>
              <w:spacing w:line="421" w:lineRule="auto"/>
              <w:rPr>
                <w:rFonts w:ascii="Arial"/>
                <w:color w:val="auto"/>
                <w:sz w:val="21"/>
              </w:rPr>
            </w:pPr>
          </w:p>
          <w:p w14:paraId="786C1C12">
            <w:pPr>
              <w:pStyle w:val="16"/>
              <w:spacing w:before="78" w:line="242" w:lineRule="auto"/>
              <w:ind w:left="577" w:right="87" w:hanging="453"/>
              <w:rPr>
                <w:color w:val="auto"/>
              </w:rPr>
            </w:pPr>
            <w:r>
              <w:rPr>
                <w:color w:val="auto"/>
                <w:spacing w:val="-5"/>
              </w:rPr>
              <w:t>内容完整性和编制</w:t>
            </w:r>
            <w:r>
              <w:rPr>
                <w:color w:val="auto"/>
                <w:spacing w:val="-7"/>
              </w:rPr>
              <w:t>水平</w:t>
            </w:r>
            <w:r>
              <w:rPr>
                <w:color w:val="auto"/>
                <w:spacing w:val="-46"/>
              </w:rPr>
              <w:t xml:space="preserve"> </w:t>
            </w:r>
            <w:r>
              <w:rPr>
                <w:color w:val="auto"/>
                <w:spacing w:val="-7"/>
              </w:rPr>
              <w:t>2</w:t>
            </w:r>
            <w:r>
              <w:rPr>
                <w:color w:val="auto"/>
                <w:spacing w:val="-47"/>
              </w:rPr>
              <w:t xml:space="preserve"> </w:t>
            </w:r>
            <w:r>
              <w:rPr>
                <w:color w:val="auto"/>
                <w:spacing w:val="-7"/>
              </w:rPr>
              <w:t>分</w:t>
            </w:r>
          </w:p>
        </w:tc>
        <w:tc>
          <w:tcPr>
            <w:tcW w:w="5708" w:type="dxa"/>
            <w:vAlign w:val="top"/>
          </w:tcPr>
          <w:p w14:paraId="6DDB0BC4">
            <w:pPr>
              <w:pStyle w:val="16"/>
              <w:spacing w:before="35" w:line="233" w:lineRule="auto"/>
              <w:ind w:left="63"/>
              <w:jc w:val="both"/>
              <w:rPr>
                <w:color w:val="auto"/>
              </w:rPr>
            </w:pPr>
            <w:r>
              <w:rPr>
                <w:color w:val="auto"/>
                <w:spacing w:val="-2"/>
              </w:rPr>
              <w:t>根据供应商提供的施工组织设计的齐全、完整性进行</w:t>
            </w:r>
            <w:r>
              <w:rPr>
                <w:color w:val="auto"/>
                <w:spacing w:val="-5"/>
              </w:rPr>
              <w:t>综合评价，各项内容齐全完整、清楚全面、切实</w:t>
            </w:r>
            <w:r>
              <w:rPr>
                <w:color w:val="auto"/>
                <w:spacing w:val="-6"/>
              </w:rPr>
              <w:t>可行、</w:t>
            </w:r>
            <w:r>
              <w:rPr>
                <w:color w:val="auto"/>
                <w:spacing w:val="-3"/>
              </w:rPr>
              <w:t>无疏忽遗漏，得</w:t>
            </w:r>
            <w:r>
              <w:rPr>
                <w:color w:val="auto"/>
                <w:spacing w:val="-37"/>
              </w:rPr>
              <w:t xml:space="preserve"> </w:t>
            </w:r>
            <w:r>
              <w:rPr>
                <w:color w:val="auto"/>
                <w:spacing w:val="-3"/>
              </w:rPr>
              <w:t>2</w:t>
            </w:r>
            <w:r>
              <w:rPr>
                <w:color w:val="auto"/>
                <w:spacing w:val="-48"/>
              </w:rPr>
              <w:t xml:space="preserve"> </w:t>
            </w:r>
            <w:r>
              <w:rPr>
                <w:color w:val="auto"/>
                <w:spacing w:val="-3"/>
              </w:rPr>
              <w:t>分；施工组织设计基本可行、有缺</w:t>
            </w:r>
            <w:r>
              <w:rPr>
                <w:color w:val="auto"/>
                <w:spacing w:val="-2"/>
              </w:rPr>
              <w:t>项但影响不大，得</w:t>
            </w:r>
            <w:r>
              <w:rPr>
                <w:color w:val="auto"/>
                <w:spacing w:val="-33"/>
              </w:rPr>
              <w:t xml:space="preserve"> </w:t>
            </w:r>
            <w:r>
              <w:rPr>
                <w:color w:val="auto"/>
                <w:spacing w:val="-2"/>
              </w:rPr>
              <w:t>1</w:t>
            </w:r>
            <w:r>
              <w:rPr>
                <w:color w:val="auto"/>
                <w:spacing w:val="-48"/>
              </w:rPr>
              <w:t xml:space="preserve"> </w:t>
            </w:r>
            <w:r>
              <w:rPr>
                <w:color w:val="auto"/>
                <w:spacing w:val="-2"/>
              </w:rPr>
              <w:t>分，内容描述不全面、不可行，</w:t>
            </w:r>
            <w:r>
              <w:rPr>
                <w:color w:val="auto"/>
                <w:spacing w:val="-10"/>
              </w:rPr>
              <w:t>得</w:t>
            </w:r>
            <w:r>
              <w:rPr>
                <w:color w:val="auto"/>
                <w:spacing w:val="-47"/>
              </w:rPr>
              <w:t xml:space="preserve"> </w:t>
            </w:r>
            <w:r>
              <w:rPr>
                <w:color w:val="auto"/>
                <w:spacing w:val="-10"/>
              </w:rPr>
              <w:t>0</w:t>
            </w:r>
            <w:r>
              <w:rPr>
                <w:color w:val="auto"/>
                <w:spacing w:val="-48"/>
              </w:rPr>
              <w:t xml:space="preserve"> </w:t>
            </w:r>
            <w:r>
              <w:rPr>
                <w:color w:val="auto"/>
                <w:spacing w:val="-10"/>
              </w:rPr>
              <w:t>分。</w:t>
            </w:r>
          </w:p>
        </w:tc>
      </w:tr>
      <w:tr w14:paraId="76316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0" w:hRule="atLeast"/>
        </w:trPr>
        <w:tc>
          <w:tcPr>
            <w:tcW w:w="772" w:type="dxa"/>
            <w:vMerge w:val="continue"/>
            <w:tcBorders>
              <w:top w:val="nil"/>
              <w:bottom w:val="nil"/>
            </w:tcBorders>
            <w:vAlign w:val="top"/>
          </w:tcPr>
          <w:p w14:paraId="7448024E">
            <w:pPr>
              <w:rPr>
                <w:rFonts w:ascii="Arial"/>
                <w:color w:val="auto"/>
                <w:sz w:val="21"/>
              </w:rPr>
            </w:pPr>
          </w:p>
        </w:tc>
        <w:tc>
          <w:tcPr>
            <w:tcW w:w="1044" w:type="dxa"/>
            <w:vMerge w:val="continue"/>
            <w:tcBorders>
              <w:top w:val="nil"/>
              <w:bottom w:val="nil"/>
            </w:tcBorders>
            <w:vAlign w:val="top"/>
          </w:tcPr>
          <w:p w14:paraId="5220D1EF">
            <w:pPr>
              <w:rPr>
                <w:rFonts w:ascii="Arial"/>
                <w:color w:val="auto"/>
                <w:sz w:val="21"/>
              </w:rPr>
            </w:pPr>
          </w:p>
        </w:tc>
        <w:tc>
          <w:tcPr>
            <w:tcW w:w="2099" w:type="dxa"/>
            <w:vAlign w:val="top"/>
          </w:tcPr>
          <w:p w14:paraId="71B5FB9E">
            <w:pPr>
              <w:spacing w:line="276" w:lineRule="auto"/>
              <w:rPr>
                <w:rFonts w:ascii="Arial"/>
                <w:color w:val="auto"/>
                <w:sz w:val="21"/>
              </w:rPr>
            </w:pPr>
          </w:p>
          <w:p w14:paraId="40BDB5DB">
            <w:pPr>
              <w:spacing w:line="276" w:lineRule="auto"/>
              <w:rPr>
                <w:rFonts w:ascii="Arial"/>
                <w:color w:val="auto"/>
                <w:sz w:val="21"/>
              </w:rPr>
            </w:pPr>
          </w:p>
          <w:p w14:paraId="65CCA037">
            <w:pPr>
              <w:spacing w:line="277" w:lineRule="auto"/>
              <w:rPr>
                <w:rFonts w:ascii="Arial"/>
                <w:color w:val="auto"/>
                <w:sz w:val="21"/>
              </w:rPr>
            </w:pPr>
          </w:p>
          <w:p w14:paraId="1EE3E1DD">
            <w:pPr>
              <w:spacing w:line="277" w:lineRule="auto"/>
              <w:rPr>
                <w:rFonts w:ascii="Arial"/>
                <w:color w:val="auto"/>
                <w:sz w:val="21"/>
              </w:rPr>
            </w:pPr>
          </w:p>
          <w:p w14:paraId="06B25B48">
            <w:pPr>
              <w:spacing w:line="277" w:lineRule="auto"/>
              <w:rPr>
                <w:rFonts w:ascii="Arial"/>
                <w:color w:val="auto"/>
                <w:sz w:val="21"/>
              </w:rPr>
            </w:pPr>
          </w:p>
          <w:p w14:paraId="302A5A02">
            <w:pPr>
              <w:spacing w:line="277" w:lineRule="auto"/>
              <w:rPr>
                <w:rFonts w:ascii="Arial"/>
                <w:color w:val="auto"/>
                <w:sz w:val="21"/>
              </w:rPr>
            </w:pPr>
          </w:p>
          <w:p w14:paraId="4779E7D3">
            <w:pPr>
              <w:pStyle w:val="16"/>
              <w:spacing w:before="78" w:line="242" w:lineRule="auto"/>
              <w:ind w:left="605" w:right="87" w:hanging="511"/>
              <w:rPr>
                <w:color w:val="auto"/>
              </w:rPr>
            </w:pPr>
            <w:r>
              <w:rPr>
                <w:color w:val="auto"/>
                <w:spacing w:val="-2"/>
              </w:rPr>
              <w:t>施工方案与技术措</w:t>
            </w:r>
            <w:r>
              <w:rPr>
                <w:color w:val="auto"/>
                <w:spacing w:val="-9"/>
              </w:rPr>
              <w:t>施</w:t>
            </w:r>
            <w:r>
              <w:rPr>
                <w:color w:val="auto"/>
                <w:spacing w:val="27"/>
              </w:rPr>
              <w:t xml:space="preserve"> </w:t>
            </w:r>
            <w:r>
              <w:rPr>
                <w:color w:val="auto"/>
                <w:spacing w:val="-9"/>
              </w:rPr>
              <w:t>10</w:t>
            </w:r>
            <w:r>
              <w:rPr>
                <w:color w:val="auto"/>
                <w:spacing w:val="-48"/>
              </w:rPr>
              <w:t xml:space="preserve"> </w:t>
            </w:r>
            <w:r>
              <w:rPr>
                <w:color w:val="auto"/>
                <w:spacing w:val="-9"/>
              </w:rPr>
              <w:t>分</w:t>
            </w:r>
          </w:p>
        </w:tc>
        <w:tc>
          <w:tcPr>
            <w:tcW w:w="5708" w:type="dxa"/>
            <w:vAlign w:val="top"/>
          </w:tcPr>
          <w:p w14:paraId="2BCE8AE8">
            <w:pPr>
              <w:pStyle w:val="16"/>
              <w:spacing w:before="40" w:line="239" w:lineRule="auto"/>
              <w:ind w:left="63" w:right="129"/>
              <w:rPr>
                <w:color w:val="auto"/>
              </w:rPr>
            </w:pPr>
            <w:r>
              <w:rPr>
                <w:color w:val="auto"/>
                <w:spacing w:val="-1"/>
              </w:rPr>
              <w:t>供应商针对本项目制定施工方案与技术措施，要求包括但不限于：①主要施工工序流程、②主要工种施工方法、③分部分项工程施工方案、④现场交叉施工管理方案、⑤对施工重点、难点的解决方案和可行保证</w:t>
            </w:r>
            <w:r>
              <w:rPr>
                <w:color w:val="auto"/>
                <w:spacing w:val="-3"/>
              </w:rPr>
              <w:t>措施等。</w:t>
            </w:r>
          </w:p>
          <w:p w14:paraId="51DC3E86">
            <w:pPr>
              <w:pStyle w:val="16"/>
              <w:spacing w:line="239" w:lineRule="auto"/>
              <w:ind w:left="63" w:right="129" w:firstLine="1"/>
              <w:rPr>
                <w:color w:val="auto"/>
              </w:rPr>
            </w:pPr>
            <w:r>
              <w:rPr>
                <w:color w:val="auto"/>
                <w:spacing w:val="-1"/>
              </w:rPr>
              <w:t>上述小项方案具有针对性和可行性、清晰明确、内容</w:t>
            </w:r>
            <w:r>
              <w:rPr>
                <w:color w:val="auto"/>
                <w:spacing w:val="-2"/>
              </w:rPr>
              <w:t>全面合理、满足采购人实际需求的每项得</w:t>
            </w:r>
            <w:r>
              <w:rPr>
                <w:color w:val="auto"/>
                <w:spacing w:val="-41"/>
              </w:rPr>
              <w:t xml:space="preserve"> </w:t>
            </w:r>
            <w:r>
              <w:rPr>
                <w:color w:val="auto"/>
                <w:spacing w:val="-2"/>
              </w:rPr>
              <w:t>2</w:t>
            </w:r>
            <w:r>
              <w:rPr>
                <w:color w:val="auto"/>
                <w:spacing w:val="-48"/>
              </w:rPr>
              <w:t xml:space="preserve"> </w:t>
            </w:r>
            <w:r>
              <w:rPr>
                <w:color w:val="auto"/>
                <w:spacing w:val="-2"/>
              </w:rPr>
              <w:t>分。</w:t>
            </w:r>
          </w:p>
          <w:p w14:paraId="522A6E0D">
            <w:pPr>
              <w:pStyle w:val="16"/>
              <w:spacing w:before="1" w:line="239" w:lineRule="auto"/>
              <w:ind w:left="75" w:right="129" w:hanging="13"/>
              <w:rPr>
                <w:color w:val="auto"/>
              </w:rPr>
            </w:pPr>
            <w:r>
              <w:rPr>
                <w:color w:val="auto"/>
                <w:spacing w:val="-2"/>
              </w:rPr>
              <w:t>存在一般缺陷的小项方案得</w:t>
            </w:r>
            <w:r>
              <w:rPr>
                <w:color w:val="auto"/>
                <w:spacing w:val="-33"/>
              </w:rPr>
              <w:t xml:space="preserve"> </w:t>
            </w:r>
            <w:r>
              <w:rPr>
                <w:color w:val="auto"/>
                <w:spacing w:val="-2"/>
              </w:rPr>
              <w:t>1</w:t>
            </w:r>
            <w:r>
              <w:rPr>
                <w:color w:val="auto"/>
                <w:spacing w:val="-48"/>
              </w:rPr>
              <w:t xml:space="preserve"> </w:t>
            </w:r>
            <w:r>
              <w:rPr>
                <w:color w:val="auto"/>
                <w:spacing w:val="-2"/>
              </w:rPr>
              <w:t>分（一般缺陷是</w:t>
            </w:r>
            <w:r>
              <w:rPr>
                <w:color w:val="auto"/>
                <w:spacing w:val="-3"/>
              </w:rPr>
              <w:t>指方案</w:t>
            </w:r>
            <w:r>
              <w:rPr>
                <w:color w:val="auto"/>
                <w:spacing w:val="-1"/>
              </w:rPr>
              <w:t>内容前后不一致、前后逻辑错误、内容有缺失，不影</w:t>
            </w:r>
            <w:r>
              <w:rPr>
                <w:color w:val="auto"/>
                <w:spacing w:val="-3"/>
              </w:rPr>
              <w:t>响项目的实施）。</w:t>
            </w:r>
          </w:p>
          <w:p w14:paraId="019F2003">
            <w:pPr>
              <w:pStyle w:val="16"/>
              <w:spacing w:before="1" w:line="228" w:lineRule="auto"/>
              <w:ind w:left="61" w:right="129" w:firstLine="5"/>
              <w:rPr>
                <w:color w:val="auto"/>
              </w:rPr>
            </w:pPr>
            <w:r>
              <w:rPr>
                <w:color w:val="auto"/>
                <w:spacing w:val="-1"/>
              </w:rPr>
              <w:t>未提供或存在重大缺陷的小项方案不得分（重大缺陷是指方案凭空编造、套用其他方案、与采购项目和采购需求无关，无法指导项目实施）。</w:t>
            </w:r>
          </w:p>
        </w:tc>
      </w:tr>
      <w:tr w14:paraId="761E0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5" w:hRule="atLeast"/>
        </w:trPr>
        <w:tc>
          <w:tcPr>
            <w:tcW w:w="772" w:type="dxa"/>
            <w:vMerge w:val="continue"/>
            <w:tcBorders>
              <w:top w:val="nil"/>
            </w:tcBorders>
            <w:vAlign w:val="top"/>
          </w:tcPr>
          <w:p w14:paraId="6C5ECB57">
            <w:pPr>
              <w:rPr>
                <w:rFonts w:ascii="Arial"/>
                <w:color w:val="auto"/>
                <w:sz w:val="21"/>
              </w:rPr>
            </w:pPr>
          </w:p>
        </w:tc>
        <w:tc>
          <w:tcPr>
            <w:tcW w:w="1044" w:type="dxa"/>
            <w:vMerge w:val="continue"/>
            <w:tcBorders>
              <w:top w:val="nil"/>
            </w:tcBorders>
            <w:vAlign w:val="top"/>
          </w:tcPr>
          <w:p w14:paraId="592F53A5">
            <w:pPr>
              <w:rPr>
                <w:rFonts w:ascii="Arial"/>
                <w:color w:val="auto"/>
                <w:sz w:val="21"/>
              </w:rPr>
            </w:pPr>
          </w:p>
        </w:tc>
        <w:tc>
          <w:tcPr>
            <w:tcW w:w="2099" w:type="dxa"/>
            <w:vAlign w:val="top"/>
          </w:tcPr>
          <w:p w14:paraId="1B77496D">
            <w:pPr>
              <w:spacing w:line="255" w:lineRule="auto"/>
              <w:rPr>
                <w:rFonts w:ascii="Arial"/>
                <w:color w:val="auto"/>
                <w:sz w:val="21"/>
              </w:rPr>
            </w:pPr>
          </w:p>
          <w:p w14:paraId="62E84966">
            <w:pPr>
              <w:spacing w:line="255" w:lineRule="auto"/>
              <w:rPr>
                <w:rFonts w:ascii="Arial"/>
                <w:color w:val="auto"/>
                <w:sz w:val="21"/>
              </w:rPr>
            </w:pPr>
          </w:p>
          <w:p w14:paraId="73E9DE14">
            <w:pPr>
              <w:spacing w:line="256" w:lineRule="auto"/>
              <w:rPr>
                <w:rFonts w:ascii="Arial"/>
                <w:color w:val="auto"/>
                <w:sz w:val="21"/>
              </w:rPr>
            </w:pPr>
          </w:p>
          <w:p w14:paraId="670C7F2A">
            <w:pPr>
              <w:spacing w:line="256" w:lineRule="auto"/>
              <w:rPr>
                <w:rFonts w:ascii="Arial"/>
                <w:color w:val="auto"/>
                <w:sz w:val="21"/>
              </w:rPr>
            </w:pPr>
          </w:p>
          <w:p w14:paraId="11B255C8">
            <w:pPr>
              <w:spacing w:line="256" w:lineRule="auto"/>
              <w:rPr>
                <w:rFonts w:ascii="Arial"/>
                <w:color w:val="auto"/>
                <w:sz w:val="21"/>
              </w:rPr>
            </w:pPr>
          </w:p>
          <w:p w14:paraId="0A41D3DF">
            <w:pPr>
              <w:spacing w:line="256" w:lineRule="auto"/>
              <w:rPr>
                <w:rFonts w:ascii="Arial"/>
                <w:color w:val="auto"/>
                <w:sz w:val="21"/>
              </w:rPr>
            </w:pPr>
          </w:p>
          <w:p w14:paraId="69333A92">
            <w:pPr>
              <w:pStyle w:val="16"/>
              <w:spacing w:before="78" w:line="242" w:lineRule="auto"/>
              <w:ind w:left="694" w:right="87" w:hanging="598"/>
              <w:rPr>
                <w:color w:val="auto"/>
              </w:rPr>
            </w:pPr>
            <w:r>
              <w:rPr>
                <w:color w:val="auto"/>
                <w:spacing w:val="-2"/>
              </w:rPr>
              <w:t>质量管理体系与措</w:t>
            </w:r>
            <w:r>
              <w:rPr>
                <w:color w:val="auto"/>
                <w:spacing w:val="-7"/>
              </w:rPr>
              <w:t>施</w:t>
            </w:r>
            <w:r>
              <w:rPr>
                <w:color w:val="auto"/>
                <w:spacing w:val="-49"/>
              </w:rPr>
              <w:t xml:space="preserve"> </w:t>
            </w:r>
            <w:r>
              <w:rPr>
                <w:color w:val="auto"/>
                <w:spacing w:val="-7"/>
              </w:rPr>
              <w:t>6</w:t>
            </w:r>
            <w:r>
              <w:rPr>
                <w:color w:val="auto"/>
                <w:spacing w:val="-48"/>
              </w:rPr>
              <w:t xml:space="preserve"> </w:t>
            </w:r>
            <w:r>
              <w:rPr>
                <w:color w:val="auto"/>
                <w:spacing w:val="-7"/>
              </w:rPr>
              <w:t>分</w:t>
            </w:r>
          </w:p>
        </w:tc>
        <w:tc>
          <w:tcPr>
            <w:tcW w:w="5708" w:type="dxa"/>
            <w:vAlign w:val="top"/>
          </w:tcPr>
          <w:p w14:paraId="7777C786">
            <w:pPr>
              <w:pStyle w:val="16"/>
              <w:spacing w:before="221" w:line="239" w:lineRule="auto"/>
              <w:ind w:left="63" w:right="129"/>
              <w:rPr>
                <w:color w:val="auto"/>
              </w:rPr>
            </w:pPr>
            <w:r>
              <w:rPr>
                <w:color w:val="auto"/>
                <w:spacing w:val="-1"/>
              </w:rPr>
              <w:t>供应商针对本项目制定质量管理体系与措施，要求包括但不限于：①施工技术质量管理体系、②施工过程质量保障措施、③主要材料质量保障措施。</w:t>
            </w:r>
          </w:p>
          <w:p w14:paraId="6AEB9F33">
            <w:pPr>
              <w:pStyle w:val="16"/>
              <w:ind w:left="63" w:right="129" w:firstLine="1"/>
              <w:rPr>
                <w:color w:val="auto"/>
              </w:rPr>
            </w:pPr>
            <w:r>
              <w:rPr>
                <w:color w:val="auto"/>
                <w:spacing w:val="-1"/>
              </w:rPr>
              <w:t>上述小项方案具有针对性和可行性、清晰明确、内容</w:t>
            </w:r>
            <w:r>
              <w:rPr>
                <w:color w:val="auto"/>
                <w:spacing w:val="-2"/>
              </w:rPr>
              <w:t>全面合理、满足采购人实际需求的每项得</w:t>
            </w:r>
            <w:r>
              <w:rPr>
                <w:color w:val="auto"/>
                <w:spacing w:val="-41"/>
              </w:rPr>
              <w:t xml:space="preserve"> </w:t>
            </w:r>
            <w:r>
              <w:rPr>
                <w:color w:val="auto"/>
                <w:spacing w:val="-2"/>
              </w:rPr>
              <w:t>2</w:t>
            </w:r>
            <w:r>
              <w:rPr>
                <w:color w:val="auto"/>
                <w:spacing w:val="-48"/>
              </w:rPr>
              <w:t xml:space="preserve"> </w:t>
            </w:r>
            <w:r>
              <w:rPr>
                <w:color w:val="auto"/>
                <w:spacing w:val="-2"/>
              </w:rPr>
              <w:t>分。</w:t>
            </w:r>
          </w:p>
          <w:p w14:paraId="77425324">
            <w:pPr>
              <w:pStyle w:val="16"/>
              <w:spacing w:before="1" w:line="239" w:lineRule="auto"/>
              <w:ind w:left="75" w:right="129" w:hanging="13"/>
              <w:rPr>
                <w:color w:val="auto"/>
              </w:rPr>
            </w:pPr>
            <w:r>
              <w:rPr>
                <w:color w:val="auto"/>
                <w:spacing w:val="-2"/>
              </w:rPr>
              <w:t>存在一般缺陷的小项方案得</w:t>
            </w:r>
            <w:r>
              <w:rPr>
                <w:color w:val="auto"/>
                <w:spacing w:val="-33"/>
              </w:rPr>
              <w:t xml:space="preserve"> </w:t>
            </w:r>
            <w:r>
              <w:rPr>
                <w:color w:val="auto"/>
                <w:spacing w:val="-2"/>
              </w:rPr>
              <w:t>1</w:t>
            </w:r>
            <w:r>
              <w:rPr>
                <w:color w:val="auto"/>
                <w:spacing w:val="-48"/>
              </w:rPr>
              <w:t xml:space="preserve"> </w:t>
            </w:r>
            <w:r>
              <w:rPr>
                <w:color w:val="auto"/>
                <w:spacing w:val="-2"/>
              </w:rPr>
              <w:t>分（一般缺陷是</w:t>
            </w:r>
            <w:r>
              <w:rPr>
                <w:color w:val="auto"/>
                <w:spacing w:val="-3"/>
              </w:rPr>
              <w:t>指方案</w:t>
            </w:r>
            <w:r>
              <w:rPr>
                <w:color w:val="auto"/>
                <w:spacing w:val="-1"/>
              </w:rPr>
              <w:t>内容前后不一致、前后逻辑错误、内容有缺失，不影</w:t>
            </w:r>
            <w:r>
              <w:rPr>
                <w:color w:val="auto"/>
                <w:spacing w:val="-3"/>
              </w:rPr>
              <w:t>响项目的实施）。</w:t>
            </w:r>
          </w:p>
          <w:p w14:paraId="26AC28EB">
            <w:pPr>
              <w:pStyle w:val="16"/>
              <w:spacing w:before="2"/>
              <w:ind w:left="61" w:right="129" w:firstLine="5"/>
              <w:rPr>
                <w:color w:val="auto"/>
              </w:rPr>
            </w:pPr>
            <w:r>
              <w:rPr>
                <w:color w:val="auto"/>
                <w:spacing w:val="-1"/>
              </w:rPr>
              <w:t>未提供或存在重大缺陷的小项方案不得分（重大缺陷是指方案凭空编造、套用其他方案、与采购项目和采购需求无关，无法指导项目实施）。</w:t>
            </w:r>
          </w:p>
        </w:tc>
      </w:tr>
    </w:tbl>
    <w:p w14:paraId="4DE66171">
      <w:pPr>
        <w:pStyle w:val="2"/>
        <w:rPr>
          <w:color w:val="auto"/>
        </w:rPr>
      </w:pPr>
    </w:p>
    <w:p w14:paraId="20F3D457">
      <w:pPr>
        <w:rPr>
          <w:color w:val="auto"/>
        </w:rPr>
        <w:sectPr>
          <w:footerReference r:id="rId11" w:type="default"/>
          <w:pgSz w:w="11906" w:h="16839"/>
          <w:pgMar w:top="1440" w:right="1080" w:bottom="1440" w:left="1080" w:header="0" w:footer="1045" w:gutter="0"/>
          <w:pgNumType w:fmt="decimal"/>
          <w:cols w:space="720" w:num="1"/>
        </w:sectPr>
      </w:pPr>
    </w:p>
    <w:tbl>
      <w:tblPr>
        <w:tblStyle w:val="15"/>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044"/>
        <w:gridCol w:w="2099"/>
        <w:gridCol w:w="5708"/>
      </w:tblGrid>
      <w:tr w14:paraId="57A9A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7" w:hRule="atLeast"/>
        </w:trPr>
        <w:tc>
          <w:tcPr>
            <w:tcW w:w="772" w:type="dxa"/>
            <w:vMerge w:val="restart"/>
            <w:tcBorders>
              <w:bottom w:val="nil"/>
            </w:tcBorders>
            <w:vAlign w:val="top"/>
          </w:tcPr>
          <w:p w14:paraId="1300EAC1">
            <w:pPr>
              <w:rPr>
                <w:rFonts w:ascii="Arial"/>
                <w:color w:val="auto"/>
                <w:sz w:val="21"/>
              </w:rPr>
            </w:pPr>
          </w:p>
        </w:tc>
        <w:tc>
          <w:tcPr>
            <w:tcW w:w="1044" w:type="dxa"/>
            <w:vMerge w:val="restart"/>
            <w:tcBorders>
              <w:bottom w:val="nil"/>
            </w:tcBorders>
            <w:vAlign w:val="top"/>
          </w:tcPr>
          <w:p w14:paraId="281924CF">
            <w:pPr>
              <w:rPr>
                <w:rFonts w:ascii="Arial"/>
                <w:color w:val="auto"/>
                <w:sz w:val="21"/>
              </w:rPr>
            </w:pPr>
          </w:p>
        </w:tc>
        <w:tc>
          <w:tcPr>
            <w:tcW w:w="2099" w:type="dxa"/>
            <w:vAlign w:val="top"/>
          </w:tcPr>
          <w:p w14:paraId="3D8F5886">
            <w:pPr>
              <w:spacing w:line="256" w:lineRule="auto"/>
              <w:rPr>
                <w:rFonts w:ascii="Arial"/>
                <w:color w:val="auto"/>
                <w:sz w:val="21"/>
              </w:rPr>
            </w:pPr>
          </w:p>
          <w:p w14:paraId="7187D04D">
            <w:pPr>
              <w:spacing w:line="256" w:lineRule="auto"/>
              <w:rPr>
                <w:rFonts w:ascii="Arial"/>
                <w:color w:val="auto"/>
                <w:sz w:val="21"/>
              </w:rPr>
            </w:pPr>
          </w:p>
          <w:p w14:paraId="705BC2A7">
            <w:pPr>
              <w:spacing w:line="256" w:lineRule="auto"/>
              <w:rPr>
                <w:rFonts w:ascii="Arial"/>
                <w:color w:val="auto"/>
                <w:sz w:val="21"/>
              </w:rPr>
            </w:pPr>
          </w:p>
          <w:p w14:paraId="5956C8F2">
            <w:pPr>
              <w:spacing w:line="256" w:lineRule="auto"/>
              <w:rPr>
                <w:rFonts w:ascii="Arial"/>
                <w:color w:val="auto"/>
                <w:sz w:val="21"/>
              </w:rPr>
            </w:pPr>
          </w:p>
          <w:p w14:paraId="6576879B">
            <w:pPr>
              <w:spacing w:line="256" w:lineRule="auto"/>
              <w:rPr>
                <w:rFonts w:ascii="Arial"/>
                <w:color w:val="auto"/>
                <w:sz w:val="21"/>
              </w:rPr>
            </w:pPr>
          </w:p>
          <w:p w14:paraId="26889EE4">
            <w:pPr>
              <w:spacing w:line="257" w:lineRule="auto"/>
              <w:rPr>
                <w:rFonts w:ascii="Arial"/>
                <w:color w:val="auto"/>
                <w:sz w:val="21"/>
              </w:rPr>
            </w:pPr>
          </w:p>
          <w:p w14:paraId="28EBF8AE">
            <w:pPr>
              <w:pStyle w:val="16"/>
              <w:spacing w:before="78" w:line="242" w:lineRule="auto"/>
              <w:ind w:left="694" w:right="87" w:hanging="596"/>
              <w:rPr>
                <w:color w:val="auto"/>
              </w:rPr>
            </w:pPr>
            <w:r>
              <w:rPr>
                <w:color w:val="auto"/>
                <w:spacing w:val="-2"/>
              </w:rPr>
              <w:t>工程进度计划与措</w:t>
            </w:r>
            <w:r>
              <w:rPr>
                <w:color w:val="auto"/>
                <w:spacing w:val="-6"/>
              </w:rPr>
              <w:t>施</w:t>
            </w:r>
            <w:r>
              <w:rPr>
                <w:color w:val="auto"/>
                <w:spacing w:val="-52"/>
              </w:rPr>
              <w:t xml:space="preserve"> </w:t>
            </w:r>
            <w:r>
              <w:rPr>
                <w:color w:val="auto"/>
                <w:spacing w:val="-6"/>
              </w:rPr>
              <w:t>4</w:t>
            </w:r>
            <w:r>
              <w:rPr>
                <w:color w:val="auto"/>
                <w:spacing w:val="-48"/>
              </w:rPr>
              <w:t xml:space="preserve"> </w:t>
            </w:r>
            <w:r>
              <w:rPr>
                <w:color w:val="auto"/>
                <w:spacing w:val="-6"/>
              </w:rPr>
              <w:t>分</w:t>
            </w:r>
          </w:p>
        </w:tc>
        <w:tc>
          <w:tcPr>
            <w:tcW w:w="5708" w:type="dxa"/>
            <w:vAlign w:val="top"/>
          </w:tcPr>
          <w:p w14:paraId="767B9BEA">
            <w:pPr>
              <w:pStyle w:val="16"/>
              <w:spacing w:before="68" w:line="239" w:lineRule="auto"/>
              <w:ind w:left="63" w:right="129"/>
              <w:rPr>
                <w:color w:val="auto"/>
              </w:rPr>
            </w:pPr>
            <w:r>
              <w:rPr>
                <w:color w:val="auto"/>
                <w:spacing w:val="-1"/>
              </w:rPr>
              <w:t>供应商针对本项目制定工程进度计划与措施，要求包括但不限于：①施工进度计划安排②工期保证措施</w:t>
            </w:r>
          </w:p>
          <w:p w14:paraId="24772238">
            <w:pPr>
              <w:pStyle w:val="16"/>
              <w:spacing w:line="220" w:lineRule="auto"/>
              <w:ind w:left="65"/>
              <w:rPr>
                <w:color w:val="auto"/>
              </w:rPr>
            </w:pPr>
            <w:r>
              <w:rPr>
                <w:color w:val="auto"/>
                <w:spacing w:val="-6"/>
              </w:rPr>
              <w:t>等。</w:t>
            </w:r>
          </w:p>
          <w:p w14:paraId="12BADB9E">
            <w:pPr>
              <w:pStyle w:val="16"/>
              <w:spacing w:before="23"/>
              <w:ind w:left="62" w:right="129" w:firstLine="2"/>
              <w:rPr>
                <w:color w:val="auto"/>
              </w:rPr>
            </w:pPr>
            <w:r>
              <w:rPr>
                <w:color w:val="auto"/>
                <w:spacing w:val="-1"/>
              </w:rPr>
              <w:t>上述小项方案具有针对性和可行性、清晰明确、内容全面合理、关键时间节点有明确、深入的表述、满足</w:t>
            </w:r>
            <w:r>
              <w:rPr>
                <w:color w:val="auto"/>
                <w:spacing w:val="-3"/>
              </w:rPr>
              <w:t>采购人实际需求的每项得</w:t>
            </w:r>
            <w:r>
              <w:rPr>
                <w:color w:val="auto"/>
                <w:spacing w:val="-40"/>
              </w:rPr>
              <w:t xml:space="preserve"> </w:t>
            </w:r>
            <w:r>
              <w:rPr>
                <w:color w:val="auto"/>
                <w:spacing w:val="-3"/>
              </w:rPr>
              <w:t>2</w:t>
            </w:r>
            <w:r>
              <w:rPr>
                <w:color w:val="auto"/>
                <w:spacing w:val="-48"/>
              </w:rPr>
              <w:t xml:space="preserve"> </w:t>
            </w:r>
            <w:r>
              <w:rPr>
                <w:color w:val="auto"/>
                <w:spacing w:val="-3"/>
              </w:rPr>
              <w:t>分。</w:t>
            </w:r>
          </w:p>
          <w:p w14:paraId="730D0EE4">
            <w:pPr>
              <w:pStyle w:val="16"/>
              <w:spacing w:before="1" w:line="239" w:lineRule="auto"/>
              <w:ind w:left="75" w:right="129" w:hanging="13"/>
              <w:rPr>
                <w:color w:val="auto"/>
              </w:rPr>
            </w:pPr>
            <w:r>
              <w:rPr>
                <w:color w:val="auto"/>
                <w:spacing w:val="-2"/>
              </w:rPr>
              <w:t>存在一般缺陷的小项方案得</w:t>
            </w:r>
            <w:r>
              <w:rPr>
                <w:color w:val="auto"/>
                <w:spacing w:val="-33"/>
              </w:rPr>
              <w:t xml:space="preserve"> </w:t>
            </w:r>
            <w:r>
              <w:rPr>
                <w:color w:val="auto"/>
                <w:spacing w:val="-2"/>
              </w:rPr>
              <w:t>1</w:t>
            </w:r>
            <w:r>
              <w:rPr>
                <w:color w:val="auto"/>
                <w:spacing w:val="-48"/>
              </w:rPr>
              <w:t xml:space="preserve"> </w:t>
            </w:r>
            <w:r>
              <w:rPr>
                <w:color w:val="auto"/>
                <w:spacing w:val="-2"/>
              </w:rPr>
              <w:t>分（一般缺陷是</w:t>
            </w:r>
            <w:r>
              <w:rPr>
                <w:color w:val="auto"/>
                <w:spacing w:val="-3"/>
              </w:rPr>
              <w:t>指方案</w:t>
            </w:r>
            <w:r>
              <w:rPr>
                <w:color w:val="auto"/>
                <w:spacing w:val="-1"/>
              </w:rPr>
              <w:t>内容前后不一致、前后逻辑错误、内容有缺失，不影</w:t>
            </w:r>
            <w:r>
              <w:rPr>
                <w:color w:val="auto"/>
                <w:spacing w:val="-3"/>
              </w:rPr>
              <w:t>响项目的实施）。</w:t>
            </w:r>
          </w:p>
          <w:p w14:paraId="3EA59DE3">
            <w:pPr>
              <w:pStyle w:val="16"/>
              <w:spacing w:before="1" w:line="235" w:lineRule="auto"/>
              <w:ind w:left="61" w:right="129" w:firstLine="5"/>
              <w:rPr>
                <w:color w:val="auto"/>
              </w:rPr>
            </w:pPr>
            <w:r>
              <w:rPr>
                <w:color w:val="auto"/>
                <w:spacing w:val="-1"/>
              </w:rPr>
              <w:t>未提供或存在重大缺陷的小项方案不得分（重大缺陷是指方案凭空编造、套用其他方案、与采购项目和采购需求无关，无法指导项目实施）。</w:t>
            </w:r>
          </w:p>
        </w:tc>
      </w:tr>
      <w:tr w14:paraId="4E003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8" w:hRule="atLeast"/>
        </w:trPr>
        <w:tc>
          <w:tcPr>
            <w:tcW w:w="772" w:type="dxa"/>
            <w:vMerge w:val="continue"/>
            <w:tcBorders>
              <w:top w:val="nil"/>
              <w:bottom w:val="nil"/>
            </w:tcBorders>
            <w:vAlign w:val="top"/>
          </w:tcPr>
          <w:p w14:paraId="1AB9443E">
            <w:pPr>
              <w:rPr>
                <w:rFonts w:ascii="Arial"/>
                <w:color w:val="auto"/>
                <w:sz w:val="21"/>
              </w:rPr>
            </w:pPr>
          </w:p>
        </w:tc>
        <w:tc>
          <w:tcPr>
            <w:tcW w:w="1044" w:type="dxa"/>
            <w:vMerge w:val="continue"/>
            <w:tcBorders>
              <w:top w:val="nil"/>
              <w:bottom w:val="nil"/>
            </w:tcBorders>
            <w:vAlign w:val="top"/>
          </w:tcPr>
          <w:p w14:paraId="2547AD61">
            <w:pPr>
              <w:rPr>
                <w:rFonts w:ascii="Arial"/>
                <w:color w:val="auto"/>
                <w:sz w:val="21"/>
              </w:rPr>
            </w:pPr>
          </w:p>
        </w:tc>
        <w:tc>
          <w:tcPr>
            <w:tcW w:w="2099" w:type="dxa"/>
            <w:vAlign w:val="top"/>
          </w:tcPr>
          <w:p w14:paraId="4A5EA559">
            <w:pPr>
              <w:spacing w:line="251" w:lineRule="auto"/>
              <w:rPr>
                <w:rFonts w:ascii="Arial"/>
                <w:color w:val="auto"/>
                <w:sz w:val="21"/>
              </w:rPr>
            </w:pPr>
          </w:p>
          <w:p w14:paraId="0C848F8D">
            <w:pPr>
              <w:spacing w:line="251" w:lineRule="auto"/>
              <w:rPr>
                <w:rFonts w:ascii="Arial"/>
                <w:color w:val="auto"/>
                <w:sz w:val="21"/>
              </w:rPr>
            </w:pPr>
          </w:p>
          <w:p w14:paraId="607098D7">
            <w:pPr>
              <w:spacing w:line="251" w:lineRule="auto"/>
              <w:rPr>
                <w:rFonts w:ascii="Arial"/>
                <w:color w:val="auto"/>
                <w:sz w:val="21"/>
              </w:rPr>
            </w:pPr>
          </w:p>
          <w:p w14:paraId="07701ADE">
            <w:pPr>
              <w:spacing w:line="251" w:lineRule="auto"/>
              <w:rPr>
                <w:rFonts w:ascii="Arial"/>
                <w:color w:val="auto"/>
                <w:sz w:val="21"/>
              </w:rPr>
            </w:pPr>
          </w:p>
          <w:p w14:paraId="2CFF582D">
            <w:pPr>
              <w:spacing w:line="251" w:lineRule="auto"/>
              <w:rPr>
                <w:rFonts w:ascii="Arial"/>
                <w:color w:val="auto"/>
                <w:sz w:val="21"/>
              </w:rPr>
            </w:pPr>
          </w:p>
          <w:p w14:paraId="713326FD">
            <w:pPr>
              <w:spacing w:line="251" w:lineRule="auto"/>
              <w:rPr>
                <w:rFonts w:ascii="Arial"/>
                <w:color w:val="auto"/>
                <w:sz w:val="21"/>
              </w:rPr>
            </w:pPr>
          </w:p>
          <w:p w14:paraId="4E25C788">
            <w:pPr>
              <w:pStyle w:val="16"/>
              <w:spacing w:before="78" w:line="241" w:lineRule="auto"/>
              <w:ind w:left="665" w:right="87" w:hanging="565"/>
              <w:rPr>
                <w:color w:val="auto"/>
              </w:rPr>
            </w:pPr>
            <w:r>
              <w:rPr>
                <w:color w:val="auto"/>
                <w:spacing w:val="-2"/>
              </w:rPr>
              <w:t>安全管理体系与措</w:t>
            </w:r>
            <w:r>
              <w:rPr>
                <w:color w:val="auto"/>
                <w:spacing w:val="-7"/>
              </w:rPr>
              <w:t>施</w:t>
            </w:r>
            <w:r>
              <w:rPr>
                <w:color w:val="auto"/>
                <w:spacing w:val="11"/>
              </w:rPr>
              <w:t xml:space="preserve"> </w:t>
            </w:r>
            <w:r>
              <w:rPr>
                <w:color w:val="auto"/>
                <w:spacing w:val="-7"/>
              </w:rPr>
              <w:t>6</w:t>
            </w:r>
            <w:r>
              <w:rPr>
                <w:color w:val="auto"/>
                <w:spacing w:val="-48"/>
              </w:rPr>
              <w:t xml:space="preserve"> </w:t>
            </w:r>
            <w:r>
              <w:rPr>
                <w:color w:val="auto"/>
                <w:spacing w:val="-7"/>
              </w:rPr>
              <w:t>分</w:t>
            </w:r>
          </w:p>
        </w:tc>
        <w:tc>
          <w:tcPr>
            <w:tcW w:w="5708" w:type="dxa"/>
            <w:vAlign w:val="top"/>
          </w:tcPr>
          <w:p w14:paraId="1E228218">
            <w:pPr>
              <w:pStyle w:val="16"/>
              <w:spacing w:before="34"/>
              <w:ind w:left="63" w:right="129"/>
              <w:rPr>
                <w:color w:val="auto"/>
              </w:rPr>
            </w:pPr>
            <w:r>
              <w:rPr>
                <w:color w:val="auto"/>
                <w:spacing w:val="-1"/>
              </w:rPr>
              <w:t>供应商针对本项目制定安全管理体系与措施，要求包括但不限于：①现场安全管理措施、②现场安全围挡保护措施、③现场人员安全培训方案及安全考核方案</w:t>
            </w:r>
            <w:r>
              <w:rPr>
                <w:color w:val="auto"/>
                <w:spacing w:val="-5"/>
              </w:rPr>
              <w:t>等。</w:t>
            </w:r>
          </w:p>
          <w:p w14:paraId="6FE17566">
            <w:pPr>
              <w:pStyle w:val="16"/>
              <w:spacing w:line="239" w:lineRule="auto"/>
              <w:ind w:left="63" w:right="129" w:firstLine="1"/>
              <w:rPr>
                <w:color w:val="auto"/>
              </w:rPr>
            </w:pPr>
            <w:r>
              <w:rPr>
                <w:color w:val="auto"/>
                <w:spacing w:val="-1"/>
              </w:rPr>
              <w:t>上述小项方案具有针对性和可行性、清晰明确、内容</w:t>
            </w:r>
            <w:r>
              <w:rPr>
                <w:color w:val="auto"/>
                <w:spacing w:val="-2"/>
              </w:rPr>
              <w:t>全面合理、满足采购人实际需求的每项得</w:t>
            </w:r>
            <w:r>
              <w:rPr>
                <w:color w:val="auto"/>
                <w:spacing w:val="-41"/>
              </w:rPr>
              <w:t xml:space="preserve"> </w:t>
            </w:r>
            <w:r>
              <w:rPr>
                <w:color w:val="auto"/>
                <w:spacing w:val="-2"/>
              </w:rPr>
              <w:t>2</w:t>
            </w:r>
            <w:r>
              <w:rPr>
                <w:color w:val="auto"/>
                <w:spacing w:val="-48"/>
              </w:rPr>
              <w:t xml:space="preserve"> </w:t>
            </w:r>
            <w:r>
              <w:rPr>
                <w:color w:val="auto"/>
                <w:spacing w:val="-2"/>
              </w:rPr>
              <w:t>分。</w:t>
            </w:r>
          </w:p>
          <w:p w14:paraId="156C4F21">
            <w:pPr>
              <w:pStyle w:val="16"/>
              <w:spacing w:before="1" w:line="239" w:lineRule="auto"/>
              <w:ind w:left="75" w:right="129" w:hanging="13"/>
              <w:rPr>
                <w:color w:val="auto"/>
              </w:rPr>
            </w:pPr>
            <w:r>
              <w:rPr>
                <w:color w:val="auto"/>
                <w:spacing w:val="-2"/>
              </w:rPr>
              <w:t>存在一般缺陷的小项方案得</w:t>
            </w:r>
            <w:r>
              <w:rPr>
                <w:color w:val="auto"/>
                <w:spacing w:val="-33"/>
              </w:rPr>
              <w:t xml:space="preserve"> </w:t>
            </w:r>
            <w:r>
              <w:rPr>
                <w:color w:val="auto"/>
                <w:spacing w:val="-2"/>
              </w:rPr>
              <w:t>1</w:t>
            </w:r>
            <w:r>
              <w:rPr>
                <w:color w:val="auto"/>
                <w:spacing w:val="-48"/>
              </w:rPr>
              <w:t xml:space="preserve"> </w:t>
            </w:r>
            <w:r>
              <w:rPr>
                <w:color w:val="auto"/>
                <w:spacing w:val="-2"/>
              </w:rPr>
              <w:t>分（一般缺陷是</w:t>
            </w:r>
            <w:r>
              <w:rPr>
                <w:color w:val="auto"/>
                <w:spacing w:val="-3"/>
              </w:rPr>
              <w:t>指方案</w:t>
            </w:r>
            <w:r>
              <w:rPr>
                <w:color w:val="auto"/>
                <w:spacing w:val="-1"/>
              </w:rPr>
              <w:t>内容前后不一致、前后逻辑错误、内容有缺失，不影</w:t>
            </w:r>
            <w:r>
              <w:rPr>
                <w:color w:val="auto"/>
                <w:spacing w:val="-3"/>
              </w:rPr>
              <w:t>响项目的实施）。</w:t>
            </w:r>
          </w:p>
          <w:p w14:paraId="2E21FB0B">
            <w:pPr>
              <w:pStyle w:val="16"/>
              <w:spacing w:line="228" w:lineRule="auto"/>
              <w:ind w:left="61" w:right="129" w:firstLine="5"/>
              <w:rPr>
                <w:color w:val="auto"/>
              </w:rPr>
            </w:pPr>
            <w:r>
              <w:rPr>
                <w:color w:val="auto"/>
                <w:spacing w:val="-1"/>
              </w:rPr>
              <w:t>未提供或存在重大缺陷的小项方案不得分（重大缺陷是指方案凭空编造、套用其他方案、与采购项目和采购需求无关，无法指导项目实施）。</w:t>
            </w:r>
          </w:p>
        </w:tc>
      </w:tr>
      <w:tr w14:paraId="7D25C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1" w:hRule="atLeast"/>
        </w:trPr>
        <w:tc>
          <w:tcPr>
            <w:tcW w:w="772" w:type="dxa"/>
            <w:vMerge w:val="continue"/>
            <w:tcBorders>
              <w:top w:val="nil"/>
            </w:tcBorders>
            <w:vAlign w:val="top"/>
          </w:tcPr>
          <w:p w14:paraId="5F08CEB4">
            <w:pPr>
              <w:rPr>
                <w:rFonts w:ascii="Arial"/>
                <w:color w:val="auto"/>
                <w:sz w:val="21"/>
              </w:rPr>
            </w:pPr>
          </w:p>
        </w:tc>
        <w:tc>
          <w:tcPr>
            <w:tcW w:w="1044" w:type="dxa"/>
            <w:vMerge w:val="continue"/>
            <w:tcBorders>
              <w:top w:val="nil"/>
            </w:tcBorders>
            <w:vAlign w:val="top"/>
          </w:tcPr>
          <w:p w14:paraId="64B4C5D5">
            <w:pPr>
              <w:rPr>
                <w:rFonts w:ascii="Arial"/>
                <w:color w:val="auto"/>
                <w:sz w:val="21"/>
              </w:rPr>
            </w:pPr>
          </w:p>
        </w:tc>
        <w:tc>
          <w:tcPr>
            <w:tcW w:w="2099" w:type="dxa"/>
            <w:vAlign w:val="top"/>
          </w:tcPr>
          <w:p w14:paraId="117E8A44">
            <w:pPr>
              <w:spacing w:line="251" w:lineRule="auto"/>
              <w:rPr>
                <w:rFonts w:ascii="Arial"/>
                <w:color w:val="auto"/>
                <w:sz w:val="21"/>
              </w:rPr>
            </w:pPr>
          </w:p>
          <w:p w14:paraId="46B7B3CF">
            <w:pPr>
              <w:spacing w:line="251" w:lineRule="auto"/>
              <w:rPr>
                <w:rFonts w:ascii="Arial"/>
                <w:color w:val="auto"/>
                <w:sz w:val="21"/>
              </w:rPr>
            </w:pPr>
          </w:p>
          <w:p w14:paraId="1CCC6661">
            <w:pPr>
              <w:spacing w:line="251" w:lineRule="auto"/>
              <w:rPr>
                <w:rFonts w:ascii="Arial"/>
                <w:color w:val="auto"/>
                <w:sz w:val="21"/>
              </w:rPr>
            </w:pPr>
          </w:p>
          <w:p w14:paraId="3D910DB6">
            <w:pPr>
              <w:spacing w:line="252" w:lineRule="auto"/>
              <w:rPr>
                <w:rFonts w:ascii="Arial"/>
                <w:color w:val="auto"/>
                <w:sz w:val="21"/>
              </w:rPr>
            </w:pPr>
          </w:p>
          <w:p w14:paraId="6277267A">
            <w:pPr>
              <w:spacing w:line="252" w:lineRule="auto"/>
              <w:rPr>
                <w:rFonts w:ascii="Arial"/>
                <w:color w:val="auto"/>
                <w:sz w:val="21"/>
              </w:rPr>
            </w:pPr>
          </w:p>
          <w:p w14:paraId="6CABE5FD">
            <w:pPr>
              <w:spacing w:line="252" w:lineRule="auto"/>
              <w:rPr>
                <w:rFonts w:ascii="Arial"/>
                <w:color w:val="auto"/>
                <w:sz w:val="21"/>
              </w:rPr>
            </w:pPr>
          </w:p>
          <w:p w14:paraId="14C0CD1F">
            <w:pPr>
              <w:pStyle w:val="16"/>
              <w:spacing w:before="78" w:line="242" w:lineRule="auto"/>
              <w:ind w:left="459" w:right="87" w:hanging="364"/>
              <w:rPr>
                <w:color w:val="auto"/>
              </w:rPr>
            </w:pPr>
            <w:r>
              <w:rPr>
                <w:color w:val="auto"/>
                <w:spacing w:val="-2"/>
              </w:rPr>
              <w:t>环境保护管理体系</w:t>
            </w:r>
            <w:r>
              <w:rPr>
                <w:color w:val="auto"/>
                <w:spacing w:val="-6"/>
              </w:rPr>
              <w:t>与措施</w:t>
            </w:r>
            <w:r>
              <w:rPr>
                <w:color w:val="auto"/>
                <w:spacing w:val="-46"/>
              </w:rPr>
              <w:t xml:space="preserve"> </w:t>
            </w:r>
            <w:r>
              <w:rPr>
                <w:color w:val="auto"/>
                <w:spacing w:val="-6"/>
              </w:rPr>
              <w:t>6</w:t>
            </w:r>
            <w:r>
              <w:rPr>
                <w:color w:val="auto"/>
                <w:spacing w:val="-47"/>
              </w:rPr>
              <w:t xml:space="preserve"> </w:t>
            </w:r>
            <w:r>
              <w:rPr>
                <w:color w:val="auto"/>
                <w:spacing w:val="-6"/>
              </w:rPr>
              <w:t>分</w:t>
            </w:r>
          </w:p>
        </w:tc>
        <w:tc>
          <w:tcPr>
            <w:tcW w:w="5708" w:type="dxa"/>
            <w:vAlign w:val="top"/>
          </w:tcPr>
          <w:p w14:paraId="6BBDD0F9">
            <w:pPr>
              <w:pStyle w:val="16"/>
              <w:spacing w:before="39" w:line="239" w:lineRule="auto"/>
              <w:ind w:left="64" w:right="57" w:hanging="1"/>
              <w:rPr>
                <w:color w:val="auto"/>
              </w:rPr>
            </w:pPr>
            <w:r>
              <w:rPr>
                <w:color w:val="auto"/>
                <w:spacing w:val="-1"/>
              </w:rPr>
              <w:t>供应商针对本项目制定环境保护管理体系与措施，要</w:t>
            </w:r>
            <w:r>
              <w:rPr>
                <w:color w:val="auto"/>
                <w:spacing w:val="-3"/>
              </w:rPr>
              <w:t>求 包括但不限于：①环境保护管理体系、②粉尘、噪</w:t>
            </w:r>
            <w:r>
              <w:rPr>
                <w:color w:val="auto"/>
                <w:spacing w:val="-1"/>
              </w:rPr>
              <w:t>声、废水、垃圾处理等污染物预防处理方案及措施、</w:t>
            </w:r>
          </w:p>
          <w:p w14:paraId="16B8E9B8">
            <w:pPr>
              <w:pStyle w:val="16"/>
              <w:spacing w:before="1" w:line="217" w:lineRule="auto"/>
              <w:ind w:left="61"/>
              <w:rPr>
                <w:color w:val="auto"/>
              </w:rPr>
            </w:pPr>
            <w:r>
              <w:rPr>
                <w:color w:val="auto"/>
                <w:spacing w:val="-1"/>
              </w:rPr>
              <w:t>③环境保护措施等。</w:t>
            </w:r>
          </w:p>
          <w:p w14:paraId="2DF2148A">
            <w:pPr>
              <w:pStyle w:val="16"/>
              <w:spacing w:before="28"/>
              <w:ind w:left="63" w:right="129" w:firstLine="1"/>
              <w:rPr>
                <w:color w:val="auto"/>
              </w:rPr>
            </w:pPr>
            <w:r>
              <w:rPr>
                <w:color w:val="auto"/>
                <w:spacing w:val="-1"/>
              </w:rPr>
              <w:t>上述小项方案具有针对性和可行性、清晰明确、内容</w:t>
            </w:r>
            <w:r>
              <w:rPr>
                <w:color w:val="auto"/>
                <w:spacing w:val="-2"/>
              </w:rPr>
              <w:t>全面合理、满足采购人实际需求的每项得</w:t>
            </w:r>
            <w:r>
              <w:rPr>
                <w:color w:val="auto"/>
                <w:spacing w:val="-41"/>
              </w:rPr>
              <w:t xml:space="preserve"> </w:t>
            </w:r>
            <w:r>
              <w:rPr>
                <w:color w:val="auto"/>
                <w:spacing w:val="-2"/>
              </w:rPr>
              <w:t>2</w:t>
            </w:r>
            <w:r>
              <w:rPr>
                <w:color w:val="auto"/>
                <w:spacing w:val="-48"/>
              </w:rPr>
              <w:t xml:space="preserve"> </w:t>
            </w:r>
            <w:r>
              <w:rPr>
                <w:color w:val="auto"/>
                <w:spacing w:val="-2"/>
              </w:rPr>
              <w:t>分。</w:t>
            </w:r>
          </w:p>
          <w:p w14:paraId="01FF957D">
            <w:pPr>
              <w:pStyle w:val="16"/>
              <w:spacing w:before="1" w:line="239" w:lineRule="auto"/>
              <w:ind w:left="75" w:right="129" w:hanging="13"/>
              <w:rPr>
                <w:color w:val="auto"/>
              </w:rPr>
            </w:pPr>
            <w:r>
              <w:rPr>
                <w:color w:val="auto"/>
                <w:spacing w:val="-2"/>
              </w:rPr>
              <w:t>存在一般缺陷的小项方案得</w:t>
            </w:r>
            <w:r>
              <w:rPr>
                <w:color w:val="auto"/>
                <w:spacing w:val="-33"/>
              </w:rPr>
              <w:t xml:space="preserve"> </w:t>
            </w:r>
            <w:r>
              <w:rPr>
                <w:color w:val="auto"/>
                <w:spacing w:val="-2"/>
              </w:rPr>
              <w:t>1</w:t>
            </w:r>
            <w:r>
              <w:rPr>
                <w:color w:val="auto"/>
                <w:spacing w:val="-48"/>
              </w:rPr>
              <w:t xml:space="preserve"> </w:t>
            </w:r>
            <w:r>
              <w:rPr>
                <w:color w:val="auto"/>
                <w:spacing w:val="-2"/>
              </w:rPr>
              <w:t>分（一般缺陷是</w:t>
            </w:r>
            <w:r>
              <w:rPr>
                <w:color w:val="auto"/>
                <w:spacing w:val="-3"/>
              </w:rPr>
              <w:t>指方案</w:t>
            </w:r>
            <w:r>
              <w:rPr>
                <w:color w:val="auto"/>
                <w:spacing w:val="-1"/>
              </w:rPr>
              <w:t>内容前后不一致、前后逻辑错误、内容有缺失，不影</w:t>
            </w:r>
            <w:r>
              <w:rPr>
                <w:color w:val="auto"/>
                <w:spacing w:val="-3"/>
              </w:rPr>
              <w:t>响项目的实施）。</w:t>
            </w:r>
          </w:p>
          <w:p w14:paraId="36C4929D">
            <w:pPr>
              <w:pStyle w:val="16"/>
              <w:spacing w:line="228" w:lineRule="auto"/>
              <w:ind w:left="61" w:right="129" w:firstLine="5"/>
              <w:rPr>
                <w:color w:val="auto"/>
              </w:rPr>
            </w:pPr>
            <w:r>
              <w:rPr>
                <w:color w:val="auto"/>
                <w:spacing w:val="-1"/>
              </w:rPr>
              <w:t>未提供或存在重大缺陷的小项方案不得分（重大缺陷是指方案凭空编造、套用其他方案、与采购项目和采购需 求无关，无法指导项目实施）。</w:t>
            </w:r>
          </w:p>
        </w:tc>
      </w:tr>
    </w:tbl>
    <w:p w14:paraId="06D27BC8">
      <w:pPr>
        <w:pStyle w:val="2"/>
        <w:rPr>
          <w:color w:val="auto"/>
        </w:rPr>
      </w:pPr>
    </w:p>
    <w:p w14:paraId="209F08B2">
      <w:pPr>
        <w:rPr>
          <w:color w:val="auto"/>
        </w:rPr>
        <w:sectPr>
          <w:footerReference r:id="rId12" w:type="default"/>
          <w:pgSz w:w="11906" w:h="16839"/>
          <w:pgMar w:top="1440" w:right="1080" w:bottom="1440" w:left="1080" w:header="0" w:footer="1045" w:gutter="0"/>
          <w:pgNumType w:fmt="decimal"/>
          <w:cols w:space="720" w:num="1"/>
        </w:sectPr>
      </w:pPr>
    </w:p>
    <w:tbl>
      <w:tblPr>
        <w:tblStyle w:val="15"/>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044"/>
        <w:gridCol w:w="2099"/>
        <w:gridCol w:w="5708"/>
      </w:tblGrid>
      <w:tr w14:paraId="63282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3" w:hRule="atLeast"/>
        </w:trPr>
        <w:tc>
          <w:tcPr>
            <w:tcW w:w="772" w:type="dxa"/>
            <w:vMerge w:val="restart"/>
            <w:tcBorders>
              <w:bottom w:val="nil"/>
            </w:tcBorders>
            <w:vAlign w:val="top"/>
          </w:tcPr>
          <w:p w14:paraId="2B460596">
            <w:pPr>
              <w:rPr>
                <w:rFonts w:ascii="Arial"/>
                <w:color w:val="auto"/>
                <w:sz w:val="21"/>
              </w:rPr>
            </w:pPr>
          </w:p>
        </w:tc>
        <w:tc>
          <w:tcPr>
            <w:tcW w:w="1044" w:type="dxa"/>
            <w:vMerge w:val="restart"/>
            <w:tcBorders>
              <w:bottom w:val="nil"/>
            </w:tcBorders>
            <w:vAlign w:val="top"/>
          </w:tcPr>
          <w:p w14:paraId="442AE9C3">
            <w:pPr>
              <w:rPr>
                <w:rFonts w:ascii="Arial"/>
                <w:color w:val="auto"/>
                <w:sz w:val="21"/>
              </w:rPr>
            </w:pPr>
          </w:p>
        </w:tc>
        <w:tc>
          <w:tcPr>
            <w:tcW w:w="2099" w:type="dxa"/>
            <w:vAlign w:val="top"/>
          </w:tcPr>
          <w:p w14:paraId="49F95A95">
            <w:pPr>
              <w:spacing w:line="275" w:lineRule="auto"/>
              <w:rPr>
                <w:rFonts w:ascii="Arial"/>
                <w:color w:val="auto"/>
                <w:sz w:val="21"/>
              </w:rPr>
            </w:pPr>
          </w:p>
          <w:p w14:paraId="4744525E">
            <w:pPr>
              <w:spacing w:line="276" w:lineRule="auto"/>
              <w:rPr>
                <w:rFonts w:ascii="Arial"/>
                <w:color w:val="auto"/>
                <w:sz w:val="21"/>
              </w:rPr>
            </w:pPr>
          </w:p>
          <w:p w14:paraId="5C20610D">
            <w:pPr>
              <w:spacing w:line="276" w:lineRule="auto"/>
              <w:rPr>
                <w:rFonts w:ascii="Arial"/>
                <w:color w:val="auto"/>
                <w:sz w:val="21"/>
              </w:rPr>
            </w:pPr>
          </w:p>
          <w:p w14:paraId="3C357237">
            <w:pPr>
              <w:spacing w:line="276" w:lineRule="auto"/>
              <w:rPr>
                <w:rFonts w:ascii="Arial"/>
                <w:color w:val="auto"/>
                <w:sz w:val="21"/>
              </w:rPr>
            </w:pPr>
          </w:p>
          <w:p w14:paraId="7B5F7BC7">
            <w:pPr>
              <w:spacing w:line="276" w:lineRule="auto"/>
              <w:rPr>
                <w:rFonts w:ascii="Arial"/>
                <w:color w:val="auto"/>
                <w:sz w:val="21"/>
              </w:rPr>
            </w:pPr>
          </w:p>
          <w:p w14:paraId="6E258B7A">
            <w:pPr>
              <w:pStyle w:val="16"/>
              <w:spacing w:before="78" w:line="242" w:lineRule="auto"/>
              <w:ind w:left="848" w:right="327" w:hanging="502"/>
              <w:rPr>
                <w:color w:val="auto"/>
              </w:rPr>
            </w:pPr>
            <w:r>
              <w:rPr>
                <w:color w:val="auto"/>
                <w:spacing w:val="-4"/>
              </w:rPr>
              <w:t>资源配备计划</w:t>
            </w:r>
            <w:r>
              <w:rPr>
                <w:color w:val="auto"/>
                <w:spacing w:val="-6"/>
              </w:rPr>
              <w:t>6</w:t>
            </w:r>
            <w:r>
              <w:rPr>
                <w:color w:val="auto"/>
                <w:spacing w:val="-48"/>
              </w:rPr>
              <w:t xml:space="preserve"> </w:t>
            </w:r>
            <w:r>
              <w:rPr>
                <w:color w:val="auto"/>
                <w:spacing w:val="-6"/>
              </w:rPr>
              <w:t>分</w:t>
            </w:r>
          </w:p>
        </w:tc>
        <w:tc>
          <w:tcPr>
            <w:tcW w:w="5708" w:type="dxa"/>
            <w:vAlign w:val="top"/>
          </w:tcPr>
          <w:p w14:paraId="38B8FE10">
            <w:pPr>
              <w:pStyle w:val="16"/>
              <w:spacing w:before="67" w:line="239" w:lineRule="auto"/>
              <w:ind w:left="61" w:firstLine="1"/>
              <w:rPr>
                <w:color w:val="auto"/>
              </w:rPr>
            </w:pPr>
            <w:r>
              <w:rPr>
                <w:color w:val="auto"/>
                <w:spacing w:val="-2"/>
              </w:rPr>
              <w:t>供应商针对本项目制定资源配备计划，要求包括但不</w:t>
            </w:r>
            <w:r>
              <w:rPr>
                <w:color w:val="auto"/>
                <w:spacing w:val="-5"/>
              </w:rPr>
              <w:t>限于：①主要施工设备配备情况、②劳动力安排计划、</w:t>
            </w:r>
            <w:r>
              <w:rPr>
                <w:color w:val="auto"/>
              </w:rPr>
              <w:t xml:space="preserve"> </w:t>
            </w:r>
            <w:r>
              <w:rPr>
                <w:color w:val="auto"/>
                <w:spacing w:val="-2"/>
              </w:rPr>
              <w:t>③原材料进场计划等。</w:t>
            </w:r>
          </w:p>
          <w:p w14:paraId="010B3E85">
            <w:pPr>
              <w:pStyle w:val="16"/>
              <w:spacing w:line="239" w:lineRule="auto"/>
              <w:ind w:left="63" w:right="129" w:firstLine="1"/>
              <w:rPr>
                <w:color w:val="auto"/>
              </w:rPr>
            </w:pPr>
            <w:r>
              <w:rPr>
                <w:color w:val="auto"/>
                <w:spacing w:val="-1"/>
              </w:rPr>
              <w:t>上述小项方案具有针对性和可行性、清晰明确、内容</w:t>
            </w:r>
            <w:r>
              <w:rPr>
                <w:color w:val="auto"/>
                <w:spacing w:val="-2"/>
              </w:rPr>
              <w:t>全面合理、满足采购人实际需求的每项得</w:t>
            </w:r>
            <w:r>
              <w:rPr>
                <w:color w:val="auto"/>
                <w:spacing w:val="-41"/>
              </w:rPr>
              <w:t xml:space="preserve"> </w:t>
            </w:r>
            <w:r>
              <w:rPr>
                <w:color w:val="auto"/>
                <w:spacing w:val="-2"/>
              </w:rPr>
              <w:t>2</w:t>
            </w:r>
            <w:r>
              <w:rPr>
                <w:color w:val="auto"/>
                <w:spacing w:val="-48"/>
              </w:rPr>
              <w:t xml:space="preserve"> </w:t>
            </w:r>
            <w:r>
              <w:rPr>
                <w:color w:val="auto"/>
                <w:spacing w:val="-2"/>
              </w:rPr>
              <w:t>分。</w:t>
            </w:r>
          </w:p>
          <w:p w14:paraId="393C687D">
            <w:pPr>
              <w:pStyle w:val="16"/>
              <w:spacing w:before="1" w:line="239" w:lineRule="auto"/>
              <w:ind w:left="75" w:right="129" w:hanging="13"/>
              <w:rPr>
                <w:color w:val="auto"/>
              </w:rPr>
            </w:pPr>
            <w:r>
              <w:rPr>
                <w:color w:val="auto"/>
                <w:spacing w:val="-2"/>
              </w:rPr>
              <w:t>存在一般缺陷的小项方案得</w:t>
            </w:r>
            <w:r>
              <w:rPr>
                <w:color w:val="auto"/>
                <w:spacing w:val="-33"/>
              </w:rPr>
              <w:t xml:space="preserve"> </w:t>
            </w:r>
            <w:r>
              <w:rPr>
                <w:color w:val="auto"/>
                <w:spacing w:val="-2"/>
              </w:rPr>
              <w:t>1</w:t>
            </w:r>
            <w:r>
              <w:rPr>
                <w:color w:val="auto"/>
                <w:spacing w:val="-48"/>
              </w:rPr>
              <w:t xml:space="preserve"> </w:t>
            </w:r>
            <w:r>
              <w:rPr>
                <w:color w:val="auto"/>
                <w:spacing w:val="-2"/>
              </w:rPr>
              <w:t>分（一般缺陷是</w:t>
            </w:r>
            <w:r>
              <w:rPr>
                <w:color w:val="auto"/>
                <w:spacing w:val="-3"/>
              </w:rPr>
              <w:t>指方案</w:t>
            </w:r>
            <w:r>
              <w:rPr>
                <w:color w:val="auto"/>
                <w:spacing w:val="-1"/>
              </w:rPr>
              <w:t>内容前后不一致、前后逻辑错误、内容有缺失，不影</w:t>
            </w:r>
            <w:r>
              <w:rPr>
                <w:color w:val="auto"/>
                <w:spacing w:val="-3"/>
              </w:rPr>
              <w:t>响项目的实施）。</w:t>
            </w:r>
          </w:p>
          <w:p w14:paraId="29695E87">
            <w:pPr>
              <w:pStyle w:val="16"/>
              <w:spacing w:before="1" w:line="235" w:lineRule="auto"/>
              <w:ind w:left="61" w:right="129" w:firstLine="5"/>
              <w:rPr>
                <w:color w:val="auto"/>
              </w:rPr>
            </w:pPr>
            <w:r>
              <w:rPr>
                <w:color w:val="auto"/>
                <w:spacing w:val="-1"/>
              </w:rPr>
              <w:t>未提供或存在重大缺陷的小项方案不得分（重大缺陷是指方案凭空编造、套用其他方案、与采购项目和采购需求无关，无法指导项目实施）。</w:t>
            </w:r>
          </w:p>
        </w:tc>
      </w:tr>
      <w:tr w14:paraId="405DA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7" w:hRule="atLeast"/>
        </w:trPr>
        <w:tc>
          <w:tcPr>
            <w:tcW w:w="772" w:type="dxa"/>
            <w:vMerge w:val="continue"/>
            <w:tcBorders>
              <w:top w:val="nil"/>
              <w:bottom w:val="nil"/>
            </w:tcBorders>
            <w:vAlign w:val="top"/>
          </w:tcPr>
          <w:p w14:paraId="7DC5DBAC">
            <w:pPr>
              <w:rPr>
                <w:rFonts w:ascii="Arial"/>
                <w:color w:val="auto"/>
                <w:sz w:val="21"/>
              </w:rPr>
            </w:pPr>
          </w:p>
        </w:tc>
        <w:tc>
          <w:tcPr>
            <w:tcW w:w="1044" w:type="dxa"/>
            <w:vMerge w:val="continue"/>
            <w:tcBorders>
              <w:top w:val="nil"/>
              <w:bottom w:val="nil"/>
            </w:tcBorders>
            <w:vAlign w:val="top"/>
          </w:tcPr>
          <w:p w14:paraId="75156EA9">
            <w:pPr>
              <w:rPr>
                <w:rFonts w:ascii="Arial"/>
                <w:color w:val="auto"/>
                <w:sz w:val="21"/>
              </w:rPr>
            </w:pPr>
          </w:p>
        </w:tc>
        <w:tc>
          <w:tcPr>
            <w:tcW w:w="2099" w:type="dxa"/>
            <w:vAlign w:val="top"/>
          </w:tcPr>
          <w:p w14:paraId="6A4EC956">
            <w:pPr>
              <w:spacing w:line="255" w:lineRule="auto"/>
              <w:rPr>
                <w:rFonts w:ascii="Arial"/>
                <w:color w:val="auto"/>
                <w:sz w:val="21"/>
              </w:rPr>
            </w:pPr>
          </w:p>
          <w:p w14:paraId="7C1892AC">
            <w:pPr>
              <w:spacing w:line="255" w:lineRule="auto"/>
              <w:rPr>
                <w:rFonts w:ascii="Arial"/>
                <w:color w:val="auto"/>
                <w:sz w:val="21"/>
              </w:rPr>
            </w:pPr>
          </w:p>
          <w:p w14:paraId="730B3D3B">
            <w:pPr>
              <w:spacing w:line="255" w:lineRule="auto"/>
              <w:rPr>
                <w:rFonts w:ascii="Arial"/>
                <w:color w:val="auto"/>
                <w:sz w:val="21"/>
              </w:rPr>
            </w:pPr>
          </w:p>
          <w:p w14:paraId="072B7870">
            <w:pPr>
              <w:spacing w:line="255" w:lineRule="auto"/>
              <w:rPr>
                <w:rFonts w:ascii="Arial"/>
                <w:color w:val="auto"/>
                <w:sz w:val="21"/>
              </w:rPr>
            </w:pPr>
          </w:p>
          <w:p w14:paraId="0350674C">
            <w:pPr>
              <w:spacing w:line="256" w:lineRule="auto"/>
              <w:rPr>
                <w:rFonts w:ascii="Arial"/>
                <w:color w:val="auto"/>
                <w:sz w:val="21"/>
              </w:rPr>
            </w:pPr>
          </w:p>
          <w:p w14:paraId="2B8A7651">
            <w:pPr>
              <w:spacing w:line="256" w:lineRule="auto"/>
              <w:rPr>
                <w:rFonts w:ascii="Arial"/>
                <w:color w:val="auto"/>
                <w:sz w:val="21"/>
              </w:rPr>
            </w:pPr>
          </w:p>
          <w:p w14:paraId="0B92225A">
            <w:pPr>
              <w:pStyle w:val="16"/>
              <w:spacing w:before="78" w:line="221" w:lineRule="auto"/>
              <w:ind w:left="97"/>
              <w:rPr>
                <w:color w:val="auto"/>
              </w:rPr>
            </w:pPr>
            <w:r>
              <w:rPr>
                <w:color w:val="auto"/>
                <w:spacing w:val="-2"/>
              </w:rPr>
              <w:t>成品保护和工程保</w:t>
            </w:r>
          </w:p>
          <w:p w14:paraId="41319536">
            <w:pPr>
              <w:pStyle w:val="16"/>
              <w:spacing w:before="25" w:line="220" w:lineRule="auto"/>
              <w:ind w:left="95"/>
              <w:rPr>
                <w:color w:val="auto"/>
              </w:rPr>
            </w:pPr>
            <w:r>
              <w:rPr>
                <w:color w:val="auto"/>
                <w:spacing w:val="-2"/>
              </w:rPr>
              <w:t>修工作的管理措施</w:t>
            </w:r>
          </w:p>
          <w:p w14:paraId="471C15ED">
            <w:pPr>
              <w:pStyle w:val="16"/>
              <w:spacing w:before="25" w:line="221" w:lineRule="auto"/>
              <w:ind w:left="845"/>
              <w:rPr>
                <w:color w:val="auto"/>
              </w:rPr>
            </w:pPr>
            <w:r>
              <w:rPr>
                <w:color w:val="auto"/>
                <w:spacing w:val="-5"/>
              </w:rPr>
              <w:t>4</w:t>
            </w:r>
            <w:r>
              <w:rPr>
                <w:color w:val="auto"/>
                <w:spacing w:val="-48"/>
              </w:rPr>
              <w:t xml:space="preserve"> </w:t>
            </w:r>
            <w:r>
              <w:rPr>
                <w:color w:val="auto"/>
                <w:spacing w:val="-5"/>
              </w:rPr>
              <w:t>分</w:t>
            </w:r>
          </w:p>
        </w:tc>
        <w:tc>
          <w:tcPr>
            <w:tcW w:w="5708" w:type="dxa"/>
            <w:vAlign w:val="top"/>
          </w:tcPr>
          <w:p w14:paraId="6131B47F">
            <w:pPr>
              <w:pStyle w:val="16"/>
              <w:spacing w:before="64" w:line="239" w:lineRule="auto"/>
              <w:ind w:left="63" w:right="129"/>
              <w:rPr>
                <w:color w:val="auto"/>
              </w:rPr>
            </w:pPr>
            <w:r>
              <w:rPr>
                <w:color w:val="auto"/>
                <w:spacing w:val="-1"/>
              </w:rPr>
              <w:t>供应商针对本项目制定成品保护和工程保修工作的管理措施和承诺，要求包括但不限于：①成品保护管理措施、②工程保修管理措施等。</w:t>
            </w:r>
          </w:p>
          <w:p w14:paraId="01625A7E">
            <w:pPr>
              <w:pStyle w:val="16"/>
              <w:spacing w:before="2" w:line="239" w:lineRule="auto"/>
              <w:ind w:left="63" w:right="129" w:firstLine="1"/>
              <w:rPr>
                <w:color w:val="auto"/>
              </w:rPr>
            </w:pPr>
            <w:r>
              <w:rPr>
                <w:color w:val="auto"/>
                <w:spacing w:val="-1"/>
              </w:rPr>
              <w:t>上述小项方案具有针对性和可行性、清晰明确、内容</w:t>
            </w:r>
            <w:r>
              <w:rPr>
                <w:color w:val="auto"/>
                <w:spacing w:val="-2"/>
              </w:rPr>
              <w:t>全面合理、满足采购人实际需求的每项得</w:t>
            </w:r>
            <w:r>
              <w:rPr>
                <w:color w:val="auto"/>
                <w:spacing w:val="-41"/>
              </w:rPr>
              <w:t xml:space="preserve"> </w:t>
            </w:r>
            <w:r>
              <w:rPr>
                <w:color w:val="auto"/>
                <w:spacing w:val="-2"/>
              </w:rPr>
              <w:t>2</w:t>
            </w:r>
            <w:r>
              <w:rPr>
                <w:color w:val="auto"/>
                <w:spacing w:val="-48"/>
              </w:rPr>
              <w:t xml:space="preserve"> </w:t>
            </w:r>
            <w:r>
              <w:rPr>
                <w:color w:val="auto"/>
                <w:spacing w:val="-2"/>
              </w:rPr>
              <w:t>分。</w:t>
            </w:r>
          </w:p>
          <w:p w14:paraId="00491D5E">
            <w:pPr>
              <w:pStyle w:val="16"/>
              <w:spacing w:before="1" w:line="239" w:lineRule="auto"/>
              <w:ind w:left="67" w:right="129" w:hanging="5"/>
              <w:rPr>
                <w:color w:val="auto"/>
              </w:rPr>
            </w:pPr>
            <w:r>
              <w:rPr>
                <w:color w:val="auto"/>
                <w:spacing w:val="-2"/>
              </w:rPr>
              <w:t>存在一般缺陷的小项方案得</w:t>
            </w:r>
            <w:r>
              <w:rPr>
                <w:color w:val="auto"/>
                <w:spacing w:val="-33"/>
              </w:rPr>
              <w:t xml:space="preserve"> </w:t>
            </w:r>
            <w:r>
              <w:rPr>
                <w:color w:val="auto"/>
                <w:spacing w:val="-2"/>
              </w:rPr>
              <w:t>1</w:t>
            </w:r>
            <w:r>
              <w:rPr>
                <w:color w:val="auto"/>
                <w:spacing w:val="-48"/>
              </w:rPr>
              <w:t xml:space="preserve"> </w:t>
            </w:r>
            <w:r>
              <w:rPr>
                <w:color w:val="auto"/>
                <w:spacing w:val="-2"/>
              </w:rPr>
              <w:t>分（一般缺陷是</w:t>
            </w:r>
            <w:r>
              <w:rPr>
                <w:color w:val="auto"/>
                <w:spacing w:val="-3"/>
              </w:rPr>
              <w:t>指方案</w:t>
            </w:r>
            <w:r>
              <w:rPr>
                <w:color w:val="auto"/>
                <w:spacing w:val="-1"/>
              </w:rPr>
              <w:t>内容前后不一致、前后逻辑错误、内容有缺失，不影响项供应商针对本项目制定成品保护和工程保修工作的管理措施和承诺，要求包括但不限于：①成品保护管理措施、②工程保修管理措施等。</w:t>
            </w:r>
          </w:p>
          <w:p w14:paraId="05FAFF35">
            <w:pPr>
              <w:pStyle w:val="16"/>
              <w:spacing w:line="236" w:lineRule="auto"/>
              <w:ind w:left="61" w:right="129" w:firstLine="5"/>
              <w:rPr>
                <w:color w:val="auto"/>
              </w:rPr>
            </w:pPr>
            <w:r>
              <w:rPr>
                <w:color w:val="auto"/>
                <w:spacing w:val="-1"/>
              </w:rPr>
              <w:t>未提供或存在重大缺陷的小项方案不得分（重大缺陷是指方案凭空编造、套用其他方案、与采购项目和采购需 求无关，无法指导项目实施）。</w:t>
            </w:r>
          </w:p>
        </w:tc>
      </w:tr>
      <w:tr w14:paraId="56BF8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9" w:hRule="atLeast"/>
        </w:trPr>
        <w:tc>
          <w:tcPr>
            <w:tcW w:w="772" w:type="dxa"/>
            <w:vMerge w:val="continue"/>
            <w:tcBorders>
              <w:top w:val="nil"/>
            </w:tcBorders>
            <w:vAlign w:val="top"/>
          </w:tcPr>
          <w:p w14:paraId="0AB29705">
            <w:pPr>
              <w:rPr>
                <w:rFonts w:ascii="Arial"/>
                <w:color w:val="auto"/>
                <w:sz w:val="21"/>
              </w:rPr>
            </w:pPr>
          </w:p>
        </w:tc>
        <w:tc>
          <w:tcPr>
            <w:tcW w:w="1044" w:type="dxa"/>
            <w:vMerge w:val="continue"/>
            <w:tcBorders>
              <w:top w:val="nil"/>
            </w:tcBorders>
            <w:vAlign w:val="top"/>
          </w:tcPr>
          <w:p w14:paraId="53F38ECF">
            <w:pPr>
              <w:rPr>
                <w:rFonts w:ascii="Arial"/>
                <w:color w:val="auto"/>
                <w:sz w:val="21"/>
              </w:rPr>
            </w:pPr>
          </w:p>
        </w:tc>
        <w:tc>
          <w:tcPr>
            <w:tcW w:w="2099" w:type="dxa"/>
            <w:vAlign w:val="top"/>
          </w:tcPr>
          <w:p w14:paraId="4636E3B3">
            <w:pPr>
              <w:spacing w:line="249" w:lineRule="auto"/>
              <w:rPr>
                <w:rFonts w:ascii="Arial"/>
                <w:color w:val="auto"/>
                <w:sz w:val="21"/>
              </w:rPr>
            </w:pPr>
          </w:p>
          <w:p w14:paraId="6AFDDAFD">
            <w:pPr>
              <w:spacing w:line="250" w:lineRule="auto"/>
              <w:rPr>
                <w:rFonts w:ascii="Arial"/>
                <w:color w:val="auto"/>
                <w:sz w:val="21"/>
              </w:rPr>
            </w:pPr>
          </w:p>
          <w:p w14:paraId="3F206055">
            <w:pPr>
              <w:spacing w:line="250" w:lineRule="auto"/>
              <w:rPr>
                <w:rFonts w:ascii="Arial"/>
                <w:color w:val="auto"/>
                <w:sz w:val="21"/>
              </w:rPr>
            </w:pPr>
          </w:p>
          <w:p w14:paraId="0F0A9658">
            <w:pPr>
              <w:spacing w:line="250" w:lineRule="auto"/>
              <w:rPr>
                <w:rFonts w:ascii="Arial"/>
                <w:color w:val="auto"/>
                <w:sz w:val="21"/>
              </w:rPr>
            </w:pPr>
          </w:p>
          <w:p w14:paraId="7789D93B">
            <w:pPr>
              <w:spacing w:line="250" w:lineRule="auto"/>
              <w:rPr>
                <w:rFonts w:ascii="Arial"/>
                <w:color w:val="auto"/>
                <w:sz w:val="21"/>
              </w:rPr>
            </w:pPr>
          </w:p>
          <w:p w14:paraId="3D5A9F49">
            <w:pPr>
              <w:spacing w:line="250" w:lineRule="auto"/>
              <w:rPr>
                <w:rFonts w:ascii="Arial"/>
                <w:color w:val="auto"/>
                <w:sz w:val="21"/>
              </w:rPr>
            </w:pPr>
          </w:p>
          <w:p w14:paraId="2DFAED0C">
            <w:pPr>
              <w:pStyle w:val="16"/>
              <w:spacing w:before="78" w:line="242" w:lineRule="auto"/>
              <w:ind w:left="61" w:right="121" w:firstLine="7"/>
              <w:jc w:val="both"/>
              <w:rPr>
                <w:color w:val="auto"/>
              </w:rPr>
            </w:pPr>
            <w:r>
              <w:rPr>
                <w:color w:val="auto"/>
                <w:spacing w:val="-2"/>
              </w:rPr>
              <w:t>紧急情况的处理措施、预案以及抵抗</w:t>
            </w:r>
            <w:r>
              <w:rPr>
                <w:color w:val="auto"/>
                <w:spacing w:val="-3"/>
              </w:rPr>
              <w:t>风险的措施</w:t>
            </w:r>
            <w:r>
              <w:rPr>
                <w:color w:val="auto"/>
                <w:spacing w:val="-49"/>
              </w:rPr>
              <w:t xml:space="preserve"> </w:t>
            </w:r>
            <w:r>
              <w:rPr>
                <w:color w:val="auto"/>
                <w:spacing w:val="-3"/>
              </w:rPr>
              <w:t>6</w:t>
            </w:r>
            <w:r>
              <w:rPr>
                <w:color w:val="auto"/>
                <w:spacing w:val="-48"/>
              </w:rPr>
              <w:t xml:space="preserve"> </w:t>
            </w:r>
            <w:r>
              <w:rPr>
                <w:color w:val="auto"/>
                <w:spacing w:val="-3"/>
              </w:rPr>
              <w:t>分</w:t>
            </w:r>
          </w:p>
        </w:tc>
        <w:tc>
          <w:tcPr>
            <w:tcW w:w="5708" w:type="dxa"/>
            <w:vAlign w:val="top"/>
          </w:tcPr>
          <w:p w14:paraId="3AD4164A">
            <w:pPr>
              <w:pStyle w:val="16"/>
              <w:spacing w:before="192" w:line="239" w:lineRule="auto"/>
              <w:ind w:left="62" w:right="129"/>
              <w:jc w:val="both"/>
              <w:rPr>
                <w:color w:val="auto"/>
              </w:rPr>
            </w:pPr>
            <w:r>
              <w:rPr>
                <w:color w:val="auto"/>
                <w:spacing w:val="-1"/>
              </w:rPr>
              <w:t>供应商针对本项目制定紧急情况的处理措施、预案以及抵抗风险的措施，要求包括但不限于：①紧急情况的应急预案、②紧急情况的处理措施、③抵抗风险的措施等。上述小项方案具有针对性和可行性、清晰明确、内容全面合理、满足采购人实际需求的每项得</w:t>
            </w:r>
            <w:r>
              <w:rPr>
                <w:color w:val="auto"/>
                <w:spacing w:val="-47"/>
              </w:rPr>
              <w:t xml:space="preserve"> </w:t>
            </w:r>
            <w:r>
              <w:rPr>
                <w:color w:val="auto"/>
                <w:spacing w:val="-1"/>
              </w:rPr>
              <w:t>2</w:t>
            </w:r>
            <w:r>
              <w:rPr>
                <w:color w:val="auto"/>
                <w:spacing w:val="-5"/>
              </w:rPr>
              <w:t>分。</w:t>
            </w:r>
          </w:p>
          <w:p w14:paraId="0133D391">
            <w:pPr>
              <w:pStyle w:val="16"/>
              <w:spacing w:before="1" w:line="239" w:lineRule="auto"/>
              <w:ind w:left="75" w:right="129" w:hanging="13"/>
              <w:jc w:val="both"/>
              <w:rPr>
                <w:color w:val="auto"/>
              </w:rPr>
            </w:pPr>
            <w:r>
              <w:rPr>
                <w:color w:val="auto"/>
                <w:spacing w:val="-2"/>
              </w:rPr>
              <w:t>存在一般缺陷的小项方案得</w:t>
            </w:r>
            <w:r>
              <w:rPr>
                <w:color w:val="auto"/>
                <w:spacing w:val="-33"/>
              </w:rPr>
              <w:t xml:space="preserve"> </w:t>
            </w:r>
            <w:r>
              <w:rPr>
                <w:color w:val="auto"/>
                <w:spacing w:val="-2"/>
              </w:rPr>
              <w:t>1</w:t>
            </w:r>
            <w:r>
              <w:rPr>
                <w:color w:val="auto"/>
                <w:spacing w:val="-48"/>
              </w:rPr>
              <w:t xml:space="preserve"> </w:t>
            </w:r>
            <w:r>
              <w:rPr>
                <w:color w:val="auto"/>
                <w:spacing w:val="-2"/>
              </w:rPr>
              <w:t>分（一般缺陷是</w:t>
            </w:r>
            <w:r>
              <w:rPr>
                <w:color w:val="auto"/>
                <w:spacing w:val="-3"/>
              </w:rPr>
              <w:t>指方案</w:t>
            </w:r>
            <w:r>
              <w:rPr>
                <w:color w:val="auto"/>
                <w:spacing w:val="-1"/>
              </w:rPr>
              <w:t>内容前后不一致、前后逻辑错误、内容有缺失，不影</w:t>
            </w:r>
            <w:r>
              <w:rPr>
                <w:color w:val="auto"/>
                <w:spacing w:val="-3"/>
              </w:rPr>
              <w:t>响项目的实施）。</w:t>
            </w:r>
          </w:p>
          <w:p w14:paraId="0207A20F">
            <w:pPr>
              <w:pStyle w:val="16"/>
              <w:spacing w:before="2"/>
              <w:ind w:left="61" w:right="129" w:firstLine="5"/>
              <w:jc w:val="both"/>
              <w:rPr>
                <w:color w:val="auto"/>
              </w:rPr>
            </w:pPr>
            <w:r>
              <w:rPr>
                <w:color w:val="auto"/>
                <w:spacing w:val="-1"/>
              </w:rPr>
              <w:t>未提供或存在重大缺陷的小项方案不得分（重大缺陷是指方案凭空编造、套用其他方案、与采购项目和采购需求无关，无法指导项目实施）。</w:t>
            </w:r>
          </w:p>
        </w:tc>
      </w:tr>
      <w:tr w14:paraId="60D74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6" w:hRule="atLeast"/>
        </w:trPr>
        <w:tc>
          <w:tcPr>
            <w:tcW w:w="772" w:type="dxa"/>
            <w:vAlign w:val="top"/>
          </w:tcPr>
          <w:p w14:paraId="0F35F545">
            <w:pPr>
              <w:spacing w:line="243" w:lineRule="auto"/>
              <w:rPr>
                <w:rFonts w:ascii="Arial"/>
                <w:color w:val="auto"/>
                <w:sz w:val="21"/>
              </w:rPr>
            </w:pPr>
          </w:p>
          <w:p w14:paraId="40434DD9">
            <w:pPr>
              <w:spacing w:line="244" w:lineRule="auto"/>
              <w:rPr>
                <w:rFonts w:ascii="Arial"/>
                <w:color w:val="auto"/>
                <w:sz w:val="21"/>
              </w:rPr>
            </w:pPr>
          </w:p>
          <w:p w14:paraId="2598A620">
            <w:pPr>
              <w:pStyle w:val="16"/>
              <w:spacing w:before="78"/>
              <w:ind w:left="95"/>
              <w:rPr>
                <w:color w:val="auto"/>
              </w:rPr>
            </w:pPr>
            <w:r>
              <w:rPr>
                <w:color w:val="auto"/>
                <w:spacing w:val="-3"/>
              </w:rPr>
              <w:t>2.2.4</w:t>
            </w:r>
          </w:p>
          <w:p w14:paraId="4B9EF64C">
            <w:pPr>
              <w:pStyle w:val="16"/>
              <w:spacing w:line="223" w:lineRule="auto"/>
              <w:ind w:left="254"/>
              <w:rPr>
                <w:color w:val="auto"/>
              </w:rPr>
            </w:pPr>
            <w:r>
              <w:rPr>
                <w:color w:val="auto"/>
                <w:spacing w:val="-18"/>
              </w:rPr>
              <w:t>(1)</w:t>
            </w:r>
          </w:p>
        </w:tc>
        <w:tc>
          <w:tcPr>
            <w:tcW w:w="1044" w:type="dxa"/>
            <w:vAlign w:val="top"/>
          </w:tcPr>
          <w:p w14:paraId="1864FF66">
            <w:pPr>
              <w:spacing w:line="331" w:lineRule="auto"/>
              <w:rPr>
                <w:rFonts w:ascii="Arial"/>
                <w:color w:val="auto"/>
                <w:sz w:val="21"/>
              </w:rPr>
            </w:pPr>
          </w:p>
          <w:p w14:paraId="04C19F0A">
            <w:pPr>
              <w:pStyle w:val="16"/>
              <w:spacing w:before="78" w:line="241" w:lineRule="auto"/>
              <w:ind w:left="88" w:right="92" w:firstLine="83"/>
              <w:jc w:val="both"/>
              <w:rPr>
                <w:color w:val="auto"/>
              </w:rPr>
            </w:pPr>
            <w:r>
              <w:rPr>
                <w:color w:val="auto"/>
                <w:spacing w:val="-5"/>
              </w:rPr>
              <w:t>项目管</w:t>
            </w:r>
            <w:r>
              <w:rPr>
                <w:color w:val="auto"/>
                <w:spacing w:val="23"/>
              </w:rPr>
              <w:t>理机构</w:t>
            </w:r>
            <w:r>
              <w:rPr>
                <w:color w:val="auto"/>
                <w:spacing w:val="-14"/>
              </w:rPr>
              <w:t>（8</w:t>
            </w:r>
            <w:r>
              <w:rPr>
                <w:color w:val="auto"/>
                <w:spacing w:val="-47"/>
              </w:rPr>
              <w:t xml:space="preserve"> </w:t>
            </w:r>
            <w:r>
              <w:rPr>
                <w:color w:val="auto"/>
                <w:spacing w:val="-14"/>
              </w:rPr>
              <w:t>分）</w:t>
            </w:r>
          </w:p>
        </w:tc>
        <w:tc>
          <w:tcPr>
            <w:tcW w:w="2099" w:type="dxa"/>
            <w:vAlign w:val="top"/>
          </w:tcPr>
          <w:p w14:paraId="43595360">
            <w:pPr>
              <w:spacing w:line="244" w:lineRule="auto"/>
              <w:rPr>
                <w:rFonts w:ascii="Arial"/>
                <w:color w:val="auto"/>
                <w:sz w:val="21"/>
              </w:rPr>
            </w:pPr>
          </w:p>
          <w:p w14:paraId="42075989">
            <w:pPr>
              <w:spacing w:line="244" w:lineRule="auto"/>
              <w:rPr>
                <w:rFonts w:ascii="Arial"/>
                <w:color w:val="auto"/>
                <w:sz w:val="21"/>
              </w:rPr>
            </w:pPr>
          </w:p>
          <w:p w14:paraId="45DA1FC4">
            <w:pPr>
              <w:pStyle w:val="16"/>
              <w:spacing w:before="78" w:line="242" w:lineRule="auto"/>
              <w:ind w:left="878" w:right="327" w:hanging="539"/>
              <w:rPr>
                <w:color w:val="auto"/>
              </w:rPr>
            </w:pPr>
            <w:r>
              <w:rPr>
                <w:color w:val="auto"/>
                <w:spacing w:val="-3"/>
              </w:rPr>
              <w:t>项目经理业绩</w:t>
            </w:r>
            <w:r>
              <w:rPr>
                <w:color w:val="auto"/>
                <w:spacing w:val="-7"/>
              </w:rPr>
              <w:t>2分</w:t>
            </w:r>
          </w:p>
        </w:tc>
        <w:tc>
          <w:tcPr>
            <w:tcW w:w="5708" w:type="dxa"/>
            <w:vAlign w:val="top"/>
          </w:tcPr>
          <w:p w14:paraId="78750F3A">
            <w:pPr>
              <w:pStyle w:val="16"/>
              <w:spacing w:before="42" w:line="239" w:lineRule="auto"/>
              <w:ind w:left="65" w:right="57" w:firstLine="1"/>
              <w:jc w:val="both"/>
              <w:rPr>
                <w:color w:val="auto"/>
              </w:rPr>
            </w:pPr>
            <w:r>
              <w:rPr>
                <w:color w:val="auto"/>
                <w:spacing w:val="-6"/>
              </w:rPr>
              <w:t>项目经理近三年（2023</w:t>
            </w:r>
            <w:r>
              <w:rPr>
                <w:color w:val="auto"/>
                <w:spacing w:val="-38"/>
              </w:rPr>
              <w:t xml:space="preserve"> </w:t>
            </w:r>
            <w:r>
              <w:rPr>
                <w:color w:val="auto"/>
                <w:spacing w:val="-6"/>
              </w:rPr>
              <w:t>年</w:t>
            </w:r>
            <w:r>
              <w:rPr>
                <w:color w:val="auto"/>
                <w:spacing w:val="-33"/>
              </w:rPr>
              <w:t xml:space="preserve"> </w:t>
            </w:r>
            <w:r>
              <w:rPr>
                <w:color w:val="auto"/>
                <w:spacing w:val="-6"/>
              </w:rPr>
              <w:t>1</w:t>
            </w:r>
            <w:r>
              <w:rPr>
                <w:color w:val="auto"/>
                <w:spacing w:val="-43"/>
              </w:rPr>
              <w:t xml:space="preserve"> </w:t>
            </w:r>
            <w:r>
              <w:rPr>
                <w:color w:val="auto"/>
                <w:spacing w:val="-6"/>
              </w:rPr>
              <w:t>月</w:t>
            </w:r>
            <w:r>
              <w:rPr>
                <w:color w:val="auto"/>
                <w:spacing w:val="-33"/>
              </w:rPr>
              <w:t xml:space="preserve"> </w:t>
            </w:r>
            <w:r>
              <w:rPr>
                <w:color w:val="auto"/>
                <w:spacing w:val="-6"/>
              </w:rPr>
              <w:t>1 日至今）具有以项目经理身份参与本项目相类似的项目业绩，每有</w:t>
            </w:r>
            <w:r>
              <w:rPr>
                <w:color w:val="auto"/>
                <w:spacing w:val="-7"/>
              </w:rPr>
              <w:t>一项得</w:t>
            </w:r>
            <w:r>
              <w:rPr>
                <w:color w:val="auto"/>
                <w:spacing w:val="-33"/>
              </w:rPr>
              <w:t xml:space="preserve"> </w:t>
            </w:r>
            <w:r>
              <w:rPr>
                <w:color w:val="auto"/>
                <w:spacing w:val="-7"/>
              </w:rPr>
              <w:t>1</w:t>
            </w:r>
            <w:r>
              <w:rPr>
                <w:color w:val="auto"/>
                <w:spacing w:val="-6"/>
              </w:rPr>
              <w:t>分，满分</w:t>
            </w:r>
            <w:r>
              <w:rPr>
                <w:color w:val="auto"/>
                <w:spacing w:val="-43"/>
              </w:rPr>
              <w:t xml:space="preserve"> </w:t>
            </w:r>
            <w:r>
              <w:rPr>
                <w:color w:val="auto"/>
                <w:spacing w:val="-6"/>
              </w:rPr>
              <w:t>2</w:t>
            </w:r>
            <w:r>
              <w:rPr>
                <w:color w:val="auto"/>
                <w:spacing w:val="-48"/>
              </w:rPr>
              <w:t xml:space="preserve"> </w:t>
            </w:r>
            <w:r>
              <w:rPr>
                <w:color w:val="auto"/>
                <w:spacing w:val="-6"/>
              </w:rPr>
              <w:t>分。</w:t>
            </w:r>
          </w:p>
          <w:p w14:paraId="5CD4B60D">
            <w:pPr>
              <w:pStyle w:val="16"/>
              <w:spacing w:line="241" w:lineRule="auto"/>
              <w:ind w:left="71" w:right="57" w:firstLine="3"/>
              <w:jc w:val="both"/>
              <w:rPr>
                <w:color w:val="auto"/>
              </w:rPr>
            </w:pPr>
            <w:r>
              <w:rPr>
                <w:color w:val="auto"/>
                <w:spacing w:val="2"/>
              </w:rPr>
              <w:t>（提供能体现项目经理姓名的合同或协议书或竣工验</w:t>
            </w:r>
            <w:r>
              <w:rPr>
                <w:color w:val="auto"/>
                <w:spacing w:val="-2"/>
              </w:rPr>
              <w:t>收报告，标书内附复印件加盖公章）。</w:t>
            </w:r>
          </w:p>
        </w:tc>
      </w:tr>
    </w:tbl>
    <w:p w14:paraId="71684E3F">
      <w:pPr>
        <w:pStyle w:val="2"/>
        <w:rPr>
          <w:color w:val="auto"/>
        </w:rPr>
      </w:pPr>
    </w:p>
    <w:p w14:paraId="27AA4BB6">
      <w:pPr>
        <w:rPr>
          <w:color w:val="auto"/>
        </w:rPr>
        <w:sectPr>
          <w:footerReference r:id="rId13" w:type="default"/>
          <w:pgSz w:w="11906" w:h="16839"/>
          <w:pgMar w:top="1440" w:right="1080" w:bottom="1440" w:left="1080" w:header="0" w:footer="1045" w:gutter="0"/>
          <w:pgNumType w:fmt="decimal"/>
          <w:cols w:space="720" w:num="1"/>
        </w:sectPr>
      </w:pPr>
    </w:p>
    <w:tbl>
      <w:tblPr>
        <w:tblStyle w:val="15"/>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044"/>
        <w:gridCol w:w="2099"/>
        <w:gridCol w:w="5708"/>
      </w:tblGrid>
      <w:tr w14:paraId="1F55F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0" w:hRule="atLeast"/>
        </w:trPr>
        <w:tc>
          <w:tcPr>
            <w:tcW w:w="772" w:type="dxa"/>
            <w:vAlign w:val="top"/>
          </w:tcPr>
          <w:p w14:paraId="23C63C23">
            <w:pPr>
              <w:rPr>
                <w:rFonts w:ascii="Arial"/>
                <w:color w:val="auto"/>
                <w:sz w:val="21"/>
              </w:rPr>
            </w:pPr>
          </w:p>
        </w:tc>
        <w:tc>
          <w:tcPr>
            <w:tcW w:w="1044" w:type="dxa"/>
            <w:vAlign w:val="top"/>
          </w:tcPr>
          <w:p w14:paraId="5689D5BA">
            <w:pPr>
              <w:rPr>
                <w:rFonts w:ascii="Arial"/>
                <w:color w:val="auto"/>
                <w:sz w:val="21"/>
              </w:rPr>
            </w:pPr>
          </w:p>
        </w:tc>
        <w:tc>
          <w:tcPr>
            <w:tcW w:w="2099" w:type="dxa"/>
            <w:vAlign w:val="top"/>
          </w:tcPr>
          <w:p w14:paraId="669A5CDB">
            <w:pPr>
              <w:spacing w:line="286" w:lineRule="auto"/>
              <w:rPr>
                <w:rFonts w:ascii="Arial"/>
                <w:color w:val="auto"/>
                <w:sz w:val="21"/>
              </w:rPr>
            </w:pPr>
          </w:p>
          <w:p w14:paraId="2F4DEB2F">
            <w:pPr>
              <w:spacing w:line="286" w:lineRule="auto"/>
              <w:rPr>
                <w:rFonts w:ascii="Arial"/>
                <w:color w:val="auto"/>
                <w:sz w:val="21"/>
              </w:rPr>
            </w:pPr>
          </w:p>
          <w:p w14:paraId="1FBF99BF">
            <w:pPr>
              <w:spacing w:line="286" w:lineRule="auto"/>
              <w:rPr>
                <w:rFonts w:ascii="Arial"/>
                <w:color w:val="auto"/>
                <w:sz w:val="21"/>
              </w:rPr>
            </w:pPr>
          </w:p>
          <w:p w14:paraId="09D31794">
            <w:pPr>
              <w:spacing w:line="286" w:lineRule="auto"/>
              <w:rPr>
                <w:rFonts w:ascii="Arial"/>
                <w:color w:val="auto"/>
                <w:sz w:val="21"/>
              </w:rPr>
            </w:pPr>
          </w:p>
          <w:p w14:paraId="61433401">
            <w:pPr>
              <w:spacing w:line="286" w:lineRule="auto"/>
              <w:rPr>
                <w:rFonts w:ascii="Arial"/>
                <w:color w:val="auto"/>
                <w:sz w:val="21"/>
              </w:rPr>
            </w:pPr>
          </w:p>
          <w:p w14:paraId="4ABC43D7">
            <w:pPr>
              <w:pStyle w:val="16"/>
              <w:spacing w:before="78" w:line="242" w:lineRule="auto"/>
              <w:ind w:left="848" w:right="87" w:hanging="749"/>
              <w:rPr>
                <w:color w:val="auto"/>
              </w:rPr>
            </w:pPr>
            <w:r>
              <w:rPr>
                <w:color w:val="auto"/>
                <w:spacing w:val="-2"/>
              </w:rPr>
              <w:t>项目管理机构配置</w:t>
            </w:r>
            <w:r>
              <w:rPr>
                <w:color w:val="auto"/>
                <w:spacing w:val="-6"/>
              </w:rPr>
              <w:t>6</w:t>
            </w:r>
            <w:r>
              <w:rPr>
                <w:color w:val="auto"/>
                <w:spacing w:val="-48"/>
              </w:rPr>
              <w:t xml:space="preserve"> </w:t>
            </w:r>
            <w:r>
              <w:rPr>
                <w:color w:val="auto"/>
                <w:spacing w:val="-6"/>
              </w:rPr>
              <w:t>分</w:t>
            </w:r>
          </w:p>
        </w:tc>
        <w:tc>
          <w:tcPr>
            <w:tcW w:w="5708" w:type="dxa"/>
            <w:vAlign w:val="top"/>
          </w:tcPr>
          <w:p w14:paraId="4BFE3CF6">
            <w:pPr>
              <w:pStyle w:val="16"/>
              <w:spacing w:before="267" w:line="235" w:lineRule="auto"/>
              <w:ind w:left="63" w:hanging="1"/>
              <w:rPr>
                <w:color w:val="auto"/>
              </w:rPr>
            </w:pPr>
            <w:r>
              <w:rPr>
                <w:color w:val="auto"/>
                <w:spacing w:val="-3"/>
              </w:rPr>
              <w:t>①项目管理机构具备项目经理</w:t>
            </w:r>
            <w:r>
              <w:rPr>
                <w:color w:val="auto"/>
                <w:spacing w:val="-31"/>
              </w:rPr>
              <w:t xml:space="preserve"> </w:t>
            </w:r>
            <w:r>
              <w:rPr>
                <w:color w:val="auto"/>
                <w:spacing w:val="-3"/>
              </w:rPr>
              <w:t>1</w:t>
            </w:r>
            <w:r>
              <w:rPr>
                <w:color w:val="auto"/>
                <w:spacing w:val="-48"/>
              </w:rPr>
              <w:t xml:space="preserve"> </w:t>
            </w:r>
            <w:r>
              <w:rPr>
                <w:color w:val="auto"/>
                <w:spacing w:val="-3"/>
              </w:rPr>
              <w:t>人、技术负责人</w:t>
            </w:r>
            <w:r>
              <w:rPr>
                <w:color w:val="auto"/>
                <w:spacing w:val="-31"/>
              </w:rPr>
              <w:t xml:space="preserve"> </w:t>
            </w:r>
            <w:r>
              <w:rPr>
                <w:color w:val="auto"/>
                <w:spacing w:val="-3"/>
              </w:rPr>
              <w:t>1</w:t>
            </w:r>
            <w:r>
              <w:rPr>
                <w:color w:val="auto"/>
                <w:spacing w:val="-4"/>
              </w:rPr>
              <w:t xml:space="preserve"> 人</w:t>
            </w:r>
            <w:r>
              <w:rPr>
                <w:color w:val="auto"/>
                <w:spacing w:val="-1"/>
              </w:rPr>
              <w:t>不予计分；提供施工员</w:t>
            </w:r>
            <w:r>
              <w:rPr>
                <w:color w:val="auto"/>
                <w:spacing w:val="-23"/>
              </w:rPr>
              <w:t xml:space="preserve"> </w:t>
            </w:r>
            <w:r>
              <w:rPr>
                <w:color w:val="auto"/>
                <w:spacing w:val="-1"/>
              </w:rPr>
              <w:t>1</w:t>
            </w:r>
            <w:r>
              <w:rPr>
                <w:color w:val="auto"/>
                <w:spacing w:val="-42"/>
              </w:rPr>
              <w:t xml:space="preserve"> </w:t>
            </w:r>
            <w:r>
              <w:rPr>
                <w:color w:val="auto"/>
                <w:spacing w:val="-1"/>
              </w:rPr>
              <w:t>人、质量员</w:t>
            </w:r>
            <w:r>
              <w:rPr>
                <w:color w:val="auto"/>
                <w:spacing w:val="-28"/>
              </w:rPr>
              <w:t xml:space="preserve"> </w:t>
            </w:r>
            <w:r>
              <w:rPr>
                <w:color w:val="auto"/>
                <w:spacing w:val="-1"/>
              </w:rPr>
              <w:t>1</w:t>
            </w:r>
            <w:r>
              <w:rPr>
                <w:color w:val="auto"/>
                <w:spacing w:val="-42"/>
              </w:rPr>
              <w:t xml:space="preserve"> </w:t>
            </w:r>
            <w:r>
              <w:rPr>
                <w:color w:val="auto"/>
                <w:spacing w:val="-1"/>
              </w:rPr>
              <w:t>人、材料员</w:t>
            </w:r>
            <w:r>
              <w:rPr>
                <w:color w:val="auto"/>
                <w:spacing w:val="-28"/>
              </w:rPr>
              <w:t xml:space="preserve"> </w:t>
            </w:r>
            <w:r>
              <w:rPr>
                <w:color w:val="auto"/>
                <w:spacing w:val="-1"/>
              </w:rPr>
              <w:t>1</w:t>
            </w:r>
            <w:r>
              <w:rPr>
                <w:color w:val="auto"/>
                <w:spacing w:val="-7"/>
              </w:rPr>
              <w:t>人、安全员</w:t>
            </w:r>
            <w:r>
              <w:rPr>
                <w:color w:val="auto"/>
                <w:spacing w:val="-26"/>
              </w:rPr>
              <w:t xml:space="preserve"> </w:t>
            </w:r>
            <w:r>
              <w:rPr>
                <w:color w:val="auto"/>
                <w:spacing w:val="-7"/>
              </w:rPr>
              <w:t>1</w:t>
            </w:r>
            <w:r>
              <w:rPr>
                <w:color w:val="auto"/>
                <w:spacing w:val="-49"/>
              </w:rPr>
              <w:t xml:space="preserve"> </w:t>
            </w:r>
            <w:r>
              <w:rPr>
                <w:color w:val="auto"/>
                <w:spacing w:val="-7"/>
              </w:rPr>
              <w:t>人，有相应人员的职称证书或岗位证书，</w:t>
            </w:r>
            <w:r>
              <w:rPr>
                <w:color w:val="auto"/>
                <w:spacing w:val="-4"/>
              </w:rPr>
              <w:t>得</w:t>
            </w:r>
            <w:r>
              <w:rPr>
                <w:color w:val="auto"/>
                <w:spacing w:val="-35"/>
              </w:rPr>
              <w:t xml:space="preserve"> </w:t>
            </w:r>
            <w:r>
              <w:rPr>
                <w:color w:val="auto"/>
                <w:spacing w:val="-4"/>
              </w:rPr>
              <w:t>3</w:t>
            </w:r>
            <w:r>
              <w:rPr>
                <w:color w:val="auto"/>
                <w:spacing w:val="-48"/>
              </w:rPr>
              <w:t xml:space="preserve"> </w:t>
            </w:r>
            <w:r>
              <w:rPr>
                <w:color w:val="auto"/>
                <w:spacing w:val="-4"/>
              </w:rPr>
              <w:t>分，不符合要求不得分；</w:t>
            </w:r>
          </w:p>
          <w:p w14:paraId="28EBA5DD">
            <w:pPr>
              <w:pStyle w:val="16"/>
              <w:spacing w:before="25" w:line="230" w:lineRule="auto"/>
              <w:ind w:left="65" w:right="57" w:hanging="4"/>
              <w:rPr>
                <w:color w:val="auto"/>
              </w:rPr>
            </w:pPr>
            <w:r>
              <w:rPr>
                <w:color w:val="auto"/>
                <w:spacing w:val="-9"/>
              </w:rPr>
              <w:t>②在满足上述人员基础上每增加</w:t>
            </w:r>
            <w:r>
              <w:rPr>
                <w:color w:val="auto"/>
                <w:spacing w:val="-26"/>
              </w:rPr>
              <w:t xml:space="preserve"> </w:t>
            </w:r>
            <w:r>
              <w:rPr>
                <w:color w:val="auto"/>
                <w:spacing w:val="-9"/>
              </w:rPr>
              <w:t>1</w:t>
            </w:r>
            <w:r>
              <w:rPr>
                <w:color w:val="auto"/>
                <w:spacing w:val="-48"/>
              </w:rPr>
              <w:t xml:space="preserve"> </w:t>
            </w:r>
            <w:r>
              <w:rPr>
                <w:color w:val="auto"/>
                <w:spacing w:val="-9"/>
              </w:rPr>
              <w:t>人得</w:t>
            </w:r>
            <w:r>
              <w:rPr>
                <w:color w:val="auto"/>
                <w:spacing w:val="-33"/>
              </w:rPr>
              <w:t xml:space="preserve"> </w:t>
            </w:r>
            <w:r>
              <w:rPr>
                <w:color w:val="auto"/>
                <w:spacing w:val="-9"/>
              </w:rPr>
              <w:t>1</w:t>
            </w:r>
            <w:r>
              <w:rPr>
                <w:color w:val="auto"/>
                <w:spacing w:val="-48"/>
              </w:rPr>
              <w:t xml:space="preserve"> </w:t>
            </w:r>
            <w:r>
              <w:rPr>
                <w:color w:val="auto"/>
                <w:spacing w:val="-9"/>
              </w:rPr>
              <w:t>分，最多得</w:t>
            </w:r>
            <w:r>
              <w:rPr>
                <w:color w:val="auto"/>
                <w:spacing w:val="-46"/>
              </w:rPr>
              <w:t xml:space="preserve"> </w:t>
            </w:r>
            <w:r>
              <w:rPr>
                <w:color w:val="auto"/>
                <w:spacing w:val="-9"/>
              </w:rPr>
              <w:t>3</w:t>
            </w:r>
            <w:r>
              <w:rPr>
                <w:color w:val="auto"/>
                <w:spacing w:val="-2"/>
              </w:rPr>
              <w:t>分，不符合要求不得分。</w:t>
            </w:r>
          </w:p>
          <w:p w14:paraId="2D38D35B">
            <w:pPr>
              <w:pStyle w:val="16"/>
              <w:spacing w:before="21" w:line="241" w:lineRule="auto"/>
              <w:ind w:left="63" w:right="57"/>
              <w:jc w:val="both"/>
              <w:rPr>
                <w:color w:val="auto"/>
              </w:rPr>
            </w:pPr>
            <w:r>
              <w:rPr>
                <w:color w:val="auto"/>
                <w:spacing w:val="2"/>
              </w:rPr>
              <w:t>标书内附人员身份证、职称证或岗位证（启用电子证书的附电子证书及有效查询网址，信息真伪由评标专家登录其提供的有效网址或扫描二维码标识进行查询</w:t>
            </w:r>
            <w:r>
              <w:rPr>
                <w:color w:val="auto"/>
                <w:spacing w:val="-4"/>
              </w:rPr>
              <w:t>确认</w:t>
            </w:r>
            <w:r>
              <w:rPr>
                <w:color w:val="auto"/>
                <w:spacing w:val="10"/>
              </w:rPr>
              <w:t>），</w:t>
            </w:r>
            <w:r>
              <w:rPr>
                <w:color w:val="auto"/>
                <w:spacing w:val="-4"/>
              </w:rPr>
              <w:t>否则不计分。</w:t>
            </w:r>
          </w:p>
        </w:tc>
      </w:tr>
      <w:tr w14:paraId="4786D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772" w:type="dxa"/>
            <w:vMerge w:val="restart"/>
            <w:tcBorders>
              <w:bottom w:val="nil"/>
            </w:tcBorders>
            <w:vAlign w:val="top"/>
          </w:tcPr>
          <w:p w14:paraId="59848ADA">
            <w:pPr>
              <w:spacing w:line="273" w:lineRule="auto"/>
              <w:rPr>
                <w:rFonts w:ascii="Arial"/>
                <w:color w:val="auto"/>
                <w:sz w:val="21"/>
              </w:rPr>
            </w:pPr>
          </w:p>
          <w:p w14:paraId="37DCC626">
            <w:pPr>
              <w:spacing w:line="273" w:lineRule="auto"/>
              <w:rPr>
                <w:rFonts w:ascii="Arial"/>
                <w:color w:val="auto"/>
                <w:sz w:val="21"/>
              </w:rPr>
            </w:pPr>
          </w:p>
          <w:p w14:paraId="4B6CB1F7">
            <w:pPr>
              <w:spacing w:line="273" w:lineRule="auto"/>
              <w:rPr>
                <w:rFonts w:ascii="Arial"/>
                <w:color w:val="auto"/>
                <w:sz w:val="21"/>
              </w:rPr>
            </w:pPr>
          </w:p>
          <w:p w14:paraId="03247954">
            <w:pPr>
              <w:spacing w:line="273" w:lineRule="auto"/>
              <w:rPr>
                <w:rFonts w:ascii="Arial"/>
                <w:color w:val="auto"/>
                <w:sz w:val="21"/>
              </w:rPr>
            </w:pPr>
          </w:p>
          <w:p w14:paraId="36285117">
            <w:pPr>
              <w:spacing w:line="273" w:lineRule="auto"/>
              <w:rPr>
                <w:rFonts w:ascii="Arial"/>
                <w:color w:val="auto"/>
                <w:sz w:val="21"/>
              </w:rPr>
            </w:pPr>
          </w:p>
          <w:p w14:paraId="1B2E66F3">
            <w:pPr>
              <w:pStyle w:val="16"/>
              <w:spacing w:before="78" w:line="238" w:lineRule="auto"/>
              <w:ind w:left="95"/>
              <w:rPr>
                <w:color w:val="auto"/>
              </w:rPr>
            </w:pPr>
            <w:r>
              <w:rPr>
                <w:color w:val="auto"/>
                <w:spacing w:val="-3"/>
              </w:rPr>
              <w:t>2.2.5</w:t>
            </w:r>
          </w:p>
          <w:p w14:paraId="0132C6A0">
            <w:pPr>
              <w:pStyle w:val="16"/>
              <w:spacing w:line="232" w:lineRule="auto"/>
              <w:ind w:left="104"/>
              <w:rPr>
                <w:color w:val="auto"/>
              </w:rPr>
            </w:pPr>
            <w:r>
              <w:rPr>
                <w:color w:val="auto"/>
                <w:spacing w:val="-7"/>
              </w:rPr>
              <w:t>（1）</w:t>
            </w:r>
          </w:p>
        </w:tc>
        <w:tc>
          <w:tcPr>
            <w:tcW w:w="1044" w:type="dxa"/>
            <w:vMerge w:val="restart"/>
            <w:tcBorders>
              <w:bottom w:val="nil"/>
            </w:tcBorders>
            <w:vAlign w:val="top"/>
          </w:tcPr>
          <w:p w14:paraId="25DAE964">
            <w:pPr>
              <w:spacing w:line="241" w:lineRule="auto"/>
              <w:rPr>
                <w:rFonts w:ascii="Arial"/>
                <w:color w:val="auto"/>
                <w:sz w:val="21"/>
              </w:rPr>
            </w:pPr>
          </w:p>
          <w:p w14:paraId="12D25C24">
            <w:pPr>
              <w:spacing w:line="241" w:lineRule="auto"/>
              <w:rPr>
                <w:rFonts w:ascii="Arial"/>
                <w:color w:val="auto"/>
                <w:sz w:val="21"/>
              </w:rPr>
            </w:pPr>
          </w:p>
          <w:p w14:paraId="16BCE8AB">
            <w:pPr>
              <w:spacing w:line="242" w:lineRule="auto"/>
              <w:rPr>
                <w:rFonts w:ascii="Arial"/>
                <w:color w:val="auto"/>
                <w:sz w:val="21"/>
              </w:rPr>
            </w:pPr>
          </w:p>
          <w:p w14:paraId="35344A41">
            <w:pPr>
              <w:spacing w:line="242" w:lineRule="auto"/>
              <w:rPr>
                <w:rFonts w:ascii="Arial"/>
                <w:color w:val="auto"/>
                <w:sz w:val="21"/>
              </w:rPr>
            </w:pPr>
          </w:p>
          <w:p w14:paraId="7328BDF5">
            <w:pPr>
              <w:spacing w:line="242" w:lineRule="auto"/>
              <w:rPr>
                <w:rFonts w:ascii="Arial"/>
                <w:color w:val="auto"/>
                <w:sz w:val="21"/>
              </w:rPr>
            </w:pPr>
          </w:p>
          <w:p w14:paraId="737FF076">
            <w:pPr>
              <w:pStyle w:val="16"/>
              <w:spacing w:before="78" w:line="241" w:lineRule="auto"/>
              <w:ind w:left="73" w:firstLine="212"/>
              <w:rPr>
                <w:color w:val="auto"/>
              </w:rPr>
            </w:pPr>
            <w:r>
              <w:rPr>
                <w:color w:val="auto"/>
                <w:spacing w:val="-9"/>
              </w:rPr>
              <w:t>其他</w:t>
            </w:r>
            <w:r>
              <w:rPr>
                <w:color w:val="auto"/>
                <w:spacing w:val="37"/>
                <w:w w:val="125"/>
              </w:rPr>
              <w:t>因素</w:t>
            </w:r>
            <w:r>
              <w:rPr>
                <w:color w:val="auto"/>
              </w:rPr>
              <w:t xml:space="preserve"> </w:t>
            </w:r>
            <w:r>
              <w:rPr>
                <w:color w:val="auto"/>
                <w:spacing w:val="-14"/>
              </w:rPr>
              <w:t>（12</w:t>
            </w:r>
            <w:r>
              <w:rPr>
                <w:color w:val="auto"/>
                <w:spacing w:val="-46"/>
              </w:rPr>
              <w:t xml:space="preserve"> </w:t>
            </w:r>
            <w:r>
              <w:rPr>
                <w:color w:val="auto"/>
                <w:spacing w:val="-14"/>
              </w:rPr>
              <w:t>分）</w:t>
            </w:r>
          </w:p>
        </w:tc>
        <w:tc>
          <w:tcPr>
            <w:tcW w:w="2099" w:type="dxa"/>
            <w:vAlign w:val="top"/>
          </w:tcPr>
          <w:p w14:paraId="491DCD6D">
            <w:pPr>
              <w:spacing w:line="281" w:lineRule="auto"/>
              <w:rPr>
                <w:rFonts w:ascii="Arial"/>
                <w:color w:val="auto"/>
                <w:sz w:val="21"/>
              </w:rPr>
            </w:pPr>
          </w:p>
          <w:p w14:paraId="7F18513D">
            <w:pPr>
              <w:pStyle w:val="16"/>
              <w:spacing w:before="78" w:line="241" w:lineRule="auto"/>
              <w:ind w:left="848" w:right="567" w:hanging="273"/>
              <w:rPr>
                <w:color w:val="auto"/>
              </w:rPr>
            </w:pPr>
            <w:r>
              <w:rPr>
                <w:color w:val="auto"/>
                <w:spacing w:val="-3"/>
              </w:rPr>
              <w:t>类似业绩</w:t>
            </w:r>
            <w:r>
              <w:rPr>
                <w:rFonts w:hint="eastAsia"/>
                <w:color w:val="auto"/>
                <w:spacing w:val="-6"/>
                <w:lang w:val="en-US" w:eastAsia="zh-CN"/>
              </w:rPr>
              <w:t>4</w:t>
            </w:r>
            <w:r>
              <w:rPr>
                <w:color w:val="auto"/>
                <w:spacing w:val="-48"/>
              </w:rPr>
              <w:t xml:space="preserve"> </w:t>
            </w:r>
            <w:r>
              <w:rPr>
                <w:color w:val="auto"/>
                <w:spacing w:val="-6"/>
              </w:rPr>
              <w:t>分</w:t>
            </w:r>
          </w:p>
        </w:tc>
        <w:tc>
          <w:tcPr>
            <w:tcW w:w="5708" w:type="dxa"/>
            <w:vAlign w:val="top"/>
          </w:tcPr>
          <w:p w14:paraId="2C3B4CB6">
            <w:pPr>
              <w:pStyle w:val="16"/>
              <w:spacing w:before="52" w:line="233" w:lineRule="auto"/>
              <w:ind w:left="62" w:right="57" w:firstLine="3"/>
              <w:jc w:val="both"/>
              <w:rPr>
                <w:color w:val="auto"/>
              </w:rPr>
            </w:pPr>
            <w:r>
              <w:rPr>
                <w:color w:val="auto"/>
                <w:spacing w:val="1"/>
              </w:rPr>
              <w:t>投标人</w:t>
            </w:r>
            <w:r>
              <w:rPr>
                <w:color w:val="auto"/>
                <w:spacing w:val="-39"/>
              </w:rPr>
              <w:t xml:space="preserve"> </w:t>
            </w:r>
            <w:r>
              <w:rPr>
                <w:color w:val="auto"/>
                <w:spacing w:val="1"/>
              </w:rPr>
              <w:t>2023</w:t>
            </w:r>
            <w:r>
              <w:rPr>
                <w:color w:val="auto"/>
                <w:spacing w:val="-48"/>
              </w:rPr>
              <w:t xml:space="preserve"> </w:t>
            </w:r>
            <w:r>
              <w:rPr>
                <w:color w:val="auto"/>
                <w:spacing w:val="1"/>
              </w:rPr>
              <w:t>年-至今具有与本项目类似的项目业绩，</w:t>
            </w:r>
            <w:r>
              <w:rPr>
                <w:color w:val="auto"/>
              </w:rPr>
              <w:t>每有一项得</w:t>
            </w:r>
            <w:r>
              <w:rPr>
                <w:color w:val="auto"/>
                <w:spacing w:val="-43"/>
              </w:rPr>
              <w:t xml:space="preserve"> </w:t>
            </w:r>
            <w:r>
              <w:rPr>
                <w:color w:val="auto"/>
              </w:rPr>
              <w:t>2</w:t>
            </w:r>
            <w:r>
              <w:rPr>
                <w:color w:val="auto"/>
                <w:spacing w:val="-46"/>
              </w:rPr>
              <w:t xml:space="preserve"> </w:t>
            </w:r>
            <w:r>
              <w:rPr>
                <w:color w:val="auto"/>
              </w:rPr>
              <w:t>分，满分</w:t>
            </w:r>
            <w:r>
              <w:rPr>
                <w:color w:val="auto"/>
                <w:spacing w:val="-44"/>
              </w:rPr>
              <w:t xml:space="preserve"> </w:t>
            </w:r>
            <w:r>
              <w:rPr>
                <w:rFonts w:hint="eastAsia"/>
                <w:color w:val="auto"/>
                <w:lang w:val="en-US" w:eastAsia="zh-CN"/>
              </w:rPr>
              <w:t>4</w:t>
            </w:r>
            <w:r>
              <w:rPr>
                <w:color w:val="auto"/>
                <w:spacing w:val="-45"/>
              </w:rPr>
              <w:t xml:space="preserve"> </w:t>
            </w:r>
            <w:r>
              <w:rPr>
                <w:color w:val="auto"/>
              </w:rPr>
              <w:t>分。（响应文件内附类似工</w:t>
            </w:r>
            <w:r>
              <w:rPr>
                <w:color w:val="auto"/>
                <w:spacing w:val="2"/>
              </w:rPr>
              <w:t>程业绩中标通知书或合同协议书复印件加盖公章，否</w:t>
            </w:r>
            <w:r>
              <w:rPr>
                <w:color w:val="auto"/>
                <w:spacing w:val="-2"/>
              </w:rPr>
              <w:t>则不予计分。）</w:t>
            </w:r>
          </w:p>
        </w:tc>
      </w:tr>
      <w:tr w14:paraId="544A4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72" w:type="dxa"/>
            <w:vMerge w:val="continue"/>
            <w:tcBorders>
              <w:top w:val="nil"/>
              <w:bottom w:val="nil"/>
            </w:tcBorders>
            <w:vAlign w:val="top"/>
          </w:tcPr>
          <w:p w14:paraId="6D780373">
            <w:pPr>
              <w:rPr>
                <w:rFonts w:ascii="Arial"/>
                <w:color w:val="auto"/>
                <w:sz w:val="21"/>
              </w:rPr>
            </w:pPr>
          </w:p>
        </w:tc>
        <w:tc>
          <w:tcPr>
            <w:tcW w:w="1044" w:type="dxa"/>
            <w:vMerge w:val="continue"/>
            <w:tcBorders>
              <w:top w:val="nil"/>
              <w:bottom w:val="nil"/>
            </w:tcBorders>
            <w:vAlign w:val="top"/>
          </w:tcPr>
          <w:p w14:paraId="5A4AF6AF">
            <w:pPr>
              <w:rPr>
                <w:rFonts w:ascii="Arial"/>
                <w:color w:val="auto"/>
                <w:sz w:val="21"/>
              </w:rPr>
            </w:pPr>
          </w:p>
        </w:tc>
        <w:tc>
          <w:tcPr>
            <w:tcW w:w="2099" w:type="dxa"/>
            <w:vAlign w:val="top"/>
          </w:tcPr>
          <w:p w14:paraId="020C1BEF">
            <w:pPr>
              <w:spacing w:line="247" w:lineRule="auto"/>
              <w:rPr>
                <w:rFonts w:ascii="Arial"/>
                <w:color w:val="auto"/>
                <w:sz w:val="21"/>
              </w:rPr>
            </w:pPr>
          </w:p>
          <w:p w14:paraId="45F15656">
            <w:pPr>
              <w:pStyle w:val="16"/>
              <w:spacing w:before="78" w:line="241" w:lineRule="auto"/>
              <w:ind w:left="850" w:right="567" w:hanging="276"/>
              <w:rPr>
                <w:color w:val="auto"/>
              </w:rPr>
            </w:pPr>
            <w:r>
              <w:rPr>
                <w:color w:val="auto"/>
                <w:spacing w:val="-3"/>
              </w:rPr>
              <w:t>优惠条件</w:t>
            </w:r>
            <w:r>
              <w:rPr>
                <w:rFonts w:hint="eastAsia"/>
                <w:color w:val="auto"/>
                <w:spacing w:val="-8"/>
                <w:lang w:val="en-US" w:eastAsia="zh-CN"/>
              </w:rPr>
              <w:t>4</w:t>
            </w:r>
            <w:r>
              <w:rPr>
                <w:color w:val="auto"/>
                <w:spacing w:val="-47"/>
              </w:rPr>
              <w:t xml:space="preserve"> </w:t>
            </w:r>
            <w:r>
              <w:rPr>
                <w:color w:val="auto"/>
                <w:spacing w:val="-8"/>
              </w:rPr>
              <w:t>分</w:t>
            </w:r>
          </w:p>
        </w:tc>
        <w:tc>
          <w:tcPr>
            <w:tcW w:w="5708" w:type="dxa"/>
            <w:vAlign w:val="top"/>
          </w:tcPr>
          <w:p w14:paraId="24B22D97">
            <w:pPr>
              <w:pStyle w:val="16"/>
              <w:spacing w:before="174"/>
              <w:ind w:left="63" w:right="54"/>
              <w:jc w:val="both"/>
              <w:rPr>
                <w:color w:val="auto"/>
              </w:rPr>
            </w:pPr>
            <w:r>
              <w:rPr>
                <w:color w:val="auto"/>
                <w:spacing w:val="8"/>
              </w:rPr>
              <w:t>供应商提出的采购人可接受的实质性优惠条件,每提</w:t>
            </w:r>
            <w:r>
              <w:rPr>
                <w:color w:val="auto"/>
                <w:spacing w:val="-1"/>
              </w:rPr>
              <w:t>供一条得</w:t>
            </w:r>
            <w:r>
              <w:rPr>
                <w:color w:val="auto"/>
                <w:spacing w:val="-24"/>
              </w:rPr>
              <w:t xml:space="preserve"> </w:t>
            </w:r>
            <w:r>
              <w:rPr>
                <w:color w:val="auto"/>
                <w:spacing w:val="-1"/>
              </w:rPr>
              <w:t>1</w:t>
            </w:r>
            <w:r>
              <w:rPr>
                <w:color w:val="auto"/>
                <w:spacing w:val="-46"/>
              </w:rPr>
              <w:t xml:space="preserve"> </w:t>
            </w:r>
            <w:r>
              <w:rPr>
                <w:color w:val="auto"/>
                <w:spacing w:val="-1"/>
              </w:rPr>
              <w:t>分，最高得</w:t>
            </w:r>
            <w:r>
              <w:rPr>
                <w:color w:val="auto"/>
                <w:spacing w:val="-41"/>
              </w:rPr>
              <w:t xml:space="preserve"> </w:t>
            </w:r>
            <w:r>
              <w:rPr>
                <w:rFonts w:hint="eastAsia"/>
                <w:color w:val="auto"/>
                <w:spacing w:val="-1"/>
                <w:lang w:val="en-US" w:eastAsia="zh-CN"/>
              </w:rPr>
              <w:t>4</w:t>
            </w:r>
            <w:r>
              <w:rPr>
                <w:color w:val="auto"/>
                <w:spacing w:val="-45"/>
              </w:rPr>
              <w:t xml:space="preserve"> </w:t>
            </w:r>
            <w:r>
              <w:rPr>
                <w:color w:val="auto"/>
                <w:spacing w:val="-1"/>
              </w:rPr>
              <w:t>分，未提供或提供的内容不全面不合理不切合实际的不得分。</w:t>
            </w:r>
          </w:p>
        </w:tc>
      </w:tr>
      <w:tr w14:paraId="0BFF9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772" w:type="dxa"/>
            <w:vMerge w:val="continue"/>
            <w:tcBorders>
              <w:top w:val="nil"/>
            </w:tcBorders>
            <w:vAlign w:val="top"/>
          </w:tcPr>
          <w:p w14:paraId="709B2F2E">
            <w:pPr>
              <w:rPr>
                <w:rFonts w:ascii="Arial"/>
                <w:color w:val="auto"/>
                <w:sz w:val="21"/>
              </w:rPr>
            </w:pPr>
          </w:p>
        </w:tc>
        <w:tc>
          <w:tcPr>
            <w:tcW w:w="1044" w:type="dxa"/>
            <w:vMerge w:val="continue"/>
            <w:tcBorders>
              <w:top w:val="nil"/>
            </w:tcBorders>
            <w:vAlign w:val="top"/>
          </w:tcPr>
          <w:p w14:paraId="14FE6DCF">
            <w:pPr>
              <w:rPr>
                <w:rFonts w:ascii="Arial"/>
                <w:color w:val="auto"/>
                <w:sz w:val="21"/>
              </w:rPr>
            </w:pPr>
          </w:p>
        </w:tc>
        <w:tc>
          <w:tcPr>
            <w:tcW w:w="2099" w:type="dxa"/>
            <w:vAlign w:val="top"/>
          </w:tcPr>
          <w:p w14:paraId="41631D6A">
            <w:pPr>
              <w:pStyle w:val="16"/>
              <w:spacing w:before="207" w:line="242" w:lineRule="auto"/>
              <w:ind w:left="850" w:right="567" w:hanging="275"/>
              <w:rPr>
                <w:color w:val="auto"/>
              </w:rPr>
            </w:pPr>
            <w:r>
              <w:rPr>
                <w:color w:val="auto"/>
                <w:spacing w:val="-3"/>
              </w:rPr>
              <w:t>服务承诺</w:t>
            </w:r>
            <w:r>
              <w:rPr>
                <w:rFonts w:hint="eastAsia"/>
                <w:color w:val="auto"/>
                <w:spacing w:val="-8"/>
                <w:lang w:val="en-US" w:eastAsia="zh-CN"/>
              </w:rPr>
              <w:t>4</w:t>
            </w:r>
            <w:r>
              <w:rPr>
                <w:color w:val="auto"/>
                <w:spacing w:val="-47"/>
              </w:rPr>
              <w:t xml:space="preserve"> </w:t>
            </w:r>
            <w:r>
              <w:rPr>
                <w:color w:val="auto"/>
                <w:spacing w:val="-8"/>
              </w:rPr>
              <w:t>分</w:t>
            </w:r>
          </w:p>
        </w:tc>
        <w:tc>
          <w:tcPr>
            <w:tcW w:w="5708" w:type="dxa"/>
            <w:vAlign w:val="top"/>
          </w:tcPr>
          <w:p w14:paraId="196E0036">
            <w:pPr>
              <w:pStyle w:val="16"/>
              <w:spacing w:before="205" w:line="241" w:lineRule="auto"/>
              <w:ind w:left="63" w:right="54"/>
              <w:rPr>
                <w:color w:val="auto"/>
              </w:rPr>
            </w:pPr>
            <w:r>
              <w:rPr>
                <w:color w:val="auto"/>
                <w:spacing w:val="8"/>
              </w:rPr>
              <w:t>供应商提出的采购人可接受的实质性服务承诺,每提</w:t>
            </w:r>
            <w:r>
              <w:rPr>
                <w:color w:val="auto"/>
                <w:spacing w:val="-5"/>
              </w:rPr>
              <w:t>供一条得</w:t>
            </w:r>
            <w:r>
              <w:rPr>
                <w:color w:val="auto"/>
                <w:spacing w:val="-25"/>
              </w:rPr>
              <w:t xml:space="preserve"> </w:t>
            </w:r>
            <w:r>
              <w:rPr>
                <w:color w:val="auto"/>
                <w:spacing w:val="-5"/>
              </w:rPr>
              <w:t>1</w:t>
            </w:r>
            <w:r>
              <w:rPr>
                <w:color w:val="auto"/>
                <w:spacing w:val="-47"/>
              </w:rPr>
              <w:t xml:space="preserve"> </w:t>
            </w:r>
            <w:r>
              <w:rPr>
                <w:color w:val="auto"/>
                <w:spacing w:val="-5"/>
              </w:rPr>
              <w:t>分，最高</w:t>
            </w:r>
            <w:r>
              <w:rPr>
                <w:color w:val="auto"/>
                <w:spacing w:val="-46"/>
              </w:rPr>
              <w:t xml:space="preserve"> </w:t>
            </w:r>
            <w:r>
              <w:rPr>
                <w:rFonts w:hint="eastAsia"/>
                <w:color w:val="auto"/>
                <w:spacing w:val="-5"/>
                <w:lang w:val="en-US" w:eastAsia="zh-CN"/>
              </w:rPr>
              <w:t>4</w:t>
            </w:r>
            <w:r>
              <w:rPr>
                <w:color w:val="auto"/>
                <w:spacing w:val="-48"/>
              </w:rPr>
              <w:t xml:space="preserve"> </w:t>
            </w:r>
            <w:r>
              <w:rPr>
                <w:color w:val="auto"/>
                <w:spacing w:val="-5"/>
              </w:rPr>
              <w:t>分,无不得分。</w:t>
            </w:r>
          </w:p>
        </w:tc>
      </w:tr>
    </w:tbl>
    <w:p w14:paraId="7BBE61B4">
      <w:pPr>
        <w:pStyle w:val="2"/>
        <w:rPr>
          <w:color w:val="auto"/>
        </w:rPr>
      </w:pPr>
    </w:p>
    <w:p w14:paraId="6D45C662">
      <w:pPr>
        <w:rPr>
          <w:color w:val="auto"/>
        </w:rPr>
        <w:sectPr>
          <w:footerReference r:id="rId14" w:type="default"/>
          <w:pgSz w:w="11906" w:h="16839"/>
          <w:pgMar w:top="1440" w:right="1080" w:bottom="1440" w:left="1080" w:header="0" w:footer="1045" w:gutter="0"/>
          <w:pgNumType w:fmt="decimal"/>
          <w:cols w:space="720" w:num="1"/>
        </w:sectPr>
      </w:pPr>
    </w:p>
    <w:p w14:paraId="1230B2E4">
      <w:pPr>
        <w:spacing w:before="181" w:line="221" w:lineRule="auto"/>
        <w:ind w:left="25"/>
        <w:rPr>
          <w:rFonts w:ascii="宋体" w:hAnsi="宋体" w:eastAsia="宋体" w:cs="宋体"/>
          <w:color w:val="auto"/>
          <w:sz w:val="28"/>
          <w:szCs w:val="28"/>
        </w:rPr>
      </w:pPr>
      <w:r>
        <w:rPr>
          <w:rFonts w:ascii="宋体" w:hAnsi="宋体" w:eastAsia="宋体" w:cs="宋体"/>
          <w:b/>
          <w:bCs/>
          <w:color w:val="auto"/>
          <w:spacing w:val="-7"/>
          <w:sz w:val="28"/>
          <w:szCs w:val="28"/>
        </w:rPr>
        <w:t>1.</w:t>
      </w:r>
      <w:r>
        <w:rPr>
          <w:rFonts w:ascii="宋体" w:hAnsi="宋体" w:eastAsia="宋体" w:cs="宋体"/>
          <w:color w:val="auto"/>
          <w:spacing w:val="-7"/>
          <w:sz w:val="28"/>
          <w:szCs w:val="28"/>
        </w:rPr>
        <w:t xml:space="preserve"> </w:t>
      </w:r>
      <w:r>
        <w:rPr>
          <w:rFonts w:ascii="宋体" w:hAnsi="宋体" w:eastAsia="宋体" w:cs="宋体"/>
          <w:b/>
          <w:bCs/>
          <w:color w:val="auto"/>
          <w:spacing w:val="-7"/>
          <w:sz w:val="28"/>
          <w:szCs w:val="28"/>
        </w:rPr>
        <w:t>评标方法</w:t>
      </w:r>
    </w:p>
    <w:p w14:paraId="4445529B">
      <w:pPr>
        <w:spacing w:before="211" w:line="375" w:lineRule="auto"/>
        <w:ind w:firstLine="424"/>
        <w:jc w:val="both"/>
        <w:rPr>
          <w:rFonts w:ascii="宋体" w:hAnsi="宋体" w:eastAsia="宋体" w:cs="宋体"/>
          <w:color w:val="auto"/>
          <w:sz w:val="20"/>
          <w:szCs w:val="20"/>
        </w:rPr>
      </w:pPr>
      <w:r>
        <w:rPr>
          <w:rFonts w:ascii="宋体" w:hAnsi="宋体" w:eastAsia="宋体" w:cs="宋体"/>
          <w:color w:val="auto"/>
          <w:spacing w:val="9"/>
          <w:sz w:val="20"/>
          <w:szCs w:val="20"/>
        </w:rPr>
        <w:t>竞磋采用二次报价，综合评分法。磋商小组仅对确定为实质上响应竞磋要求的</w:t>
      </w:r>
      <w:r>
        <w:rPr>
          <w:rFonts w:ascii="宋体" w:hAnsi="宋体" w:eastAsia="宋体" w:cs="宋体"/>
          <w:color w:val="auto"/>
          <w:spacing w:val="8"/>
          <w:sz w:val="20"/>
          <w:szCs w:val="20"/>
        </w:rPr>
        <w:t>竞磋响应文件</w:t>
      </w:r>
      <w:r>
        <w:rPr>
          <w:rFonts w:ascii="宋体" w:hAnsi="宋体" w:eastAsia="宋体" w:cs="宋体"/>
          <w:color w:val="auto"/>
          <w:spacing w:val="9"/>
          <w:sz w:val="20"/>
          <w:szCs w:val="20"/>
        </w:rPr>
        <w:t>进行评价和比较。磋商小组根据综合评分情况，按照评审得分由高到低顺序推荐三名成交候选供应商，得分最高排名第一的推荐为成交供应商。评审得分相同的，按照最后报价由低到高的顺序</w:t>
      </w:r>
      <w:r>
        <w:rPr>
          <w:rFonts w:ascii="宋体" w:hAnsi="宋体" w:eastAsia="宋体" w:cs="宋体"/>
          <w:color w:val="auto"/>
          <w:spacing w:val="6"/>
          <w:sz w:val="20"/>
          <w:szCs w:val="20"/>
        </w:rPr>
        <w:t>推荐。评审得分且最后报价相同的，按照施工组织设计、其他因素、项目管理机</w:t>
      </w:r>
      <w:r>
        <w:rPr>
          <w:rFonts w:ascii="宋体" w:hAnsi="宋体" w:eastAsia="宋体" w:cs="宋体"/>
          <w:color w:val="auto"/>
          <w:spacing w:val="5"/>
          <w:sz w:val="20"/>
          <w:szCs w:val="20"/>
        </w:rPr>
        <w:t>构优劣顺序推荐。</w:t>
      </w:r>
    </w:p>
    <w:p w14:paraId="60B084A3">
      <w:pPr>
        <w:spacing w:before="71" w:line="221" w:lineRule="auto"/>
        <w:ind w:left="7"/>
        <w:rPr>
          <w:rFonts w:ascii="宋体" w:hAnsi="宋体" w:eastAsia="宋体" w:cs="宋体"/>
          <w:color w:val="auto"/>
          <w:sz w:val="28"/>
          <w:szCs w:val="28"/>
        </w:rPr>
      </w:pPr>
      <w:r>
        <w:rPr>
          <w:rFonts w:ascii="宋体" w:hAnsi="宋体" w:eastAsia="宋体" w:cs="宋体"/>
          <w:b/>
          <w:bCs/>
          <w:color w:val="auto"/>
          <w:spacing w:val="-4"/>
          <w:sz w:val="28"/>
          <w:szCs w:val="28"/>
        </w:rPr>
        <w:t>2.</w:t>
      </w:r>
      <w:r>
        <w:rPr>
          <w:rFonts w:ascii="宋体" w:hAnsi="宋体" w:eastAsia="宋体" w:cs="宋体"/>
          <w:color w:val="auto"/>
          <w:spacing w:val="-4"/>
          <w:sz w:val="28"/>
          <w:szCs w:val="28"/>
        </w:rPr>
        <w:t xml:space="preserve"> </w:t>
      </w:r>
      <w:r>
        <w:rPr>
          <w:rFonts w:ascii="宋体" w:hAnsi="宋体" w:eastAsia="宋体" w:cs="宋体"/>
          <w:b/>
          <w:bCs/>
          <w:color w:val="auto"/>
          <w:spacing w:val="-4"/>
          <w:sz w:val="28"/>
          <w:szCs w:val="28"/>
        </w:rPr>
        <w:t>评审标准</w:t>
      </w:r>
    </w:p>
    <w:p w14:paraId="6BA03DFA">
      <w:pPr>
        <w:spacing w:before="216" w:line="228" w:lineRule="auto"/>
        <w:ind w:left="4"/>
        <w:rPr>
          <w:rFonts w:ascii="宋体" w:hAnsi="宋体" w:eastAsia="宋体" w:cs="宋体"/>
          <w:color w:val="auto"/>
          <w:sz w:val="20"/>
          <w:szCs w:val="20"/>
        </w:rPr>
      </w:pPr>
      <w:r>
        <w:rPr>
          <w:rFonts w:ascii="宋体" w:hAnsi="宋体" w:eastAsia="宋体" w:cs="宋体"/>
          <w:b/>
          <w:bCs/>
          <w:color w:val="auto"/>
          <w:spacing w:val="5"/>
          <w:sz w:val="20"/>
          <w:szCs w:val="20"/>
        </w:rPr>
        <w:t>2.1</w:t>
      </w:r>
      <w:r>
        <w:rPr>
          <w:rFonts w:ascii="宋体" w:hAnsi="宋体" w:eastAsia="宋体" w:cs="宋体"/>
          <w:color w:val="auto"/>
          <w:spacing w:val="5"/>
          <w:sz w:val="20"/>
          <w:szCs w:val="20"/>
        </w:rPr>
        <w:t xml:space="preserve"> </w:t>
      </w:r>
      <w:r>
        <w:rPr>
          <w:rFonts w:ascii="宋体" w:hAnsi="宋体" w:eastAsia="宋体" w:cs="宋体"/>
          <w:b/>
          <w:bCs/>
          <w:color w:val="auto"/>
          <w:spacing w:val="5"/>
          <w:sz w:val="20"/>
          <w:szCs w:val="20"/>
        </w:rPr>
        <w:t>初步评审标准</w:t>
      </w:r>
    </w:p>
    <w:p w14:paraId="6FCBE5B3">
      <w:pPr>
        <w:spacing w:before="158" w:line="228" w:lineRule="auto"/>
        <w:ind w:left="4"/>
        <w:rPr>
          <w:rFonts w:ascii="宋体" w:hAnsi="宋体" w:eastAsia="宋体" w:cs="宋体"/>
          <w:color w:val="auto"/>
          <w:sz w:val="20"/>
          <w:szCs w:val="20"/>
        </w:rPr>
      </w:pPr>
      <w:r>
        <w:rPr>
          <w:rFonts w:ascii="宋体" w:hAnsi="宋体" w:eastAsia="宋体" w:cs="宋体"/>
          <w:color w:val="auto"/>
          <w:spacing w:val="7"/>
          <w:sz w:val="20"/>
          <w:szCs w:val="20"/>
        </w:rPr>
        <w:t>2.1.1 形式评审标准：见评标办法前附表。</w:t>
      </w:r>
    </w:p>
    <w:p w14:paraId="596FAEAC">
      <w:pPr>
        <w:spacing w:before="159" w:line="228" w:lineRule="auto"/>
        <w:ind w:left="4"/>
        <w:rPr>
          <w:rFonts w:ascii="宋体" w:hAnsi="宋体" w:eastAsia="宋体" w:cs="宋体"/>
          <w:color w:val="auto"/>
          <w:sz w:val="20"/>
          <w:szCs w:val="20"/>
        </w:rPr>
      </w:pPr>
      <w:r>
        <w:rPr>
          <w:rFonts w:ascii="宋体" w:hAnsi="宋体" w:eastAsia="宋体" w:cs="宋体"/>
          <w:color w:val="auto"/>
          <w:spacing w:val="7"/>
          <w:sz w:val="20"/>
          <w:szCs w:val="20"/>
        </w:rPr>
        <w:t>2.1.2 资格评审标准：见评标办法前附表。</w:t>
      </w:r>
    </w:p>
    <w:p w14:paraId="1DA0AE11">
      <w:pPr>
        <w:spacing w:before="158" w:line="228" w:lineRule="auto"/>
        <w:ind w:left="4"/>
        <w:rPr>
          <w:rFonts w:ascii="宋体" w:hAnsi="宋体" w:eastAsia="宋体" w:cs="宋体"/>
          <w:color w:val="auto"/>
          <w:sz w:val="20"/>
          <w:szCs w:val="20"/>
        </w:rPr>
      </w:pPr>
      <w:r>
        <w:rPr>
          <w:rFonts w:ascii="宋体" w:hAnsi="宋体" w:eastAsia="宋体" w:cs="宋体"/>
          <w:color w:val="auto"/>
          <w:spacing w:val="7"/>
          <w:sz w:val="20"/>
          <w:szCs w:val="20"/>
        </w:rPr>
        <w:t>2.1.3 响应性评审标准：见评标办法前附表。</w:t>
      </w:r>
    </w:p>
    <w:p w14:paraId="49C6F85D">
      <w:pPr>
        <w:spacing w:before="160" w:line="228" w:lineRule="auto"/>
        <w:ind w:left="4"/>
        <w:rPr>
          <w:rFonts w:ascii="宋体" w:hAnsi="宋体" w:eastAsia="宋体" w:cs="宋体"/>
          <w:color w:val="auto"/>
          <w:sz w:val="20"/>
          <w:szCs w:val="20"/>
        </w:rPr>
      </w:pPr>
      <w:r>
        <w:rPr>
          <w:rFonts w:ascii="宋体" w:hAnsi="宋体" w:eastAsia="宋体" w:cs="宋体"/>
          <w:b/>
          <w:bCs/>
          <w:color w:val="auto"/>
          <w:spacing w:val="6"/>
          <w:sz w:val="20"/>
          <w:szCs w:val="20"/>
        </w:rPr>
        <w:t>2.2</w:t>
      </w:r>
      <w:r>
        <w:rPr>
          <w:rFonts w:ascii="宋体" w:hAnsi="宋体" w:eastAsia="宋体" w:cs="宋体"/>
          <w:color w:val="auto"/>
          <w:spacing w:val="6"/>
          <w:sz w:val="20"/>
          <w:szCs w:val="20"/>
        </w:rPr>
        <w:t xml:space="preserve"> </w:t>
      </w:r>
      <w:r>
        <w:rPr>
          <w:rFonts w:ascii="宋体" w:hAnsi="宋体" w:eastAsia="宋体" w:cs="宋体"/>
          <w:b/>
          <w:bCs/>
          <w:color w:val="auto"/>
          <w:spacing w:val="6"/>
          <w:sz w:val="20"/>
          <w:szCs w:val="20"/>
        </w:rPr>
        <w:t>分值构成与评分标准</w:t>
      </w:r>
    </w:p>
    <w:p w14:paraId="0D886534">
      <w:pPr>
        <w:spacing w:before="158" w:line="228" w:lineRule="auto"/>
        <w:ind w:left="4"/>
        <w:rPr>
          <w:rFonts w:ascii="宋体" w:hAnsi="宋体" w:eastAsia="宋体" w:cs="宋体"/>
          <w:color w:val="auto"/>
          <w:sz w:val="20"/>
          <w:szCs w:val="20"/>
        </w:rPr>
      </w:pPr>
      <w:r>
        <w:rPr>
          <w:rFonts w:ascii="宋体" w:hAnsi="宋体" w:eastAsia="宋体" w:cs="宋体"/>
          <w:color w:val="auto"/>
          <w:spacing w:val="5"/>
          <w:sz w:val="20"/>
          <w:szCs w:val="20"/>
        </w:rPr>
        <w:t>2.2.1 分值构成</w:t>
      </w:r>
    </w:p>
    <w:p w14:paraId="5E2FC33D">
      <w:pPr>
        <w:spacing w:before="158" w:line="228" w:lineRule="auto"/>
        <w:ind w:left="11"/>
        <w:rPr>
          <w:rFonts w:ascii="宋体" w:hAnsi="宋体" w:eastAsia="宋体" w:cs="宋体"/>
          <w:color w:val="auto"/>
          <w:sz w:val="20"/>
          <w:szCs w:val="20"/>
        </w:rPr>
      </w:pPr>
      <w:r>
        <w:rPr>
          <w:rFonts w:ascii="宋体" w:hAnsi="宋体" w:eastAsia="宋体" w:cs="宋体"/>
          <w:color w:val="auto"/>
          <w:spacing w:val="8"/>
          <w:sz w:val="20"/>
          <w:szCs w:val="20"/>
        </w:rPr>
        <w:t>（1）施工组织设计：见评标办法前附表；</w:t>
      </w:r>
    </w:p>
    <w:p w14:paraId="465D8EFE">
      <w:pPr>
        <w:spacing w:before="159" w:line="228" w:lineRule="auto"/>
        <w:ind w:left="11"/>
        <w:rPr>
          <w:rFonts w:ascii="宋体" w:hAnsi="宋体" w:eastAsia="宋体" w:cs="宋体"/>
          <w:color w:val="auto"/>
          <w:sz w:val="20"/>
          <w:szCs w:val="20"/>
        </w:rPr>
      </w:pPr>
      <w:r>
        <w:rPr>
          <w:rFonts w:ascii="宋体" w:hAnsi="宋体" w:eastAsia="宋体" w:cs="宋体"/>
          <w:color w:val="auto"/>
          <w:spacing w:val="8"/>
          <w:sz w:val="20"/>
          <w:szCs w:val="20"/>
        </w:rPr>
        <w:t>（2）项目管理机构：见评标办法前附表；</w:t>
      </w:r>
    </w:p>
    <w:p w14:paraId="151DFBFF">
      <w:pPr>
        <w:spacing w:before="159" w:line="227" w:lineRule="auto"/>
        <w:ind w:left="11"/>
        <w:rPr>
          <w:rFonts w:ascii="宋体" w:hAnsi="宋体" w:eastAsia="宋体" w:cs="宋体"/>
          <w:color w:val="auto"/>
          <w:sz w:val="20"/>
          <w:szCs w:val="20"/>
        </w:rPr>
      </w:pPr>
      <w:r>
        <w:rPr>
          <w:rFonts w:ascii="宋体" w:hAnsi="宋体" w:eastAsia="宋体" w:cs="宋体"/>
          <w:color w:val="auto"/>
          <w:spacing w:val="7"/>
          <w:sz w:val="20"/>
          <w:szCs w:val="20"/>
        </w:rPr>
        <w:t>（3）磋商报价：见评标办法前附表；</w:t>
      </w:r>
    </w:p>
    <w:p w14:paraId="46533EE3">
      <w:pPr>
        <w:spacing w:before="159" w:line="228" w:lineRule="auto"/>
        <w:ind w:left="11"/>
        <w:rPr>
          <w:rFonts w:ascii="宋体" w:hAnsi="宋体" w:eastAsia="宋体" w:cs="宋体"/>
          <w:color w:val="auto"/>
          <w:sz w:val="20"/>
          <w:szCs w:val="20"/>
        </w:rPr>
      </w:pPr>
      <w:r>
        <w:rPr>
          <w:rFonts w:ascii="宋体" w:hAnsi="宋体" w:eastAsia="宋体" w:cs="宋体"/>
          <w:color w:val="auto"/>
          <w:spacing w:val="7"/>
          <w:sz w:val="20"/>
          <w:szCs w:val="20"/>
        </w:rPr>
        <w:t>（4）其他因素：见评标办法前附表。</w:t>
      </w:r>
    </w:p>
    <w:p w14:paraId="5E5DDE1E">
      <w:pPr>
        <w:spacing w:before="159" w:line="227" w:lineRule="auto"/>
        <w:ind w:left="4"/>
        <w:rPr>
          <w:rFonts w:ascii="宋体" w:hAnsi="宋体" w:eastAsia="宋体" w:cs="宋体"/>
          <w:color w:val="auto"/>
          <w:sz w:val="20"/>
          <w:szCs w:val="20"/>
        </w:rPr>
      </w:pPr>
      <w:r>
        <w:rPr>
          <w:rFonts w:ascii="宋体" w:hAnsi="宋体" w:eastAsia="宋体" w:cs="宋体"/>
          <w:color w:val="auto"/>
          <w:spacing w:val="6"/>
          <w:sz w:val="20"/>
          <w:szCs w:val="20"/>
        </w:rPr>
        <w:t>2.2.2 磋商基准价计算</w:t>
      </w:r>
    </w:p>
    <w:p w14:paraId="113268F4">
      <w:pPr>
        <w:spacing w:before="159" w:line="227" w:lineRule="auto"/>
        <w:rPr>
          <w:rFonts w:ascii="宋体" w:hAnsi="宋体" w:eastAsia="宋体" w:cs="宋体"/>
          <w:color w:val="auto"/>
          <w:sz w:val="20"/>
          <w:szCs w:val="20"/>
        </w:rPr>
      </w:pPr>
      <w:r>
        <w:rPr>
          <w:rFonts w:ascii="宋体" w:hAnsi="宋体" w:eastAsia="宋体" w:cs="宋体"/>
          <w:color w:val="auto"/>
          <w:spacing w:val="8"/>
          <w:sz w:val="20"/>
          <w:szCs w:val="20"/>
        </w:rPr>
        <w:t>磋商基准价计算方法：见评标办法前附表。</w:t>
      </w:r>
    </w:p>
    <w:p w14:paraId="79248B3F">
      <w:pPr>
        <w:spacing w:before="160" w:line="229" w:lineRule="auto"/>
        <w:ind w:left="4"/>
        <w:rPr>
          <w:rFonts w:ascii="宋体" w:hAnsi="宋体" w:eastAsia="宋体" w:cs="宋体"/>
          <w:color w:val="auto"/>
          <w:sz w:val="20"/>
          <w:szCs w:val="20"/>
        </w:rPr>
      </w:pPr>
      <w:r>
        <w:rPr>
          <w:rFonts w:ascii="宋体" w:hAnsi="宋体" w:eastAsia="宋体" w:cs="宋体"/>
          <w:color w:val="auto"/>
          <w:spacing w:val="5"/>
          <w:sz w:val="20"/>
          <w:szCs w:val="20"/>
        </w:rPr>
        <w:t>2.2.3  评分标准</w:t>
      </w:r>
    </w:p>
    <w:p w14:paraId="0AAF40EC">
      <w:pPr>
        <w:spacing w:before="157" w:line="228" w:lineRule="auto"/>
        <w:ind w:left="11"/>
        <w:rPr>
          <w:rFonts w:ascii="宋体" w:hAnsi="宋体" w:eastAsia="宋体" w:cs="宋体"/>
          <w:color w:val="auto"/>
          <w:sz w:val="20"/>
          <w:szCs w:val="20"/>
        </w:rPr>
      </w:pPr>
      <w:r>
        <w:rPr>
          <w:rFonts w:ascii="宋体" w:hAnsi="宋体" w:eastAsia="宋体" w:cs="宋体"/>
          <w:color w:val="auto"/>
          <w:spacing w:val="8"/>
          <w:sz w:val="20"/>
          <w:szCs w:val="20"/>
        </w:rPr>
        <w:t>（1）施工组织设计评分标准：见评标办法前附表；</w:t>
      </w:r>
    </w:p>
    <w:p w14:paraId="3E377970">
      <w:pPr>
        <w:spacing w:before="159" w:line="228" w:lineRule="auto"/>
        <w:ind w:left="11"/>
        <w:rPr>
          <w:rFonts w:ascii="宋体" w:hAnsi="宋体" w:eastAsia="宋体" w:cs="宋体"/>
          <w:color w:val="auto"/>
          <w:sz w:val="20"/>
          <w:szCs w:val="20"/>
        </w:rPr>
      </w:pPr>
      <w:r>
        <w:rPr>
          <w:rFonts w:ascii="宋体" w:hAnsi="宋体" w:eastAsia="宋体" w:cs="宋体"/>
          <w:color w:val="auto"/>
          <w:spacing w:val="8"/>
          <w:sz w:val="20"/>
          <w:szCs w:val="20"/>
        </w:rPr>
        <w:t>（2）项目管理机构评分标准：见评标办法前附表；</w:t>
      </w:r>
    </w:p>
    <w:p w14:paraId="0E331016">
      <w:pPr>
        <w:spacing w:before="159" w:line="227" w:lineRule="auto"/>
        <w:ind w:left="11"/>
        <w:rPr>
          <w:rFonts w:ascii="宋体" w:hAnsi="宋体" w:eastAsia="宋体" w:cs="宋体"/>
          <w:color w:val="auto"/>
          <w:sz w:val="20"/>
          <w:szCs w:val="20"/>
        </w:rPr>
      </w:pPr>
      <w:r>
        <w:rPr>
          <w:rFonts w:ascii="宋体" w:hAnsi="宋体" w:eastAsia="宋体" w:cs="宋体"/>
          <w:color w:val="auto"/>
          <w:spacing w:val="8"/>
          <w:sz w:val="20"/>
          <w:szCs w:val="20"/>
        </w:rPr>
        <w:t>（3）磋商报价评分标准：见评标办法前附表；</w:t>
      </w:r>
    </w:p>
    <w:p w14:paraId="3DD1F630">
      <w:pPr>
        <w:spacing w:before="159" w:line="228" w:lineRule="auto"/>
        <w:ind w:left="11"/>
        <w:rPr>
          <w:rFonts w:ascii="宋体" w:hAnsi="宋体" w:eastAsia="宋体" w:cs="宋体"/>
          <w:color w:val="auto"/>
          <w:spacing w:val="8"/>
          <w:sz w:val="20"/>
          <w:szCs w:val="20"/>
        </w:rPr>
      </w:pPr>
      <w:r>
        <w:rPr>
          <w:rFonts w:ascii="宋体" w:hAnsi="宋体" w:eastAsia="宋体" w:cs="宋体"/>
          <w:color w:val="auto"/>
          <w:spacing w:val="8"/>
          <w:sz w:val="20"/>
          <w:szCs w:val="20"/>
        </w:rPr>
        <w:t>（4）其他因素评分标准：见评标办法前附表。</w:t>
      </w:r>
    </w:p>
    <w:p w14:paraId="6E7A94E2">
      <w:pPr>
        <w:spacing w:before="159" w:line="228" w:lineRule="auto"/>
        <w:ind w:left="11"/>
        <w:rPr>
          <w:rFonts w:hint="default" w:ascii="宋体" w:hAnsi="宋体" w:eastAsia="宋体" w:cs="宋体"/>
          <w:color w:val="auto"/>
          <w:spacing w:val="8"/>
          <w:sz w:val="20"/>
          <w:szCs w:val="20"/>
          <w:lang w:val="en-US" w:eastAsia="zh-CN"/>
        </w:rPr>
      </w:pPr>
      <w:r>
        <w:rPr>
          <w:rFonts w:hint="eastAsia" w:ascii="宋体" w:hAnsi="宋体" w:eastAsia="宋体" w:cs="宋体"/>
          <w:color w:val="auto"/>
          <w:spacing w:val="8"/>
          <w:sz w:val="20"/>
          <w:szCs w:val="20"/>
          <w:lang w:eastAsia="zh-CN"/>
        </w:rPr>
        <w:t>（</w:t>
      </w:r>
      <w:r>
        <w:rPr>
          <w:rFonts w:hint="eastAsia" w:ascii="宋体" w:hAnsi="宋体" w:eastAsia="宋体" w:cs="宋体"/>
          <w:color w:val="auto"/>
          <w:spacing w:val="8"/>
          <w:sz w:val="20"/>
          <w:szCs w:val="20"/>
          <w:lang w:val="en-US" w:eastAsia="zh-CN"/>
        </w:rPr>
        <w:t>5）异常低价处理</w:t>
      </w:r>
    </w:p>
    <w:p w14:paraId="2A6FE647">
      <w:pPr>
        <w:keepNext w:val="0"/>
        <w:keepLines w:val="0"/>
        <w:pageBreakBefore w:val="0"/>
        <w:widowControl/>
        <w:kinsoku w:val="0"/>
        <w:wordWrap/>
        <w:overflowPunct/>
        <w:topLinePunct w:val="0"/>
        <w:autoSpaceDE w:val="0"/>
        <w:autoSpaceDN w:val="0"/>
        <w:bidi w:val="0"/>
        <w:adjustRightInd w:val="0"/>
        <w:snapToGrid w:val="0"/>
        <w:spacing w:before="159" w:line="240" w:lineRule="auto"/>
        <w:ind w:left="11"/>
        <w:textAlignment w:val="baseline"/>
        <w:rPr>
          <w:rFonts w:ascii="宋体" w:hAnsi="宋体" w:eastAsia="宋体" w:cs="宋体"/>
          <w:color w:val="auto"/>
          <w:spacing w:val="8"/>
          <w:sz w:val="20"/>
          <w:szCs w:val="20"/>
        </w:rPr>
      </w:pPr>
      <w:r>
        <w:rPr>
          <w:rFonts w:hint="eastAsia" w:ascii="宋体" w:hAnsi="宋体" w:eastAsia="宋体" w:cs="宋体"/>
          <w:color w:val="auto"/>
          <w:spacing w:val="8"/>
          <w:sz w:val="20"/>
          <w:szCs w:val="20"/>
          <w:lang w:val="en-US" w:eastAsia="zh-CN"/>
        </w:rPr>
        <w:t>5.1</w:t>
      </w:r>
      <w:r>
        <w:rPr>
          <w:rFonts w:hint="eastAsia" w:ascii="宋体" w:hAnsi="宋体" w:eastAsia="宋体" w:cs="宋体"/>
          <w:color w:val="auto"/>
          <w:spacing w:val="8"/>
          <w:sz w:val="20"/>
          <w:szCs w:val="20"/>
        </w:rPr>
        <w:t>政府采购评审中出现下列情形之一的，评审委员会应当启动异常低价投标（响应）审查程序：</w:t>
      </w:r>
    </w:p>
    <w:p w14:paraId="77A5C7FC">
      <w:pPr>
        <w:keepNext w:val="0"/>
        <w:keepLines w:val="0"/>
        <w:pageBreakBefore w:val="0"/>
        <w:widowControl/>
        <w:kinsoku w:val="0"/>
        <w:wordWrap/>
        <w:overflowPunct/>
        <w:topLinePunct w:val="0"/>
        <w:autoSpaceDE w:val="0"/>
        <w:autoSpaceDN w:val="0"/>
        <w:bidi w:val="0"/>
        <w:adjustRightInd w:val="0"/>
        <w:snapToGrid w:val="0"/>
        <w:spacing w:before="159" w:line="240" w:lineRule="auto"/>
        <w:ind w:left="11"/>
        <w:textAlignment w:val="baseline"/>
        <w:rPr>
          <w:rFonts w:ascii="宋体" w:hAnsi="宋体" w:eastAsia="宋体" w:cs="宋体"/>
          <w:color w:val="auto"/>
          <w:spacing w:val="8"/>
          <w:sz w:val="20"/>
          <w:szCs w:val="20"/>
        </w:rPr>
      </w:pPr>
      <w:r>
        <w:rPr>
          <w:rFonts w:hint="eastAsia" w:ascii="宋体" w:hAnsi="宋体" w:eastAsia="宋体" w:cs="宋体"/>
          <w:color w:val="auto"/>
          <w:spacing w:val="8"/>
          <w:sz w:val="20"/>
          <w:szCs w:val="20"/>
        </w:rPr>
        <w:t>（</w:t>
      </w:r>
      <w:r>
        <w:rPr>
          <w:rFonts w:ascii="宋体" w:hAnsi="宋体" w:eastAsia="宋体" w:cs="宋体"/>
          <w:color w:val="auto"/>
          <w:spacing w:val="8"/>
          <w:sz w:val="20"/>
          <w:szCs w:val="20"/>
        </w:rPr>
        <w:t>1</w:t>
      </w:r>
      <w:r>
        <w:rPr>
          <w:rFonts w:hint="eastAsia" w:ascii="宋体" w:hAnsi="宋体" w:eastAsia="宋体" w:cs="宋体"/>
          <w:color w:val="auto"/>
          <w:spacing w:val="8"/>
          <w:sz w:val="20"/>
          <w:szCs w:val="20"/>
        </w:rPr>
        <w:t>）投标（响应）报价低于全部通过符合性审查供应商投标（响应）报价平均值</w:t>
      </w:r>
      <w:r>
        <w:rPr>
          <w:rFonts w:ascii="宋体" w:hAnsi="宋体" w:eastAsia="宋体" w:cs="宋体"/>
          <w:color w:val="auto"/>
          <w:spacing w:val="8"/>
          <w:sz w:val="20"/>
          <w:szCs w:val="20"/>
        </w:rPr>
        <w:t>_</w:t>
      </w:r>
      <w:r>
        <w:rPr>
          <w:rFonts w:hint="eastAsia" w:ascii="宋体" w:hAnsi="宋体" w:eastAsia="宋体" w:cs="宋体"/>
          <w:color w:val="auto"/>
          <w:spacing w:val="8"/>
          <w:sz w:val="20"/>
          <w:szCs w:val="20"/>
          <w:lang w:val="en-US" w:eastAsia="zh-CN"/>
        </w:rPr>
        <w:t>50</w:t>
      </w:r>
      <w:r>
        <w:rPr>
          <w:rFonts w:ascii="宋体" w:hAnsi="宋体" w:eastAsia="宋体" w:cs="宋体"/>
          <w:color w:val="auto"/>
          <w:spacing w:val="8"/>
          <w:sz w:val="20"/>
          <w:szCs w:val="20"/>
        </w:rPr>
        <w:t>__%</w:t>
      </w:r>
      <w:r>
        <w:rPr>
          <w:rFonts w:hint="eastAsia" w:ascii="宋体" w:hAnsi="宋体" w:eastAsia="宋体" w:cs="宋体"/>
          <w:color w:val="auto"/>
          <w:spacing w:val="8"/>
          <w:sz w:val="20"/>
          <w:szCs w:val="20"/>
        </w:rPr>
        <w:t>的，即投标（响应）报价</w:t>
      </w:r>
      <w:r>
        <w:rPr>
          <w:rFonts w:ascii="宋体" w:hAnsi="宋体" w:eastAsia="宋体" w:cs="宋体"/>
          <w:color w:val="auto"/>
          <w:spacing w:val="8"/>
          <w:sz w:val="20"/>
          <w:szCs w:val="20"/>
        </w:rPr>
        <w:t>&lt;</w:t>
      </w:r>
      <w:r>
        <w:rPr>
          <w:rFonts w:hint="eastAsia" w:ascii="宋体" w:hAnsi="宋体" w:eastAsia="宋体" w:cs="宋体"/>
          <w:color w:val="auto"/>
          <w:spacing w:val="8"/>
          <w:sz w:val="20"/>
          <w:szCs w:val="20"/>
        </w:rPr>
        <w:t>全部通过符合性审查供应商投标（响应）报价平均值×</w:t>
      </w:r>
      <w:r>
        <w:rPr>
          <w:rFonts w:ascii="宋体" w:hAnsi="宋体" w:eastAsia="宋体" w:cs="宋体"/>
          <w:color w:val="auto"/>
          <w:spacing w:val="8"/>
          <w:sz w:val="20"/>
          <w:szCs w:val="20"/>
        </w:rPr>
        <w:t>_</w:t>
      </w:r>
      <w:r>
        <w:rPr>
          <w:rFonts w:hint="eastAsia" w:ascii="宋体" w:hAnsi="宋体" w:eastAsia="宋体" w:cs="宋体"/>
          <w:color w:val="auto"/>
          <w:spacing w:val="8"/>
          <w:sz w:val="20"/>
          <w:szCs w:val="20"/>
          <w:lang w:val="en-US" w:eastAsia="zh-CN"/>
        </w:rPr>
        <w:t>50</w:t>
      </w:r>
      <w:r>
        <w:rPr>
          <w:rFonts w:ascii="宋体" w:hAnsi="宋体" w:eastAsia="宋体" w:cs="宋体"/>
          <w:color w:val="auto"/>
          <w:spacing w:val="8"/>
          <w:sz w:val="20"/>
          <w:szCs w:val="20"/>
        </w:rPr>
        <w:t>__%</w:t>
      </w:r>
      <w:r>
        <w:rPr>
          <w:rFonts w:hint="eastAsia" w:ascii="宋体" w:hAnsi="宋体" w:eastAsia="宋体" w:cs="宋体"/>
          <w:color w:val="auto"/>
          <w:spacing w:val="8"/>
          <w:sz w:val="20"/>
          <w:szCs w:val="20"/>
        </w:rPr>
        <w:t>；</w:t>
      </w:r>
    </w:p>
    <w:p w14:paraId="04C07870">
      <w:pPr>
        <w:keepNext w:val="0"/>
        <w:keepLines w:val="0"/>
        <w:pageBreakBefore w:val="0"/>
        <w:widowControl/>
        <w:kinsoku w:val="0"/>
        <w:wordWrap/>
        <w:overflowPunct/>
        <w:topLinePunct w:val="0"/>
        <w:autoSpaceDE w:val="0"/>
        <w:autoSpaceDN w:val="0"/>
        <w:bidi w:val="0"/>
        <w:adjustRightInd w:val="0"/>
        <w:snapToGrid w:val="0"/>
        <w:spacing w:before="159" w:line="240" w:lineRule="auto"/>
        <w:ind w:left="11"/>
        <w:textAlignment w:val="baseline"/>
        <w:rPr>
          <w:rFonts w:ascii="宋体" w:hAnsi="宋体" w:eastAsia="宋体" w:cs="宋体"/>
          <w:color w:val="auto"/>
          <w:spacing w:val="8"/>
          <w:sz w:val="20"/>
          <w:szCs w:val="20"/>
        </w:rPr>
      </w:pPr>
      <w:r>
        <w:rPr>
          <w:rFonts w:hint="eastAsia" w:ascii="宋体" w:hAnsi="宋体" w:eastAsia="宋体" w:cs="宋体"/>
          <w:color w:val="auto"/>
          <w:spacing w:val="8"/>
          <w:sz w:val="20"/>
          <w:szCs w:val="20"/>
        </w:rPr>
        <w:t>（</w:t>
      </w:r>
      <w:r>
        <w:rPr>
          <w:rFonts w:ascii="宋体" w:hAnsi="宋体" w:eastAsia="宋体" w:cs="宋体"/>
          <w:color w:val="auto"/>
          <w:spacing w:val="8"/>
          <w:sz w:val="20"/>
          <w:szCs w:val="20"/>
        </w:rPr>
        <w:t>2</w:t>
      </w:r>
      <w:r>
        <w:rPr>
          <w:rFonts w:hint="eastAsia" w:ascii="宋体" w:hAnsi="宋体" w:eastAsia="宋体" w:cs="宋体"/>
          <w:color w:val="auto"/>
          <w:spacing w:val="8"/>
          <w:sz w:val="20"/>
          <w:szCs w:val="20"/>
        </w:rPr>
        <w:t>）投标（响应）报价低于通过符合性审查的次低报价供应商投标（响应）报价</w:t>
      </w:r>
      <w:r>
        <w:rPr>
          <w:rFonts w:ascii="宋体" w:hAnsi="宋体" w:eastAsia="宋体" w:cs="宋体"/>
          <w:color w:val="auto"/>
          <w:spacing w:val="8"/>
          <w:sz w:val="20"/>
          <w:szCs w:val="20"/>
        </w:rPr>
        <w:t>_</w:t>
      </w:r>
      <w:r>
        <w:rPr>
          <w:rFonts w:hint="eastAsia" w:ascii="宋体" w:hAnsi="宋体" w:eastAsia="宋体" w:cs="宋体"/>
          <w:color w:val="auto"/>
          <w:spacing w:val="8"/>
          <w:sz w:val="20"/>
          <w:szCs w:val="20"/>
          <w:lang w:val="en-US" w:eastAsia="zh-CN"/>
        </w:rPr>
        <w:t>50</w:t>
      </w:r>
      <w:r>
        <w:rPr>
          <w:rFonts w:ascii="宋体" w:hAnsi="宋体" w:eastAsia="宋体" w:cs="宋体"/>
          <w:color w:val="auto"/>
          <w:spacing w:val="8"/>
          <w:sz w:val="20"/>
          <w:szCs w:val="20"/>
        </w:rPr>
        <w:t>__%</w:t>
      </w:r>
      <w:r>
        <w:rPr>
          <w:rFonts w:hint="eastAsia" w:ascii="宋体" w:hAnsi="宋体" w:eastAsia="宋体" w:cs="宋体"/>
          <w:color w:val="auto"/>
          <w:spacing w:val="8"/>
          <w:sz w:val="20"/>
          <w:szCs w:val="20"/>
        </w:rPr>
        <w:t>的，即投标（响应）报价</w:t>
      </w:r>
      <w:r>
        <w:rPr>
          <w:rFonts w:ascii="宋体" w:hAnsi="宋体" w:eastAsia="宋体" w:cs="宋体"/>
          <w:color w:val="auto"/>
          <w:spacing w:val="8"/>
          <w:sz w:val="20"/>
          <w:szCs w:val="20"/>
        </w:rPr>
        <w:t>&lt;</w:t>
      </w:r>
      <w:r>
        <w:rPr>
          <w:rFonts w:hint="eastAsia" w:ascii="宋体" w:hAnsi="宋体" w:eastAsia="宋体" w:cs="宋体"/>
          <w:color w:val="auto"/>
          <w:spacing w:val="8"/>
          <w:sz w:val="20"/>
          <w:szCs w:val="20"/>
        </w:rPr>
        <w:t>通过符合性审查的次低报价供应商投标（响应）报价×</w:t>
      </w:r>
      <w:r>
        <w:rPr>
          <w:rFonts w:ascii="宋体" w:hAnsi="宋体" w:eastAsia="宋体" w:cs="宋体"/>
          <w:color w:val="auto"/>
          <w:spacing w:val="8"/>
          <w:sz w:val="20"/>
          <w:szCs w:val="20"/>
        </w:rPr>
        <w:t>_</w:t>
      </w:r>
      <w:r>
        <w:rPr>
          <w:rFonts w:hint="eastAsia" w:ascii="宋体" w:hAnsi="宋体" w:eastAsia="宋体" w:cs="宋体"/>
          <w:color w:val="auto"/>
          <w:spacing w:val="8"/>
          <w:sz w:val="20"/>
          <w:szCs w:val="20"/>
          <w:lang w:val="en-US" w:eastAsia="zh-CN"/>
        </w:rPr>
        <w:t>50</w:t>
      </w:r>
      <w:r>
        <w:rPr>
          <w:rFonts w:ascii="宋体" w:hAnsi="宋体" w:eastAsia="宋体" w:cs="宋体"/>
          <w:color w:val="auto"/>
          <w:spacing w:val="8"/>
          <w:sz w:val="20"/>
          <w:szCs w:val="20"/>
        </w:rPr>
        <w:t>__%</w:t>
      </w:r>
      <w:r>
        <w:rPr>
          <w:rFonts w:hint="eastAsia" w:ascii="宋体" w:hAnsi="宋体" w:eastAsia="宋体" w:cs="宋体"/>
          <w:color w:val="auto"/>
          <w:spacing w:val="8"/>
          <w:sz w:val="20"/>
          <w:szCs w:val="20"/>
        </w:rPr>
        <w:t>；</w:t>
      </w:r>
    </w:p>
    <w:p w14:paraId="10CBE6B1">
      <w:pPr>
        <w:keepNext w:val="0"/>
        <w:keepLines w:val="0"/>
        <w:pageBreakBefore w:val="0"/>
        <w:widowControl/>
        <w:kinsoku w:val="0"/>
        <w:wordWrap/>
        <w:overflowPunct/>
        <w:topLinePunct w:val="0"/>
        <w:autoSpaceDE w:val="0"/>
        <w:autoSpaceDN w:val="0"/>
        <w:bidi w:val="0"/>
        <w:adjustRightInd w:val="0"/>
        <w:snapToGrid w:val="0"/>
        <w:spacing w:before="159" w:line="240" w:lineRule="auto"/>
        <w:ind w:left="11"/>
        <w:textAlignment w:val="baseline"/>
        <w:rPr>
          <w:rFonts w:ascii="宋体" w:hAnsi="宋体" w:eastAsia="宋体" w:cs="宋体"/>
          <w:color w:val="auto"/>
          <w:spacing w:val="8"/>
          <w:sz w:val="20"/>
          <w:szCs w:val="20"/>
        </w:rPr>
      </w:pPr>
      <w:r>
        <w:rPr>
          <w:rFonts w:hint="eastAsia" w:ascii="宋体" w:hAnsi="宋体" w:eastAsia="宋体" w:cs="宋体"/>
          <w:color w:val="auto"/>
          <w:spacing w:val="8"/>
          <w:sz w:val="20"/>
          <w:szCs w:val="20"/>
        </w:rPr>
        <w:t>（</w:t>
      </w:r>
      <w:r>
        <w:rPr>
          <w:rFonts w:ascii="宋体" w:hAnsi="宋体" w:eastAsia="宋体" w:cs="宋体"/>
          <w:color w:val="auto"/>
          <w:spacing w:val="8"/>
          <w:sz w:val="20"/>
          <w:szCs w:val="20"/>
        </w:rPr>
        <w:t>3</w:t>
      </w:r>
      <w:r>
        <w:rPr>
          <w:rFonts w:hint="eastAsia" w:ascii="宋体" w:hAnsi="宋体" w:eastAsia="宋体" w:cs="宋体"/>
          <w:color w:val="auto"/>
          <w:spacing w:val="8"/>
          <w:sz w:val="20"/>
          <w:szCs w:val="20"/>
        </w:rPr>
        <w:t>）投标（响应）报价低于采购项目最高限价</w:t>
      </w:r>
      <w:r>
        <w:rPr>
          <w:rFonts w:ascii="宋体" w:hAnsi="宋体" w:eastAsia="宋体" w:cs="宋体"/>
          <w:color w:val="auto"/>
          <w:spacing w:val="8"/>
          <w:sz w:val="20"/>
          <w:szCs w:val="20"/>
        </w:rPr>
        <w:t>_</w:t>
      </w:r>
      <w:r>
        <w:rPr>
          <w:rFonts w:hint="eastAsia" w:ascii="宋体" w:hAnsi="宋体" w:eastAsia="宋体" w:cs="宋体"/>
          <w:color w:val="auto"/>
          <w:spacing w:val="8"/>
          <w:sz w:val="20"/>
          <w:szCs w:val="20"/>
          <w:lang w:val="en-US" w:eastAsia="zh-CN"/>
        </w:rPr>
        <w:t>45</w:t>
      </w:r>
      <w:r>
        <w:rPr>
          <w:rFonts w:ascii="宋体" w:hAnsi="宋体" w:eastAsia="宋体" w:cs="宋体"/>
          <w:color w:val="auto"/>
          <w:spacing w:val="8"/>
          <w:sz w:val="20"/>
          <w:szCs w:val="20"/>
        </w:rPr>
        <w:t>__%</w:t>
      </w:r>
      <w:r>
        <w:rPr>
          <w:rFonts w:hint="eastAsia" w:ascii="宋体" w:hAnsi="宋体" w:eastAsia="宋体" w:cs="宋体"/>
          <w:color w:val="auto"/>
          <w:spacing w:val="8"/>
          <w:sz w:val="20"/>
          <w:szCs w:val="20"/>
        </w:rPr>
        <w:t>的，即投标（响应）报价</w:t>
      </w:r>
      <w:r>
        <w:rPr>
          <w:rFonts w:ascii="宋体" w:hAnsi="宋体" w:eastAsia="宋体" w:cs="宋体"/>
          <w:color w:val="auto"/>
          <w:spacing w:val="8"/>
          <w:sz w:val="20"/>
          <w:szCs w:val="20"/>
        </w:rPr>
        <w:t>&lt;</w:t>
      </w:r>
      <w:r>
        <w:rPr>
          <w:rFonts w:hint="eastAsia" w:ascii="宋体" w:hAnsi="宋体" w:eastAsia="宋体" w:cs="宋体"/>
          <w:color w:val="auto"/>
          <w:spacing w:val="8"/>
          <w:sz w:val="20"/>
          <w:szCs w:val="20"/>
        </w:rPr>
        <w:t>采购项目最高限价×</w:t>
      </w:r>
      <w:r>
        <w:rPr>
          <w:rFonts w:ascii="宋体" w:hAnsi="宋体" w:eastAsia="宋体" w:cs="宋体"/>
          <w:color w:val="auto"/>
          <w:spacing w:val="8"/>
          <w:sz w:val="20"/>
          <w:szCs w:val="20"/>
        </w:rPr>
        <w:t>_</w:t>
      </w:r>
      <w:r>
        <w:rPr>
          <w:rFonts w:hint="eastAsia" w:ascii="宋体" w:hAnsi="宋体" w:eastAsia="宋体" w:cs="宋体"/>
          <w:color w:val="auto"/>
          <w:spacing w:val="8"/>
          <w:sz w:val="20"/>
          <w:szCs w:val="20"/>
          <w:lang w:val="en-US" w:eastAsia="zh-CN"/>
        </w:rPr>
        <w:t>45</w:t>
      </w:r>
      <w:r>
        <w:rPr>
          <w:rFonts w:ascii="宋体" w:hAnsi="宋体" w:eastAsia="宋体" w:cs="宋体"/>
          <w:color w:val="auto"/>
          <w:spacing w:val="8"/>
          <w:sz w:val="20"/>
          <w:szCs w:val="20"/>
        </w:rPr>
        <w:t>__%</w:t>
      </w:r>
      <w:r>
        <w:rPr>
          <w:rFonts w:hint="eastAsia" w:ascii="宋体" w:hAnsi="宋体" w:eastAsia="宋体" w:cs="宋体"/>
          <w:color w:val="auto"/>
          <w:spacing w:val="8"/>
          <w:sz w:val="20"/>
          <w:szCs w:val="20"/>
        </w:rPr>
        <w:t>；未设定最高限价的采购项目，以采购项目预算金额作为最高限价；</w:t>
      </w:r>
    </w:p>
    <w:p w14:paraId="0BA6360B">
      <w:pPr>
        <w:keepNext w:val="0"/>
        <w:keepLines w:val="0"/>
        <w:pageBreakBefore w:val="0"/>
        <w:widowControl/>
        <w:kinsoku w:val="0"/>
        <w:wordWrap/>
        <w:overflowPunct/>
        <w:topLinePunct w:val="0"/>
        <w:autoSpaceDE w:val="0"/>
        <w:autoSpaceDN w:val="0"/>
        <w:bidi w:val="0"/>
        <w:adjustRightInd w:val="0"/>
        <w:snapToGrid w:val="0"/>
        <w:spacing w:before="159" w:line="240" w:lineRule="auto"/>
        <w:ind w:left="11"/>
        <w:textAlignment w:val="baseline"/>
        <w:rPr>
          <w:rFonts w:ascii="宋体" w:hAnsi="宋体" w:eastAsia="宋体" w:cs="宋体"/>
          <w:color w:val="auto"/>
          <w:spacing w:val="8"/>
          <w:sz w:val="20"/>
          <w:szCs w:val="20"/>
        </w:rPr>
      </w:pPr>
      <w:r>
        <w:rPr>
          <w:rFonts w:hint="eastAsia" w:ascii="宋体" w:hAnsi="宋体" w:eastAsia="宋体" w:cs="宋体"/>
          <w:color w:val="auto"/>
          <w:spacing w:val="8"/>
          <w:sz w:val="20"/>
          <w:szCs w:val="20"/>
        </w:rPr>
        <w:t>（</w:t>
      </w:r>
      <w:r>
        <w:rPr>
          <w:rFonts w:ascii="宋体" w:hAnsi="宋体" w:eastAsia="宋体" w:cs="宋体"/>
          <w:color w:val="auto"/>
          <w:spacing w:val="8"/>
          <w:sz w:val="20"/>
          <w:szCs w:val="20"/>
        </w:rPr>
        <w:t>4</w:t>
      </w:r>
      <w:r>
        <w:rPr>
          <w:rFonts w:hint="eastAsia" w:ascii="宋体" w:hAnsi="宋体" w:eastAsia="宋体" w:cs="宋体"/>
          <w:color w:val="auto"/>
          <w:spacing w:val="8"/>
          <w:sz w:val="20"/>
          <w:szCs w:val="20"/>
        </w:rPr>
        <w:t>）评审委员会基于专业判断，认为供应商报价过低，有可能影响产品质量或者不能诚信履约的其他情形。</w:t>
      </w:r>
    </w:p>
    <w:p w14:paraId="777F1B68">
      <w:pPr>
        <w:keepNext w:val="0"/>
        <w:keepLines w:val="0"/>
        <w:pageBreakBefore w:val="0"/>
        <w:widowControl/>
        <w:kinsoku w:val="0"/>
        <w:wordWrap/>
        <w:overflowPunct/>
        <w:topLinePunct w:val="0"/>
        <w:autoSpaceDE w:val="0"/>
        <w:autoSpaceDN w:val="0"/>
        <w:bidi w:val="0"/>
        <w:adjustRightInd w:val="0"/>
        <w:snapToGrid w:val="0"/>
        <w:spacing w:before="159" w:line="240" w:lineRule="auto"/>
        <w:ind w:left="11"/>
        <w:textAlignment w:val="baseline"/>
        <w:rPr>
          <w:rFonts w:ascii="宋体" w:hAnsi="宋体" w:eastAsia="宋体" w:cs="宋体"/>
          <w:color w:val="auto"/>
          <w:spacing w:val="8"/>
          <w:sz w:val="20"/>
          <w:szCs w:val="20"/>
        </w:rPr>
      </w:pPr>
      <w:r>
        <w:rPr>
          <w:rFonts w:hint="eastAsia" w:ascii="宋体" w:hAnsi="宋体" w:eastAsia="宋体" w:cs="宋体"/>
          <w:color w:val="auto"/>
          <w:spacing w:val="8"/>
          <w:sz w:val="20"/>
          <w:szCs w:val="20"/>
        </w:rPr>
        <w:t>评审委员会启动异常低价投标（响应）审查后，属于前述第（</w:t>
      </w:r>
      <w:r>
        <w:rPr>
          <w:rFonts w:ascii="宋体" w:hAnsi="宋体" w:eastAsia="宋体" w:cs="宋体"/>
          <w:color w:val="auto"/>
          <w:spacing w:val="8"/>
          <w:sz w:val="20"/>
          <w:szCs w:val="20"/>
        </w:rPr>
        <w:t>1</w:t>
      </w:r>
      <w:r>
        <w:rPr>
          <w:rFonts w:hint="eastAsia" w:ascii="宋体" w:hAnsi="宋体" w:eastAsia="宋体" w:cs="宋体"/>
          <w:color w:val="auto"/>
          <w:spacing w:val="8"/>
          <w:sz w:val="20"/>
          <w:szCs w:val="20"/>
        </w:rPr>
        <w:t>）项至第（</w:t>
      </w:r>
      <w:r>
        <w:rPr>
          <w:rFonts w:ascii="宋体" w:hAnsi="宋体" w:eastAsia="宋体" w:cs="宋体"/>
          <w:color w:val="auto"/>
          <w:spacing w:val="8"/>
          <w:sz w:val="20"/>
          <w:szCs w:val="20"/>
        </w:rPr>
        <w:t>4</w:t>
      </w:r>
      <w:r>
        <w:rPr>
          <w:rFonts w:hint="eastAsia" w:ascii="宋体" w:hAnsi="宋体" w:eastAsia="宋体" w:cs="宋体"/>
          <w:color w:val="auto"/>
          <w:spacing w:val="8"/>
          <w:sz w:val="20"/>
          <w:szCs w:val="20"/>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ascii="宋体" w:hAnsi="宋体" w:eastAsia="宋体" w:cs="宋体"/>
          <w:color w:val="auto"/>
          <w:spacing w:val="8"/>
          <w:sz w:val="20"/>
          <w:szCs w:val="20"/>
        </w:rPr>
        <w:t>30</w:t>
      </w:r>
      <w:r>
        <w:rPr>
          <w:rFonts w:hint="eastAsia" w:ascii="宋体" w:hAnsi="宋体" w:eastAsia="宋体" w:cs="宋体"/>
          <w:color w:val="auto"/>
          <w:spacing w:val="8"/>
          <w:sz w:val="20"/>
          <w:szCs w:val="20"/>
        </w:rPr>
        <w:t>分钟。其中，属于第（</w:t>
      </w:r>
      <w:r>
        <w:rPr>
          <w:rFonts w:ascii="宋体" w:hAnsi="宋体" w:eastAsia="宋体" w:cs="宋体"/>
          <w:color w:val="auto"/>
          <w:spacing w:val="8"/>
          <w:sz w:val="20"/>
          <w:szCs w:val="20"/>
        </w:rPr>
        <w:t>3</w:t>
      </w:r>
      <w:r>
        <w:rPr>
          <w:rFonts w:hint="eastAsia" w:ascii="宋体" w:hAnsi="宋体" w:eastAsia="宋体" w:cs="宋体"/>
          <w:color w:val="auto"/>
          <w:spacing w:val="8"/>
          <w:sz w:val="20"/>
          <w:szCs w:val="20"/>
        </w:rPr>
        <w:t>）项情形，供应商已随投标（响应）文件一并提交相关书面说明及必要的证明材料的，在评审现场可不再重复提交。</w:t>
      </w:r>
    </w:p>
    <w:p w14:paraId="11085A49">
      <w:pPr>
        <w:keepNext w:val="0"/>
        <w:keepLines w:val="0"/>
        <w:pageBreakBefore w:val="0"/>
        <w:widowControl/>
        <w:kinsoku w:val="0"/>
        <w:wordWrap/>
        <w:overflowPunct/>
        <w:topLinePunct w:val="0"/>
        <w:autoSpaceDE w:val="0"/>
        <w:autoSpaceDN w:val="0"/>
        <w:bidi w:val="0"/>
        <w:adjustRightInd w:val="0"/>
        <w:snapToGrid w:val="0"/>
        <w:spacing w:before="159" w:line="240" w:lineRule="auto"/>
        <w:ind w:left="11"/>
        <w:textAlignment w:val="baseline"/>
        <w:rPr>
          <w:rFonts w:ascii="宋体" w:hAnsi="宋体" w:eastAsia="宋体" w:cs="宋体"/>
          <w:color w:val="auto"/>
          <w:spacing w:val="8"/>
          <w:sz w:val="20"/>
          <w:szCs w:val="20"/>
        </w:rPr>
      </w:pPr>
      <w:r>
        <w:rPr>
          <w:rFonts w:hint="eastAsia" w:ascii="宋体" w:hAnsi="宋体" w:eastAsia="宋体" w:cs="宋体"/>
          <w:color w:val="auto"/>
          <w:spacing w:val="8"/>
          <w:sz w:val="20"/>
          <w:szCs w:val="20"/>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1B63CA2">
      <w:pPr>
        <w:keepNext w:val="0"/>
        <w:keepLines w:val="0"/>
        <w:pageBreakBefore w:val="0"/>
        <w:widowControl/>
        <w:kinsoku w:val="0"/>
        <w:wordWrap/>
        <w:overflowPunct/>
        <w:topLinePunct w:val="0"/>
        <w:autoSpaceDE w:val="0"/>
        <w:autoSpaceDN w:val="0"/>
        <w:bidi w:val="0"/>
        <w:adjustRightInd w:val="0"/>
        <w:snapToGrid w:val="0"/>
        <w:spacing w:before="159" w:line="240" w:lineRule="auto"/>
        <w:ind w:left="11"/>
        <w:textAlignment w:val="baseline"/>
        <w:rPr>
          <w:rFonts w:ascii="宋体" w:hAnsi="宋体" w:eastAsia="宋体" w:cs="宋体"/>
          <w:color w:val="auto"/>
          <w:spacing w:val="8"/>
          <w:sz w:val="20"/>
          <w:szCs w:val="20"/>
        </w:rPr>
      </w:pPr>
      <w:bookmarkStart w:id="9" w:name="_Hlk190337965"/>
      <w:r>
        <w:rPr>
          <w:rFonts w:hint="eastAsia" w:ascii="宋体" w:hAnsi="宋体" w:eastAsia="宋体" w:cs="宋体"/>
          <w:color w:val="auto"/>
          <w:spacing w:val="8"/>
          <w:sz w:val="20"/>
          <w:szCs w:val="20"/>
        </w:rPr>
        <w:t>上述投标（响应）报价指按照本章</w:t>
      </w:r>
      <w:r>
        <w:rPr>
          <w:rFonts w:ascii="宋体" w:hAnsi="宋体" w:eastAsia="宋体" w:cs="宋体"/>
          <w:color w:val="auto"/>
          <w:spacing w:val="8"/>
          <w:sz w:val="20"/>
          <w:szCs w:val="20"/>
        </w:rPr>
        <w:t>3.2</w:t>
      </w:r>
      <w:r>
        <w:rPr>
          <w:rFonts w:hint="eastAsia" w:ascii="宋体" w:hAnsi="宋体" w:eastAsia="宋体" w:cs="宋体"/>
          <w:color w:val="auto"/>
          <w:spacing w:val="8"/>
          <w:sz w:val="20"/>
          <w:szCs w:val="20"/>
        </w:rPr>
        <w:t>修正后的报价</w:t>
      </w:r>
      <w:bookmarkEnd w:id="9"/>
      <w:r>
        <w:rPr>
          <w:rFonts w:hint="eastAsia" w:ascii="宋体" w:hAnsi="宋体" w:eastAsia="宋体" w:cs="宋体"/>
          <w:color w:val="auto"/>
          <w:spacing w:val="8"/>
          <w:sz w:val="20"/>
          <w:szCs w:val="20"/>
        </w:rPr>
        <w:t>。</w:t>
      </w:r>
    </w:p>
    <w:p w14:paraId="75FC4AA2">
      <w:pPr>
        <w:spacing w:before="159" w:line="228" w:lineRule="auto"/>
        <w:ind w:left="11"/>
        <w:rPr>
          <w:rFonts w:ascii="宋体" w:hAnsi="宋体" w:eastAsia="宋体" w:cs="宋体"/>
          <w:color w:val="auto"/>
          <w:spacing w:val="8"/>
          <w:sz w:val="20"/>
          <w:szCs w:val="20"/>
        </w:rPr>
      </w:pPr>
    </w:p>
    <w:p w14:paraId="62081EAE">
      <w:pPr>
        <w:spacing w:before="232" w:line="221" w:lineRule="auto"/>
        <w:ind w:left="10"/>
        <w:rPr>
          <w:rFonts w:ascii="宋体" w:hAnsi="宋体" w:eastAsia="宋体" w:cs="宋体"/>
          <w:color w:val="auto"/>
          <w:sz w:val="28"/>
          <w:szCs w:val="28"/>
        </w:rPr>
      </w:pPr>
      <w:r>
        <w:rPr>
          <w:rFonts w:ascii="宋体" w:hAnsi="宋体" w:eastAsia="宋体" w:cs="宋体"/>
          <w:b/>
          <w:bCs/>
          <w:color w:val="auto"/>
          <w:spacing w:val="-5"/>
          <w:sz w:val="28"/>
          <w:szCs w:val="28"/>
        </w:rPr>
        <w:t>3.</w:t>
      </w:r>
      <w:r>
        <w:rPr>
          <w:rFonts w:ascii="宋体" w:hAnsi="宋体" w:eastAsia="宋体" w:cs="宋体"/>
          <w:color w:val="auto"/>
          <w:spacing w:val="-5"/>
          <w:sz w:val="28"/>
          <w:szCs w:val="28"/>
        </w:rPr>
        <w:t xml:space="preserve"> </w:t>
      </w:r>
      <w:r>
        <w:rPr>
          <w:rFonts w:ascii="宋体" w:hAnsi="宋体" w:eastAsia="宋体" w:cs="宋体"/>
          <w:b/>
          <w:bCs/>
          <w:color w:val="auto"/>
          <w:spacing w:val="-5"/>
          <w:sz w:val="28"/>
          <w:szCs w:val="28"/>
        </w:rPr>
        <w:t>评标程序</w:t>
      </w:r>
    </w:p>
    <w:p w14:paraId="5EF3F966">
      <w:pPr>
        <w:spacing w:before="216" w:line="228" w:lineRule="auto"/>
        <w:ind w:left="5"/>
        <w:rPr>
          <w:rFonts w:ascii="宋体" w:hAnsi="宋体" w:eastAsia="宋体" w:cs="宋体"/>
          <w:color w:val="auto"/>
          <w:sz w:val="20"/>
          <w:szCs w:val="20"/>
        </w:rPr>
      </w:pPr>
      <w:r>
        <w:rPr>
          <w:rFonts w:ascii="宋体" w:hAnsi="宋体" w:eastAsia="宋体" w:cs="宋体"/>
          <w:b/>
          <w:bCs/>
          <w:color w:val="auto"/>
          <w:spacing w:val="4"/>
          <w:sz w:val="20"/>
          <w:szCs w:val="20"/>
        </w:rPr>
        <w:t>3.1</w:t>
      </w:r>
      <w:r>
        <w:rPr>
          <w:rFonts w:ascii="宋体" w:hAnsi="宋体" w:eastAsia="宋体" w:cs="宋体"/>
          <w:color w:val="auto"/>
          <w:spacing w:val="4"/>
          <w:sz w:val="20"/>
          <w:szCs w:val="20"/>
        </w:rPr>
        <w:t xml:space="preserve"> </w:t>
      </w:r>
      <w:r>
        <w:rPr>
          <w:rFonts w:ascii="宋体" w:hAnsi="宋体" w:eastAsia="宋体" w:cs="宋体"/>
          <w:b/>
          <w:bCs/>
          <w:color w:val="auto"/>
          <w:spacing w:val="4"/>
          <w:sz w:val="20"/>
          <w:szCs w:val="20"/>
        </w:rPr>
        <w:t>初步评审</w:t>
      </w:r>
    </w:p>
    <w:p w14:paraId="39A7F2AD">
      <w:pPr>
        <w:spacing w:before="158" w:line="326" w:lineRule="auto"/>
        <w:ind w:left="2" w:right="71" w:firstLine="3"/>
        <w:rPr>
          <w:rFonts w:ascii="宋体" w:hAnsi="宋体" w:eastAsia="宋体" w:cs="宋体"/>
          <w:color w:val="auto"/>
          <w:sz w:val="20"/>
          <w:szCs w:val="20"/>
        </w:rPr>
      </w:pPr>
      <w:r>
        <w:rPr>
          <w:rFonts w:ascii="宋体" w:hAnsi="宋体" w:eastAsia="宋体" w:cs="宋体"/>
          <w:color w:val="auto"/>
          <w:spacing w:val="8"/>
          <w:sz w:val="20"/>
          <w:szCs w:val="20"/>
        </w:rPr>
        <w:t>3.1.1 磋商小组可以要求供应商提交第二章“供应商须知</w:t>
      </w:r>
      <w:r>
        <w:rPr>
          <w:rFonts w:ascii="宋体" w:hAnsi="宋体" w:eastAsia="宋体" w:cs="宋体"/>
          <w:color w:val="auto"/>
          <w:spacing w:val="-70"/>
          <w:sz w:val="20"/>
          <w:szCs w:val="20"/>
        </w:rPr>
        <w:t xml:space="preserve"> </w:t>
      </w:r>
      <w:r>
        <w:rPr>
          <w:rFonts w:ascii="宋体" w:hAnsi="宋体" w:eastAsia="宋体" w:cs="宋体"/>
          <w:color w:val="auto"/>
          <w:spacing w:val="7"/>
          <w:sz w:val="20"/>
          <w:szCs w:val="20"/>
        </w:rPr>
        <w:t>”规定的有关证明和证件的复印件，以</w:t>
      </w:r>
      <w:r>
        <w:rPr>
          <w:rFonts w:ascii="宋体" w:hAnsi="宋体" w:eastAsia="宋体" w:cs="宋体"/>
          <w:color w:val="auto"/>
          <w:spacing w:val="8"/>
          <w:sz w:val="20"/>
          <w:szCs w:val="20"/>
        </w:rPr>
        <w:t>便核验。磋商小组依据本章第</w:t>
      </w:r>
      <w:r>
        <w:rPr>
          <w:rFonts w:ascii="宋体" w:hAnsi="宋体" w:eastAsia="宋体" w:cs="宋体"/>
          <w:color w:val="auto"/>
          <w:spacing w:val="-31"/>
          <w:sz w:val="20"/>
          <w:szCs w:val="20"/>
        </w:rPr>
        <w:t xml:space="preserve"> </w:t>
      </w:r>
      <w:r>
        <w:rPr>
          <w:rFonts w:ascii="宋体" w:hAnsi="宋体" w:eastAsia="宋体" w:cs="宋体"/>
          <w:color w:val="auto"/>
          <w:spacing w:val="8"/>
          <w:sz w:val="20"/>
          <w:szCs w:val="20"/>
        </w:rPr>
        <w:t>2.1</w:t>
      </w:r>
      <w:r>
        <w:rPr>
          <w:rFonts w:ascii="宋体" w:hAnsi="宋体" w:eastAsia="宋体" w:cs="宋体"/>
          <w:color w:val="auto"/>
          <w:spacing w:val="-37"/>
          <w:sz w:val="20"/>
          <w:szCs w:val="20"/>
        </w:rPr>
        <w:t xml:space="preserve"> </w:t>
      </w:r>
      <w:r>
        <w:rPr>
          <w:rFonts w:ascii="宋体" w:hAnsi="宋体" w:eastAsia="宋体" w:cs="宋体"/>
          <w:color w:val="auto"/>
          <w:spacing w:val="8"/>
          <w:sz w:val="20"/>
          <w:szCs w:val="20"/>
        </w:rPr>
        <w:t>款规定的标准对竞蹉响应文件进行初步评审。有一项不符合评审标准的，磋商小组应当否决其投标。</w:t>
      </w:r>
    </w:p>
    <w:p w14:paraId="2A65A1F2">
      <w:pPr>
        <w:spacing w:before="158" w:line="228" w:lineRule="auto"/>
        <w:ind w:left="5"/>
        <w:rPr>
          <w:rFonts w:ascii="宋体" w:hAnsi="宋体" w:eastAsia="宋体" w:cs="宋体"/>
          <w:color w:val="auto"/>
          <w:sz w:val="20"/>
          <w:szCs w:val="20"/>
        </w:rPr>
      </w:pPr>
      <w:r>
        <w:rPr>
          <w:rFonts w:ascii="宋体" w:hAnsi="宋体" w:eastAsia="宋体" w:cs="宋体"/>
          <w:color w:val="auto"/>
          <w:spacing w:val="8"/>
          <w:sz w:val="20"/>
          <w:szCs w:val="20"/>
        </w:rPr>
        <w:t>3.1.2 供应商有以下情形之一的，磋商小组应当否决其投标：</w:t>
      </w:r>
    </w:p>
    <w:p w14:paraId="0EF0B301">
      <w:pPr>
        <w:spacing w:before="158" w:line="228" w:lineRule="auto"/>
        <w:ind w:left="11"/>
        <w:rPr>
          <w:rFonts w:ascii="宋体" w:hAnsi="宋体" w:eastAsia="宋体" w:cs="宋体"/>
          <w:color w:val="auto"/>
          <w:sz w:val="20"/>
          <w:szCs w:val="20"/>
        </w:rPr>
      </w:pPr>
      <w:r>
        <w:rPr>
          <w:rFonts w:ascii="宋体" w:hAnsi="宋体" w:eastAsia="宋体" w:cs="宋体"/>
          <w:color w:val="auto"/>
          <w:spacing w:val="8"/>
          <w:sz w:val="20"/>
          <w:szCs w:val="20"/>
        </w:rPr>
        <w:t>（1）串通投标或弄虚作假或有其他违法行为的；</w:t>
      </w:r>
    </w:p>
    <w:p w14:paraId="597DE279">
      <w:pPr>
        <w:spacing w:before="160" w:line="228" w:lineRule="auto"/>
        <w:ind w:left="11"/>
        <w:rPr>
          <w:rFonts w:ascii="宋体" w:hAnsi="宋体" w:eastAsia="宋体" w:cs="宋体"/>
          <w:color w:val="auto"/>
          <w:sz w:val="20"/>
          <w:szCs w:val="20"/>
        </w:rPr>
      </w:pPr>
      <w:r>
        <w:rPr>
          <w:rFonts w:ascii="宋体" w:hAnsi="宋体" w:eastAsia="宋体" w:cs="宋体"/>
          <w:color w:val="auto"/>
          <w:spacing w:val="8"/>
          <w:sz w:val="20"/>
          <w:szCs w:val="20"/>
        </w:rPr>
        <w:t>（2）不按磋商小组要求澄清、说明或补正的。</w:t>
      </w:r>
    </w:p>
    <w:p w14:paraId="74CA7AE3">
      <w:pPr>
        <w:spacing w:before="158" w:line="227" w:lineRule="auto"/>
        <w:ind w:left="5"/>
        <w:rPr>
          <w:rFonts w:ascii="宋体" w:hAnsi="宋体" w:eastAsia="宋体" w:cs="宋体"/>
          <w:color w:val="auto"/>
          <w:sz w:val="20"/>
          <w:szCs w:val="20"/>
        </w:rPr>
      </w:pPr>
      <w:r>
        <w:rPr>
          <w:rFonts w:ascii="宋体" w:hAnsi="宋体" w:eastAsia="宋体" w:cs="宋体"/>
          <w:color w:val="auto"/>
          <w:spacing w:val="9"/>
          <w:sz w:val="20"/>
          <w:szCs w:val="20"/>
        </w:rPr>
        <w:t>3.1.3</w:t>
      </w:r>
      <w:r>
        <w:rPr>
          <w:rFonts w:ascii="宋体" w:hAnsi="宋体" w:eastAsia="宋体" w:cs="宋体"/>
          <w:color w:val="auto"/>
          <w:spacing w:val="-24"/>
          <w:sz w:val="20"/>
          <w:szCs w:val="20"/>
        </w:rPr>
        <w:t xml:space="preserve"> </w:t>
      </w:r>
      <w:r>
        <w:rPr>
          <w:rFonts w:ascii="宋体" w:hAnsi="宋体" w:eastAsia="宋体" w:cs="宋体"/>
          <w:color w:val="auto"/>
          <w:spacing w:val="9"/>
          <w:sz w:val="20"/>
          <w:szCs w:val="20"/>
        </w:rPr>
        <w:t>磋商报价有算术错误的，磋商小组按以下原则对投标报价进行修正，修正的价格经供应商</w:t>
      </w:r>
      <w:bookmarkStart w:id="10" w:name="bookmark18"/>
      <w:bookmarkEnd w:id="10"/>
      <w:r>
        <w:rPr>
          <w:rFonts w:ascii="宋体" w:hAnsi="宋体" w:eastAsia="宋体" w:cs="宋体"/>
          <w:color w:val="auto"/>
          <w:spacing w:val="9"/>
          <w:sz w:val="20"/>
          <w:szCs w:val="20"/>
        </w:rPr>
        <w:t>书面确认后具有约束力。供应商不接受修正价格的，磋商小组应当否决其投标。</w:t>
      </w:r>
    </w:p>
    <w:p w14:paraId="4FB623C3">
      <w:pPr>
        <w:spacing w:before="160" w:line="228" w:lineRule="auto"/>
        <w:ind w:left="10"/>
        <w:rPr>
          <w:rFonts w:ascii="宋体" w:hAnsi="宋体" w:eastAsia="宋体" w:cs="宋体"/>
          <w:color w:val="auto"/>
          <w:sz w:val="20"/>
          <w:szCs w:val="20"/>
        </w:rPr>
      </w:pPr>
      <w:r>
        <w:rPr>
          <w:rFonts w:ascii="宋体" w:hAnsi="宋体" w:eastAsia="宋体" w:cs="宋体"/>
          <w:color w:val="auto"/>
          <w:spacing w:val="9"/>
          <w:sz w:val="20"/>
          <w:szCs w:val="20"/>
        </w:rPr>
        <w:t>（1）响应文件中的大写金额与小写金额不一致的，以</w:t>
      </w:r>
      <w:r>
        <w:rPr>
          <w:rFonts w:ascii="宋体" w:hAnsi="宋体" w:eastAsia="宋体" w:cs="宋体"/>
          <w:color w:val="auto"/>
          <w:spacing w:val="8"/>
          <w:sz w:val="20"/>
          <w:szCs w:val="20"/>
        </w:rPr>
        <w:t>大写金额为准；</w:t>
      </w:r>
    </w:p>
    <w:p w14:paraId="6CECDC1A">
      <w:pPr>
        <w:spacing w:before="159" w:line="301" w:lineRule="auto"/>
        <w:ind w:left="7" w:right="58" w:firstLine="2"/>
        <w:rPr>
          <w:rFonts w:ascii="宋体" w:hAnsi="宋体" w:eastAsia="宋体" w:cs="宋体"/>
          <w:color w:val="auto"/>
          <w:sz w:val="20"/>
          <w:szCs w:val="20"/>
        </w:rPr>
      </w:pPr>
      <w:r>
        <w:rPr>
          <w:rFonts w:ascii="宋体" w:hAnsi="宋体" w:eastAsia="宋体" w:cs="宋体"/>
          <w:color w:val="auto"/>
          <w:spacing w:val="11"/>
          <w:sz w:val="20"/>
          <w:szCs w:val="20"/>
        </w:rPr>
        <w:t>（2）总价金额与依据单价计算出的结果不一致的，以单价金额为准修正总价，但单价金额小数</w:t>
      </w:r>
      <w:r>
        <w:rPr>
          <w:rFonts w:ascii="宋体" w:hAnsi="宋体" w:eastAsia="宋体" w:cs="宋体"/>
          <w:color w:val="auto"/>
          <w:spacing w:val="7"/>
          <w:sz w:val="20"/>
          <w:szCs w:val="20"/>
        </w:rPr>
        <w:t>点有明显错误的除外。</w:t>
      </w:r>
    </w:p>
    <w:p w14:paraId="6FC33266">
      <w:pPr>
        <w:spacing w:before="158" w:line="229" w:lineRule="auto"/>
        <w:ind w:left="4"/>
        <w:rPr>
          <w:rFonts w:ascii="宋体" w:hAnsi="宋体" w:eastAsia="宋体" w:cs="宋体"/>
          <w:color w:val="auto"/>
          <w:sz w:val="20"/>
          <w:szCs w:val="20"/>
        </w:rPr>
      </w:pPr>
      <w:r>
        <w:rPr>
          <w:rFonts w:ascii="宋体" w:hAnsi="宋体" w:eastAsia="宋体" w:cs="宋体"/>
          <w:b/>
          <w:bCs/>
          <w:color w:val="auto"/>
          <w:spacing w:val="3"/>
          <w:sz w:val="20"/>
          <w:szCs w:val="20"/>
        </w:rPr>
        <w:t>3.2</w:t>
      </w:r>
      <w:r>
        <w:rPr>
          <w:rFonts w:ascii="宋体" w:hAnsi="宋体" w:eastAsia="宋体" w:cs="宋体"/>
          <w:color w:val="auto"/>
          <w:spacing w:val="15"/>
          <w:sz w:val="20"/>
          <w:szCs w:val="20"/>
        </w:rPr>
        <w:t xml:space="preserve"> </w:t>
      </w:r>
      <w:r>
        <w:rPr>
          <w:rFonts w:ascii="宋体" w:hAnsi="宋体" w:eastAsia="宋体" w:cs="宋体"/>
          <w:b/>
          <w:bCs/>
          <w:color w:val="auto"/>
          <w:spacing w:val="3"/>
          <w:sz w:val="20"/>
          <w:szCs w:val="20"/>
        </w:rPr>
        <w:t>详细评审</w:t>
      </w:r>
    </w:p>
    <w:p w14:paraId="680E6EB0">
      <w:pPr>
        <w:spacing w:before="157" w:line="227" w:lineRule="auto"/>
        <w:ind w:left="4"/>
        <w:rPr>
          <w:rFonts w:ascii="宋体" w:hAnsi="宋体" w:eastAsia="宋体" w:cs="宋体"/>
          <w:color w:val="auto"/>
          <w:sz w:val="20"/>
          <w:szCs w:val="20"/>
        </w:rPr>
      </w:pPr>
      <w:r>
        <w:rPr>
          <w:rFonts w:ascii="宋体" w:hAnsi="宋体" w:eastAsia="宋体" w:cs="宋体"/>
          <w:color w:val="auto"/>
          <w:spacing w:val="8"/>
          <w:sz w:val="20"/>
          <w:szCs w:val="20"/>
        </w:rPr>
        <w:t>3.2.1 磋商小组按本章第</w:t>
      </w:r>
      <w:r>
        <w:rPr>
          <w:rFonts w:ascii="宋体" w:hAnsi="宋体" w:eastAsia="宋体" w:cs="宋体"/>
          <w:color w:val="auto"/>
          <w:spacing w:val="-34"/>
          <w:sz w:val="20"/>
          <w:szCs w:val="20"/>
        </w:rPr>
        <w:t xml:space="preserve"> </w:t>
      </w:r>
      <w:r>
        <w:rPr>
          <w:rFonts w:ascii="宋体" w:hAnsi="宋体" w:eastAsia="宋体" w:cs="宋体"/>
          <w:color w:val="auto"/>
          <w:spacing w:val="8"/>
          <w:sz w:val="20"/>
          <w:szCs w:val="20"/>
        </w:rPr>
        <w:t>2.2</w:t>
      </w:r>
      <w:r>
        <w:rPr>
          <w:rFonts w:ascii="宋体" w:hAnsi="宋体" w:eastAsia="宋体" w:cs="宋体"/>
          <w:color w:val="auto"/>
          <w:spacing w:val="-39"/>
          <w:sz w:val="20"/>
          <w:szCs w:val="20"/>
        </w:rPr>
        <w:t xml:space="preserve"> </w:t>
      </w:r>
      <w:r>
        <w:rPr>
          <w:rFonts w:ascii="宋体" w:hAnsi="宋体" w:eastAsia="宋体" w:cs="宋体"/>
          <w:color w:val="auto"/>
          <w:spacing w:val="8"/>
          <w:sz w:val="20"/>
          <w:szCs w:val="20"/>
        </w:rPr>
        <w:t>款规定的量化因素和分值进行打分，并计算出综</w:t>
      </w:r>
      <w:r>
        <w:rPr>
          <w:rFonts w:ascii="宋体" w:hAnsi="宋体" w:eastAsia="宋体" w:cs="宋体"/>
          <w:color w:val="auto"/>
          <w:spacing w:val="7"/>
          <w:sz w:val="20"/>
          <w:szCs w:val="20"/>
        </w:rPr>
        <w:t>合评估得分。</w:t>
      </w:r>
    </w:p>
    <w:p w14:paraId="586AD4D0">
      <w:pPr>
        <w:spacing w:before="159" w:line="228" w:lineRule="auto"/>
        <w:ind w:left="10"/>
        <w:rPr>
          <w:rFonts w:ascii="宋体" w:hAnsi="宋体" w:eastAsia="宋体" w:cs="宋体"/>
          <w:color w:val="auto"/>
          <w:sz w:val="20"/>
          <w:szCs w:val="20"/>
        </w:rPr>
      </w:pPr>
      <w:r>
        <w:rPr>
          <w:rFonts w:ascii="宋体" w:hAnsi="宋体" w:eastAsia="宋体" w:cs="宋体"/>
          <w:color w:val="auto"/>
          <w:spacing w:val="8"/>
          <w:sz w:val="20"/>
          <w:szCs w:val="20"/>
        </w:rPr>
        <w:t>（1）按本章第</w:t>
      </w:r>
      <w:r>
        <w:rPr>
          <w:rFonts w:ascii="宋体" w:hAnsi="宋体" w:eastAsia="宋体" w:cs="宋体"/>
          <w:color w:val="auto"/>
          <w:spacing w:val="-37"/>
          <w:sz w:val="20"/>
          <w:szCs w:val="20"/>
        </w:rPr>
        <w:t xml:space="preserve"> </w:t>
      </w:r>
      <w:r>
        <w:rPr>
          <w:rFonts w:ascii="宋体" w:hAnsi="宋体" w:eastAsia="宋体" w:cs="宋体"/>
          <w:color w:val="auto"/>
          <w:spacing w:val="8"/>
          <w:sz w:val="20"/>
          <w:szCs w:val="20"/>
        </w:rPr>
        <w:t>2.2.3（1）</w:t>
      </w:r>
      <w:r>
        <w:rPr>
          <w:rFonts w:ascii="宋体" w:hAnsi="宋体" w:eastAsia="宋体" w:cs="宋体"/>
          <w:color w:val="auto"/>
          <w:spacing w:val="-44"/>
          <w:sz w:val="20"/>
          <w:szCs w:val="20"/>
        </w:rPr>
        <w:t xml:space="preserve"> </w:t>
      </w:r>
      <w:r>
        <w:rPr>
          <w:rFonts w:ascii="宋体" w:hAnsi="宋体" w:eastAsia="宋体" w:cs="宋体"/>
          <w:color w:val="auto"/>
          <w:spacing w:val="8"/>
          <w:sz w:val="20"/>
          <w:szCs w:val="20"/>
        </w:rPr>
        <w:t>目规定的评审因素和分值对施工组织设计计算</w:t>
      </w:r>
      <w:r>
        <w:rPr>
          <w:rFonts w:ascii="宋体" w:hAnsi="宋体" w:eastAsia="宋体" w:cs="宋体"/>
          <w:color w:val="auto"/>
          <w:spacing w:val="7"/>
          <w:sz w:val="20"/>
          <w:szCs w:val="20"/>
        </w:rPr>
        <w:t>出得分A；</w:t>
      </w:r>
    </w:p>
    <w:p w14:paraId="262EDE6F">
      <w:pPr>
        <w:spacing w:before="158" w:line="228" w:lineRule="auto"/>
        <w:ind w:left="10"/>
        <w:rPr>
          <w:rFonts w:ascii="宋体" w:hAnsi="宋体" w:eastAsia="宋体" w:cs="宋体"/>
          <w:color w:val="auto"/>
          <w:sz w:val="20"/>
          <w:szCs w:val="20"/>
        </w:rPr>
      </w:pPr>
      <w:r>
        <w:rPr>
          <w:rFonts w:ascii="宋体" w:hAnsi="宋体" w:eastAsia="宋体" w:cs="宋体"/>
          <w:color w:val="auto"/>
          <w:spacing w:val="8"/>
          <w:sz w:val="20"/>
          <w:szCs w:val="20"/>
        </w:rPr>
        <w:t>（2）按本章第</w:t>
      </w:r>
      <w:r>
        <w:rPr>
          <w:rFonts w:ascii="宋体" w:hAnsi="宋体" w:eastAsia="宋体" w:cs="宋体"/>
          <w:color w:val="auto"/>
          <w:spacing w:val="-37"/>
          <w:sz w:val="20"/>
          <w:szCs w:val="20"/>
        </w:rPr>
        <w:t xml:space="preserve"> </w:t>
      </w:r>
      <w:r>
        <w:rPr>
          <w:rFonts w:ascii="宋体" w:hAnsi="宋体" w:eastAsia="宋体" w:cs="宋体"/>
          <w:color w:val="auto"/>
          <w:spacing w:val="8"/>
          <w:sz w:val="20"/>
          <w:szCs w:val="20"/>
        </w:rPr>
        <w:t>2.2.3（2）</w:t>
      </w:r>
      <w:r>
        <w:rPr>
          <w:rFonts w:ascii="宋体" w:hAnsi="宋体" w:eastAsia="宋体" w:cs="宋体"/>
          <w:color w:val="auto"/>
          <w:spacing w:val="-44"/>
          <w:sz w:val="20"/>
          <w:szCs w:val="20"/>
        </w:rPr>
        <w:t xml:space="preserve"> </w:t>
      </w:r>
      <w:r>
        <w:rPr>
          <w:rFonts w:ascii="宋体" w:hAnsi="宋体" w:eastAsia="宋体" w:cs="宋体"/>
          <w:color w:val="auto"/>
          <w:spacing w:val="8"/>
          <w:sz w:val="20"/>
          <w:szCs w:val="20"/>
        </w:rPr>
        <w:t>目规定的评审因素和分值对项目管理机构计算</w:t>
      </w:r>
      <w:r>
        <w:rPr>
          <w:rFonts w:ascii="宋体" w:hAnsi="宋体" w:eastAsia="宋体" w:cs="宋体"/>
          <w:color w:val="auto"/>
          <w:spacing w:val="7"/>
          <w:sz w:val="20"/>
          <w:szCs w:val="20"/>
        </w:rPr>
        <w:t>出得分B；</w:t>
      </w:r>
    </w:p>
    <w:p w14:paraId="7690D956">
      <w:pPr>
        <w:spacing w:before="158" w:line="227" w:lineRule="auto"/>
        <w:ind w:left="10"/>
        <w:rPr>
          <w:rFonts w:ascii="宋体" w:hAnsi="宋体" w:eastAsia="宋体" w:cs="宋体"/>
          <w:color w:val="auto"/>
          <w:sz w:val="20"/>
          <w:szCs w:val="20"/>
        </w:rPr>
      </w:pPr>
      <w:r>
        <w:rPr>
          <w:rFonts w:ascii="宋体" w:hAnsi="宋体" w:eastAsia="宋体" w:cs="宋体"/>
          <w:color w:val="auto"/>
          <w:spacing w:val="8"/>
          <w:sz w:val="20"/>
          <w:szCs w:val="20"/>
        </w:rPr>
        <w:t>（3）按本章第</w:t>
      </w:r>
      <w:r>
        <w:rPr>
          <w:rFonts w:ascii="宋体" w:hAnsi="宋体" w:eastAsia="宋体" w:cs="宋体"/>
          <w:color w:val="auto"/>
          <w:spacing w:val="-37"/>
          <w:sz w:val="20"/>
          <w:szCs w:val="20"/>
        </w:rPr>
        <w:t xml:space="preserve"> </w:t>
      </w:r>
      <w:r>
        <w:rPr>
          <w:rFonts w:ascii="宋体" w:hAnsi="宋体" w:eastAsia="宋体" w:cs="宋体"/>
          <w:color w:val="auto"/>
          <w:spacing w:val="8"/>
          <w:sz w:val="20"/>
          <w:szCs w:val="20"/>
        </w:rPr>
        <w:t>2.2.3（3）</w:t>
      </w:r>
      <w:r>
        <w:rPr>
          <w:rFonts w:ascii="宋体" w:hAnsi="宋体" w:eastAsia="宋体" w:cs="宋体"/>
          <w:color w:val="auto"/>
          <w:spacing w:val="-44"/>
          <w:sz w:val="20"/>
          <w:szCs w:val="20"/>
        </w:rPr>
        <w:t xml:space="preserve"> </w:t>
      </w:r>
      <w:r>
        <w:rPr>
          <w:rFonts w:ascii="宋体" w:hAnsi="宋体" w:eastAsia="宋体" w:cs="宋体"/>
          <w:color w:val="auto"/>
          <w:spacing w:val="8"/>
          <w:sz w:val="20"/>
          <w:szCs w:val="20"/>
        </w:rPr>
        <w:t>目规定的评审因素和分值对磋商</w:t>
      </w:r>
      <w:r>
        <w:rPr>
          <w:rFonts w:ascii="宋体" w:hAnsi="宋体" w:eastAsia="宋体" w:cs="宋体"/>
          <w:color w:val="auto"/>
          <w:spacing w:val="7"/>
          <w:sz w:val="20"/>
          <w:szCs w:val="20"/>
        </w:rPr>
        <w:t>报价计算出得分C；</w:t>
      </w:r>
    </w:p>
    <w:p w14:paraId="61A72413">
      <w:pPr>
        <w:spacing w:before="160" w:line="228" w:lineRule="auto"/>
        <w:ind w:left="10"/>
        <w:rPr>
          <w:rFonts w:ascii="宋体" w:hAnsi="宋体" w:eastAsia="宋体" w:cs="宋体"/>
          <w:color w:val="auto"/>
          <w:sz w:val="20"/>
          <w:szCs w:val="20"/>
        </w:rPr>
      </w:pPr>
      <w:r>
        <w:rPr>
          <w:rFonts w:ascii="宋体" w:hAnsi="宋体" w:eastAsia="宋体" w:cs="宋体"/>
          <w:color w:val="auto"/>
          <w:spacing w:val="6"/>
          <w:sz w:val="20"/>
          <w:szCs w:val="20"/>
        </w:rPr>
        <w:t>（4）按本章第</w:t>
      </w:r>
      <w:r>
        <w:rPr>
          <w:rFonts w:ascii="宋体" w:hAnsi="宋体" w:eastAsia="宋体" w:cs="宋体"/>
          <w:color w:val="auto"/>
          <w:spacing w:val="-29"/>
          <w:sz w:val="20"/>
          <w:szCs w:val="20"/>
        </w:rPr>
        <w:t xml:space="preserve"> </w:t>
      </w:r>
      <w:r>
        <w:rPr>
          <w:rFonts w:ascii="宋体" w:hAnsi="宋体" w:eastAsia="宋体" w:cs="宋体"/>
          <w:color w:val="auto"/>
          <w:spacing w:val="6"/>
          <w:sz w:val="20"/>
          <w:szCs w:val="20"/>
        </w:rPr>
        <w:t>2.2.3（4）</w:t>
      </w:r>
      <w:r>
        <w:rPr>
          <w:rFonts w:ascii="宋体" w:hAnsi="宋体" w:eastAsia="宋体" w:cs="宋体"/>
          <w:color w:val="auto"/>
          <w:spacing w:val="-45"/>
          <w:sz w:val="20"/>
          <w:szCs w:val="20"/>
        </w:rPr>
        <w:t xml:space="preserve"> </w:t>
      </w:r>
      <w:r>
        <w:rPr>
          <w:rFonts w:ascii="宋体" w:hAnsi="宋体" w:eastAsia="宋体" w:cs="宋体"/>
          <w:color w:val="auto"/>
          <w:spacing w:val="6"/>
          <w:sz w:val="20"/>
          <w:szCs w:val="20"/>
        </w:rPr>
        <w:t>目规定的评审因素和分值对其他部分计算出得分</w:t>
      </w:r>
      <w:r>
        <w:rPr>
          <w:rFonts w:ascii="宋体" w:hAnsi="宋体" w:eastAsia="宋体" w:cs="宋体"/>
          <w:color w:val="auto"/>
          <w:spacing w:val="-40"/>
          <w:sz w:val="20"/>
          <w:szCs w:val="20"/>
        </w:rPr>
        <w:t xml:space="preserve"> </w:t>
      </w:r>
      <w:r>
        <w:rPr>
          <w:rFonts w:ascii="宋体" w:hAnsi="宋体" w:eastAsia="宋体" w:cs="宋体"/>
          <w:color w:val="auto"/>
          <w:spacing w:val="6"/>
          <w:sz w:val="20"/>
          <w:szCs w:val="20"/>
        </w:rPr>
        <w:t>D。</w:t>
      </w:r>
    </w:p>
    <w:p w14:paraId="5FDD7107">
      <w:pPr>
        <w:spacing w:before="159" w:line="228" w:lineRule="auto"/>
        <w:ind w:left="4"/>
        <w:rPr>
          <w:rFonts w:ascii="宋体" w:hAnsi="宋体" w:eastAsia="宋体" w:cs="宋体"/>
          <w:color w:val="auto"/>
          <w:sz w:val="20"/>
          <w:szCs w:val="20"/>
        </w:rPr>
      </w:pPr>
      <w:r>
        <w:rPr>
          <w:rFonts w:ascii="宋体" w:hAnsi="宋体" w:eastAsia="宋体" w:cs="宋体"/>
          <w:color w:val="auto"/>
          <w:spacing w:val="8"/>
          <w:sz w:val="20"/>
          <w:szCs w:val="20"/>
        </w:rPr>
        <w:t>3.2.2 评分分值计算保留小数点后两</w:t>
      </w:r>
      <w:r>
        <w:rPr>
          <w:rFonts w:ascii="宋体" w:hAnsi="宋体" w:eastAsia="宋体" w:cs="宋体"/>
          <w:color w:val="auto"/>
          <w:spacing w:val="7"/>
          <w:sz w:val="20"/>
          <w:szCs w:val="20"/>
        </w:rPr>
        <w:t>位，小数点后第三位“</w:t>
      </w:r>
      <w:r>
        <w:rPr>
          <w:rFonts w:ascii="宋体" w:hAnsi="宋体" w:eastAsia="宋体" w:cs="宋体"/>
          <w:color w:val="auto"/>
          <w:spacing w:val="-70"/>
          <w:sz w:val="20"/>
          <w:szCs w:val="20"/>
        </w:rPr>
        <w:t xml:space="preserve"> </w:t>
      </w:r>
      <w:r>
        <w:rPr>
          <w:rFonts w:ascii="宋体" w:hAnsi="宋体" w:eastAsia="宋体" w:cs="宋体"/>
          <w:color w:val="auto"/>
          <w:spacing w:val="7"/>
          <w:sz w:val="20"/>
          <w:szCs w:val="20"/>
        </w:rPr>
        <w:t>四舍五入</w:t>
      </w:r>
      <w:r>
        <w:rPr>
          <w:rFonts w:ascii="宋体" w:hAnsi="宋体" w:eastAsia="宋体" w:cs="宋体"/>
          <w:color w:val="auto"/>
          <w:spacing w:val="-70"/>
          <w:sz w:val="20"/>
          <w:szCs w:val="20"/>
        </w:rPr>
        <w:t xml:space="preserve"> </w:t>
      </w:r>
      <w:r>
        <w:rPr>
          <w:rFonts w:ascii="宋体" w:hAnsi="宋体" w:eastAsia="宋体" w:cs="宋体"/>
          <w:color w:val="auto"/>
          <w:spacing w:val="7"/>
          <w:sz w:val="20"/>
          <w:szCs w:val="20"/>
        </w:rPr>
        <w:t>”。</w:t>
      </w:r>
    </w:p>
    <w:p w14:paraId="0038965A">
      <w:pPr>
        <w:spacing w:before="158" w:line="221" w:lineRule="auto"/>
        <w:ind w:left="4"/>
        <w:rPr>
          <w:rFonts w:ascii="宋体" w:hAnsi="宋体" w:eastAsia="宋体" w:cs="宋体"/>
          <w:color w:val="auto"/>
          <w:sz w:val="20"/>
          <w:szCs w:val="20"/>
        </w:rPr>
      </w:pPr>
      <w:r>
        <w:rPr>
          <w:rFonts w:ascii="宋体" w:hAnsi="宋体" w:eastAsia="宋体" w:cs="宋体"/>
          <w:color w:val="auto"/>
          <w:spacing w:val="5"/>
          <w:sz w:val="20"/>
          <w:szCs w:val="20"/>
        </w:rPr>
        <w:t>3.2.3 得分汇总</w:t>
      </w:r>
      <w:r>
        <w:rPr>
          <w:rFonts w:ascii="宋体" w:hAnsi="宋体" w:eastAsia="宋体" w:cs="宋体"/>
          <w:color w:val="auto"/>
          <w:spacing w:val="-38"/>
          <w:sz w:val="20"/>
          <w:szCs w:val="20"/>
        </w:rPr>
        <w:t xml:space="preserve"> </w:t>
      </w:r>
      <w:r>
        <w:rPr>
          <w:rFonts w:ascii="宋体" w:hAnsi="宋体" w:eastAsia="宋体" w:cs="宋体"/>
          <w:color w:val="auto"/>
          <w:sz w:val="20"/>
          <w:szCs w:val="20"/>
        </w:rPr>
        <w:t>E</w:t>
      </w:r>
      <w:r>
        <w:rPr>
          <w:rFonts w:ascii="宋体" w:hAnsi="宋体" w:eastAsia="宋体" w:cs="宋体"/>
          <w:color w:val="auto"/>
          <w:position w:val="-3"/>
          <w:sz w:val="10"/>
          <w:szCs w:val="10"/>
        </w:rPr>
        <w:t>N</w:t>
      </w:r>
      <w:r>
        <w:rPr>
          <w:rFonts w:ascii="宋体" w:hAnsi="宋体" w:eastAsia="宋体" w:cs="宋体"/>
          <w:color w:val="auto"/>
          <w:spacing w:val="5"/>
          <w:sz w:val="20"/>
          <w:szCs w:val="20"/>
        </w:rPr>
        <w:t>=A+B+C+D。</w:t>
      </w:r>
    </w:p>
    <w:p w14:paraId="4BC6F71B">
      <w:pPr>
        <w:spacing w:before="165" w:line="228" w:lineRule="auto"/>
        <w:ind w:left="4"/>
        <w:rPr>
          <w:rFonts w:ascii="宋体" w:hAnsi="宋体" w:eastAsia="宋体" w:cs="宋体"/>
          <w:color w:val="auto"/>
          <w:sz w:val="20"/>
          <w:szCs w:val="20"/>
        </w:rPr>
      </w:pPr>
      <w:r>
        <w:rPr>
          <w:rFonts w:ascii="宋体" w:hAnsi="宋体" w:eastAsia="宋体" w:cs="宋体"/>
          <w:color w:val="auto"/>
          <w:spacing w:val="5"/>
          <w:sz w:val="20"/>
          <w:szCs w:val="20"/>
        </w:rPr>
        <w:t>3.2.4 供应商得分</w:t>
      </w:r>
      <w:r>
        <w:rPr>
          <w:rFonts w:ascii="宋体" w:hAnsi="宋体" w:eastAsia="宋体" w:cs="宋体"/>
          <w:color w:val="auto"/>
          <w:spacing w:val="-27"/>
          <w:sz w:val="20"/>
          <w:szCs w:val="20"/>
        </w:rPr>
        <w:t xml:space="preserve"> </w:t>
      </w:r>
      <w:r>
        <w:rPr>
          <w:rFonts w:ascii="宋体" w:hAnsi="宋体" w:eastAsia="宋体" w:cs="宋体"/>
          <w:color w:val="auto"/>
          <w:spacing w:val="5"/>
          <w:sz w:val="20"/>
          <w:szCs w:val="20"/>
        </w:rPr>
        <w:t>E=（E1+E2+E3）/3</w:t>
      </w:r>
    </w:p>
    <w:p w14:paraId="28366081">
      <w:pPr>
        <w:spacing w:before="159" w:line="338" w:lineRule="auto"/>
        <w:ind w:right="56" w:firstLine="4"/>
        <w:rPr>
          <w:rFonts w:ascii="宋体" w:hAnsi="宋体" w:eastAsia="宋体" w:cs="宋体"/>
          <w:color w:val="auto"/>
          <w:sz w:val="20"/>
          <w:szCs w:val="20"/>
        </w:rPr>
      </w:pPr>
      <w:r>
        <w:rPr>
          <w:rFonts w:ascii="宋体" w:hAnsi="宋体" w:eastAsia="宋体" w:cs="宋体"/>
          <w:color w:val="auto"/>
          <w:spacing w:val="8"/>
          <w:sz w:val="20"/>
          <w:szCs w:val="20"/>
        </w:rPr>
        <w:t>3.2.5 磋商小组发现供应商的报价明显低于其他投标报价，或者在设有标底时明显低于标底，使</w:t>
      </w:r>
      <w:r>
        <w:rPr>
          <w:rFonts w:ascii="宋体" w:hAnsi="宋体" w:eastAsia="宋体" w:cs="宋体"/>
          <w:color w:val="auto"/>
          <w:spacing w:val="9"/>
          <w:sz w:val="20"/>
          <w:szCs w:val="20"/>
        </w:rPr>
        <w:t>得其投标报价可能低于其个别成本的，应当要求该供应商作出书面说明并提供相应的证明材料。供应商不能合理说明或者不能提供相应证明材料的，磋商小组应当认定该供应商以低于成本报价</w:t>
      </w:r>
      <w:r>
        <w:rPr>
          <w:rFonts w:ascii="宋体" w:hAnsi="宋体" w:eastAsia="宋体" w:cs="宋体"/>
          <w:color w:val="auto"/>
          <w:spacing w:val="7"/>
          <w:sz w:val="20"/>
          <w:szCs w:val="20"/>
        </w:rPr>
        <w:t>竞标，否决其投标。</w:t>
      </w:r>
    </w:p>
    <w:p w14:paraId="421958BA">
      <w:pPr>
        <w:spacing w:before="158" w:line="228" w:lineRule="auto"/>
        <w:ind w:left="4"/>
        <w:rPr>
          <w:rFonts w:ascii="宋体" w:hAnsi="宋体" w:eastAsia="宋体" w:cs="宋体"/>
          <w:color w:val="auto"/>
          <w:sz w:val="20"/>
          <w:szCs w:val="20"/>
        </w:rPr>
      </w:pPr>
      <w:r>
        <w:rPr>
          <w:rFonts w:ascii="宋体" w:hAnsi="宋体" w:eastAsia="宋体" w:cs="宋体"/>
          <w:b/>
          <w:bCs/>
          <w:color w:val="auto"/>
          <w:spacing w:val="6"/>
          <w:sz w:val="20"/>
          <w:szCs w:val="20"/>
        </w:rPr>
        <w:t>3.3</w:t>
      </w:r>
      <w:r>
        <w:rPr>
          <w:rFonts w:ascii="宋体" w:hAnsi="宋体" w:eastAsia="宋体" w:cs="宋体"/>
          <w:color w:val="auto"/>
          <w:spacing w:val="6"/>
          <w:sz w:val="20"/>
          <w:szCs w:val="20"/>
        </w:rPr>
        <w:t xml:space="preserve"> </w:t>
      </w:r>
      <w:r>
        <w:rPr>
          <w:rFonts w:ascii="宋体" w:hAnsi="宋体" w:eastAsia="宋体" w:cs="宋体"/>
          <w:b/>
          <w:bCs/>
          <w:color w:val="auto"/>
          <w:spacing w:val="6"/>
          <w:sz w:val="20"/>
          <w:szCs w:val="20"/>
        </w:rPr>
        <w:t>投标文件的澄清和补正</w:t>
      </w:r>
    </w:p>
    <w:p w14:paraId="26FC26A4">
      <w:pPr>
        <w:spacing w:before="159" w:line="330" w:lineRule="auto"/>
        <w:ind w:left="4" w:right="58"/>
        <w:rPr>
          <w:rFonts w:ascii="宋体" w:hAnsi="宋体" w:eastAsia="宋体" w:cs="宋体"/>
          <w:color w:val="auto"/>
          <w:sz w:val="20"/>
          <w:szCs w:val="20"/>
        </w:rPr>
      </w:pPr>
      <w:r>
        <w:rPr>
          <w:rFonts w:ascii="宋体" w:hAnsi="宋体" w:eastAsia="宋体" w:cs="宋体"/>
          <w:color w:val="auto"/>
          <w:spacing w:val="9"/>
          <w:sz w:val="20"/>
          <w:szCs w:val="20"/>
        </w:rPr>
        <w:t>3.3.1</w:t>
      </w:r>
      <w:r>
        <w:rPr>
          <w:rFonts w:ascii="宋体" w:hAnsi="宋体" w:eastAsia="宋体" w:cs="宋体"/>
          <w:color w:val="auto"/>
          <w:spacing w:val="-26"/>
          <w:sz w:val="20"/>
          <w:szCs w:val="20"/>
        </w:rPr>
        <w:t xml:space="preserve"> </w:t>
      </w:r>
      <w:r>
        <w:rPr>
          <w:rFonts w:ascii="宋体" w:hAnsi="宋体" w:eastAsia="宋体" w:cs="宋体"/>
          <w:color w:val="auto"/>
          <w:spacing w:val="9"/>
          <w:sz w:val="20"/>
          <w:szCs w:val="20"/>
        </w:rPr>
        <w:t>在评标过程中，磋商小组可以书面形式要求供应商对所提交投标文件中不明确的内容进行书面澄清或说明，或者对细微偏差进行补正。磋商小组不接受供应商主动提出</w:t>
      </w:r>
      <w:r>
        <w:rPr>
          <w:rFonts w:ascii="宋体" w:hAnsi="宋体" w:eastAsia="宋体" w:cs="宋体"/>
          <w:color w:val="auto"/>
          <w:spacing w:val="8"/>
          <w:sz w:val="20"/>
          <w:szCs w:val="20"/>
        </w:rPr>
        <w:t>的澄清、说明或补</w:t>
      </w:r>
      <w:r>
        <w:rPr>
          <w:rFonts w:ascii="宋体" w:hAnsi="宋体" w:eastAsia="宋体" w:cs="宋体"/>
          <w:color w:val="auto"/>
          <w:spacing w:val="-2"/>
          <w:sz w:val="20"/>
          <w:szCs w:val="20"/>
        </w:rPr>
        <w:t>正。</w:t>
      </w:r>
    </w:p>
    <w:p w14:paraId="4B997AF6">
      <w:pPr>
        <w:spacing w:before="145" w:line="301" w:lineRule="auto"/>
        <w:ind w:left="2" w:right="56" w:firstLine="1"/>
        <w:rPr>
          <w:rFonts w:ascii="宋体" w:hAnsi="宋体" w:eastAsia="宋体" w:cs="宋体"/>
          <w:color w:val="auto"/>
          <w:sz w:val="20"/>
          <w:szCs w:val="20"/>
        </w:rPr>
      </w:pPr>
      <w:r>
        <w:rPr>
          <w:rFonts w:ascii="宋体" w:hAnsi="宋体" w:eastAsia="宋体" w:cs="宋体"/>
          <w:color w:val="auto"/>
          <w:spacing w:val="8"/>
          <w:sz w:val="20"/>
          <w:szCs w:val="20"/>
        </w:rPr>
        <w:t>3.3.2 澄清、说明和补正不得改变投标文件的实质性内容。供应商的书面澄清、说明和补正属于</w:t>
      </w:r>
      <w:r>
        <w:rPr>
          <w:rFonts w:ascii="宋体" w:hAnsi="宋体" w:eastAsia="宋体" w:cs="宋体"/>
          <w:color w:val="auto"/>
          <w:spacing w:val="7"/>
          <w:sz w:val="20"/>
          <w:szCs w:val="20"/>
        </w:rPr>
        <w:t>投标文件的组成部分。</w:t>
      </w:r>
    </w:p>
    <w:p w14:paraId="7CD02DE4">
      <w:pPr>
        <w:spacing w:before="159" w:line="301" w:lineRule="auto"/>
        <w:ind w:left="2" w:right="56" w:firstLine="1"/>
        <w:rPr>
          <w:rFonts w:ascii="宋体" w:hAnsi="宋体" w:eastAsia="宋体" w:cs="宋体"/>
          <w:color w:val="auto"/>
          <w:sz w:val="20"/>
          <w:szCs w:val="20"/>
        </w:rPr>
      </w:pPr>
      <w:r>
        <w:rPr>
          <w:rFonts w:ascii="宋体" w:hAnsi="宋体" w:eastAsia="宋体" w:cs="宋体"/>
          <w:color w:val="auto"/>
          <w:spacing w:val="8"/>
          <w:sz w:val="20"/>
          <w:szCs w:val="20"/>
        </w:rPr>
        <w:t>3.3.3 磋商小组对供应商提交的澄清、说明或补正有疑问的，可以要求供应商进一步澄清、说明或补正，直至满足磋商小组的要求。</w:t>
      </w:r>
    </w:p>
    <w:p w14:paraId="6B423214">
      <w:pPr>
        <w:spacing w:before="158" w:line="229" w:lineRule="auto"/>
        <w:ind w:left="4"/>
        <w:rPr>
          <w:rFonts w:ascii="宋体" w:hAnsi="宋体" w:eastAsia="宋体" w:cs="宋体"/>
          <w:color w:val="auto"/>
          <w:sz w:val="20"/>
          <w:szCs w:val="20"/>
        </w:rPr>
      </w:pPr>
      <w:r>
        <w:rPr>
          <w:rFonts w:ascii="宋体" w:hAnsi="宋体" w:eastAsia="宋体" w:cs="宋体"/>
          <w:b/>
          <w:bCs/>
          <w:color w:val="auto"/>
          <w:spacing w:val="4"/>
          <w:sz w:val="20"/>
          <w:szCs w:val="20"/>
        </w:rPr>
        <w:t>3.4</w:t>
      </w:r>
      <w:r>
        <w:rPr>
          <w:rFonts w:ascii="宋体" w:hAnsi="宋体" w:eastAsia="宋体" w:cs="宋体"/>
          <w:color w:val="auto"/>
          <w:spacing w:val="4"/>
          <w:sz w:val="20"/>
          <w:szCs w:val="20"/>
        </w:rPr>
        <w:t xml:space="preserve"> </w:t>
      </w:r>
      <w:r>
        <w:rPr>
          <w:rFonts w:ascii="宋体" w:hAnsi="宋体" w:eastAsia="宋体" w:cs="宋体"/>
          <w:b/>
          <w:bCs/>
          <w:color w:val="auto"/>
          <w:spacing w:val="4"/>
          <w:sz w:val="20"/>
          <w:szCs w:val="20"/>
        </w:rPr>
        <w:t>评标结果</w:t>
      </w:r>
    </w:p>
    <w:p w14:paraId="38E351BD">
      <w:pPr>
        <w:spacing w:before="157" w:line="301" w:lineRule="auto"/>
        <w:ind w:left="16" w:right="58" w:hanging="12"/>
        <w:rPr>
          <w:rFonts w:ascii="宋体" w:hAnsi="宋体" w:eastAsia="宋体" w:cs="宋体"/>
          <w:color w:val="auto"/>
          <w:sz w:val="20"/>
          <w:szCs w:val="20"/>
        </w:rPr>
      </w:pPr>
      <w:r>
        <w:rPr>
          <w:rFonts w:ascii="宋体" w:hAnsi="宋体" w:eastAsia="宋体" w:cs="宋体"/>
          <w:color w:val="auto"/>
          <w:spacing w:val="8"/>
          <w:sz w:val="20"/>
          <w:szCs w:val="20"/>
        </w:rPr>
        <w:t>3.4.1</w:t>
      </w:r>
      <w:r>
        <w:rPr>
          <w:rFonts w:ascii="宋体" w:hAnsi="宋体" w:eastAsia="宋体" w:cs="宋体"/>
          <w:color w:val="auto"/>
          <w:spacing w:val="-12"/>
          <w:sz w:val="20"/>
          <w:szCs w:val="20"/>
        </w:rPr>
        <w:t xml:space="preserve"> </w:t>
      </w:r>
      <w:r>
        <w:rPr>
          <w:rFonts w:ascii="宋体" w:hAnsi="宋体" w:eastAsia="宋体" w:cs="宋体"/>
          <w:color w:val="auto"/>
          <w:spacing w:val="8"/>
          <w:sz w:val="20"/>
          <w:szCs w:val="20"/>
        </w:rPr>
        <w:t>除第二章“供应商须知</w:t>
      </w:r>
      <w:r>
        <w:rPr>
          <w:rFonts w:ascii="宋体" w:hAnsi="宋体" w:eastAsia="宋体" w:cs="宋体"/>
          <w:color w:val="auto"/>
          <w:spacing w:val="-70"/>
          <w:sz w:val="20"/>
          <w:szCs w:val="20"/>
        </w:rPr>
        <w:t xml:space="preserve"> </w:t>
      </w:r>
      <w:r>
        <w:rPr>
          <w:rFonts w:ascii="宋体" w:hAnsi="宋体" w:eastAsia="宋体" w:cs="宋体"/>
          <w:color w:val="auto"/>
          <w:spacing w:val="8"/>
          <w:sz w:val="20"/>
          <w:szCs w:val="20"/>
        </w:rPr>
        <w:t>”前附表授权直接确定成交供应商外，磋商小组按照得分由高到低</w:t>
      </w:r>
      <w:r>
        <w:rPr>
          <w:rFonts w:ascii="宋体" w:hAnsi="宋体" w:eastAsia="宋体" w:cs="宋体"/>
          <w:color w:val="auto"/>
          <w:spacing w:val="6"/>
          <w:sz w:val="20"/>
          <w:szCs w:val="20"/>
        </w:rPr>
        <w:t>的顺序推荐成交候选人。</w:t>
      </w:r>
    </w:p>
    <w:p w14:paraId="4FB04324">
      <w:pPr>
        <w:spacing w:before="159" w:line="227" w:lineRule="auto"/>
        <w:ind w:left="4"/>
        <w:rPr>
          <w:rFonts w:ascii="宋体" w:hAnsi="宋体" w:eastAsia="宋体" w:cs="宋体"/>
          <w:color w:val="auto"/>
          <w:sz w:val="20"/>
          <w:szCs w:val="20"/>
        </w:rPr>
      </w:pPr>
      <w:r>
        <w:rPr>
          <w:rFonts w:ascii="宋体" w:hAnsi="宋体" w:eastAsia="宋体" w:cs="宋体"/>
          <w:color w:val="auto"/>
          <w:spacing w:val="8"/>
          <w:sz w:val="20"/>
          <w:szCs w:val="20"/>
        </w:rPr>
        <w:t>3.4.2 磋商小组完成评标后，应当向采购人提交书面评标报告。</w:t>
      </w:r>
    </w:p>
    <w:p w14:paraId="1DD45A80">
      <w:pPr>
        <w:spacing w:before="158" w:line="326" w:lineRule="auto"/>
        <w:ind w:firstLine="3"/>
        <w:rPr>
          <w:rFonts w:ascii="宋体" w:hAnsi="宋体" w:eastAsia="宋体" w:cs="宋体"/>
          <w:color w:val="auto"/>
          <w:sz w:val="20"/>
          <w:szCs w:val="20"/>
        </w:rPr>
      </w:pPr>
      <w:r>
        <w:rPr>
          <w:rFonts w:ascii="宋体" w:hAnsi="宋体" w:eastAsia="宋体" w:cs="宋体"/>
          <w:color w:val="auto"/>
          <w:spacing w:val="5"/>
          <w:sz w:val="20"/>
          <w:szCs w:val="20"/>
        </w:rPr>
        <w:t>3.4.3 排名第一的成交候选人放弃成交资格、因不可抗力不能履行合同，投标文件提供虚假信息，</w:t>
      </w:r>
      <w:r>
        <w:rPr>
          <w:rFonts w:ascii="宋体" w:hAnsi="宋体" w:eastAsia="宋体" w:cs="宋体"/>
          <w:color w:val="auto"/>
          <w:spacing w:val="9"/>
          <w:sz w:val="20"/>
          <w:szCs w:val="20"/>
        </w:rPr>
        <w:t>或者被查实存在影响中标结果的违法行为等情形，不符合中标条件的，采购人可以按照磋商</w:t>
      </w:r>
      <w:r>
        <w:rPr>
          <w:rFonts w:ascii="宋体" w:hAnsi="宋体" w:eastAsia="宋体" w:cs="宋体"/>
          <w:color w:val="auto"/>
          <w:spacing w:val="8"/>
          <w:sz w:val="20"/>
          <w:szCs w:val="20"/>
        </w:rPr>
        <w:t>小组</w:t>
      </w:r>
      <w:r>
        <w:rPr>
          <w:rFonts w:ascii="宋体" w:hAnsi="宋体" w:eastAsia="宋体" w:cs="宋体"/>
          <w:color w:val="auto"/>
          <w:spacing w:val="9"/>
          <w:sz w:val="20"/>
          <w:szCs w:val="20"/>
        </w:rPr>
        <w:t>提出的成交候选人名单排序依次确定其他成交候选人为成交供应商，也可以重新招标。</w:t>
      </w:r>
    </w:p>
    <w:p w14:paraId="720ACBAF">
      <w:pPr>
        <w:spacing w:before="113" w:line="228" w:lineRule="auto"/>
        <w:ind w:left="4"/>
        <w:rPr>
          <w:rFonts w:ascii="宋体" w:hAnsi="宋体" w:eastAsia="宋体" w:cs="宋体"/>
          <w:color w:val="auto"/>
          <w:sz w:val="20"/>
          <w:szCs w:val="20"/>
        </w:rPr>
      </w:pPr>
      <w:r>
        <w:rPr>
          <w:rFonts w:ascii="宋体" w:hAnsi="宋体" w:eastAsia="宋体" w:cs="宋体"/>
          <w:color w:val="auto"/>
          <w:spacing w:val="7"/>
          <w:sz w:val="20"/>
          <w:szCs w:val="20"/>
        </w:rPr>
        <w:t>3.4.4 本项目专门面向中小企业采购。</w:t>
      </w:r>
    </w:p>
    <w:p w14:paraId="511E1056">
      <w:pPr>
        <w:spacing w:line="228" w:lineRule="auto"/>
        <w:rPr>
          <w:rFonts w:ascii="宋体" w:hAnsi="宋体" w:eastAsia="宋体" w:cs="宋体"/>
          <w:color w:val="auto"/>
          <w:sz w:val="20"/>
          <w:szCs w:val="20"/>
        </w:rPr>
        <w:sectPr>
          <w:footerReference r:id="rId15" w:type="default"/>
          <w:pgSz w:w="11906" w:h="16839"/>
          <w:pgMar w:top="1440" w:right="1080" w:bottom="1440" w:left="1080" w:header="0" w:footer="783" w:gutter="0"/>
          <w:pgNumType w:fmt="decimal"/>
          <w:cols w:space="720" w:num="1"/>
        </w:sectPr>
      </w:pPr>
    </w:p>
    <w:p w14:paraId="5C864D54">
      <w:pPr>
        <w:spacing w:before="259" w:line="225" w:lineRule="auto"/>
        <w:ind w:left="2284"/>
        <w:outlineLvl w:val="0"/>
        <w:rPr>
          <w:rFonts w:ascii="宋体" w:hAnsi="宋体" w:eastAsia="宋体" w:cs="宋体"/>
          <w:color w:val="auto"/>
          <w:sz w:val="35"/>
          <w:szCs w:val="35"/>
        </w:rPr>
      </w:pPr>
      <w:bookmarkStart w:id="11" w:name="_Toc18614"/>
      <w:bookmarkStart w:id="12" w:name="_Toc4706"/>
      <w:r>
        <w:rPr>
          <w:rFonts w:ascii="宋体" w:hAnsi="宋体" w:eastAsia="宋体" w:cs="宋体"/>
          <w:b/>
          <w:bCs/>
          <w:color w:val="auto"/>
          <w:spacing w:val="6"/>
          <w:sz w:val="35"/>
          <w:szCs w:val="35"/>
        </w:rPr>
        <w:t>第四章</w:t>
      </w:r>
      <w:r>
        <w:rPr>
          <w:rFonts w:ascii="宋体" w:hAnsi="宋体" w:eastAsia="宋体" w:cs="宋体"/>
          <w:color w:val="auto"/>
          <w:spacing w:val="6"/>
          <w:sz w:val="35"/>
          <w:szCs w:val="35"/>
        </w:rPr>
        <w:t xml:space="preserve"> </w:t>
      </w:r>
      <w:r>
        <w:rPr>
          <w:rFonts w:ascii="宋体" w:hAnsi="宋体" w:eastAsia="宋体" w:cs="宋体"/>
          <w:b/>
          <w:bCs/>
          <w:color w:val="auto"/>
          <w:spacing w:val="6"/>
          <w:sz w:val="35"/>
          <w:szCs w:val="35"/>
        </w:rPr>
        <w:t>合同条款及格式</w:t>
      </w:r>
      <w:bookmarkEnd w:id="11"/>
      <w:bookmarkEnd w:id="12"/>
    </w:p>
    <w:p w14:paraId="21CB146A">
      <w:pPr>
        <w:spacing w:before="282" w:line="225" w:lineRule="auto"/>
        <w:ind w:left="1945"/>
        <w:rPr>
          <w:rFonts w:ascii="宋体" w:hAnsi="宋体" w:eastAsia="宋体" w:cs="宋体"/>
          <w:color w:val="auto"/>
          <w:sz w:val="31"/>
          <w:szCs w:val="31"/>
        </w:rPr>
      </w:pPr>
      <w:r>
        <w:rPr>
          <w:rFonts w:ascii="宋体" w:hAnsi="宋体" w:eastAsia="宋体" w:cs="宋体"/>
          <w:b/>
          <w:bCs/>
          <w:color w:val="auto"/>
          <w:spacing w:val="4"/>
          <w:sz w:val="31"/>
          <w:szCs w:val="31"/>
        </w:rPr>
        <w:t>（以双方最终签订的合同为准）</w:t>
      </w:r>
    </w:p>
    <w:p w14:paraId="2DCA5BD4">
      <w:pPr>
        <w:spacing w:line="225" w:lineRule="auto"/>
        <w:rPr>
          <w:rFonts w:ascii="宋体" w:hAnsi="宋体" w:eastAsia="宋体" w:cs="宋体"/>
          <w:color w:val="auto"/>
          <w:sz w:val="31"/>
          <w:szCs w:val="31"/>
        </w:rPr>
        <w:sectPr>
          <w:footerReference r:id="rId16" w:type="default"/>
          <w:pgSz w:w="11906" w:h="16839"/>
          <w:pgMar w:top="1440" w:right="1080" w:bottom="1440" w:left="1080" w:header="0" w:footer="783" w:gutter="0"/>
          <w:pgNumType w:fmt="decimal"/>
          <w:cols w:space="720" w:num="1"/>
        </w:sectPr>
      </w:pPr>
    </w:p>
    <w:p w14:paraId="5A193D67">
      <w:pPr>
        <w:pStyle w:val="2"/>
        <w:spacing w:line="263" w:lineRule="auto"/>
        <w:rPr>
          <w:color w:val="auto"/>
        </w:rPr>
      </w:pPr>
    </w:p>
    <w:p w14:paraId="72B11952">
      <w:pPr>
        <w:spacing w:before="114" w:line="225" w:lineRule="auto"/>
        <w:ind w:left="2646"/>
        <w:outlineLvl w:val="0"/>
        <w:rPr>
          <w:rFonts w:ascii="宋体" w:hAnsi="宋体" w:eastAsia="宋体" w:cs="宋体"/>
          <w:color w:val="auto"/>
          <w:sz w:val="35"/>
          <w:szCs w:val="35"/>
        </w:rPr>
      </w:pPr>
      <w:bookmarkStart w:id="13" w:name="bookmark19"/>
      <w:bookmarkEnd w:id="13"/>
      <w:bookmarkStart w:id="14" w:name="_Toc15502"/>
      <w:bookmarkStart w:id="15" w:name="_Toc12150"/>
      <w:r>
        <w:rPr>
          <w:rFonts w:ascii="宋体" w:hAnsi="宋体" w:eastAsia="宋体" w:cs="宋体"/>
          <w:b/>
          <w:bCs/>
          <w:color w:val="auto"/>
          <w:spacing w:val="5"/>
          <w:sz w:val="35"/>
          <w:szCs w:val="35"/>
        </w:rPr>
        <w:t>第五章</w:t>
      </w:r>
      <w:r>
        <w:rPr>
          <w:rFonts w:ascii="宋体" w:hAnsi="宋体" w:eastAsia="宋体" w:cs="宋体"/>
          <w:color w:val="auto"/>
          <w:spacing w:val="5"/>
          <w:sz w:val="35"/>
          <w:szCs w:val="35"/>
        </w:rPr>
        <w:t xml:space="preserve"> </w:t>
      </w:r>
      <w:r>
        <w:rPr>
          <w:rFonts w:ascii="宋体" w:hAnsi="宋体" w:eastAsia="宋体" w:cs="宋体"/>
          <w:b/>
          <w:bCs/>
          <w:color w:val="auto"/>
          <w:spacing w:val="5"/>
          <w:sz w:val="35"/>
          <w:szCs w:val="35"/>
        </w:rPr>
        <w:t>工程量清单</w:t>
      </w:r>
      <w:bookmarkEnd w:id="14"/>
      <w:bookmarkEnd w:id="15"/>
    </w:p>
    <w:p w14:paraId="31A8E7AE">
      <w:pPr>
        <w:pStyle w:val="2"/>
        <w:spacing w:line="242" w:lineRule="auto"/>
        <w:rPr>
          <w:color w:val="auto"/>
        </w:rPr>
      </w:pPr>
    </w:p>
    <w:p w14:paraId="1B80769F">
      <w:pPr>
        <w:pStyle w:val="2"/>
        <w:spacing w:line="242" w:lineRule="auto"/>
        <w:rPr>
          <w:color w:val="auto"/>
        </w:rPr>
      </w:pPr>
    </w:p>
    <w:p w14:paraId="375BE6EB">
      <w:pPr>
        <w:pStyle w:val="2"/>
        <w:spacing w:line="243" w:lineRule="auto"/>
        <w:rPr>
          <w:color w:val="auto"/>
        </w:rPr>
      </w:pPr>
    </w:p>
    <w:p w14:paraId="108F8BAA">
      <w:pPr>
        <w:spacing w:before="101" w:line="225" w:lineRule="auto"/>
        <w:ind w:left="3634"/>
        <w:rPr>
          <w:rFonts w:ascii="宋体" w:hAnsi="宋体" w:eastAsia="宋体" w:cs="宋体"/>
          <w:color w:val="auto"/>
          <w:sz w:val="31"/>
          <w:szCs w:val="31"/>
        </w:rPr>
      </w:pPr>
      <w:r>
        <w:rPr>
          <w:rFonts w:ascii="宋体" w:hAnsi="宋体" w:eastAsia="宋体" w:cs="宋体"/>
          <w:b/>
          <w:bCs/>
          <w:color w:val="auto"/>
          <w:spacing w:val="-4"/>
          <w:sz w:val="31"/>
          <w:szCs w:val="31"/>
        </w:rPr>
        <w:t>另附</w:t>
      </w:r>
    </w:p>
    <w:p w14:paraId="4A773E45">
      <w:pPr>
        <w:spacing w:line="225" w:lineRule="auto"/>
        <w:rPr>
          <w:rFonts w:ascii="宋体" w:hAnsi="宋体" w:eastAsia="宋体" w:cs="宋体"/>
          <w:color w:val="auto"/>
          <w:sz w:val="31"/>
          <w:szCs w:val="31"/>
        </w:rPr>
        <w:sectPr>
          <w:footerReference r:id="rId17" w:type="default"/>
          <w:pgSz w:w="11906" w:h="16839"/>
          <w:pgMar w:top="1440" w:right="1080" w:bottom="1440" w:left="1080" w:header="0" w:footer="783" w:gutter="0"/>
          <w:pgNumType w:fmt="decimal"/>
          <w:cols w:space="720" w:num="1"/>
        </w:sectPr>
      </w:pPr>
    </w:p>
    <w:p w14:paraId="6B3D973D">
      <w:pPr>
        <w:spacing w:before="139" w:line="225" w:lineRule="auto"/>
        <w:ind w:left="3097"/>
        <w:outlineLvl w:val="0"/>
        <w:rPr>
          <w:rFonts w:ascii="宋体" w:hAnsi="宋体" w:eastAsia="宋体" w:cs="宋体"/>
          <w:color w:val="auto"/>
          <w:sz w:val="35"/>
          <w:szCs w:val="35"/>
        </w:rPr>
      </w:pPr>
      <w:bookmarkStart w:id="16" w:name="_Toc9313"/>
      <w:bookmarkStart w:id="17" w:name="_Toc20004"/>
      <w:r>
        <w:rPr>
          <w:rFonts w:ascii="宋体" w:hAnsi="宋体" w:eastAsia="宋体" w:cs="宋体"/>
          <w:b/>
          <w:bCs/>
          <w:color w:val="auto"/>
          <w:spacing w:val="-6"/>
          <w:sz w:val="35"/>
          <w:szCs w:val="35"/>
        </w:rPr>
        <w:t>第六章</w:t>
      </w:r>
      <w:r>
        <w:rPr>
          <w:rFonts w:ascii="宋体" w:hAnsi="宋体" w:eastAsia="宋体" w:cs="宋体"/>
          <w:color w:val="auto"/>
          <w:spacing w:val="31"/>
          <w:sz w:val="35"/>
          <w:szCs w:val="35"/>
        </w:rPr>
        <w:t xml:space="preserve">  </w:t>
      </w:r>
      <w:r>
        <w:rPr>
          <w:rFonts w:ascii="宋体" w:hAnsi="宋体" w:eastAsia="宋体" w:cs="宋体"/>
          <w:b/>
          <w:bCs/>
          <w:color w:val="auto"/>
          <w:spacing w:val="-6"/>
          <w:sz w:val="35"/>
          <w:szCs w:val="35"/>
        </w:rPr>
        <w:t>图纸</w:t>
      </w:r>
      <w:bookmarkEnd w:id="16"/>
      <w:bookmarkEnd w:id="17"/>
    </w:p>
    <w:p w14:paraId="0A8F741C">
      <w:pPr>
        <w:pStyle w:val="2"/>
        <w:spacing w:line="386" w:lineRule="auto"/>
        <w:rPr>
          <w:color w:val="auto"/>
        </w:rPr>
      </w:pPr>
    </w:p>
    <w:p w14:paraId="5E92AA2D">
      <w:pPr>
        <w:spacing w:before="91" w:line="220" w:lineRule="auto"/>
        <w:ind w:left="3625"/>
        <w:rPr>
          <w:rFonts w:ascii="宋体" w:hAnsi="宋体" w:eastAsia="宋体" w:cs="宋体"/>
          <w:color w:val="auto"/>
          <w:sz w:val="28"/>
          <w:szCs w:val="28"/>
        </w:rPr>
      </w:pPr>
      <w:r>
        <w:rPr>
          <w:rFonts w:ascii="宋体" w:hAnsi="宋体" w:eastAsia="宋体" w:cs="宋体"/>
          <w:b/>
          <w:bCs/>
          <w:color w:val="auto"/>
          <w:spacing w:val="-8"/>
          <w:sz w:val="28"/>
          <w:szCs w:val="28"/>
        </w:rPr>
        <w:t>（</w:t>
      </w:r>
      <w:r>
        <w:rPr>
          <w:rFonts w:hint="eastAsia" w:ascii="宋体" w:hAnsi="宋体" w:cs="宋体"/>
          <w:b/>
          <w:bCs/>
          <w:color w:val="auto"/>
          <w:spacing w:val="-8"/>
          <w:sz w:val="28"/>
          <w:szCs w:val="28"/>
          <w:lang w:val="en-US" w:eastAsia="zh-CN"/>
        </w:rPr>
        <w:t>无</w:t>
      </w:r>
      <w:r>
        <w:rPr>
          <w:rFonts w:ascii="宋体" w:hAnsi="宋体" w:eastAsia="宋体" w:cs="宋体"/>
          <w:b/>
          <w:bCs/>
          <w:color w:val="auto"/>
          <w:spacing w:val="-8"/>
          <w:sz w:val="28"/>
          <w:szCs w:val="28"/>
        </w:rPr>
        <w:t>）</w:t>
      </w:r>
    </w:p>
    <w:p w14:paraId="10187AA5">
      <w:pPr>
        <w:spacing w:line="220" w:lineRule="auto"/>
        <w:rPr>
          <w:rFonts w:ascii="宋体" w:hAnsi="宋体" w:eastAsia="宋体" w:cs="宋体"/>
          <w:color w:val="auto"/>
          <w:sz w:val="28"/>
          <w:szCs w:val="28"/>
        </w:rPr>
        <w:sectPr>
          <w:footerReference r:id="rId18" w:type="default"/>
          <w:pgSz w:w="11906" w:h="16839"/>
          <w:pgMar w:top="1440" w:right="1080" w:bottom="1440" w:left="1080" w:header="0" w:footer="783" w:gutter="0"/>
          <w:pgNumType w:fmt="decimal"/>
          <w:cols w:space="720" w:num="1"/>
        </w:sectPr>
      </w:pPr>
    </w:p>
    <w:p w14:paraId="670BE85A">
      <w:pPr>
        <w:spacing w:before="139" w:line="225" w:lineRule="auto"/>
        <w:ind w:left="1832"/>
        <w:outlineLvl w:val="0"/>
        <w:rPr>
          <w:rFonts w:ascii="宋体" w:hAnsi="宋体" w:eastAsia="宋体" w:cs="宋体"/>
          <w:color w:val="auto"/>
          <w:sz w:val="35"/>
          <w:szCs w:val="35"/>
        </w:rPr>
      </w:pPr>
      <w:bookmarkStart w:id="18" w:name="_Toc19342"/>
      <w:bookmarkStart w:id="19" w:name="_Toc31356"/>
      <w:r>
        <w:rPr>
          <w:rFonts w:ascii="宋体" w:hAnsi="宋体" w:eastAsia="宋体" w:cs="宋体"/>
          <w:b/>
          <w:bCs/>
          <w:color w:val="auto"/>
          <w:spacing w:val="6"/>
          <w:sz w:val="35"/>
          <w:szCs w:val="35"/>
        </w:rPr>
        <w:t>第七章</w:t>
      </w:r>
      <w:r>
        <w:rPr>
          <w:rFonts w:ascii="宋体" w:hAnsi="宋体" w:eastAsia="宋体" w:cs="宋体"/>
          <w:color w:val="auto"/>
          <w:spacing w:val="6"/>
          <w:sz w:val="35"/>
          <w:szCs w:val="35"/>
        </w:rPr>
        <w:t xml:space="preserve">  </w:t>
      </w:r>
      <w:r>
        <w:rPr>
          <w:rFonts w:ascii="宋体" w:hAnsi="宋体" w:eastAsia="宋体" w:cs="宋体"/>
          <w:b/>
          <w:bCs/>
          <w:color w:val="auto"/>
          <w:spacing w:val="6"/>
          <w:sz w:val="35"/>
          <w:szCs w:val="35"/>
        </w:rPr>
        <w:t>竞争性磋商文件格式</w:t>
      </w:r>
      <w:bookmarkEnd w:id="18"/>
      <w:bookmarkEnd w:id="19"/>
    </w:p>
    <w:p w14:paraId="2545133B">
      <w:pPr>
        <w:pStyle w:val="2"/>
        <w:spacing w:line="249" w:lineRule="auto"/>
        <w:rPr>
          <w:color w:val="auto"/>
        </w:rPr>
      </w:pPr>
    </w:p>
    <w:p w14:paraId="359CA024">
      <w:pPr>
        <w:pStyle w:val="2"/>
        <w:spacing w:line="249" w:lineRule="auto"/>
        <w:rPr>
          <w:color w:val="auto"/>
        </w:rPr>
      </w:pPr>
    </w:p>
    <w:p w14:paraId="21BDA098">
      <w:pPr>
        <w:pStyle w:val="2"/>
        <w:spacing w:line="249" w:lineRule="auto"/>
        <w:rPr>
          <w:color w:val="auto"/>
        </w:rPr>
      </w:pPr>
    </w:p>
    <w:p w14:paraId="375027BB">
      <w:pPr>
        <w:pStyle w:val="2"/>
        <w:spacing w:line="249" w:lineRule="auto"/>
        <w:rPr>
          <w:color w:val="auto"/>
        </w:rPr>
      </w:pPr>
    </w:p>
    <w:p w14:paraId="75F7FFBA">
      <w:pPr>
        <w:pStyle w:val="2"/>
        <w:spacing w:line="249" w:lineRule="auto"/>
        <w:rPr>
          <w:color w:val="auto"/>
        </w:rPr>
      </w:pPr>
    </w:p>
    <w:p w14:paraId="3799397C">
      <w:pPr>
        <w:tabs>
          <w:tab w:val="left" w:pos="5950"/>
        </w:tabs>
        <w:spacing w:before="91" w:line="221" w:lineRule="auto"/>
        <w:ind w:left="1454"/>
        <w:rPr>
          <w:rFonts w:ascii="宋体" w:hAnsi="宋体" w:eastAsia="宋体" w:cs="宋体"/>
          <w:color w:val="auto"/>
          <w:sz w:val="28"/>
          <w:szCs w:val="28"/>
        </w:rPr>
      </w:pPr>
      <w:r>
        <w:rPr>
          <w:rFonts w:ascii="宋体" w:hAnsi="宋体" w:eastAsia="宋体" w:cs="宋体"/>
          <w:color w:val="auto"/>
          <w:sz w:val="28"/>
          <w:szCs w:val="28"/>
          <w:u w:val="single" w:color="auto"/>
        </w:rPr>
        <w:tab/>
      </w:r>
      <w:r>
        <w:rPr>
          <w:rFonts w:ascii="宋体" w:hAnsi="宋体" w:eastAsia="宋体" w:cs="宋体"/>
          <w:b/>
          <w:bCs/>
          <w:color w:val="auto"/>
          <w:spacing w:val="-3"/>
          <w:sz w:val="28"/>
          <w:szCs w:val="28"/>
        </w:rPr>
        <w:t>（项目名称）</w:t>
      </w:r>
    </w:p>
    <w:p w14:paraId="61F17C7A">
      <w:pPr>
        <w:pStyle w:val="2"/>
        <w:spacing w:line="245" w:lineRule="auto"/>
        <w:rPr>
          <w:color w:val="auto"/>
        </w:rPr>
      </w:pPr>
    </w:p>
    <w:p w14:paraId="6DC8E5ED">
      <w:pPr>
        <w:pStyle w:val="2"/>
        <w:spacing w:line="245" w:lineRule="auto"/>
        <w:rPr>
          <w:color w:val="auto"/>
        </w:rPr>
      </w:pPr>
    </w:p>
    <w:p w14:paraId="20EA3257">
      <w:pPr>
        <w:pStyle w:val="2"/>
        <w:spacing w:line="245" w:lineRule="auto"/>
        <w:rPr>
          <w:color w:val="auto"/>
        </w:rPr>
      </w:pPr>
    </w:p>
    <w:p w14:paraId="74147CD4">
      <w:pPr>
        <w:pStyle w:val="2"/>
        <w:spacing w:line="245" w:lineRule="auto"/>
        <w:rPr>
          <w:color w:val="auto"/>
        </w:rPr>
      </w:pPr>
    </w:p>
    <w:p w14:paraId="014E2D34">
      <w:pPr>
        <w:pStyle w:val="2"/>
        <w:spacing w:line="246" w:lineRule="auto"/>
        <w:rPr>
          <w:color w:val="auto"/>
        </w:rPr>
      </w:pPr>
    </w:p>
    <w:p w14:paraId="79EC8143">
      <w:pPr>
        <w:pStyle w:val="2"/>
        <w:spacing w:line="246" w:lineRule="auto"/>
        <w:rPr>
          <w:color w:val="auto"/>
        </w:rPr>
      </w:pPr>
    </w:p>
    <w:p w14:paraId="6FE72C32">
      <w:pPr>
        <w:pStyle w:val="2"/>
        <w:spacing w:line="246" w:lineRule="auto"/>
        <w:rPr>
          <w:color w:val="auto"/>
        </w:rPr>
      </w:pPr>
    </w:p>
    <w:p w14:paraId="59FF7320">
      <w:pPr>
        <w:pStyle w:val="2"/>
        <w:spacing w:line="246" w:lineRule="auto"/>
        <w:rPr>
          <w:color w:val="auto"/>
        </w:rPr>
      </w:pPr>
    </w:p>
    <w:p w14:paraId="59561512">
      <w:pPr>
        <w:pStyle w:val="2"/>
        <w:spacing w:line="246" w:lineRule="auto"/>
        <w:rPr>
          <w:color w:val="auto"/>
        </w:rPr>
      </w:pPr>
    </w:p>
    <w:p w14:paraId="221EF912">
      <w:pPr>
        <w:pStyle w:val="2"/>
        <w:spacing w:line="246" w:lineRule="auto"/>
        <w:rPr>
          <w:color w:val="auto"/>
        </w:rPr>
      </w:pPr>
    </w:p>
    <w:p w14:paraId="7EDA1E97">
      <w:pPr>
        <w:pStyle w:val="2"/>
        <w:spacing w:line="246" w:lineRule="auto"/>
        <w:rPr>
          <w:color w:val="auto"/>
        </w:rPr>
      </w:pPr>
    </w:p>
    <w:p w14:paraId="60676611">
      <w:pPr>
        <w:pStyle w:val="2"/>
        <w:spacing w:line="246" w:lineRule="auto"/>
        <w:rPr>
          <w:color w:val="auto"/>
        </w:rPr>
      </w:pPr>
    </w:p>
    <w:p w14:paraId="28890F4F">
      <w:pPr>
        <w:pStyle w:val="2"/>
        <w:spacing w:line="246" w:lineRule="auto"/>
        <w:rPr>
          <w:color w:val="auto"/>
        </w:rPr>
      </w:pPr>
    </w:p>
    <w:p w14:paraId="2BF01462">
      <w:pPr>
        <w:spacing w:before="153" w:line="224" w:lineRule="auto"/>
        <w:ind w:left="2891"/>
        <w:rPr>
          <w:rFonts w:ascii="宋体" w:hAnsi="宋体" w:eastAsia="宋体" w:cs="宋体"/>
          <w:color w:val="auto"/>
          <w:sz w:val="47"/>
          <w:szCs w:val="47"/>
        </w:rPr>
      </w:pPr>
      <w:r>
        <w:rPr>
          <w:rFonts w:ascii="宋体" w:hAnsi="宋体" w:eastAsia="宋体" w:cs="宋体"/>
          <w:color w:val="auto"/>
          <w:spacing w:val="-14"/>
          <w:sz w:val="47"/>
          <w:szCs w:val="47"/>
        </w:rPr>
        <w:t>响</w:t>
      </w:r>
      <w:r>
        <w:rPr>
          <w:rFonts w:ascii="宋体" w:hAnsi="宋体" w:eastAsia="宋体" w:cs="宋体"/>
          <w:color w:val="auto"/>
          <w:spacing w:val="24"/>
          <w:sz w:val="47"/>
          <w:szCs w:val="47"/>
        </w:rPr>
        <w:t xml:space="preserve"> </w:t>
      </w:r>
      <w:r>
        <w:rPr>
          <w:rFonts w:ascii="宋体" w:hAnsi="宋体" w:eastAsia="宋体" w:cs="宋体"/>
          <w:color w:val="auto"/>
          <w:spacing w:val="-14"/>
          <w:sz w:val="47"/>
          <w:szCs w:val="47"/>
        </w:rPr>
        <w:t>应</w:t>
      </w:r>
      <w:r>
        <w:rPr>
          <w:rFonts w:ascii="宋体" w:hAnsi="宋体" w:eastAsia="宋体" w:cs="宋体"/>
          <w:color w:val="auto"/>
          <w:spacing w:val="27"/>
          <w:sz w:val="47"/>
          <w:szCs w:val="47"/>
        </w:rPr>
        <w:t xml:space="preserve"> </w:t>
      </w:r>
      <w:r>
        <w:rPr>
          <w:rFonts w:ascii="宋体" w:hAnsi="宋体" w:eastAsia="宋体" w:cs="宋体"/>
          <w:color w:val="auto"/>
          <w:spacing w:val="-14"/>
          <w:sz w:val="47"/>
          <w:szCs w:val="47"/>
        </w:rPr>
        <w:t>文</w:t>
      </w:r>
      <w:r>
        <w:rPr>
          <w:rFonts w:ascii="宋体" w:hAnsi="宋体" w:eastAsia="宋体" w:cs="宋体"/>
          <w:color w:val="auto"/>
          <w:spacing w:val="22"/>
          <w:sz w:val="47"/>
          <w:szCs w:val="47"/>
        </w:rPr>
        <w:t xml:space="preserve"> </w:t>
      </w:r>
      <w:r>
        <w:rPr>
          <w:rFonts w:ascii="宋体" w:hAnsi="宋体" w:eastAsia="宋体" w:cs="宋体"/>
          <w:color w:val="auto"/>
          <w:spacing w:val="-14"/>
          <w:sz w:val="47"/>
          <w:szCs w:val="47"/>
        </w:rPr>
        <w:t>件</w:t>
      </w:r>
    </w:p>
    <w:p w14:paraId="7CA1208D">
      <w:pPr>
        <w:pStyle w:val="2"/>
        <w:spacing w:line="341" w:lineRule="auto"/>
        <w:rPr>
          <w:color w:val="auto"/>
        </w:rPr>
      </w:pPr>
    </w:p>
    <w:p w14:paraId="4E2CF33E">
      <w:pPr>
        <w:pStyle w:val="2"/>
        <w:spacing w:line="342" w:lineRule="auto"/>
        <w:rPr>
          <w:color w:val="auto"/>
        </w:rPr>
      </w:pPr>
    </w:p>
    <w:p w14:paraId="2DCD18B0">
      <w:pPr>
        <w:spacing w:before="91" w:line="221" w:lineRule="auto"/>
        <w:ind w:left="2448"/>
        <w:rPr>
          <w:rFonts w:ascii="宋体" w:hAnsi="宋体" w:eastAsia="宋体" w:cs="宋体"/>
          <w:color w:val="auto"/>
          <w:sz w:val="28"/>
          <w:szCs w:val="28"/>
        </w:rPr>
      </w:pPr>
      <w:r>
        <w:rPr>
          <w:rFonts w:ascii="宋体" w:hAnsi="宋体" w:eastAsia="宋体" w:cs="宋体"/>
          <w:color w:val="auto"/>
          <w:spacing w:val="-3"/>
          <w:sz w:val="28"/>
          <w:szCs w:val="28"/>
        </w:rPr>
        <w:t>项目编号：</w:t>
      </w:r>
      <w:r>
        <w:rPr>
          <w:rFonts w:ascii="宋体" w:hAnsi="宋体" w:eastAsia="宋体" w:cs="宋体"/>
          <w:color w:val="auto"/>
          <w:sz w:val="28"/>
          <w:szCs w:val="28"/>
          <w:u w:val="single" w:color="auto"/>
        </w:rPr>
        <w:t xml:space="preserve">                </w:t>
      </w:r>
    </w:p>
    <w:p w14:paraId="18601984">
      <w:pPr>
        <w:pStyle w:val="2"/>
        <w:spacing w:line="244" w:lineRule="auto"/>
        <w:rPr>
          <w:color w:val="auto"/>
        </w:rPr>
      </w:pPr>
    </w:p>
    <w:p w14:paraId="6DD6FA86">
      <w:pPr>
        <w:pStyle w:val="2"/>
        <w:spacing w:line="244" w:lineRule="auto"/>
        <w:rPr>
          <w:color w:val="auto"/>
        </w:rPr>
      </w:pPr>
    </w:p>
    <w:p w14:paraId="62271886">
      <w:pPr>
        <w:pStyle w:val="2"/>
        <w:spacing w:line="245" w:lineRule="auto"/>
        <w:rPr>
          <w:color w:val="auto"/>
        </w:rPr>
      </w:pPr>
    </w:p>
    <w:p w14:paraId="47B2F3A1">
      <w:pPr>
        <w:pStyle w:val="2"/>
        <w:spacing w:line="245" w:lineRule="auto"/>
        <w:rPr>
          <w:color w:val="auto"/>
        </w:rPr>
      </w:pPr>
    </w:p>
    <w:p w14:paraId="62408E93">
      <w:pPr>
        <w:pStyle w:val="2"/>
        <w:spacing w:line="245" w:lineRule="auto"/>
        <w:rPr>
          <w:color w:val="auto"/>
        </w:rPr>
      </w:pPr>
    </w:p>
    <w:p w14:paraId="1B4CDE30">
      <w:pPr>
        <w:pStyle w:val="2"/>
        <w:spacing w:line="245" w:lineRule="auto"/>
        <w:rPr>
          <w:color w:val="auto"/>
        </w:rPr>
      </w:pPr>
    </w:p>
    <w:p w14:paraId="7B3A86EA">
      <w:pPr>
        <w:pStyle w:val="2"/>
        <w:spacing w:line="245" w:lineRule="auto"/>
        <w:rPr>
          <w:color w:val="auto"/>
        </w:rPr>
      </w:pPr>
    </w:p>
    <w:p w14:paraId="1ED9091F">
      <w:pPr>
        <w:pStyle w:val="2"/>
        <w:spacing w:line="245" w:lineRule="auto"/>
        <w:rPr>
          <w:color w:val="auto"/>
        </w:rPr>
      </w:pPr>
    </w:p>
    <w:p w14:paraId="0B77BBB2">
      <w:pPr>
        <w:pStyle w:val="2"/>
        <w:spacing w:line="245" w:lineRule="auto"/>
        <w:rPr>
          <w:color w:val="auto"/>
        </w:rPr>
      </w:pPr>
    </w:p>
    <w:p w14:paraId="746FC99F">
      <w:pPr>
        <w:pStyle w:val="2"/>
        <w:spacing w:line="245" w:lineRule="auto"/>
        <w:rPr>
          <w:color w:val="auto"/>
        </w:rPr>
      </w:pPr>
    </w:p>
    <w:p w14:paraId="770D0988">
      <w:pPr>
        <w:pStyle w:val="2"/>
        <w:spacing w:line="245" w:lineRule="auto"/>
        <w:rPr>
          <w:color w:val="auto"/>
        </w:rPr>
      </w:pPr>
    </w:p>
    <w:p w14:paraId="3444359B">
      <w:pPr>
        <w:pStyle w:val="2"/>
        <w:spacing w:line="245" w:lineRule="auto"/>
        <w:rPr>
          <w:color w:val="auto"/>
        </w:rPr>
      </w:pPr>
    </w:p>
    <w:p w14:paraId="0E20100A">
      <w:pPr>
        <w:pStyle w:val="2"/>
        <w:spacing w:line="245" w:lineRule="auto"/>
        <w:rPr>
          <w:color w:val="auto"/>
        </w:rPr>
      </w:pPr>
    </w:p>
    <w:p w14:paraId="4527F705">
      <w:pPr>
        <w:pStyle w:val="2"/>
        <w:spacing w:line="245" w:lineRule="auto"/>
        <w:rPr>
          <w:color w:val="auto"/>
        </w:rPr>
      </w:pPr>
    </w:p>
    <w:p w14:paraId="6ED3062B">
      <w:pPr>
        <w:pStyle w:val="2"/>
        <w:spacing w:line="245" w:lineRule="auto"/>
        <w:rPr>
          <w:color w:val="auto"/>
        </w:rPr>
      </w:pPr>
    </w:p>
    <w:p w14:paraId="771D620E">
      <w:pPr>
        <w:pStyle w:val="2"/>
        <w:spacing w:line="245" w:lineRule="auto"/>
        <w:rPr>
          <w:color w:val="auto"/>
        </w:rPr>
      </w:pPr>
    </w:p>
    <w:p w14:paraId="70E614A4">
      <w:pPr>
        <w:spacing w:before="91" w:line="220" w:lineRule="auto"/>
        <w:jc w:val="center"/>
        <w:rPr>
          <w:rFonts w:ascii="宋体" w:hAnsi="宋体" w:eastAsia="宋体" w:cs="宋体"/>
          <w:color w:val="auto"/>
          <w:sz w:val="28"/>
          <w:szCs w:val="28"/>
        </w:rPr>
      </w:pPr>
      <w:r>
        <w:rPr>
          <w:rFonts w:ascii="宋体" w:hAnsi="宋体" w:eastAsia="宋体" w:cs="宋体"/>
          <w:color w:val="auto"/>
          <w:spacing w:val="1"/>
          <w:sz w:val="28"/>
          <w:szCs w:val="28"/>
        </w:rPr>
        <w:t>供应商</w:t>
      </w:r>
      <w:r>
        <w:rPr>
          <w:rFonts w:ascii="宋体" w:hAnsi="宋体" w:eastAsia="宋体" w:cs="宋体"/>
          <w:color w:val="auto"/>
          <w:spacing w:val="-20"/>
          <w:sz w:val="28"/>
          <w:szCs w:val="28"/>
        </w:rPr>
        <w:t>：</w:t>
      </w:r>
      <w:r>
        <w:rPr>
          <w:rFonts w:ascii="宋体" w:hAnsi="宋体" w:eastAsia="宋体" w:cs="宋体"/>
          <w:color w:val="auto"/>
          <w:sz w:val="28"/>
          <w:szCs w:val="28"/>
          <w:u w:val="single" w:color="auto"/>
        </w:rPr>
        <w:t xml:space="preserve">                                 </w:t>
      </w:r>
      <w:r>
        <w:rPr>
          <w:rFonts w:ascii="宋体" w:hAnsi="宋体" w:eastAsia="宋体" w:cs="宋体"/>
          <w:color w:val="auto"/>
          <w:spacing w:val="-20"/>
          <w:sz w:val="28"/>
          <w:szCs w:val="28"/>
        </w:rPr>
        <w:t>（</w:t>
      </w:r>
      <w:r>
        <w:rPr>
          <w:rFonts w:ascii="宋体" w:hAnsi="宋体" w:eastAsia="宋体" w:cs="宋体"/>
          <w:color w:val="auto"/>
          <w:spacing w:val="1"/>
          <w:sz w:val="28"/>
          <w:szCs w:val="28"/>
        </w:rPr>
        <w:t>盖单位章）</w:t>
      </w:r>
    </w:p>
    <w:p w14:paraId="63231039">
      <w:pPr>
        <w:tabs>
          <w:tab w:val="left" w:pos="3186"/>
        </w:tabs>
        <w:spacing w:before="291" w:line="413" w:lineRule="auto"/>
        <w:ind w:left="2067" w:right="419" w:hanging="1021"/>
        <w:rPr>
          <w:rFonts w:ascii="宋体" w:hAnsi="宋体" w:eastAsia="宋体" w:cs="宋体"/>
          <w:color w:val="auto"/>
          <w:sz w:val="28"/>
          <w:szCs w:val="28"/>
        </w:rPr>
      </w:pPr>
      <w:r>
        <w:rPr>
          <w:rFonts w:ascii="宋体" w:hAnsi="宋体" w:eastAsia="宋体" w:cs="宋体"/>
          <w:color w:val="auto"/>
          <w:sz w:val="28"/>
          <w:szCs w:val="28"/>
        </w:rPr>
        <w:t>法定代表人或其委托代理人</w:t>
      </w:r>
      <w:r>
        <w:rPr>
          <w:rFonts w:ascii="宋体" w:hAnsi="宋体" w:eastAsia="宋体" w:cs="宋体"/>
          <w:color w:val="auto"/>
          <w:spacing w:val="-16"/>
          <w:sz w:val="28"/>
          <w:szCs w:val="28"/>
        </w:rPr>
        <w:t>：</w:t>
      </w:r>
      <w:r>
        <w:rPr>
          <w:rFonts w:ascii="宋体" w:hAnsi="宋体" w:eastAsia="宋体" w:cs="宋体"/>
          <w:color w:val="auto"/>
          <w:sz w:val="28"/>
          <w:szCs w:val="28"/>
          <w:u w:val="single" w:color="auto"/>
        </w:rPr>
        <w:t xml:space="preserve">                </w:t>
      </w:r>
      <w:r>
        <w:rPr>
          <w:rFonts w:ascii="宋体" w:hAnsi="宋体" w:eastAsia="宋体" w:cs="宋体"/>
          <w:color w:val="auto"/>
          <w:spacing w:val="-16"/>
          <w:sz w:val="28"/>
          <w:szCs w:val="28"/>
        </w:rPr>
        <w:t>（</w:t>
      </w:r>
      <w:r>
        <w:rPr>
          <w:rFonts w:ascii="宋体" w:hAnsi="宋体" w:eastAsia="宋体" w:cs="宋体"/>
          <w:color w:val="auto"/>
          <w:sz w:val="28"/>
          <w:szCs w:val="28"/>
        </w:rPr>
        <w:t>签字）</w:t>
      </w:r>
    </w:p>
    <w:p w14:paraId="7D313A18">
      <w:pPr>
        <w:tabs>
          <w:tab w:val="left" w:pos="3186"/>
        </w:tabs>
        <w:spacing w:before="291" w:line="413" w:lineRule="auto"/>
        <w:ind w:left="2067" w:right="419" w:hanging="1021"/>
        <w:rPr>
          <w:rFonts w:ascii="宋体" w:hAnsi="宋体" w:eastAsia="宋体" w:cs="宋体"/>
          <w:color w:val="auto"/>
          <w:sz w:val="28"/>
          <w:szCs w:val="28"/>
        </w:rPr>
      </w:pPr>
      <w:r>
        <w:rPr>
          <w:rFonts w:ascii="宋体" w:hAnsi="宋体" w:eastAsia="宋体" w:cs="宋体"/>
          <w:color w:val="auto"/>
          <w:sz w:val="28"/>
          <w:szCs w:val="28"/>
          <w:u w:val="single" w:color="auto"/>
        </w:rPr>
        <w:tab/>
      </w:r>
      <w:r>
        <w:rPr>
          <w:rFonts w:ascii="宋体" w:hAnsi="宋体" w:eastAsia="宋体" w:cs="宋体"/>
          <w:color w:val="auto"/>
          <w:spacing w:val="-126"/>
          <w:sz w:val="28"/>
          <w:szCs w:val="28"/>
        </w:rPr>
        <w:t xml:space="preserve"> </w:t>
      </w:r>
      <w:r>
        <w:rPr>
          <w:rFonts w:ascii="宋体" w:hAnsi="宋体" w:eastAsia="宋体" w:cs="宋体"/>
          <w:color w:val="auto"/>
          <w:spacing w:val="-10"/>
          <w:sz w:val="28"/>
          <w:szCs w:val="28"/>
        </w:rPr>
        <w:t>年</w:t>
      </w:r>
      <w:r>
        <w:rPr>
          <w:rFonts w:ascii="宋体" w:hAnsi="宋体" w:eastAsia="宋体" w:cs="宋体"/>
          <w:color w:val="auto"/>
          <w:sz w:val="28"/>
          <w:szCs w:val="28"/>
          <w:u w:val="single" w:color="auto"/>
        </w:rPr>
        <w:t xml:space="preserve">        </w:t>
      </w:r>
      <w:r>
        <w:rPr>
          <w:rFonts w:ascii="宋体" w:hAnsi="宋体" w:eastAsia="宋体" w:cs="宋体"/>
          <w:color w:val="auto"/>
          <w:spacing w:val="-122"/>
          <w:sz w:val="28"/>
          <w:szCs w:val="28"/>
        </w:rPr>
        <w:t xml:space="preserve"> </w:t>
      </w:r>
      <w:r>
        <w:rPr>
          <w:rFonts w:ascii="宋体" w:hAnsi="宋体" w:eastAsia="宋体" w:cs="宋体"/>
          <w:color w:val="auto"/>
          <w:spacing w:val="-10"/>
          <w:sz w:val="28"/>
          <w:szCs w:val="28"/>
        </w:rPr>
        <w:t>月</w:t>
      </w:r>
      <w:r>
        <w:rPr>
          <w:rFonts w:ascii="宋体" w:hAnsi="宋体" w:eastAsia="宋体" w:cs="宋体"/>
          <w:color w:val="auto"/>
          <w:spacing w:val="19"/>
          <w:sz w:val="28"/>
          <w:szCs w:val="28"/>
          <w:u w:val="single" w:color="auto"/>
        </w:rPr>
        <w:t xml:space="preserve">       </w:t>
      </w:r>
      <w:r>
        <w:rPr>
          <w:rFonts w:ascii="宋体" w:hAnsi="宋体" w:eastAsia="宋体" w:cs="宋体"/>
          <w:color w:val="auto"/>
          <w:spacing w:val="-76"/>
          <w:sz w:val="28"/>
          <w:szCs w:val="28"/>
        </w:rPr>
        <w:t xml:space="preserve"> </w:t>
      </w:r>
      <w:r>
        <w:rPr>
          <w:rFonts w:ascii="宋体" w:hAnsi="宋体" w:eastAsia="宋体" w:cs="宋体"/>
          <w:color w:val="auto"/>
          <w:spacing w:val="-10"/>
          <w:sz w:val="28"/>
          <w:szCs w:val="28"/>
        </w:rPr>
        <w:t>日</w:t>
      </w:r>
    </w:p>
    <w:p w14:paraId="29A3B4A0">
      <w:pPr>
        <w:spacing w:line="413" w:lineRule="auto"/>
        <w:rPr>
          <w:rFonts w:ascii="宋体" w:hAnsi="宋体" w:eastAsia="宋体" w:cs="宋体"/>
          <w:color w:val="auto"/>
          <w:sz w:val="28"/>
          <w:szCs w:val="28"/>
        </w:rPr>
        <w:sectPr>
          <w:footerReference r:id="rId19" w:type="default"/>
          <w:pgSz w:w="11906" w:h="16839"/>
          <w:pgMar w:top="1440" w:right="1080" w:bottom="1440" w:left="1080" w:header="0" w:footer="783" w:gutter="0"/>
          <w:pgNumType w:fmt="decimal"/>
          <w:cols w:space="720" w:num="1"/>
        </w:sectPr>
      </w:pPr>
    </w:p>
    <w:p w14:paraId="648C9A3E">
      <w:pPr>
        <w:spacing w:before="162" w:line="228" w:lineRule="auto"/>
        <w:ind w:left="3759"/>
        <w:outlineLvl w:val="1"/>
        <w:rPr>
          <w:rFonts w:ascii="宋体" w:hAnsi="宋体" w:eastAsia="宋体" w:cs="宋体"/>
          <w:color w:val="auto"/>
          <w:sz w:val="31"/>
          <w:szCs w:val="31"/>
        </w:rPr>
      </w:pPr>
      <w:bookmarkStart w:id="20" w:name="_Toc6327"/>
      <w:r>
        <w:rPr>
          <w:rFonts w:ascii="宋体" w:hAnsi="宋体" w:eastAsia="宋体" w:cs="宋体"/>
          <w:b/>
          <w:bCs/>
          <w:color w:val="auto"/>
          <w:spacing w:val="-36"/>
          <w:sz w:val="31"/>
          <w:szCs w:val="31"/>
        </w:rPr>
        <w:t>目</w:t>
      </w:r>
      <w:r>
        <w:rPr>
          <w:rFonts w:ascii="宋体" w:hAnsi="宋体" w:eastAsia="宋体" w:cs="宋体"/>
          <w:color w:val="auto"/>
          <w:spacing w:val="12"/>
          <w:sz w:val="31"/>
          <w:szCs w:val="31"/>
        </w:rPr>
        <w:t xml:space="preserve">  </w:t>
      </w:r>
      <w:r>
        <w:rPr>
          <w:rFonts w:ascii="宋体" w:hAnsi="宋体" w:eastAsia="宋体" w:cs="宋体"/>
          <w:b/>
          <w:bCs/>
          <w:color w:val="auto"/>
          <w:spacing w:val="-36"/>
          <w:sz w:val="31"/>
          <w:szCs w:val="31"/>
        </w:rPr>
        <w:t>录</w:t>
      </w:r>
      <w:bookmarkEnd w:id="20"/>
    </w:p>
    <w:p w14:paraId="48BA1246">
      <w:pPr>
        <w:pStyle w:val="2"/>
        <w:spacing w:line="250" w:lineRule="auto"/>
        <w:rPr>
          <w:color w:val="auto"/>
        </w:rPr>
      </w:pPr>
    </w:p>
    <w:p w14:paraId="00098661">
      <w:pPr>
        <w:pStyle w:val="2"/>
        <w:spacing w:line="250" w:lineRule="auto"/>
        <w:rPr>
          <w:color w:val="auto"/>
        </w:rPr>
      </w:pPr>
    </w:p>
    <w:p w14:paraId="0653CC73">
      <w:pPr>
        <w:pStyle w:val="2"/>
        <w:spacing w:line="251" w:lineRule="auto"/>
        <w:rPr>
          <w:color w:val="auto"/>
        </w:rPr>
      </w:pPr>
    </w:p>
    <w:p w14:paraId="73959580">
      <w:pPr>
        <w:pStyle w:val="2"/>
        <w:spacing w:line="251" w:lineRule="auto"/>
        <w:rPr>
          <w:color w:val="auto"/>
        </w:rPr>
      </w:pPr>
    </w:p>
    <w:sdt>
      <w:sdtPr>
        <w:rPr>
          <w:rFonts w:ascii="宋体" w:hAnsi="宋体" w:eastAsia="宋体" w:cs="宋体"/>
          <w:color w:val="auto"/>
          <w:sz w:val="24"/>
          <w:szCs w:val="24"/>
        </w:rPr>
        <w:id w:val="147472095"/>
        <w:docPartObj>
          <w:docPartGallery w:val="Table of Contents"/>
          <w:docPartUnique/>
        </w:docPartObj>
      </w:sdtPr>
      <w:sdtEndPr>
        <w:rPr>
          <w:rFonts w:ascii="宋体" w:hAnsi="宋体" w:eastAsia="宋体" w:cs="宋体"/>
          <w:color w:val="auto"/>
          <w:sz w:val="24"/>
          <w:szCs w:val="24"/>
        </w:rPr>
      </w:sdtEndPr>
      <w:sdtContent>
        <w:p w14:paraId="00A64469">
          <w:pPr>
            <w:spacing w:before="78" w:line="221" w:lineRule="auto"/>
            <w:ind w:left="281"/>
            <w:rPr>
              <w:rFonts w:ascii="宋体" w:hAnsi="宋体" w:eastAsia="宋体" w:cs="宋体"/>
              <w:color w:val="auto"/>
              <w:sz w:val="24"/>
              <w:szCs w:val="24"/>
            </w:rPr>
          </w:pPr>
          <w:r>
            <w:rPr>
              <w:rFonts w:ascii="宋体" w:hAnsi="宋体" w:eastAsia="宋体" w:cs="宋体"/>
              <w:color w:val="auto"/>
              <w:spacing w:val="-6"/>
              <w:sz w:val="24"/>
              <w:szCs w:val="24"/>
            </w:rPr>
            <w:t>1、磋商函</w:t>
          </w:r>
        </w:p>
        <w:p w14:paraId="339F8EDD">
          <w:pPr>
            <w:spacing w:before="181" w:line="220" w:lineRule="auto"/>
            <w:ind w:left="266"/>
            <w:rPr>
              <w:rFonts w:ascii="宋体" w:hAnsi="宋体" w:eastAsia="宋体" w:cs="宋体"/>
              <w:color w:val="auto"/>
              <w:sz w:val="24"/>
              <w:szCs w:val="24"/>
            </w:rPr>
          </w:pPr>
          <w:r>
            <w:rPr>
              <w:rFonts w:ascii="宋体" w:hAnsi="宋体" w:eastAsia="宋体" w:cs="宋体"/>
              <w:color w:val="auto"/>
              <w:spacing w:val="-2"/>
              <w:sz w:val="24"/>
              <w:szCs w:val="24"/>
            </w:rPr>
            <w:t>2、法定代表人身份证明</w:t>
          </w:r>
        </w:p>
        <w:p w14:paraId="64C3D2E7">
          <w:pPr>
            <w:spacing w:before="182" w:line="219" w:lineRule="auto"/>
            <w:ind w:left="268"/>
            <w:rPr>
              <w:rFonts w:ascii="宋体" w:hAnsi="宋体" w:eastAsia="宋体" w:cs="宋体"/>
              <w:color w:val="auto"/>
              <w:sz w:val="24"/>
              <w:szCs w:val="24"/>
            </w:rPr>
          </w:pPr>
          <w:r>
            <w:rPr>
              <w:rFonts w:ascii="宋体" w:hAnsi="宋体" w:eastAsia="宋体" w:cs="宋体"/>
              <w:color w:val="auto"/>
              <w:spacing w:val="-3"/>
              <w:sz w:val="24"/>
              <w:szCs w:val="24"/>
            </w:rPr>
            <w:t>3、授权委托书</w:t>
          </w:r>
        </w:p>
        <w:p w14:paraId="15E5DE6D">
          <w:pPr>
            <w:spacing w:before="182" w:line="219" w:lineRule="auto"/>
            <w:ind w:left="262"/>
            <w:rPr>
              <w:rFonts w:ascii="宋体" w:hAnsi="宋体" w:eastAsia="宋体" w:cs="宋体"/>
              <w:color w:val="auto"/>
              <w:sz w:val="24"/>
              <w:szCs w:val="24"/>
            </w:rPr>
          </w:pPr>
          <w:r>
            <w:rPr>
              <w:rFonts w:ascii="宋体" w:hAnsi="宋体" w:eastAsia="宋体" w:cs="宋体"/>
              <w:color w:val="auto"/>
              <w:spacing w:val="-2"/>
              <w:sz w:val="24"/>
              <w:szCs w:val="24"/>
            </w:rPr>
            <w:t>4、首次报价表</w:t>
          </w:r>
        </w:p>
        <w:p w14:paraId="38933831">
          <w:pPr>
            <w:spacing w:before="183" w:line="220" w:lineRule="auto"/>
            <w:ind w:left="268"/>
            <w:rPr>
              <w:rFonts w:ascii="宋体" w:hAnsi="宋体" w:eastAsia="宋体" w:cs="宋体"/>
              <w:color w:val="auto"/>
              <w:sz w:val="24"/>
              <w:szCs w:val="24"/>
            </w:rPr>
          </w:pPr>
          <w:r>
            <w:rPr>
              <w:rFonts w:ascii="宋体" w:hAnsi="宋体" w:eastAsia="宋体" w:cs="宋体"/>
              <w:color w:val="auto"/>
              <w:spacing w:val="-2"/>
              <w:sz w:val="24"/>
              <w:szCs w:val="24"/>
            </w:rPr>
            <w:t>5、优惠条件及保修承诺</w:t>
          </w:r>
        </w:p>
        <w:p w14:paraId="710F06DA">
          <w:pPr>
            <w:spacing w:before="182" w:line="219" w:lineRule="auto"/>
            <w:ind w:left="265"/>
            <w:rPr>
              <w:rFonts w:ascii="宋体" w:hAnsi="宋体" w:eastAsia="宋体" w:cs="宋体"/>
              <w:color w:val="auto"/>
              <w:sz w:val="24"/>
              <w:szCs w:val="24"/>
            </w:rPr>
          </w:pPr>
          <w:r>
            <w:rPr>
              <w:rFonts w:ascii="宋体" w:hAnsi="宋体" w:eastAsia="宋体" w:cs="宋体"/>
              <w:color w:val="auto"/>
              <w:spacing w:val="-2"/>
              <w:sz w:val="24"/>
              <w:szCs w:val="24"/>
            </w:rPr>
            <w:t>6、已标价工程量清单</w:t>
          </w:r>
        </w:p>
        <w:p w14:paraId="54E9A086">
          <w:pPr>
            <w:spacing w:before="183" w:line="222" w:lineRule="auto"/>
            <w:ind w:left="269"/>
            <w:rPr>
              <w:rFonts w:ascii="宋体" w:hAnsi="宋体" w:eastAsia="宋体" w:cs="宋体"/>
              <w:color w:val="auto"/>
              <w:sz w:val="24"/>
              <w:szCs w:val="24"/>
            </w:rPr>
          </w:pPr>
          <w:r>
            <w:rPr>
              <w:rFonts w:ascii="宋体" w:hAnsi="宋体" w:eastAsia="宋体" w:cs="宋体"/>
              <w:color w:val="auto"/>
              <w:spacing w:val="-2"/>
              <w:sz w:val="24"/>
              <w:szCs w:val="24"/>
            </w:rPr>
            <w:t>7、施工组织设计</w:t>
          </w:r>
        </w:p>
        <w:p w14:paraId="70075791">
          <w:pPr>
            <w:spacing w:before="180" w:line="219" w:lineRule="auto"/>
            <w:ind w:left="264"/>
            <w:rPr>
              <w:rFonts w:ascii="宋体" w:hAnsi="宋体" w:eastAsia="宋体" w:cs="宋体"/>
              <w:color w:val="auto"/>
              <w:sz w:val="24"/>
              <w:szCs w:val="24"/>
            </w:rPr>
          </w:pPr>
          <w:r>
            <w:rPr>
              <w:rFonts w:ascii="宋体" w:hAnsi="宋体" w:eastAsia="宋体" w:cs="宋体"/>
              <w:color w:val="auto"/>
              <w:spacing w:val="-2"/>
              <w:sz w:val="24"/>
              <w:szCs w:val="24"/>
            </w:rPr>
            <w:t>8、项目管理机构</w:t>
          </w:r>
        </w:p>
        <w:p w14:paraId="460A4740">
          <w:pPr>
            <w:spacing w:before="183" w:line="220" w:lineRule="auto"/>
            <w:ind w:left="264"/>
            <w:rPr>
              <w:rFonts w:ascii="宋体" w:hAnsi="宋体" w:eastAsia="宋体" w:cs="宋体"/>
              <w:color w:val="auto"/>
              <w:sz w:val="24"/>
              <w:szCs w:val="24"/>
            </w:rPr>
          </w:pPr>
          <w:r>
            <w:rPr>
              <w:rFonts w:ascii="宋体" w:hAnsi="宋体" w:eastAsia="宋体" w:cs="宋体"/>
              <w:color w:val="auto"/>
              <w:spacing w:val="-2"/>
              <w:sz w:val="24"/>
              <w:szCs w:val="24"/>
            </w:rPr>
            <w:t>9、资格审查资料</w:t>
          </w:r>
        </w:p>
        <w:p w14:paraId="26CBCDDB">
          <w:pPr>
            <w:spacing w:before="183" w:line="219" w:lineRule="auto"/>
            <w:ind w:left="281"/>
            <w:rPr>
              <w:rFonts w:ascii="宋体" w:hAnsi="宋体" w:eastAsia="宋体" w:cs="宋体"/>
              <w:color w:val="auto"/>
              <w:sz w:val="24"/>
              <w:szCs w:val="24"/>
            </w:rPr>
          </w:pPr>
          <w:r>
            <w:rPr>
              <w:rFonts w:ascii="宋体" w:hAnsi="宋体" w:eastAsia="宋体" w:cs="宋体"/>
              <w:color w:val="auto"/>
              <w:spacing w:val="-4"/>
              <w:sz w:val="24"/>
              <w:szCs w:val="24"/>
            </w:rPr>
            <w:t>10、其他材料</w:t>
          </w:r>
        </w:p>
      </w:sdtContent>
    </w:sdt>
    <w:p w14:paraId="6DD6D5A9">
      <w:pPr>
        <w:spacing w:line="219" w:lineRule="auto"/>
        <w:rPr>
          <w:rFonts w:ascii="宋体" w:hAnsi="宋体" w:eastAsia="宋体" w:cs="宋体"/>
          <w:color w:val="auto"/>
          <w:sz w:val="24"/>
          <w:szCs w:val="24"/>
        </w:rPr>
        <w:sectPr>
          <w:footerReference r:id="rId20" w:type="default"/>
          <w:pgSz w:w="11906" w:h="16839"/>
          <w:pgMar w:top="1440" w:right="1080" w:bottom="1440" w:left="1080" w:header="0" w:footer="783" w:gutter="0"/>
          <w:pgNumType w:fmt="decimal"/>
          <w:cols w:space="720" w:num="1"/>
        </w:sectPr>
      </w:pPr>
    </w:p>
    <w:p w14:paraId="65A3DF25">
      <w:pPr>
        <w:spacing w:before="163" w:line="226" w:lineRule="auto"/>
        <w:ind w:left="3600"/>
        <w:outlineLvl w:val="1"/>
        <w:rPr>
          <w:rFonts w:ascii="宋体" w:hAnsi="宋体" w:eastAsia="宋体" w:cs="宋体"/>
          <w:color w:val="auto"/>
          <w:sz w:val="31"/>
          <w:szCs w:val="31"/>
        </w:rPr>
      </w:pPr>
      <w:bookmarkStart w:id="21" w:name="_Toc24303"/>
      <w:r>
        <w:rPr>
          <w:rFonts w:ascii="宋体" w:hAnsi="宋体" w:eastAsia="宋体" w:cs="宋体"/>
          <w:b/>
          <w:bCs/>
          <w:color w:val="auto"/>
          <w:spacing w:val="3"/>
          <w:sz w:val="31"/>
          <w:szCs w:val="31"/>
        </w:rPr>
        <w:t>一、磋商函</w:t>
      </w:r>
      <w:bookmarkEnd w:id="21"/>
    </w:p>
    <w:p w14:paraId="3331650A">
      <w:pPr>
        <w:pStyle w:val="2"/>
        <w:spacing w:line="259" w:lineRule="auto"/>
        <w:rPr>
          <w:color w:val="auto"/>
        </w:rPr>
      </w:pPr>
    </w:p>
    <w:p w14:paraId="0EBD9EB9">
      <w:pPr>
        <w:pStyle w:val="2"/>
        <w:spacing w:line="259" w:lineRule="auto"/>
        <w:rPr>
          <w:color w:val="auto"/>
        </w:rPr>
      </w:pPr>
    </w:p>
    <w:p w14:paraId="3F70A2AA">
      <w:pPr>
        <w:pStyle w:val="2"/>
        <w:spacing w:line="259" w:lineRule="auto"/>
        <w:rPr>
          <w:color w:val="auto"/>
        </w:rPr>
      </w:pPr>
    </w:p>
    <w:p w14:paraId="17EF54CF">
      <w:pPr>
        <w:pStyle w:val="2"/>
        <w:spacing w:line="259" w:lineRule="auto"/>
        <w:rPr>
          <w:color w:val="auto"/>
        </w:rPr>
      </w:pPr>
    </w:p>
    <w:p w14:paraId="320732B0">
      <w:pPr>
        <w:spacing w:before="78" w:line="219" w:lineRule="auto"/>
        <w:ind w:left="13"/>
        <w:rPr>
          <w:rFonts w:ascii="宋体" w:hAnsi="宋体" w:eastAsia="宋体" w:cs="宋体"/>
          <w:color w:val="auto"/>
          <w:sz w:val="24"/>
          <w:szCs w:val="24"/>
        </w:rPr>
      </w:pPr>
      <w:r>
        <w:rPr>
          <w:rFonts w:ascii="宋体" w:hAnsi="宋体" w:eastAsia="宋体" w:cs="宋体"/>
          <w:color w:val="auto"/>
          <w:spacing w:val="-4"/>
          <w:sz w:val="24"/>
          <w:szCs w:val="24"/>
        </w:rPr>
        <w:t>（采购人名称</w:t>
      </w:r>
      <w:r>
        <w:rPr>
          <w:rFonts w:ascii="宋体" w:hAnsi="宋体" w:eastAsia="宋体" w:cs="宋体"/>
          <w:color w:val="auto"/>
          <w:spacing w:val="1"/>
          <w:sz w:val="24"/>
          <w:szCs w:val="24"/>
        </w:rPr>
        <w:t>）：</w:t>
      </w:r>
    </w:p>
    <w:p w14:paraId="2DD80BA0">
      <w:pPr>
        <w:spacing w:before="154" w:line="299" w:lineRule="auto"/>
        <w:ind w:left="8" w:firstLine="491"/>
        <w:rPr>
          <w:rFonts w:ascii="宋体" w:hAnsi="宋体" w:eastAsia="宋体" w:cs="宋体"/>
          <w:color w:val="auto"/>
          <w:sz w:val="24"/>
          <w:szCs w:val="24"/>
        </w:rPr>
      </w:pPr>
      <w:r>
        <w:rPr>
          <w:rFonts w:ascii="宋体" w:hAnsi="宋体" w:eastAsia="宋体" w:cs="宋体"/>
          <w:color w:val="auto"/>
          <w:sz w:val="24"/>
          <w:szCs w:val="24"/>
        </w:rPr>
        <w:t>1．我方已仔细研究了</w:t>
      </w:r>
      <w:r>
        <w:rPr>
          <w:rFonts w:ascii="宋体" w:hAnsi="宋体" w:eastAsia="宋体" w:cs="宋体"/>
          <w:color w:val="auto"/>
          <w:sz w:val="24"/>
          <w:szCs w:val="24"/>
          <w:u w:val="single" w:color="auto"/>
        </w:rPr>
        <w:t xml:space="preserve">                </w:t>
      </w:r>
      <w:r>
        <w:rPr>
          <w:rFonts w:ascii="宋体" w:hAnsi="宋体" w:eastAsia="宋体" w:cs="宋体"/>
          <w:color w:val="auto"/>
          <w:sz w:val="24"/>
          <w:szCs w:val="24"/>
        </w:rPr>
        <w:t>（项目名称）磋商文件的全部内容</w:t>
      </w:r>
      <w:r>
        <w:rPr>
          <w:rFonts w:ascii="宋体" w:hAnsi="宋体" w:eastAsia="宋体" w:cs="宋体"/>
          <w:color w:val="auto"/>
          <w:spacing w:val="-1"/>
          <w:sz w:val="24"/>
          <w:szCs w:val="24"/>
        </w:rPr>
        <w:t>，愿</w:t>
      </w:r>
      <w:r>
        <w:rPr>
          <w:rFonts w:ascii="宋体" w:hAnsi="宋体" w:eastAsia="宋体" w:cs="宋体"/>
          <w:color w:val="auto"/>
          <w:sz w:val="24"/>
          <w:szCs w:val="24"/>
        </w:rPr>
        <w:t>意以人民币（大写）</w:t>
      </w:r>
      <w:r>
        <w:rPr>
          <w:rFonts w:ascii="宋体" w:hAnsi="宋体" w:eastAsia="宋体" w:cs="宋体"/>
          <w:color w:val="auto"/>
          <w:spacing w:val="6"/>
          <w:sz w:val="24"/>
          <w:szCs w:val="24"/>
          <w:u w:val="single" w:color="auto"/>
        </w:rPr>
        <w:t xml:space="preserve">              </w:t>
      </w:r>
      <w:r>
        <w:rPr>
          <w:rFonts w:ascii="宋体" w:hAnsi="宋体" w:eastAsia="宋体" w:cs="宋体"/>
          <w:color w:val="auto"/>
          <w:spacing w:val="-108"/>
          <w:sz w:val="24"/>
          <w:szCs w:val="24"/>
        </w:rPr>
        <w:t xml:space="preserve"> </w:t>
      </w:r>
      <w:r>
        <w:rPr>
          <w:rFonts w:ascii="宋体" w:hAnsi="宋体" w:eastAsia="宋体" w:cs="宋体"/>
          <w:color w:val="auto"/>
          <w:sz w:val="24"/>
          <w:szCs w:val="24"/>
        </w:rPr>
        <w:t>元 (￥</w:t>
      </w:r>
      <w:r>
        <w:rPr>
          <w:rFonts w:ascii="宋体" w:hAnsi="宋体" w:eastAsia="宋体" w:cs="宋体"/>
          <w:color w:val="auto"/>
          <w:spacing w:val="-91"/>
          <w:sz w:val="24"/>
          <w:szCs w:val="24"/>
        </w:rPr>
        <w:t xml:space="preserve"> </w:t>
      </w:r>
      <w:r>
        <w:rPr>
          <w:rFonts w:ascii="宋体" w:hAnsi="宋体" w:eastAsia="宋体" w:cs="宋体"/>
          <w:color w:val="auto"/>
          <w:spacing w:val="6"/>
          <w:sz w:val="24"/>
          <w:szCs w:val="24"/>
          <w:u w:val="single" w:color="auto"/>
        </w:rPr>
        <w:t xml:space="preserve">       </w:t>
      </w:r>
      <w:r>
        <w:rPr>
          <w:rFonts w:ascii="宋体" w:hAnsi="宋体" w:eastAsia="宋体" w:cs="宋体"/>
          <w:color w:val="auto"/>
          <w:spacing w:val="-83"/>
          <w:sz w:val="24"/>
          <w:szCs w:val="24"/>
        </w:rPr>
        <w:t xml:space="preserve"> </w:t>
      </w:r>
      <w:r>
        <w:rPr>
          <w:rFonts w:ascii="宋体" w:hAnsi="宋体" w:eastAsia="宋体" w:cs="宋体"/>
          <w:color w:val="auto"/>
          <w:sz w:val="24"/>
          <w:szCs w:val="24"/>
        </w:rPr>
        <w:t>)</w:t>
      </w:r>
      <w:r>
        <w:rPr>
          <w:rFonts w:ascii="宋体" w:hAnsi="宋体" w:eastAsia="宋体" w:cs="宋体"/>
          <w:color w:val="auto"/>
          <w:spacing w:val="49"/>
          <w:sz w:val="24"/>
          <w:szCs w:val="24"/>
        </w:rPr>
        <w:t xml:space="preserve"> </w:t>
      </w:r>
      <w:r>
        <w:rPr>
          <w:rFonts w:ascii="宋体" w:hAnsi="宋体" w:eastAsia="宋体" w:cs="宋体"/>
          <w:color w:val="auto"/>
          <w:sz w:val="24"/>
          <w:szCs w:val="24"/>
        </w:rPr>
        <w:t>的磋商总报价，合同履</w:t>
      </w:r>
      <w:r>
        <w:rPr>
          <w:rFonts w:ascii="宋体" w:hAnsi="宋体" w:eastAsia="宋体" w:cs="宋体"/>
          <w:color w:val="auto"/>
          <w:spacing w:val="-1"/>
          <w:sz w:val="24"/>
          <w:szCs w:val="24"/>
        </w:rPr>
        <w:t>行期</w:t>
      </w:r>
      <w:r>
        <w:rPr>
          <w:rFonts w:ascii="宋体" w:hAnsi="宋体" w:eastAsia="宋体" w:cs="宋体"/>
          <w:color w:val="auto"/>
          <w:spacing w:val="-2"/>
          <w:sz w:val="24"/>
          <w:szCs w:val="24"/>
        </w:rPr>
        <w:t xml:space="preserve">限 </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87"/>
          <w:sz w:val="24"/>
          <w:szCs w:val="24"/>
        </w:rPr>
        <w:t xml:space="preserve"> </w:t>
      </w:r>
      <w:r>
        <w:rPr>
          <w:rFonts w:ascii="宋体" w:hAnsi="宋体" w:eastAsia="宋体" w:cs="宋体"/>
          <w:color w:val="auto"/>
          <w:spacing w:val="-2"/>
          <w:sz w:val="24"/>
          <w:szCs w:val="24"/>
        </w:rPr>
        <w:t>，按合同约定实施和完成承包项目。</w:t>
      </w:r>
    </w:p>
    <w:p w14:paraId="28F3E9B9">
      <w:pPr>
        <w:spacing w:before="153" w:line="220" w:lineRule="auto"/>
        <w:ind w:left="484"/>
        <w:rPr>
          <w:rFonts w:ascii="宋体" w:hAnsi="宋体" w:eastAsia="宋体" w:cs="宋体"/>
          <w:color w:val="auto"/>
          <w:sz w:val="24"/>
          <w:szCs w:val="24"/>
        </w:rPr>
      </w:pPr>
      <w:r>
        <w:rPr>
          <w:rFonts w:ascii="宋体" w:hAnsi="宋体" w:eastAsia="宋体" w:cs="宋体"/>
          <w:color w:val="auto"/>
          <w:spacing w:val="-1"/>
          <w:sz w:val="24"/>
          <w:szCs w:val="24"/>
        </w:rPr>
        <w:t>2．我方承诺在磋商文件规定的磋商有效期天内不修改、撤销响应文件。</w:t>
      </w:r>
    </w:p>
    <w:p w14:paraId="615F60C2">
      <w:pPr>
        <w:spacing w:before="155" w:line="221" w:lineRule="auto"/>
        <w:ind w:left="486"/>
        <w:rPr>
          <w:rFonts w:ascii="宋体" w:hAnsi="宋体" w:eastAsia="宋体" w:cs="宋体"/>
          <w:color w:val="auto"/>
          <w:sz w:val="24"/>
          <w:szCs w:val="24"/>
        </w:rPr>
      </w:pPr>
      <w:r>
        <w:rPr>
          <w:rFonts w:ascii="宋体" w:hAnsi="宋体" w:eastAsia="宋体" w:cs="宋体"/>
          <w:color w:val="auto"/>
          <w:spacing w:val="-2"/>
          <w:sz w:val="24"/>
          <w:szCs w:val="24"/>
        </w:rPr>
        <w:t>3．如我方成交：</w:t>
      </w:r>
    </w:p>
    <w:p w14:paraId="7877AA36">
      <w:pPr>
        <w:spacing w:before="153" w:line="219" w:lineRule="auto"/>
        <w:ind w:left="13"/>
        <w:rPr>
          <w:rFonts w:ascii="宋体" w:hAnsi="宋体" w:eastAsia="宋体" w:cs="宋体"/>
          <w:color w:val="auto"/>
          <w:sz w:val="24"/>
          <w:szCs w:val="24"/>
        </w:rPr>
      </w:pPr>
      <w:r>
        <w:rPr>
          <w:rFonts w:ascii="宋体" w:hAnsi="宋体" w:eastAsia="宋体" w:cs="宋体"/>
          <w:color w:val="auto"/>
          <w:spacing w:val="-1"/>
          <w:sz w:val="24"/>
          <w:szCs w:val="24"/>
        </w:rPr>
        <w:t>（1）我方承诺在收到成交通知书后，在成交通知书规定的期限内与你方签订合同。</w:t>
      </w:r>
    </w:p>
    <w:p w14:paraId="379D2A20">
      <w:pPr>
        <w:spacing w:before="154" w:line="219" w:lineRule="auto"/>
        <w:ind w:left="13"/>
        <w:rPr>
          <w:rFonts w:ascii="宋体" w:hAnsi="宋体" w:eastAsia="宋体" w:cs="宋体"/>
          <w:color w:val="auto"/>
          <w:sz w:val="24"/>
          <w:szCs w:val="24"/>
        </w:rPr>
      </w:pPr>
      <w:r>
        <w:rPr>
          <w:rFonts w:ascii="宋体" w:hAnsi="宋体" w:eastAsia="宋体" w:cs="宋体"/>
          <w:color w:val="auto"/>
          <w:spacing w:val="-1"/>
          <w:sz w:val="24"/>
          <w:szCs w:val="24"/>
        </w:rPr>
        <w:t>（2）随同本磋商函递交的磋商函附录属于合同文件的组成部分。</w:t>
      </w:r>
    </w:p>
    <w:p w14:paraId="2FE34A66">
      <w:pPr>
        <w:spacing w:before="157" w:line="220" w:lineRule="auto"/>
        <w:ind w:left="13"/>
        <w:rPr>
          <w:rFonts w:ascii="宋体" w:hAnsi="宋体" w:eastAsia="宋体" w:cs="宋体"/>
          <w:color w:val="auto"/>
          <w:sz w:val="24"/>
          <w:szCs w:val="24"/>
        </w:rPr>
      </w:pPr>
      <w:r>
        <w:rPr>
          <w:rFonts w:ascii="宋体" w:hAnsi="宋体" w:eastAsia="宋体" w:cs="宋体"/>
          <w:color w:val="auto"/>
          <w:spacing w:val="-1"/>
          <w:sz w:val="24"/>
          <w:szCs w:val="24"/>
        </w:rPr>
        <w:t>（3）我方承诺在合同约定的期限内完成并移交全部合同项目。</w:t>
      </w:r>
    </w:p>
    <w:p w14:paraId="7DD7CDE3">
      <w:pPr>
        <w:spacing w:before="153" w:line="220" w:lineRule="auto"/>
        <w:ind w:left="480"/>
        <w:rPr>
          <w:rFonts w:ascii="宋体" w:hAnsi="宋体" w:eastAsia="宋体" w:cs="宋体"/>
          <w:color w:val="auto"/>
          <w:sz w:val="24"/>
          <w:szCs w:val="24"/>
        </w:rPr>
      </w:pPr>
      <w:r>
        <w:rPr>
          <w:rFonts w:ascii="宋体" w:hAnsi="宋体" w:eastAsia="宋体" w:cs="宋体"/>
          <w:color w:val="auto"/>
          <w:sz w:val="24"/>
          <w:szCs w:val="24"/>
        </w:rPr>
        <w:t>4．我方在此声明，所递交的响应文件及有关资料内</w:t>
      </w:r>
      <w:r>
        <w:rPr>
          <w:rFonts w:ascii="宋体" w:hAnsi="宋体" w:eastAsia="宋体" w:cs="宋体"/>
          <w:color w:val="auto"/>
          <w:spacing w:val="-1"/>
          <w:sz w:val="24"/>
          <w:szCs w:val="24"/>
        </w:rPr>
        <w:t>容完整、真实和准确。</w:t>
      </w:r>
    </w:p>
    <w:p w14:paraId="11E7DA0A">
      <w:pPr>
        <w:spacing w:before="153" w:line="220" w:lineRule="auto"/>
        <w:ind w:left="486"/>
        <w:rPr>
          <w:rFonts w:ascii="宋体" w:hAnsi="宋体" w:eastAsia="宋体" w:cs="宋体"/>
          <w:color w:val="auto"/>
          <w:sz w:val="24"/>
          <w:szCs w:val="24"/>
        </w:rPr>
      </w:pPr>
      <w:r>
        <w:rPr>
          <w:rFonts w:ascii="宋体" w:hAnsi="宋体" w:eastAsia="宋体" w:cs="宋体"/>
          <w:color w:val="auto"/>
          <w:spacing w:val="-2"/>
          <w:sz w:val="24"/>
          <w:szCs w:val="24"/>
        </w:rPr>
        <w:t>5.（其他补充说明）。</w:t>
      </w:r>
    </w:p>
    <w:p w14:paraId="6A144DFB">
      <w:pPr>
        <w:pStyle w:val="2"/>
        <w:spacing w:line="257" w:lineRule="auto"/>
        <w:rPr>
          <w:color w:val="auto"/>
        </w:rPr>
      </w:pPr>
    </w:p>
    <w:p w14:paraId="2A34E3F8">
      <w:pPr>
        <w:pStyle w:val="2"/>
        <w:spacing w:line="257" w:lineRule="auto"/>
        <w:rPr>
          <w:color w:val="auto"/>
        </w:rPr>
      </w:pPr>
    </w:p>
    <w:p w14:paraId="4E9AF58A">
      <w:pPr>
        <w:spacing w:before="78" w:line="219" w:lineRule="auto"/>
        <w:ind w:left="1"/>
        <w:rPr>
          <w:rFonts w:ascii="宋体" w:hAnsi="宋体" w:eastAsia="宋体" w:cs="宋体"/>
          <w:color w:val="auto"/>
          <w:sz w:val="24"/>
          <w:szCs w:val="24"/>
        </w:rPr>
      </w:pPr>
      <w:r>
        <w:rPr>
          <w:rFonts w:ascii="宋体" w:hAnsi="宋体" w:eastAsia="宋体" w:cs="宋体"/>
          <w:color w:val="auto"/>
          <w:spacing w:val="3"/>
          <w:sz w:val="24"/>
          <w:szCs w:val="24"/>
        </w:rPr>
        <w:t>供应商</w:t>
      </w:r>
      <w:r>
        <w:rPr>
          <w:rFonts w:ascii="宋体" w:hAnsi="宋体" w:eastAsia="宋体" w:cs="宋体"/>
          <w:color w:val="auto"/>
          <w:spacing w:val="-18"/>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18"/>
          <w:sz w:val="24"/>
          <w:szCs w:val="24"/>
        </w:rPr>
        <w:t>（</w:t>
      </w:r>
      <w:r>
        <w:rPr>
          <w:rFonts w:ascii="宋体" w:hAnsi="宋体" w:eastAsia="宋体" w:cs="宋体"/>
          <w:color w:val="auto"/>
          <w:spacing w:val="3"/>
          <w:sz w:val="24"/>
          <w:szCs w:val="24"/>
        </w:rPr>
        <w:t>盖单位章）</w:t>
      </w:r>
    </w:p>
    <w:p w14:paraId="56EA2E71">
      <w:pPr>
        <w:spacing w:before="154" w:line="220" w:lineRule="auto"/>
        <w:ind w:left="2"/>
        <w:rPr>
          <w:rFonts w:ascii="宋体" w:hAnsi="宋体" w:eastAsia="宋体" w:cs="宋体"/>
          <w:color w:val="auto"/>
          <w:sz w:val="24"/>
          <w:szCs w:val="24"/>
        </w:rPr>
      </w:pPr>
      <w:r>
        <w:rPr>
          <w:rFonts w:ascii="宋体" w:hAnsi="宋体" w:eastAsia="宋体" w:cs="宋体"/>
          <w:color w:val="auto"/>
          <w:spacing w:val="1"/>
          <w:sz w:val="24"/>
          <w:szCs w:val="24"/>
        </w:rPr>
        <w:t>法定代表人或其委托代理人</w:t>
      </w:r>
      <w:r>
        <w:rPr>
          <w:rFonts w:ascii="宋体" w:hAnsi="宋体" w:eastAsia="宋体" w:cs="宋体"/>
          <w:color w:val="auto"/>
          <w:spacing w:val="-14"/>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14"/>
          <w:sz w:val="24"/>
          <w:szCs w:val="24"/>
        </w:rPr>
        <w:t>（</w:t>
      </w:r>
      <w:r>
        <w:rPr>
          <w:rFonts w:ascii="宋体" w:hAnsi="宋体" w:eastAsia="宋体" w:cs="宋体"/>
          <w:color w:val="auto"/>
          <w:spacing w:val="1"/>
          <w:sz w:val="24"/>
          <w:szCs w:val="24"/>
        </w:rPr>
        <w:t>签字）</w:t>
      </w:r>
    </w:p>
    <w:p w14:paraId="546F8A7E">
      <w:pPr>
        <w:spacing w:before="156" w:line="229" w:lineRule="auto"/>
        <w:ind w:left="1"/>
        <w:rPr>
          <w:rFonts w:ascii="宋体" w:hAnsi="宋体" w:eastAsia="宋体" w:cs="宋体"/>
          <w:color w:val="auto"/>
          <w:sz w:val="24"/>
          <w:szCs w:val="24"/>
        </w:rPr>
      </w:pPr>
      <w:r>
        <w:rPr>
          <w:rFonts w:ascii="宋体" w:hAnsi="宋体" w:eastAsia="宋体" w:cs="宋体"/>
          <w:color w:val="auto"/>
          <w:spacing w:val="-4"/>
          <w:sz w:val="24"/>
          <w:szCs w:val="24"/>
        </w:rPr>
        <w:t>地址：</w:t>
      </w:r>
      <w:r>
        <w:rPr>
          <w:rFonts w:ascii="宋体" w:hAnsi="宋体" w:eastAsia="宋体" w:cs="宋体"/>
          <w:color w:val="auto"/>
          <w:sz w:val="24"/>
          <w:szCs w:val="24"/>
          <w:u w:val="single" w:color="auto"/>
        </w:rPr>
        <w:t xml:space="preserve">                                </w:t>
      </w:r>
    </w:p>
    <w:p w14:paraId="715D7849">
      <w:pPr>
        <w:spacing w:before="141" w:line="225" w:lineRule="auto"/>
        <w:ind w:left="20"/>
        <w:rPr>
          <w:rFonts w:ascii="宋体" w:hAnsi="宋体" w:eastAsia="宋体" w:cs="宋体"/>
          <w:color w:val="auto"/>
          <w:sz w:val="24"/>
          <w:szCs w:val="24"/>
        </w:rPr>
      </w:pPr>
      <w:r>
        <w:rPr>
          <w:rFonts w:ascii="宋体" w:hAnsi="宋体" w:eastAsia="宋体" w:cs="宋体"/>
          <w:color w:val="auto"/>
          <w:spacing w:val="-10"/>
          <w:sz w:val="24"/>
          <w:szCs w:val="24"/>
        </w:rPr>
        <w:t>网址：</w:t>
      </w:r>
      <w:r>
        <w:rPr>
          <w:rFonts w:ascii="宋体" w:hAnsi="宋体" w:eastAsia="宋体" w:cs="宋体"/>
          <w:color w:val="auto"/>
          <w:sz w:val="24"/>
          <w:szCs w:val="24"/>
          <w:u w:val="single" w:color="auto"/>
        </w:rPr>
        <w:t xml:space="preserve">                                </w:t>
      </w:r>
    </w:p>
    <w:p w14:paraId="212403F6">
      <w:pPr>
        <w:spacing w:before="147" w:line="222" w:lineRule="auto"/>
        <w:ind w:left="30"/>
        <w:rPr>
          <w:rFonts w:ascii="宋体" w:hAnsi="宋体" w:eastAsia="宋体" w:cs="宋体"/>
          <w:color w:val="auto"/>
          <w:sz w:val="24"/>
          <w:szCs w:val="24"/>
        </w:rPr>
      </w:pPr>
      <w:r>
        <w:rPr>
          <w:rFonts w:ascii="宋体" w:hAnsi="宋体" w:eastAsia="宋体" w:cs="宋体"/>
          <w:color w:val="auto"/>
          <w:spacing w:val="-8"/>
          <w:sz w:val="24"/>
          <w:szCs w:val="24"/>
        </w:rPr>
        <w:t>电话：</w:t>
      </w:r>
      <w:r>
        <w:rPr>
          <w:rFonts w:ascii="宋体" w:hAnsi="宋体" w:eastAsia="宋体" w:cs="宋体"/>
          <w:color w:val="auto"/>
          <w:spacing w:val="-8"/>
          <w:sz w:val="24"/>
          <w:szCs w:val="24"/>
          <w:u w:val="single" w:color="auto"/>
        </w:rPr>
        <w:t xml:space="preserve">                                  </w:t>
      </w:r>
    </w:p>
    <w:p w14:paraId="72407461">
      <w:pPr>
        <w:spacing w:before="153" w:line="219" w:lineRule="auto"/>
        <w:rPr>
          <w:rFonts w:ascii="宋体" w:hAnsi="宋体" w:eastAsia="宋体" w:cs="宋体"/>
          <w:color w:val="auto"/>
          <w:sz w:val="24"/>
          <w:szCs w:val="24"/>
        </w:rPr>
      </w:pPr>
      <w:r>
        <w:rPr>
          <w:rFonts w:ascii="宋体" w:hAnsi="宋体" w:eastAsia="宋体" w:cs="宋体"/>
          <w:color w:val="auto"/>
          <w:spacing w:val="-3"/>
          <w:sz w:val="24"/>
          <w:szCs w:val="24"/>
        </w:rPr>
        <w:t>传真：</w:t>
      </w:r>
      <w:r>
        <w:rPr>
          <w:rFonts w:ascii="宋体" w:hAnsi="宋体" w:eastAsia="宋体" w:cs="宋体"/>
          <w:color w:val="auto"/>
          <w:sz w:val="24"/>
          <w:szCs w:val="24"/>
          <w:u w:val="single" w:color="auto"/>
        </w:rPr>
        <w:t xml:space="preserve">                                </w:t>
      </w:r>
    </w:p>
    <w:p w14:paraId="0A90C4D4">
      <w:pPr>
        <w:spacing w:before="154" w:line="220" w:lineRule="auto"/>
        <w:ind w:left="19"/>
        <w:rPr>
          <w:rFonts w:ascii="宋体" w:hAnsi="宋体" w:eastAsia="宋体" w:cs="宋体"/>
          <w:color w:val="auto"/>
          <w:sz w:val="24"/>
          <w:szCs w:val="24"/>
        </w:rPr>
      </w:pPr>
      <w:r>
        <w:rPr>
          <w:rFonts w:ascii="宋体" w:hAnsi="宋体" w:eastAsia="宋体" w:cs="宋体"/>
          <w:color w:val="auto"/>
          <w:spacing w:val="-4"/>
          <w:sz w:val="24"/>
          <w:szCs w:val="24"/>
        </w:rPr>
        <w:t>邮政编码：</w:t>
      </w:r>
      <w:r>
        <w:rPr>
          <w:rFonts w:ascii="宋体" w:hAnsi="宋体" w:eastAsia="宋体" w:cs="宋体"/>
          <w:color w:val="auto"/>
          <w:spacing w:val="-4"/>
          <w:sz w:val="24"/>
          <w:szCs w:val="24"/>
          <w:u w:val="single" w:color="auto"/>
        </w:rPr>
        <w:t xml:space="preserve">                                 </w:t>
      </w:r>
    </w:p>
    <w:p w14:paraId="68D4C445">
      <w:pPr>
        <w:pStyle w:val="2"/>
        <w:spacing w:line="316" w:lineRule="auto"/>
        <w:rPr>
          <w:color w:val="auto"/>
        </w:rPr>
      </w:pPr>
    </w:p>
    <w:p w14:paraId="6C9948DA">
      <w:pPr>
        <w:pStyle w:val="2"/>
        <w:spacing w:line="317" w:lineRule="auto"/>
        <w:rPr>
          <w:color w:val="auto"/>
        </w:rPr>
      </w:pPr>
    </w:p>
    <w:p w14:paraId="3D854CA6">
      <w:pPr>
        <w:pStyle w:val="2"/>
        <w:spacing w:line="317" w:lineRule="auto"/>
        <w:rPr>
          <w:color w:val="auto"/>
        </w:rPr>
      </w:pPr>
    </w:p>
    <w:p w14:paraId="2D705AB2">
      <w:pPr>
        <w:tabs>
          <w:tab w:val="left" w:pos="6112"/>
        </w:tabs>
        <w:spacing w:before="79" w:line="220" w:lineRule="auto"/>
        <w:ind w:left="5752"/>
        <w:outlineLvl w:val="2"/>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109"/>
          <w:sz w:val="24"/>
          <w:szCs w:val="24"/>
        </w:rPr>
        <w:t xml:space="preserve"> </w:t>
      </w:r>
      <w:bookmarkStart w:id="22" w:name="_Toc18816"/>
      <w:r>
        <w:rPr>
          <w:rFonts w:ascii="宋体" w:hAnsi="宋体" w:eastAsia="宋体" w:cs="宋体"/>
          <w:color w:val="auto"/>
          <w:spacing w:val="-9"/>
          <w:sz w:val="24"/>
          <w:szCs w:val="24"/>
        </w:rPr>
        <w:t>年</w:t>
      </w:r>
      <w:r>
        <w:rPr>
          <w:rFonts w:ascii="宋体" w:hAnsi="宋体" w:eastAsia="宋体" w:cs="宋体"/>
          <w:color w:val="auto"/>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z w:val="24"/>
          <w:szCs w:val="24"/>
          <w:u w:val="single" w:color="auto"/>
        </w:rPr>
        <w:t xml:space="preserve">   </w:t>
      </w:r>
      <w:r>
        <w:rPr>
          <w:rFonts w:ascii="宋体" w:hAnsi="宋体" w:eastAsia="宋体" w:cs="宋体"/>
          <w:color w:val="auto"/>
          <w:spacing w:val="-69"/>
          <w:sz w:val="24"/>
          <w:szCs w:val="24"/>
        </w:rPr>
        <w:t xml:space="preserve"> </w:t>
      </w:r>
      <w:r>
        <w:rPr>
          <w:rFonts w:ascii="宋体" w:hAnsi="宋体" w:eastAsia="宋体" w:cs="宋体"/>
          <w:color w:val="auto"/>
          <w:spacing w:val="-9"/>
          <w:sz w:val="24"/>
          <w:szCs w:val="24"/>
        </w:rPr>
        <w:t>日</w:t>
      </w:r>
      <w:bookmarkEnd w:id="22"/>
    </w:p>
    <w:p w14:paraId="1CD65FD3">
      <w:pPr>
        <w:spacing w:line="220" w:lineRule="auto"/>
        <w:rPr>
          <w:rFonts w:ascii="宋体" w:hAnsi="宋体" w:eastAsia="宋体" w:cs="宋体"/>
          <w:color w:val="auto"/>
          <w:sz w:val="24"/>
          <w:szCs w:val="24"/>
        </w:rPr>
        <w:sectPr>
          <w:footerReference r:id="rId21" w:type="default"/>
          <w:pgSz w:w="11906" w:h="16839"/>
          <w:pgMar w:top="1440" w:right="1080" w:bottom="1440" w:left="1080" w:header="0" w:footer="783" w:gutter="0"/>
          <w:pgNumType w:fmt="decimal"/>
          <w:cols w:space="720" w:num="1"/>
        </w:sectPr>
      </w:pPr>
    </w:p>
    <w:p w14:paraId="0B677463">
      <w:pPr>
        <w:pStyle w:val="2"/>
        <w:spacing w:line="366" w:lineRule="auto"/>
        <w:rPr>
          <w:color w:val="auto"/>
        </w:rPr>
      </w:pPr>
    </w:p>
    <w:p w14:paraId="54CE1EC8">
      <w:pPr>
        <w:spacing w:before="91" w:line="220" w:lineRule="auto"/>
        <w:ind w:left="3292"/>
        <w:rPr>
          <w:rFonts w:ascii="宋体" w:hAnsi="宋体" w:eastAsia="宋体" w:cs="宋体"/>
          <w:color w:val="auto"/>
          <w:sz w:val="28"/>
          <w:szCs w:val="28"/>
        </w:rPr>
      </w:pPr>
      <w:r>
        <w:rPr>
          <w:rFonts w:ascii="宋体" w:hAnsi="宋体" w:eastAsia="宋体" w:cs="宋体"/>
          <w:b/>
          <w:bCs/>
          <w:color w:val="auto"/>
          <w:spacing w:val="-5"/>
          <w:sz w:val="28"/>
          <w:szCs w:val="28"/>
        </w:rPr>
        <w:t>（二）磋商函附录</w:t>
      </w:r>
    </w:p>
    <w:p w14:paraId="1E101E9E">
      <w:pPr>
        <w:spacing w:before="119"/>
        <w:rPr>
          <w:color w:val="auto"/>
        </w:rPr>
      </w:pPr>
    </w:p>
    <w:p w14:paraId="56CF2DA5">
      <w:pPr>
        <w:spacing w:before="119"/>
        <w:rPr>
          <w:color w:val="auto"/>
        </w:rPr>
      </w:pPr>
    </w:p>
    <w:tbl>
      <w:tblPr>
        <w:tblStyle w:val="15"/>
        <w:tblW w:w="91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585"/>
        <w:gridCol w:w="3539"/>
        <w:gridCol w:w="2196"/>
      </w:tblGrid>
      <w:tr w14:paraId="625E6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21" w:type="dxa"/>
            <w:vAlign w:val="top"/>
          </w:tcPr>
          <w:p w14:paraId="598B2906">
            <w:pPr>
              <w:pStyle w:val="16"/>
              <w:spacing w:before="182" w:line="230" w:lineRule="auto"/>
              <w:ind w:left="153"/>
              <w:rPr>
                <w:color w:val="auto"/>
                <w:sz w:val="20"/>
                <w:szCs w:val="20"/>
              </w:rPr>
            </w:pPr>
            <w:r>
              <w:rPr>
                <w:color w:val="auto"/>
                <w:sz w:val="20"/>
                <w:szCs w:val="20"/>
              </w:rPr>
              <w:t>序</w:t>
            </w:r>
            <w:r>
              <w:rPr>
                <w:color w:val="auto"/>
                <w:spacing w:val="19"/>
                <w:sz w:val="20"/>
                <w:szCs w:val="20"/>
              </w:rPr>
              <w:t xml:space="preserve"> </w:t>
            </w:r>
            <w:r>
              <w:rPr>
                <w:color w:val="auto"/>
                <w:sz w:val="20"/>
                <w:szCs w:val="20"/>
              </w:rPr>
              <w:t>号</w:t>
            </w:r>
          </w:p>
        </w:tc>
        <w:tc>
          <w:tcPr>
            <w:tcW w:w="2585" w:type="dxa"/>
            <w:vAlign w:val="top"/>
          </w:tcPr>
          <w:p w14:paraId="1DF4316A">
            <w:pPr>
              <w:pStyle w:val="16"/>
              <w:spacing w:before="182" w:line="228" w:lineRule="auto"/>
              <w:ind w:left="878"/>
              <w:rPr>
                <w:color w:val="auto"/>
                <w:sz w:val="20"/>
                <w:szCs w:val="20"/>
              </w:rPr>
            </w:pPr>
            <w:r>
              <w:rPr>
                <w:color w:val="auto"/>
                <w:spacing w:val="6"/>
                <w:sz w:val="20"/>
                <w:szCs w:val="20"/>
              </w:rPr>
              <w:t>条款内容</w:t>
            </w:r>
          </w:p>
        </w:tc>
        <w:tc>
          <w:tcPr>
            <w:tcW w:w="3539" w:type="dxa"/>
            <w:vAlign w:val="top"/>
          </w:tcPr>
          <w:p w14:paraId="4A7B95A7">
            <w:pPr>
              <w:pStyle w:val="16"/>
              <w:spacing w:before="182" w:line="228" w:lineRule="auto"/>
              <w:ind w:left="1361"/>
              <w:rPr>
                <w:color w:val="auto"/>
                <w:sz w:val="20"/>
                <w:szCs w:val="20"/>
              </w:rPr>
            </w:pPr>
            <w:r>
              <w:rPr>
                <w:color w:val="auto"/>
                <w:spacing w:val="6"/>
                <w:sz w:val="20"/>
                <w:szCs w:val="20"/>
              </w:rPr>
              <w:t>约定内容</w:t>
            </w:r>
          </w:p>
        </w:tc>
        <w:tc>
          <w:tcPr>
            <w:tcW w:w="2196" w:type="dxa"/>
            <w:vAlign w:val="top"/>
          </w:tcPr>
          <w:p w14:paraId="10F6F0B5">
            <w:pPr>
              <w:pStyle w:val="16"/>
              <w:spacing w:before="182" w:line="229" w:lineRule="auto"/>
              <w:ind w:left="686"/>
              <w:rPr>
                <w:color w:val="auto"/>
                <w:sz w:val="20"/>
                <w:szCs w:val="20"/>
              </w:rPr>
            </w:pPr>
            <w:r>
              <w:rPr>
                <w:color w:val="auto"/>
                <w:spacing w:val="6"/>
                <w:sz w:val="20"/>
                <w:szCs w:val="20"/>
              </w:rPr>
              <w:t>是否响应</w:t>
            </w:r>
          </w:p>
        </w:tc>
      </w:tr>
      <w:tr w14:paraId="5B9AA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1" w:type="dxa"/>
            <w:vAlign w:val="top"/>
          </w:tcPr>
          <w:p w14:paraId="5D5C8071">
            <w:pPr>
              <w:pStyle w:val="16"/>
              <w:spacing w:before="179" w:line="271" w:lineRule="exact"/>
              <w:ind w:left="378"/>
              <w:rPr>
                <w:color w:val="auto"/>
                <w:sz w:val="20"/>
                <w:szCs w:val="20"/>
              </w:rPr>
            </w:pPr>
            <w:r>
              <w:rPr>
                <w:color w:val="auto"/>
                <w:position w:val="1"/>
                <w:sz w:val="20"/>
                <w:szCs w:val="20"/>
              </w:rPr>
              <w:t>1</w:t>
            </w:r>
          </w:p>
        </w:tc>
        <w:tc>
          <w:tcPr>
            <w:tcW w:w="2585" w:type="dxa"/>
            <w:vAlign w:val="top"/>
          </w:tcPr>
          <w:p w14:paraId="56B6B465">
            <w:pPr>
              <w:pStyle w:val="16"/>
              <w:spacing w:before="180" w:line="229" w:lineRule="auto"/>
              <w:ind w:left="114"/>
              <w:rPr>
                <w:color w:val="auto"/>
                <w:sz w:val="20"/>
                <w:szCs w:val="20"/>
              </w:rPr>
            </w:pPr>
            <w:r>
              <w:rPr>
                <w:color w:val="auto"/>
                <w:spacing w:val="6"/>
                <w:sz w:val="20"/>
                <w:szCs w:val="20"/>
              </w:rPr>
              <w:t>项目经理</w:t>
            </w:r>
          </w:p>
        </w:tc>
        <w:tc>
          <w:tcPr>
            <w:tcW w:w="3539" w:type="dxa"/>
            <w:vAlign w:val="top"/>
          </w:tcPr>
          <w:p w14:paraId="035D6F4B">
            <w:pPr>
              <w:pStyle w:val="16"/>
              <w:spacing w:before="180" w:line="228" w:lineRule="auto"/>
              <w:ind w:left="175"/>
              <w:rPr>
                <w:color w:val="auto"/>
                <w:sz w:val="20"/>
                <w:szCs w:val="20"/>
              </w:rPr>
            </w:pPr>
            <w:r>
              <w:rPr>
                <w:color w:val="auto"/>
                <w:spacing w:val="7"/>
                <w:sz w:val="20"/>
                <w:szCs w:val="20"/>
              </w:rPr>
              <w:t>姓名：</w:t>
            </w:r>
            <w:r>
              <w:rPr>
                <w:color w:val="auto"/>
                <w:sz w:val="20"/>
                <w:szCs w:val="20"/>
                <w:u w:val="single" w:color="auto"/>
              </w:rPr>
              <w:t xml:space="preserve">           </w:t>
            </w:r>
          </w:p>
        </w:tc>
        <w:tc>
          <w:tcPr>
            <w:tcW w:w="2196" w:type="dxa"/>
            <w:vAlign w:val="top"/>
          </w:tcPr>
          <w:p w14:paraId="138C381D">
            <w:pPr>
              <w:rPr>
                <w:rFonts w:ascii="Arial"/>
                <w:color w:val="auto"/>
                <w:sz w:val="21"/>
              </w:rPr>
            </w:pPr>
          </w:p>
        </w:tc>
      </w:tr>
      <w:tr w14:paraId="09CAC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1" w:type="dxa"/>
            <w:vAlign w:val="top"/>
          </w:tcPr>
          <w:p w14:paraId="16D87CE7">
            <w:pPr>
              <w:pStyle w:val="16"/>
              <w:spacing w:before="179" w:line="271" w:lineRule="exact"/>
              <w:ind w:left="365"/>
              <w:rPr>
                <w:color w:val="auto"/>
                <w:sz w:val="20"/>
                <w:szCs w:val="20"/>
              </w:rPr>
            </w:pPr>
            <w:r>
              <w:rPr>
                <w:color w:val="auto"/>
                <w:position w:val="1"/>
                <w:sz w:val="20"/>
                <w:szCs w:val="20"/>
              </w:rPr>
              <w:t>2</w:t>
            </w:r>
          </w:p>
        </w:tc>
        <w:tc>
          <w:tcPr>
            <w:tcW w:w="2585" w:type="dxa"/>
            <w:vAlign w:val="top"/>
          </w:tcPr>
          <w:p w14:paraId="3678A7B4">
            <w:pPr>
              <w:pStyle w:val="16"/>
              <w:spacing w:before="180" w:line="229" w:lineRule="auto"/>
              <w:ind w:left="111"/>
              <w:rPr>
                <w:color w:val="auto"/>
                <w:sz w:val="20"/>
                <w:szCs w:val="20"/>
              </w:rPr>
            </w:pPr>
            <w:r>
              <w:rPr>
                <w:color w:val="auto"/>
                <w:spacing w:val="8"/>
                <w:sz w:val="20"/>
                <w:szCs w:val="20"/>
              </w:rPr>
              <w:t>合同履行期限</w:t>
            </w:r>
          </w:p>
        </w:tc>
        <w:tc>
          <w:tcPr>
            <w:tcW w:w="3539" w:type="dxa"/>
            <w:vAlign w:val="top"/>
          </w:tcPr>
          <w:p w14:paraId="7DE70908">
            <w:pPr>
              <w:rPr>
                <w:rFonts w:ascii="Arial"/>
                <w:color w:val="auto"/>
                <w:sz w:val="21"/>
              </w:rPr>
            </w:pPr>
          </w:p>
        </w:tc>
        <w:tc>
          <w:tcPr>
            <w:tcW w:w="2196" w:type="dxa"/>
            <w:vAlign w:val="top"/>
          </w:tcPr>
          <w:p w14:paraId="7F527AF0">
            <w:pPr>
              <w:rPr>
                <w:rFonts w:ascii="Arial"/>
                <w:color w:val="auto"/>
                <w:sz w:val="21"/>
              </w:rPr>
            </w:pPr>
          </w:p>
        </w:tc>
      </w:tr>
      <w:tr w14:paraId="0F83A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1" w:type="dxa"/>
            <w:vAlign w:val="top"/>
          </w:tcPr>
          <w:p w14:paraId="09C1D9BF">
            <w:pPr>
              <w:pStyle w:val="16"/>
              <w:spacing w:before="182" w:line="269" w:lineRule="exact"/>
              <w:ind w:left="367"/>
              <w:rPr>
                <w:color w:val="auto"/>
                <w:sz w:val="20"/>
                <w:szCs w:val="20"/>
              </w:rPr>
            </w:pPr>
            <w:r>
              <w:rPr>
                <w:color w:val="auto"/>
                <w:position w:val="1"/>
                <w:sz w:val="20"/>
                <w:szCs w:val="20"/>
              </w:rPr>
              <w:t>3</w:t>
            </w:r>
          </w:p>
        </w:tc>
        <w:tc>
          <w:tcPr>
            <w:tcW w:w="2585" w:type="dxa"/>
            <w:vAlign w:val="top"/>
          </w:tcPr>
          <w:p w14:paraId="56AA4A9A">
            <w:pPr>
              <w:pStyle w:val="16"/>
              <w:spacing w:before="182" w:line="228" w:lineRule="auto"/>
              <w:ind w:left="110"/>
              <w:rPr>
                <w:color w:val="auto"/>
                <w:sz w:val="20"/>
                <w:szCs w:val="20"/>
              </w:rPr>
            </w:pPr>
            <w:r>
              <w:rPr>
                <w:color w:val="auto"/>
                <w:spacing w:val="8"/>
                <w:sz w:val="20"/>
                <w:szCs w:val="20"/>
              </w:rPr>
              <w:t>缺陷责任期</w:t>
            </w:r>
          </w:p>
        </w:tc>
        <w:tc>
          <w:tcPr>
            <w:tcW w:w="3539" w:type="dxa"/>
            <w:vAlign w:val="top"/>
          </w:tcPr>
          <w:p w14:paraId="6088EFB4">
            <w:pPr>
              <w:pStyle w:val="16"/>
              <w:spacing w:before="182" w:line="228" w:lineRule="auto"/>
              <w:ind w:left="177"/>
              <w:rPr>
                <w:color w:val="auto"/>
                <w:sz w:val="20"/>
                <w:szCs w:val="20"/>
              </w:rPr>
            </w:pPr>
            <w:r>
              <w:rPr>
                <w:color w:val="auto"/>
                <w:spacing w:val="8"/>
                <w:sz w:val="20"/>
                <w:szCs w:val="20"/>
              </w:rPr>
              <w:t>按合同约定执行</w:t>
            </w:r>
          </w:p>
        </w:tc>
        <w:tc>
          <w:tcPr>
            <w:tcW w:w="2196" w:type="dxa"/>
            <w:vAlign w:val="top"/>
          </w:tcPr>
          <w:p w14:paraId="5FB78355">
            <w:pPr>
              <w:rPr>
                <w:rFonts w:ascii="Arial"/>
                <w:color w:val="auto"/>
                <w:sz w:val="21"/>
              </w:rPr>
            </w:pPr>
          </w:p>
        </w:tc>
      </w:tr>
      <w:tr w14:paraId="13011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1" w:type="dxa"/>
            <w:vAlign w:val="top"/>
          </w:tcPr>
          <w:p w14:paraId="47F920BE">
            <w:pPr>
              <w:pStyle w:val="16"/>
              <w:spacing w:before="181" w:line="271" w:lineRule="exact"/>
              <w:ind w:left="362"/>
              <w:rPr>
                <w:color w:val="auto"/>
                <w:sz w:val="20"/>
                <w:szCs w:val="20"/>
              </w:rPr>
            </w:pPr>
            <w:r>
              <w:rPr>
                <w:color w:val="auto"/>
                <w:position w:val="1"/>
                <w:sz w:val="20"/>
                <w:szCs w:val="20"/>
              </w:rPr>
              <w:t>4</w:t>
            </w:r>
          </w:p>
        </w:tc>
        <w:tc>
          <w:tcPr>
            <w:tcW w:w="2585" w:type="dxa"/>
            <w:vAlign w:val="top"/>
          </w:tcPr>
          <w:p w14:paraId="3CBD1A20">
            <w:pPr>
              <w:pStyle w:val="16"/>
              <w:spacing w:before="181" w:line="228" w:lineRule="auto"/>
              <w:ind w:left="110"/>
              <w:rPr>
                <w:color w:val="auto"/>
                <w:sz w:val="20"/>
                <w:szCs w:val="20"/>
              </w:rPr>
            </w:pPr>
            <w:r>
              <w:rPr>
                <w:color w:val="auto"/>
                <w:spacing w:val="8"/>
                <w:sz w:val="20"/>
                <w:szCs w:val="20"/>
              </w:rPr>
              <w:t>承包人履约担保金额</w:t>
            </w:r>
          </w:p>
        </w:tc>
        <w:tc>
          <w:tcPr>
            <w:tcW w:w="3539" w:type="dxa"/>
            <w:vAlign w:val="top"/>
          </w:tcPr>
          <w:p w14:paraId="22C8F20B">
            <w:pPr>
              <w:pStyle w:val="16"/>
              <w:spacing w:before="181" w:line="229" w:lineRule="auto"/>
              <w:ind w:left="177"/>
              <w:rPr>
                <w:color w:val="auto"/>
                <w:sz w:val="20"/>
                <w:szCs w:val="20"/>
              </w:rPr>
            </w:pPr>
            <w:r>
              <w:rPr>
                <w:color w:val="auto"/>
                <w:sz w:val="20"/>
                <w:szCs w:val="20"/>
              </w:rPr>
              <w:t>无</w:t>
            </w:r>
          </w:p>
        </w:tc>
        <w:tc>
          <w:tcPr>
            <w:tcW w:w="2196" w:type="dxa"/>
            <w:vAlign w:val="top"/>
          </w:tcPr>
          <w:p w14:paraId="098ABC9D">
            <w:pPr>
              <w:rPr>
                <w:rFonts w:ascii="Arial"/>
                <w:color w:val="auto"/>
                <w:sz w:val="21"/>
              </w:rPr>
            </w:pPr>
          </w:p>
        </w:tc>
      </w:tr>
      <w:tr w14:paraId="0E712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1" w:type="dxa"/>
            <w:vAlign w:val="top"/>
          </w:tcPr>
          <w:p w14:paraId="6663C86B">
            <w:pPr>
              <w:pStyle w:val="16"/>
              <w:spacing w:before="180" w:line="269" w:lineRule="exact"/>
              <w:ind w:left="367"/>
              <w:rPr>
                <w:color w:val="auto"/>
                <w:sz w:val="20"/>
                <w:szCs w:val="20"/>
              </w:rPr>
            </w:pPr>
            <w:r>
              <w:rPr>
                <w:color w:val="auto"/>
                <w:position w:val="1"/>
                <w:sz w:val="20"/>
                <w:szCs w:val="20"/>
              </w:rPr>
              <w:t>5</w:t>
            </w:r>
          </w:p>
        </w:tc>
        <w:tc>
          <w:tcPr>
            <w:tcW w:w="2585" w:type="dxa"/>
            <w:vAlign w:val="top"/>
          </w:tcPr>
          <w:p w14:paraId="5EB24C7C">
            <w:pPr>
              <w:pStyle w:val="16"/>
              <w:spacing w:before="180" w:line="229" w:lineRule="auto"/>
              <w:ind w:left="113"/>
              <w:rPr>
                <w:color w:val="auto"/>
                <w:sz w:val="20"/>
                <w:szCs w:val="20"/>
              </w:rPr>
            </w:pPr>
            <w:r>
              <w:rPr>
                <w:color w:val="auto"/>
                <w:spacing w:val="3"/>
                <w:sz w:val="20"/>
                <w:szCs w:val="20"/>
              </w:rPr>
              <w:t>分包</w:t>
            </w:r>
          </w:p>
        </w:tc>
        <w:tc>
          <w:tcPr>
            <w:tcW w:w="3539" w:type="dxa"/>
            <w:vAlign w:val="top"/>
          </w:tcPr>
          <w:p w14:paraId="564E1879">
            <w:pPr>
              <w:pStyle w:val="16"/>
              <w:spacing w:before="180" w:line="228" w:lineRule="auto"/>
              <w:ind w:left="178"/>
              <w:rPr>
                <w:color w:val="auto"/>
                <w:sz w:val="20"/>
                <w:szCs w:val="20"/>
              </w:rPr>
            </w:pPr>
            <w:r>
              <w:rPr>
                <w:color w:val="auto"/>
                <w:spacing w:val="8"/>
                <w:sz w:val="20"/>
                <w:szCs w:val="20"/>
              </w:rPr>
              <w:t>不允许非法分包</w:t>
            </w:r>
          </w:p>
        </w:tc>
        <w:tc>
          <w:tcPr>
            <w:tcW w:w="2196" w:type="dxa"/>
            <w:vAlign w:val="top"/>
          </w:tcPr>
          <w:p w14:paraId="6DA97DA2">
            <w:pPr>
              <w:rPr>
                <w:rFonts w:ascii="Arial"/>
                <w:color w:val="auto"/>
                <w:sz w:val="21"/>
              </w:rPr>
            </w:pPr>
          </w:p>
        </w:tc>
      </w:tr>
      <w:tr w14:paraId="26968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1" w:type="dxa"/>
            <w:vAlign w:val="top"/>
          </w:tcPr>
          <w:p w14:paraId="665BB66E">
            <w:pPr>
              <w:pStyle w:val="16"/>
              <w:spacing w:before="182" w:line="269" w:lineRule="exact"/>
              <w:ind w:left="364"/>
              <w:rPr>
                <w:color w:val="auto"/>
                <w:sz w:val="20"/>
                <w:szCs w:val="20"/>
              </w:rPr>
            </w:pPr>
            <w:r>
              <w:rPr>
                <w:color w:val="auto"/>
                <w:position w:val="1"/>
                <w:sz w:val="20"/>
                <w:szCs w:val="20"/>
              </w:rPr>
              <w:t>6</w:t>
            </w:r>
          </w:p>
        </w:tc>
        <w:tc>
          <w:tcPr>
            <w:tcW w:w="2585" w:type="dxa"/>
            <w:vAlign w:val="top"/>
          </w:tcPr>
          <w:p w14:paraId="19BBE035">
            <w:pPr>
              <w:pStyle w:val="16"/>
              <w:spacing w:before="183" w:line="228" w:lineRule="auto"/>
              <w:ind w:left="109"/>
              <w:rPr>
                <w:color w:val="auto"/>
                <w:sz w:val="20"/>
                <w:szCs w:val="20"/>
              </w:rPr>
            </w:pPr>
            <w:r>
              <w:rPr>
                <w:color w:val="auto"/>
                <w:spacing w:val="8"/>
                <w:sz w:val="20"/>
                <w:szCs w:val="20"/>
              </w:rPr>
              <w:t>逾期竣工违约金</w:t>
            </w:r>
          </w:p>
        </w:tc>
        <w:tc>
          <w:tcPr>
            <w:tcW w:w="3539" w:type="dxa"/>
            <w:vAlign w:val="top"/>
          </w:tcPr>
          <w:p w14:paraId="580B0B8B">
            <w:pPr>
              <w:pStyle w:val="16"/>
              <w:spacing w:before="182" w:line="229" w:lineRule="auto"/>
              <w:ind w:left="177"/>
              <w:rPr>
                <w:color w:val="auto"/>
                <w:sz w:val="20"/>
                <w:szCs w:val="20"/>
              </w:rPr>
            </w:pPr>
            <w:r>
              <w:rPr>
                <w:color w:val="auto"/>
                <w:spacing w:val="4"/>
                <w:sz w:val="20"/>
                <w:szCs w:val="20"/>
              </w:rPr>
              <w:t>元/天</w:t>
            </w:r>
          </w:p>
        </w:tc>
        <w:tc>
          <w:tcPr>
            <w:tcW w:w="2196" w:type="dxa"/>
            <w:vAlign w:val="top"/>
          </w:tcPr>
          <w:p w14:paraId="49315579">
            <w:pPr>
              <w:rPr>
                <w:rFonts w:ascii="Arial"/>
                <w:color w:val="auto"/>
                <w:sz w:val="21"/>
              </w:rPr>
            </w:pPr>
          </w:p>
        </w:tc>
      </w:tr>
      <w:tr w14:paraId="46FA4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1" w:type="dxa"/>
            <w:vAlign w:val="top"/>
          </w:tcPr>
          <w:p w14:paraId="1BAD3AD0">
            <w:pPr>
              <w:pStyle w:val="16"/>
              <w:spacing w:before="181" w:line="269" w:lineRule="exact"/>
              <w:ind w:left="368"/>
              <w:rPr>
                <w:color w:val="auto"/>
                <w:sz w:val="20"/>
                <w:szCs w:val="20"/>
              </w:rPr>
            </w:pPr>
            <w:r>
              <w:rPr>
                <w:color w:val="auto"/>
                <w:position w:val="1"/>
                <w:sz w:val="20"/>
                <w:szCs w:val="20"/>
              </w:rPr>
              <w:t>7</w:t>
            </w:r>
          </w:p>
        </w:tc>
        <w:tc>
          <w:tcPr>
            <w:tcW w:w="2585" w:type="dxa"/>
            <w:vAlign w:val="top"/>
          </w:tcPr>
          <w:p w14:paraId="3BA2D78F">
            <w:pPr>
              <w:pStyle w:val="16"/>
              <w:spacing w:before="182" w:line="228" w:lineRule="auto"/>
              <w:ind w:left="109"/>
              <w:rPr>
                <w:color w:val="auto"/>
                <w:sz w:val="20"/>
                <w:szCs w:val="20"/>
              </w:rPr>
            </w:pPr>
            <w:r>
              <w:rPr>
                <w:color w:val="auto"/>
                <w:spacing w:val="9"/>
                <w:sz w:val="20"/>
                <w:szCs w:val="20"/>
              </w:rPr>
              <w:t>逾期竣工违约金最高限额</w:t>
            </w:r>
          </w:p>
        </w:tc>
        <w:tc>
          <w:tcPr>
            <w:tcW w:w="3539" w:type="dxa"/>
            <w:vAlign w:val="top"/>
          </w:tcPr>
          <w:p w14:paraId="685A9822">
            <w:pPr>
              <w:pStyle w:val="16"/>
              <w:spacing w:before="182" w:line="228" w:lineRule="auto"/>
              <w:ind w:left="177"/>
              <w:rPr>
                <w:color w:val="auto"/>
                <w:sz w:val="20"/>
                <w:szCs w:val="20"/>
              </w:rPr>
            </w:pPr>
            <w:r>
              <w:rPr>
                <w:color w:val="auto"/>
                <w:spacing w:val="8"/>
                <w:sz w:val="20"/>
                <w:szCs w:val="20"/>
              </w:rPr>
              <w:t>按合同约定执行</w:t>
            </w:r>
          </w:p>
        </w:tc>
        <w:tc>
          <w:tcPr>
            <w:tcW w:w="2196" w:type="dxa"/>
            <w:vAlign w:val="top"/>
          </w:tcPr>
          <w:p w14:paraId="6A99EA70">
            <w:pPr>
              <w:rPr>
                <w:rFonts w:ascii="Arial"/>
                <w:color w:val="auto"/>
                <w:sz w:val="21"/>
              </w:rPr>
            </w:pPr>
          </w:p>
        </w:tc>
      </w:tr>
      <w:tr w14:paraId="00609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21" w:type="dxa"/>
            <w:vAlign w:val="top"/>
          </w:tcPr>
          <w:p w14:paraId="250D3CF9">
            <w:pPr>
              <w:pStyle w:val="16"/>
              <w:spacing w:before="221" w:line="269" w:lineRule="exact"/>
              <w:ind w:left="363"/>
              <w:rPr>
                <w:color w:val="auto"/>
                <w:sz w:val="20"/>
                <w:szCs w:val="20"/>
              </w:rPr>
            </w:pPr>
            <w:r>
              <w:rPr>
                <w:color w:val="auto"/>
                <w:position w:val="1"/>
                <w:sz w:val="20"/>
                <w:szCs w:val="20"/>
              </w:rPr>
              <w:t>8</w:t>
            </w:r>
          </w:p>
        </w:tc>
        <w:tc>
          <w:tcPr>
            <w:tcW w:w="2585" w:type="dxa"/>
            <w:vAlign w:val="top"/>
          </w:tcPr>
          <w:p w14:paraId="3B958E96">
            <w:pPr>
              <w:pStyle w:val="16"/>
              <w:spacing w:before="221" w:line="229" w:lineRule="auto"/>
              <w:ind w:left="111"/>
              <w:rPr>
                <w:color w:val="auto"/>
                <w:sz w:val="20"/>
                <w:szCs w:val="20"/>
              </w:rPr>
            </w:pPr>
            <w:r>
              <w:rPr>
                <w:color w:val="auto"/>
                <w:spacing w:val="7"/>
                <w:sz w:val="20"/>
                <w:szCs w:val="20"/>
              </w:rPr>
              <w:t>质量标准</w:t>
            </w:r>
          </w:p>
        </w:tc>
        <w:tc>
          <w:tcPr>
            <w:tcW w:w="3539" w:type="dxa"/>
            <w:vAlign w:val="top"/>
          </w:tcPr>
          <w:p w14:paraId="4CD9061B">
            <w:pPr>
              <w:pStyle w:val="16"/>
              <w:spacing w:before="64" w:line="265" w:lineRule="auto"/>
              <w:ind w:left="176" w:right="104"/>
              <w:rPr>
                <w:color w:val="auto"/>
                <w:sz w:val="20"/>
                <w:szCs w:val="20"/>
              </w:rPr>
            </w:pPr>
            <w:r>
              <w:rPr>
                <w:color w:val="auto"/>
                <w:spacing w:val="16"/>
                <w:sz w:val="20"/>
                <w:szCs w:val="20"/>
              </w:rPr>
              <w:t>符合国家相关质量验收规范标准的</w:t>
            </w:r>
            <w:r>
              <w:rPr>
                <w:color w:val="auto"/>
                <w:spacing w:val="5"/>
                <w:sz w:val="20"/>
                <w:szCs w:val="20"/>
              </w:rPr>
              <w:t>合格标准。</w:t>
            </w:r>
          </w:p>
        </w:tc>
        <w:tc>
          <w:tcPr>
            <w:tcW w:w="2196" w:type="dxa"/>
            <w:vAlign w:val="top"/>
          </w:tcPr>
          <w:p w14:paraId="75665117">
            <w:pPr>
              <w:rPr>
                <w:rFonts w:ascii="Arial"/>
                <w:color w:val="auto"/>
                <w:sz w:val="21"/>
              </w:rPr>
            </w:pPr>
          </w:p>
        </w:tc>
      </w:tr>
      <w:tr w14:paraId="4EB7C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1" w:type="dxa"/>
            <w:vAlign w:val="top"/>
          </w:tcPr>
          <w:p w14:paraId="3DAC3FA4">
            <w:pPr>
              <w:pStyle w:val="16"/>
              <w:spacing w:before="184" w:line="269" w:lineRule="exact"/>
              <w:ind w:left="363"/>
              <w:rPr>
                <w:color w:val="auto"/>
                <w:sz w:val="20"/>
                <w:szCs w:val="20"/>
              </w:rPr>
            </w:pPr>
            <w:r>
              <w:rPr>
                <w:color w:val="auto"/>
                <w:position w:val="1"/>
                <w:sz w:val="20"/>
                <w:szCs w:val="20"/>
              </w:rPr>
              <w:t>9</w:t>
            </w:r>
          </w:p>
        </w:tc>
        <w:tc>
          <w:tcPr>
            <w:tcW w:w="2585" w:type="dxa"/>
            <w:vAlign w:val="top"/>
          </w:tcPr>
          <w:p w14:paraId="25343CC5">
            <w:pPr>
              <w:pStyle w:val="16"/>
              <w:spacing w:before="184" w:line="229" w:lineRule="auto"/>
              <w:ind w:left="111"/>
              <w:rPr>
                <w:color w:val="auto"/>
                <w:sz w:val="20"/>
                <w:szCs w:val="20"/>
              </w:rPr>
            </w:pPr>
            <w:r>
              <w:rPr>
                <w:color w:val="auto"/>
                <w:spacing w:val="8"/>
                <w:sz w:val="20"/>
                <w:szCs w:val="20"/>
              </w:rPr>
              <w:t>质量保证金扣留百分比</w:t>
            </w:r>
          </w:p>
        </w:tc>
        <w:tc>
          <w:tcPr>
            <w:tcW w:w="3539" w:type="dxa"/>
            <w:vAlign w:val="top"/>
          </w:tcPr>
          <w:p w14:paraId="26658A71">
            <w:pPr>
              <w:pStyle w:val="16"/>
              <w:spacing w:before="184" w:line="233" w:lineRule="auto"/>
              <w:ind w:left="174"/>
              <w:rPr>
                <w:color w:val="auto"/>
                <w:sz w:val="20"/>
                <w:szCs w:val="20"/>
              </w:rPr>
            </w:pPr>
            <w:r>
              <w:rPr>
                <w:color w:val="auto"/>
                <w:sz w:val="20"/>
                <w:szCs w:val="20"/>
              </w:rPr>
              <w:t>/</w:t>
            </w:r>
          </w:p>
        </w:tc>
        <w:tc>
          <w:tcPr>
            <w:tcW w:w="2196" w:type="dxa"/>
            <w:vAlign w:val="top"/>
          </w:tcPr>
          <w:p w14:paraId="7998ED88">
            <w:pPr>
              <w:rPr>
                <w:rFonts w:ascii="Arial"/>
                <w:color w:val="auto"/>
                <w:sz w:val="21"/>
              </w:rPr>
            </w:pPr>
          </w:p>
        </w:tc>
      </w:tr>
      <w:tr w14:paraId="40B9C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1" w:type="dxa"/>
            <w:vAlign w:val="top"/>
          </w:tcPr>
          <w:p w14:paraId="7AA45E2C">
            <w:pPr>
              <w:pStyle w:val="16"/>
              <w:spacing w:before="183" w:line="269" w:lineRule="exact"/>
              <w:ind w:left="325"/>
              <w:rPr>
                <w:color w:val="auto"/>
                <w:sz w:val="20"/>
                <w:szCs w:val="20"/>
              </w:rPr>
            </w:pPr>
            <w:r>
              <w:rPr>
                <w:color w:val="auto"/>
                <w:spacing w:val="-7"/>
                <w:position w:val="1"/>
                <w:sz w:val="20"/>
                <w:szCs w:val="20"/>
              </w:rPr>
              <w:t>10</w:t>
            </w:r>
          </w:p>
        </w:tc>
        <w:tc>
          <w:tcPr>
            <w:tcW w:w="2585" w:type="dxa"/>
            <w:vAlign w:val="top"/>
          </w:tcPr>
          <w:p w14:paraId="1F3F1952">
            <w:pPr>
              <w:pStyle w:val="16"/>
              <w:spacing w:before="183" w:line="228" w:lineRule="auto"/>
              <w:ind w:left="111"/>
              <w:rPr>
                <w:color w:val="auto"/>
                <w:sz w:val="20"/>
                <w:szCs w:val="20"/>
              </w:rPr>
            </w:pPr>
            <w:r>
              <w:rPr>
                <w:color w:val="auto"/>
                <w:spacing w:val="8"/>
                <w:sz w:val="20"/>
                <w:szCs w:val="20"/>
              </w:rPr>
              <w:t>质量保证金额度</w:t>
            </w:r>
          </w:p>
        </w:tc>
        <w:tc>
          <w:tcPr>
            <w:tcW w:w="3539" w:type="dxa"/>
            <w:vAlign w:val="top"/>
          </w:tcPr>
          <w:p w14:paraId="75870C2F">
            <w:pPr>
              <w:pStyle w:val="16"/>
              <w:spacing w:before="183" w:line="228" w:lineRule="auto"/>
              <w:ind w:left="177"/>
              <w:rPr>
                <w:color w:val="auto"/>
                <w:sz w:val="20"/>
                <w:szCs w:val="20"/>
              </w:rPr>
            </w:pPr>
            <w:r>
              <w:rPr>
                <w:color w:val="auto"/>
                <w:spacing w:val="8"/>
                <w:sz w:val="20"/>
                <w:szCs w:val="20"/>
              </w:rPr>
              <w:t>按合同约定执行</w:t>
            </w:r>
          </w:p>
        </w:tc>
        <w:tc>
          <w:tcPr>
            <w:tcW w:w="2196" w:type="dxa"/>
            <w:vAlign w:val="top"/>
          </w:tcPr>
          <w:p w14:paraId="2C757D6C">
            <w:pPr>
              <w:rPr>
                <w:rFonts w:ascii="Arial"/>
                <w:color w:val="auto"/>
                <w:sz w:val="21"/>
              </w:rPr>
            </w:pPr>
          </w:p>
        </w:tc>
      </w:tr>
      <w:tr w14:paraId="072B7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1" w:type="dxa"/>
            <w:vAlign w:val="top"/>
          </w:tcPr>
          <w:p w14:paraId="6EE3FCE9">
            <w:pPr>
              <w:pStyle w:val="16"/>
              <w:spacing w:before="182" w:line="325" w:lineRule="exact"/>
              <w:ind w:left="217"/>
              <w:rPr>
                <w:color w:val="auto"/>
                <w:sz w:val="20"/>
                <w:szCs w:val="20"/>
              </w:rPr>
            </w:pPr>
            <w:r>
              <w:rPr>
                <w:color w:val="auto"/>
                <w:spacing w:val="-2"/>
                <w:position w:val="3"/>
                <w:sz w:val="20"/>
                <w:szCs w:val="20"/>
              </w:rPr>
              <w:t>……</w:t>
            </w:r>
          </w:p>
        </w:tc>
        <w:tc>
          <w:tcPr>
            <w:tcW w:w="2585" w:type="dxa"/>
            <w:vAlign w:val="top"/>
          </w:tcPr>
          <w:p w14:paraId="7813845B">
            <w:pPr>
              <w:pStyle w:val="16"/>
              <w:spacing w:before="182" w:line="325" w:lineRule="exact"/>
              <w:ind w:left="1100"/>
              <w:rPr>
                <w:color w:val="auto"/>
                <w:sz w:val="20"/>
                <w:szCs w:val="20"/>
              </w:rPr>
            </w:pPr>
            <w:r>
              <w:rPr>
                <w:color w:val="auto"/>
                <w:spacing w:val="-2"/>
                <w:position w:val="3"/>
                <w:sz w:val="20"/>
                <w:szCs w:val="20"/>
              </w:rPr>
              <w:t>……</w:t>
            </w:r>
          </w:p>
        </w:tc>
        <w:tc>
          <w:tcPr>
            <w:tcW w:w="3539" w:type="dxa"/>
            <w:vAlign w:val="top"/>
          </w:tcPr>
          <w:p w14:paraId="110C0A90">
            <w:pPr>
              <w:rPr>
                <w:rFonts w:ascii="Arial"/>
                <w:color w:val="auto"/>
                <w:sz w:val="21"/>
              </w:rPr>
            </w:pPr>
          </w:p>
        </w:tc>
        <w:tc>
          <w:tcPr>
            <w:tcW w:w="2196" w:type="dxa"/>
            <w:vAlign w:val="top"/>
          </w:tcPr>
          <w:p w14:paraId="1C7DA886">
            <w:pPr>
              <w:rPr>
                <w:rFonts w:ascii="Arial"/>
                <w:color w:val="auto"/>
                <w:sz w:val="21"/>
              </w:rPr>
            </w:pPr>
          </w:p>
        </w:tc>
      </w:tr>
      <w:tr w14:paraId="2863F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141" w:type="dxa"/>
            <w:gridSpan w:val="4"/>
            <w:vAlign w:val="top"/>
          </w:tcPr>
          <w:p w14:paraId="7B90E4CB">
            <w:pPr>
              <w:pStyle w:val="16"/>
              <w:spacing w:before="57" w:line="261" w:lineRule="auto"/>
              <w:ind w:left="115" w:right="210" w:firstLine="2"/>
              <w:rPr>
                <w:color w:val="auto"/>
                <w:sz w:val="20"/>
                <w:szCs w:val="20"/>
              </w:rPr>
            </w:pPr>
            <w:r>
              <w:rPr>
                <w:color w:val="auto"/>
                <w:spacing w:val="10"/>
                <w:sz w:val="20"/>
                <w:szCs w:val="20"/>
              </w:rPr>
              <w:t>备注：供应商在响应磋商文件中规定的实质性要求和条件的基础</w:t>
            </w:r>
            <w:r>
              <w:rPr>
                <w:color w:val="auto"/>
                <w:spacing w:val="9"/>
                <w:sz w:val="20"/>
                <w:szCs w:val="20"/>
              </w:rPr>
              <w:t>上，可作出其他有利于采购人的</w:t>
            </w:r>
            <w:r>
              <w:rPr>
                <w:color w:val="auto"/>
                <w:spacing w:val="8"/>
                <w:sz w:val="20"/>
                <w:szCs w:val="20"/>
              </w:rPr>
              <w:t>承诺。此类承诺可在本表中予以补充填写。</w:t>
            </w:r>
          </w:p>
        </w:tc>
      </w:tr>
    </w:tbl>
    <w:p w14:paraId="44982EC4">
      <w:pPr>
        <w:pStyle w:val="2"/>
        <w:spacing w:line="307" w:lineRule="auto"/>
        <w:rPr>
          <w:color w:val="auto"/>
        </w:rPr>
      </w:pPr>
    </w:p>
    <w:p w14:paraId="1D0383C6">
      <w:pPr>
        <w:pStyle w:val="2"/>
        <w:spacing w:line="308" w:lineRule="auto"/>
        <w:rPr>
          <w:color w:val="auto"/>
        </w:rPr>
      </w:pPr>
    </w:p>
    <w:p w14:paraId="26B4A668">
      <w:pPr>
        <w:spacing w:before="65" w:line="228" w:lineRule="auto"/>
        <w:ind w:left="432"/>
        <w:rPr>
          <w:rFonts w:ascii="宋体" w:hAnsi="宋体" w:eastAsia="宋体" w:cs="宋体"/>
          <w:color w:val="auto"/>
          <w:sz w:val="20"/>
          <w:szCs w:val="20"/>
        </w:rPr>
      </w:pPr>
      <w:r>
        <w:rPr>
          <w:rFonts w:ascii="宋体" w:hAnsi="宋体" w:eastAsia="宋体" w:cs="宋体"/>
          <w:b/>
          <w:bCs/>
          <w:color w:val="auto"/>
          <w:spacing w:val="7"/>
          <w:sz w:val="20"/>
          <w:szCs w:val="20"/>
        </w:rPr>
        <w:t>供应商</w:t>
      </w:r>
      <w:r>
        <w:rPr>
          <w:rFonts w:ascii="宋体" w:hAnsi="宋体" w:eastAsia="宋体" w:cs="宋体"/>
          <w:color w:val="auto"/>
          <w:spacing w:val="7"/>
          <w:sz w:val="20"/>
          <w:szCs w:val="20"/>
        </w:rPr>
        <w:t>（盖章</w:t>
      </w:r>
      <w:r>
        <w:rPr>
          <w:rFonts w:ascii="宋体" w:hAnsi="宋体" w:eastAsia="宋体" w:cs="宋体"/>
          <w:color w:val="auto"/>
          <w:spacing w:val="1"/>
          <w:sz w:val="20"/>
          <w:szCs w:val="20"/>
        </w:rPr>
        <w:t>）：</w:t>
      </w:r>
    </w:p>
    <w:p w14:paraId="28C4D1FD">
      <w:pPr>
        <w:spacing w:before="234" w:line="444" w:lineRule="auto"/>
        <w:ind w:left="468" w:right="4989" w:hanging="35"/>
        <w:rPr>
          <w:rFonts w:ascii="宋体" w:hAnsi="宋体" w:eastAsia="宋体" w:cs="宋体"/>
          <w:color w:val="auto"/>
          <w:sz w:val="20"/>
          <w:szCs w:val="20"/>
        </w:rPr>
      </w:pPr>
      <w:r>
        <w:rPr>
          <w:rFonts w:ascii="宋体" w:hAnsi="宋体" w:eastAsia="宋体" w:cs="宋体"/>
          <w:b/>
          <w:bCs/>
          <w:color w:val="auto"/>
          <w:spacing w:val="8"/>
          <w:sz w:val="20"/>
          <w:szCs w:val="20"/>
        </w:rPr>
        <w:t>法人代表或委托代理人</w:t>
      </w:r>
      <w:r>
        <w:rPr>
          <w:rFonts w:ascii="宋体" w:hAnsi="宋体" w:eastAsia="宋体" w:cs="宋体"/>
          <w:color w:val="auto"/>
          <w:spacing w:val="8"/>
          <w:sz w:val="20"/>
          <w:szCs w:val="20"/>
        </w:rPr>
        <w:t>（签字或盖章</w:t>
      </w:r>
      <w:r>
        <w:rPr>
          <w:rFonts w:ascii="宋体" w:hAnsi="宋体" w:eastAsia="宋体" w:cs="宋体"/>
          <w:color w:val="auto"/>
          <w:spacing w:val="-14"/>
          <w:sz w:val="20"/>
          <w:szCs w:val="20"/>
        </w:rPr>
        <w:t>）：</w:t>
      </w:r>
      <w:r>
        <w:rPr>
          <w:rFonts w:ascii="宋体" w:hAnsi="宋体" w:eastAsia="宋体" w:cs="宋体"/>
          <w:b/>
          <w:bCs/>
          <w:color w:val="auto"/>
          <w:spacing w:val="-5"/>
          <w:sz w:val="20"/>
          <w:szCs w:val="20"/>
        </w:rPr>
        <w:t>日期：</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8"/>
          <w:sz w:val="20"/>
          <w:szCs w:val="20"/>
        </w:rPr>
        <w:t xml:space="preserve"> </w:t>
      </w:r>
      <w:r>
        <w:rPr>
          <w:rFonts w:ascii="宋体" w:hAnsi="宋体" w:eastAsia="宋体" w:cs="宋体"/>
          <w:b/>
          <w:bCs/>
          <w:color w:val="auto"/>
          <w:spacing w:val="-5"/>
          <w:sz w:val="20"/>
          <w:szCs w:val="20"/>
        </w:rPr>
        <w:t>年</w:t>
      </w:r>
      <w:r>
        <w:rPr>
          <w:rFonts w:ascii="宋体" w:hAnsi="宋体" w:eastAsia="宋体" w:cs="宋体"/>
          <w:color w:val="auto"/>
          <w:spacing w:val="-99"/>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5"/>
          <w:sz w:val="20"/>
          <w:szCs w:val="20"/>
        </w:rPr>
        <w:t xml:space="preserve"> </w:t>
      </w:r>
      <w:r>
        <w:rPr>
          <w:rFonts w:ascii="宋体" w:hAnsi="宋体" w:eastAsia="宋体" w:cs="宋体"/>
          <w:b/>
          <w:bCs/>
          <w:color w:val="auto"/>
          <w:spacing w:val="-5"/>
          <w:sz w:val="20"/>
          <w:szCs w:val="20"/>
        </w:rPr>
        <w:t>月</w:t>
      </w:r>
    </w:p>
    <w:p w14:paraId="228120B6">
      <w:pPr>
        <w:spacing w:line="444" w:lineRule="auto"/>
        <w:rPr>
          <w:rFonts w:ascii="宋体" w:hAnsi="宋体" w:eastAsia="宋体" w:cs="宋体"/>
          <w:color w:val="auto"/>
          <w:sz w:val="20"/>
          <w:szCs w:val="20"/>
        </w:rPr>
        <w:sectPr>
          <w:footerReference r:id="rId22" w:type="default"/>
          <w:pgSz w:w="11906" w:h="16839"/>
          <w:pgMar w:top="1440" w:right="1080" w:bottom="1440" w:left="1080" w:header="0" w:footer="783" w:gutter="0"/>
          <w:pgNumType w:fmt="decimal"/>
          <w:cols w:space="720" w:num="1"/>
        </w:sectPr>
      </w:pPr>
    </w:p>
    <w:p w14:paraId="620E7B91">
      <w:pPr>
        <w:spacing w:before="142" w:line="225" w:lineRule="auto"/>
        <w:ind w:left="3184"/>
        <w:rPr>
          <w:rFonts w:ascii="宋体" w:hAnsi="宋体" w:eastAsia="宋体" w:cs="宋体"/>
          <w:color w:val="auto"/>
          <w:sz w:val="31"/>
          <w:szCs w:val="31"/>
        </w:rPr>
      </w:pPr>
      <w:r>
        <w:rPr>
          <w:rFonts w:ascii="宋体" w:hAnsi="宋体" w:eastAsia="宋体" w:cs="宋体"/>
          <w:b/>
          <w:bCs/>
          <w:color w:val="auto"/>
          <w:spacing w:val="5"/>
          <w:sz w:val="31"/>
          <w:szCs w:val="31"/>
        </w:rPr>
        <w:t>二、法定代表人证明</w:t>
      </w:r>
    </w:p>
    <w:p w14:paraId="1DEFECE5">
      <w:pPr>
        <w:pStyle w:val="2"/>
        <w:spacing w:line="295" w:lineRule="auto"/>
        <w:rPr>
          <w:color w:val="auto"/>
        </w:rPr>
      </w:pPr>
    </w:p>
    <w:p w14:paraId="292F32B1">
      <w:pPr>
        <w:pStyle w:val="2"/>
        <w:spacing w:line="296" w:lineRule="auto"/>
        <w:rPr>
          <w:color w:val="auto"/>
        </w:rPr>
      </w:pPr>
    </w:p>
    <w:p w14:paraId="0DD690EF">
      <w:pPr>
        <w:tabs>
          <w:tab w:val="left" w:pos="1791"/>
        </w:tabs>
        <w:spacing w:before="78" w:line="220" w:lineRule="auto"/>
        <w:ind w:left="471"/>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86"/>
          <w:sz w:val="24"/>
          <w:szCs w:val="24"/>
        </w:rPr>
        <w:t xml:space="preserve"> </w:t>
      </w:r>
      <w:r>
        <w:rPr>
          <w:rFonts w:ascii="宋体" w:hAnsi="宋体" w:eastAsia="宋体" w:cs="宋体"/>
          <w:color w:val="auto"/>
          <w:spacing w:val="-3"/>
          <w:sz w:val="24"/>
          <w:szCs w:val="24"/>
        </w:rPr>
        <w:t>同志，现任我单位</w:t>
      </w:r>
      <w:r>
        <w:rPr>
          <w:rFonts w:ascii="宋体" w:hAnsi="宋体" w:eastAsia="宋体" w:cs="宋体"/>
          <w:color w:val="auto"/>
          <w:spacing w:val="-3"/>
          <w:sz w:val="24"/>
          <w:szCs w:val="24"/>
          <w:u w:val="single" w:color="auto"/>
        </w:rPr>
        <w:t xml:space="preserve">         （职务</w:t>
      </w:r>
      <w:r>
        <w:rPr>
          <w:rFonts w:ascii="宋体" w:hAnsi="宋体" w:eastAsia="宋体" w:cs="宋体"/>
          <w:color w:val="auto"/>
          <w:spacing w:val="11"/>
          <w:sz w:val="24"/>
          <w:szCs w:val="24"/>
          <w:u w:val="single" w:color="auto"/>
        </w:rPr>
        <w:t>）</w:t>
      </w:r>
      <w:r>
        <w:rPr>
          <w:rFonts w:ascii="宋体" w:hAnsi="宋体" w:eastAsia="宋体" w:cs="宋体"/>
          <w:color w:val="auto"/>
          <w:spacing w:val="11"/>
          <w:sz w:val="24"/>
          <w:szCs w:val="24"/>
        </w:rPr>
        <w:t>，</w:t>
      </w:r>
      <w:r>
        <w:rPr>
          <w:rFonts w:ascii="宋体" w:hAnsi="宋体" w:eastAsia="宋体" w:cs="宋体"/>
          <w:color w:val="auto"/>
          <w:spacing w:val="-3"/>
          <w:sz w:val="24"/>
          <w:szCs w:val="24"/>
        </w:rPr>
        <w:t>为法定代表人，特此证明。</w:t>
      </w:r>
    </w:p>
    <w:p w14:paraId="0254EE46">
      <w:pPr>
        <w:pStyle w:val="2"/>
        <w:spacing w:line="284" w:lineRule="auto"/>
        <w:rPr>
          <w:color w:val="auto"/>
        </w:rPr>
      </w:pPr>
    </w:p>
    <w:p w14:paraId="73C115BF">
      <w:pPr>
        <w:pStyle w:val="2"/>
        <w:spacing w:line="284" w:lineRule="auto"/>
        <w:rPr>
          <w:color w:val="auto"/>
        </w:rPr>
      </w:pPr>
    </w:p>
    <w:p w14:paraId="1E952F62">
      <w:pPr>
        <w:spacing w:before="78" w:line="219" w:lineRule="auto"/>
        <w:rPr>
          <w:rFonts w:ascii="宋体" w:hAnsi="宋体" w:eastAsia="宋体" w:cs="宋体"/>
          <w:color w:val="auto"/>
          <w:sz w:val="24"/>
          <w:szCs w:val="24"/>
        </w:rPr>
      </w:pPr>
      <w:r>
        <w:rPr>
          <w:rFonts w:ascii="宋体" w:hAnsi="宋体" w:eastAsia="宋体" w:cs="宋体"/>
          <w:color w:val="auto"/>
          <w:sz w:val="24"/>
          <w:szCs w:val="24"/>
        </w:rPr>
        <w:t>签发日期：</w:t>
      </w:r>
      <w:r>
        <w:rPr>
          <w:rFonts w:ascii="宋体" w:hAnsi="宋体" w:eastAsia="宋体" w:cs="宋体"/>
          <w:color w:val="auto"/>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z w:val="24"/>
          <w:szCs w:val="24"/>
        </w:rPr>
        <w:t>有效期限：</w:t>
      </w:r>
      <w:r>
        <w:rPr>
          <w:rFonts w:ascii="宋体" w:hAnsi="宋体" w:eastAsia="宋体" w:cs="宋体"/>
          <w:color w:val="auto"/>
          <w:sz w:val="24"/>
          <w:szCs w:val="24"/>
          <w:u w:val="single" w:color="auto"/>
        </w:rPr>
        <w:t xml:space="preserve">           </w:t>
      </w:r>
      <w:r>
        <w:rPr>
          <w:rFonts w:ascii="宋体" w:hAnsi="宋体" w:eastAsia="宋体" w:cs="宋体"/>
          <w:color w:val="auto"/>
          <w:spacing w:val="-108"/>
          <w:sz w:val="24"/>
          <w:szCs w:val="24"/>
        </w:rPr>
        <w:t xml:space="preserve"> </w:t>
      </w:r>
      <w:r>
        <w:rPr>
          <w:rFonts w:ascii="宋体" w:hAnsi="宋体" w:eastAsia="宋体" w:cs="宋体"/>
          <w:color w:val="auto"/>
          <w:sz w:val="24"/>
          <w:szCs w:val="24"/>
        </w:rPr>
        <w:t>单位</w:t>
      </w:r>
      <w:r>
        <w:rPr>
          <w:rFonts w:ascii="宋体" w:hAnsi="宋体" w:eastAsia="宋体" w:cs="宋体"/>
          <w:color w:val="auto"/>
          <w:spacing w:val="-17"/>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17"/>
          <w:sz w:val="24"/>
          <w:szCs w:val="24"/>
        </w:rPr>
        <w:t>（</w:t>
      </w:r>
      <w:r>
        <w:rPr>
          <w:rFonts w:ascii="宋体" w:hAnsi="宋体" w:eastAsia="宋体" w:cs="宋体"/>
          <w:color w:val="auto"/>
          <w:sz w:val="24"/>
          <w:szCs w:val="24"/>
        </w:rPr>
        <w:t>盖章）</w:t>
      </w:r>
    </w:p>
    <w:p w14:paraId="5D8F0A6E">
      <w:pPr>
        <w:pStyle w:val="2"/>
        <w:spacing w:line="284" w:lineRule="auto"/>
        <w:rPr>
          <w:color w:val="auto"/>
        </w:rPr>
      </w:pPr>
    </w:p>
    <w:p w14:paraId="70C5F0FA">
      <w:pPr>
        <w:pStyle w:val="2"/>
        <w:spacing w:line="285" w:lineRule="auto"/>
        <w:rPr>
          <w:color w:val="auto"/>
        </w:rPr>
      </w:pPr>
    </w:p>
    <w:p w14:paraId="4CBBE8F6">
      <w:pPr>
        <w:spacing w:before="78" w:line="219" w:lineRule="auto"/>
        <w:ind w:left="19"/>
        <w:rPr>
          <w:rFonts w:ascii="宋体" w:hAnsi="宋体" w:eastAsia="宋体" w:cs="宋体"/>
          <w:color w:val="auto"/>
          <w:sz w:val="24"/>
          <w:szCs w:val="24"/>
        </w:rPr>
      </w:pPr>
      <w:r>
        <w:rPr>
          <w:rFonts w:ascii="宋体" w:hAnsi="宋体" w:eastAsia="宋体" w:cs="宋体"/>
          <w:color w:val="auto"/>
          <w:spacing w:val="-15"/>
          <w:sz w:val="24"/>
          <w:szCs w:val="24"/>
        </w:rPr>
        <w:t>附：</w:t>
      </w:r>
    </w:p>
    <w:p w14:paraId="3A377DE1">
      <w:pPr>
        <w:spacing w:before="183" w:line="220" w:lineRule="auto"/>
        <w:rPr>
          <w:rFonts w:ascii="宋体" w:hAnsi="宋体" w:eastAsia="宋体" w:cs="宋体"/>
          <w:color w:val="auto"/>
          <w:sz w:val="24"/>
          <w:szCs w:val="24"/>
        </w:rPr>
      </w:pPr>
      <w:r>
        <w:rPr>
          <w:rFonts w:ascii="宋体" w:hAnsi="宋体" w:eastAsia="宋体" w:cs="宋体"/>
          <w:color w:val="auto"/>
          <w:spacing w:val="-2"/>
          <w:sz w:val="24"/>
          <w:szCs w:val="24"/>
        </w:rPr>
        <w:t>代表人性别：</w:t>
      </w:r>
    </w:p>
    <w:p w14:paraId="01E86B57">
      <w:pPr>
        <w:spacing w:before="182" w:line="220" w:lineRule="auto"/>
        <w:ind w:left="1"/>
        <w:rPr>
          <w:rFonts w:ascii="宋体" w:hAnsi="宋体" w:eastAsia="宋体" w:cs="宋体"/>
          <w:color w:val="auto"/>
          <w:sz w:val="24"/>
          <w:szCs w:val="24"/>
        </w:rPr>
      </w:pPr>
      <w:r>
        <w:rPr>
          <w:rFonts w:ascii="宋体" w:hAnsi="宋体" w:eastAsia="宋体" w:cs="宋体"/>
          <w:color w:val="auto"/>
          <w:spacing w:val="-4"/>
          <w:sz w:val="24"/>
          <w:szCs w:val="24"/>
        </w:rPr>
        <w:t>年龄：</w:t>
      </w:r>
    </w:p>
    <w:p w14:paraId="619C00FF">
      <w:pPr>
        <w:spacing w:before="182" w:line="220" w:lineRule="auto"/>
        <w:ind w:left="7"/>
        <w:rPr>
          <w:rFonts w:ascii="宋体" w:hAnsi="宋体" w:eastAsia="宋体" w:cs="宋体"/>
          <w:color w:val="auto"/>
          <w:sz w:val="24"/>
          <w:szCs w:val="24"/>
        </w:rPr>
      </w:pPr>
      <w:r>
        <w:rPr>
          <w:rFonts w:ascii="宋体" w:hAnsi="宋体" w:eastAsia="宋体" w:cs="宋体"/>
          <w:color w:val="auto"/>
          <w:spacing w:val="-3"/>
          <w:sz w:val="24"/>
          <w:szCs w:val="24"/>
        </w:rPr>
        <w:t>身份证号码：</w:t>
      </w:r>
    </w:p>
    <w:p w14:paraId="23C30E25">
      <w:pPr>
        <w:spacing w:before="182" w:line="220" w:lineRule="auto"/>
        <w:ind w:left="8"/>
        <w:rPr>
          <w:rFonts w:ascii="宋体" w:hAnsi="宋体" w:eastAsia="宋体" w:cs="宋体"/>
          <w:color w:val="auto"/>
          <w:sz w:val="24"/>
          <w:szCs w:val="24"/>
        </w:rPr>
      </w:pPr>
      <w:r>
        <w:rPr>
          <w:rFonts w:ascii="宋体" w:hAnsi="宋体" w:eastAsia="宋体" w:cs="宋体"/>
          <w:color w:val="auto"/>
          <w:spacing w:val="-3"/>
          <w:sz w:val="24"/>
          <w:szCs w:val="24"/>
        </w:rPr>
        <w:t>营业执照（注册号</w:t>
      </w:r>
      <w:r>
        <w:rPr>
          <w:rFonts w:ascii="宋体" w:hAnsi="宋体" w:eastAsia="宋体" w:cs="宋体"/>
          <w:color w:val="auto"/>
          <w:spacing w:val="3"/>
          <w:sz w:val="24"/>
          <w:szCs w:val="24"/>
        </w:rPr>
        <w:t>）：</w:t>
      </w:r>
    </w:p>
    <w:p w14:paraId="2C504337">
      <w:pPr>
        <w:spacing w:before="182" w:line="221" w:lineRule="auto"/>
        <w:ind w:left="2"/>
        <w:rPr>
          <w:rFonts w:ascii="宋体" w:hAnsi="宋体" w:eastAsia="宋体" w:cs="宋体"/>
          <w:color w:val="auto"/>
          <w:sz w:val="24"/>
          <w:szCs w:val="24"/>
        </w:rPr>
      </w:pPr>
      <w:r>
        <w:rPr>
          <w:rFonts w:ascii="宋体" w:hAnsi="宋体" w:eastAsia="宋体" w:cs="宋体"/>
          <w:color w:val="auto"/>
          <w:spacing w:val="-3"/>
          <w:sz w:val="24"/>
          <w:szCs w:val="24"/>
        </w:rPr>
        <w:t>经济性质：</w:t>
      </w:r>
    </w:p>
    <w:p w14:paraId="12688574">
      <w:pPr>
        <w:spacing w:before="180" w:line="221" w:lineRule="auto"/>
        <w:ind w:left="2"/>
        <w:rPr>
          <w:rFonts w:ascii="宋体" w:hAnsi="宋体" w:eastAsia="宋体" w:cs="宋体"/>
          <w:color w:val="auto"/>
          <w:sz w:val="24"/>
          <w:szCs w:val="24"/>
        </w:rPr>
      </w:pPr>
      <w:r>
        <w:rPr>
          <w:rFonts w:ascii="宋体" w:hAnsi="宋体" w:eastAsia="宋体" w:cs="宋体"/>
          <w:color w:val="auto"/>
          <w:spacing w:val="-4"/>
          <w:sz w:val="24"/>
          <w:szCs w:val="24"/>
        </w:rPr>
        <w:t>主营：</w:t>
      </w:r>
    </w:p>
    <w:p w14:paraId="040C48DB">
      <w:pPr>
        <w:spacing w:before="26"/>
        <w:rPr>
          <w:color w:val="auto"/>
        </w:rPr>
      </w:pPr>
    </w:p>
    <w:p w14:paraId="0E1CA387">
      <w:pPr>
        <w:spacing w:before="26"/>
        <w:rPr>
          <w:color w:val="auto"/>
        </w:rPr>
      </w:pPr>
    </w:p>
    <w:tbl>
      <w:tblPr>
        <w:tblStyle w:val="15"/>
        <w:tblW w:w="6743" w:type="dxa"/>
        <w:tblInd w:w="123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743"/>
      </w:tblGrid>
      <w:tr w14:paraId="3397DFF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89" w:hRule="atLeast"/>
        </w:trPr>
        <w:tc>
          <w:tcPr>
            <w:tcW w:w="6743" w:type="dxa"/>
            <w:vAlign w:val="top"/>
          </w:tcPr>
          <w:p w14:paraId="069BC809">
            <w:pPr>
              <w:spacing w:line="271" w:lineRule="auto"/>
              <w:rPr>
                <w:rFonts w:ascii="Arial"/>
                <w:color w:val="auto"/>
                <w:sz w:val="21"/>
              </w:rPr>
            </w:pPr>
          </w:p>
          <w:p w14:paraId="1B3F9D36">
            <w:pPr>
              <w:spacing w:line="271" w:lineRule="auto"/>
              <w:rPr>
                <w:rFonts w:ascii="Arial"/>
                <w:color w:val="auto"/>
                <w:sz w:val="21"/>
              </w:rPr>
            </w:pPr>
          </w:p>
          <w:p w14:paraId="732EA21F">
            <w:pPr>
              <w:spacing w:line="271" w:lineRule="auto"/>
              <w:rPr>
                <w:rFonts w:ascii="Arial"/>
                <w:color w:val="auto"/>
                <w:sz w:val="21"/>
              </w:rPr>
            </w:pPr>
          </w:p>
          <w:p w14:paraId="15863BF5">
            <w:pPr>
              <w:spacing w:line="271" w:lineRule="auto"/>
              <w:rPr>
                <w:rFonts w:ascii="Arial"/>
                <w:color w:val="auto"/>
                <w:sz w:val="21"/>
              </w:rPr>
            </w:pPr>
          </w:p>
          <w:p w14:paraId="7F8C7A55">
            <w:pPr>
              <w:spacing w:line="271" w:lineRule="auto"/>
              <w:rPr>
                <w:rFonts w:ascii="Arial"/>
                <w:color w:val="auto"/>
                <w:sz w:val="21"/>
              </w:rPr>
            </w:pPr>
          </w:p>
          <w:p w14:paraId="0B33975B">
            <w:pPr>
              <w:pStyle w:val="16"/>
              <w:spacing w:before="78" w:line="220" w:lineRule="auto"/>
              <w:ind w:left="2777"/>
              <w:rPr>
                <w:color w:val="auto"/>
              </w:rPr>
            </w:pPr>
            <w:r>
              <w:rPr>
                <w:b/>
                <w:bCs/>
                <w:color w:val="auto"/>
                <w:spacing w:val="-4"/>
              </w:rPr>
              <w:t>法定代表人</w:t>
            </w:r>
          </w:p>
          <w:p w14:paraId="7F5304F5">
            <w:pPr>
              <w:pStyle w:val="16"/>
              <w:spacing w:before="182" w:line="220" w:lineRule="auto"/>
              <w:ind w:left="1331"/>
              <w:rPr>
                <w:color w:val="auto"/>
              </w:rPr>
            </w:pPr>
            <w:r>
              <w:rPr>
                <w:b/>
                <w:bCs/>
                <w:color w:val="auto"/>
                <w:spacing w:val="-3"/>
              </w:rPr>
              <w:t>居民身份证复印件粘贴处（正、反面）</w:t>
            </w:r>
          </w:p>
        </w:tc>
      </w:tr>
    </w:tbl>
    <w:p w14:paraId="23B7C3FF">
      <w:pPr>
        <w:pStyle w:val="2"/>
        <w:rPr>
          <w:color w:val="auto"/>
        </w:rPr>
      </w:pPr>
    </w:p>
    <w:p w14:paraId="1A6649C6">
      <w:pPr>
        <w:rPr>
          <w:color w:val="auto"/>
        </w:rPr>
        <w:sectPr>
          <w:footerReference r:id="rId23" w:type="default"/>
          <w:pgSz w:w="11906" w:h="16839"/>
          <w:pgMar w:top="1440" w:right="1080" w:bottom="1440" w:left="1080" w:header="0" w:footer="783" w:gutter="0"/>
          <w:pgNumType w:fmt="decimal"/>
          <w:cols w:space="720" w:num="1"/>
        </w:sectPr>
      </w:pPr>
    </w:p>
    <w:p w14:paraId="09AF3078">
      <w:pPr>
        <w:spacing w:before="140" w:line="225" w:lineRule="auto"/>
        <w:ind w:left="3498"/>
        <w:rPr>
          <w:rFonts w:ascii="宋体" w:hAnsi="宋体" w:eastAsia="宋体" w:cs="宋体"/>
          <w:color w:val="auto"/>
          <w:sz w:val="31"/>
          <w:szCs w:val="31"/>
        </w:rPr>
      </w:pPr>
      <w:r>
        <w:rPr>
          <w:rFonts w:ascii="宋体" w:hAnsi="宋体" w:eastAsia="宋体" w:cs="宋体"/>
          <w:b/>
          <w:bCs/>
          <w:color w:val="auto"/>
          <w:spacing w:val="5"/>
          <w:sz w:val="31"/>
          <w:szCs w:val="31"/>
        </w:rPr>
        <w:t>三、授权委托书</w:t>
      </w:r>
    </w:p>
    <w:p w14:paraId="01549E26">
      <w:pPr>
        <w:pStyle w:val="2"/>
        <w:spacing w:line="296" w:lineRule="auto"/>
        <w:rPr>
          <w:color w:val="auto"/>
        </w:rPr>
      </w:pPr>
    </w:p>
    <w:p w14:paraId="219B1A01">
      <w:pPr>
        <w:pStyle w:val="2"/>
        <w:spacing w:line="296" w:lineRule="auto"/>
        <w:rPr>
          <w:color w:val="auto"/>
        </w:rPr>
      </w:pPr>
    </w:p>
    <w:p w14:paraId="3ADDD3DC">
      <w:pPr>
        <w:spacing w:before="78" w:line="360" w:lineRule="auto"/>
        <w:ind w:firstLine="481"/>
        <w:jc w:val="both"/>
        <w:rPr>
          <w:rFonts w:ascii="宋体" w:hAnsi="宋体" w:eastAsia="宋体" w:cs="宋体"/>
          <w:color w:val="auto"/>
          <w:sz w:val="24"/>
          <w:szCs w:val="24"/>
        </w:rPr>
      </w:pPr>
      <w:r>
        <w:rPr>
          <w:rFonts w:ascii="宋体" w:hAnsi="宋体" w:eastAsia="宋体" w:cs="宋体"/>
          <w:color w:val="auto"/>
          <w:spacing w:val="1"/>
          <w:sz w:val="24"/>
          <w:szCs w:val="24"/>
        </w:rPr>
        <w:t>本授权书声明</w:t>
      </w:r>
      <w:r>
        <w:rPr>
          <w:rFonts w:ascii="宋体" w:hAnsi="宋体" w:eastAsia="宋体" w:cs="宋体"/>
          <w:color w:val="auto"/>
          <w:spacing w:val="-18"/>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18"/>
          <w:sz w:val="24"/>
          <w:szCs w:val="24"/>
          <w:u w:val="single" w:color="auto"/>
        </w:rPr>
        <w:t>（</w:t>
      </w:r>
      <w:r>
        <w:rPr>
          <w:rFonts w:ascii="宋体" w:hAnsi="宋体" w:eastAsia="宋体" w:cs="宋体"/>
          <w:color w:val="auto"/>
          <w:spacing w:val="1"/>
          <w:sz w:val="24"/>
          <w:szCs w:val="24"/>
          <w:u w:val="single" w:color="auto"/>
        </w:rPr>
        <w:t>公司）</w:t>
      </w:r>
      <w:r>
        <w:rPr>
          <w:rFonts w:ascii="宋体" w:hAnsi="宋体" w:eastAsia="宋体" w:cs="宋体"/>
          <w:color w:val="auto"/>
          <w:spacing w:val="1"/>
          <w:sz w:val="24"/>
          <w:szCs w:val="24"/>
        </w:rPr>
        <w:t>的</w:t>
      </w:r>
      <w:r>
        <w:rPr>
          <w:rFonts w:ascii="宋体" w:hAnsi="宋体" w:eastAsia="宋体" w:cs="宋体"/>
          <w:color w:val="auto"/>
          <w:spacing w:val="1"/>
          <w:sz w:val="24"/>
          <w:szCs w:val="24"/>
          <w:u w:val="single" w:color="auto"/>
        </w:rPr>
        <w:t>（法人代表姓名、职务）</w:t>
      </w:r>
      <w:r>
        <w:rPr>
          <w:rFonts w:ascii="宋体" w:hAnsi="宋体" w:eastAsia="宋体" w:cs="宋体"/>
          <w:color w:val="auto"/>
          <w:spacing w:val="1"/>
          <w:sz w:val="24"/>
          <w:szCs w:val="24"/>
        </w:rPr>
        <w:t>代表</w:t>
      </w:r>
      <w:r>
        <w:rPr>
          <w:rFonts w:ascii="宋体" w:hAnsi="宋体" w:eastAsia="宋体" w:cs="宋体"/>
          <w:color w:val="auto"/>
          <w:sz w:val="24"/>
          <w:szCs w:val="24"/>
        </w:rPr>
        <w:t>本公司授权</w:t>
      </w:r>
      <w:r>
        <w:rPr>
          <w:rFonts w:ascii="宋体" w:hAnsi="宋体" w:eastAsia="宋体" w:cs="宋体"/>
          <w:color w:val="auto"/>
          <w:sz w:val="24"/>
          <w:szCs w:val="24"/>
          <w:u w:val="single" w:color="auto"/>
        </w:rPr>
        <w:t>（被</w:t>
      </w:r>
      <w:r>
        <w:rPr>
          <w:rFonts w:ascii="宋体" w:hAnsi="宋体" w:eastAsia="宋体" w:cs="宋体"/>
          <w:color w:val="auto"/>
          <w:spacing w:val="-6"/>
          <w:sz w:val="24"/>
          <w:szCs w:val="24"/>
          <w:u w:val="single" w:color="auto"/>
        </w:rPr>
        <w:t>授权人姓名、职务）</w:t>
      </w:r>
      <w:r>
        <w:rPr>
          <w:rFonts w:ascii="宋体" w:hAnsi="宋体" w:eastAsia="宋体" w:cs="宋体"/>
          <w:color w:val="auto"/>
          <w:spacing w:val="-6"/>
          <w:sz w:val="24"/>
          <w:szCs w:val="24"/>
        </w:rPr>
        <w:t>为本公司的合法代理人就参加项目编号为：</w:t>
      </w:r>
      <w:r>
        <w:rPr>
          <w:rFonts w:ascii="宋体" w:hAnsi="宋体" w:eastAsia="宋体" w:cs="宋体"/>
          <w:color w:val="auto"/>
          <w:spacing w:val="-6"/>
          <w:sz w:val="24"/>
          <w:szCs w:val="24"/>
          <w:u w:val="single" w:color="auto"/>
        </w:rPr>
        <w:t xml:space="preserve">         </w:t>
      </w:r>
      <w:r>
        <w:rPr>
          <w:rFonts w:ascii="宋体" w:hAnsi="宋体" w:eastAsia="宋体" w:cs="宋体"/>
          <w:color w:val="auto"/>
          <w:spacing w:val="-82"/>
          <w:sz w:val="24"/>
          <w:szCs w:val="24"/>
        </w:rPr>
        <w:t xml:space="preserve"> </w:t>
      </w:r>
      <w:r>
        <w:rPr>
          <w:rFonts w:ascii="宋体" w:hAnsi="宋体" w:eastAsia="宋体" w:cs="宋体"/>
          <w:color w:val="auto"/>
          <w:spacing w:val="-6"/>
          <w:sz w:val="24"/>
          <w:szCs w:val="24"/>
        </w:rPr>
        <w:t xml:space="preserve">的 </w:t>
      </w:r>
      <w:r>
        <w:rPr>
          <w:rFonts w:ascii="宋体" w:hAnsi="宋体" w:eastAsia="宋体" w:cs="宋体"/>
          <w:color w:val="auto"/>
          <w:spacing w:val="-6"/>
          <w:sz w:val="24"/>
          <w:szCs w:val="24"/>
          <w:u w:val="single" w:color="auto"/>
        </w:rPr>
        <w:t xml:space="preserve">     </w:t>
      </w:r>
      <w:r>
        <w:rPr>
          <w:rFonts w:ascii="宋体" w:hAnsi="宋体" w:eastAsia="宋体" w:cs="宋体"/>
          <w:color w:val="auto"/>
          <w:spacing w:val="-6"/>
          <w:sz w:val="24"/>
          <w:szCs w:val="24"/>
        </w:rPr>
        <w:t xml:space="preserve">  </w:t>
      </w:r>
      <w:r>
        <w:rPr>
          <w:rFonts w:ascii="宋体" w:hAnsi="宋体" w:eastAsia="宋体" w:cs="宋体"/>
          <w:color w:val="auto"/>
          <w:spacing w:val="-6"/>
          <w:sz w:val="24"/>
          <w:szCs w:val="24"/>
          <w:u w:val="single" w:color="auto"/>
        </w:rPr>
        <w:t>（项</w:t>
      </w:r>
      <w:r>
        <w:rPr>
          <w:rFonts w:ascii="宋体" w:hAnsi="宋体" w:eastAsia="宋体" w:cs="宋体"/>
          <w:color w:val="auto"/>
          <w:spacing w:val="-1"/>
          <w:sz w:val="24"/>
          <w:szCs w:val="24"/>
          <w:u w:val="single" w:color="auto"/>
        </w:rPr>
        <w:t xml:space="preserve">目名称） </w:t>
      </w:r>
      <w:r>
        <w:rPr>
          <w:rFonts w:ascii="宋体" w:hAnsi="宋体" w:eastAsia="宋体" w:cs="宋体"/>
          <w:color w:val="auto"/>
          <w:spacing w:val="-91"/>
          <w:sz w:val="24"/>
          <w:szCs w:val="24"/>
        </w:rPr>
        <w:t xml:space="preserve"> </w:t>
      </w:r>
      <w:r>
        <w:rPr>
          <w:rFonts w:ascii="宋体" w:hAnsi="宋体" w:eastAsia="宋体" w:cs="宋体"/>
          <w:color w:val="auto"/>
          <w:spacing w:val="-1"/>
          <w:sz w:val="24"/>
          <w:szCs w:val="24"/>
        </w:rPr>
        <w:t>的投标、签订合同，以及合同的执行等，以本公司的名义处理一切与之有关的</w:t>
      </w:r>
      <w:r>
        <w:rPr>
          <w:rFonts w:ascii="宋体" w:hAnsi="宋体" w:eastAsia="宋体" w:cs="宋体"/>
          <w:color w:val="auto"/>
          <w:spacing w:val="-2"/>
          <w:sz w:val="24"/>
          <w:szCs w:val="24"/>
        </w:rPr>
        <w:t>事务。特此声明。</w:t>
      </w:r>
    </w:p>
    <w:p w14:paraId="2B19B3EE">
      <w:pPr>
        <w:spacing w:line="219" w:lineRule="auto"/>
        <w:ind w:left="482"/>
        <w:rPr>
          <w:rFonts w:ascii="宋体" w:hAnsi="宋体" w:eastAsia="宋体" w:cs="宋体"/>
          <w:color w:val="auto"/>
          <w:sz w:val="24"/>
          <w:szCs w:val="24"/>
        </w:rPr>
      </w:pPr>
      <w:r>
        <w:rPr>
          <w:rFonts w:ascii="宋体" w:hAnsi="宋体" w:eastAsia="宋体" w:cs="宋体"/>
          <w:color w:val="auto"/>
          <w:spacing w:val="-2"/>
          <w:sz w:val="24"/>
          <w:szCs w:val="24"/>
        </w:rPr>
        <w:t>单位名称（加盖公章</w:t>
      </w:r>
      <w:r>
        <w:rPr>
          <w:rFonts w:ascii="宋体" w:hAnsi="宋体" w:eastAsia="宋体" w:cs="宋体"/>
          <w:color w:val="auto"/>
          <w:spacing w:val="2"/>
          <w:sz w:val="24"/>
          <w:szCs w:val="24"/>
        </w:rPr>
        <w:t>）：</w:t>
      </w:r>
    </w:p>
    <w:p w14:paraId="424F0D58">
      <w:pPr>
        <w:spacing w:before="183" w:line="229" w:lineRule="auto"/>
        <w:ind w:left="480"/>
        <w:rPr>
          <w:rFonts w:ascii="宋体" w:hAnsi="宋体" w:eastAsia="宋体" w:cs="宋体"/>
          <w:color w:val="auto"/>
          <w:sz w:val="24"/>
          <w:szCs w:val="24"/>
        </w:rPr>
      </w:pPr>
      <w:r>
        <w:rPr>
          <w:rFonts w:ascii="宋体" w:hAnsi="宋体" w:eastAsia="宋体" w:cs="宋体"/>
          <w:color w:val="auto"/>
          <w:spacing w:val="-4"/>
          <w:sz w:val="24"/>
          <w:szCs w:val="24"/>
        </w:rPr>
        <w:t>地址：</w:t>
      </w:r>
    </w:p>
    <w:p w14:paraId="2AC161FC">
      <w:pPr>
        <w:spacing w:before="170" w:line="220" w:lineRule="auto"/>
        <w:ind w:left="481"/>
        <w:rPr>
          <w:rFonts w:ascii="宋体" w:hAnsi="宋体" w:eastAsia="宋体" w:cs="宋体"/>
          <w:color w:val="auto"/>
          <w:sz w:val="24"/>
          <w:szCs w:val="24"/>
        </w:rPr>
      </w:pPr>
      <w:r>
        <w:rPr>
          <w:rFonts w:ascii="宋体" w:hAnsi="宋体" w:eastAsia="宋体" w:cs="宋体"/>
          <w:color w:val="auto"/>
          <w:spacing w:val="-2"/>
          <w:sz w:val="24"/>
          <w:szCs w:val="24"/>
        </w:rPr>
        <w:t>法定代表人签字：</w:t>
      </w:r>
    </w:p>
    <w:p w14:paraId="3070ACBC">
      <w:pPr>
        <w:spacing w:before="182" w:line="220" w:lineRule="auto"/>
        <w:ind w:left="483"/>
        <w:rPr>
          <w:rFonts w:ascii="宋体" w:hAnsi="宋体" w:eastAsia="宋体" w:cs="宋体"/>
          <w:color w:val="auto"/>
          <w:sz w:val="24"/>
          <w:szCs w:val="24"/>
        </w:rPr>
      </w:pPr>
      <w:r>
        <w:rPr>
          <w:rFonts w:ascii="宋体" w:hAnsi="宋体" w:eastAsia="宋体" w:cs="宋体"/>
          <w:color w:val="auto"/>
          <w:spacing w:val="-1"/>
          <w:sz w:val="24"/>
          <w:szCs w:val="24"/>
        </w:rPr>
        <w:t>投标代表人（被授权人）签字：</w:t>
      </w:r>
    </w:p>
    <w:p w14:paraId="6E6DEF97">
      <w:pPr>
        <w:spacing w:before="26"/>
        <w:rPr>
          <w:color w:val="auto"/>
        </w:rPr>
      </w:pPr>
    </w:p>
    <w:p w14:paraId="3DE0C2AF">
      <w:pPr>
        <w:spacing w:before="26"/>
        <w:rPr>
          <w:color w:val="auto"/>
        </w:rPr>
      </w:pPr>
    </w:p>
    <w:tbl>
      <w:tblPr>
        <w:tblStyle w:val="15"/>
        <w:tblW w:w="5165" w:type="dxa"/>
        <w:tblInd w:w="1244"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
      <w:tblGrid>
        <w:gridCol w:w="5165"/>
      </w:tblGrid>
      <w:tr w14:paraId="5DD682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2549" w:hRule="atLeast"/>
        </w:trPr>
        <w:tc>
          <w:tcPr>
            <w:tcW w:w="5165" w:type="dxa"/>
            <w:vAlign w:val="top"/>
          </w:tcPr>
          <w:p w14:paraId="2F618581">
            <w:pPr>
              <w:spacing w:line="279" w:lineRule="auto"/>
              <w:rPr>
                <w:rFonts w:ascii="Arial"/>
                <w:color w:val="auto"/>
                <w:sz w:val="21"/>
              </w:rPr>
            </w:pPr>
          </w:p>
          <w:p w14:paraId="4F77991F">
            <w:pPr>
              <w:spacing w:line="280" w:lineRule="auto"/>
              <w:rPr>
                <w:rFonts w:ascii="Arial"/>
                <w:color w:val="auto"/>
                <w:sz w:val="21"/>
              </w:rPr>
            </w:pPr>
          </w:p>
          <w:p w14:paraId="07864F77">
            <w:pPr>
              <w:spacing w:line="280" w:lineRule="auto"/>
              <w:rPr>
                <w:rFonts w:ascii="Arial"/>
                <w:color w:val="auto"/>
                <w:sz w:val="21"/>
              </w:rPr>
            </w:pPr>
          </w:p>
          <w:p w14:paraId="6BCA2774">
            <w:pPr>
              <w:pStyle w:val="16"/>
              <w:spacing w:before="78" w:line="220" w:lineRule="auto"/>
              <w:ind w:left="1982"/>
              <w:rPr>
                <w:color w:val="auto"/>
              </w:rPr>
            </w:pPr>
            <w:r>
              <w:rPr>
                <w:b/>
                <w:bCs/>
                <w:color w:val="auto"/>
                <w:spacing w:val="-4"/>
              </w:rPr>
              <w:t>法定代表人</w:t>
            </w:r>
          </w:p>
          <w:p w14:paraId="65948B54">
            <w:pPr>
              <w:pStyle w:val="16"/>
              <w:spacing w:before="182" w:line="220" w:lineRule="auto"/>
              <w:ind w:left="539"/>
              <w:rPr>
                <w:color w:val="auto"/>
              </w:rPr>
            </w:pPr>
            <w:r>
              <w:rPr>
                <w:b/>
                <w:bCs/>
                <w:color w:val="auto"/>
                <w:spacing w:val="-3"/>
              </w:rPr>
              <w:t>居民身份证复印件粘贴处（正、反面）</w:t>
            </w:r>
          </w:p>
        </w:tc>
      </w:tr>
    </w:tbl>
    <w:p w14:paraId="129533B4">
      <w:pPr>
        <w:spacing w:before="228"/>
        <w:rPr>
          <w:color w:val="auto"/>
        </w:rPr>
      </w:pPr>
    </w:p>
    <w:tbl>
      <w:tblPr>
        <w:tblStyle w:val="15"/>
        <w:tblW w:w="5094" w:type="dxa"/>
        <w:tblInd w:w="134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094"/>
      </w:tblGrid>
      <w:tr w14:paraId="5AF280F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59" w:hRule="atLeast"/>
        </w:trPr>
        <w:tc>
          <w:tcPr>
            <w:tcW w:w="5094" w:type="dxa"/>
            <w:vAlign w:val="top"/>
          </w:tcPr>
          <w:p w14:paraId="391E4A64">
            <w:pPr>
              <w:spacing w:line="247" w:lineRule="auto"/>
              <w:rPr>
                <w:rFonts w:ascii="Arial"/>
                <w:color w:val="auto"/>
                <w:sz w:val="21"/>
              </w:rPr>
            </w:pPr>
          </w:p>
          <w:p w14:paraId="157451F0">
            <w:pPr>
              <w:spacing w:line="248" w:lineRule="auto"/>
              <w:rPr>
                <w:rFonts w:ascii="Arial"/>
                <w:color w:val="auto"/>
                <w:sz w:val="21"/>
              </w:rPr>
            </w:pPr>
          </w:p>
          <w:p w14:paraId="166FFC8F">
            <w:pPr>
              <w:spacing w:line="248" w:lineRule="auto"/>
              <w:rPr>
                <w:rFonts w:ascii="Arial"/>
                <w:color w:val="auto"/>
                <w:sz w:val="21"/>
              </w:rPr>
            </w:pPr>
          </w:p>
          <w:p w14:paraId="4DD53AAD">
            <w:pPr>
              <w:spacing w:line="248" w:lineRule="auto"/>
              <w:rPr>
                <w:rFonts w:ascii="Arial"/>
                <w:color w:val="auto"/>
                <w:sz w:val="21"/>
              </w:rPr>
            </w:pPr>
          </w:p>
          <w:p w14:paraId="7FB895A2">
            <w:pPr>
              <w:pStyle w:val="16"/>
              <w:spacing w:before="78" w:line="220" w:lineRule="auto"/>
              <w:ind w:left="1402"/>
              <w:rPr>
                <w:color w:val="auto"/>
              </w:rPr>
            </w:pPr>
            <w:r>
              <w:rPr>
                <w:b/>
                <w:bCs/>
                <w:color w:val="auto"/>
                <w:spacing w:val="-3"/>
              </w:rPr>
              <w:t>被授权人（授权代表）</w:t>
            </w:r>
          </w:p>
          <w:p w14:paraId="02C82A9B">
            <w:pPr>
              <w:pStyle w:val="16"/>
              <w:spacing w:before="182" w:line="220" w:lineRule="auto"/>
              <w:ind w:left="561"/>
              <w:rPr>
                <w:color w:val="auto"/>
              </w:rPr>
            </w:pPr>
            <w:r>
              <w:rPr>
                <w:b/>
                <w:bCs/>
                <w:color w:val="auto"/>
                <w:spacing w:val="-3"/>
              </w:rPr>
              <w:t>居民身份证复印件粘贴处（正、反面）</w:t>
            </w:r>
          </w:p>
        </w:tc>
      </w:tr>
    </w:tbl>
    <w:p w14:paraId="1CAF4E0B">
      <w:pPr>
        <w:pStyle w:val="2"/>
        <w:spacing w:line="251" w:lineRule="auto"/>
        <w:rPr>
          <w:color w:val="auto"/>
        </w:rPr>
      </w:pPr>
    </w:p>
    <w:p w14:paraId="30042886">
      <w:pPr>
        <w:pStyle w:val="2"/>
        <w:spacing w:line="252" w:lineRule="auto"/>
        <w:rPr>
          <w:color w:val="auto"/>
        </w:rPr>
      </w:pPr>
    </w:p>
    <w:p w14:paraId="5E0D9E28">
      <w:pPr>
        <w:bidi w:val="0"/>
        <w:rPr>
          <w:rFonts w:ascii="宋体" w:hAnsi="宋体" w:eastAsia="宋体" w:cs="宋体"/>
          <w:color w:val="auto"/>
          <w:sz w:val="24"/>
          <w:szCs w:val="24"/>
        </w:rPr>
      </w:pPr>
      <w:bookmarkStart w:id="23" w:name="_Toc12879"/>
      <w:r>
        <w:rPr>
          <w:rFonts w:ascii="宋体" w:hAnsi="宋体" w:eastAsia="宋体" w:cs="宋体"/>
          <w:color w:val="auto"/>
          <w:spacing w:val="-2"/>
          <w:sz w:val="24"/>
          <w:szCs w:val="24"/>
        </w:rPr>
        <w:t>签署日期：</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2"/>
          <w:sz w:val="24"/>
          <w:szCs w:val="24"/>
        </w:rPr>
        <w:t>年</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04"/>
          <w:sz w:val="24"/>
          <w:szCs w:val="24"/>
        </w:rPr>
        <w:t xml:space="preserve"> </w:t>
      </w:r>
      <w:r>
        <w:rPr>
          <w:rFonts w:ascii="宋体" w:hAnsi="宋体" w:eastAsia="宋体" w:cs="宋体"/>
          <w:color w:val="auto"/>
          <w:spacing w:val="-2"/>
          <w:sz w:val="24"/>
          <w:szCs w:val="24"/>
        </w:rPr>
        <w:t>月</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69"/>
          <w:sz w:val="24"/>
          <w:szCs w:val="24"/>
        </w:rPr>
        <w:t xml:space="preserve"> </w:t>
      </w:r>
      <w:r>
        <w:rPr>
          <w:rFonts w:ascii="宋体" w:hAnsi="宋体" w:eastAsia="宋体" w:cs="宋体"/>
          <w:color w:val="auto"/>
          <w:spacing w:val="-2"/>
          <w:sz w:val="24"/>
          <w:szCs w:val="24"/>
        </w:rPr>
        <w:t>日</w:t>
      </w:r>
      <w:bookmarkEnd w:id="23"/>
    </w:p>
    <w:p w14:paraId="43453F11">
      <w:pPr>
        <w:spacing w:line="220" w:lineRule="auto"/>
        <w:rPr>
          <w:rFonts w:ascii="宋体" w:hAnsi="宋体" w:eastAsia="宋体" w:cs="宋体"/>
          <w:color w:val="auto"/>
          <w:sz w:val="24"/>
          <w:szCs w:val="24"/>
        </w:rPr>
        <w:sectPr>
          <w:footerReference r:id="rId24" w:type="default"/>
          <w:pgSz w:w="11906" w:h="16839"/>
          <w:pgMar w:top="1440" w:right="1080" w:bottom="1440" w:left="1080" w:header="0" w:footer="783" w:gutter="0"/>
          <w:pgNumType w:fmt="decimal"/>
          <w:cols w:space="720" w:num="1"/>
        </w:sectPr>
      </w:pPr>
    </w:p>
    <w:p w14:paraId="74C0D439">
      <w:pPr>
        <w:spacing w:before="340" w:line="226" w:lineRule="auto"/>
        <w:ind w:left="3670"/>
        <w:rPr>
          <w:rFonts w:ascii="宋体" w:hAnsi="宋体" w:eastAsia="宋体" w:cs="宋体"/>
          <w:color w:val="auto"/>
          <w:sz w:val="28"/>
          <w:szCs w:val="28"/>
        </w:rPr>
      </w:pPr>
      <w:r>
        <w:rPr>
          <w:rFonts w:ascii="宋体" w:hAnsi="宋体" w:eastAsia="宋体" w:cs="宋体"/>
          <w:b/>
          <w:bCs/>
          <w:color w:val="auto"/>
          <w:spacing w:val="-6"/>
          <w:sz w:val="31"/>
          <w:szCs w:val="31"/>
        </w:rPr>
        <w:t>四、</w:t>
      </w:r>
      <w:r>
        <w:rPr>
          <w:rFonts w:ascii="宋体" w:hAnsi="宋体" w:eastAsia="宋体" w:cs="宋体"/>
          <w:b/>
          <w:bCs/>
          <w:color w:val="auto"/>
          <w:spacing w:val="-6"/>
          <w:sz w:val="28"/>
          <w:szCs w:val="28"/>
        </w:rPr>
        <w:t>首次报价表</w:t>
      </w:r>
    </w:p>
    <w:p w14:paraId="5EA740D6">
      <w:pPr>
        <w:spacing w:before="123" w:line="229" w:lineRule="auto"/>
        <w:ind w:left="44"/>
        <w:rPr>
          <w:rFonts w:ascii="宋体" w:hAnsi="宋体" w:eastAsia="宋体" w:cs="宋体"/>
          <w:color w:val="auto"/>
          <w:sz w:val="20"/>
          <w:szCs w:val="20"/>
        </w:rPr>
      </w:pPr>
      <w:r>
        <w:rPr>
          <w:rFonts w:ascii="宋体" w:hAnsi="宋体" w:eastAsia="宋体" w:cs="宋体"/>
          <w:color w:val="auto"/>
          <w:spacing w:val="5"/>
          <w:sz w:val="20"/>
          <w:szCs w:val="20"/>
        </w:rPr>
        <w:t>项目名称：</w:t>
      </w:r>
    </w:p>
    <w:p w14:paraId="0B4AA25B">
      <w:pPr>
        <w:spacing w:before="160" w:line="228" w:lineRule="auto"/>
        <w:ind w:left="42"/>
        <w:rPr>
          <w:rFonts w:ascii="宋体" w:hAnsi="宋体" w:eastAsia="宋体" w:cs="宋体"/>
          <w:color w:val="auto"/>
          <w:sz w:val="20"/>
          <w:szCs w:val="20"/>
        </w:rPr>
      </w:pPr>
      <w:r>
        <w:rPr>
          <w:rFonts w:ascii="宋体" w:hAnsi="宋体" w:eastAsia="宋体" w:cs="宋体"/>
          <w:color w:val="auto"/>
          <w:spacing w:val="4"/>
          <w:sz w:val="20"/>
          <w:szCs w:val="20"/>
        </w:rPr>
        <w:t>招标编号：                                               开启时间：年 月</w:t>
      </w:r>
      <w:r>
        <w:rPr>
          <w:rFonts w:ascii="宋体" w:hAnsi="宋体" w:eastAsia="宋体" w:cs="宋体"/>
          <w:color w:val="auto"/>
          <w:spacing w:val="50"/>
          <w:sz w:val="20"/>
          <w:szCs w:val="20"/>
        </w:rPr>
        <w:t xml:space="preserve"> </w:t>
      </w:r>
      <w:r>
        <w:rPr>
          <w:rFonts w:ascii="宋体" w:hAnsi="宋体" w:eastAsia="宋体" w:cs="宋体"/>
          <w:color w:val="auto"/>
          <w:spacing w:val="4"/>
          <w:sz w:val="20"/>
          <w:szCs w:val="20"/>
        </w:rPr>
        <w:t>日</w:t>
      </w:r>
    </w:p>
    <w:p w14:paraId="12A75DCD">
      <w:pPr>
        <w:spacing w:line="129" w:lineRule="exact"/>
        <w:rPr>
          <w:color w:val="auto"/>
        </w:rPr>
      </w:pPr>
    </w:p>
    <w:tbl>
      <w:tblPr>
        <w:tblStyle w:val="15"/>
        <w:tblW w:w="97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473"/>
        <w:gridCol w:w="1229"/>
        <w:gridCol w:w="1135"/>
        <w:gridCol w:w="1013"/>
        <w:gridCol w:w="1068"/>
        <w:gridCol w:w="1032"/>
        <w:gridCol w:w="1068"/>
        <w:gridCol w:w="957"/>
      </w:tblGrid>
      <w:tr w14:paraId="13BA9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744" w:type="dxa"/>
            <w:vAlign w:val="center"/>
          </w:tcPr>
          <w:p w14:paraId="51008B91">
            <w:pPr>
              <w:pStyle w:val="16"/>
              <w:spacing w:before="65" w:line="230" w:lineRule="auto"/>
              <w:ind w:left="7" w:leftChars="0" w:hanging="7" w:firstLineChars="0"/>
              <w:jc w:val="center"/>
              <w:rPr>
                <w:color w:val="auto"/>
                <w:sz w:val="20"/>
                <w:szCs w:val="20"/>
              </w:rPr>
            </w:pPr>
            <w:r>
              <w:rPr>
                <w:color w:val="auto"/>
                <w:spacing w:val="5"/>
                <w:sz w:val="20"/>
                <w:szCs w:val="20"/>
              </w:rPr>
              <w:t>序号</w:t>
            </w:r>
          </w:p>
        </w:tc>
        <w:tc>
          <w:tcPr>
            <w:tcW w:w="1473" w:type="dxa"/>
            <w:vAlign w:val="center"/>
          </w:tcPr>
          <w:p w14:paraId="53A648A3">
            <w:pPr>
              <w:pStyle w:val="16"/>
              <w:spacing w:before="65" w:line="228" w:lineRule="auto"/>
              <w:jc w:val="center"/>
              <w:rPr>
                <w:color w:val="auto"/>
                <w:sz w:val="20"/>
                <w:szCs w:val="20"/>
              </w:rPr>
            </w:pPr>
            <w:r>
              <w:rPr>
                <w:color w:val="auto"/>
                <w:spacing w:val="8"/>
                <w:sz w:val="20"/>
                <w:szCs w:val="20"/>
              </w:rPr>
              <w:t>供应商名称</w:t>
            </w:r>
          </w:p>
        </w:tc>
        <w:tc>
          <w:tcPr>
            <w:tcW w:w="1229" w:type="dxa"/>
            <w:vAlign w:val="center"/>
          </w:tcPr>
          <w:p w14:paraId="621DC320">
            <w:pPr>
              <w:pStyle w:val="16"/>
              <w:spacing w:before="65" w:line="228" w:lineRule="auto"/>
              <w:jc w:val="center"/>
              <w:rPr>
                <w:color w:val="auto"/>
                <w:sz w:val="20"/>
                <w:szCs w:val="20"/>
              </w:rPr>
            </w:pPr>
            <w:r>
              <w:rPr>
                <w:color w:val="auto"/>
                <w:spacing w:val="5"/>
                <w:sz w:val="20"/>
                <w:szCs w:val="20"/>
              </w:rPr>
              <w:t>资质等级</w:t>
            </w:r>
          </w:p>
        </w:tc>
        <w:tc>
          <w:tcPr>
            <w:tcW w:w="1135" w:type="dxa"/>
            <w:vAlign w:val="center"/>
          </w:tcPr>
          <w:p w14:paraId="6139AE63">
            <w:pPr>
              <w:pStyle w:val="16"/>
              <w:spacing w:before="65" w:line="227" w:lineRule="auto"/>
              <w:jc w:val="center"/>
              <w:rPr>
                <w:color w:val="auto"/>
                <w:sz w:val="20"/>
                <w:szCs w:val="20"/>
              </w:rPr>
            </w:pPr>
            <w:r>
              <w:rPr>
                <w:color w:val="auto"/>
                <w:spacing w:val="5"/>
                <w:sz w:val="20"/>
                <w:szCs w:val="20"/>
              </w:rPr>
              <w:t>响应报价（元）</w:t>
            </w:r>
          </w:p>
        </w:tc>
        <w:tc>
          <w:tcPr>
            <w:tcW w:w="1013" w:type="dxa"/>
            <w:vAlign w:val="center"/>
          </w:tcPr>
          <w:p w14:paraId="11C165E8">
            <w:pPr>
              <w:pStyle w:val="16"/>
              <w:spacing w:before="65" w:line="229" w:lineRule="auto"/>
              <w:jc w:val="center"/>
              <w:rPr>
                <w:color w:val="auto"/>
                <w:sz w:val="20"/>
                <w:szCs w:val="20"/>
              </w:rPr>
            </w:pPr>
            <w:r>
              <w:rPr>
                <w:color w:val="auto"/>
                <w:spacing w:val="8"/>
                <w:sz w:val="20"/>
                <w:szCs w:val="20"/>
              </w:rPr>
              <w:t>合同履行期限</w:t>
            </w:r>
          </w:p>
        </w:tc>
        <w:tc>
          <w:tcPr>
            <w:tcW w:w="1068" w:type="dxa"/>
            <w:vAlign w:val="center"/>
          </w:tcPr>
          <w:p w14:paraId="5B947AF8">
            <w:pPr>
              <w:pStyle w:val="16"/>
              <w:spacing w:before="65" w:line="229" w:lineRule="auto"/>
              <w:jc w:val="center"/>
              <w:rPr>
                <w:color w:val="auto"/>
                <w:sz w:val="20"/>
                <w:szCs w:val="20"/>
              </w:rPr>
            </w:pPr>
            <w:r>
              <w:rPr>
                <w:color w:val="auto"/>
                <w:spacing w:val="7"/>
                <w:sz w:val="20"/>
                <w:szCs w:val="20"/>
              </w:rPr>
              <w:t>质量要求</w:t>
            </w:r>
          </w:p>
        </w:tc>
        <w:tc>
          <w:tcPr>
            <w:tcW w:w="1032" w:type="dxa"/>
            <w:vAlign w:val="center"/>
          </w:tcPr>
          <w:p w14:paraId="6BE000A2">
            <w:pPr>
              <w:pStyle w:val="16"/>
              <w:spacing w:before="65" w:line="229" w:lineRule="auto"/>
              <w:jc w:val="center"/>
              <w:rPr>
                <w:rFonts w:hint="default"/>
                <w:color w:val="auto"/>
                <w:spacing w:val="8"/>
                <w:sz w:val="20"/>
                <w:szCs w:val="20"/>
                <w:lang w:val="en-US" w:eastAsia="zh-CN"/>
              </w:rPr>
            </w:pPr>
            <w:r>
              <w:rPr>
                <w:rFonts w:hint="eastAsia"/>
                <w:color w:val="auto"/>
                <w:spacing w:val="8"/>
                <w:sz w:val="20"/>
                <w:szCs w:val="20"/>
                <w:lang w:val="en-US" w:eastAsia="zh-CN"/>
              </w:rPr>
              <w:t>项目经理</w:t>
            </w:r>
          </w:p>
        </w:tc>
        <w:tc>
          <w:tcPr>
            <w:tcW w:w="1068" w:type="dxa"/>
            <w:vAlign w:val="center"/>
          </w:tcPr>
          <w:p w14:paraId="549A3A25">
            <w:pPr>
              <w:pStyle w:val="16"/>
              <w:spacing w:before="65" w:line="229" w:lineRule="auto"/>
              <w:jc w:val="center"/>
              <w:rPr>
                <w:rFonts w:hint="default"/>
                <w:color w:val="auto"/>
                <w:spacing w:val="8"/>
                <w:sz w:val="20"/>
                <w:szCs w:val="20"/>
                <w:lang w:val="en-US" w:eastAsia="zh-CN"/>
              </w:rPr>
            </w:pPr>
            <w:r>
              <w:rPr>
                <w:rFonts w:hint="eastAsia"/>
                <w:color w:val="auto"/>
                <w:spacing w:val="8"/>
                <w:sz w:val="20"/>
                <w:szCs w:val="20"/>
                <w:lang w:val="en-US" w:eastAsia="zh-CN"/>
              </w:rPr>
              <w:t>注册号</w:t>
            </w:r>
          </w:p>
        </w:tc>
        <w:tc>
          <w:tcPr>
            <w:tcW w:w="957" w:type="dxa"/>
            <w:vAlign w:val="center"/>
          </w:tcPr>
          <w:p w14:paraId="37BD5B98">
            <w:pPr>
              <w:pStyle w:val="16"/>
              <w:spacing w:before="65" w:line="229" w:lineRule="auto"/>
              <w:jc w:val="center"/>
              <w:rPr>
                <w:rFonts w:hint="eastAsia"/>
                <w:color w:val="auto"/>
                <w:spacing w:val="8"/>
                <w:sz w:val="20"/>
                <w:szCs w:val="20"/>
                <w:lang w:val="en-US" w:eastAsia="zh-CN"/>
              </w:rPr>
            </w:pPr>
            <w:r>
              <w:rPr>
                <w:rFonts w:hint="eastAsia"/>
                <w:color w:val="auto"/>
                <w:spacing w:val="8"/>
                <w:sz w:val="20"/>
                <w:szCs w:val="20"/>
                <w:lang w:val="en-US" w:eastAsia="zh-CN"/>
              </w:rPr>
              <w:t>备注</w:t>
            </w:r>
          </w:p>
        </w:tc>
      </w:tr>
      <w:tr w14:paraId="37423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44" w:type="dxa"/>
            <w:vAlign w:val="top"/>
          </w:tcPr>
          <w:p w14:paraId="58F45002">
            <w:pPr>
              <w:rPr>
                <w:rFonts w:ascii="Arial"/>
                <w:color w:val="auto"/>
                <w:sz w:val="21"/>
              </w:rPr>
            </w:pPr>
          </w:p>
        </w:tc>
        <w:tc>
          <w:tcPr>
            <w:tcW w:w="1473" w:type="dxa"/>
            <w:vAlign w:val="top"/>
          </w:tcPr>
          <w:p w14:paraId="3A6182D5">
            <w:pPr>
              <w:rPr>
                <w:rFonts w:ascii="Arial"/>
                <w:color w:val="auto"/>
                <w:sz w:val="21"/>
              </w:rPr>
            </w:pPr>
          </w:p>
        </w:tc>
        <w:tc>
          <w:tcPr>
            <w:tcW w:w="1229" w:type="dxa"/>
            <w:vAlign w:val="top"/>
          </w:tcPr>
          <w:p w14:paraId="32D5B9B2">
            <w:pPr>
              <w:rPr>
                <w:rFonts w:ascii="Arial"/>
                <w:color w:val="auto"/>
                <w:sz w:val="21"/>
              </w:rPr>
            </w:pPr>
          </w:p>
        </w:tc>
        <w:tc>
          <w:tcPr>
            <w:tcW w:w="1135" w:type="dxa"/>
            <w:vAlign w:val="top"/>
          </w:tcPr>
          <w:p w14:paraId="35F26645">
            <w:pPr>
              <w:rPr>
                <w:rFonts w:ascii="Arial"/>
                <w:color w:val="auto"/>
                <w:sz w:val="21"/>
              </w:rPr>
            </w:pPr>
          </w:p>
        </w:tc>
        <w:tc>
          <w:tcPr>
            <w:tcW w:w="1013" w:type="dxa"/>
            <w:vAlign w:val="top"/>
          </w:tcPr>
          <w:p w14:paraId="7C7146B9">
            <w:pPr>
              <w:rPr>
                <w:rFonts w:ascii="Arial"/>
                <w:color w:val="auto"/>
                <w:sz w:val="21"/>
              </w:rPr>
            </w:pPr>
          </w:p>
        </w:tc>
        <w:tc>
          <w:tcPr>
            <w:tcW w:w="1068" w:type="dxa"/>
            <w:vAlign w:val="top"/>
          </w:tcPr>
          <w:p w14:paraId="682C233C">
            <w:pPr>
              <w:rPr>
                <w:rFonts w:ascii="Arial"/>
                <w:color w:val="auto"/>
                <w:sz w:val="21"/>
              </w:rPr>
            </w:pPr>
          </w:p>
        </w:tc>
        <w:tc>
          <w:tcPr>
            <w:tcW w:w="1032" w:type="dxa"/>
            <w:vAlign w:val="top"/>
          </w:tcPr>
          <w:p w14:paraId="0B2E18B9">
            <w:pPr>
              <w:rPr>
                <w:rFonts w:ascii="Arial"/>
                <w:color w:val="auto"/>
                <w:sz w:val="21"/>
              </w:rPr>
            </w:pPr>
          </w:p>
        </w:tc>
        <w:tc>
          <w:tcPr>
            <w:tcW w:w="1068" w:type="dxa"/>
            <w:vAlign w:val="top"/>
          </w:tcPr>
          <w:p w14:paraId="6879612C">
            <w:pPr>
              <w:rPr>
                <w:rFonts w:ascii="Arial"/>
                <w:color w:val="auto"/>
                <w:sz w:val="21"/>
              </w:rPr>
            </w:pPr>
          </w:p>
        </w:tc>
        <w:tc>
          <w:tcPr>
            <w:tcW w:w="957" w:type="dxa"/>
            <w:vAlign w:val="top"/>
          </w:tcPr>
          <w:p w14:paraId="1B049C58">
            <w:pPr>
              <w:rPr>
                <w:rFonts w:ascii="Arial"/>
                <w:color w:val="auto"/>
                <w:sz w:val="21"/>
              </w:rPr>
            </w:pPr>
          </w:p>
        </w:tc>
      </w:tr>
      <w:tr w14:paraId="63AB6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44" w:type="dxa"/>
            <w:vAlign w:val="top"/>
          </w:tcPr>
          <w:p w14:paraId="6E6AF367">
            <w:pPr>
              <w:rPr>
                <w:rFonts w:ascii="Arial"/>
                <w:color w:val="auto"/>
                <w:sz w:val="21"/>
              </w:rPr>
            </w:pPr>
          </w:p>
        </w:tc>
        <w:tc>
          <w:tcPr>
            <w:tcW w:w="1473" w:type="dxa"/>
            <w:vAlign w:val="top"/>
          </w:tcPr>
          <w:p w14:paraId="6C7F0115">
            <w:pPr>
              <w:rPr>
                <w:rFonts w:ascii="Arial"/>
                <w:color w:val="auto"/>
                <w:sz w:val="21"/>
              </w:rPr>
            </w:pPr>
          </w:p>
        </w:tc>
        <w:tc>
          <w:tcPr>
            <w:tcW w:w="1229" w:type="dxa"/>
            <w:vAlign w:val="top"/>
          </w:tcPr>
          <w:p w14:paraId="66775992">
            <w:pPr>
              <w:rPr>
                <w:rFonts w:ascii="Arial"/>
                <w:color w:val="auto"/>
                <w:sz w:val="21"/>
              </w:rPr>
            </w:pPr>
          </w:p>
        </w:tc>
        <w:tc>
          <w:tcPr>
            <w:tcW w:w="1135" w:type="dxa"/>
            <w:vAlign w:val="top"/>
          </w:tcPr>
          <w:p w14:paraId="662FD68B">
            <w:pPr>
              <w:rPr>
                <w:rFonts w:ascii="Arial"/>
                <w:color w:val="auto"/>
                <w:sz w:val="21"/>
              </w:rPr>
            </w:pPr>
          </w:p>
        </w:tc>
        <w:tc>
          <w:tcPr>
            <w:tcW w:w="1013" w:type="dxa"/>
            <w:vAlign w:val="top"/>
          </w:tcPr>
          <w:p w14:paraId="5ADFD38E">
            <w:pPr>
              <w:rPr>
                <w:rFonts w:ascii="Arial"/>
                <w:color w:val="auto"/>
                <w:sz w:val="21"/>
              </w:rPr>
            </w:pPr>
          </w:p>
        </w:tc>
        <w:tc>
          <w:tcPr>
            <w:tcW w:w="1068" w:type="dxa"/>
            <w:vAlign w:val="top"/>
          </w:tcPr>
          <w:p w14:paraId="1C2A0DA9">
            <w:pPr>
              <w:rPr>
                <w:rFonts w:ascii="Arial"/>
                <w:color w:val="auto"/>
                <w:sz w:val="21"/>
              </w:rPr>
            </w:pPr>
          </w:p>
        </w:tc>
        <w:tc>
          <w:tcPr>
            <w:tcW w:w="1032" w:type="dxa"/>
            <w:vAlign w:val="top"/>
          </w:tcPr>
          <w:p w14:paraId="20BBD927">
            <w:pPr>
              <w:rPr>
                <w:rFonts w:ascii="Arial"/>
                <w:color w:val="auto"/>
                <w:sz w:val="21"/>
              </w:rPr>
            </w:pPr>
          </w:p>
        </w:tc>
        <w:tc>
          <w:tcPr>
            <w:tcW w:w="1068" w:type="dxa"/>
            <w:vAlign w:val="top"/>
          </w:tcPr>
          <w:p w14:paraId="4D74267F">
            <w:pPr>
              <w:rPr>
                <w:rFonts w:ascii="Arial"/>
                <w:color w:val="auto"/>
                <w:sz w:val="21"/>
              </w:rPr>
            </w:pPr>
          </w:p>
        </w:tc>
        <w:tc>
          <w:tcPr>
            <w:tcW w:w="957" w:type="dxa"/>
            <w:vAlign w:val="top"/>
          </w:tcPr>
          <w:p w14:paraId="60C5B914">
            <w:pPr>
              <w:rPr>
                <w:rFonts w:ascii="Arial"/>
                <w:color w:val="auto"/>
                <w:sz w:val="21"/>
              </w:rPr>
            </w:pPr>
          </w:p>
        </w:tc>
      </w:tr>
      <w:tr w14:paraId="37D31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44" w:type="dxa"/>
            <w:vAlign w:val="top"/>
          </w:tcPr>
          <w:p w14:paraId="0DE58073">
            <w:pPr>
              <w:rPr>
                <w:rFonts w:ascii="Arial"/>
                <w:color w:val="auto"/>
                <w:sz w:val="21"/>
              </w:rPr>
            </w:pPr>
          </w:p>
        </w:tc>
        <w:tc>
          <w:tcPr>
            <w:tcW w:w="1473" w:type="dxa"/>
            <w:vAlign w:val="top"/>
          </w:tcPr>
          <w:p w14:paraId="464C7F16">
            <w:pPr>
              <w:rPr>
                <w:rFonts w:ascii="Arial"/>
                <w:color w:val="auto"/>
                <w:sz w:val="21"/>
              </w:rPr>
            </w:pPr>
          </w:p>
        </w:tc>
        <w:tc>
          <w:tcPr>
            <w:tcW w:w="1229" w:type="dxa"/>
            <w:vAlign w:val="top"/>
          </w:tcPr>
          <w:p w14:paraId="53F9DD31">
            <w:pPr>
              <w:rPr>
                <w:rFonts w:ascii="Arial"/>
                <w:color w:val="auto"/>
                <w:sz w:val="21"/>
              </w:rPr>
            </w:pPr>
          </w:p>
        </w:tc>
        <w:tc>
          <w:tcPr>
            <w:tcW w:w="1135" w:type="dxa"/>
            <w:vAlign w:val="top"/>
          </w:tcPr>
          <w:p w14:paraId="06D81AB0">
            <w:pPr>
              <w:rPr>
                <w:rFonts w:ascii="Arial"/>
                <w:color w:val="auto"/>
                <w:sz w:val="21"/>
              </w:rPr>
            </w:pPr>
          </w:p>
        </w:tc>
        <w:tc>
          <w:tcPr>
            <w:tcW w:w="1013" w:type="dxa"/>
            <w:vAlign w:val="top"/>
          </w:tcPr>
          <w:p w14:paraId="0E3DFEE0">
            <w:pPr>
              <w:rPr>
                <w:rFonts w:ascii="Arial"/>
                <w:color w:val="auto"/>
                <w:sz w:val="21"/>
              </w:rPr>
            </w:pPr>
          </w:p>
        </w:tc>
        <w:tc>
          <w:tcPr>
            <w:tcW w:w="1068" w:type="dxa"/>
            <w:vAlign w:val="top"/>
          </w:tcPr>
          <w:p w14:paraId="768108F7">
            <w:pPr>
              <w:rPr>
                <w:rFonts w:ascii="Arial"/>
                <w:color w:val="auto"/>
                <w:sz w:val="21"/>
              </w:rPr>
            </w:pPr>
          </w:p>
        </w:tc>
        <w:tc>
          <w:tcPr>
            <w:tcW w:w="1032" w:type="dxa"/>
            <w:vAlign w:val="top"/>
          </w:tcPr>
          <w:p w14:paraId="3E50368C">
            <w:pPr>
              <w:rPr>
                <w:rFonts w:ascii="Arial"/>
                <w:color w:val="auto"/>
                <w:sz w:val="21"/>
              </w:rPr>
            </w:pPr>
          </w:p>
        </w:tc>
        <w:tc>
          <w:tcPr>
            <w:tcW w:w="1068" w:type="dxa"/>
            <w:vAlign w:val="top"/>
          </w:tcPr>
          <w:p w14:paraId="22623F25">
            <w:pPr>
              <w:rPr>
                <w:rFonts w:ascii="Arial"/>
                <w:color w:val="auto"/>
                <w:sz w:val="21"/>
              </w:rPr>
            </w:pPr>
          </w:p>
        </w:tc>
        <w:tc>
          <w:tcPr>
            <w:tcW w:w="957" w:type="dxa"/>
            <w:vAlign w:val="top"/>
          </w:tcPr>
          <w:p w14:paraId="3B72F5FA">
            <w:pPr>
              <w:rPr>
                <w:rFonts w:ascii="Arial"/>
                <w:color w:val="auto"/>
                <w:sz w:val="21"/>
              </w:rPr>
            </w:pPr>
          </w:p>
        </w:tc>
      </w:tr>
      <w:tr w14:paraId="7D174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44" w:type="dxa"/>
            <w:vAlign w:val="top"/>
          </w:tcPr>
          <w:p w14:paraId="3C14E059">
            <w:pPr>
              <w:rPr>
                <w:rFonts w:ascii="Arial"/>
                <w:color w:val="auto"/>
                <w:sz w:val="21"/>
              </w:rPr>
            </w:pPr>
          </w:p>
        </w:tc>
        <w:tc>
          <w:tcPr>
            <w:tcW w:w="1473" w:type="dxa"/>
            <w:vAlign w:val="top"/>
          </w:tcPr>
          <w:p w14:paraId="344676C4">
            <w:pPr>
              <w:rPr>
                <w:rFonts w:ascii="Arial"/>
                <w:color w:val="auto"/>
                <w:sz w:val="21"/>
              </w:rPr>
            </w:pPr>
          </w:p>
        </w:tc>
        <w:tc>
          <w:tcPr>
            <w:tcW w:w="1229" w:type="dxa"/>
            <w:vAlign w:val="top"/>
          </w:tcPr>
          <w:p w14:paraId="472AC3E4">
            <w:pPr>
              <w:rPr>
                <w:rFonts w:ascii="Arial"/>
                <w:color w:val="auto"/>
                <w:sz w:val="21"/>
              </w:rPr>
            </w:pPr>
          </w:p>
        </w:tc>
        <w:tc>
          <w:tcPr>
            <w:tcW w:w="1135" w:type="dxa"/>
            <w:vAlign w:val="top"/>
          </w:tcPr>
          <w:p w14:paraId="22D435AC">
            <w:pPr>
              <w:rPr>
                <w:rFonts w:ascii="Arial"/>
                <w:color w:val="auto"/>
                <w:sz w:val="21"/>
              </w:rPr>
            </w:pPr>
          </w:p>
        </w:tc>
        <w:tc>
          <w:tcPr>
            <w:tcW w:w="1013" w:type="dxa"/>
            <w:vAlign w:val="top"/>
          </w:tcPr>
          <w:p w14:paraId="7F60DB01">
            <w:pPr>
              <w:rPr>
                <w:rFonts w:ascii="Arial"/>
                <w:color w:val="auto"/>
                <w:sz w:val="21"/>
              </w:rPr>
            </w:pPr>
          </w:p>
        </w:tc>
        <w:tc>
          <w:tcPr>
            <w:tcW w:w="1068" w:type="dxa"/>
            <w:vAlign w:val="top"/>
          </w:tcPr>
          <w:p w14:paraId="7018329C">
            <w:pPr>
              <w:rPr>
                <w:rFonts w:ascii="Arial"/>
                <w:color w:val="auto"/>
                <w:sz w:val="21"/>
              </w:rPr>
            </w:pPr>
          </w:p>
        </w:tc>
        <w:tc>
          <w:tcPr>
            <w:tcW w:w="1032" w:type="dxa"/>
            <w:vAlign w:val="top"/>
          </w:tcPr>
          <w:p w14:paraId="5FE86E52">
            <w:pPr>
              <w:rPr>
                <w:rFonts w:ascii="Arial"/>
                <w:color w:val="auto"/>
                <w:sz w:val="21"/>
              </w:rPr>
            </w:pPr>
          </w:p>
        </w:tc>
        <w:tc>
          <w:tcPr>
            <w:tcW w:w="1068" w:type="dxa"/>
            <w:vAlign w:val="top"/>
          </w:tcPr>
          <w:p w14:paraId="200F1AF7">
            <w:pPr>
              <w:rPr>
                <w:rFonts w:ascii="Arial"/>
                <w:color w:val="auto"/>
                <w:sz w:val="21"/>
              </w:rPr>
            </w:pPr>
          </w:p>
        </w:tc>
        <w:tc>
          <w:tcPr>
            <w:tcW w:w="957" w:type="dxa"/>
            <w:vAlign w:val="top"/>
          </w:tcPr>
          <w:p w14:paraId="034E2364">
            <w:pPr>
              <w:rPr>
                <w:rFonts w:ascii="Arial"/>
                <w:color w:val="auto"/>
                <w:sz w:val="21"/>
              </w:rPr>
            </w:pPr>
          </w:p>
        </w:tc>
      </w:tr>
      <w:tr w14:paraId="5F922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2217" w:type="dxa"/>
            <w:gridSpan w:val="2"/>
            <w:vAlign w:val="top"/>
          </w:tcPr>
          <w:p w14:paraId="239D7D33">
            <w:pPr>
              <w:pStyle w:val="16"/>
              <w:spacing w:before="222" w:line="227" w:lineRule="auto"/>
              <w:ind w:left="487"/>
              <w:rPr>
                <w:color w:val="auto"/>
                <w:sz w:val="20"/>
                <w:szCs w:val="20"/>
              </w:rPr>
            </w:pPr>
            <w:r>
              <w:rPr>
                <w:color w:val="auto"/>
                <w:spacing w:val="6"/>
                <w:sz w:val="20"/>
                <w:szCs w:val="20"/>
              </w:rPr>
              <w:t>总价（小写）</w:t>
            </w:r>
          </w:p>
        </w:tc>
        <w:tc>
          <w:tcPr>
            <w:tcW w:w="7502" w:type="dxa"/>
            <w:gridSpan w:val="7"/>
            <w:vAlign w:val="top"/>
          </w:tcPr>
          <w:p w14:paraId="0DB9BBA4">
            <w:pPr>
              <w:rPr>
                <w:rFonts w:ascii="Arial"/>
                <w:color w:val="auto"/>
                <w:sz w:val="21"/>
              </w:rPr>
            </w:pPr>
          </w:p>
        </w:tc>
      </w:tr>
      <w:tr w14:paraId="2C4E0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2217" w:type="dxa"/>
            <w:gridSpan w:val="2"/>
            <w:vAlign w:val="top"/>
          </w:tcPr>
          <w:p w14:paraId="312BC3C5">
            <w:pPr>
              <w:pStyle w:val="16"/>
              <w:spacing w:before="227" w:line="227" w:lineRule="auto"/>
              <w:ind w:left="487"/>
              <w:rPr>
                <w:color w:val="auto"/>
                <w:sz w:val="20"/>
                <w:szCs w:val="20"/>
              </w:rPr>
            </w:pPr>
            <w:r>
              <w:rPr>
                <w:color w:val="auto"/>
                <w:spacing w:val="6"/>
                <w:sz w:val="20"/>
                <w:szCs w:val="20"/>
              </w:rPr>
              <w:t>总价（大写）</w:t>
            </w:r>
          </w:p>
        </w:tc>
        <w:tc>
          <w:tcPr>
            <w:tcW w:w="7502" w:type="dxa"/>
            <w:gridSpan w:val="7"/>
            <w:vAlign w:val="top"/>
          </w:tcPr>
          <w:p w14:paraId="50B7AFBE">
            <w:pPr>
              <w:rPr>
                <w:rFonts w:ascii="Arial"/>
                <w:color w:val="auto"/>
                <w:sz w:val="21"/>
              </w:rPr>
            </w:pPr>
          </w:p>
        </w:tc>
      </w:tr>
    </w:tbl>
    <w:p w14:paraId="3EFD9D42">
      <w:pPr>
        <w:pStyle w:val="2"/>
        <w:spacing w:line="274" w:lineRule="auto"/>
        <w:rPr>
          <w:color w:val="auto"/>
        </w:rPr>
      </w:pPr>
    </w:p>
    <w:p w14:paraId="515A48C1">
      <w:pPr>
        <w:pStyle w:val="2"/>
        <w:spacing w:line="274" w:lineRule="auto"/>
        <w:rPr>
          <w:color w:val="auto"/>
        </w:rPr>
      </w:pPr>
    </w:p>
    <w:p w14:paraId="60BB5A27">
      <w:pPr>
        <w:spacing w:before="65" w:line="228" w:lineRule="auto"/>
        <w:ind w:left="56"/>
        <w:rPr>
          <w:rFonts w:ascii="宋体" w:hAnsi="宋体" w:eastAsia="宋体" w:cs="宋体"/>
          <w:color w:val="auto"/>
          <w:sz w:val="20"/>
          <w:szCs w:val="20"/>
        </w:rPr>
      </w:pPr>
      <w:r>
        <w:rPr>
          <w:rFonts w:ascii="宋体" w:hAnsi="宋体" w:eastAsia="宋体" w:cs="宋体"/>
          <w:color w:val="auto"/>
          <w:spacing w:val="9"/>
          <w:sz w:val="20"/>
          <w:szCs w:val="20"/>
        </w:rPr>
        <w:t>1、填报的内容必须和响应函中的内容一致；如不一致，以响应函中相关内</w:t>
      </w:r>
      <w:r>
        <w:rPr>
          <w:rFonts w:ascii="宋体" w:hAnsi="宋体" w:eastAsia="宋体" w:cs="宋体"/>
          <w:color w:val="auto"/>
          <w:spacing w:val="8"/>
          <w:sz w:val="20"/>
          <w:szCs w:val="20"/>
        </w:rPr>
        <w:t>容为准；</w:t>
      </w:r>
    </w:p>
    <w:p w14:paraId="7D4DFF72">
      <w:pPr>
        <w:spacing w:before="232" w:line="227" w:lineRule="auto"/>
        <w:ind w:left="43"/>
        <w:rPr>
          <w:rFonts w:ascii="宋体" w:hAnsi="宋体" w:eastAsia="宋体" w:cs="宋体"/>
          <w:color w:val="auto"/>
          <w:sz w:val="20"/>
          <w:szCs w:val="20"/>
        </w:rPr>
      </w:pPr>
      <w:r>
        <w:rPr>
          <w:rFonts w:ascii="宋体" w:hAnsi="宋体" w:eastAsia="宋体" w:cs="宋体"/>
          <w:color w:val="auto"/>
          <w:spacing w:val="9"/>
          <w:sz w:val="20"/>
          <w:szCs w:val="20"/>
        </w:rPr>
        <w:t>2、响应函、首次报价表中的大、小写金额报价不一致时，以响应函中的大写金额报价为准。</w:t>
      </w:r>
    </w:p>
    <w:p w14:paraId="2B361B1C">
      <w:pPr>
        <w:pStyle w:val="2"/>
        <w:spacing w:line="280" w:lineRule="auto"/>
        <w:rPr>
          <w:color w:val="auto"/>
        </w:rPr>
      </w:pPr>
    </w:p>
    <w:p w14:paraId="6E4C5210">
      <w:pPr>
        <w:pStyle w:val="2"/>
        <w:spacing w:line="281" w:lineRule="auto"/>
        <w:rPr>
          <w:color w:val="auto"/>
        </w:rPr>
      </w:pPr>
    </w:p>
    <w:p w14:paraId="46DD30BC">
      <w:pPr>
        <w:spacing w:before="65" w:line="228" w:lineRule="auto"/>
        <w:ind w:left="41"/>
        <w:rPr>
          <w:rFonts w:ascii="宋体" w:hAnsi="宋体" w:eastAsia="宋体" w:cs="宋体"/>
          <w:color w:val="auto"/>
          <w:sz w:val="20"/>
          <w:szCs w:val="20"/>
        </w:rPr>
      </w:pPr>
      <w:r>
        <w:rPr>
          <w:rFonts w:ascii="宋体" w:hAnsi="宋体" w:eastAsia="宋体" w:cs="宋体"/>
          <w:color w:val="auto"/>
          <w:spacing w:val="8"/>
          <w:sz w:val="20"/>
          <w:szCs w:val="20"/>
        </w:rPr>
        <w:t>供应商（印刷体及公章</w:t>
      </w:r>
      <w:r>
        <w:rPr>
          <w:rFonts w:ascii="宋体" w:hAnsi="宋体" w:eastAsia="宋体" w:cs="宋体"/>
          <w:color w:val="auto"/>
          <w:spacing w:val="4"/>
          <w:sz w:val="20"/>
          <w:szCs w:val="20"/>
        </w:rPr>
        <w:t>）：</w:t>
      </w:r>
    </w:p>
    <w:p w14:paraId="745BE9F2">
      <w:pPr>
        <w:spacing w:before="217" w:line="228" w:lineRule="auto"/>
        <w:ind w:left="42"/>
        <w:rPr>
          <w:rFonts w:ascii="宋体" w:hAnsi="宋体" w:eastAsia="宋体" w:cs="宋体"/>
          <w:color w:val="auto"/>
          <w:sz w:val="20"/>
          <w:szCs w:val="20"/>
        </w:rPr>
      </w:pPr>
      <w:r>
        <w:rPr>
          <w:rFonts w:ascii="宋体" w:hAnsi="宋体" w:eastAsia="宋体" w:cs="宋体"/>
          <w:color w:val="auto"/>
          <w:spacing w:val="9"/>
          <w:sz w:val="20"/>
          <w:szCs w:val="20"/>
        </w:rPr>
        <w:t>法定代表人或其授权代表人（签字</w:t>
      </w:r>
      <w:r>
        <w:rPr>
          <w:rFonts w:ascii="宋体" w:hAnsi="宋体" w:eastAsia="宋体" w:cs="宋体"/>
          <w:color w:val="auto"/>
          <w:spacing w:val="1"/>
          <w:sz w:val="20"/>
          <w:szCs w:val="20"/>
        </w:rPr>
        <w:t>）：</w:t>
      </w:r>
    </w:p>
    <w:p w14:paraId="42B4C358">
      <w:pPr>
        <w:pStyle w:val="2"/>
        <w:spacing w:line="322" w:lineRule="auto"/>
        <w:rPr>
          <w:color w:val="auto"/>
        </w:rPr>
      </w:pPr>
    </w:p>
    <w:p w14:paraId="04CFE8F4">
      <w:pPr>
        <w:pStyle w:val="2"/>
        <w:spacing w:line="322" w:lineRule="auto"/>
        <w:rPr>
          <w:color w:val="auto"/>
        </w:rPr>
      </w:pPr>
    </w:p>
    <w:p w14:paraId="0E4B0C51">
      <w:pPr>
        <w:spacing w:before="65" w:line="228" w:lineRule="auto"/>
        <w:jc w:val="right"/>
        <w:rPr>
          <w:rFonts w:ascii="宋体" w:hAnsi="宋体" w:eastAsia="宋体" w:cs="宋体"/>
          <w:color w:val="auto"/>
          <w:sz w:val="20"/>
          <w:szCs w:val="20"/>
        </w:rPr>
      </w:pPr>
      <w:r>
        <w:rPr>
          <w:rFonts w:ascii="宋体" w:hAnsi="宋体" w:eastAsia="宋体" w:cs="宋体"/>
          <w:color w:val="auto"/>
          <w:spacing w:val="-13"/>
          <w:sz w:val="20"/>
          <w:szCs w:val="20"/>
        </w:rPr>
        <w:t>日</w:t>
      </w:r>
      <w:r>
        <w:rPr>
          <w:rFonts w:ascii="宋体" w:hAnsi="宋体" w:eastAsia="宋体" w:cs="宋体"/>
          <w:color w:val="auto"/>
          <w:spacing w:val="12"/>
          <w:sz w:val="20"/>
          <w:szCs w:val="20"/>
        </w:rPr>
        <w:t xml:space="preserve">  </w:t>
      </w:r>
      <w:r>
        <w:rPr>
          <w:rFonts w:ascii="宋体" w:hAnsi="宋体" w:eastAsia="宋体" w:cs="宋体"/>
          <w:color w:val="auto"/>
          <w:spacing w:val="-13"/>
          <w:sz w:val="20"/>
          <w:szCs w:val="20"/>
        </w:rPr>
        <w:t>期：</w:t>
      </w:r>
      <w:r>
        <w:rPr>
          <w:rFonts w:ascii="宋体" w:hAnsi="宋体" w:eastAsia="宋体" w:cs="宋体"/>
          <w:color w:val="auto"/>
          <w:spacing w:val="8"/>
          <w:sz w:val="20"/>
          <w:szCs w:val="20"/>
        </w:rPr>
        <w:t xml:space="preserve">     </w:t>
      </w:r>
      <w:r>
        <w:rPr>
          <w:rFonts w:ascii="宋体" w:hAnsi="宋体" w:eastAsia="宋体" w:cs="宋体"/>
          <w:color w:val="auto"/>
          <w:spacing w:val="-13"/>
          <w:sz w:val="20"/>
          <w:szCs w:val="20"/>
        </w:rPr>
        <w:t>年</w:t>
      </w:r>
      <w:r>
        <w:rPr>
          <w:rFonts w:ascii="宋体" w:hAnsi="宋体" w:eastAsia="宋体" w:cs="宋体"/>
          <w:color w:val="auto"/>
          <w:spacing w:val="9"/>
          <w:sz w:val="20"/>
          <w:szCs w:val="20"/>
        </w:rPr>
        <w:t xml:space="preserve">    </w:t>
      </w:r>
      <w:r>
        <w:rPr>
          <w:rFonts w:ascii="宋体" w:hAnsi="宋体" w:eastAsia="宋体" w:cs="宋体"/>
          <w:color w:val="auto"/>
          <w:spacing w:val="-13"/>
          <w:sz w:val="20"/>
          <w:szCs w:val="20"/>
        </w:rPr>
        <w:t>月</w:t>
      </w:r>
      <w:r>
        <w:rPr>
          <w:rFonts w:ascii="宋体" w:hAnsi="宋体" w:eastAsia="宋体" w:cs="宋体"/>
          <w:color w:val="auto"/>
          <w:spacing w:val="16"/>
          <w:sz w:val="20"/>
          <w:szCs w:val="20"/>
        </w:rPr>
        <w:t xml:space="preserve">    </w:t>
      </w:r>
      <w:r>
        <w:rPr>
          <w:rFonts w:ascii="宋体" w:hAnsi="宋体" w:eastAsia="宋体" w:cs="宋体"/>
          <w:color w:val="auto"/>
          <w:spacing w:val="-13"/>
          <w:sz w:val="20"/>
          <w:szCs w:val="20"/>
        </w:rPr>
        <w:t>日</w:t>
      </w:r>
    </w:p>
    <w:p w14:paraId="4AEC5B76">
      <w:pPr>
        <w:spacing w:line="228" w:lineRule="auto"/>
        <w:rPr>
          <w:rFonts w:ascii="宋体" w:hAnsi="宋体" w:eastAsia="宋体" w:cs="宋体"/>
          <w:color w:val="auto"/>
          <w:sz w:val="20"/>
          <w:szCs w:val="20"/>
        </w:rPr>
        <w:sectPr>
          <w:footerReference r:id="rId25" w:type="default"/>
          <w:pgSz w:w="11906" w:h="16839"/>
          <w:pgMar w:top="1440" w:right="1080" w:bottom="1440" w:left="1080" w:header="0" w:footer="783" w:gutter="0"/>
          <w:pgNumType w:fmt="decimal"/>
          <w:cols w:space="720" w:num="1"/>
        </w:sectPr>
      </w:pPr>
    </w:p>
    <w:p w14:paraId="02CE0075">
      <w:pPr>
        <w:pStyle w:val="2"/>
        <w:spacing w:line="375" w:lineRule="auto"/>
        <w:rPr>
          <w:color w:val="auto"/>
        </w:rPr>
      </w:pPr>
    </w:p>
    <w:p w14:paraId="53483CBC">
      <w:pPr>
        <w:spacing w:before="91" w:line="221" w:lineRule="auto"/>
        <w:ind w:left="2722"/>
        <w:rPr>
          <w:rFonts w:ascii="宋体" w:hAnsi="宋体" w:eastAsia="宋体" w:cs="宋体"/>
          <w:color w:val="auto"/>
          <w:sz w:val="28"/>
          <w:szCs w:val="28"/>
        </w:rPr>
      </w:pPr>
      <w:r>
        <w:rPr>
          <w:rFonts w:ascii="宋体" w:hAnsi="宋体" w:eastAsia="宋体" w:cs="宋体"/>
          <w:b/>
          <w:bCs/>
          <w:color w:val="auto"/>
          <w:spacing w:val="-4"/>
          <w:sz w:val="28"/>
          <w:szCs w:val="28"/>
        </w:rPr>
        <w:t>五、优惠条件及保修承诺</w:t>
      </w:r>
    </w:p>
    <w:p w14:paraId="2D4097B2">
      <w:pPr>
        <w:pStyle w:val="2"/>
        <w:spacing w:line="309" w:lineRule="auto"/>
        <w:rPr>
          <w:color w:val="auto"/>
        </w:rPr>
      </w:pPr>
    </w:p>
    <w:p w14:paraId="2D2569E3">
      <w:pPr>
        <w:pStyle w:val="2"/>
        <w:spacing w:line="310" w:lineRule="auto"/>
        <w:rPr>
          <w:color w:val="auto"/>
        </w:rPr>
      </w:pPr>
    </w:p>
    <w:p w14:paraId="0B199A56">
      <w:pPr>
        <w:pStyle w:val="2"/>
        <w:spacing w:line="310" w:lineRule="auto"/>
        <w:rPr>
          <w:color w:val="auto"/>
        </w:rPr>
      </w:pPr>
    </w:p>
    <w:p w14:paraId="33DADB6C">
      <w:pPr>
        <w:spacing w:before="78" w:line="219" w:lineRule="auto"/>
        <w:ind w:left="3430"/>
        <w:rPr>
          <w:rFonts w:ascii="宋体" w:hAnsi="宋体" w:eastAsia="宋体" w:cs="宋体"/>
          <w:color w:val="auto"/>
          <w:sz w:val="24"/>
          <w:szCs w:val="24"/>
        </w:rPr>
      </w:pPr>
      <w:r>
        <w:rPr>
          <w:rFonts w:ascii="宋体" w:hAnsi="宋体" w:eastAsia="宋体" w:cs="宋体"/>
          <w:color w:val="auto"/>
          <w:spacing w:val="-3"/>
          <w:sz w:val="24"/>
          <w:szCs w:val="24"/>
        </w:rPr>
        <w:t>（格式投标单位自拟）</w:t>
      </w:r>
    </w:p>
    <w:p w14:paraId="3321A076">
      <w:pPr>
        <w:spacing w:line="219" w:lineRule="auto"/>
        <w:rPr>
          <w:rFonts w:ascii="宋体" w:hAnsi="宋体" w:eastAsia="宋体" w:cs="宋体"/>
          <w:color w:val="auto"/>
          <w:sz w:val="24"/>
          <w:szCs w:val="24"/>
        </w:rPr>
        <w:sectPr>
          <w:footerReference r:id="rId26" w:type="default"/>
          <w:pgSz w:w="11906" w:h="16839"/>
          <w:pgMar w:top="1440" w:right="1080" w:bottom="1440" w:left="1080" w:header="0" w:footer="783" w:gutter="0"/>
          <w:pgNumType w:fmt="decimal"/>
          <w:cols w:space="720" w:num="1"/>
        </w:sectPr>
      </w:pPr>
    </w:p>
    <w:p w14:paraId="67D493BD">
      <w:pPr>
        <w:spacing w:before="157" w:line="219" w:lineRule="auto"/>
        <w:ind w:left="3219"/>
        <w:rPr>
          <w:rFonts w:ascii="宋体" w:hAnsi="宋体" w:eastAsia="宋体" w:cs="宋体"/>
          <w:color w:val="auto"/>
          <w:sz w:val="28"/>
          <w:szCs w:val="28"/>
        </w:rPr>
      </w:pPr>
      <w:r>
        <w:rPr>
          <w:rFonts w:ascii="宋体" w:hAnsi="宋体" w:eastAsia="宋体" w:cs="宋体"/>
          <w:b/>
          <w:bCs/>
          <w:color w:val="auto"/>
          <w:spacing w:val="-8"/>
          <w:sz w:val="28"/>
          <w:szCs w:val="28"/>
        </w:rPr>
        <w:t>六</w:t>
      </w:r>
      <w:r>
        <w:rPr>
          <w:rFonts w:ascii="宋体" w:hAnsi="宋体" w:eastAsia="宋体" w:cs="宋体"/>
          <w:color w:val="auto"/>
          <w:spacing w:val="22"/>
          <w:sz w:val="28"/>
          <w:szCs w:val="28"/>
        </w:rPr>
        <w:t xml:space="preserve">  </w:t>
      </w:r>
      <w:r>
        <w:rPr>
          <w:rFonts w:ascii="宋体" w:hAnsi="宋体" w:eastAsia="宋体" w:cs="宋体"/>
          <w:b/>
          <w:bCs/>
          <w:color w:val="auto"/>
          <w:spacing w:val="-8"/>
          <w:sz w:val="28"/>
          <w:szCs w:val="28"/>
        </w:rPr>
        <w:t>已标价工程量清单</w:t>
      </w:r>
    </w:p>
    <w:p w14:paraId="4FF709BB">
      <w:pPr>
        <w:pStyle w:val="2"/>
        <w:spacing w:line="286" w:lineRule="auto"/>
        <w:rPr>
          <w:color w:val="auto"/>
        </w:rPr>
      </w:pPr>
    </w:p>
    <w:p w14:paraId="28756E91">
      <w:pPr>
        <w:pStyle w:val="2"/>
        <w:spacing w:line="286" w:lineRule="auto"/>
        <w:rPr>
          <w:color w:val="auto"/>
        </w:rPr>
      </w:pPr>
    </w:p>
    <w:p w14:paraId="6B4FA8D3">
      <w:pPr>
        <w:spacing w:before="65" w:line="228" w:lineRule="auto"/>
        <w:ind w:left="4210"/>
        <w:rPr>
          <w:rFonts w:ascii="宋体" w:hAnsi="宋体" w:eastAsia="宋体" w:cs="宋体"/>
          <w:color w:val="auto"/>
          <w:sz w:val="20"/>
          <w:szCs w:val="20"/>
        </w:rPr>
      </w:pPr>
      <w:r>
        <w:rPr>
          <w:rFonts w:ascii="宋体" w:hAnsi="宋体" w:eastAsia="宋体" w:cs="宋体"/>
          <w:color w:val="auto"/>
          <w:spacing w:val="2"/>
          <w:sz w:val="20"/>
          <w:szCs w:val="20"/>
        </w:rPr>
        <w:t>（另附）</w:t>
      </w:r>
    </w:p>
    <w:p w14:paraId="5F2DC263">
      <w:pPr>
        <w:spacing w:before="154" w:line="228" w:lineRule="auto"/>
        <w:ind w:left="436"/>
        <w:rPr>
          <w:rFonts w:ascii="宋体" w:hAnsi="宋体" w:eastAsia="宋体" w:cs="宋体"/>
          <w:color w:val="auto"/>
          <w:sz w:val="20"/>
          <w:szCs w:val="20"/>
        </w:rPr>
      </w:pPr>
      <w:r>
        <w:rPr>
          <w:rFonts w:ascii="宋体" w:hAnsi="宋体" w:eastAsia="宋体" w:cs="宋体"/>
          <w:color w:val="auto"/>
          <w:spacing w:val="6"/>
          <w:sz w:val="20"/>
          <w:szCs w:val="20"/>
        </w:rPr>
        <w:t>1.工程量清单说明</w:t>
      </w:r>
    </w:p>
    <w:p w14:paraId="3C581EC2">
      <w:pPr>
        <w:spacing w:before="149" w:line="323" w:lineRule="auto"/>
        <w:ind w:left="1" w:firstLine="434"/>
        <w:rPr>
          <w:rFonts w:ascii="宋体" w:hAnsi="宋体" w:eastAsia="宋体" w:cs="宋体"/>
          <w:color w:val="auto"/>
          <w:sz w:val="20"/>
          <w:szCs w:val="20"/>
        </w:rPr>
      </w:pPr>
      <w:r>
        <w:rPr>
          <w:rFonts w:ascii="宋体" w:hAnsi="宋体" w:eastAsia="宋体" w:cs="宋体"/>
          <w:color w:val="auto"/>
          <w:spacing w:val="8"/>
          <w:sz w:val="20"/>
          <w:szCs w:val="20"/>
        </w:rPr>
        <w:t>1.1  本工程量清单是根据磋商文件中包括的、</w:t>
      </w:r>
      <w:r>
        <w:rPr>
          <w:rFonts w:ascii="宋体" w:hAnsi="宋体" w:eastAsia="宋体" w:cs="宋体"/>
          <w:color w:val="auto"/>
          <w:spacing w:val="-58"/>
          <w:sz w:val="20"/>
          <w:szCs w:val="20"/>
        </w:rPr>
        <w:t xml:space="preserve"> </w:t>
      </w:r>
      <w:r>
        <w:rPr>
          <w:rFonts w:ascii="宋体" w:hAnsi="宋体" w:eastAsia="宋体" w:cs="宋体"/>
          <w:color w:val="auto"/>
          <w:spacing w:val="8"/>
          <w:sz w:val="20"/>
          <w:szCs w:val="20"/>
        </w:rPr>
        <w:t>由合同约束力的图纸以及有关工程量清单</w:t>
      </w:r>
      <w:r>
        <w:rPr>
          <w:rFonts w:ascii="宋体" w:hAnsi="宋体" w:eastAsia="宋体" w:cs="宋体"/>
          <w:color w:val="auto"/>
          <w:spacing w:val="7"/>
          <w:sz w:val="20"/>
          <w:szCs w:val="20"/>
        </w:rPr>
        <w:t>的国家标</w:t>
      </w:r>
      <w:r>
        <w:rPr>
          <w:rFonts w:ascii="宋体" w:hAnsi="宋体" w:eastAsia="宋体" w:cs="宋体"/>
          <w:color w:val="auto"/>
          <w:spacing w:val="8"/>
          <w:sz w:val="20"/>
          <w:szCs w:val="20"/>
        </w:rPr>
        <w:t>准、行业标准、合同条款中约定的工程量计算规则编制。约定</w:t>
      </w:r>
      <w:r>
        <w:rPr>
          <w:rFonts w:ascii="宋体" w:hAnsi="宋体" w:eastAsia="宋体" w:cs="宋体"/>
          <w:color w:val="auto"/>
          <w:spacing w:val="7"/>
          <w:sz w:val="20"/>
          <w:szCs w:val="20"/>
        </w:rPr>
        <w:t>计量规则中没有的子目，其工程量按照由</w:t>
      </w:r>
      <w:r>
        <w:rPr>
          <w:rFonts w:ascii="宋体" w:hAnsi="宋体" w:eastAsia="宋体" w:cs="宋体"/>
          <w:color w:val="auto"/>
          <w:spacing w:val="9"/>
          <w:sz w:val="20"/>
          <w:szCs w:val="20"/>
        </w:rPr>
        <w:t>合同约束力的图纸所标尺的理论净量计算。计算采用中华人民共和国法定计量单位。</w:t>
      </w:r>
    </w:p>
    <w:p w14:paraId="7EA999A2">
      <w:pPr>
        <w:spacing w:before="152" w:line="299" w:lineRule="auto"/>
        <w:ind w:right="9" w:firstLine="436"/>
        <w:rPr>
          <w:rFonts w:ascii="宋体" w:hAnsi="宋体" w:eastAsia="宋体" w:cs="宋体"/>
          <w:color w:val="auto"/>
          <w:sz w:val="20"/>
          <w:szCs w:val="20"/>
        </w:rPr>
      </w:pPr>
      <w:r>
        <w:rPr>
          <w:rFonts w:ascii="宋体" w:hAnsi="宋体" w:eastAsia="宋体" w:cs="宋体"/>
          <w:color w:val="auto"/>
          <w:spacing w:val="9"/>
          <w:sz w:val="20"/>
          <w:szCs w:val="20"/>
        </w:rPr>
        <w:t>1.2本工程量清单应与磋商文件中的供应商须知、通用合同条款、专用合同条款、技术标准和要求</w:t>
      </w:r>
      <w:r>
        <w:rPr>
          <w:rFonts w:ascii="宋体" w:hAnsi="宋体" w:eastAsia="宋体" w:cs="宋体"/>
          <w:color w:val="auto"/>
          <w:spacing w:val="8"/>
          <w:sz w:val="20"/>
          <w:szCs w:val="20"/>
        </w:rPr>
        <w:t>及图纸等一起阅读和理解。</w:t>
      </w:r>
    </w:p>
    <w:p w14:paraId="0B620201">
      <w:pPr>
        <w:spacing w:before="152" w:line="298" w:lineRule="auto"/>
        <w:ind w:left="5" w:firstLine="430"/>
        <w:rPr>
          <w:rFonts w:ascii="宋体" w:hAnsi="宋体" w:eastAsia="宋体" w:cs="宋体"/>
          <w:color w:val="auto"/>
          <w:sz w:val="20"/>
          <w:szCs w:val="20"/>
        </w:rPr>
      </w:pPr>
      <w:r>
        <w:rPr>
          <w:rFonts w:ascii="宋体" w:hAnsi="宋体" w:eastAsia="宋体" w:cs="宋体"/>
          <w:color w:val="auto"/>
          <w:spacing w:val="7"/>
          <w:sz w:val="20"/>
          <w:szCs w:val="20"/>
        </w:rPr>
        <w:t>1.3 本工程量清单仅是投标报价的共同基础，实际工程计量和工程价款的支付应遵</w:t>
      </w:r>
      <w:r>
        <w:rPr>
          <w:rFonts w:ascii="宋体" w:hAnsi="宋体" w:eastAsia="宋体" w:cs="宋体"/>
          <w:color w:val="auto"/>
          <w:spacing w:val="6"/>
          <w:sz w:val="20"/>
          <w:szCs w:val="20"/>
        </w:rPr>
        <w:t>循合同款条款的</w:t>
      </w:r>
      <w:r>
        <w:rPr>
          <w:rFonts w:ascii="宋体" w:hAnsi="宋体" w:eastAsia="宋体" w:cs="宋体"/>
          <w:color w:val="auto"/>
          <w:spacing w:val="7"/>
          <w:sz w:val="20"/>
          <w:szCs w:val="20"/>
        </w:rPr>
        <w:t>约定和第六章“技术标准和要求</w:t>
      </w:r>
      <w:r>
        <w:rPr>
          <w:rFonts w:ascii="宋体" w:hAnsi="宋体" w:eastAsia="宋体" w:cs="宋体"/>
          <w:color w:val="auto"/>
          <w:spacing w:val="-64"/>
          <w:sz w:val="20"/>
          <w:szCs w:val="20"/>
        </w:rPr>
        <w:t xml:space="preserve"> </w:t>
      </w:r>
      <w:r>
        <w:rPr>
          <w:rFonts w:ascii="宋体" w:hAnsi="宋体" w:eastAsia="宋体" w:cs="宋体"/>
          <w:color w:val="auto"/>
          <w:spacing w:val="7"/>
          <w:sz w:val="20"/>
          <w:szCs w:val="20"/>
        </w:rPr>
        <w:t>”的有关规定。</w:t>
      </w:r>
    </w:p>
    <w:p w14:paraId="0950B47A">
      <w:pPr>
        <w:spacing w:before="155" w:line="227" w:lineRule="auto"/>
        <w:ind w:left="423"/>
        <w:rPr>
          <w:rFonts w:ascii="宋体" w:hAnsi="宋体" w:eastAsia="宋体" w:cs="宋体"/>
          <w:color w:val="auto"/>
          <w:sz w:val="20"/>
          <w:szCs w:val="20"/>
        </w:rPr>
      </w:pPr>
      <w:r>
        <w:rPr>
          <w:rFonts w:ascii="宋体" w:hAnsi="宋体" w:eastAsia="宋体" w:cs="宋体"/>
          <w:color w:val="auto"/>
          <w:spacing w:val="6"/>
          <w:sz w:val="20"/>
          <w:szCs w:val="20"/>
        </w:rPr>
        <w:t>2. 投标报价说明</w:t>
      </w:r>
    </w:p>
    <w:p w14:paraId="4BF660C8">
      <w:pPr>
        <w:spacing w:before="154" w:line="227" w:lineRule="auto"/>
        <w:ind w:left="423"/>
        <w:rPr>
          <w:rFonts w:ascii="宋体" w:hAnsi="宋体" w:eastAsia="宋体" w:cs="宋体"/>
          <w:color w:val="auto"/>
          <w:sz w:val="20"/>
          <w:szCs w:val="20"/>
        </w:rPr>
      </w:pPr>
      <w:r>
        <w:rPr>
          <w:rFonts w:ascii="宋体" w:hAnsi="宋体" w:eastAsia="宋体" w:cs="宋体"/>
          <w:color w:val="auto"/>
          <w:spacing w:val="9"/>
          <w:sz w:val="20"/>
          <w:szCs w:val="20"/>
        </w:rPr>
        <w:t>2.1 工程量清单中的每一子目须填入单价或价格，且</w:t>
      </w:r>
      <w:r>
        <w:rPr>
          <w:rFonts w:ascii="宋体" w:hAnsi="宋体" w:eastAsia="宋体" w:cs="宋体"/>
          <w:color w:val="auto"/>
          <w:spacing w:val="8"/>
          <w:sz w:val="20"/>
          <w:szCs w:val="20"/>
        </w:rPr>
        <w:t>只允许有一个报价。</w:t>
      </w:r>
    </w:p>
    <w:p w14:paraId="272F1B56">
      <w:pPr>
        <w:spacing w:before="152" w:line="323" w:lineRule="auto"/>
        <w:ind w:left="12" w:right="2" w:firstLine="411"/>
        <w:rPr>
          <w:rFonts w:ascii="宋体" w:hAnsi="宋体" w:eastAsia="宋体" w:cs="宋体"/>
          <w:color w:val="auto"/>
          <w:sz w:val="20"/>
          <w:szCs w:val="20"/>
        </w:rPr>
      </w:pPr>
      <w:r>
        <w:rPr>
          <w:rFonts w:ascii="宋体" w:hAnsi="宋体" w:eastAsia="宋体" w:cs="宋体"/>
          <w:color w:val="auto"/>
          <w:spacing w:val="7"/>
          <w:sz w:val="20"/>
          <w:szCs w:val="20"/>
        </w:rPr>
        <w:t>2.2 工程量清单中标价的单价或金额，应包括所需人工费、施工机械使用费、材料费、其他（运杂费、质检费、安装费、缺陷修复费、保险费，以及合同明示或暗示的风险、责任和义务等</w:t>
      </w:r>
      <w:r>
        <w:rPr>
          <w:rFonts w:ascii="宋体" w:hAnsi="宋体" w:eastAsia="宋体" w:cs="宋体"/>
          <w:color w:val="auto"/>
          <w:spacing w:val="15"/>
          <w:sz w:val="20"/>
          <w:szCs w:val="20"/>
        </w:rPr>
        <w:t>），</w:t>
      </w:r>
      <w:r>
        <w:rPr>
          <w:rFonts w:ascii="宋体" w:hAnsi="宋体" w:eastAsia="宋体" w:cs="宋体"/>
          <w:color w:val="auto"/>
          <w:spacing w:val="7"/>
          <w:sz w:val="20"/>
          <w:szCs w:val="20"/>
        </w:rPr>
        <w:t>以及</w:t>
      </w:r>
      <w:r>
        <w:rPr>
          <w:rFonts w:ascii="宋体" w:hAnsi="宋体" w:eastAsia="宋体" w:cs="宋体"/>
          <w:color w:val="auto"/>
          <w:spacing w:val="6"/>
          <w:sz w:val="20"/>
          <w:szCs w:val="20"/>
        </w:rPr>
        <w:t>管理</w:t>
      </w:r>
      <w:r>
        <w:rPr>
          <w:rFonts w:ascii="宋体" w:hAnsi="宋体" w:eastAsia="宋体" w:cs="宋体"/>
          <w:color w:val="auto"/>
          <w:spacing w:val="4"/>
          <w:sz w:val="20"/>
          <w:szCs w:val="20"/>
        </w:rPr>
        <w:t>费、利润等。</w:t>
      </w:r>
    </w:p>
    <w:p w14:paraId="31702A48">
      <w:pPr>
        <w:pStyle w:val="2"/>
        <w:spacing w:line="345" w:lineRule="auto"/>
        <w:rPr>
          <w:color w:val="auto"/>
        </w:rPr>
      </w:pPr>
    </w:p>
    <w:p w14:paraId="4E70D71D">
      <w:pPr>
        <w:spacing w:before="66" w:line="227" w:lineRule="auto"/>
        <w:ind w:left="423"/>
        <w:outlineLvl w:val="1"/>
        <w:rPr>
          <w:rFonts w:ascii="宋体" w:hAnsi="宋体" w:eastAsia="宋体" w:cs="宋体"/>
          <w:color w:val="auto"/>
          <w:sz w:val="20"/>
          <w:szCs w:val="20"/>
        </w:rPr>
      </w:pPr>
      <w:bookmarkStart w:id="24" w:name="_Toc7630"/>
      <w:r>
        <w:rPr>
          <w:rFonts w:ascii="宋体" w:hAnsi="宋体" w:eastAsia="宋体" w:cs="宋体"/>
          <w:color w:val="auto"/>
          <w:spacing w:val="9"/>
          <w:sz w:val="20"/>
          <w:szCs w:val="20"/>
        </w:rPr>
        <w:t>2.3 工程量清单中供应商没有填入单价或价格的子目，其费用视为已分摊在工程量清单中其他相</w:t>
      </w:r>
      <w:bookmarkEnd w:id="24"/>
    </w:p>
    <w:p w14:paraId="54CC042A">
      <w:pPr>
        <w:spacing w:before="152" w:line="227" w:lineRule="auto"/>
        <w:ind w:left="4"/>
        <w:rPr>
          <w:rFonts w:ascii="宋体" w:hAnsi="宋体" w:eastAsia="宋体" w:cs="宋体"/>
          <w:color w:val="auto"/>
          <w:sz w:val="20"/>
          <w:szCs w:val="20"/>
        </w:rPr>
      </w:pPr>
      <w:r>
        <w:rPr>
          <w:rFonts w:ascii="宋体" w:hAnsi="宋体" w:eastAsia="宋体" w:cs="宋体"/>
          <w:color w:val="auto"/>
          <w:spacing w:val="8"/>
          <w:sz w:val="20"/>
          <w:szCs w:val="20"/>
        </w:rPr>
        <w:t>关子目的单价或价格之中。</w:t>
      </w:r>
    </w:p>
    <w:p w14:paraId="6DA2FB21">
      <w:pPr>
        <w:spacing w:line="227" w:lineRule="auto"/>
        <w:rPr>
          <w:rFonts w:ascii="宋体" w:hAnsi="宋体" w:eastAsia="宋体" w:cs="宋体"/>
          <w:color w:val="auto"/>
          <w:sz w:val="20"/>
          <w:szCs w:val="20"/>
        </w:rPr>
        <w:sectPr>
          <w:footerReference r:id="rId27" w:type="default"/>
          <w:pgSz w:w="11906" w:h="16839"/>
          <w:pgMar w:top="1440" w:right="1080" w:bottom="1440" w:left="1080" w:header="0" w:footer="783" w:gutter="0"/>
          <w:pgNumType w:fmt="decimal"/>
          <w:cols w:space="720" w:num="1"/>
        </w:sectPr>
      </w:pPr>
    </w:p>
    <w:p w14:paraId="0567FDBB">
      <w:pPr>
        <w:pStyle w:val="2"/>
        <w:spacing w:line="343" w:lineRule="auto"/>
        <w:rPr>
          <w:color w:val="auto"/>
        </w:rPr>
      </w:pPr>
    </w:p>
    <w:p w14:paraId="51466CB9">
      <w:pPr>
        <w:pStyle w:val="2"/>
        <w:spacing w:line="343" w:lineRule="auto"/>
        <w:rPr>
          <w:color w:val="auto"/>
        </w:rPr>
      </w:pPr>
    </w:p>
    <w:p w14:paraId="71DFAA80">
      <w:pPr>
        <w:spacing w:before="91" w:line="221" w:lineRule="auto"/>
        <w:ind w:left="2934"/>
        <w:rPr>
          <w:rFonts w:ascii="宋体" w:hAnsi="宋体" w:eastAsia="宋体" w:cs="宋体"/>
          <w:color w:val="auto"/>
          <w:sz w:val="28"/>
          <w:szCs w:val="28"/>
        </w:rPr>
      </w:pPr>
      <w:r>
        <w:rPr>
          <w:rFonts w:ascii="宋体" w:hAnsi="宋体" w:eastAsia="宋体" w:cs="宋体"/>
          <w:b/>
          <w:bCs/>
          <w:color w:val="auto"/>
          <w:spacing w:val="-3"/>
          <w:sz w:val="28"/>
          <w:szCs w:val="28"/>
        </w:rPr>
        <w:t>七、施工组织设计（暗标）</w:t>
      </w:r>
    </w:p>
    <w:p w14:paraId="1BA08C05">
      <w:pPr>
        <w:pStyle w:val="2"/>
        <w:spacing w:line="328" w:lineRule="auto"/>
        <w:rPr>
          <w:color w:val="auto"/>
        </w:rPr>
      </w:pPr>
    </w:p>
    <w:p w14:paraId="33542066">
      <w:pPr>
        <w:pStyle w:val="2"/>
        <w:spacing w:line="328" w:lineRule="auto"/>
        <w:rPr>
          <w:color w:val="auto"/>
        </w:rPr>
      </w:pPr>
    </w:p>
    <w:p w14:paraId="46F3E022">
      <w:pPr>
        <w:spacing w:before="65" w:line="341" w:lineRule="auto"/>
        <w:ind w:firstLine="435"/>
        <w:rPr>
          <w:rFonts w:ascii="宋体" w:hAnsi="宋体" w:eastAsia="宋体" w:cs="宋体"/>
          <w:color w:val="auto"/>
          <w:sz w:val="20"/>
          <w:szCs w:val="20"/>
        </w:rPr>
      </w:pPr>
      <w:r>
        <w:rPr>
          <w:rFonts w:ascii="宋体" w:hAnsi="宋体" w:eastAsia="宋体" w:cs="宋体"/>
          <w:color w:val="auto"/>
          <w:spacing w:val="7"/>
          <w:sz w:val="20"/>
          <w:szCs w:val="20"/>
        </w:rPr>
        <w:t>1．供应商编制施工组织设计的要求：编制时应采用文字并结合图表形式说明施</w:t>
      </w:r>
      <w:r>
        <w:rPr>
          <w:rFonts w:ascii="宋体" w:hAnsi="宋体" w:eastAsia="宋体" w:cs="宋体"/>
          <w:color w:val="auto"/>
          <w:spacing w:val="6"/>
          <w:sz w:val="20"/>
          <w:szCs w:val="20"/>
        </w:rPr>
        <w:t>工方法；拟投入本</w:t>
      </w:r>
      <w:r>
        <w:rPr>
          <w:rFonts w:ascii="宋体" w:hAnsi="宋体" w:eastAsia="宋体" w:cs="宋体"/>
          <w:color w:val="auto"/>
          <w:spacing w:val="10"/>
          <w:sz w:val="20"/>
          <w:szCs w:val="20"/>
        </w:rPr>
        <w:t>标段的主要施工设备情况、拟配备本标段的试验和检测仪器设备情况、劳动力</w:t>
      </w:r>
      <w:r>
        <w:rPr>
          <w:rFonts w:ascii="宋体" w:hAnsi="宋体" w:eastAsia="宋体" w:cs="宋体"/>
          <w:color w:val="auto"/>
          <w:spacing w:val="9"/>
          <w:sz w:val="20"/>
          <w:szCs w:val="20"/>
        </w:rPr>
        <w:t>计划等；结合工程特点</w:t>
      </w:r>
      <w:r>
        <w:rPr>
          <w:rFonts w:ascii="宋体" w:hAnsi="宋体" w:eastAsia="宋体" w:cs="宋体"/>
          <w:color w:val="auto"/>
          <w:spacing w:val="10"/>
          <w:sz w:val="20"/>
          <w:szCs w:val="20"/>
        </w:rPr>
        <w:t>提出切实可行的工程质量、安全生产、文明施工、工程进度、技术组织措施，</w:t>
      </w:r>
      <w:r>
        <w:rPr>
          <w:rFonts w:ascii="宋体" w:hAnsi="宋体" w:eastAsia="宋体" w:cs="宋体"/>
          <w:color w:val="auto"/>
          <w:spacing w:val="9"/>
          <w:sz w:val="20"/>
          <w:szCs w:val="20"/>
        </w:rPr>
        <w:t>同时应对关键工序、复</w:t>
      </w:r>
      <w:r>
        <w:rPr>
          <w:rFonts w:ascii="宋体" w:hAnsi="宋体" w:eastAsia="宋体" w:cs="宋体"/>
          <w:color w:val="auto"/>
          <w:spacing w:val="10"/>
          <w:sz w:val="20"/>
          <w:szCs w:val="20"/>
        </w:rPr>
        <w:t>杂环节重点提出相应技术措施，如冬雨季施工技术、减少噪音、降低环境污染</w:t>
      </w:r>
      <w:r>
        <w:rPr>
          <w:rFonts w:ascii="宋体" w:hAnsi="宋体" w:eastAsia="宋体" w:cs="宋体"/>
          <w:color w:val="auto"/>
          <w:spacing w:val="9"/>
          <w:sz w:val="20"/>
          <w:szCs w:val="20"/>
        </w:rPr>
        <w:t>、地下管线及其他地上</w:t>
      </w:r>
      <w:r>
        <w:rPr>
          <w:rFonts w:ascii="宋体" w:hAnsi="宋体" w:eastAsia="宋体" w:cs="宋体"/>
          <w:color w:val="auto"/>
          <w:spacing w:val="8"/>
          <w:sz w:val="20"/>
          <w:szCs w:val="20"/>
        </w:rPr>
        <w:t>地下设施的保护加固措施等。</w:t>
      </w:r>
    </w:p>
    <w:p w14:paraId="27DBC737">
      <w:pPr>
        <w:spacing w:before="153" w:line="228" w:lineRule="auto"/>
        <w:ind w:left="422"/>
        <w:rPr>
          <w:rFonts w:ascii="宋体" w:hAnsi="宋体" w:eastAsia="宋体" w:cs="宋体"/>
          <w:color w:val="auto"/>
          <w:sz w:val="20"/>
          <w:szCs w:val="20"/>
        </w:rPr>
      </w:pPr>
      <w:r>
        <w:rPr>
          <w:rFonts w:ascii="宋体" w:hAnsi="宋体" w:eastAsia="宋体" w:cs="宋体"/>
          <w:color w:val="auto"/>
          <w:spacing w:val="9"/>
          <w:sz w:val="20"/>
          <w:szCs w:val="20"/>
        </w:rPr>
        <w:t>2．施工组织设计除采用文字表述不可附下列图表，图表附其明标部分中。</w:t>
      </w:r>
    </w:p>
    <w:p w14:paraId="76ABA0ED">
      <w:pPr>
        <w:spacing w:before="153" w:line="228" w:lineRule="auto"/>
        <w:ind w:left="436"/>
        <w:rPr>
          <w:rFonts w:ascii="宋体" w:hAnsi="宋体" w:eastAsia="宋体" w:cs="宋体"/>
          <w:color w:val="auto"/>
          <w:sz w:val="20"/>
          <w:szCs w:val="20"/>
        </w:rPr>
      </w:pPr>
      <w:r>
        <w:rPr>
          <w:rFonts w:ascii="宋体" w:hAnsi="宋体" w:eastAsia="宋体" w:cs="宋体"/>
          <w:color w:val="auto"/>
          <w:spacing w:val="8"/>
          <w:sz w:val="20"/>
          <w:szCs w:val="20"/>
        </w:rPr>
        <w:t>附表一  拟投入本标段的主要施工设备表</w:t>
      </w:r>
    </w:p>
    <w:p w14:paraId="32FDA9FA">
      <w:pPr>
        <w:spacing w:before="151" w:line="228" w:lineRule="auto"/>
        <w:ind w:left="436"/>
        <w:rPr>
          <w:rFonts w:ascii="宋体" w:hAnsi="宋体" w:eastAsia="宋体" w:cs="宋体"/>
          <w:color w:val="auto"/>
          <w:sz w:val="20"/>
          <w:szCs w:val="20"/>
        </w:rPr>
      </w:pPr>
      <w:r>
        <w:rPr>
          <w:rFonts w:ascii="宋体" w:hAnsi="宋体" w:eastAsia="宋体" w:cs="宋体"/>
          <w:color w:val="auto"/>
          <w:spacing w:val="8"/>
          <w:sz w:val="20"/>
          <w:szCs w:val="20"/>
        </w:rPr>
        <w:t>附表二  拟配备本标段的试验和检测仪器设备表</w:t>
      </w:r>
    </w:p>
    <w:p w14:paraId="7B8E1B8F">
      <w:pPr>
        <w:spacing w:before="154" w:line="228" w:lineRule="auto"/>
        <w:ind w:left="436"/>
        <w:rPr>
          <w:rFonts w:ascii="宋体" w:hAnsi="宋体" w:eastAsia="宋体" w:cs="宋体"/>
          <w:color w:val="auto"/>
          <w:sz w:val="20"/>
          <w:szCs w:val="20"/>
        </w:rPr>
      </w:pPr>
      <w:r>
        <w:rPr>
          <w:rFonts w:ascii="宋体" w:hAnsi="宋体" w:eastAsia="宋体" w:cs="宋体"/>
          <w:color w:val="auto"/>
          <w:spacing w:val="5"/>
          <w:sz w:val="20"/>
          <w:szCs w:val="20"/>
        </w:rPr>
        <w:t>附表三</w:t>
      </w:r>
      <w:r>
        <w:rPr>
          <w:rFonts w:ascii="宋体" w:hAnsi="宋体" w:eastAsia="宋体" w:cs="宋体"/>
          <w:color w:val="auto"/>
          <w:spacing w:val="13"/>
          <w:sz w:val="20"/>
          <w:szCs w:val="20"/>
        </w:rPr>
        <w:t xml:space="preserve">  </w:t>
      </w:r>
      <w:r>
        <w:rPr>
          <w:rFonts w:ascii="宋体" w:hAnsi="宋体" w:eastAsia="宋体" w:cs="宋体"/>
          <w:color w:val="auto"/>
          <w:spacing w:val="5"/>
          <w:sz w:val="20"/>
          <w:szCs w:val="20"/>
        </w:rPr>
        <w:t>劳动力计划表</w:t>
      </w:r>
    </w:p>
    <w:p w14:paraId="3580BBAD">
      <w:pPr>
        <w:spacing w:before="153" w:line="228" w:lineRule="auto"/>
        <w:ind w:left="436"/>
        <w:rPr>
          <w:rFonts w:ascii="宋体" w:hAnsi="宋体" w:eastAsia="宋体" w:cs="宋体"/>
          <w:color w:val="auto"/>
          <w:sz w:val="20"/>
          <w:szCs w:val="20"/>
        </w:rPr>
      </w:pPr>
      <w:r>
        <w:rPr>
          <w:rFonts w:ascii="宋体" w:hAnsi="宋体" w:eastAsia="宋体" w:cs="宋体"/>
          <w:color w:val="auto"/>
          <w:spacing w:val="8"/>
          <w:sz w:val="20"/>
          <w:szCs w:val="20"/>
        </w:rPr>
        <w:t>附表四  计划开、竣工日期和施工进度网络图</w:t>
      </w:r>
    </w:p>
    <w:p w14:paraId="4AC69043">
      <w:pPr>
        <w:spacing w:before="152" w:line="228" w:lineRule="auto"/>
        <w:ind w:left="436"/>
        <w:rPr>
          <w:rFonts w:ascii="宋体" w:hAnsi="宋体" w:eastAsia="宋体" w:cs="宋体"/>
          <w:color w:val="auto"/>
          <w:sz w:val="20"/>
          <w:szCs w:val="20"/>
        </w:rPr>
      </w:pPr>
      <w:r>
        <w:rPr>
          <w:rFonts w:ascii="宋体" w:hAnsi="宋体" w:eastAsia="宋体" w:cs="宋体"/>
          <w:color w:val="auto"/>
          <w:spacing w:val="4"/>
          <w:sz w:val="20"/>
          <w:szCs w:val="20"/>
        </w:rPr>
        <w:t>附表五</w:t>
      </w:r>
      <w:r>
        <w:rPr>
          <w:rFonts w:ascii="宋体" w:hAnsi="宋体" w:eastAsia="宋体" w:cs="宋体"/>
          <w:color w:val="auto"/>
          <w:spacing w:val="15"/>
          <w:sz w:val="20"/>
          <w:szCs w:val="20"/>
        </w:rPr>
        <w:t xml:space="preserve">  </w:t>
      </w:r>
      <w:r>
        <w:rPr>
          <w:rFonts w:ascii="宋体" w:hAnsi="宋体" w:eastAsia="宋体" w:cs="宋体"/>
          <w:color w:val="auto"/>
          <w:spacing w:val="4"/>
          <w:sz w:val="20"/>
          <w:szCs w:val="20"/>
        </w:rPr>
        <w:t>临时用地表</w:t>
      </w:r>
    </w:p>
    <w:p w14:paraId="5362E61A">
      <w:pPr>
        <w:pStyle w:val="2"/>
        <w:spacing w:line="294" w:lineRule="auto"/>
        <w:rPr>
          <w:color w:val="auto"/>
        </w:rPr>
      </w:pPr>
    </w:p>
    <w:p w14:paraId="30D3DBF5">
      <w:pPr>
        <w:pStyle w:val="2"/>
        <w:spacing w:line="294" w:lineRule="auto"/>
        <w:rPr>
          <w:color w:val="auto"/>
        </w:rPr>
      </w:pPr>
    </w:p>
    <w:p w14:paraId="10CA5996">
      <w:pPr>
        <w:pStyle w:val="2"/>
        <w:spacing w:line="294" w:lineRule="auto"/>
        <w:rPr>
          <w:color w:val="auto"/>
        </w:rPr>
      </w:pPr>
    </w:p>
    <w:p w14:paraId="6CB5EEBE">
      <w:pPr>
        <w:spacing w:before="65" w:line="228" w:lineRule="auto"/>
        <w:rPr>
          <w:rFonts w:ascii="宋体" w:hAnsi="宋体" w:eastAsia="宋体" w:cs="宋体"/>
          <w:color w:val="auto"/>
          <w:sz w:val="20"/>
          <w:szCs w:val="20"/>
        </w:rPr>
      </w:pPr>
      <w:r>
        <w:rPr>
          <w:rFonts w:ascii="宋体" w:hAnsi="宋体" w:eastAsia="宋体" w:cs="宋体"/>
          <w:b/>
          <w:bCs/>
          <w:color w:val="auto"/>
          <w:spacing w:val="8"/>
          <w:sz w:val="20"/>
          <w:szCs w:val="20"/>
        </w:rPr>
        <w:t>注：暗标部分给定格式与暗标要求不一致时，以政采云系统暗标要求为准。</w:t>
      </w:r>
    </w:p>
    <w:p w14:paraId="1C7E45CC">
      <w:pPr>
        <w:spacing w:line="228" w:lineRule="auto"/>
        <w:rPr>
          <w:rFonts w:ascii="宋体" w:hAnsi="宋体" w:eastAsia="宋体" w:cs="宋体"/>
          <w:color w:val="auto"/>
          <w:sz w:val="20"/>
          <w:szCs w:val="20"/>
        </w:rPr>
        <w:sectPr>
          <w:footerReference r:id="rId28" w:type="default"/>
          <w:pgSz w:w="11906" w:h="16839"/>
          <w:pgMar w:top="1440" w:right="1080" w:bottom="1440" w:left="1080" w:header="0" w:footer="783" w:gutter="0"/>
          <w:pgNumType w:fmt="decimal"/>
          <w:cols w:space="720" w:num="1"/>
        </w:sectPr>
      </w:pPr>
    </w:p>
    <w:p w14:paraId="39A7E47F">
      <w:pPr>
        <w:pStyle w:val="2"/>
        <w:spacing w:line="344" w:lineRule="auto"/>
        <w:rPr>
          <w:color w:val="auto"/>
        </w:rPr>
      </w:pPr>
    </w:p>
    <w:p w14:paraId="578ED732">
      <w:pPr>
        <w:spacing w:before="91" w:line="220" w:lineRule="auto"/>
        <w:ind w:left="38"/>
        <w:outlineLvl w:val="2"/>
        <w:rPr>
          <w:rFonts w:ascii="宋体" w:hAnsi="宋体" w:eastAsia="宋体" w:cs="宋体"/>
          <w:color w:val="auto"/>
          <w:sz w:val="28"/>
          <w:szCs w:val="28"/>
        </w:rPr>
      </w:pPr>
      <w:bookmarkStart w:id="25" w:name="_Toc19260"/>
      <w:r>
        <w:rPr>
          <w:rFonts w:ascii="宋体" w:hAnsi="宋体" w:eastAsia="宋体" w:cs="宋体"/>
          <w:b/>
          <w:bCs/>
          <w:color w:val="auto"/>
          <w:spacing w:val="-4"/>
          <w:sz w:val="28"/>
          <w:szCs w:val="28"/>
        </w:rPr>
        <w:t>附表一：拟投入本标段的主要施工设备表</w:t>
      </w:r>
      <w:bookmarkEnd w:id="25"/>
    </w:p>
    <w:p w14:paraId="19E1771B">
      <w:pPr>
        <w:spacing w:before="119"/>
        <w:rPr>
          <w:color w:val="auto"/>
        </w:rPr>
      </w:pPr>
    </w:p>
    <w:p w14:paraId="2EC595C6">
      <w:pPr>
        <w:spacing w:before="119"/>
        <w:rPr>
          <w:color w:val="auto"/>
        </w:rPr>
      </w:pPr>
    </w:p>
    <w:tbl>
      <w:tblPr>
        <w:tblStyle w:val="15"/>
        <w:tblW w:w="98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184"/>
        <w:gridCol w:w="795"/>
        <w:gridCol w:w="816"/>
        <w:gridCol w:w="816"/>
        <w:gridCol w:w="1079"/>
        <w:gridCol w:w="1259"/>
        <w:gridCol w:w="973"/>
        <w:gridCol w:w="1079"/>
        <w:gridCol w:w="1084"/>
      </w:tblGrid>
      <w:tr w14:paraId="2C92A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724" w:type="dxa"/>
            <w:vAlign w:val="top"/>
          </w:tcPr>
          <w:p w14:paraId="3F458AF7">
            <w:pPr>
              <w:spacing w:line="291" w:lineRule="auto"/>
              <w:rPr>
                <w:rFonts w:ascii="Arial"/>
                <w:color w:val="auto"/>
                <w:sz w:val="21"/>
              </w:rPr>
            </w:pPr>
          </w:p>
          <w:p w14:paraId="4AAFE0E0">
            <w:pPr>
              <w:pStyle w:val="16"/>
              <w:spacing w:before="65" w:line="230" w:lineRule="auto"/>
              <w:ind w:left="156"/>
              <w:rPr>
                <w:color w:val="auto"/>
                <w:sz w:val="20"/>
                <w:szCs w:val="20"/>
              </w:rPr>
            </w:pPr>
            <w:r>
              <w:rPr>
                <w:color w:val="auto"/>
                <w:spacing w:val="5"/>
                <w:sz w:val="20"/>
                <w:szCs w:val="20"/>
              </w:rPr>
              <w:t>序号</w:t>
            </w:r>
          </w:p>
        </w:tc>
        <w:tc>
          <w:tcPr>
            <w:tcW w:w="1184" w:type="dxa"/>
            <w:vAlign w:val="top"/>
          </w:tcPr>
          <w:p w14:paraId="2EC40D80">
            <w:pPr>
              <w:spacing w:line="291" w:lineRule="auto"/>
              <w:rPr>
                <w:rFonts w:ascii="Arial"/>
                <w:color w:val="auto"/>
                <w:sz w:val="21"/>
              </w:rPr>
            </w:pPr>
          </w:p>
          <w:p w14:paraId="2CEC96D6">
            <w:pPr>
              <w:pStyle w:val="16"/>
              <w:spacing w:before="65" w:line="230" w:lineRule="auto"/>
              <w:ind w:left="178"/>
              <w:rPr>
                <w:color w:val="auto"/>
                <w:sz w:val="20"/>
                <w:szCs w:val="20"/>
              </w:rPr>
            </w:pPr>
            <w:r>
              <w:rPr>
                <w:color w:val="auto"/>
                <w:spacing w:val="6"/>
                <w:sz w:val="20"/>
                <w:szCs w:val="20"/>
              </w:rPr>
              <w:t>设备名称</w:t>
            </w:r>
          </w:p>
        </w:tc>
        <w:tc>
          <w:tcPr>
            <w:tcW w:w="795" w:type="dxa"/>
            <w:vAlign w:val="top"/>
          </w:tcPr>
          <w:p w14:paraId="612C44F8">
            <w:pPr>
              <w:pStyle w:val="16"/>
              <w:spacing w:before="202" w:line="289" w:lineRule="auto"/>
              <w:ind w:left="191" w:right="189" w:firstLine="5"/>
              <w:rPr>
                <w:color w:val="auto"/>
                <w:sz w:val="20"/>
                <w:szCs w:val="20"/>
              </w:rPr>
            </w:pPr>
            <w:r>
              <w:rPr>
                <w:color w:val="auto"/>
                <w:spacing w:val="1"/>
                <w:sz w:val="20"/>
                <w:szCs w:val="20"/>
              </w:rPr>
              <w:t>型号</w:t>
            </w:r>
            <w:r>
              <w:rPr>
                <w:color w:val="auto"/>
                <w:spacing w:val="4"/>
                <w:sz w:val="20"/>
                <w:szCs w:val="20"/>
              </w:rPr>
              <w:t>规格</w:t>
            </w:r>
          </w:p>
        </w:tc>
        <w:tc>
          <w:tcPr>
            <w:tcW w:w="816" w:type="dxa"/>
            <w:vAlign w:val="top"/>
          </w:tcPr>
          <w:p w14:paraId="7CE352B5">
            <w:pPr>
              <w:spacing w:line="291" w:lineRule="auto"/>
              <w:rPr>
                <w:rFonts w:ascii="Arial"/>
                <w:color w:val="auto"/>
                <w:sz w:val="21"/>
              </w:rPr>
            </w:pPr>
          </w:p>
          <w:p w14:paraId="5BD1C57A">
            <w:pPr>
              <w:pStyle w:val="16"/>
              <w:spacing w:before="65" w:line="228" w:lineRule="auto"/>
              <w:ind w:left="203"/>
              <w:rPr>
                <w:color w:val="auto"/>
                <w:sz w:val="20"/>
                <w:szCs w:val="20"/>
              </w:rPr>
            </w:pPr>
            <w:r>
              <w:rPr>
                <w:color w:val="auto"/>
                <w:spacing w:val="3"/>
                <w:sz w:val="20"/>
                <w:szCs w:val="20"/>
              </w:rPr>
              <w:t>数量</w:t>
            </w:r>
          </w:p>
        </w:tc>
        <w:tc>
          <w:tcPr>
            <w:tcW w:w="816" w:type="dxa"/>
            <w:vAlign w:val="top"/>
          </w:tcPr>
          <w:p w14:paraId="556425E8">
            <w:pPr>
              <w:pStyle w:val="16"/>
              <w:spacing w:before="202" w:line="289" w:lineRule="auto"/>
              <w:ind w:left="202" w:right="199" w:firstLine="20"/>
              <w:rPr>
                <w:color w:val="auto"/>
                <w:sz w:val="20"/>
                <w:szCs w:val="20"/>
              </w:rPr>
            </w:pPr>
            <w:r>
              <w:rPr>
                <w:color w:val="auto"/>
                <w:spacing w:val="-6"/>
                <w:sz w:val="20"/>
                <w:szCs w:val="20"/>
              </w:rPr>
              <w:t>国别</w:t>
            </w:r>
            <w:r>
              <w:rPr>
                <w:color w:val="auto"/>
                <w:spacing w:val="4"/>
                <w:sz w:val="20"/>
                <w:szCs w:val="20"/>
              </w:rPr>
              <w:t>产地</w:t>
            </w:r>
          </w:p>
        </w:tc>
        <w:tc>
          <w:tcPr>
            <w:tcW w:w="1079" w:type="dxa"/>
            <w:vAlign w:val="top"/>
          </w:tcPr>
          <w:p w14:paraId="3B15092C">
            <w:pPr>
              <w:pStyle w:val="16"/>
              <w:spacing w:before="202" w:line="289" w:lineRule="auto"/>
              <w:ind w:left="334" w:right="330"/>
              <w:rPr>
                <w:color w:val="auto"/>
                <w:sz w:val="20"/>
                <w:szCs w:val="20"/>
              </w:rPr>
            </w:pPr>
            <w:r>
              <w:rPr>
                <w:color w:val="auto"/>
                <w:spacing w:val="4"/>
                <w:sz w:val="20"/>
                <w:szCs w:val="20"/>
              </w:rPr>
              <w:t>制造年份</w:t>
            </w:r>
          </w:p>
        </w:tc>
        <w:tc>
          <w:tcPr>
            <w:tcW w:w="1259" w:type="dxa"/>
            <w:vAlign w:val="top"/>
          </w:tcPr>
          <w:p w14:paraId="1556A6D5">
            <w:pPr>
              <w:pStyle w:val="16"/>
              <w:spacing w:before="201" w:line="291" w:lineRule="auto"/>
              <w:ind w:left="357" w:right="209" w:hanging="142"/>
              <w:rPr>
                <w:color w:val="auto"/>
                <w:sz w:val="20"/>
                <w:szCs w:val="20"/>
              </w:rPr>
            </w:pPr>
            <w:r>
              <w:rPr>
                <w:color w:val="auto"/>
                <w:spacing w:val="7"/>
                <w:sz w:val="20"/>
                <w:szCs w:val="20"/>
              </w:rPr>
              <w:t>额定功率</w:t>
            </w:r>
            <w:r>
              <w:rPr>
                <w:color w:val="auto"/>
                <w:spacing w:val="-9"/>
                <w:sz w:val="20"/>
                <w:szCs w:val="20"/>
              </w:rPr>
              <w:t>(</w:t>
            </w:r>
            <w:r>
              <w:rPr>
                <w:color w:val="auto"/>
                <w:spacing w:val="11"/>
                <w:sz w:val="20"/>
                <w:szCs w:val="20"/>
              </w:rPr>
              <w:t xml:space="preserve"> </w:t>
            </w:r>
            <w:r>
              <w:rPr>
                <w:color w:val="auto"/>
                <w:spacing w:val="-9"/>
                <w:sz w:val="20"/>
                <w:szCs w:val="20"/>
              </w:rPr>
              <w:t>KW</w:t>
            </w:r>
            <w:r>
              <w:rPr>
                <w:color w:val="auto"/>
                <w:spacing w:val="13"/>
                <w:sz w:val="20"/>
                <w:szCs w:val="20"/>
              </w:rPr>
              <w:t xml:space="preserve"> </w:t>
            </w:r>
            <w:r>
              <w:rPr>
                <w:color w:val="auto"/>
                <w:spacing w:val="-9"/>
                <w:sz w:val="20"/>
                <w:szCs w:val="20"/>
              </w:rPr>
              <w:t>)</w:t>
            </w:r>
          </w:p>
        </w:tc>
        <w:tc>
          <w:tcPr>
            <w:tcW w:w="973" w:type="dxa"/>
            <w:vAlign w:val="top"/>
          </w:tcPr>
          <w:p w14:paraId="57B5825B">
            <w:pPr>
              <w:pStyle w:val="16"/>
              <w:spacing w:before="202" w:line="289" w:lineRule="auto"/>
              <w:ind w:left="291" w:right="275" w:hanging="6"/>
              <w:rPr>
                <w:color w:val="auto"/>
                <w:sz w:val="20"/>
                <w:szCs w:val="20"/>
              </w:rPr>
            </w:pPr>
            <w:r>
              <w:rPr>
                <w:color w:val="auto"/>
                <w:spacing w:val="3"/>
                <w:sz w:val="20"/>
                <w:szCs w:val="20"/>
              </w:rPr>
              <w:t>生产</w:t>
            </w:r>
            <w:r>
              <w:rPr>
                <w:color w:val="auto"/>
                <w:sz w:val="20"/>
                <w:szCs w:val="20"/>
              </w:rPr>
              <w:t>能力</w:t>
            </w:r>
          </w:p>
        </w:tc>
        <w:tc>
          <w:tcPr>
            <w:tcW w:w="1079" w:type="dxa"/>
            <w:vAlign w:val="top"/>
          </w:tcPr>
          <w:p w14:paraId="579BEAD5">
            <w:pPr>
              <w:pStyle w:val="16"/>
              <w:spacing w:before="202" w:line="289" w:lineRule="auto"/>
              <w:ind w:left="116" w:right="338"/>
              <w:rPr>
                <w:color w:val="auto"/>
                <w:sz w:val="20"/>
                <w:szCs w:val="20"/>
              </w:rPr>
            </w:pPr>
            <w:r>
              <w:rPr>
                <w:color w:val="auto"/>
                <w:spacing w:val="6"/>
                <w:sz w:val="20"/>
                <w:szCs w:val="20"/>
              </w:rPr>
              <w:t>用于施工部位</w:t>
            </w:r>
          </w:p>
        </w:tc>
        <w:tc>
          <w:tcPr>
            <w:tcW w:w="1084" w:type="dxa"/>
            <w:vAlign w:val="top"/>
          </w:tcPr>
          <w:p w14:paraId="15C12139">
            <w:pPr>
              <w:spacing w:line="291" w:lineRule="auto"/>
              <w:rPr>
                <w:rFonts w:ascii="Arial"/>
                <w:color w:val="auto"/>
                <w:sz w:val="21"/>
              </w:rPr>
            </w:pPr>
          </w:p>
          <w:p w14:paraId="04ADCAC5">
            <w:pPr>
              <w:pStyle w:val="16"/>
              <w:spacing w:before="65" w:line="230" w:lineRule="auto"/>
              <w:ind w:left="117"/>
              <w:rPr>
                <w:color w:val="auto"/>
                <w:sz w:val="20"/>
                <w:szCs w:val="20"/>
              </w:rPr>
            </w:pPr>
            <w:r>
              <w:rPr>
                <w:color w:val="auto"/>
                <w:spacing w:val="3"/>
                <w:sz w:val="20"/>
                <w:szCs w:val="20"/>
              </w:rPr>
              <w:t>备注</w:t>
            </w:r>
          </w:p>
        </w:tc>
      </w:tr>
      <w:tr w14:paraId="0200C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724" w:type="dxa"/>
            <w:vAlign w:val="top"/>
          </w:tcPr>
          <w:p w14:paraId="1E06B1FD">
            <w:pPr>
              <w:rPr>
                <w:rFonts w:ascii="Arial"/>
                <w:color w:val="auto"/>
                <w:sz w:val="21"/>
              </w:rPr>
            </w:pPr>
          </w:p>
        </w:tc>
        <w:tc>
          <w:tcPr>
            <w:tcW w:w="1184" w:type="dxa"/>
            <w:vAlign w:val="top"/>
          </w:tcPr>
          <w:p w14:paraId="69AF67D9">
            <w:pPr>
              <w:rPr>
                <w:rFonts w:ascii="Arial"/>
                <w:color w:val="auto"/>
                <w:sz w:val="21"/>
              </w:rPr>
            </w:pPr>
          </w:p>
        </w:tc>
        <w:tc>
          <w:tcPr>
            <w:tcW w:w="795" w:type="dxa"/>
            <w:vAlign w:val="top"/>
          </w:tcPr>
          <w:p w14:paraId="45154C33">
            <w:pPr>
              <w:rPr>
                <w:rFonts w:ascii="Arial"/>
                <w:color w:val="auto"/>
                <w:sz w:val="21"/>
              </w:rPr>
            </w:pPr>
          </w:p>
        </w:tc>
        <w:tc>
          <w:tcPr>
            <w:tcW w:w="816" w:type="dxa"/>
            <w:vAlign w:val="top"/>
          </w:tcPr>
          <w:p w14:paraId="3CEE4ACB">
            <w:pPr>
              <w:rPr>
                <w:rFonts w:ascii="Arial"/>
                <w:color w:val="auto"/>
                <w:sz w:val="21"/>
              </w:rPr>
            </w:pPr>
          </w:p>
        </w:tc>
        <w:tc>
          <w:tcPr>
            <w:tcW w:w="816" w:type="dxa"/>
            <w:vAlign w:val="top"/>
          </w:tcPr>
          <w:p w14:paraId="348B59C2">
            <w:pPr>
              <w:rPr>
                <w:rFonts w:ascii="Arial"/>
                <w:color w:val="auto"/>
                <w:sz w:val="21"/>
              </w:rPr>
            </w:pPr>
          </w:p>
        </w:tc>
        <w:tc>
          <w:tcPr>
            <w:tcW w:w="1079" w:type="dxa"/>
            <w:vAlign w:val="top"/>
          </w:tcPr>
          <w:p w14:paraId="2DA3C671">
            <w:pPr>
              <w:rPr>
                <w:rFonts w:ascii="Arial"/>
                <w:color w:val="auto"/>
                <w:sz w:val="21"/>
              </w:rPr>
            </w:pPr>
          </w:p>
        </w:tc>
        <w:tc>
          <w:tcPr>
            <w:tcW w:w="1259" w:type="dxa"/>
            <w:vAlign w:val="top"/>
          </w:tcPr>
          <w:p w14:paraId="69933A83">
            <w:pPr>
              <w:rPr>
                <w:rFonts w:ascii="Arial"/>
                <w:color w:val="auto"/>
                <w:sz w:val="21"/>
              </w:rPr>
            </w:pPr>
          </w:p>
        </w:tc>
        <w:tc>
          <w:tcPr>
            <w:tcW w:w="973" w:type="dxa"/>
            <w:vAlign w:val="top"/>
          </w:tcPr>
          <w:p w14:paraId="7254F884">
            <w:pPr>
              <w:rPr>
                <w:rFonts w:ascii="Arial"/>
                <w:color w:val="auto"/>
                <w:sz w:val="21"/>
              </w:rPr>
            </w:pPr>
          </w:p>
        </w:tc>
        <w:tc>
          <w:tcPr>
            <w:tcW w:w="1079" w:type="dxa"/>
            <w:vAlign w:val="top"/>
          </w:tcPr>
          <w:p w14:paraId="2ED9E295">
            <w:pPr>
              <w:rPr>
                <w:rFonts w:ascii="Arial"/>
                <w:color w:val="auto"/>
                <w:sz w:val="21"/>
              </w:rPr>
            </w:pPr>
          </w:p>
        </w:tc>
        <w:tc>
          <w:tcPr>
            <w:tcW w:w="1084" w:type="dxa"/>
            <w:vAlign w:val="top"/>
          </w:tcPr>
          <w:p w14:paraId="43D26D68">
            <w:pPr>
              <w:rPr>
                <w:rFonts w:ascii="Arial"/>
                <w:color w:val="auto"/>
                <w:sz w:val="21"/>
              </w:rPr>
            </w:pPr>
          </w:p>
        </w:tc>
      </w:tr>
      <w:tr w14:paraId="2EE41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vAlign w:val="top"/>
          </w:tcPr>
          <w:p w14:paraId="5EF28FF0">
            <w:pPr>
              <w:rPr>
                <w:rFonts w:ascii="Arial"/>
                <w:color w:val="auto"/>
                <w:sz w:val="21"/>
              </w:rPr>
            </w:pPr>
          </w:p>
        </w:tc>
        <w:tc>
          <w:tcPr>
            <w:tcW w:w="1184" w:type="dxa"/>
            <w:vAlign w:val="top"/>
          </w:tcPr>
          <w:p w14:paraId="18A3D884">
            <w:pPr>
              <w:rPr>
                <w:rFonts w:ascii="Arial"/>
                <w:color w:val="auto"/>
                <w:sz w:val="21"/>
              </w:rPr>
            </w:pPr>
          </w:p>
        </w:tc>
        <w:tc>
          <w:tcPr>
            <w:tcW w:w="795" w:type="dxa"/>
            <w:vAlign w:val="top"/>
          </w:tcPr>
          <w:p w14:paraId="6206726F">
            <w:pPr>
              <w:rPr>
                <w:rFonts w:ascii="Arial"/>
                <w:color w:val="auto"/>
                <w:sz w:val="21"/>
              </w:rPr>
            </w:pPr>
          </w:p>
        </w:tc>
        <w:tc>
          <w:tcPr>
            <w:tcW w:w="816" w:type="dxa"/>
            <w:vAlign w:val="top"/>
          </w:tcPr>
          <w:p w14:paraId="4F7102E7">
            <w:pPr>
              <w:rPr>
                <w:rFonts w:ascii="Arial"/>
                <w:color w:val="auto"/>
                <w:sz w:val="21"/>
              </w:rPr>
            </w:pPr>
          </w:p>
        </w:tc>
        <w:tc>
          <w:tcPr>
            <w:tcW w:w="816" w:type="dxa"/>
            <w:vAlign w:val="top"/>
          </w:tcPr>
          <w:p w14:paraId="629DBCF8">
            <w:pPr>
              <w:rPr>
                <w:rFonts w:ascii="Arial"/>
                <w:color w:val="auto"/>
                <w:sz w:val="21"/>
              </w:rPr>
            </w:pPr>
          </w:p>
        </w:tc>
        <w:tc>
          <w:tcPr>
            <w:tcW w:w="1079" w:type="dxa"/>
            <w:vAlign w:val="top"/>
          </w:tcPr>
          <w:p w14:paraId="78E8EA95">
            <w:pPr>
              <w:rPr>
                <w:rFonts w:ascii="Arial"/>
                <w:color w:val="auto"/>
                <w:sz w:val="21"/>
              </w:rPr>
            </w:pPr>
          </w:p>
        </w:tc>
        <w:tc>
          <w:tcPr>
            <w:tcW w:w="1259" w:type="dxa"/>
            <w:vAlign w:val="top"/>
          </w:tcPr>
          <w:p w14:paraId="67D90614">
            <w:pPr>
              <w:rPr>
                <w:rFonts w:ascii="Arial"/>
                <w:color w:val="auto"/>
                <w:sz w:val="21"/>
              </w:rPr>
            </w:pPr>
          </w:p>
        </w:tc>
        <w:tc>
          <w:tcPr>
            <w:tcW w:w="973" w:type="dxa"/>
            <w:vAlign w:val="top"/>
          </w:tcPr>
          <w:p w14:paraId="675BF061">
            <w:pPr>
              <w:rPr>
                <w:rFonts w:ascii="Arial"/>
                <w:color w:val="auto"/>
                <w:sz w:val="21"/>
              </w:rPr>
            </w:pPr>
          </w:p>
        </w:tc>
        <w:tc>
          <w:tcPr>
            <w:tcW w:w="1079" w:type="dxa"/>
            <w:vAlign w:val="top"/>
          </w:tcPr>
          <w:p w14:paraId="302AE27F">
            <w:pPr>
              <w:rPr>
                <w:rFonts w:ascii="Arial"/>
                <w:color w:val="auto"/>
                <w:sz w:val="21"/>
              </w:rPr>
            </w:pPr>
          </w:p>
        </w:tc>
        <w:tc>
          <w:tcPr>
            <w:tcW w:w="1084" w:type="dxa"/>
            <w:vAlign w:val="top"/>
          </w:tcPr>
          <w:p w14:paraId="54B30029">
            <w:pPr>
              <w:rPr>
                <w:rFonts w:ascii="Arial"/>
                <w:color w:val="auto"/>
                <w:sz w:val="21"/>
              </w:rPr>
            </w:pPr>
          </w:p>
        </w:tc>
      </w:tr>
      <w:tr w14:paraId="297BC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vAlign w:val="top"/>
          </w:tcPr>
          <w:p w14:paraId="4345DE1D">
            <w:pPr>
              <w:rPr>
                <w:rFonts w:ascii="Arial"/>
                <w:color w:val="auto"/>
                <w:sz w:val="21"/>
              </w:rPr>
            </w:pPr>
          </w:p>
        </w:tc>
        <w:tc>
          <w:tcPr>
            <w:tcW w:w="1184" w:type="dxa"/>
            <w:vAlign w:val="top"/>
          </w:tcPr>
          <w:p w14:paraId="4B8ED14D">
            <w:pPr>
              <w:rPr>
                <w:rFonts w:ascii="Arial"/>
                <w:color w:val="auto"/>
                <w:sz w:val="21"/>
              </w:rPr>
            </w:pPr>
          </w:p>
        </w:tc>
        <w:tc>
          <w:tcPr>
            <w:tcW w:w="795" w:type="dxa"/>
            <w:vAlign w:val="top"/>
          </w:tcPr>
          <w:p w14:paraId="6D8E83E5">
            <w:pPr>
              <w:rPr>
                <w:rFonts w:ascii="Arial"/>
                <w:color w:val="auto"/>
                <w:sz w:val="21"/>
              </w:rPr>
            </w:pPr>
          </w:p>
        </w:tc>
        <w:tc>
          <w:tcPr>
            <w:tcW w:w="816" w:type="dxa"/>
            <w:vAlign w:val="top"/>
          </w:tcPr>
          <w:p w14:paraId="61E1CEE6">
            <w:pPr>
              <w:rPr>
                <w:rFonts w:ascii="Arial"/>
                <w:color w:val="auto"/>
                <w:sz w:val="21"/>
              </w:rPr>
            </w:pPr>
          </w:p>
        </w:tc>
        <w:tc>
          <w:tcPr>
            <w:tcW w:w="816" w:type="dxa"/>
            <w:vAlign w:val="top"/>
          </w:tcPr>
          <w:p w14:paraId="28E6863B">
            <w:pPr>
              <w:rPr>
                <w:rFonts w:ascii="Arial"/>
                <w:color w:val="auto"/>
                <w:sz w:val="21"/>
              </w:rPr>
            </w:pPr>
          </w:p>
        </w:tc>
        <w:tc>
          <w:tcPr>
            <w:tcW w:w="1079" w:type="dxa"/>
            <w:vAlign w:val="top"/>
          </w:tcPr>
          <w:p w14:paraId="307567CB">
            <w:pPr>
              <w:rPr>
                <w:rFonts w:ascii="Arial"/>
                <w:color w:val="auto"/>
                <w:sz w:val="21"/>
              </w:rPr>
            </w:pPr>
          </w:p>
        </w:tc>
        <w:tc>
          <w:tcPr>
            <w:tcW w:w="1259" w:type="dxa"/>
            <w:vAlign w:val="top"/>
          </w:tcPr>
          <w:p w14:paraId="70CAA03A">
            <w:pPr>
              <w:rPr>
                <w:rFonts w:ascii="Arial"/>
                <w:color w:val="auto"/>
                <w:sz w:val="21"/>
              </w:rPr>
            </w:pPr>
          </w:p>
        </w:tc>
        <w:tc>
          <w:tcPr>
            <w:tcW w:w="973" w:type="dxa"/>
            <w:vAlign w:val="top"/>
          </w:tcPr>
          <w:p w14:paraId="5F2F6D08">
            <w:pPr>
              <w:rPr>
                <w:rFonts w:ascii="Arial"/>
                <w:color w:val="auto"/>
                <w:sz w:val="21"/>
              </w:rPr>
            </w:pPr>
          </w:p>
        </w:tc>
        <w:tc>
          <w:tcPr>
            <w:tcW w:w="1079" w:type="dxa"/>
            <w:vAlign w:val="top"/>
          </w:tcPr>
          <w:p w14:paraId="1C08C346">
            <w:pPr>
              <w:rPr>
                <w:rFonts w:ascii="Arial"/>
                <w:color w:val="auto"/>
                <w:sz w:val="21"/>
              </w:rPr>
            </w:pPr>
          </w:p>
        </w:tc>
        <w:tc>
          <w:tcPr>
            <w:tcW w:w="1084" w:type="dxa"/>
            <w:vAlign w:val="top"/>
          </w:tcPr>
          <w:p w14:paraId="55DE1336">
            <w:pPr>
              <w:rPr>
                <w:rFonts w:ascii="Arial"/>
                <w:color w:val="auto"/>
                <w:sz w:val="21"/>
              </w:rPr>
            </w:pPr>
          </w:p>
        </w:tc>
      </w:tr>
      <w:tr w14:paraId="395C1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vAlign w:val="top"/>
          </w:tcPr>
          <w:p w14:paraId="491FD2E1">
            <w:pPr>
              <w:rPr>
                <w:rFonts w:ascii="Arial"/>
                <w:color w:val="auto"/>
                <w:sz w:val="21"/>
              </w:rPr>
            </w:pPr>
          </w:p>
        </w:tc>
        <w:tc>
          <w:tcPr>
            <w:tcW w:w="1184" w:type="dxa"/>
            <w:vAlign w:val="top"/>
          </w:tcPr>
          <w:p w14:paraId="27BB5D6B">
            <w:pPr>
              <w:rPr>
                <w:rFonts w:ascii="Arial"/>
                <w:color w:val="auto"/>
                <w:sz w:val="21"/>
              </w:rPr>
            </w:pPr>
          </w:p>
        </w:tc>
        <w:tc>
          <w:tcPr>
            <w:tcW w:w="795" w:type="dxa"/>
            <w:vAlign w:val="top"/>
          </w:tcPr>
          <w:p w14:paraId="6629F897">
            <w:pPr>
              <w:rPr>
                <w:rFonts w:ascii="Arial"/>
                <w:color w:val="auto"/>
                <w:sz w:val="21"/>
              </w:rPr>
            </w:pPr>
          </w:p>
        </w:tc>
        <w:tc>
          <w:tcPr>
            <w:tcW w:w="816" w:type="dxa"/>
            <w:vAlign w:val="top"/>
          </w:tcPr>
          <w:p w14:paraId="7692AA4C">
            <w:pPr>
              <w:rPr>
                <w:rFonts w:ascii="Arial"/>
                <w:color w:val="auto"/>
                <w:sz w:val="21"/>
              </w:rPr>
            </w:pPr>
          </w:p>
        </w:tc>
        <w:tc>
          <w:tcPr>
            <w:tcW w:w="816" w:type="dxa"/>
            <w:vAlign w:val="top"/>
          </w:tcPr>
          <w:p w14:paraId="23CAEDC5">
            <w:pPr>
              <w:rPr>
                <w:rFonts w:ascii="Arial"/>
                <w:color w:val="auto"/>
                <w:sz w:val="21"/>
              </w:rPr>
            </w:pPr>
          </w:p>
        </w:tc>
        <w:tc>
          <w:tcPr>
            <w:tcW w:w="1079" w:type="dxa"/>
            <w:vAlign w:val="top"/>
          </w:tcPr>
          <w:p w14:paraId="658DB9DB">
            <w:pPr>
              <w:rPr>
                <w:rFonts w:ascii="Arial"/>
                <w:color w:val="auto"/>
                <w:sz w:val="21"/>
              </w:rPr>
            </w:pPr>
          </w:p>
        </w:tc>
        <w:tc>
          <w:tcPr>
            <w:tcW w:w="1259" w:type="dxa"/>
            <w:vAlign w:val="top"/>
          </w:tcPr>
          <w:p w14:paraId="38A04518">
            <w:pPr>
              <w:rPr>
                <w:rFonts w:ascii="Arial"/>
                <w:color w:val="auto"/>
                <w:sz w:val="21"/>
              </w:rPr>
            </w:pPr>
          </w:p>
        </w:tc>
        <w:tc>
          <w:tcPr>
            <w:tcW w:w="973" w:type="dxa"/>
            <w:vAlign w:val="top"/>
          </w:tcPr>
          <w:p w14:paraId="21405F24">
            <w:pPr>
              <w:rPr>
                <w:rFonts w:ascii="Arial"/>
                <w:color w:val="auto"/>
                <w:sz w:val="21"/>
              </w:rPr>
            </w:pPr>
          </w:p>
        </w:tc>
        <w:tc>
          <w:tcPr>
            <w:tcW w:w="1079" w:type="dxa"/>
            <w:vAlign w:val="top"/>
          </w:tcPr>
          <w:p w14:paraId="31280A27">
            <w:pPr>
              <w:rPr>
                <w:rFonts w:ascii="Arial"/>
                <w:color w:val="auto"/>
                <w:sz w:val="21"/>
              </w:rPr>
            </w:pPr>
          </w:p>
        </w:tc>
        <w:tc>
          <w:tcPr>
            <w:tcW w:w="1084" w:type="dxa"/>
            <w:vAlign w:val="top"/>
          </w:tcPr>
          <w:p w14:paraId="2B174BEE">
            <w:pPr>
              <w:rPr>
                <w:rFonts w:ascii="Arial"/>
                <w:color w:val="auto"/>
                <w:sz w:val="21"/>
              </w:rPr>
            </w:pPr>
          </w:p>
        </w:tc>
      </w:tr>
      <w:tr w14:paraId="69899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vAlign w:val="top"/>
          </w:tcPr>
          <w:p w14:paraId="55D2B52B">
            <w:pPr>
              <w:rPr>
                <w:rFonts w:ascii="Arial"/>
                <w:color w:val="auto"/>
                <w:sz w:val="21"/>
              </w:rPr>
            </w:pPr>
          </w:p>
        </w:tc>
        <w:tc>
          <w:tcPr>
            <w:tcW w:w="1184" w:type="dxa"/>
            <w:vAlign w:val="top"/>
          </w:tcPr>
          <w:p w14:paraId="0ED79593">
            <w:pPr>
              <w:rPr>
                <w:rFonts w:ascii="Arial"/>
                <w:color w:val="auto"/>
                <w:sz w:val="21"/>
              </w:rPr>
            </w:pPr>
          </w:p>
        </w:tc>
        <w:tc>
          <w:tcPr>
            <w:tcW w:w="795" w:type="dxa"/>
            <w:vAlign w:val="top"/>
          </w:tcPr>
          <w:p w14:paraId="7912FAD9">
            <w:pPr>
              <w:rPr>
                <w:rFonts w:ascii="Arial"/>
                <w:color w:val="auto"/>
                <w:sz w:val="21"/>
              </w:rPr>
            </w:pPr>
          </w:p>
        </w:tc>
        <w:tc>
          <w:tcPr>
            <w:tcW w:w="816" w:type="dxa"/>
            <w:vAlign w:val="top"/>
          </w:tcPr>
          <w:p w14:paraId="00562D59">
            <w:pPr>
              <w:rPr>
                <w:rFonts w:ascii="Arial"/>
                <w:color w:val="auto"/>
                <w:sz w:val="21"/>
              </w:rPr>
            </w:pPr>
          </w:p>
        </w:tc>
        <w:tc>
          <w:tcPr>
            <w:tcW w:w="816" w:type="dxa"/>
            <w:vAlign w:val="top"/>
          </w:tcPr>
          <w:p w14:paraId="60FF5331">
            <w:pPr>
              <w:rPr>
                <w:rFonts w:ascii="Arial"/>
                <w:color w:val="auto"/>
                <w:sz w:val="21"/>
              </w:rPr>
            </w:pPr>
          </w:p>
        </w:tc>
        <w:tc>
          <w:tcPr>
            <w:tcW w:w="1079" w:type="dxa"/>
            <w:vAlign w:val="top"/>
          </w:tcPr>
          <w:p w14:paraId="607A9FBF">
            <w:pPr>
              <w:rPr>
                <w:rFonts w:ascii="Arial"/>
                <w:color w:val="auto"/>
                <w:sz w:val="21"/>
              </w:rPr>
            </w:pPr>
          </w:p>
        </w:tc>
        <w:tc>
          <w:tcPr>
            <w:tcW w:w="1259" w:type="dxa"/>
            <w:vAlign w:val="top"/>
          </w:tcPr>
          <w:p w14:paraId="070D47F5">
            <w:pPr>
              <w:rPr>
                <w:rFonts w:ascii="Arial"/>
                <w:color w:val="auto"/>
                <w:sz w:val="21"/>
              </w:rPr>
            </w:pPr>
          </w:p>
        </w:tc>
        <w:tc>
          <w:tcPr>
            <w:tcW w:w="973" w:type="dxa"/>
            <w:vAlign w:val="top"/>
          </w:tcPr>
          <w:p w14:paraId="06658D75">
            <w:pPr>
              <w:rPr>
                <w:rFonts w:ascii="Arial"/>
                <w:color w:val="auto"/>
                <w:sz w:val="21"/>
              </w:rPr>
            </w:pPr>
          </w:p>
        </w:tc>
        <w:tc>
          <w:tcPr>
            <w:tcW w:w="1079" w:type="dxa"/>
            <w:vAlign w:val="top"/>
          </w:tcPr>
          <w:p w14:paraId="2D7D9734">
            <w:pPr>
              <w:rPr>
                <w:rFonts w:ascii="Arial"/>
                <w:color w:val="auto"/>
                <w:sz w:val="21"/>
              </w:rPr>
            </w:pPr>
          </w:p>
        </w:tc>
        <w:tc>
          <w:tcPr>
            <w:tcW w:w="1084" w:type="dxa"/>
            <w:vAlign w:val="top"/>
          </w:tcPr>
          <w:p w14:paraId="61B8166E">
            <w:pPr>
              <w:rPr>
                <w:rFonts w:ascii="Arial"/>
                <w:color w:val="auto"/>
                <w:sz w:val="21"/>
              </w:rPr>
            </w:pPr>
          </w:p>
        </w:tc>
      </w:tr>
      <w:tr w14:paraId="39793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vAlign w:val="top"/>
          </w:tcPr>
          <w:p w14:paraId="40C372A1">
            <w:pPr>
              <w:rPr>
                <w:rFonts w:ascii="Arial"/>
                <w:color w:val="auto"/>
                <w:sz w:val="21"/>
              </w:rPr>
            </w:pPr>
          </w:p>
        </w:tc>
        <w:tc>
          <w:tcPr>
            <w:tcW w:w="1184" w:type="dxa"/>
            <w:vAlign w:val="top"/>
          </w:tcPr>
          <w:p w14:paraId="257A9980">
            <w:pPr>
              <w:rPr>
                <w:rFonts w:ascii="Arial"/>
                <w:color w:val="auto"/>
                <w:sz w:val="21"/>
              </w:rPr>
            </w:pPr>
          </w:p>
        </w:tc>
        <w:tc>
          <w:tcPr>
            <w:tcW w:w="795" w:type="dxa"/>
            <w:vAlign w:val="top"/>
          </w:tcPr>
          <w:p w14:paraId="3A59673A">
            <w:pPr>
              <w:rPr>
                <w:rFonts w:ascii="Arial"/>
                <w:color w:val="auto"/>
                <w:sz w:val="21"/>
              </w:rPr>
            </w:pPr>
          </w:p>
        </w:tc>
        <w:tc>
          <w:tcPr>
            <w:tcW w:w="816" w:type="dxa"/>
            <w:vAlign w:val="top"/>
          </w:tcPr>
          <w:p w14:paraId="772E49EB">
            <w:pPr>
              <w:rPr>
                <w:rFonts w:ascii="Arial"/>
                <w:color w:val="auto"/>
                <w:sz w:val="21"/>
              </w:rPr>
            </w:pPr>
          </w:p>
        </w:tc>
        <w:tc>
          <w:tcPr>
            <w:tcW w:w="816" w:type="dxa"/>
            <w:vAlign w:val="top"/>
          </w:tcPr>
          <w:p w14:paraId="2DA81985">
            <w:pPr>
              <w:rPr>
                <w:rFonts w:ascii="Arial"/>
                <w:color w:val="auto"/>
                <w:sz w:val="21"/>
              </w:rPr>
            </w:pPr>
          </w:p>
        </w:tc>
        <w:tc>
          <w:tcPr>
            <w:tcW w:w="1079" w:type="dxa"/>
            <w:vAlign w:val="top"/>
          </w:tcPr>
          <w:p w14:paraId="42E5117D">
            <w:pPr>
              <w:rPr>
                <w:rFonts w:ascii="Arial"/>
                <w:color w:val="auto"/>
                <w:sz w:val="21"/>
              </w:rPr>
            </w:pPr>
          </w:p>
        </w:tc>
        <w:tc>
          <w:tcPr>
            <w:tcW w:w="1259" w:type="dxa"/>
            <w:vAlign w:val="top"/>
          </w:tcPr>
          <w:p w14:paraId="53EEFC6A">
            <w:pPr>
              <w:rPr>
                <w:rFonts w:ascii="Arial"/>
                <w:color w:val="auto"/>
                <w:sz w:val="21"/>
              </w:rPr>
            </w:pPr>
          </w:p>
        </w:tc>
        <w:tc>
          <w:tcPr>
            <w:tcW w:w="973" w:type="dxa"/>
            <w:vAlign w:val="top"/>
          </w:tcPr>
          <w:p w14:paraId="58B9CDBA">
            <w:pPr>
              <w:rPr>
                <w:rFonts w:ascii="Arial"/>
                <w:color w:val="auto"/>
                <w:sz w:val="21"/>
              </w:rPr>
            </w:pPr>
          </w:p>
        </w:tc>
        <w:tc>
          <w:tcPr>
            <w:tcW w:w="1079" w:type="dxa"/>
            <w:vAlign w:val="top"/>
          </w:tcPr>
          <w:p w14:paraId="183AE44C">
            <w:pPr>
              <w:rPr>
                <w:rFonts w:ascii="Arial"/>
                <w:color w:val="auto"/>
                <w:sz w:val="21"/>
              </w:rPr>
            </w:pPr>
          </w:p>
        </w:tc>
        <w:tc>
          <w:tcPr>
            <w:tcW w:w="1084" w:type="dxa"/>
            <w:vAlign w:val="top"/>
          </w:tcPr>
          <w:p w14:paraId="0686A717">
            <w:pPr>
              <w:rPr>
                <w:rFonts w:ascii="Arial"/>
                <w:color w:val="auto"/>
                <w:sz w:val="21"/>
              </w:rPr>
            </w:pPr>
          </w:p>
        </w:tc>
      </w:tr>
      <w:tr w14:paraId="28AB7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vAlign w:val="top"/>
          </w:tcPr>
          <w:p w14:paraId="48F67C13">
            <w:pPr>
              <w:rPr>
                <w:rFonts w:ascii="Arial"/>
                <w:color w:val="auto"/>
                <w:sz w:val="21"/>
              </w:rPr>
            </w:pPr>
          </w:p>
        </w:tc>
        <w:tc>
          <w:tcPr>
            <w:tcW w:w="1184" w:type="dxa"/>
            <w:vAlign w:val="top"/>
          </w:tcPr>
          <w:p w14:paraId="39772BFD">
            <w:pPr>
              <w:rPr>
                <w:rFonts w:ascii="Arial"/>
                <w:color w:val="auto"/>
                <w:sz w:val="21"/>
              </w:rPr>
            </w:pPr>
          </w:p>
        </w:tc>
        <w:tc>
          <w:tcPr>
            <w:tcW w:w="795" w:type="dxa"/>
            <w:vAlign w:val="top"/>
          </w:tcPr>
          <w:p w14:paraId="513E8E84">
            <w:pPr>
              <w:rPr>
                <w:rFonts w:ascii="Arial"/>
                <w:color w:val="auto"/>
                <w:sz w:val="21"/>
              </w:rPr>
            </w:pPr>
          </w:p>
        </w:tc>
        <w:tc>
          <w:tcPr>
            <w:tcW w:w="816" w:type="dxa"/>
            <w:vAlign w:val="top"/>
          </w:tcPr>
          <w:p w14:paraId="0C1C0B76">
            <w:pPr>
              <w:rPr>
                <w:rFonts w:ascii="Arial"/>
                <w:color w:val="auto"/>
                <w:sz w:val="21"/>
              </w:rPr>
            </w:pPr>
          </w:p>
        </w:tc>
        <w:tc>
          <w:tcPr>
            <w:tcW w:w="816" w:type="dxa"/>
            <w:vAlign w:val="top"/>
          </w:tcPr>
          <w:p w14:paraId="29CBC777">
            <w:pPr>
              <w:rPr>
                <w:rFonts w:ascii="Arial"/>
                <w:color w:val="auto"/>
                <w:sz w:val="21"/>
              </w:rPr>
            </w:pPr>
          </w:p>
        </w:tc>
        <w:tc>
          <w:tcPr>
            <w:tcW w:w="1079" w:type="dxa"/>
            <w:vAlign w:val="top"/>
          </w:tcPr>
          <w:p w14:paraId="7C23D159">
            <w:pPr>
              <w:rPr>
                <w:rFonts w:ascii="Arial"/>
                <w:color w:val="auto"/>
                <w:sz w:val="21"/>
              </w:rPr>
            </w:pPr>
          </w:p>
        </w:tc>
        <w:tc>
          <w:tcPr>
            <w:tcW w:w="1259" w:type="dxa"/>
            <w:vAlign w:val="top"/>
          </w:tcPr>
          <w:p w14:paraId="6CD12609">
            <w:pPr>
              <w:rPr>
                <w:rFonts w:ascii="Arial"/>
                <w:color w:val="auto"/>
                <w:sz w:val="21"/>
              </w:rPr>
            </w:pPr>
          </w:p>
        </w:tc>
        <w:tc>
          <w:tcPr>
            <w:tcW w:w="973" w:type="dxa"/>
            <w:vAlign w:val="top"/>
          </w:tcPr>
          <w:p w14:paraId="481DB09A">
            <w:pPr>
              <w:rPr>
                <w:rFonts w:ascii="Arial"/>
                <w:color w:val="auto"/>
                <w:sz w:val="21"/>
              </w:rPr>
            </w:pPr>
          </w:p>
        </w:tc>
        <w:tc>
          <w:tcPr>
            <w:tcW w:w="1079" w:type="dxa"/>
            <w:vAlign w:val="top"/>
          </w:tcPr>
          <w:p w14:paraId="446D375C">
            <w:pPr>
              <w:rPr>
                <w:rFonts w:ascii="Arial"/>
                <w:color w:val="auto"/>
                <w:sz w:val="21"/>
              </w:rPr>
            </w:pPr>
          </w:p>
        </w:tc>
        <w:tc>
          <w:tcPr>
            <w:tcW w:w="1084" w:type="dxa"/>
            <w:vAlign w:val="top"/>
          </w:tcPr>
          <w:p w14:paraId="1EF59AB3">
            <w:pPr>
              <w:rPr>
                <w:rFonts w:ascii="Arial"/>
                <w:color w:val="auto"/>
                <w:sz w:val="21"/>
              </w:rPr>
            </w:pPr>
          </w:p>
        </w:tc>
      </w:tr>
      <w:tr w14:paraId="09C89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vAlign w:val="top"/>
          </w:tcPr>
          <w:p w14:paraId="5D63B5D7">
            <w:pPr>
              <w:rPr>
                <w:rFonts w:ascii="Arial"/>
                <w:color w:val="auto"/>
                <w:sz w:val="21"/>
              </w:rPr>
            </w:pPr>
          </w:p>
        </w:tc>
        <w:tc>
          <w:tcPr>
            <w:tcW w:w="1184" w:type="dxa"/>
            <w:vAlign w:val="top"/>
          </w:tcPr>
          <w:p w14:paraId="03239A96">
            <w:pPr>
              <w:rPr>
                <w:rFonts w:ascii="Arial"/>
                <w:color w:val="auto"/>
                <w:sz w:val="21"/>
              </w:rPr>
            </w:pPr>
          </w:p>
        </w:tc>
        <w:tc>
          <w:tcPr>
            <w:tcW w:w="795" w:type="dxa"/>
            <w:vAlign w:val="top"/>
          </w:tcPr>
          <w:p w14:paraId="1AA70D3B">
            <w:pPr>
              <w:rPr>
                <w:rFonts w:ascii="Arial"/>
                <w:color w:val="auto"/>
                <w:sz w:val="21"/>
              </w:rPr>
            </w:pPr>
          </w:p>
        </w:tc>
        <w:tc>
          <w:tcPr>
            <w:tcW w:w="816" w:type="dxa"/>
            <w:vAlign w:val="top"/>
          </w:tcPr>
          <w:p w14:paraId="48668B44">
            <w:pPr>
              <w:rPr>
                <w:rFonts w:ascii="Arial"/>
                <w:color w:val="auto"/>
                <w:sz w:val="21"/>
              </w:rPr>
            </w:pPr>
          </w:p>
        </w:tc>
        <w:tc>
          <w:tcPr>
            <w:tcW w:w="816" w:type="dxa"/>
            <w:vAlign w:val="top"/>
          </w:tcPr>
          <w:p w14:paraId="4947A9B0">
            <w:pPr>
              <w:rPr>
                <w:rFonts w:ascii="Arial"/>
                <w:color w:val="auto"/>
                <w:sz w:val="21"/>
              </w:rPr>
            </w:pPr>
          </w:p>
        </w:tc>
        <w:tc>
          <w:tcPr>
            <w:tcW w:w="1079" w:type="dxa"/>
            <w:vAlign w:val="top"/>
          </w:tcPr>
          <w:p w14:paraId="0EB33F0F">
            <w:pPr>
              <w:rPr>
                <w:rFonts w:ascii="Arial"/>
                <w:color w:val="auto"/>
                <w:sz w:val="21"/>
              </w:rPr>
            </w:pPr>
          </w:p>
        </w:tc>
        <w:tc>
          <w:tcPr>
            <w:tcW w:w="1259" w:type="dxa"/>
            <w:vAlign w:val="top"/>
          </w:tcPr>
          <w:p w14:paraId="6B94940B">
            <w:pPr>
              <w:rPr>
                <w:rFonts w:ascii="Arial"/>
                <w:color w:val="auto"/>
                <w:sz w:val="21"/>
              </w:rPr>
            </w:pPr>
          </w:p>
        </w:tc>
        <w:tc>
          <w:tcPr>
            <w:tcW w:w="973" w:type="dxa"/>
            <w:vAlign w:val="top"/>
          </w:tcPr>
          <w:p w14:paraId="37420D82">
            <w:pPr>
              <w:rPr>
                <w:rFonts w:ascii="Arial"/>
                <w:color w:val="auto"/>
                <w:sz w:val="21"/>
              </w:rPr>
            </w:pPr>
          </w:p>
        </w:tc>
        <w:tc>
          <w:tcPr>
            <w:tcW w:w="1079" w:type="dxa"/>
            <w:vAlign w:val="top"/>
          </w:tcPr>
          <w:p w14:paraId="3B78762F">
            <w:pPr>
              <w:rPr>
                <w:rFonts w:ascii="Arial"/>
                <w:color w:val="auto"/>
                <w:sz w:val="21"/>
              </w:rPr>
            </w:pPr>
          </w:p>
        </w:tc>
        <w:tc>
          <w:tcPr>
            <w:tcW w:w="1084" w:type="dxa"/>
            <w:vAlign w:val="top"/>
          </w:tcPr>
          <w:p w14:paraId="358064FE">
            <w:pPr>
              <w:rPr>
                <w:rFonts w:ascii="Arial"/>
                <w:color w:val="auto"/>
                <w:sz w:val="21"/>
              </w:rPr>
            </w:pPr>
          </w:p>
        </w:tc>
      </w:tr>
      <w:tr w14:paraId="6705E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vAlign w:val="top"/>
          </w:tcPr>
          <w:p w14:paraId="1FD3E207">
            <w:pPr>
              <w:rPr>
                <w:rFonts w:ascii="Arial"/>
                <w:color w:val="auto"/>
                <w:sz w:val="21"/>
              </w:rPr>
            </w:pPr>
          </w:p>
        </w:tc>
        <w:tc>
          <w:tcPr>
            <w:tcW w:w="1184" w:type="dxa"/>
            <w:vAlign w:val="top"/>
          </w:tcPr>
          <w:p w14:paraId="74E02113">
            <w:pPr>
              <w:rPr>
                <w:rFonts w:ascii="Arial"/>
                <w:color w:val="auto"/>
                <w:sz w:val="21"/>
              </w:rPr>
            </w:pPr>
          </w:p>
        </w:tc>
        <w:tc>
          <w:tcPr>
            <w:tcW w:w="795" w:type="dxa"/>
            <w:vAlign w:val="top"/>
          </w:tcPr>
          <w:p w14:paraId="71E082E7">
            <w:pPr>
              <w:rPr>
                <w:rFonts w:ascii="Arial"/>
                <w:color w:val="auto"/>
                <w:sz w:val="21"/>
              </w:rPr>
            </w:pPr>
          </w:p>
        </w:tc>
        <w:tc>
          <w:tcPr>
            <w:tcW w:w="816" w:type="dxa"/>
            <w:vAlign w:val="top"/>
          </w:tcPr>
          <w:p w14:paraId="3F170BD0">
            <w:pPr>
              <w:rPr>
                <w:rFonts w:ascii="Arial"/>
                <w:color w:val="auto"/>
                <w:sz w:val="21"/>
              </w:rPr>
            </w:pPr>
          </w:p>
        </w:tc>
        <w:tc>
          <w:tcPr>
            <w:tcW w:w="816" w:type="dxa"/>
            <w:vAlign w:val="top"/>
          </w:tcPr>
          <w:p w14:paraId="7A6E5C7F">
            <w:pPr>
              <w:rPr>
                <w:rFonts w:ascii="Arial"/>
                <w:color w:val="auto"/>
                <w:sz w:val="21"/>
              </w:rPr>
            </w:pPr>
          </w:p>
        </w:tc>
        <w:tc>
          <w:tcPr>
            <w:tcW w:w="1079" w:type="dxa"/>
            <w:vAlign w:val="top"/>
          </w:tcPr>
          <w:p w14:paraId="0CF3D572">
            <w:pPr>
              <w:rPr>
                <w:rFonts w:ascii="Arial"/>
                <w:color w:val="auto"/>
                <w:sz w:val="21"/>
              </w:rPr>
            </w:pPr>
          </w:p>
        </w:tc>
        <w:tc>
          <w:tcPr>
            <w:tcW w:w="1259" w:type="dxa"/>
            <w:vAlign w:val="top"/>
          </w:tcPr>
          <w:p w14:paraId="533035C2">
            <w:pPr>
              <w:rPr>
                <w:rFonts w:ascii="Arial"/>
                <w:color w:val="auto"/>
                <w:sz w:val="21"/>
              </w:rPr>
            </w:pPr>
          </w:p>
        </w:tc>
        <w:tc>
          <w:tcPr>
            <w:tcW w:w="973" w:type="dxa"/>
            <w:vAlign w:val="top"/>
          </w:tcPr>
          <w:p w14:paraId="727BB9E5">
            <w:pPr>
              <w:rPr>
                <w:rFonts w:ascii="Arial"/>
                <w:color w:val="auto"/>
                <w:sz w:val="21"/>
              </w:rPr>
            </w:pPr>
          </w:p>
        </w:tc>
        <w:tc>
          <w:tcPr>
            <w:tcW w:w="1079" w:type="dxa"/>
            <w:vAlign w:val="top"/>
          </w:tcPr>
          <w:p w14:paraId="2FDE2A74">
            <w:pPr>
              <w:rPr>
                <w:rFonts w:ascii="Arial"/>
                <w:color w:val="auto"/>
                <w:sz w:val="21"/>
              </w:rPr>
            </w:pPr>
          </w:p>
        </w:tc>
        <w:tc>
          <w:tcPr>
            <w:tcW w:w="1084" w:type="dxa"/>
            <w:vAlign w:val="top"/>
          </w:tcPr>
          <w:p w14:paraId="6059FE24">
            <w:pPr>
              <w:rPr>
                <w:rFonts w:ascii="Arial"/>
                <w:color w:val="auto"/>
                <w:sz w:val="21"/>
              </w:rPr>
            </w:pPr>
          </w:p>
        </w:tc>
      </w:tr>
      <w:tr w14:paraId="0A6CA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vAlign w:val="top"/>
          </w:tcPr>
          <w:p w14:paraId="77B722D0">
            <w:pPr>
              <w:rPr>
                <w:rFonts w:ascii="Arial"/>
                <w:color w:val="auto"/>
                <w:sz w:val="21"/>
              </w:rPr>
            </w:pPr>
          </w:p>
        </w:tc>
        <w:tc>
          <w:tcPr>
            <w:tcW w:w="1184" w:type="dxa"/>
            <w:vAlign w:val="top"/>
          </w:tcPr>
          <w:p w14:paraId="37EAF978">
            <w:pPr>
              <w:rPr>
                <w:rFonts w:ascii="Arial"/>
                <w:color w:val="auto"/>
                <w:sz w:val="21"/>
              </w:rPr>
            </w:pPr>
          </w:p>
        </w:tc>
        <w:tc>
          <w:tcPr>
            <w:tcW w:w="795" w:type="dxa"/>
            <w:vAlign w:val="top"/>
          </w:tcPr>
          <w:p w14:paraId="5ACAB595">
            <w:pPr>
              <w:rPr>
                <w:rFonts w:ascii="Arial"/>
                <w:color w:val="auto"/>
                <w:sz w:val="21"/>
              </w:rPr>
            </w:pPr>
          </w:p>
        </w:tc>
        <w:tc>
          <w:tcPr>
            <w:tcW w:w="816" w:type="dxa"/>
            <w:vAlign w:val="top"/>
          </w:tcPr>
          <w:p w14:paraId="3DB1B35A">
            <w:pPr>
              <w:rPr>
                <w:rFonts w:ascii="Arial"/>
                <w:color w:val="auto"/>
                <w:sz w:val="21"/>
              </w:rPr>
            </w:pPr>
          </w:p>
        </w:tc>
        <w:tc>
          <w:tcPr>
            <w:tcW w:w="816" w:type="dxa"/>
            <w:vAlign w:val="top"/>
          </w:tcPr>
          <w:p w14:paraId="6342A1FA">
            <w:pPr>
              <w:rPr>
                <w:rFonts w:ascii="Arial"/>
                <w:color w:val="auto"/>
                <w:sz w:val="21"/>
              </w:rPr>
            </w:pPr>
          </w:p>
        </w:tc>
        <w:tc>
          <w:tcPr>
            <w:tcW w:w="1079" w:type="dxa"/>
            <w:vAlign w:val="top"/>
          </w:tcPr>
          <w:p w14:paraId="2C71637E">
            <w:pPr>
              <w:rPr>
                <w:rFonts w:ascii="Arial"/>
                <w:color w:val="auto"/>
                <w:sz w:val="21"/>
              </w:rPr>
            </w:pPr>
          </w:p>
        </w:tc>
        <w:tc>
          <w:tcPr>
            <w:tcW w:w="1259" w:type="dxa"/>
            <w:vAlign w:val="top"/>
          </w:tcPr>
          <w:p w14:paraId="5800029C">
            <w:pPr>
              <w:rPr>
                <w:rFonts w:ascii="Arial"/>
                <w:color w:val="auto"/>
                <w:sz w:val="21"/>
              </w:rPr>
            </w:pPr>
          </w:p>
        </w:tc>
        <w:tc>
          <w:tcPr>
            <w:tcW w:w="973" w:type="dxa"/>
            <w:vAlign w:val="top"/>
          </w:tcPr>
          <w:p w14:paraId="24DA2FA3">
            <w:pPr>
              <w:rPr>
                <w:rFonts w:ascii="Arial"/>
                <w:color w:val="auto"/>
                <w:sz w:val="21"/>
              </w:rPr>
            </w:pPr>
          </w:p>
        </w:tc>
        <w:tc>
          <w:tcPr>
            <w:tcW w:w="1079" w:type="dxa"/>
            <w:vAlign w:val="top"/>
          </w:tcPr>
          <w:p w14:paraId="0CF0F7DA">
            <w:pPr>
              <w:rPr>
                <w:rFonts w:ascii="Arial"/>
                <w:color w:val="auto"/>
                <w:sz w:val="21"/>
              </w:rPr>
            </w:pPr>
          </w:p>
        </w:tc>
        <w:tc>
          <w:tcPr>
            <w:tcW w:w="1084" w:type="dxa"/>
            <w:vAlign w:val="top"/>
          </w:tcPr>
          <w:p w14:paraId="78BE8F2D">
            <w:pPr>
              <w:rPr>
                <w:rFonts w:ascii="Arial"/>
                <w:color w:val="auto"/>
                <w:sz w:val="21"/>
              </w:rPr>
            </w:pPr>
          </w:p>
        </w:tc>
      </w:tr>
      <w:tr w14:paraId="7A4F5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vAlign w:val="top"/>
          </w:tcPr>
          <w:p w14:paraId="04B102BD">
            <w:pPr>
              <w:rPr>
                <w:rFonts w:ascii="Arial"/>
                <w:color w:val="auto"/>
                <w:sz w:val="21"/>
              </w:rPr>
            </w:pPr>
          </w:p>
        </w:tc>
        <w:tc>
          <w:tcPr>
            <w:tcW w:w="1184" w:type="dxa"/>
            <w:vAlign w:val="top"/>
          </w:tcPr>
          <w:p w14:paraId="7000396C">
            <w:pPr>
              <w:rPr>
                <w:rFonts w:ascii="Arial"/>
                <w:color w:val="auto"/>
                <w:sz w:val="21"/>
              </w:rPr>
            </w:pPr>
          </w:p>
        </w:tc>
        <w:tc>
          <w:tcPr>
            <w:tcW w:w="795" w:type="dxa"/>
            <w:vAlign w:val="top"/>
          </w:tcPr>
          <w:p w14:paraId="35EB6AB3">
            <w:pPr>
              <w:rPr>
                <w:rFonts w:ascii="Arial"/>
                <w:color w:val="auto"/>
                <w:sz w:val="21"/>
              </w:rPr>
            </w:pPr>
          </w:p>
        </w:tc>
        <w:tc>
          <w:tcPr>
            <w:tcW w:w="816" w:type="dxa"/>
            <w:vAlign w:val="top"/>
          </w:tcPr>
          <w:p w14:paraId="7DE6D80E">
            <w:pPr>
              <w:rPr>
                <w:rFonts w:ascii="Arial"/>
                <w:color w:val="auto"/>
                <w:sz w:val="21"/>
              </w:rPr>
            </w:pPr>
          </w:p>
        </w:tc>
        <w:tc>
          <w:tcPr>
            <w:tcW w:w="816" w:type="dxa"/>
            <w:vAlign w:val="top"/>
          </w:tcPr>
          <w:p w14:paraId="6ECA52BD">
            <w:pPr>
              <w:rPr>
                <w:rFonts w:ascii="Arial"/>
                <w:color w:val="auto"/>
                <w:sz w:val="21"/>
              </w:rPr>
            </w:pPr>
          </w:p>
        </w:tc>
        <w:tc>
          <w:tcPr>
            <w:tcW w:w="1079" w:type="dxa"/>
            <w:vAlign w:val="top"/>
          </w:tcPr>
          <w:p w14:paraId="50147F75">
            <w:pPr>
              <w:rPr>
                <w:rFonts w:ascii="Arial"/>
                <w:color w:val="auto"/>
                <w:sz w:val="21"/>
              </w:rPr>
            </w:pPr>
          </w:p>
        </w:tc>
        <w:tc>
          <w:tcPr>
            <w:tcW w:w="1259" w:type="dxa"/>
            <w:vAlign w:val="top"/>
          </w:tcPr>
          <w:p w14:paraId="2C296641">
            <w:pPr>
              <w:rPr>
                <w:rFonts w:ascii="Arial"/>
                <w:color w:val="auto"/>
                <w:sz w:val="21"/>
              </w:rPr>
            </w:pPr>
          </w:p>
        </w:tc>
        <w:tc>
          <w:tcPr>
            <w:tcW w:w="973" w:type="dxa"/>
            <w:vAlign w:val="top"/>
          </w:tcPr>
          <w:p w14:paraId="50066277">
            <w:pPr>
              <w:rPr>
                <w:rFonts w:ascii="Arial"/>
                <w:color w:val="auto"/>
                <w:sz w:val="21"/>
              </w:rPr>
            </w:pPr>
          </w:p>
        </w:tc>
        <w:tc>
          <w:tcPr>
            <w:tcW w:w="1079" w:type="dxa"/>
            <w:vAlign w:val="top"/>
          </w:tcPr>
          <w:p w14:paraId="10D27AB0">
            <w:pPr>
              <w:rPr>
                <w:rFonts w:ascii="Arial"/>
                <w:color w:val="auto"/>
                <w:sz w:val="21"/>
              </w:rPr>
            </w:pPr>
          </w:p>
        </w:tc>
        <w:tc>
          <w:tcPr>
            <w:tcW w:w="1084" w:type="dxa"/>
            <w:vAlign w:val="top"/>
          </w:tcPr>
          <w:p w14:paraId="1CB87ADC">
            <w:pPr>
              <w:rPr>
                <w:rFonts w:ascii="Arial"/>
                <w:color w:val="auto"/>
                <w:sz w:val="21"/>
              </w:rPr>
            </w:pPr>
          </w:p>
        </w:tc>
      </w:tr>
      <w:tr w14:paraId="33FC6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vAlign w:val="top"/>
          </w:tcPr>
          <w:p w14:paraId="1D07BADA">
            <w:pPr>
              <w:rPr>
                <w:rFonts w:ascii="Arial"/>
                <w:color w:val="auto"/>
                <w:sz w:val="21"/>
              </w:rPr>
            </w:pPr>
          </w:p>
        </w:tc>
        <w:tc>
          <w:tcPr>
            <w:tcW w:w="1184" w:type="dxa"/>
            <w:vAlign w:val="top"/>
          </w:tcPr>
          <w:p w14:paraId="7F80F1EF">
            <w:pPr>
              <w:rPr>
                <w:rFonts w:ascii="Arial"/>
                <w:color w:val="auto"/>
                <w:sz w:val="21"/>
              </w:rPr>
            </w:pPr>
          </w:p>
        </w:tc>
        <w:tc>
          <w:tcPr>
            <w:tcW w:w="795" w:type="dxa"/>
            <w:vAlign w:val="top"/>
          </w:tcPr>
          <w:p w14:paraId="0955CEC9">
            <w:pPr>
              <w:rPr>
                <w:rFonts w:ascii="Arial"/>
                <w:color w:val="auto"/>
                <w:sz w:val="21"/>
              </w:rPr>
            </w:pPr>
          </w:p>
        </w:tc>
        <w:tc>
          <w:tcPr>
            <w:tcW w:w="816" w:type="dxa"/>
            <w:vAlign w:val="top"/>
          </w:tcPr>
          <w:p w14:paraId="52DD5FCD">
            <w:pPr>
              <w:rPr>
                <w:rFonts w:ascii="Arial"/>
                <w:color w:val="auto"/>
                <w:sz w:val="21"/>
              </w:rPr>
            </w:pPr>
          </w:p>
        </w:tc>
        <w:tc>
          <w:tcPr>
            <w:tcW w:w="816" w:type="dxa"/>
            <w:vAlign w:val="top"/>
          </w:tcPr>
          <w:p w14:paraId="6EA4FA1D">
            <w:pPr>
              <w:rPr>
                <w:rFonts w:ascii="Arial"/>
                <w:color w:val="auto"/>
                <w:sz w:val="21"/>
              </w:rPr>
            </w:pPr>
          </w:p>
        </w:tc>
        <w:tc>
          <w:tcPr>
            <w:tcW w:w="1079" w:type="dxa"/>
            <w:vAlign w:val="top"/>
          </w:tcPr>
          <w:p w14:paraId="40DDE785">
            <w:pPr>
              <w:rPr>
                <w:rFonts w:ascii="Arial"/>
                <w:color w:val="auto"/>
                <w:sz w:val="21"/>
              </w:rPr>
            </w:pPr>
          </w:p>
        </w:tc>
        <w:tc>
          <w:tcPr>
            <w:tcW w:w="1259" w:type="dxa"/>
            <w:vAlign w:val="top"/>
          </w:tcPr>
          <w:p w14:paraId="6A1B58DE">
            <w:pPr>
              <w:rPr>
                <w:rFonts w:ascii="Arial"/>
                <w:color w:val="auto"/>
                <w:sz w:val="21"/>
              </w:rPr>
            </w:pPr>
          </w:p>
        </w:tc>
        <w:tc>
          <w:tcPr>
            <w:tcW w:w="973" w:type="dxa"/>
            <w:vAlign w:val="top"/>
          </w:tcPr>
          <w:p w14:paraId="69A05A19">
            <w:pPr>
              <w:rPr>
                <w:rFonts w:ascii="Arial"/>
                <w:color w:val="auto"/>
                <w:sz w:val="21"/>
              </w:rPr>
            </w:pPr>
          </w:p>
        </w:tc>
        <w:tc>
          <w:tcPr>
            <w:tcW w:w="1079" w:type="dxa"/>
            <w:vAlign w:val="top"/>
          </w:tcPr>
          <w:p w14:paraId="76F2E7EC">
            <w:pPr>
              <w:rPr>
                <w:rFonts w:ascii="Arial"/>
                <w:color w:val="auto"/>
                <w:sz w:val="21"/>
              </w:rPr>
            </w:pPr>
          </w:p>
        </w:tc>
        <w:tc>
          <w:tcPr>
            <w:tcW w:w="1084" w:type="dxa"/>
            <w:vAlign w:val="top"/>
          </w:tcPr>
          <w:p w14:paraId="5AA5197B">
            <w:pPr>
              <w:rPr>
                <w:rFonts w:ascii="Arial"/>
                <w:color w:val="auto"/>
                <w:sz w:val="21"/>
              </w:rPr>
            </w:pPr>
          </w:p>
        </w:tc>
      </w:tr>
      <w:tr w14:paraId="1DD10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vAlign w:val="top"/>
          </w:tcPr>
          <w:p w14:paraId="426476D8">
            <w:pPr>
              <w:rPr>
                <w:rFonts w:ascii="Arial"/>
                <w:color w:val="auto"/>
                <w:sz w:val="21"/>
              </w:rPr>
            </w:pPr>
          </w:p>
        </w:tc>
        <w:tc>
          <w:tcPr>
            <w:tcW w:w="1184" w:type="dxa"/>
            <w:vAlign w:val="top"/>
          </w:tcPr>
          <w:p w14:paraId="01CA73F4">
            <w:pPr>
              <w:rPr>
                <w:rFonts w:ascii="Arial"/>
                <w:color w:val="auto"/>
                <w:sz w:val="21"/>
              </w:rPr>
            </w:pPr>
          </w:p>
        </w:tc>
        <w:tc>
          <w:tcPr>
            <w:tcW w:w="795" w:type="dxa"/>
            <w:vAlign w:val="top"/>
          </w:tcPr>
          <w:p w14:paraId="5B420FCD">
            <w:pPr>
              <w:rPr>
                <w:rFonts w:ascii="Arial"/>
                <w:color w:val="auto"/>
                <w:sz w:val="21"/>
              </w:rPr>
            </w:pPr>
          </w:p>
        </w:tc>
        <w:tc>
          <w:tcPr>
            <w:tcW w:w="816" w:type="dxa"/>
            <w:vAlign w:val="top"/>
          </w:tcPr>
          <w:p w14:paraId="66F860C3">
            <w:pPr>
              <w:rPr>
                <w:rFonts w:ascii="Arial"/>
                <w:color w:val="auto"/>
                <w:sz w:val="21"/>
              </w:rPr>
            </w:pPr>
          </w:p>
        </w:tc>
        <w:tc>
          <w:tcPr>
            <w:tcW w:w="816" w:type="dxa"/>
            <w:vAlign w:val="top"/>
          </w:tcPr>
          <w:p w14:paraId="7A61A860">
            <w:pPr>
              <w:rPr>
                <w:rFonts w:ascii="Arial"/>
                <w:color w:val="auto"/>
                <w:sz w:val="21"/>
              </w:rPr>
            </w:pPr>
          </w:p>
        </w:tc>
        <w:tc>
          <w:tcPr>
            <w:tcW w:w="1079" w:type="dxa"/>
            <w:vAlign w:val="top"/>
          </w:tcPr>
          <w:p w14:paraId="336A08A5">
            <w:pPr>
              <w:rPr>
                <w:rFonts w:ascii="Arial"/>
                <w:color w:val="auto"/>
                <w:sz w:val="21"/>
              </w:rPr>
            </w:pPr>
          </w:p>
        </w:tc>
        <w:tc>
          <w:tcPr>
            <w:tcW w:w="1259" w:type="dxa"/>
            <w:vAlign w:val="top"/>
          </w:tcPr>
          <w:p w14:paraId="0D759629">
            <w:pPr>
              <w:rPr>
                <w:rFonts w:ascii="Arial"/>
                <w:color w:val="auto"/>
                <w:sz w:val="21"/>
              </w:rPr>
            </w:pPr>
          </w:p>
        </w:tc>
        <w:tc>
          <w:tcPr>
            <w:tcW w:w="973" w:type="dxa"/>
            <w:vAlign w:val="top"/>
          </w:tcPr>
          <w:p w14:paraId="64E21AE2">
            <w:pPr>
              <w:rPr>
                <w:rFonts w:ascii="Arial"/>
                <w:color w:val="auto"/>
                <w:sz w:val="21"/>
              </w:rPr>
            </w:pPr>
          </w:p>
        </w:tc>
        <w:tc>
          <w:tcPr>
            <w:tcW w:w="1079" w:type="dxa"/>
            <w:vAlign w:val="top"/>
          </w:tcPr>
          <w:p w14:paraId="2CDB2103">
            <w:pPr>
              <w:rPr>
                <w:rFonts w:ascii="Arial"/>
                <w:color w:val="auto"/>
                <w:sz w:val="21"/>
              </w:rPr>
            </w:pPr>
          </w:p>
        </w:tc>
        <w:tc>
          <w:tcPr>
            <w:tcW w:w="1084" w:type="dxa"/>
            <w:vAlign w:val="top"/>
          </w:tcPr>
          <w:p w14:paraId="2C3E6E48">
            <w:pPr>
              <w:rPr>
                <w:rFonts w:ascii="Arial"/>
                <w:color w:val="auto"/>
                <w:sz w:val="21"/>
              </w:rPr>
            </w:pPr>
          </w:p>
        </w:tc>
      </w:tr>
      <w:tr w14:paraId="610BB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vAlign w:val="top"/>
          </w:tcPr>
          <w:p w14:paraId="4A8385EF">
            <w:pPr>
              <w:rPr>
                <w:rFonts w:ascii="Arial"/>
                <w:color w:val="auto"/>
                <w:sz w:val="21"/>
              </w:rPr>
            </w:pPr>
          </w:p>
        </w:tc>
        <w:tc>
          <w:tcPr>
            <w:tcW w:w="1184" w:type="dxa"/>
            <w:vAlign w:val="top"/>
          </w:tcPr>
          <w:p w14:paraId="03CD1862">
            <w:pPr>
              <w:rPr>
                <w:rFonts w:ascii="Arial"/>
                <w:color w:val="auto"/>
                <w:sz w:val="21"/>
              </w:rPr>
            </w:pPr>
          </w:p>
        </w:tc>
        <w:tc>
          <w:tcPr>
            <w:tcW w:w="795" w:type="dxa"/>
            <w:vAlign w:val="top"/>
          </w:tcPr>
          <w:p w14:paraId="400B0C56">
            <w:pPr>
              <w:rPr>
                <w:rFonts w:ascii="Arial"/>
                <w:color w:val="auto"/>
                <w:sz w:val="21"/>
              </w:rPr>
            </w:pPr>
          </w:p>
        </w:tc>
        <w:tc>
          <w:tcPr>
            <w:tcW w:w="816" w:type="dxa"/>
            <w:vAlign w:val="top"/>
          </w:tcPr>
          <w:p w14:paraId="7963DD21">
            <w:pPr>
              <w:rPr>
                <w:rFonts w:ascii="Arial"/>
                <w:color w:val="auto"/>
                <w:sz w:val="21"/>
              </w:rPr>
            </w:pPr>
          </w:p>
        </w:tc>
        <w:tc>
          <w:tcPr>
            <w:tcW w:w="816" w:type="dxa"/>
            <w:vAlign w:val="top"/>
          </w:tcPr>
          <w:p w14:paraId="411F40D4">
            <w:pPr>
              <w:rPr>
                <w:rFonts w:ascii="Arial"/>
                <w:color w:val="auto"/>
                <w:sz w:val="21"/>
              </w:rPr>
            </w:pPr>
          </w:p>
        </w:tc>
        <w:tc>
          <w:tcPr>
            <w:tcW w:w="1079" w:type="dxa"/>
            <w:vAlign w:val="top"/>
          </w:tcPr>
          <w:p w14:paraId="740D7B06">
            <w:pPr>
              <w:rPr>
                <w:rFonts w:ascii="Arial"/>
                <w:color w:val="auto"/>
                <w:sz w:val="21"/>
              </w:rPr>
            </w:pPr>
          </w:p>
        </w:tc>
        <w:tc>
          <w:tcPr>
            <w:tcW w:w="1259" w:type="dxa"/>
            <w:vAlign w:val="top"/>
          </w:tcPr>
          <w:p w14:paraId="42CE09E3">
            <w:pPr>
              <w:rPr>
                <w:rFonts w:ascii="Arial"/>
                <w:color w:val="auto"/>
                <w:sz w:val="21"/>
              </w:rPr>
            </w:pPr>
          </w:p>
        </w:tc>
        <w:tc>
          <w:tcPr>
            <w:tcW w:w="973" w:type="dxa"/>
            <w:vAlign w:val="top"/>
          </w:tcPr>
          <w:p w14:paraId="02651A46">
            <w:pPr>
              <w:rPr>
                <w:rFonts w:ascii="Arial"/>
                <w:color w:val="auto"/>
                <w:sz w:val="21"/>
              </w:rPr>
            </w:pPr>
          </w:p>
        </w:tc>
        <w:tc>
          <w:tcPr>
            <w:tcW w:w="1079" w:type="dxa"/>
            <w:vAlign w:val="top"/>
          </w:tcPr>
          <w:p w14:paraId="024BE7CE">
            <w:pPr>
              <w:rPr>
                <w:rFonts w:ascii="Arial"/>
                <w:color w:val="auto"/>
                <w:sz w:val="21"/>
              </w:rPr>
            </w:pPr>
          </w:p>
        </w:tc>
        <w:tc>
          <w:tcPr>
            <w:tcW w:w="1084" w:type="dxa"/>
            <w:vAlign w:val="top"/>
          </w:tcPr>
          <w:p w14:paraId="64B48432">
            <w:pPr>
              <w:rPr>
                <w:rFonts w:ascii="Arial"/>
                <w:color w:val="auto"/>
                <w:sz w:val="21"/>
              </w:rPr>
            </w:pPr>
          </w:p>
        </w:tc>
      </w:tr>
      <w:tr w14:paraId="32D45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724" w:type="dxa"/>
            <w:vAlign w:val="top"/>
          </w:tcPr>
          <w:p w14:paraId="67E9BA99">
            <w:pPr>
              <w:rPr>
                <w:rFonts w:ascii="Arial"/>
                <w:color w:val="auto"/>
                <w:sz w:val="21"/>
              </w:rPr>
            </w:pPr>
          </w:p>
        </w:tc>
        <w:tc>
          <w:tcPr>
            <w:tcW w:w="1184" w:type="dxa"/>
            <w:vAlign w:val="top"/>
          </w:tcPr>
          <w:p w14:paraId="2E045C3C">
            <w:pPr>
              <w:rPr>
                <w:rFonts w:ascii="Arial"/>
                <w:color w:val="auto"/>
                <w:sz w:val="21"/>
              </w:rPr>
            </w:pPr>
          </w:p>
        </w:tc>
        <w:tc>
          <w:tcPr>
            <w:tcW w:w="795" w:type="dxa"/>
            <w:vAlign w:val="top"/>
          </w:tcPr>
          <w:p w14:paraId="01D70F28">
            <w:pPr>
              <w:rPr>
                <w:rFonts w:ascii="Arial"/>
                <w:color w:val="auto"/>
                <w:sz w:val="21"/>
              </w:rPr>
            </w:pPr>
          </w:p>
        </w:tc>
        <w:tc>
          <w:tcPr>
            <w:tcW w:w="816" w:type="dxa"/>
            <w:vAlign w:val="top"/>
          </w:tcPr>
          <w:p w14:paraId="24904924">
            <w:pPr>
              <w:rPr>
                <w:rFonts w:ascii="Arial"/>
                <w:color w:val="auto"/>
                <w:sz w:val="21"/>
              </w:rPr>
            </w:pPr>
          </w:p>
        </w:tc>
        <w:tc>
          <w:tcPr>
            <w:tcW w:w="816" w:type="dxa"/>
            <w:vAlign w:val="top"/>
          </w:tcPr>
          <w:p w14:paraId="393AB60E">
            <w:pPr>
              <w:rPr>
                <w:rFonts w:ascii="Arial"/>
                <w:color w:val="auto"/>
                <w:sz w:val="21"/>
              </w:rPr>
            </w:pPr>
          </w:p>
        </w:tc>
        <w:tc>
          <w:tcPr>
            <w:tcW w:w="1079" w:type="dxa"/>
            <w:vAlign w:val="top"/>
          </w:tcPr>
          <w:p w14:paraId="0C8E3078">
            <w:pPr>
              <w:rPr>
                <w:rFonts w:ascii="Arial"/>
                <w:color w:val="auto"/>
                <w:sz w:val="21"/>
              </w:rPr>
            </w:pPr>
          </w:p>
        </w:tc>
        <w:tc>
          <w:tcPr>
            <w:tcW w:w="1259" w:type="dxa"/>
            <w:vAlign w:val="top"/>
          </w:tcPr>
          <w:p w14:paraId="055D0A2D">
            <w:pPr>
              <w:rPr>
                <w:rFonts w:ascii="Arial"/>
                <w:color w:val="auto"/>
                <w:sz w:val="21"/>
              </w:rPr>
            </w:pPr>
          </w:p>
        </w:tc>
        <w:tc>
          <w:tcPr>
            <w:tcW w:w="973" w:type="dxa"/>
            <w:vAlign w:val="top"/>
          </w:tcPr>
          <w:p w14:paraId="3CBF2318">
            <w:pPr>
              <w:rPr>
                <w:rFonts w:ascii="Arial"/>
                <w:color w:val="auto"/>
                <w:sz w:val="21"/>
              </w:rPr>
            </w:pPr>
          </w:p>
        </w:tc>
        <w:tc>
          <w:tcPr>
            <w:tcW w:w="1079" w:type="dxa"/>
            <w:vAlign w:val="top"/>
          </w:tcPr>
          <w:p w14:paraId="211F2EFF">
            <w:pPr>
              <w:rPr>
                <w:rFonts w:ascii="Arial"/>
                <w:color w:val="auto"/>
                <w:sz w:val="21"/>
              </w:rPr>
            </w:pPr>
          </w:p>
        </w:tc>
        <w:tc>
          <w:tcPr>
            <w:tcW w:w="1084" w:type="dxa"/>
            <w:vAlign w:val="top"/>
          </w:tcPr>
          <w:p w14:paraId="263CFD74">
            <w:pPr>
              <w:rPr>
                <w:rFonts w:ascii="Arial"/>
                <w:color w:val="auto"/>
                <w:sz w:val="21"/>
              </w:rPr>
            </w:pPr>
          </w:p>
        </w:tc>
      </w:tr>
    </w:tbl>
    <w:p w14:paraId="47EC3CA1">
      <w:pPr>
        <w:pStyle w:val="2"/>
        <w:rPr>
          <w:color w:val="auto"/>
        </w:rPr>
      </w:pPr>
    </w:p>
    <w:p w14:paraId="33FFE5DE">
      <w:pPr>
        <w:rPr>
          <w:color w:val="auto"/>
        </w:rPr>
        <w:sectPr>
          <w:footerReference r:id="rId29" w:type="default"/>
          <w:pgSz w:w="11906" w:h="16839"/>
          <w:pgMar w:top="1440" w:right="1080" w:bottom="1440" w:left="1080" w:header="0" w:footer="783" w:gutter="0"/>
          <w:pgNumType w:fmt="decimal"/>
          <w:cols w:space="720" w:num="1"/>
        </w:sectPr>
      </w:pPr>
    </w:p>
    <w:p w14:paraId="571C4059">
      <w:pPr>
        <w:pStyle w:val="2"/>
        <w:spacing w:line="344" w:lineRule="auto"/>
        <w:rPr>
          <w:color w:val="auto"/>
        </w:rPr>
      </w:pPr>
    </w:p>
    <w:p w14:paraId="442186AA">
      <w:pPr>
        <w:spacing w:before="91" w:line="220" w:lineRule="auto"/>
        <w:ind w:left="148"/>
        <w:outlineLvl w:val="2"/>
        <w:rPr>
          <w:rFonts w:ascii="宋体" w:hAnsi="宋体" w:eastAsia="宋体" w:cs="宋体"/>
          <w:color w:val="auto"/>
          <w:sz w:val="28"/>
          <w:szCs w:val="28"/>
        </w:rPr>
      </w:pPr>
      <w:bookmarkStart w:id="26" w:name="_Toc3619"/>
      <w:r>
        <w:rPr>
          <w:rFonts w:ascii="宋体" w:hAnsi="宋体" w:eastAsia="宋体" w:cs="宋体"/>
          <w:b/>
          <w:bCs/>
          <w:color w:val="auto"/>
          <w:spacing w:val="-4"/>
          <w:sz w:val="28"/>
          <w:szCs w:val="28"/>
        </w:rPr>
        <w:t>附表二：拟配备本标段的试验和检测仪器设备表</w:t>
      </w:r>
      <w:bookmarkEnd w:id="26"/>
    </w:p>
    <w:p w14:paraId="46161976">
      <w:pPr>
        <w:spacing w:before="119"/>
        <w:rPr>
          <w:color w:val="auto"/>
        </w:rPr>
      </w:pPr>
    </w:p>
    <w:p w14:paraId="691DACA8">
      <w:pPr>
        <w:spacing w:before="119"/>
        <w:rPr>
          <w:color w:val="auto"/>
        </w:rPr>
      </w:pPr>
    </w:p>
    <w:tbl>
      <w:tblPr>
        <w:tblStyle w:val="15"/>
        <w:tblW w:w="938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1474"/>
        <w:gridCol w:w="1055"/>
        <w:gridCol w:w="635"/>
        <w:gridCol w:w="1055"/>
        <w:gridCol w:w="1055"/>
        <w:gridCol w:w="1654"/>
        <w:gridCol w:w="995"/>
        <w:gridCol w:w="822"/>
      </w:tblGrid>
      <w:tr w14:paraId="168EC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43" w:type="dxa"/>
            <w:vAlign w:val="top"/>
          </w:tcPr>
          <w:p w14:paraId="209228EF">
            <w:pPr>
              <w:pStyle w:val="16"/>
              <w:spacing w:before="55" w:line="230" w:lineRule="auto"/>
              <w:ind w:left="112"/>
              <w:rPr>
                <w:color w:val="auto"/>
                <w:sz w:val="20"/>
                <w:szCs w:val="20"/>
              </w:rPr>
            </w:pPr>
            <w:r>
              <w:rPr>
                <w:color w:val="auto"/>
                <w:spacing w:val="5"/>
                <w:sz w:val="20"/>
                <w:szCs w:val="20"/>
              </w:rPr>
              <w:t>序号</w:t>
            </w:r>
          </w:p>
        </w:tc>
        <w:tc>
          <w:tcPr>
            <w:tcW w:w="1474" w:type="dxa"/>
            <w:vAlign w:val="top"/>
          </w:tcPr>
          <w:p w14:paraId="04E9D86E">
            <w:pPr>
              <w:pStyle w:val="16"/>
              <w:spacing w:before="55" w:line="228" w:lineRule="auto"/>
              <w:ind w:left="107"/>
              <w:rPr>
                <w:color w:val="auto"/>
                <w:sz w:val="20"/>
                <w:szCs w:val="20"/>
              </w:rPr>
            </w:pPr>
            <w:r>
              <w:rPr>
                <w:color w:val="auto"/>
                <w:spacing w:val="8"/>
                <w:sz w:val="20"/>
                <w:szCs w:val="20"/>
              </w:rPr>
              <w:t>仪器设备名称</w:t>
            </w:r>
          </w:p>
        </w:tc>
        <w:tc>
          <w:tcPr>
            <w:tcW w:w="1055" w:type="dxa"/>
            <w:vAlign w:val="top"/>
          </w:tcPr>
          <w:p w14:paraId="374C5D9B">
            <w:pPr>
              <w:pStyle w:val="16"/>
              <w:spacing w:before="55" w:line="228" w:lineRule="auto"/>
              <w:ind w:left="115"/>
              <w:rPr>
                <w:color w:val="auto"/>
                <w:sz w:val="20"/>
                <w:szCs w:val="20"/>
              </w:rPr>
            </w:pPr>
            <w:r>
              <w:rPr>
                <w:color w:val="auto"/>
                <w:spacing w:val="5"/>
                <w:sz w:val="20"/>
                <w:szCs w:val="20"/>
              </w:rPr>
              <w:t>型号规格</w:t>
            </w:r>
          </w:p>
        </w:tc>
        <w:tc>
          <w:tcPr>
            <w:tcW w:w="635" w:type="dxa"/>
            <w:vAlign w:val="top"/>
          </w:tcPr>
          <w:p w14:paraId="42546BAD">
            <w:pPr>
              <w:pStyle w:val="16"/>
              <w:spacing w:before="55" w:line="228" w:lineRule="auto"/>
              <w:ind w:left="111"/>
              <w:rPr>
                <w:color w:val="auto"/>
                <w:sz w:val="20"/>
                <w:szCs w:val="20"/>
              </w:rPr>
            </w:pPr>
            <w:r>
              <w:rPr>
                <w:color w:val="auto"/>
                <w:spacing w:val="3"/>
                <w:sz w:val="20"/>
                <w:szCs w:val="20"/>
              </w:rPr>
              <w:t>数量</w:t>
            </w:r>
          </w:p>
        </w:tc>
        <w:tc>
          <w:tcPr>
            <w:tcW w:w="1055" w:type="dxa"/>
            <w:vAlign w:val="top"/>
          </w:tcPr>
          <w:p w14:paraId="2423AD88">
            <w:pPr>
              <w:pStyle w:val="16"/>
              <w:spacing w:before="55" w:line="228" w:lineRule="auto"/>
              <w:ind w:left="131"/>
              <w:rPr>
                <w:color w:val="auto"/>
                <w:sz w:val="20"/>
                <w:szCs w:val="20"/>
              </w:rPr>
            </w:pPr>
            <w:r>
              <w:rPr>
                <w:color w:val="auto"/>
                <w:spacing w:val="2"/>
                <w:sz w:val="20"/>
                <w:szCs w:val="20"/>
              </w:rPr>
              <w:t>国别产地</w:t>
            </w:r>
          </w:p>
        </w:tc>
        <w:tc>
          <w:tcPr>
            <w:tcW w:w="1055" w:type="dxa"/>
            <w:vAlign w:val="top"/>
          </w:tcPr>
          <w:p w14:paraId="4D18B8D2">
            <w:pPr>
              <w:pStyle w:val="16"/>
              <w:spacing w:before="55" w:line="228" w:lineRule="auto"/>
              <w:ind w:left="112"/>
              <w:rPr>
                <w:color w:val="auto"/>
                <w:sz w:val="20"/>
                <w:szCs w:val="20"/>
              </w:rPr>
            </w:pPr>
            <w:r>
              <w:rPr>
                <w:color w:val="auto"/>
                <w:spacing w:val="7"/>
                <w:sz w:val="20"/>
                <w:szCs w:val="20"/>
              </w:rPr>
              <w:t>制造年份</w:t>
            </w:r>
          </w:p>
        </w:tc>
        <w:tc>
          <w:tcPr>
            <w:tcW w:w="1654" w:type="dxa"/>
            <w:vAlign w:val="top"/>
          </w:tcPr>
          <w:p w14:paraId="6D49A2B9">
            <w:pPr>
              <w:pStyle w:val="16"/>
              <w:spacing w:before="55" w:line="228" w:lineRule="auto"/>
              <w:ind w:left="134"/>
              <w:rPr>
                <w:color w:val="auto"/>
                <w:sz w:val="20"/>
                <w:szCs w:val="20"/>
              </w:rPr>
            </w:pPr>
            <w:r>
              <w:rPr>
                <w:color w:val="auto"/>
                <w:spacing w:val="4"/>
                <w:sz w:val="20"/>
                <w:szCs w:val="20"/>
              </w:rPr>
              <w:t>己使用台时数</w:t>
            </w:r>
          </w:p>
        </w:tc>
        <w:tc>
          <w:tcPr>
            <w:tcW w:w="995" w:type="dxa"/>
            <w:vAlign w:val="top"/>
          </w:tcPr>
          <w:p w14:paraId="21F357B5">
            <w:pPr>
              <w:pStyle w:val="16"/>
              <w:spacing w:before="55" w:line="230" w:lineRule="auto"/>
              <w:ind w:left="116"/>
              <w:rPr>
                <w:color w:val="auto"/>
                <w:sz w:val="20"/>
                <w:szCs w:val="20"/>
              </w:rPr>
            </w:pPr>
            <w:r>
              <w:rPr>
                <w:color w:val="auto"/>
                <w:spacing w:val="3"/>
                <w:sz w:val="20"/>
                <w:szCs w:val="20"/>
              </w:rPr>
              <w:t>用途</w:t>
            </w:r>
          </w:p>
        </w:tc>
        <w:tc>
          <w:tcPr>
            <w:tcW w:w="822" w:type="dxa"/>
            <w:vAlign w:val="top"/>
          </w:tcPr>
          <w:p w14:paraId="35C977C2">
            <w:pPr>
              <w:pStyle w:val="16"/>
              <w:spacing w:before="55" w:line="230" w:lineRule="auto"/>
              <w:ind w:left="118"/>
              <w:rPr>
                <w:color w:val="auto"/>
                <w:sz w:val="20"/>
                <w:szCs w:val="20"/>
              </w:rPr>
            </w:pPr>
            <w:r>
              <w:rPr>
                <w:color w:val="auto"/>
                <w:spacing w:val="3"/>
                <w:sz w:val="20"/>
                <w:szCs w:val="20"/>
              </w:rPr>
              <w:t>备注</w:t>
            </w:r>
          </w:p>
        </w:tc>
      </w:tr>
      <w:tr w14:paraId="526B9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43" w:type="dxa"/>
            <w:vAlign w:val="top"/>
          </w:tcPr>
          <w:p w14:paraId="61EE002C">
            <w:pPr>
              <w:rPr>
                <w:rFonts w:ascii="Arial"/>
                <w:color w:val="auto"/>
                <w:sz w:val="21"/>
              </w:rPr>
            </w:pPr>
          </w:p>
        </w:tc>
        <w:tc>
          <w:tcPr>
            <w:tcW w:w="1474" w:type="dxa"/>
            <w:vAlign w:val="top"/>
          </w:tcPr>
          <w:p w14:paraId="0E1F1A7E">
            <w:pPr>
              <w:rPr>
                <w:rFonts w:ascii="Arial"/>
                <w:color w:val="auto"/>
                <w:sz w:val="21"/>
              </w:rPr>
            </w:pPr>
          </w:p>
        </w:tc>
        <w:tc>
          <w:tcPr>
            <w:tcW w:w="1055" w:type="dxa"/>
            <w:vAlign w:val="top"/>
          </w:tcPr>
          <w:p w14:paraId="0CD95CC2">
            <w:pPr>
              <w:rPr>
                <w:rFonts w:ascii="Arial"/>
                <w:color w:val="auto"/>
                <w:sz w:val="21"/>
              </w:rPr>
            </w:pPr>
          </w:p>
        </w:tc>
        <w:tc>
          <w:tcPr>
            <w:tcW w:w="635" w:type="dxa"/>
            <w:vAlign w:val="top"/>
          </w:tcPr>
          <w:p w14:paraId="6FBA497C">
            <w:pPr>
              <w:rPr>
                <w:rFonts w:ascii="Arial"/>
                <w:color w:val="auto"/>
                <w:sz w:val="21"/>
              </w:rPr>
            </w:pPr>
          </w:p>
        </w:tc>
        <w:tc>
          <w:tcPr>
            <w:tcW w:w="1055" w:type="dxa"/>
            <w:vAlign w:val="top"/>
          </w:tcPr>
          <w:p w14:paraId="7ACBB405">
            <w:pPr>
              <w:rPr>
                <w:rFonts w:ascii="Arial"/>
                <w:color w:val="auto"/>
                <w:sz w:val="21"/>
              </w:rPr>
            </w:pPr>
          </w:p>
        </w:tc>
        <w:tc>
          <w:tcPr>
            <w:tcW w:w="1055" w:type="dxa"/>
            <w:vAlign w:val="top"/>
          </w:tcPr>
          <w:p w14:paraId="325AEE8E">
            <w:pPr>
              <w:rPr>
                <w:rFonts w:ascii="Arial"/>
                <w:color w:val="auto"/>
                <w:sz w:val="21"/>
              </w:rPr>
            </w:pPr>
          </w:p>
        </w:tc>
        <w:tc>
          <w:tcPr>
            <w:tcW w:w="1654" w:type="dxa"/>
            <w:vAlign w:val="top"/>
          </w:tcPr>
          <w:p w14:paraId="292A00EB">
            <w:pPr>
              <w:rPr>
                <w:rFonts w:ascii="Arial"/>
                <w:color w:val="auto"/>
                <w:sz w:val="21"/>
              </w:rPr>
            </w:pPr>
          </w:p>
        </w:tc>
        <w:tc>
          <w:tcPr>
            <w:tcW w:w="995" w:type="dxa"/>
            <w:vAlign w:val="top"/>
          </w:tcPr>
          <w:p w14:paraId="61F5D987">
            <w:pPr>
              <w:rPr>
                <w:rFonts w:ascii="Arial"/>
                <w:color w:val="auto"/>
                <w:sz w:val="21"/>
              </w:rPr>
            </w:pPr>
          </w:p>
        </w:tc>
        <w:tc>
          <w:tcPr>
            <w:tcW w:w="822" w:type="dxa"/>
            <w:vAlign w:val="top"/>
          </w:tcPr>
          <w:p w14:paraId="0CB9090F">
            <w:pPr>
              <w:rPr>
                <w:rFonts w:ascii="Arial"/>
                <w:color w:val="auto"/>
                <w:sz w:val="21"/>
              </w:rPr>
            </w:pPr>
          </w:p>
        </w:tc>
      </w:tr>
      <w:tr w14:paraId="5ED95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43" w:type="dxa"/>
            <w:vAlign w:val="top"/>
          </w:tcPr>
          <w:p w14:paraId="2C9D1BF0">
            <w:pPr>
              <w:rPr>
                <w:rFonts w:ascii="Arial"/>
                <w:color w:val="auto"/>
                <w:sz w:val="21"/>
              </w:rPr>
            </w:pPr>
          </w:p>
        </w:tc>
        <w:tc>
          <w:tcPr>
            <w:tcW w:w="1474" w:type="dxa"/>
            <w:vAlign w:val="top"/>
          </w:tcPr>
          <w:p w14:paraId="51FDF8B2">
            <w:pPr>
              <w:rPr>
                <w:rFonts w:ascii="Arial"/>
                <w:color w:val="auto"/>
                <w:sz w:val="21"/>
              </w:rPr>
            </w:pPr>
          </w:p>
        </w:tc>
        <w:tc>
          <w:tcPr>
            <w:tcW w:w="1055" w:type="dxa"/>
            <w:vAlign w:val="top"/>
          </w:tcPr>
          <w:p w14:paraId="07A7EFEB">
            <w:pPr>
              <w:rPr>
                <w:rFonts w:ascii="Arial"/>
                <w:color w:val="auto"/>
                <w:sz w:val="21"/>
              </w:rPr>
            </w:pPr>
          </w:p>
        </w:tc>
        <w:tc>
          <w:tcPr>
            <w:tcW w:w="635" w:type="dxa"/>
            <w:vAlign w:val="top"/>
          </w:tcPr>
          <w:p w14:paraId="6A483F06">
            <w:pPr>
              <w:rPr>
                <w:rFonts w:ascii="Arial"/>
                <w:color w:val="auto"/>
                <w:sz w:val="21"/>
              </w:rPr>
            </w:pPr>
          </w:p>
        </w:tc>
        <w:tc>
          <w:tcPr>
            <w:tcW w:w="1055" w:type="dxa"/>
            <w:vAlign w:val="top"/>
          </w:tcPr>
          <w:p w14:paraId="55E88686">
            <w:pPr>
              <w:rPr>
                <w:rFonts w:ascii="Arial"/>
                <w:color w:val="auto"/>
                <w:sz w:val="21"/>
              </w:rPr>
            </w:pPr>
          </w:p>
        </w:tc>
        <w:tc>
          <w:tcPr>
            <w:tcW w:w="1055" w:type="dxa"/>
            <w:vAlign w:val="top"/>
          </w:tcPr>
          <w:p w14:paraId="34FAED71">
            <w:pPr>
              <w:rPr>
                <w:rFonts w:ascii="Arial"/>
                <w:color w:val="auto"/>
                <w:sz w:val="21"/>
              </w:rPr>
            </w:pPr>
          </w:p>
        </w:tc>
        <w:tc>
          <w:tcPr>
            <w:tcW w:w="1654" w:type="dxa"/>
            <w:vAlign w:val="top"/>
          </w:tcPr>
          <w:p w14:paraId="1AB72629">
            <w:pPr>
              <w:rPr>
                <w:rFonts w:ascii="Arial"/>
                <w:color w:val="auto"/>
                <w:sz w:val="21"/>
              </w:rPr>
            </w:pPr>
          </w:p>
        </w:tc>
        <w:tc>
          <w:tcPr>
            <w:tcW w:w="995" w:type="dxa"/>
            <w:vAlign w:val="top"/>
          </w:tcPr>
          <w:p w14:paraId="0705A9F3">
            <w:pPr>
              <w:rPr>
                <w:rFonts w:ascii="Arial"/>
                <w:color w:val="auto"/>
                <w:sz w:val="21"/>
              </w:rPr>
            </w:pPr>
          </w:p>
        </w:tc>
        <w:tc>
          <w:tcPr>
            <w:tcW w:w="822" w:type="dxa"/>
            <w:vAlign w:val="top"/>
          </w:tcPr>
          <w:p w14:paraId="63165A73">
            <w:pPr>
              <w:rPr>
                <w:rFonts w:ascii="Arial"/>
                <w:color w:val="auto"/>
                <w:sz w:val="21"/>
              </w:rPr>
            </w:pPr>
          </w:p>
        </w:tc>
      </w:tr>
      <w:tr w14:paraId="3A1FC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43" w:type="dxa"/>
            <w:vAlign w:val="top"/>
          </w:tcPr>
          <w:p w14:paraId="1BD8495E">
            <w:pPr>
              <w:rPr>
                <w:rFonts w:ascii="Arial"/>
                <w:color w:val="auto"/>
                <w:sz w:val="21"/>
              </w:rPr>
            </w:pPr>
          </w:p>
        </w:tc>
        <w:tc>
          <w:tcPr>
            <w:tcW w:w="1474" w:type="dxa"/>
            <w:vAlign w:val="top"/>
          </w:tcPr>
          <w:p w14:paraId="63B9FF19">
            <w:pPr>
              <w:rPr>
                <w:rFonts w:ascii="Arial"/>
                <w:color w:val="auto"/>
                <w:sz w:val="21"/>
              </w:rPr>
            </w:pPr>
          </w:p>
        </w:tc>
        <w:tc>
          <w:tcPr>
            <w:tcW w:w="1055" w:type="dxa"/>
            <w:vAlign w:val="top"/>
          </w:tcPr>
          <w:p w14:paraId="0971D87C">
            <w:pPr>
              <w:rPr>
                <w:rFonts w:ascii="Arial"/>
                <w:color w:val="auto"/>
                <w:sz w:val="21"/>
              </w:rPr>
            </w:pPr>
          </w:p>
        </w:tc>
        <w:tc>
          <w:tcPr>
            <w:tcW w:w="635" w:type="dxa"/>
            <w:vAlign w:val="top"/>
          </w:tcPr>
          <w:p w14:paraId="5F2AD7FE">
            <w:pPr>
              <w:rPr>
                <w:rFonts w:ascii="Arial"/>
                <w:color w:val="auto"/>
                <w:sz w:val="21"/>
              </w:rPr>
            </w:pPr>
          </w:p>
        </w:tc>
        <w:tc>
          <w:tcPr>
            <w:tcW w:w="1055" w:type="dxa"/>
            <w:vAlign w:val="top"/>
          </w:tcPr>
          <w:p w14:paraId="74C5C5E1">
            <w:pPr>
              <w:rPr>
                <w:rFonts w:ascii="Arial"/>
                <w:color w:val="auto"/>
                <w:sz w:val="21"/>
              </w:rPr>
            </w:pPr>
          </w:p>
        </w:tc>
        <w:tc>
          <w:tcPr>
            <w:tcW w:w="1055" w:type="dxa"/>
            <w:vAlign w:val="top"/>
          </w:tcPr>
          <w:p w14:paraId="5216BBFC">
            <w:pPr>
              <w:rPr>
                <w:rFonts w:ascii="Arial"/>
                <w:color w:val="auto"/>
                <w:sz w:val="21"/>
              </w:rPr>
            </w:pPr>
          </w:p>
        </w:tc>
        <w:tc>
          <w:tcPr>
            <w:tcW w:w="1654" w:type="dxa"/>
            <w:vAlign w:val="top"/>
          </w:tcPr>
          <w:p w14:paraId="68B931BA">
            <w:pPr>
              <w:rPr>
                <w:rFonts w:ascii="Arial"/>
                <w:color w:val="auto"/>
                <w:sz w:val="21"/>
              </w:rPr>
            </w:pPr>
          </w:p>
        </w:tc>
        <w:tc>
          <w:tcPr>
            <w:tcW w:w="995" w:type="dxa"/>
            <w:vAlign w:val="top"/>
          </w:tcPr>
          <w:p w14:paraId="01D087C8">
            <w:pPr>
              <w:rPr>
                <w:rFonts w:ascii="Arial"/>
                <w:color w:val="auto"/>
                <w:sz w:val="21"/>
              </w:rPr>
            </w:pPr>
          </w:p>
        </w:tc>
        <w:tc>
          <w:tcPr>
            <w:tcW w:w="822" w:type="dxa"/>
            <w:vAlign w:val="top"/>
          </w:tcPr>
          <w:p w14:paraId="4F67E553">
            <w:pPr>
              <w:rPr>
                <w:rFonts w:ascii="Arial"/>
                <w:color w:val="auto"/>
                <w:sz w:val="21"/>
              </w:rPr>
            </w:pPr>
          </w:p>
        </w:tc>
      </w:tr>
      <w:tr w14:paraId="2EA6A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3" w:type="dxa"/>
            <w:vAlign w:val="top"/>
          </w:tcPr>
          <w:p w14:paraId="7B2A8E93">
            <w:pPr>
              <w:rPr>
                <w:rFonts w:ascii="Arial"/>
                <w:color w:val="auto"/>
                <w:sz w:val="21"/>
              </w:rPr>
            </w:pPr>
          </w:p>
        </w:tc>
        <w:tc>
          <w:tcPr>
            <w:tcW w:w="1474" w:type="dxa"/>
            <w:vAlign w:val="top"/>
          </w:tcPr>
          <w:p w14:paraId="4C618D19">
            <w:pPr>
              <w:rPr>
                <w:rFonts w:ascii="Arial"/>
                <w:color w:val="auto"/>
                <w:sz w:val="21"/>
              </w:rPr>
            </w:pPr>
          </w:p>
        </w:tc>
        <w:tc>
          <w:tcPr>
            <w:tcW w:w="1055" w:type="dxa"/>
            <w:vAlign w:val="top"/>
          </w:tcPr>
          <w:p w14:paraId="20B69D87">
            <w:pPr>
              <w:rPr>
                <w:rFonts w:ascii="Arial"/>
                <w:color w:val="auto"/>
                <w:sz w:val="21"/>
              </w:rPr>
            </w:pPr>
          </w:p>
        </w:tc>
        <w:tc>
          <w:tcPr>
            <w:tcW w:w="635" w:type="dxa"/>
            <w:vAlign w:val="top"/>
          </w:tcPr>
          <w:p w14:paraId="7674AC4E">
            <w:pPr>
              <w:rPr>
                <w:rFonts w:ascii="Arial"/>
                <w:color w:val="auto"/>
                <w:sz w:val="21"/>
              </w:rPr>
            </w:pPr>
          </w:p>
        </w:tc>
        <w:tc>
          <w:tcPr>
            <w:tcW w:w="1055" w:type="dxa"/>
            <w:vAlign w:val="top"/>
          </w:tcPr>
          <w:p w14:paraId="0DEB062D">
            <w:pPr>
              <w:rPr>
                <w:rFonts w:ascii="Arial"/>
                <w:color w:val="auto"/>
                <w:sz w:val="21"/>
              </w:rPr>
            </w:pPr>
          </w:p>
        </w:tc>
        <w:tc>
          <w:tcPr>
            <w:tcW w:w="1055" w:type="dxa"/>
            <w:vAlign w:val="top"/>
          </w:tcPr>
          <w:p w14:paraId="1FE36EF1">
            <w:pPr>
              <w:rPr>
                <w:rFonts w:ascii="Arial"/>
                <w:color w:val="auto"/>
                <w:sz w:val="21"/>
              </w:rPr>
            </w:pPr>
          </w:p>
        </w:tc>
        <w:tc>
          <w:tcPr>
            <w:tcW w:w="1654" w:type="dxa"/>
            <w:vAlign w:val="top"/>
          </w:tcPr>
          <w:p w14:paraId="39140643">
            <w:pPr>
              <w:rPr>
                <w:rFonts w:ascii="Arial"/>
                <w:color w:val="auto"/>
                <w:sz w:val="21"/>
              </w:rPr>
            </w:pPr>
          </w:p>
        </w:tc>
        <w:tc>
          <w:tcPr>
            <w:tcW w:w="995" w:type="dxa"/>
            <w:vAlign w:val="top"/>
          </w:tcPr>
          <w:p w14:paraId="241997EE">
            <w:pPr>
              <w:rPr>
                <w:rFonts w:ascii="Arial"/>
                <w:color w:val="auto"/>
                <w:sz w:val="21"/>
              </w:rPr>
            </w:pPr>
          </w:p>
        </w:tc>
        <w:tc>
          <w:tcPr>
            <w:tcW w:w="822" w:type="dxa"/>
            <w:vAlign w:val="top"/>
          </w:tcPr>
          <w:p w14:paraId="62B47679">
            <w:pPr>
              <w:rPr>
                <w:rFonts w:ascii="Arial"/>
                <w:color w:val="auto"/>
                <w:sz w:val="21"/>
              </w:rPr>
            </w:pPr>
          </w:p>
        </w:tc>
      </w:tr>
      <w:tr w14:paraId="26A53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3" w:type="dxa"/>
            <w:vAlign w:val="top"/>
          </w:tcPr>
          <w:p w14:paraId="5AA9B172">
            <w:pPr>
              <w:rPr>
                <w:rFonts w:ascii="Arial"/>
                <w:color w:val="auto"/>
                <w:sz w:val="21"/>
              </w:rPr>
            </w:pPr>
          </w:p>
        </w:tc>
        <w:tc>
          <w:tcPr>
            <w:tcW w:w="1474" w:type="dxa"/>
            <w:vAlign w:val="top"/>
          </w:tcPr>
          <w:p w14:paraId="2DA13872">
            <w:pPr>
              <w:rPr>
                <w:rFonts w:ascii="Arial"/>
                <w:color w:val="auto"/>
                <w:sz w:val="21"/>
              </w:rPr>
            </w:pPr>
          </w:p>
        </w:tc>
        <w:tc>
          <w:tcPr>
            <w:tcW w:w="1055" w:type="dxa"/>
            <w:vAlign w:val="top"/>
          </w:tcPr>
          <w:p w14:paraId="133976B0">
            <w:pPr>
              <w:rPr>
                <w:rFonts w:ascii="Arial"/>
                <w:color w:val="auto"/>
                <w:sz w:val="21"/>
              </w:rPr>
            </w:pPr>
          </w:p>
        </w:tc>
        <w:tc>
          <w:tcPr>
            <w:tcW w:w="635" w:type="dxa"/>
            <w:vAlign w:val="top"/>
          </w:tcPr>
          <w:p w14:paraId="24F091AF">
            <w:pPr>
              <w:rPr>
                <w:rFonts w:ascii="Arial"/>
                <w:color w:val="auto"/>
                <w:sz w:val="21"/>
              </w:rPr>
            </w:pPr>
          </w:p>
        </w:tc>
        <w:tc>
          <w:tcPr>
            <w:tcW w:w="1055" w:type="dxa"/>
            <w:vAlign w:val="top"/>
          </w:tcPr>
          <w:p w14:paraId="0EFF59B9">
            <w:pPr>
              <w:rPr>
                <w:rFonts w:ascii="Arial"/>
                <w:color w:val="auto"/>
                <w:sz w:val="21"/>
              </w:rPr>
            </w:pPr>
          </w:p>
        </w:tc>
        <w:tc>
          <w:tcPr>
            <w:tcW w:w="1055" w:type="dxa"/>
            <w:vAlign w:val="top"/>
          </w:tcPr>
          <w:p w14:paraId="4712C8F5">
            <w:pPr>
              <w:rPr>
                <w:rFonts w:ascii="Arial"/>
                <w:color w:val="auto"/>
                <w:sz w:val="21"/>
              </w:rPr>
            </w:pPr>
          </w:p>
        </w:tc>
        <w:tc>
          <w:tcPr>
            <w:tcW w:w="1654" w:type="dxa"/>
            <w:vAlign w:val="top"/>
          </w:tcPr>
          <w:p w14:paraId="728FD750">
            <w:pPr>
              <w:rPr>
                <w:rFonts w:ascii="Arial"/>
                <w:color w:val="auto"/>
                <w:sz w:val="21"/>
              </w:rPr>
            </w:pPr>
          </w:p>
        </w:tc>
        <w:tc>
          <w:tcPr>
            <w:tcW w:w="995" w:type="dxa"/>
            <w:vAlign w:val="top"/>
          </w:tcPr>
          <w:p w14:paraId="5BC51064">
            <w:pPr>
              <w:rPr>
                <w:rFonts w:ascii="Arial"/>
                <w:color w:val="auto"/>
                <w:sz w:val="21"/>
              </w:rPr>
            </w:pPr>
          </w:p>
        </w:tc>
        <w:tc>
          <w:tcPr>
            <w:tcW w:w="822" w:type="dxa"/>
            <w:vAlign w:val="top"/>
          </w:tcPr>
          <w:p w14:paraId="230D1C53">
            <w:pPr>
              <w:rPr>
                <w:rFonts w:ascii="Arial"/>
                <w:color w:val="auto"/>
                <w:sz w:val="21"/>
              </w:rPr>
            </w:pPr>
          </w:p>
        </w:tc>
      </w:tr>
      <w:tr w14:paraId="5D30F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43" w:type="dxa"/>
            <w:vAlign w:val="top"/>
          </w:tcPr>
          <w:p w14:paraId="1EBA6719">
            <w:pPr>
              <w:rPr>
                <w:rFonts w:ascii="Arial"/>
                <w:color w:val="auto"/>
                <w:sz w:val="21"/>
              </w:rPr>
            </w:pPr>
          </w:p>
        </w:tc>
        <w:tc>
          <w:tcPr>
            <w:tcW w:w="1474" w:type="dxa"/>
            <w:vAlign w:val="top"/>
          </w:tcPr>
          <w:p w14:paraId="30F91E82">
            <w:pPr>
              <w:rPr>
                <w:rFonts w:ascii="Arial"/>
                <w:color w:val="auto"/>
                <w:sz w:val="21"/>
              </w:rPr>
            </w:pPr>
          </w:p>
        </w:tc>
        <w:tc>
          <w:tcPr>
            <w:tcW w:w="1055" w:type="dxa"/>
            <w:vAlign w:val="top"/>
          </w:tcPr>
          <w:p w14:paraId="2D031D3F">
            <w:pPr>
              <w:rPr>
                <w:rFonts w:ascii="Arial"/>
                <w:color w:val="auto"/>
                <w:sz w:val="21"/>
              </w:rPr>
            </w:pPr>
          </w:p>
        </w:tc>
        <w:tc>
          <w:tcPr>
            <w:tcW w:w="635" w:type="dxa"/>
            <w:vAlign w:val="top"/>
          </w:tcPr>
          <w:p w14:paraId="0AB42C76">
            <w:pPr>
              <w:rPr>
                <w:rFonts w:ascii="Arial"/>
                <w:color w:val="auto"/>
                <w:sz w:val="21"/>
              </w:rPr>
            </w:pPr>
          </w:p>
        </w:tc>
        <w:tc>
          <w:tcPr>
            <w:tcW w:w="1055" w:type="dxa"/>
            <w:vAlign w:val="top"/>
          </w:tcPr>
          <w:p w14:paraId="5AA1116C">
            <w:pPr>
              <w:rPr>
                <w:rFonts w:ascii="Arial"/>
                <w:color w:val="auto"/>
                <w:sz w:val="21"/>
              </w:rPr>
            </w:pPr>
          </w:p>
        </w:tc>
        <w:tc>
          <w:tcPr>
            <w:tcW w:w="1055" w:type="dxa"/>
            <w:vAlign w:val="top"/>
          </w:tcPr>
          <w:p w14:paraId="41222932">
            <w:pPr>
              <w:rPr>
                <w:rFonts w:ascii="Arial"/>
                <w:color w:val="auto"/>
                <w:sz w:val="21"/>
              </w:rPr>
            </w:pPr>
          </w:p>
        </w:tc>
        <w:tc>
          <w:tcPr>
            <w:tcW w:w="1654" w:type="dxa"/>
            <w:vAlign w:val="top"/>
          </w:tcPr>
          <w:p w14:paraId="4806C9D8">
            <w:pPr>
              <w:rPr>
                <w:rFonts w:ascii="Arial"/>
                <w:color w:val="auto"/>
                <w:sz w:val="21"/>
              </w:rPr>
            </w:pPr>
          </w:p>
        </w:tc>
        <w:tc>
          <w:tcPr>
            <w:tcW w:w="995" w:type="dxa"/>
            <w:vAlign w:val="top"/>
          </w:tcPr>
          <w:p w14:paraId="12743D9E">
            <w:pPr>
              <w:rPr>
                <w:rFonts w:ascii="Arial"/>
                <w:color w:val="auto"/>
                <w:sz w:val="21"/>
              </w:rPr>
            </w:pPr>
          </w:p>
        </w:tc>
        <w:tc>
          <w:tcPr>
            <w:tcW w:w="822" w:type="dxa"/>
            <w:vAlign w:val="top"/>
          </w:tcPr>
          <w:p w14:paraId="52AAAE7A">
            <w:pPr>
              <w:rPr>
                <w:rFonts w:ascii="Arial"/>
                <w:color w:val="auto"/>
                <w:sz w:val="21"/>
              </w:rPr>
            </w:pPr>
          </w:p>
        </w:tc>
      </w:tr>
      <w:tr w14:paraId="7F135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43" w:type="dxa"/>
            <w:vAlign w:val="top"/>
          </w:tcPr>
          <w:p w14:paraId="4F02DD08">
            <w:pPr>
              <w:rPr>
                <w:rFonts w:ascii="Arial"/>
                <w:color w:val="auto"/>
                <w:sz w:val="21"/>
              </w:rPr>
            </w:pPr>
          </w:p>
        </w:tc>
        <w:tc>
          <w:tcPr>
            <w:tcW w:w="1474" w:type="dxa"/>
            <w:vAlign w:val="top"/>
          </w:tcPr>
          <w:p w14:paraId="0A9B944E">
            <w:pPr>
              <w:rPr>
                <w:rFonts w:ascii="Arial"/>
                <w:color w:val="auto"/>
                <w:sz w:val="21"/>
              </w:rPr>
            </w:pPr>
          </w:p>
        </w:tc>
        <w:tc>
          <w:tcPr>
            <w:tcW w:w="1055" w:type="dxa"/>
            <w:vAlign w:val="top"/>
          </w:tcPr>
          <w:p w14:paraId="05D25389">
            <w:pPr>
              <w:rPr>
                <w:rFonts w:ascii="Arial"/>
                <w:color w:val="auto"/>
                <w:sz w:val="21"/>
              </w:rPr>
            </w:pPr>
          </w:p>
        </w:tc>
        <w:tc>
          <w:tcPr>
            <w:tcW w:w="635" w:type="dxa"/>
            <w:vAlign w:val="top"/>
          </w:tcPr>
          <w:p w14:paraId="0D8CB96E">
            <w:pPr>
              <w:rPr>
                <w:rFonts w:ascii="Arial"/>
                <w:color w:val="auto"/>
                <w:sz w:val="21"/>
              </w:rPr>
            </w:pPr>
          </w:p>
        </w:tc>
        <w:tc>
          <w:tcPr>
            <w:tcW w:w="1055" w:type="dxa"/>
            <w:vAlign w:val="top"/>
          </w:tcPr>
          <w:p w14:paraId="42C43BBA">
            <w:pPr>
              <w:rPr>
                <w:rFonts w:ascii="Arial"/>
                <w:color w:val="auto"/>
                <w:sz w:val="21"/>
              </w:rPr>
            </w:pPr>
          </w:p>
        </w:tc>
        <w:tc>
          <w:tcPr>
            <w:tcW w:w="1055" w:type="dxa"/>
            <w:vAlign w:val="top"/>
          </w:tcPr>
          <w:p w14:paraId="02A7F3F3">
            <w:pPr>
              <w:rPr>
                <w:rFonts w:ascii="Arial"/>
                <w:color w:val="auto"/>
                <w:sz w:val="21"/>
              </w:rPr>
            </w:pPr>
          </w:p>
        </w:tc>
        <w:tc>
          <w:tcPr>
            <w:tcW w:w="1654" w:type="dxa"/>
            <w:vAlign w:val="top"/>
          </w:tcPr>
          <w:p w14:paraId="7E47CDA3">
            <w:pPr>
              <w:rPr>
                <w:rFonts w:ascii="Arial"/>
                <w:color w:val="auto"/>
                <w:sz w:val="21"/>
              </w:rPr>
            </w:pPr>
          </w:p>
        </w:tc>
        <w:tc>
          <w:tcPr>
            <w:tcW w:w="995" w:type="dxa"/>
            <w:vAlign w:val="top"/>
          </w:tcPr>
          <w:p w14:paraId="5846709A">
            <w:pPr>
              <w:rPr>
                <w:rFonts w:ascii="Arial"/>
                <w:color w:val="auto"/>
                <w:sz w:val="21"/>
              </w:rPr>
            </w:pPr>
          </w:p>
        </w:tc>
        <w:tc>
          <w:tcPr>
            <w:tcW w:w="822" w:type="dxa"/>
            <w:vAlign w:val="top"/>
          </w:tcPr>
          <w:p w14:paraId="48A8344D">
            <w:pPr>
              <w:rPr>
                <w:rFonts w:ascii="Arial"/>
                <w:color w:val="auto"/>
                <w:sz w:val="21"/>
              </w:rPr>
            </w:pPr>
          </w:p>
        </w:tc>
      </w:tr>
      <w:tr w14:paraId="761AF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3" w:type="dxa"/>
            <w:vAlign w:val="top"/>
          </w:tcPr>
          <w:p w14:paraId="46C4B11F">
            <w:pPr>
              <w:rPr>
                <w:rFonts w:ascii="Arial"/>
                <w:color w:val="auto"/>
                <w:sz w:val="21"/>
              </w:rPr>
            </w:pPr>
          </w:p>
        </w:tc>
        <w:tc>
          <w:tcPr>
            <w:tcW w:w="1474" w:type="dxa"/>
            <w:vAlign w:val="top"/>
          </w:tcPr>
          <w:p w14:paraId="7F4E42C3">
            <w:pPr>
              <w:rPr>
                <w:rFonts w:ascii="Arial"/>
                <w:color w:val="auto"/>
                <w:sz w:val="21"/>
              </w:rPr>
            </w:pPr>
          </w:p>
        </w:tc>
        <w:tc>
          <w:tcPr>
            <w:tcW w:w="1055" w:type="dxa"/>
            <w:vAlign w:val="top"/>
          </w:tcPr>
          <w:p w14:paraId="001F4D1C">
            <w:pPr>
              <w:rPr>
                <w:rFonts w:ascii="Arial"/>
                <w:color w:val="auto"/>
                <w:sz w:val="21"/>
              </w:rPr>
            </w:pPr>
          </w:p>
        </w:tc>
        <w:tc>
          <w:tcPr>
            <w:tcW w:w="635" w:type="dxa"/>
            <w:vAlign w:val="top"/>
          </w:tcPr>
          <w:p w14:paraId="603396D6">
            <w:pPr>
              <w:rPr>
                <w:rFonts w:ascii="Arial"/>
                <w:color w:val="auto"/>
                <w:sz w:val="21"/>
              </w:rPr>
            </w:pPr>
          </w:p>
        </w:tc>
        <w:tc>
          <w:tcPr>
            <w:tcW w:w="1055" w:type="dxa"/>
            <w:vAlign w:val="top"/>
          </w:tcPr>
          <w:p w14:paraId="3030BB2D">
            <w:pPr>
              <w:rPr>
                <w:rFonts w:ascii="Arial"/>
                <w:color w:val="auto"/>
                <w:sz w:val="21"/>
              </w:rPr>
            </w:pPr>
          </w:p>
        </w:tc>
        <w:tc>
          <w:tcPr>
            <w:tcW w:w="1055" w:type="dxa"/>
            <w:vAlign w:val="top"/>
          </w:tcPr>
          <w:p w14:paraId="42724F35">
            <w:pPr>
              <w:rPr>
                <w:rFonts w:ascii="Arial"/>
                <w:color w:val="auto"/>
                <w:sz w:val="21"/>
              </w:rPr>
            </w:pPr>
          </w:p>
        </w:tc>
        <w:tc>
          <w:tcPr>
            <w:tcW w:w="1654" w:type="dxa"/>
            <w:vAlign w:val="top"/>
          </w:tcPr>
          <w:p w14:paraId="5A1A9AC0">
            <w:pPr>
              <w:rPr>
                <w:rFonts w:ascii="Arial"/>
                <w:color w:val="auto"/>
                <w:sz w:val="21"/>
              </w:rPr>
            </w:pPr>
          </w:p>
        </w:tc>
        <w:tc>
          <w:tcPr>
            <w:tcW w:w="995" w:type="dxa"/>
            <w:vAlign w:val="top"/>
          </w:tcPr>
          <w:p w14:paraId="271A475A">
            <w:pPr>
              <w:rPr>
                <w:rFonts w:ascii="Arial"/>
                <w:color w:val="auto"/>
                <w:sz w:val="21"/>
              </w:rPr>
            </w:pPr>
          </w:p>
        </w:tc>
        <w:tc>
          <w:tcPr>
            <w:tcW w:w="822" w:type="dxa"/>
            <w:vAlign w:val="top"/>
          </w:tcPr>
          <w:p w14:paraId="1D8F04AB">
            <w:pPr>
              <w:rPr>
                <w:rFonts w:ascii="Arial"/>
                <w:color w:val="auto"/>
                <w:sz w:val="21"/>
              </w:rPr>
            </w:pPr>
          </w:p>
        </w:tc>
      </w:tr>
      <w:tr w14:paraId="6D5CB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43" w:type="dxa"/>
            <w:vAlign w:val="top"/>
          </w:tcPr>
          <w:p w14:paraId="35954AF0">
            <w:pPr>
              <w:rPr>
                <w:rFonts w:ascii="Arial"/>
                <w:color w:val="auto"/>
                <w:sz w:val="21"/>
              </w:rPr>
            </w:pPr>
          </w:p>
        </w:tc>
        <w:tc>
          <w:tcPr>
            <w:tcW w:w="1474" w:type="dxa"/>
            <w:vAlign w:val="top"/>
          </w:tcPr>
          <w:p w14:paraId="22CBCE50">
            <w:pPr>
              <w:rPr>
                <w:rFonts w:ascii="Arial"/>
                <w:color w:val="auto"/>
                <w:sz w:val="21"/>
              </w:rPr>
            </w:pPr>
          </w:p>
        </w:tc>
        <w:tc>
          <w:tcPr>
            <w:tcW w:w="1055" w:type="dxa"/>
            <w:vAlign w:val="top"/>
          </w:tcPr>
          <w:p w14:paraId="4EE97C0A">
            <w:pPr>
              <w:rPr>
                <w:rFonts w:ascii="Arial"/>
                <w:color w:val="auto"/>
                <w:sz w:val="21"/>
              </w:rPr>
            </w:pPr>
          </w:p>
        </w:tc>
        <w:tc>
          <w:tcPr>
            <w:tcW w:w="635" w:type="dxa"/>
            <w:vAlign w:val="top"/>
          </w:tcPr>
          <w:p w14:paraId="4CE6B261">
            <w:pPr>
              <w:rPr>
                <w:rFonts w:ascii="Arial"/>
                <w:color w:val="auto"/>
                <w:sz w:val="21"/>
              </w:rPr>
            </w:pPr>
          </w:p>
        </w:tc>
        <w:tc>
          <w:tcPr>
            <w:tcW w:w="1055" w:type="dxa"/>
            <w:vAlign w:val="top"/>
          </w:tcPr>
          <w:p w14:paraId="54AC1486">
            <w:pPr>
              <w:rPr>
                <w:rFonts w:ascii="Arial"/>
                <w:color w:val="auto"/>
                <w:sz w:val="21"/>
              </w:rPr>
            </w:pPr>
          </w:p>
        </w:tc>
        <w:tc>
          <w:tcPr>
            <w:tcW w:w="1055" w:type="dxa"/>
            <w:vAlign w:val="top"/>
          </w:tcPr>
          <w:p w14:paraId="2A597B5B">
            <w:pPr>
              <w:rPr>
                <w:rFonts w:ascii="Arial"/>
                <w:color w:val="auto"/>
                <w:sz w:val="21"/>
              </w:rPr>
            </w:pPr>
          </w:p>
        </w:tc>
        <w:tc>
          <w:tcPr>
            <w:tcW w:w="1654" w:type="dxa"/>
            <w:vAlign w:val="top"/>
          </w:tcPr>
          <w:p w14:paraId="144732D3">
            <w:pPr>
              <w:rPr>
                <w:rFonts w:ascii="Arial"/>
                <w:color w:val="auto"/>
                <w:sz w:val="21"/>
              </w:rPr>
            </w:pPr>
          </w:p>
        </w:tc>
        <w:tc>
          <w:tcPr>
            <w:tcW w:w="995" w:type="dxa"/>
            <w:vAlign w:val="top"/>
          </w:tcPr>
          <w:p w14:paraId="7029AEFE">
            <w:pPr>
              <w:rPr>
                <w:rFonts w:ascii="Arial"/>
                <w:color w:val="auto"/>
                <w:sz w:val="21"/>
              </w:rPr>
            </w:pPr>
          </w:p>
        </w:tc>
        <w:tc>
          <w:tcPr>
            <w:tcW w:w="822" w:type="dxa"/>
            <w:vAlign w:val="top"/>
          </w:tcPr>
          <w:p w14:paraId="0BE3573C">
            <w:pPr>
              <w:rPr>
                <w:rFonts w:ascii="Arial"/>
                <w:color w:val="auto"/>
                <w:sz w:val="21"/>
              </w:rPr>
            </w:pPr>
          </w:p>
        </w:tc>
      </w:tr>
      <w:tr w14:paraId="4BA6B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3" w:type="dxa"/>
            <w:vAlign w:val="top"/>
          </w:tcPr>
          <w:p w14:paraId="45FE4527">
            <w:pPr>
              <w:rPr>
                <w:rFonts w:ascii="Arial"/>
                <w:color w:val="auto"/>
                <w:sz w:val="21"/>
              </w:rPr>
            </w:pPr>
          </w:p>
        </w:tc>
        <w:tc>
          <w:tcPr>
            <w:tcW w:w="1474" w:type="dxa"/>
            <w:vAlign w:val="top"/>
          </w:tcPr>
          <w:p w14:paraId="418399B4">
            <w:pPr>
              <w:rPr>
                <w:rFonts w:ascii="Arial"/>
                <w:color w:val="auto"/>
                <w:sz w:val="21"/>
              </w:rPr>
            </w:pPr>
          </w:p>
        </w:tc>
        <w:tc>
          <w:tcPr>
            <w:tcW w:w="1055" w:type="dxa"/>
            <w:vAlign w:val="top"/>
          </w:tcPr>
          <w:p w14:paraId="68003266">
            <w:pPr>
              <w:rPr>
                <w:rFonts w:ascii="Arial"/>
                <w:color w:val="auto"/>
                <w:sz w:val="21"/>
              </w:rPr>
            </w:pPr>
          </w:p>
        </w:tc>
        <w:tc>
          <w:tcPr>
            <w:tcW w:w="635" w:type="dxa"/>
            <w:vAlign w:val="top"/>
          </w:tcPr>
          <w:p w14:paraId="579E7EBA">
            <w:pPr>
              <w:rPr>
                <w:rFonts w:ascii="Arial"/>
                <w:color w:val="auto"/>
                <w:sz w:val="21"/>
              </w:rPr>
            </w:pPr>
          </w:p>
        </w:tc>
        <w:tc>
          <w:tcPr>
            <w:tcW w:w="1055" w:type="dxa"/>
            <w:vAlign w:val="top"/>
          </w:tcPr>
          <w:p w14:paraId="2BBDD817">
            <w:pPr>
              <w:rPr>
                <w:rFonts w:ascii="Arial"/>
                <w:color w:val="auto"/>
                <w:sz w:val="21"/>
              </w:rPr>
            </w:pPr>
          </w:p>
        </w:tc>
        <w:tc>
          <w:tcPr>
            <w:tcW w:w="1055" w:type="dxa"/>
            <w:vAlign w:val="top"/>
          </w:tcPr>
          <w:p w14:paraId="11AAAC42">
            <w:pPr>
              <w:rPr>
                <w:rFonts w:ascii="Arial"/>
                <w:color w:val="auto"/>
                <w:sz w:val="21"/>
              </w:rPr>
            </w:pPr>
          </w:p>
        </w:tc>
        <w:tc>
          <w:tcPr>
            <w:tcW w:w="1654" w:type="dxa"/>
            <w:vAlign w:val="top"/>
          </w:tcPr>
          <w:p w14:paraId="15AACBC4">
            <w:pPr>
              <w:rPr>
                <w:rFonts w:ascii="Arial"/>
                <w:color w:val="auto"/>
                <w:sz w:val="21"/>
              </w:rPr>
            </w:pPr>
          </w:p>
        </w:tc>
        <w:tc>
          <w:tcPr>
            <w:tcW w:w="995" w:type="dxa"/>
            <w:vAlign w:val="top"/>
          </w:tcPr>
          <w:p w14:paraId="6170CB70">
            <w:pPr>
              <w:rPr>
                <w:rFonts w:ascii="Arial"/>
                <w:color w:val="auto"/>
                <w:sz w:val="21"/>
              </w:rPr>
            </w:pPr>
          </w:p>
        </w:tc>
        <w:tc>
          <w:tcPr>
            <w:tcW w:w="822" w:type="dxa"/>
            <w:vAlign w:val="top"/>
          </w:tcPr>
          <w:p w14:paraId="3C2D9E4E">
            <w:pPr>
              <w:rPr>
                <w:rFonts w:ascii="Arial"/>
                <w:color w:val="auto"/>
                <w:sz w:val="21"/>
              </w:rPr>
            </w:pPr>
          </w:p>
        </w:tc>
      </w:tr>
      <w:tr w14:paraId="1EE21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43" w:type="dxa"/>
            <w:vAlign w:val="top"/>
          </w:tcPr>
          <w:p w14:paraId="042C427B">
            <w:pPr>
              <w:rPr>
                <w:rFonts w:ascii="Arial"/>
                <w:color w:val="auto"/>
                <w:sz w:val="21"/>
              </w:rPr>
            </w:pPr>
          </w:p>
        </w:tc>
        <w:tc>
          <w:tcPr>
            <w:tcW w:w="1474" w:type="dxa"/>
            <w:vAlign w:val="top"/>
          </w:tcPr>
          <w:p w14:paraId="0F2A99E6">
            <w:pPr>
              <w:rPr>
                <w:rFonts w:ascii="Arial"/>
                <w:color w:val="auto"/>
                <w:sz w:val="21"/>
              </w:rPr>
            </w:pPr>
          </w:p>
        </w:tc>
        <w:tc>
          <w:tcPr>
            <w:tcW w:w="1055" w:type="dxa"/>
            <w:vAlign w:val="top"/>
          </w:tcPr>
          <w:p w14:paraId="5E0C6CB4">
            <w:pPr>
              <w:rPr>
                <w:rFonts w:ascii="Arial"/>
                <w:color w:val="auto"/>
                <w:sz w:val="21"/>
              </w:rPr>
            </w:pPr>
          </w:p>
        </w:tc>
        <w:tc>
          <w:tcPr>
            <w:tcW w:w="635" w:type="dxa"/>
            <w:vAlign w:val="top"/>
          </w:tcPr>
          <w:p w14:paraId="2D34A9A3">
            <w:pPr>
              <w:rPr>
                <w:rFonts w:ascii="Arial"/>
                <w:color w:val="auto"/>
                <w:sz w:val="21"/>
              </w:rPr>
            </w:pPr>
          </w:p>
        </w:tc>
        <w:tc>
          <w:tcPr>
            <w:tcW w:w="1055" w:type="dxa"/>
            <w:vAlign w:val="top"/>
          </w:tcPr>
          <w:p w14:paraId="6FF13984">
            <w:pPr>
              <w:rPr>
                <w:rFonts w:ascii="Arial"/>
                <w:color w:val="auto"/>
                <w:sz w:val="21"/>
              </w:rPr>
            </w:pPr>
          </w:p>
        </w:tc>
        <w:tc>
          <w:tcPr>
            <w:tcW w:w="1055" w:type="dxa"/>
            <w:vAlign w:val="top"/>
          </w:tcPr>
          <w:p w14:paraId="01E54127">
            <w:pPr>
              <w:rPr>
                <w:rFonts w:ascii="Arial"/>
                <w:color w:val="auto"/>
                <w:sz w:val="21"/>
              </w:rPr>
            </w:pPr>
          </w:p>
        </w:tc>
        <w:tc>
          <w:tcPr>
            <w:tcW w:w="1654" w:type="dxa"/>
            <w:vAlign w:val="top"/>
          </w:tcPr>
          <w:p w14:paraId="2E6C5B04">
            <w:pPr>
              <w:rPr>
                <w:rFonts w:ascii="Arial"/>
                <w:color w:val="auto"/>
                <w:sz w:val="21"/>
              </w:rPr>
            </w:pPr>
          </w:p>
        </w:tc>
        <w:tc>
          <w:tcPr>
            <w:tcW w:w="995" w:type="dxa"/>
            <w:vAlign w:val="top"/>
          </w:tcPr>
          <w:p w14:paraId="4F4B86C8">
            <w:pPr>
              <w:rPr>
                <w:rFonts w:ascii="Arial"/>
                <w:color w:val="auto"/>
                <w:sz w:val="21"/>
              </w:rPr>
            </w:pPr>
          </w:p>
        </w:tc>
        <w:tc>
          <w:tcPr>
            <w:tcW w:w="822" w:type="dxa"/>
            <w:vAlign w:val="top"/>
          </w:tcPr>
          <w:p w14:paraId="28BB6C18">
            <w:pPr>
              <w:rPr>
                <w:rFonts w:ascii="Arial"/>
                <w:color w:val="auto"/>
                <w:sz w:val="21"/>
              </w:rPr>
            </w:pPr>
          </w:p>
        </w:tc>
      </w:tr>
      <w:tr w14:paraId="64135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3" w:type="dxa"/>
            <w:vAlign w:val="top"/>
          </w:tcPr>
          <w:p w14:paraId="19A97C0A">
            <w:pPr>
              <w:rPr>
                <w:rFonts w:ascii="Arial"/>
                <w:color w:val="auto"/>
                <w:sz w:val="21"/>
              </w:rPr>
            </w:pPr>
          </w:p>
        </w:tc>
        <w:tc>
          <w:tcPr>
            <w:tcW w:w="1474" w:type="dxa"/>
            <w:vAlign w:val="top"/>
          </w:tcPr>
          <w:p w14:paraId="74806DBD">
            <w:pPr>
              <w:rPr>
                <w:rFonts w:ascii="Arial"/>
                <w:color w:val="auto"/>
                <w:sz w:val="21"/>
              </w:rPr>
            </w:pPr>
          </w:p>
        </w:tc>
        <w:tc>
          <w:tcPr>
            <w:tcW w:w="1055" w:type="dxa"/>
            <w:vAlign w:val="top"/>
          </w:tcPr>
          <w:p w14:paraId="07332B4F">
            <w:pPr>
              <w:rPr>
                <w:rFonts w:ascii="Arial"/>
                <w:color w:val="auto"/>
                <w:sz w:val="21"/>
              </w:rPr>
            </w:pPr>
          </w:p>
        </w:tc>
        <w:tc>
          <w:tcPr>
            <w:tcW w:w="635" w:type="dxa"/>
            <w:vAlign w:val="top"/>
          </w:tcPr>
          <w:p w14:paraId="1D934A03">
            <w:pPr>
              <w:rPr>
                <w:rFonts w:ascii="Arial"/>
                <w:color w:val="auto"/>
                <w:sz w:val="21"/>
              </w:rPr>
            </w:pPr>
          </w:p>
        </w:tc>
        <w:tc>
          <w:tcPr>
            <w:tcW w:w="1055" w:type="dxa"/>
            <w:vAlign w:val="top"/>
          </w:tcPr>
          <w:p w14:paraId="6C2FFACF">
            <w:pPr>
              <w:rPr>
                <w:rFonts w:ascii="Arial"/>
                <w:color w:val="auto"/>
                <w:sz w:val="21"/>
              </w:rPr>
            </w:pPr>
          </w:p>
        </w:tc>
        <w:tc>
          <w:tcPr>
            <w:tcW w:w="1055" w:type="dxa"/>
            <w:vAlign w:val="top"/>
          </w:tcPr>
          <w:p w14:paraId="68CB17E9">
            <w:pPr>
              <w:rPr>
                <w:rFonts w:ascii="Arial"/>
                <w:color w:val="auto"/>
                <w:sz w:val="21"/>
              </w:rPr>
            </w:pPr>
          </w:p>
        </w:tc>
        <w:tc>
          <w:tcPr>
            <w:tcW w:w="1654" w:type="dxa"/>
            <w:vAlign w:val="top"/>
          </w:tcPr>
          <w:p w14:paraId="109DCB87">
            <w:pPr>
              <w:rPr>
                <w:rFonts w:ascii="Arial"/>
                <w:color w:val="auto"/>
                <w:sz w:val="21"/>
              </w:rPr>
            </w:pPr>
          </w:p>
        </w:tc>
        <w:tc>
          <w:tcPr>
            <w:tcW w:w="995" w:type="dxa"/>
            <w:vAlign w:val="top"/>
          </w:tcPr>
          <w:p w14:paraId="42A9E559">
            <w:pPr>
              <w:rPr>
                <w:rFonts w:ascii="Arial"/>
                <w:color w:val="auto"/>
                <w:sz w:val="21"/>
              </w:rPr>
            </w:pPr>
          </w:p>
        </w:tc>
        <w:tc>
          <w:tcPr>
            <w:tcW w:w="822" w:type="dxa"/>
            <w:vAlign w:val="top"/>
          </w:tcPr>
          <w:p w14:paraId="4A4AD9D1">
            <w:pPr>
              <w:rPr>
                <w:rFonts w:ascii="Arial"/>
                <w:color w:val="auto"/>
                <w:sz w:val="21"/>
              </w:rPr>
            </w:pPr>
          </w:p>
        </w:tc>
      </w:tr>
      <w:tr w14:paraId="494BC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43" w:type="dxa"/>
            <w:vAlign w:val="top"/>
          </w:tcPr>
          <w:p w14:paraId="763F7267">
            <w:pPr>
              <w:rPr>
                <w:rFonts w:ascii="Arial"/>
                <w:color w:val="auto"/>
                <w:sz w:val="21"/>
              </w:rPr>
            </w:pPr>
          </w:p>
        </w:tc>
        <w:tc>
          <w:tcPr>
            <w:tcW w:w="1474" w:type="dxa"/>
            <w:vAlign w:val="top"/>
          </w:tcPr>
          <w:p w14:paraId="3DDDA7D2">
            <w:pPr>
              <w:rPr>
                <w:rFonts w:ascii="Arial"/>
                <w:color w:val="auto"/>
                <w:sz w:val="21"/>
              </w:rPr>
            </w:pPr>
          </w:p>
        </w:tc>
        <w:tc>
          <w:tcPr>
            <w:tcW w:w="1055" w:type="dxa"/>
            <w:vAlign w:val="top"/>
          </w:tcPr>
          <w:p w14:paraId="7F85C057">
            <w:pPr>
              <w:rPr>
                <w:rFonts w:ascii="Arial"/>
                <w:color w:val="auto"/>
                <w:sz w:val="21"/>
              </w:rPr>
            </w:pPr>
          </w:p>
        </w:tc>
        <w:tc>
          <w:tcPr>
            <w:tcW w:w="635" w:type="dxa"/>
            <w:vAlign w:val="top"/>
          </w:tcPr>
          <w:p w14:paraId="729CE33C">
            <w:pPr>
              <w:rPr>
                <w:rFonts w:ascii="Arial"/>
                <w:color w:val="auto"/>
                <w:sz w:val="21"/>
              </w:rPr>
            </w:pPr>
          </w:p>
        </w:tc>
        <w:tc>
          <w:tcPr>
            <w:tcW w:w="1055" w:type="dxa"/>
            <w:vAlign w:val="top"/>
          </w:tcPr>
          <w:p w14:paraId="7AA4E85E">
            <w:pPr>
              <w:rPr>
                <w:rFonts w:ascii="Arial"/>
                <w:color w:val="auto"/>
                <w:sz w:val="21"/>
              </w:rPr>
            </w:pPr>
          </w:p>
        </w:tc>
        <w:tc>
          <w:tcPr>
            <w:tcW w:w="1055" w:type="dxa"/>
            <w:vAlign w:val="top"/>
          </w:tcPr>
          <w:p w14:paraId="64EC6E61">
            <w:pPr>
              <w:rPr>
                <w:rFonts w:ascii="Arial"/>
                <w:color w:val="auto"/>
                <w:sz w:val="21"/>
              </w:rPr>
            </w:pPr>
          </w:p>
        </w:tc>
        <w:tc>
          <w:tcPr>
            <w:tcW w:w="1654" w:type="dxa"/>
            <w:vAlign w:val="top"/>
          </w:tcPr>
          <w:p w14:paraId="01BB161D">
            <w:pPr>
              <w:rPr>
                <w:rFonts w:ascii="Arial"/>
                <w:color w:val="auto"/>
                <w:sz w:val="21"/>
              </w:rPr>
            </w:pPr>
          </w:p>
        </w:tc>
        <w:tc>
          <w:tcPr>
            <w:tcW w:w="995" w:type="dxa"/>
            <w:vAlign w:val="top"/>
          </w:tcPr>
          <w:p w14:paraId="6158D73C">
            <w:pPr>
              <w:rPr>
                <w:rFonts w:ascii="Arial"/>
                <w:color w:val="auto"/>
                <w:sz w:val="21"/>
              </w:rPr>
            </w:pPr>
          </w:p>
        </w:tc>
        <w:tc>
          <w:tcPr>
            <w:tcW w:w="822" w:type="dxa"/>
            <w:vAlign w:val="top"/>
          </w:tcPr>
          <w:p w14:paraId="0910A08F">
            <w:pPr>
              <w:rPr>
                <w:rFonts w:ascii="Arial"/>
                <w:color w:val="auto"/>
                <w:sz w:val="21"/>
              </w:rPr>
            </w:pPr>
          </w:p>
        </w:tc>
      </w:tr>
      <w:tr w14:paraId="68239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3" w:type="dxa"/>
            <w:vAlign w:val="top"/>
          </w:tcPr>
          <w:p w14:paraId="7FC42410">
            <w:pPr>
              <w:rPr>
                <w:rFonts w:ascii="Arial"/>
                <w:color w:val="auto"/>
                <w:sz w:val="21"/>
              </w:rPr>
            </w:pPr>
          </w:p>
        </w:tc>
        <w:tc>
          <w:tcPr>
            <w:tcW w:w="1474" w:type="dxa"/>
            <w:vAlign w:val="top"/>
          </w:tcPr>
          <w:p w14:paraId="4B41C2D3">
            <w:pPr>
              <w:rPr>
                <w:rFonts w:ascii="Arial"/>
                <w:color w:val="auto"/>
                <w:sz w:val="21"/>
              </w:rPr>
            </w:pPr>
          </w:p>
        </w:tc>
        <w:tc>
          <w:tcPr>
            <w:tcW w:w="1055" w:type="dxa"/>
            <w:vAlign w:val="top"/>
          </w:tcPr>
          <w:p w14:paraId="682A4D27">
            <w:pPr>
              <w:rPr>
                <w:rFonts w:ascii="Arial"/>
                <w:color w:val="auto"/>
                <w:sz w:val="21"/>
              </w:rPr>
            </w:pPr>
          </w:p>
        </w:tc>
        <w:tc>
          <w:tcPr>
            <w:tcW w:w="635" w:type="dxa"/>
            <w:vAlign w:val="top"/>
          </w:tcPr>
          <w:p w14:paraId="366E40B4">
            <w:pPr>
              <w:rPr>
                <w:rFonts w:ascii="Arial"/>
                <w:color w:val="auto"/>
                <w:sz w:val="21"/>
              </w:rPr>
            </w:pPr>
          </w:p>
        </w:tc>
        <w:tc>
          <w:tcPr>
            <w:tcW w:w="1055" w:type="dxa"/>
            <w:vAlign w:val="top"/>
          </w:tcPr>
          <w:p w14:paraId="17A5CFC1">
            <w:pPr>
              <w:rPr>
                <w:rFonts w:ascii="Arial"/>
                <w:color w:val="auto"/>
                <w:sz w:val="21"/>
              </w:rPr>
            </w:pPr>
          </w:p>
        </w:tc>
        <w:tc>
          <w:tcPr>
            <w:tcW w:w="1055" w:type="dxa"/>
            <w:vAlign w:val="top"/>
          </w:tcPr>
          <w:p w14:paraId="6B3C8F5A">
            <w:pPr>
              <w:rPr>
                <w:rFonts w:ascii="Arial"/>
                <w:color w:val="auto"/>
                <w:sz w:val="21"/>
              </w:rPr>
            </w:pPr>
          </w:p>
        </w:tc>
        <w:tc>
          <w:tcPr>
            <w:tcW w:w="1654" w:type="dxa"/>
            <w:vAlign w:val="top"/>
          </w:tcPr>
          <w:p w14:paraId="733C49E1">
            <w:pPr>
              <w:rPr>
                <w:rFonts w:ascii="Arial"/>
                <w:color w:val="auto"/>
                <w:sz w:val="21"/>
              </w:rPr>
            </w:pPr>
          </w:p>
        </w:tc>
        <w:tc>
          <w:tcPr>
            <w:tcW w:w="995" w:type="dxa"/>
            <w:vAlign w:val="top"/>
          </w:tcPr>
          <w:p w14:paraId="357C1374">
            <w:pPr>
              <w:rPr>
                <w:rFonts w:ascii="Arial"/>
                <w:color w:val="auto"/>
                <w:sz w:val="21"/>
              </w:rPr>
            </w:pPr>
          </w:p>
        </w:tc>
        <w:tc>
          <w:tcPr>
            <w:tcW w:w="822" w:type="dxa"/>
            <w:vAlign w:val="top"/>
          </w:tcPr>
          <w:p w14:paraId="280CCBF1">
            <w:pPr>
              <w:rPr>
                <w:rFonts w:ascii="Arial"/>
                <w:color w:val="auto"/>
                <w:sz w:val="21"/>
              </w:rPr>
            </w:pPr>
          </w:p>
        </w:tc>
      </w:tr>
      <w:tr w14:paraId="72F80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3" w:type="dxa"/>
            <w:vAlign w:val="top"/>
          </w:tcPr>
          <w:p w14:paraId="4D337AFD">
            <w:pPr>
              <w:rPr>
                <w:rFonts w:ascii="Arial"/>
                <w:color w:val="auto"/>
                <w:sz w:val="21"/>
              </w:rPr>
            </w:pPr>
          </w:p>
        </w:tc>
        <w:tc>
          <w:tcPr>
            <w:tcW w:w="1474" w:type="dxa"/>
            <w:vAlign w:val="top"/>
          </w:tcPr>
          <w:p w14:paraId="11A101B8">
            <w:pPr>
              <w:rPr>
                <w:rFonts w:ascii="Arial"/>
                <w:color w:val="auto"/>
                <w:sz w:val="21"/>
              </w:rPr>
            </w:pPr>
          </w:p>
        </w:tc>
        <w:tc>
          <w:tcPr>
            <w:tcW w:w="1055" w:type="dxa"/>
            <w:vAlign w:val="top"/>
          </w:tcPr>
          <w:p w14:paraId="4F7EA5B3">
            <w:pPr>
              <w:rPr>
                <w:rFonts w:ascii="Arial"/>
                <w:color w:val="auto"/>
                <w:sz w:val="21"/>
              </w:rPr>
            </w:pPr>
          </w:p>
        </w:tc>
        <w:tc>
          <w:tcPr>
            <w:tcW w:w="635" w:type="dxa"/>
            <w:vAlign w:val="top"/>
          </w:tcPr>
          <w:p w14:paraId="580D2D82">
            <w:pPr>
              <w:rPr>
                <w:rFonts w:ascii="Arial"/>
                <w:color w:val="auto"/>
                <w:sz w:val="21"/>
              </w:rPr>
            </w:pPr>
          </w:p>
        </w:tc>
        <w:tc>
          <w:tcPr>
            <w:tcW w:w="1055" w:type="dxa"/>
            <w:vAlign w:val="top"/>
          </w:tcPr>
          <w:p w14:paraId="1487EC06">
            <w:pPr>
              <w:rPr>
                <w:rFonts w:ascii="Arial"/>
                <w:color w:val="auto"/>
                <w:sz w:val="21"/>
              </w:rPr>
            </w:pPr>
          </w:p>
        </w:tc>
        <w:tc>
          <w:tcPr>
            <w:tcW w:w="1055" w:type="dxa"/>
            <w:vAlign w:val="top"/>
          </w:tcPr>
          <w:p w14:paraId="3F2DBAC8">
            <w:pPr>
              <w:rPr>
                <w:rFonts w:ascii="Arial"/>
                <w:color w:val="auto"/>
                <w:sz w:val="21"/>
              </w:rPr>
            </w:pPr>
          </w:p>
        </w:tc>
        <w:tc>
          <w:tcPr>
            <w:tcW w:w="1654" w:type="dxa"/>
            <w:vAlign w:val="top"/>
          </w:tcPr>
          <w:p w14:paraId="5E3D8DEC">
            <w:pPr>
              <w:rPr>
                <w:rFonts w:ascii="Arial"/>
                <w:color w:val="auto"/>
                <w:sz w:val="21"/>
              </w:rPr>
            </w:pPr>
          </w:p>
        </w:tc>
        <w:tc>
          <w:tcPr>
            <w:tcW w:w="995" w:type="dxa"/>
            <w:vAlign w:val="top"/>
          </w:tcPr>
          <w:p w14:paraId="4ED0B67D">
            <w:pPr>
              <w:rPr>
                <w:rFonts w:ascii="Arial"/>
                <w:color w:val="auto"/>
                <w:sz w:val="21"/>
              </w:rPr>
            </w:pPr>
          </w:p>
        </w:tc>
        <w:tc>
          <w:tcPr>
            <w:tcW w:w="822" w:type="dxa"/>
            <w:vAlign w:val="top"/>
          </w:tcPr>
          <w:p w14:paraId="13CC34C9">
            <w:pPr>
              <w:rPr>
                <w:rFonts w:ascii="Arial"/>
                <w:color w:val="auto"/>
                <w:sz w:val="21"/>
              </w:rPr>
            </w:pPr>
          </w:p>
        </w:tc>
      </w:tr>
      <w:tr w14:paraId="02978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3" w:type="dxa"/>
            <w:vAlign w:val="top"/>
          </w:tcPr>
          <w:p w14:paraId="0EC13811">
            <w:pPr>
              <w:rPr>
                <w:rFonts w:ascii="Arial"/>
                <w:color w:val="auto"/>
                <w:sz w:val="21"/>
              </w:rPr>
            </w:pPr>
          </w:p>
        </w:tc>
        <w:tc>
          <w:tcPr>
            <w:tcW w:w="1474" w:type="dxa"/>
            <w:vAlign w:val="top"/>
          </w:tcPr>
          <w:p w14:paraId="3EEB3A23">
            <w:pPr>
              <w:rPr>
                <w:rFonts w:ascii="Arial"/>
                <w:color w:val="auto"/>
                <w:sz w:val="21"/>
              </w:rPr>
            </w:pPr>
          </w:p>
        </w:tc>
        <w:tc>
          <w:tcPr>
            <w:tcW w:w="1055" w:type="dxa"/>
            <w:vAlign w:val="top"/>
          </w:tcPr>
          <w:p w14:paraId="1045D5E9">
            <w:pPr>
              <w:rPr>
                <w:rFonts w:ascii="Arial"/>
                <w:color w:val="auto"/>
                <w:sz w:val="21"/>
              </w:rPr>
            </w:pPr>
          </w:p>
        </w:tc>
        <w:tc>
          <w:tcPr>
            <w:tcW w:w="635" w:type="dxa"/>
            <w:vAlign w:val="top"/>
          </w:tcPr>
          <w:p w14:paraId="4E861F41">
            <w:pPr>
              <w:rPr>
                <w:rFonts w:ascii="Arial"/>
                <w:color w:val="auto"/>
                <w:sz w:val="21"/>
              </w:rPr>
            </w:pPr>
          </w:p>
        </w:tc>
        <w:tc>
          <w:tcPr>
            <w:tcW w:w="1055" w:type="dxa"/>
            <w:vAlign w:val="top"/>
          </w:tcPr>
          <w:p w14:paraId="2731E395">
            <w:pPr>
              <w:rPr>
                <w:rFonts w:ascii="Arial"/>
                <w:color w:val="auto"/>
                <w:sz w:val="21"/>
              </w:rPr>
            </w:pPr>
          </w:p>
        </w:tc>
        <w:tc>
          <w:tcPr>
            <w:tcW w:w="1055" w:type="dxa"/>
            <w:vAlign w:val="top"/>
          </w:tcPr>
          <w:p w14:paraId="158479F9">
            <w:pPr>
              <w:rPr>
                <w:rFonts w:ascii="Arial"/>
                <w:color w:val="auto"/>
                <w:sz w:val="21"/>
              </w:rPr>
            </w:pPr>
          </w:p>
        </w:tc>
        <w:tc>
          <w:tcPr>
            <w:tcW w:w="1654" w:type="dxa"/>
            <w:vAlign w:val="top"/>
          </w:tcPr>
          <w:p w14:paraId="06E9DE49">
            <w:pPr>
              <w:rPr>
                <w:rFonts w:ascii="Arial"/>
                <w:color w:val="auto"/>
                <w:sz w:val="21"/>
              </w:rPr>
            </w:pPr>
          </w:p>
        </w:tc>
        <w:tc>
          <w:tcPr>
            <w:tcW w:w="995" w:type="dxa"/>
            <w:vAlign w:val="top"/>
          </w:tcPr>
          <w:p w14:paraId="70D0AB7D">
            <w:pPr>
              <w:rPr>
                <w:rFonts w:ascii="Arial"/>
                <w:color w:val="auto"/>
                <w:sz w:val="21"/>
              </w:rPr>
            </w:pPr>
          </w:p>
        </w:tc>
        <w:tc>
          <w:tcPr>
            <w:tcW w:w="822" w:type="dxa"/>
            <w:vAlign w:val="top"/>
          </w:tcPr>
          <w:p w14:paraId="4598730D">
            <w:pPr>
              <w:rPr>
                <w:rFonts w:ascii="Arial"/>
                <w:color w:val="auto"/>
                <w:sz w:val="21"/>
              </w:rPr>
            </w:pPr>
          </w:p>
        </w:tc>
      </w:tr>
      <w:tr w14:paraId="30DA9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43" w:type="dxa"/>
            <w:vAlign w:val="top"/>
          </w:tcPr>
          <w:p w14:paraId="35F0E993">
            <w:pPr>
              <w:rPr>
                <w:rFonts w:ascii="Arial"/>
                <w:color w:val="auto"/>
                <w:sz w:val="21"/>
              </w:rPr>
            </w:pPr>
          </w:p>
        </w:tc>
        <w:tc>
          <w:tcPr>
            <w:tcW w:w="1474" w:type="dxa"/>
            <w:vAlign w:val="top"/>
          </w:tcPr>
          <w:p w14:paraId="134E67DA">
            <w:pPr>
              <w:rPr>
                <w:rFonts w:ascii="Arial"/>
                <w:color w:val="auto"/>
                <w:sz w:val="21"/>
              </w:rPr>
            </w:pPr>
          </w:p>
        </w:tc>
        <w:tc>
          <w:tcPr>
            <w:tcW w:w="1055" w:type="dxa"/>
            <w:vAlign w:val="top"/>
          </w:tcPr>
          <w:p w14:paraId="11B31C22">
            <w:pPr>
              <w:rPr>
                <w:rFonts w:ascii="Arial"/>
                <w:color w:val="auto"/>
                <w:sz w:val="21"/>
              </w:rPr>
            </w:pPr>
          </w:p>
        </w:tc>
        <w:tc>
          <w:tcPr>
            <w:tcW w:w="635" w:type="dxa"/>
            <w:vAlign w:val="top"/>
          </w:tcPr>
          <w:p w14:paraId="45C022ED">
            <w:pPr>
              <w:rPr>
                <w:rFonts w:ascii="Arial"/>
                <w:color w:val="auto"/>
                <w:sz w:val="21"/>
              </w:rPr>
            </w:pPr>
          </w:p>
        </w:tc>
        <w:tc>
          <w:tcPr>
            <w:tcW w:w="1055" w:type="dxa"/>
            <w:vAlign w:val="top"/>
          </w:tcPr>
          <w:p w14:paraId="4C6BB334">
            <w:pPr>
              <w:rPr>
                <w:rFonts w:ascii="Arial"/>
                <w:color w:val="auto"/>
                <w:sz w:val="21"/>
              </w:rPr>
            </w:pPr>
          </w:p>
        </w:tc>
        <w:tc>
          <w:tcPr>
            <w:tcW w:w="1055" w:type="dxa"/>
            <w:vAlign w:val="top"/>
          </w:tcPr>
          <w:p w14:paraId="3634F36D">
            <w:pPr>
              <w:rPr>
                <w:rFonts w:ascii="Arial"/>
                <w:color w:val="auto"/>
                <w:sz w:val="21"/>
              </w:rPr>
            </w:pPr>
          </w:p>
        </w:tc>
        <w:tc>
          <w:tcPr>
            <w:tcW w:w="1654" w:type="dxa"/>
            <w:vAlign w:val="top"/>
          </w:tcPr>
          <w:p w14:paraId="41FE0492">
            <w:pPr>
              <w:rPr>
                <w:rFonts w:ascii="Arial"/>
                <w:color w:val="auto"/>
                <w:sz w:val="21"/>
              </w:rPr>
            </w:pPr>
          </w:p>
        </w:tc>
        <w:tc>
          <w:tcPr>
            <w:tcW w:w="995" w:type="dxa"/>
            <w:vAlign w:val="top"/>
          </w:tcPr>
          <w:p w14:paraId="7C0B70B9">
            <w:pPr>
              <w:rPr>
                <w:rFonts w:ascii="Arial"/>
                <w:color w:val="auto"/>
                <w:sz w:val="21"/>
              </w:rPr>
            </w:pPr>
          </w:p>
        </w:tc>
        <w:tc>
          <w:tcPr>
            <w:tcW w:w="822" w:type="dxa"/>
            <w:vAlign w:val="top"/>
          </w:tcPr>
          <w:p w14:paraId="4E9435BB">
            <w:pPr>
              <w:rPr>
                <w:rFonts w:ascii="Arial"/>
                <w:color w:val="auto"/>
                <w:sz w:val="21"/>
              </w:rPr>
            </w:pPr>
          </w:p>
        </w:tc>
      </w:tr>
      <w:tr w14:paraId="29BB5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3" w:type="dxa"/>
            <w:vAlign w:val="top"/>
          </w:tcPr>
          <w:p w14:paraId="16AAC819">
            <w:pPr>
              <w:rPr>
                <w:rFonts w:ascii="Arial"/>
                <w:color w:val="auto"/>
                <w:sz w:val="21"/>
              </w:rPr>
            </w:pPr>
          </w:p>
        </w:tc>
        <w:tc>
          <w:tcPr>
            <w:tcW w:w="1474" w:type="dxa"/>
            <w:vAlign w:val="top"/>
          </w:tcPr>
          <w:p w14:paraId="1D282DBB">
            <w:pPr>
              <w:rPr>
                <w:rFonts w:ascii="Arial"/>
                <w:color w:val="auto"/>
                <w:sz w:val="21"/>
              </w:rPr>
            </w:pPr>
          </w:p>
        </w:tc>
        <w:tc>
          <w:tcPr>
            <w:tcW w:w="1055" w:type="dxa"/>
            <w:vAlign w:val="top"/>
          </w:tcPr>
          <w:p w14:paraId="035D1C6D">
            <w:pPr>
              <w:rPr>
                <w:rFonts w:ascii="Arial"/>
                <w:color w:val="auto"/>
                <w:sz w:val="21"/>
              </w:rPr>
            </w:pPr>
          </w:p>
        </w:tc>
        <w:tc>
          <w:tcPr>
            <w:tcW w:w="635" w:type="dxa"/>
            <w:vAlign w:val="top"/>
          </w:tcPr>
          <w:p w14:paraId="559A10C1">
            <w:pPr>
              <w:rPr>
                <w:rFonts w:ascii="Arial"/>
                <w:color w:val="auto"/>
                <w:sz w:val="21"/>
              </w:rPr>
            </w:pPr>
          </w:p>
        </w:tc>
        <w:tc>
          <w:tcPr>
            <w:tcW w:w="1055" w:type="dxa"/>
            <w:vAlign w:val="top"/>
          </w:tcPr>
          <w:p w14:paraId="75B6A5A7">
            <w:pPr>
              <w:rPr>
                <w:rFonts w:ascii="Arial"/>
                <w:color w:val="auto"/>
                <w:sz w:val="21"/>
              </w:rPr>
            </w:pPr>
          </w:p>
        </w:tc>
        <w:tc>
          <w:tcPr>
            <w:tcW w:w="1055" w:type="dxa"/>
            <w:vAlign w:val="top"/>
          </w:tcPr>
          <w:p w14:paraId="2E5CE840">
            <w:pPr>
              <w:rPr>
                <w:rFonts w:ascii="Arial"/>
                <w:color w:val="auto"/>
                <w:sz w:val="21"/>
              </w:rPr>
            </w:pPr>
          </w:p>
        </w:tc>
        <w:tc>
          <w:tcPr>
            <w:tcW w:w="1654" w:type="dxa"/>
            <w:vAlign w:val="top"/>
          </w:tcPr>
          <w:p w14:paraId="1A35D64D">
            <w:pPr>
              <w:rPr>
                <w:rFonts w:ascii="Arial"/>
                <w:color w:val="auto"/>
                <w:sz w:val="21"/>
              </w:rPr>
            </w:pPr>
          </w:p>
        </w:tc>
        <w:tc>
          <w:tcPr>
            <w:tcW w:w="995" w:type="dxa"/>
            <w:vAlign w:val="top"/>
          </w:tcPr>
          <w:p w14:paraId="0DF6401E">
            <w:pPr>
              <w:rPr>
                <w:rFonts w:ascii="Arial"/>
                <w:color w:val="auto"/>
                <w:sz w:val="21"/>
              </w:rPr>
            </w:pPr>
          </w:p>
        </w:tc>
        <w:tc>
          <w:tcPr>
            <w:tcW w:w="822" w:type="dxa"/>
            <w:vAlign w:val="top"/>
          </w:tcPr>
          <w:p w14:paraId="359952B6">
            <w:pPr>
              <w:rPr>
                <w:rFonts w:ascii="Arial"/>
                <w:color w:val="auto"/>
                <w:sz w:val="21"/>
              </w:rPr>
            </w:pPr>
          </w:p>
        </w:tc>
      </w:tr>
      <w:tr w14:paraId="3BCFC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43" w:type="dxa"/>
            <w:vAlign w:val="top"/>
          </w:tcPr>
          <w:p w14:paraId="6ACEEEDD">
            <w:pPr>
              <w:rPr>
                <w:rFonts w:ascii="Arial"/>
                <w:color w:val="auto"/>
                <w:sz w:val="21"/>
              </w:rPr>
            </w:pPr>
          </w:p>
        </w:tc>
        <w:tc>
          <w:tcPr>
            <w:tcW w:w="1474" w:type="dxa"/>
            <w:vAlign w:val="top"/>
          </w:tcPr>
          <w:p w14:paraId="69602D2C">
            <w:pPr>
              <w:rPr>
                <w:rFonts w:ascii="Arial"/>
                <w:color w:val="auto"/>
                <w:sz w:val="21"/>
              </w:rPr>
            </w:pPr>
          </w:p>
        </w:tc>
        <w:tc>
          <w:tcPr>
            <w:tcW w:w="1055" w:type="dxa"/>
            <w:vAlign w:val="top"/>
          </w:tcPr>
          <w:p w14:paraId="4CF41F5E">
            <w:pPr>
              <w:rPr>
                <w:rFonts w:ascii="Arial"/>
                <w:color w:val="auto"/>
                <w:sz w:val="21"/>
              </w:rPr>
            </w:pPr>
          </w:p>
        </w:tc>
        <w:tc>
          <w:tcPr>
            <w:tcW w:w="635" w:type="dxa"/>
            <w:vAlign w:val="top"/>
          </w:tcPr>
          <w:p w14:paraId="52BCE8D8">
            <w:pPr>
              <w:rPr>
                <w:rFonts w:ascii="Arial"/>
                <w:color w:val="auto"/>
                <w:sz w:val="21"/>
              </w:rPr>
            </w:pPr>
          </w:p>
        </w:tc>
        <w:tc>
          <w:tcPr>
            <w:tcW w:w="1055" w:type="dxa"/>
            <w:vAlign w:val="top"/>
          </w:tcPr>
          <w:p w14:paraId="641E2CE5">
            <w:pPr>
              <w:rPr>
                <w:rFonts w:ascii="Arial"/>
                <w:color w:val="auto"/>
                <w:sz w:val="21"/>
              </w:rPr>
            </w:pPr>
          </w:p>
        </w:tc>
        <w:tc>
          <w:tcPr>
            <w:tcW w:w="1055" w:type="dxa"/>
            <w:vAlign w:val="top"/>
          </w:tcPr>
          <w:p w14:paraId="31976970">
            <w:pPr>
              <w:rPr>
                <w:rFonts w:ascii="Arial"/>
                <w:color w:val="auto"/>
                <w:sz w:val="21"/>
              </w:rPr>
            </w:pPr>
          </w:p>
        </w:tc>
        <w:tc>
          <w:tcPr>
            <w:tcW w:w="1654" w:type="dxa"/>
            <w:vAlign w:val="top"/>
          </w:tcPr>
          <w:p w14:paraId="1D6149C2">
            <w:pPr>
              <w:rPr>
                <w:rFonts w:ascii="Arial"/>
                <w:color w:val="auto"/>
                <w:sz w:val="21"/>
              </w:rPr>
            </w:pPr>
          </w:p>
        </w:tc>
        <w:tc>
          <w:tcPr>
            <w:tcW w:w="995" w:type="dxa"/>
            <w:vAlign w:val="top"/>
          </w:tcPr>
          <w:p w14:paraId="47490DA7">
            <w:pPr>
              <w:rPr>
                <w:rFonts w:ascii="Arial"/>
                <w:color w:val="auto"/>
                <w:sz w:val="21"/>
              </w:rPr>
            </w:pPr>
          </w:p>
        </w:tc>
        <w:tc>
          <w:tcPr>
            <w:tcW w:w="822" w:type="dxa"/>
            <w:vAlign w:val="top"/>
          </w:tcPr>
          <w:p w14:paraId="42922AF5">
            <w:pPr>
              <w:rPr>
                <w:rFonts w:ascii="Arial"/>
                <w:color w:val="auto"/>
                <w:sz w:val="21"/>
              </w:rPr>
            </w:pPr>
          </w:p>
        </w:tc>
      </w:tr>
      <w:tr w14:paraId="4212E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3" w:type="dxa"/>
            <w:vAlign w:val="top"/>
          </w:tcPr>
          <w:p w14:paraId="199A335A">
            <w:pPr>
              <w:rPr>
                <w:rFonts w:ascii="Arial"/>
                <w:color w:val="auto"/>
                <w:sz w:val="21"/>
              </w:rPr>
            </w:pPr>
          </w:p>
        </w:tc>
        <w:tc>
          <w:tcPr>
            <w:tcW w:w="1474" w:type="dxa"/>
            <w:vAlign w:val="top"/>
          </w:tcPr>
          <w:p w14:paraId="79B8EA67">
            <w:pPr>
              <w:rPr>
                <w:rFonts w:ascii="Arial"/>
                <w:color w:val="auto"/>
                <w:sz w:val="21"/>
              </w:rPr>
            </w:pPr>
          </w:p>
        </w:tc>
        <w:tc>
          <w:tcPr>
            <w:tcW w:w="1055" w:type="dxa"/>
            <w:vAlign w:val="top"/>
          </w:tcPr>
          <w:p w14:paraId="24B0C1B2">
            <w:pPr>
              <w:rPr>
                <w:rFonts w:ascii="Arial"/>
                <w:color w:val="auto"/>
                <w:sz w:val="21"/>
              </w:rPr>
            </w:pPr>
          </w:p>
        </w:tc>
        <w:tc>
          <w:tcPr>
            <w:tcW w:w="635" w:type="dxa"/>
            <w:vAlign w:val="top"/>
          </w:tcPr>
          <w:p w14:paraId="5856EDE8">
            <w:pPr>
              <w:rPr>
                <w:rFonts w:ascii="Arial"/>
                <w:color w:val="auto"/>
                <w:sz w:val="21"/>
              </w:rPr>
            </w:pPr>
          </w:p>
        </w:tc>
        <w:tc>
          <w:tcPr>
            <w:tcW w:w="1055" w:type="dxa"/>
            <w:vAlign w:val="top"/>
          </w:tcPr>
          <w:p w14:paraId="048001F0">
            <w:pPr>
              <w:rPr>
                <w:rFonts w:ascii="Arial"/>
                <w:color w:val="auto"/>
                <w:sz w:val="21"/>
              </w:rPr>
            </w:pPr>
          </w:p>
        </w:tc>
        <w:tc>
          <w:tcPr>
            <w:tcW w:w="1055" w:type="dxa"/>
            <w:vAlign w:val="top"/>
          </w:tcPr>
          <w:p w14:paraId="1118F8D5">
            <w:pPr>
              <w:rPr>
                <w:rFonts w:ascii="Arial"/>
                <w:color w:val="auto"/>
                <w:sz w:val="21"/>
              </w:rPr>
            </w:pPr>
          </w:p>
        </w:tc>
        <w:tc>
          <w:tcPr>
            <w:tcW w:w="1654" w:type="dxa"/>
            <w:vAlign w:val="top"/>
          </w:tcPr>
          <w:p w14:paraId="1E31864B">
            <w:pPr>
              <w:rPr>
                <w:rFonts w:ascii="Arial"/>
                <w:color w:val="auto"/>
                <w:sz w:val="21"/>
              </w:rPr>
            </w:pPr>
          </w:p>
        </w:tc>
        <w:tc>
          <w:tcPr>
            <w:tcW w:w="995" w:type="dxa"/>
            <w:vAlign w:val="top"/>
          </w:tcPr>
          <w:p w14:paraId="6E08EAFB">
            <w:pPr>
              <w:rPr>
                <w:rFonts w:ascii="Arial"/>
                <w:color w:val="auto"/>
                <w:sz w:val="21"/>
              </w:rPr>
            </w:pPr>
          </w:p>
        </w:tc>
        <w:tc>
          <w:tcPr>
            <w:tcW w:w="822" w:type="dxa"/>
            <w:vAlign w:val="top"/>
          </w:tcPr>
          <w:p w14:paraId="0B40A256">
            <w:pPr>
              <w:rPr>
                <w:rFonts w:ascii="Arial"/>
                <w:color w:val="auto"/>
                <w:sz w:val="21"/>
              </w:rPr>
            </w:pPr>
          </w:p>
        </w:tc>
      </w:tr>
      <w:tr w14:paraId="360D2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3" w:type="dxa"/>
            <w:vAlign w:val="top"/>
          </w:tcPr>
          <w:p w14:paraId="27A47A97">
            <w:pPr>
              <w:rPr>
                <w:rFonts w:ascii="Arial"/>
                <w:color w:val="auto"/>
                <w:sz w:val="21"/>
              </w:rPr>
            </w:pPr>
          </w:p>
        </w:tc>
        <w:tc>
          <w:tcPr>
            <w:tcW w:w="1474" w:type="dxa"/>
            <w:vAlign w:val="top"/>
          </w:tcPr>
          <w:p w14:paraId="1B4EA9AE">
            <w:pPr>
              <w:rPr>
                <w:rFonts w:ascii="Arial"/>
                <w:color w:val="auto"/>
                <w:sz w:val="21"/>
              </w:rPr>
            </w:pPr>
          </w:p>
        </w:tc>
        <w:tc>
          <w:tcPr>
            <w:tcW w:w="1055" w:type="dxa"/>
            <w:vAlign w:val="top"/>
          </w:tcPr>
          <w:p w14:paraId="41187528">
            <w:pPr>
              <w:rPr>
                <w:rFonts w:ascii="Arial"/>
                <w:color w:val="auto"/>
                <w:sz w:val="21"/>
              </w:rPr>
            </w:pPr>
          </w:p>
        </w:tc>
        <w:tc>
          <w:tcPr>
            <w:tcW w:w="635" w:type="dxa"/>
            <w:vAlign w:val="top"/>
          </w:tcPr>
          <w:p w14:paraId="3F5C8320">
            <w:pPr>
              <w:rPr>
                <w:rFonts w:ascii="Arial"/>
                <w:color w:val="auto"/>
                <w:sz w:val="21"/>
              </w:rPr>
            </w:pPr>
          </w:p>
        </w:tc>
        <w:tc>
          <w:tcPr>
            <w:tcW w:w="1055" w:type="dxa"/>
            <w:vAlign w:val="top"/>
          </w:tcPr>
          <w:p w14:paraId="5D812EBF">
            <w:pPr>
              <w:rPr>
                <w:rFonts w:ascii="Arial"/>
                <w:color w:val="auto"/>
                <w:sz w:val="21"/>
              </w:rPr>
            </w:pPr>
          </w:p>
        </w:tc>
        <w:tc>
          <w:tcPr>
            <w:tcW w:w="1055" w:type="dxa"/>
            <w:vAlign w:val="top"/>
          </w:tcPr>
          <w:p w14:paraId="425F7ABA">
            <w:pPr>
              <w:rPr>
                <w:rFonts w:ascii="Arial"/>
                <w:color w:val="auto"/>
                <w:sz w:val="21"/>
              </w:rPr>
            </w:pPr>
          </w:p>
        </w:tc>
        <w:tc>
          <w:tcPr>
            <w:tcW w:w="1654" w:type="dxa"/>
            <w:vAlign w:val="top"/>
          </w:tcPr>
          <w:p w14:paraId="344BD2D4">
            <w:pPr>
              <w:rPr>
                <w:rFonts w:ascii="Arial"/>
                <w:color w:val="auto"/>
                <w:sz w:val="21"/>
              </w:rPr>
            </w:pPr>
          </w:p>
        </w:tc>
        <w:tc>
          <w:tcPr>
            <w:tcW w:w="995" w:type="dxa"/>
            <w:vAlign w:val="top"/>
          </w:tcPr>
          <w:p w14:paraId="64097546">
            <w:pPr>
              <w:rPr>
                <w:rFonts w:ascii="Arial"/>
                <w:color w:val="auto"/>
                <w:sz w:val="21"/>
              </w:rPr>
            </w:pPr>
          </w:p>
        </w:tc>
        <w:tc>
          <w:tcPr>
            <w:tcW w:w="822" w:type="dxa"/>
            <w:vAlign w:val="top"/>
          </w:tcPr>
          <w:p w14:paraId="13AD070B">
            <w:pPr>
              <w:rPr>
                <w:rFonts w:ascii="Arial"/>
                <w:color w:val="auto"/>
                <w:sz w:val="21"/>
              </w:rPr>
            </w:pPr>
          </w:p>
        </w:tc>
      </w:tr>
      <w:tr w14:paraId="70B5C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3" w:type="dxa"/>
            <w:vAlign w:val="top"/>
          </w:tcPr>
          <w:p w14:paraId="03A5D9C8">
            <w:pPr>
              <w:rPr>
                <w:rFonts w:ascii="Arial"/>
                <w:color w:val="auto"/>
                <w:sz w:val="21"/>
              </w:rPr>
            </w:pPr>
          </w:p>
        </w:tc>
        <w:tc>
          <w:tcPr>
            <w:tcW w:w="1474" w:type="dxa"/>
            <w:vAlign w:val="top"/>
          </w:tcPr>
          <w:p w14:paraId="7005B2AD">
            <w:pPr>
              <w:rPr>
                <w:rFonts w:ascii="Arial"/>
                <w:color w:val="auto"/>
                <w:sz w:val="21"/>
              </w:rPr>
            </w:pPr>
          </w:p>
        </w:tc>
        <w:tc>
          <w:tcPr>
            <w:tcW w:w="1055" w:type="dxa"/>
            <w:vAlign w:val="top"/>
          </w:tcPr>
          <w:p w14:paraId="6D7C2FCA">
            <w:pPr>
              <w:rPr>
                <w:rFonts w:ascii="Arial"/>
                <w:color w:val="auto"/>
                <w:sz w:val="21"/>
              </w:rPr>
            </w:pPr>
          </w:p>
        </w:tc>
        <w:tc>
          <w:tcPr>
            <w:tcW w:w="635" w:type="dxa"/>
            <w:vAlign w:val="top"/>
          </w:tcPr>
          <w:p w14:paraId="19EDBBBB">
            <w:pPr>
              <w:rPr>
                <w:rFonts w:ascii="Arial"/>
                <w:color w:val="auto"/>
                <w:sz w:val="21"/>
              </w:rPr>
            </w:pPr>
          </w:p>
        </w:tc>
        <w:tc>
          <w:tcPr>
            <w:tcW w:w="1055" w:type="dxa"/>
            <w:vAlign w:val="top"/>
          </w:tcPr>
          <w:p w14:paraId="55060159">
            <w:pPr>
              <w:rPr>
                <w:rFonts w:ascii="Arial"/>
                <w:color w:val="auto"/>
                <w:sz w:val="21"/>
              </w:rPr>
            </w:pPr>
          </w:p>
        </w:tc>
        <w:tc>
          <w:tcPr>
            <w:tcW w:w="1055" w:type="dxa"/>
            <w:vAlign w:val="top"/>
          </w:tcPr>
          <w:p w14:paraId="62823179">
            <w:pPr>
              <w:rPr>
                <w:rFonts w:ascii="Arial"/>
                <w:color w:val="auto"/>
                <w:sz w:val="21"/>
              </w:rPr>
            </w:pPr>
          </w:p>
        </w:tc>
        <w:tc>
          <w:tcPr>
            <w:tcW w:w="1654" w:type="dxa"/>
            <w:vAlign w:val="top"/>
          </w:tcPr>
          <w:p w14:paraId="0682F6A6">
            <w:pPr>
              <w:rPr>
                <w:rFonts w:ascii="Arial"/>
                <w:color w:val="auto"/>
                <w:sz w:val="21"/>
              </w:rPr>
            </w:pPr>
          </w:p>
        </w:tc>
        <w:tc>
          <w:tcPr>
            <w:tcW w:w="995" w:type="dxa"/>
            <w:vAlign w:val="top"/>
          </w:tcPr>
          <w:p w14:paraId="1B30EC8D">
            <w:pPr>
              <w:rPr>
                <w:rFonts w:ascii="Arial"/>
                <w:color w:val="auto"/>
                <w:sz w:val="21"/>
              </w:rPr>
            </w:pPr>
          </w:p>
        </w:tc>
        <w:tc>
          <w:tcPr>
            <w:tcW w:w="822" w:type="dxa"/>
            <w:vAlign w:val="top"/>
          </w:tcPr>
          <w:p w14:paraId="02F2DA13">
            <w:pPr>
              <w:rPr>
                <w:rFonts w:ascii="Arial"/>
                <w:color w:val="auto"/>
                <w:sz w:val="21"/>
              </w:rPr>
            </w:pPr>
          </w:p>
        </w:tc>
      </w:tr>
      <w:tr w14:paraId="31A5F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43" w:type="dxa"/>
            <w:vAlign w:val="top"/>
          </w:tcPr>
          <w:p w14:paraId="528EF69F">
            <w:pPr>
              <w:rPr>
                <w:rFonts w:ascii="Arial"/>
                <w:color w:val="auto"/>
                <w:sz w:val="21"/>
              </w:rPr>
            </w:pPr>
          </w:p>
        </w:tc>
        <w:tc>
          <w:tcPr>
            <w:tcW w:w="1474" w:type="dxa"/>
            <w:vAlign w:val="top"/>
          </w:tcPr>
          <w:p w14:paraId="0AD00B26">
            <w:pPr>
              <w:rPr>
                <w:rFonts w:ascii="Arial"/>
                <w:color w:val="auto"/>
                <w:sz w:val="21"/>
              </w:rPr>
            </w:pPr>
          </w:p>
        </w:tc>
        <w:tc>
          <w:tcPr>
            <w:tcW w:w="1055" w:type="dxa"/>
            <w:vAlign w:val="top"/>
          </w:tcPr>
          <w:p w14:paraId="6E4FE26F">
            <w:pPr>
              <w:rPr>
                <w:rFonts w:ascii="Arial"/>
                <w:color w:val="auto"/>
                <w:sz w:val="21"/>
              </w:rPr>
            </w:pPr>
          </w:p>
        </w:tc>
        <w:tc>
          <w:tcPr>
            <w:tcW w:w="635" w:type="dxa"/>
            <w:vAlign w:val="top"/>
          </w:tcPr>
          <w:p w14:paraId="04570331">
            <w:pPr>
              <w:rPr>
                <w:rFonts w:ascii="Arial"/>
                <w:color w:val="auto"/>
                <w:sz w:val="21"/>
              </w:rPr>
            </w:pPr>
          </w:p>
        </w:tc>
        <w:tc>
          <w:tcPr>
            <w:tcW w:w="1055" w:type="dxa"/>
            <w:vAlign w:val="top"/>
          </w:tcPr>
          <w:p w14:paraId="33F50731">
            <w:pPr>
              <w:rPr>
                <w:rFonts w:ascii="Arial"/>
                <w:color w:val="auto"/>
                <w:sz w:val="21"/>
              </w:rPr>
            </w:pPr>
          </w:p>
        </w:tc>
        <w:tc>
          <w:tcPr>
            <w:tcW w:w="1055" w:type="dxa"/>
            <w:vAlign w:val="top"/>
          </w:tcPr>
          <w:p w14:paraId="2A97CE6F">
            <w:pPr>
              <w:rPr>
                <w:rFonts w:ascii="Arial"/>
                <w:color w:val="auto"/>
                <w:sz w:val="21"/>
              </w:rPr>
            </w:pPr>
          </w:p>
        </w:tc>
        <w:tc>
          <w:tcPr>
            <w:tcW w:w="1654" w:type="dxa"/>
            <w:vAlign w:val="top"/>
          </w:tcPr>
          <w:p w14:paraId="593C9B56">
            <w:pPr>
              <w:rPr>
                <w:rFonts w:ascii="Arial"/>
                <w:color w:val="auto"/>
                <w:sz w:val="21"/>
              </w:rPr>
            </w:pPr>
          </w:p>
        </w:tc>
        <w:tc>
          <w:tcPr>
            <w:tcW w:w="995" w:type="dxa"/>
            <w:vAlign w:val="top"/>
          </w:tcPr>
          <w:p w14:paraId="0ECA61CA">
            <w:pPr>
              <w:rPr>
                <w:rFonts w:ascii="Arial"/>
                <w:color w:val="auto"/>
                <w:sz w:val="21"/>
              </w:rPr>
            </w:pPr>
          </w:p>
        </w:tc>
        <w:tc>
          <w:tcPr>
            <w:tcW w:w="822" w:type="dxa"/>
            <w:vAlign w:val="top"/>
          </w:tcPr>
          <w:p w14:paraId="12F12465">
            <w:pPr>
              <w:rPr>
                <w:rFonts w:ascii="Arial"/>
                <w:color w:val="auto"/>
                <w:sz w:val="21"/>
              </w:rPr>
            </w:pPr>
          </w:p>
        </w:tc>
      </w:tr>
    </w:tbl>
    <w:p w14:paraId="77F5BC6E">
      <w:pPr>
        <w:pStyle w:val="2"/>
        <w:rPr>
          <w:color w:val="auto"/>
        </w:rPr>
      </w:pPr>
    </w:p>
    <w:p w14:paraId="7DBDB9F9">
      <w:pPr>
        <w:rPr>
          <w:color w:val="auto"/>
        </w:rPr>
        <w:sectPr>
          <w:footerReference r:id="rId30" w:type="default"/>
          <w:pgSz w:w="11906" w:h="16839"/>
          <w:pgMar w:top="1440" w:right="1080" w:bottom="1440" w:left="1080" w:header="0" w:footer="783" w:gutter="0"/>
          <w:pgNumType w:fmt="decimal"/>
          <w:cols w:space="720" w:num="1"/>
        </w:sectPr>
      </w:pPr>
    </w:p>
    <w:p w14:paraId="1718D42E">
      <w:pPr>
        <w:pStyle w:val="2"/>
        <w:spacing w:line="344" w:lineRule="auto"/>
        <w:rPr>
          <w:color w:val="auto"/>
        </w:rPr>
      </w:pPr>
    </w:p>
    <w:p w14:paraId="64E7275B">
      <w:pPr>
        <w:spacing w:before="91" w:line="220" w:lineRule="auto"/>
        <w:ind w:left="148"/>
        <w:outlineLvl w:val="2"/>
        <w:rPr>
          <w:rFonts w:ascii="宋体" w:hAnsi="宋体" w:eastAsia="宋体" w:cs="宋体"/>
          <w:color w:val="auto"/>
          <w:sz w:val="28"/>
          <w:szCs w:val="28"/>
        </w:rPr>
      </w:pPr>
      <w:bookmarkStart w:id="27" w:name="_Toc21255"/>
      <w:r>
        <w:rPr>
          <w:rFonts w:ascii="宋体" w:hAnsi="宋体" w:eastAsia="宋体" w:cs="宋体"/>
          <w:b/>
          <w:bCs/>
          <w:color w:val="auto"/>
          <w:spacing w:val="-6"/>
          <w:sz w:val="28"/>
          <w:szCs w:val="28"/>
        </w:rPr>
        <w:t>附表三：劳动力计划表</w:t>
      </w:r>
      <w:bookmarkEnd w:id="27"/>
    </w:p>
    <w:p w14:paraId="62B0B928">
      <w:pPr>
        <w:pStyle w:val="2"/>
        <w:spacing w:line="351" w:lineRule="auto"/>
        <w:rPr>
          <w:color w:val="auto"/>
        </w:rPr>
      </w:pPr>
    </w:p>
    <w:p w14:paraId="57C24CA4">
      <w:pPr>
        <w:pStyle w:val="2"/>
        <w:spacing w:line="351" w:lineRule="auto"/>
        <w:rPr>
          <w:color w:val="auto"/>
        </w:rPr>
      </w:pPr>
    </w:p>
    <w:p w14:paraId="0B0C13DE">
      <w:pPr>
        <w:spacing w:before="65" w:line="229" w:lineRule="auto"/>
        <w:ind w:left="8105"/>
        <w:rPr>
          <w:rFonts w:ascii="宋体" w:hAnsi="宋体" w:eastAsia="宋体" w:cs="宋体"/>
          <w:color w:val="auto"/>
          <w:sz w:val="20"/>
          <w:szCs w:val="20"/>
        </w:rPr>
      </w:pPr>
      <w:r>
        <w:rPr>
          <w:rFonts w:ascii="宋体" w:hAnsi="宋体" w:eastAsia="宋体" w:cs="宋体"/>
          <w:color w:val="auto"/>
          <w:spacing w:val="7"/>
          <w:sz w:val="20"/>
          <w:szCs w:val="20"/>
        </w:rPr>
        <w:t>单位：人</w:t>
      </w:r>
    </w:p>
    <w:p w14:paraId="18C87D25">
      <w:pPr>
        <w:spacing w:line="132" w:lineRule="auto"/>
        <w:rPr>
          <w:rFonts w:ascii="Arial"/>
          <w:color w:val="auto"/>
          <w:sz w:val="2"/>
        </w:rPr>
      </w:pPr>
    </w:p>
    <w:tbl>
      <w:tblPr>
        <w:tblStyle w:val="15"/>
        <w:tblW w:w="95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9"/>
        <w:gridCol w:w="1245"/>
        <w:gridCol w:w="1246"/>
        <w:gridCol w:w="1246"/>
        <w:gridCol w:w="1245"/>
        <w:gridCol w:w="1245"/>
        <w:gridCol w:w="1245"/>
        <w:gridCol w:w="1253"/>
      </w:tblGrid>
      <w:tr w14:paraId="0450F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849" w:type="dxa"/>
            <w:vAlign w:val="top"/>
          </w:tcPr>
          <w:p w14:paraId="66B85AC5">
            <w:pPr>
              <w:pStyle w:val="16"/>
              <w:spacing w:before="55" w:line="229" w:lineRule="auto"/>
              <w:ind w:left="116"/>
              <w:rPr>
                <w:color w:val="auto"/>
                <w:sz w:val="20"/>
                <w:szCs w:val="20"/>
              </w:rPr>
            </w:pPr>
            <w:r>
              <w:rPr>
                <w:color w:val="auto"/>
                <w:spacing w:val="3"/>
                <w:sz w:val="20"/>
                <w:szCs w:val="20"/>
              </w:rPr>
              <w:t>工种</w:t>
            </w:r>
          </w:p>
        </w:tc>
        <w:tc>
          <w:tcPr>
            <w:tcW w:w="8725" w:type="dxa"/>
            <w:gridSpan w:val="7"/>
            <w:vAlign w:val="top"/>
          </w:tcPr>
          <w:p w14:paraId="015FBF7E">
            <w:pPr>
              <w:pStyle w:val="16"/>
              <w:spacing w:before="55" w:line="228" w:lineRule="auto"/>
              <w:ind w:left="3104"/>
              <w:rPr>
                <w:color w:val="auto"/>
                <w:sz w:val="20"/>
                <w:szCs w:val="20"/>
              </w:rPr>
            </w:pPr>
            <w:r>
              <w:rPr>
                <w:color w:val="auto"/>
                <w:spacing w:val="9"/>
                <w:sz w:val="20"/>
                <w:szCs w:val="20"/>
              </w:rPr>
              <w:t>按工程施工阶段投入劳动力情况</w:t>
            </w:r>
          </w:p>
        </w:tc>
      </w:tr>
      <w:tr w14:paraId="19B91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49" w:type="dxa"/>
            <w:vAlign w:val="top"/>
          </w:tcPr>
          <w:p w14:paraId="6AE393C8">
            <w:pPr>
              <w:rPr>
                <w:rFonts w:ascii="Arial"/>
                <w:color w:val="auto"/>
                <w:sz w:val="21"/>
              </w:rPr>
            </w:pPr>
          </w:p>
        </w:tc>
        <w:tc>
          <w:tcPr>
            <w:tcW w:w="1245" w:type="dxa"/>
            <w:vAlign w:val="top"/>
          </w:tcPr>
          <w:p w14:paraId="1BD9F1DE">
            <w:pPr>
              <w:rPr>
                <w:rFonts w:ascii="Arial"/>
                <w:color w:val="auto"/>
                <w:sz w:val="21"/>
              </w:rPr>
            </w:pPr>
          </w:p>
        </w:tc>
        <w:tc>
          <w:tcPr>
            <w:tcW w:w="1246" w:type="dxa"/>
            <w:vAlign w:val="top"/>
          </w:tcPr>
          <w:p w14:paraId="5F68529B">
            <w:pPr>
              <w:rPr>
                <w:rFonts w:ascii="Arial"/>
                <w:color w:val="auto"/>
                <w:sz w:val="21"/>
              </w:rPr>
            </w:pPr>
          </w:p>
        </w:tc>
        <w:tc>
          <w:tcPr>
            <w:tcW w:w="1246" w:type="dxa"/>
            <w:vAlign w:val="top"/>
          </w:tcPr>
          <w:p w14:paraId="1D499906">
            <w:pPr>
              <w:rPr>
                <w:rFonts w:ascii="Arial"/>
                <w:color w:val="auto"/>
                <w:sz w:val="21"/>
              </w:rPr>
            </w:pPr>
          </w:p>
        </w:tc>
        <w:tc>
          <w:tcPr>
            <w:tcW w:w="1245" w:type="dxa"/>
            <w:vAlign w:val="top"/>
          </w:tcPr>
          <w:p w14:paraId="6371399D">
            <w:pPr>
              <w:rPr>
                <w:rFonts w:ascii="Arial"/>
                <w:color w:val="auto"/>
                <w:sz w:val="21"/>
              </w:rPr>
            </w:pPr>
          </w:p>
        </w:tc>
        <w:tc>
          <w:tcPr>
            <w:tcW w:w="1245" w:type="dxa"/>
            <w:vAlign w:val="top"/>
          </w:tcPr>
          <w:p w14:paraId="5BEDA9F9">
            <w:pPr>
              <w:rPr>
                <w:rFonts w:ascii="Arial"/>
                <w:color w:val="auto"/>
                <w:sz w:val="21"/>
              </w:rPr>
            </w:pPr>
          </w:p>
        </w:tc>
        <w:tc>
          <w:tcPr>
            <w:tcW w:w="1245" w:type="dxa"/>
            <w:vAlign w:val="top"/>
          </w:tcPr>
          <w:p w14:paraId="028E3789">
            <w:pPr>
              <w:rPr>
                <w:rFonts w:ascii="Arial"/>
                <w:color w:val="auto"/>
                <w:sz w:val="21"/>
              </w:rPr>
            </w:pPr>
          </w:p>
        </w:tc>
        <w:tc>
          <w:tcPr>
            <w:tcW w:w="1253" w:type="dxa"/>
            <w:vAlign w:val="top"/>
          </w:tcPr>
          <w:p w14:paraId="51101503">
            <w:pPr>
              <w:rPr>
                <w:rFonts w:ascii="Arial"/>
                <w:color w:val="auto"/>
                <w:sz w:val="21"/>
              </w:rPr>
            </w:pPr>
          </w:p>
        </w:tc>
      </w:tr>
      <w:tr w14:paraId="74E08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49" w:type="dxa"/>
            <w:vAlign w:val="top"/>
          </w:tcPr>
          <w:p w14:paraId="1F7B30F2">
            <w:pPr>
              <w:rPr>
                <w:rFonts w:ascii="Arial"/>
                <w:color w:val="auto"/>
                <w:sz w:val="21"/>
              </w:rPr>
            </w:pPr>
          </w:p>
        </w:tc>
        <w:tc>
          <w:tcPr>
            <w:tcW w:w="1245" w:type="dxa"/>
            <w:vAlign w:val="top"/>
          </w:tcPr>
          <w:p w14:paraId="611E93F7">
            <w:pPr>
              <w:rPr>
                <w:rFonts w:ascii="Arial"/>
                <w:color w:val="auto"/>
                <w:sz w:val="21"/>
              </w:rPr>
            </w:pPr>
          </w:p>
        </w:tc>
        <w:tc>
          <w:tcPr>
            <w:tcW w:w="1246" w:type="dxa"/>
            <w:vAlign w:val="top"/>
          </w:tcPr>
          <w:p w14:paraId="209AB669">
            <w:pPr>
              <w:rPr>
                <w:rFonts w:ascii="Arial"/>
                <w:color w:val="auto"/>
                <w:sz w:val="21"/>
              </w:rPr>
            </w:pPr>
          </w:p>
        </w:tc>
        <w:tc>
          <w:tcPr>
            <w:tcW w:w="1246" w:type="dxa"/>
            <w:vAlign w:val="top"/>
          </w:tcPr>
          <w:p w14:paraId="6F405C25">
            <w:pPr>
              <w:rPr>
                <w:rFonts w:ascii="Arial"/>
                <w:color w:val="auto"/>
                <w:sz w:val="21"/>
              </w:rPr>
            </w:pPr>
          </w:p>
        </w:tc>
        <w:tc>
          <w:tcPr>
            <w:tcW w:w="1245" w:type="dxa"/>
            <w:vAlign w:val="top"/>
          </w:tcPr>
          <w:p w14:paraId="0A7E0C56">
            <w:pPr>
              <w:rPr>
                <w:rFonts w:ascii="Arial"/>
                <w:color w:val="auto"/>
                <w:sz w:val="21"/>
              </w:rPr>
            </w:pPr>
          </w:p>
        </w:tc>
        <w:tc>
          <w:tcPr>
            <w:tcW w:w="1245" w:type="dxa"/>
            <w:vAlign w:val="top"/>
          </w:tcPr>
          <w:p w14:paraId="300FC834">
            <w:pPr>
              <w:rPr>
                <w:rFonts w:ascii="Arial"/>
                <w:color w:val="auto"/>
                <w:sz w:val="21"/>
              </w:rPr>
            </w:pPr>
          </w:p>
        </w:tc>
        <w:tc>
          <w:tcPr>
            <w:tcW w:w="1245" w:type="dxa"/>
            <w:vAlign w:val="top"/>
          </w:tcPr>
          <w:p w14:paraId="3B1D994C">
            <w:pPr>
              <w:rPr>
                <w:rFonts w:ascii="Arial"/>
                <w:color w:val="auto"/>
                <w:sz w:val="21"/>
              </w:rPr>
            </w:pPr>
          </w:p>
        </w:tc>
        <w:tc>
          <w:tcPr>
            <w:tcW w:w="1253" w:type="dxa"/>
            <w:vAlign w:val="top"/>
          </w:tcPr>
          <w:p w14:paraId="54E8F1C1">
            <w:pPr>
              <w:rPr>
                <w:rFonts w:ascii="Arial"/>
                <w:color w:val="auto"/>
                <w:sz w:val="21"/>
              </w:rPr>
            </w:pPr>
          </w:p>
        </w:tc>
      </w:tr>
      <w:tr w14:paraId="6FA61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849" w:type="dxa"/>
            <w:vAlign w:val="top"/>
          </w:tcPr>
          <w:p w14:paraId="3E756954">
            <w:pPr>
              <w:rPr>
                <w:rFonts w:ascii="Arial"/>
                <w:color w:val="auto"/>
                <w:sz w:val="21"/>
              </w:rPr>
            </w:pPr>
          </w:p>
        </w:tc>
        <w:tc>
          <w:tcPr>
            <w:tcW w:w="1245" w:type="dxa"/>
            <w:vAlign w:val="top"/>
          </w:tcPr>
          <w:p w14:paraId="0AB4CA4F">
            <w:pPr>
              <w:rPr>
                <w:rFonts w:ascii="Arial"/>
                <w:color w:val="auto"/>
                <w:sz w:val="21"/>
              </w:rPr>
            </w:pPr>
          </w:p>
        </w:tc>
        <w:tc>
          <w:tcPr>
            <w:tcW w:w="1246" w:type="dxa"/>
            <w:vAlign w:val="top"/>
          </w:tcPr>
          <w:p w14:paraId="30E65D08">
            <w:pPr>
              <w:rPr>
                <w:rFonts w:ascii="Arial"/>
                <w:color w:val="auto"/>
                <w:sz w:val="21"/>
              </w:rPr>
            </w:pPr>
          </w:p>
        </w:tc>
        <w:tc>
          <w:tcPr>
            <w:tcW w:w="1246" w:type="dxa"/>
            <w:vAlign w:val="top"/>
          </w:tcPr>
          <w:p w14:paraId="6F4C41AC">
            <w:pPr>
              <w:rPr>
                <w:rFonts w:ascii="Arial"/>
                <w:color w:val="auto"/>
                <w:sz w:val="21"/>
              </w:rPr>
            </w:pPr>
          </w:p>
        </w:tc>
        <w:tc>
          <w:tcPr>
            <w:tcW w:w="1245" w:type="dxa"/>
            <w:vAlign w:val="top"/>
          </w:tcPr>
          <w:p w14:paraId="4914700A">
            <w:pPr>
              <w:rPr>
                <w:rFonts w:ascii="Arial"/>
                <w:color w:val="auto"/>
                <w:sz w:val="21"/>
              </w:rPr>
            </w:pPr>
          </w:p>
        </w:tc>
        <w:tc>
          <w:tcPr>
            <w:tcW w:w="1245" w:type="dxa"/>
            <w:vAlign w:val="top"/>
          </w:tcPr>
          <w:p w14:paraId="05F5F88A">
            <w:pPr>
              <w:rPr>
                <w:rFonts w:ascii="Arial"/>
                <w:color w:val="auto"/>
                <w:sz w:val="21"/>
              </w:rPr>
            </w:pPr>
          </w:p>
        </w:tc>
        <w:tc>
          <w:tcPr>
            <w:tcW w:w="1245" w:type="dxa"/>
            <w:vAlign w:val="top"/>
          </w:tcPr>
          <w:p w14:paraId="12B303E7">
            <w:pPr>
              <w:rPr>
                <w:rFonts w:ascii="Arial"/>
                <w:color w:val="auto"/>
                <w:sz w:val="21"/>
              </w:rPr>
            </w:pPr>
          </w:p>
        </w:tc>
        <w:tc>
          <w:tcPr>
            <w:tcW w:w="1253" w:type="dxa"/>
            <w:vAlign w:val="top"/>
          </w:tcPr>
          <w:p w14:paraId="6BF2F15E">
            <w:pPr>
              <w:rPr>
                <w:rFonts w:ascii="Arial"/>
                <w:color w:val="auto"/>
                <w:sz w:val="21"/>
              </w:rPr>
            </w:pPr>
          </w:p>
        </w:tc>
      </w:tr>
      <w:tr w14:paraId="06A2B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849" w:type="dxa"/>
            <w:vAlign w:val="top"/>
          </w:tcPr>
          <w:p w14:paraId="358CB956">
            <w:pPr>
              <w:rPr>
                <w:rFonts w:ascii="Arial"/>
                <w:color w:val="auto"/>
                <w:sz w:val="21"/>
              </w:rPr>
            </w:pPr>
          </w:p>
        </w:tc>
        <w:tc>
          <w:tcPr>
            <w:tcW w:w="1245" w:type="dxa"/>
            <w:vAlign w:val="top"/>
          </w:tcPr>
          <w:p w14:paraId="42584F69">
            <w:pPr>
              <w:rPr>
                <w:rFonts w:ascii="Arial"/>
                <w:color w:val="auto"/>
                <w:sz w:val="21"/>
              </w:rPr>
            </w:pPr>
          </w:p>
        </w:tc>
        <w:tc>
          <w:tcPr>
            <w:tcW w:w="1246" w:type="dxa"/>
            <w:vAlign w:val="top"/>
          </w:tcPr>
          <w:p w14:paraId="2CFC08D9">
            <w:pPr>
              <w:rPr>
                <w:rFonts w:ascii="Arial"/>
                <w:color w:val="auto"/>
                <w:sz w:val="21"/>
              </w:rPr>
            </w:pPr>
          </w:p>
        </w:tc>
        <w:tc>
          <w:tcPr>
            <w:tcW w:w="1246" w:type="dxa"/>
            <w:vAlign w:val="top"/>
          </w:tcPr>
          <w:p w14:paraId="60B0F163">
            <w:pPr>
              <w:rPr>
                <w:rFonts w:ascii="Arial"/>
                <w:color w:val="auto"/>
                <w:sz w:val="21"/>
              </w:rPr>
            </w:pPr>
          </w:p>
        </w:tc>
        <w:tc>
          <w:tcPr>
            <w:tcW w:w="1245" w:type="dxa"/>
            <w:vAlign w:val="top"/>
          </w:tcPr>
          <w:p w14:paraId="2CE4E5F6">
            <w:pPr>
              <w:rPr>
                <w:rFonts w:ascii="Arial"/>
                <w:color w:val="auto"/>
                <w:sz w:val="21"/>
              </w:rPr>
            </w:pPr>
          </w:p>
        </w:tc>
        <w:tc>
          <w:tcPr>
            <w:tcW w:w="1245" w:type="dxa"/>
            <w:vAlign w:val="top"/>
          </w:tcPr>
          <w:p w14:paraId="5467FC76">
            <w:pPr>
              <w:rPr>
                <w:rFonts w:ascii="Arial"/>
                <w:color w:val="auto"/>
                <w:sz w:val="21"/>
              </w:rPr>
            </w:pPr>
          </w:p>
        </w:tc>
        <w:tc>
          <w:tcPr>
            <w:tcW w:w="1245" w:type="dxa"/>
            <w:vAlign w:val="top"/>
          </w:tcPr>
          <w:p w14:paraId="2FDDA8CE">
            <w:pPr>
              <w:rPr>
                <w:rFonts w:ascii="Arial"/>
                <w:color w:val="auto"/>
                <w:sz w:val="21"/>
              </w:rPr>
            </w:pPr>
          </w:p>
        </w:tc>
        <w:tc>
          <w:tcPr>
            <w:tcW w:w="1253" w:type="dxa"/>
            <w:vAlign w:val="top"/>
          </w:tcPr>
          <w:p w14:paraId="4FF1C954">
            <w:pPr>
              <w:rPr>
                <w:rFonts w:ascii="Arial"/>
                <w:color w:val="auto"/>
                <w:sz w:val="21"/>
              </w:rPr>
            </w:pPr>
          </w:p>
        </w:tc>
      </w:tr>
      <w:tr w14:paraId="4FBF6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49" w:type="dxa"/>
            <w:vAlign w:val="top"/>
          </w:tcPr>
          <w:p w14:paraId="0FBC3533">
            <w:pPr>
              <w:rPr>
                <w:rFonts w:ascii="Arial"/>
                <w:color w:val="auto"/>
                <w:sz w:val="21"/>
              </w:rPr>
            </w:pPr>
          </w:p>
        </w:tc>
        <w:tc>
          <w:tcPr>
            <w:tcW w:w="1245" w:type="dxa"/>
            <w:vAlign w:val="top"/>
          </w:tcPr>
          <w:p w14:paraId="530196CF">
            <w:pPr>
              <w:rPr>
                <w:rFonts w:ascii="Arial"/>
                <w:color w:val="auto"/>
                <w:sz w:val="21"/>
              </w:rPr>
            </w:pPr>
          </w:p>
        </w:tc>
        <w:tc>
          <w:tcPr>
            <w:tcW w:w="1246" w:type="dxa"/>
            <w:vAlign w:val="top"/>
          </w:tcPr>
          <w:p w14:paraId="251CB4DD">
            <w:pPr>
              <w:rPr>
                <w:rFonts w:ascii="Arial"/>
                <w:color w:val="auto"/>
                <w:sz w:val="21"/>
              </w:rPr>
            </w:pPr>
          </w:p>
        </w:tc>
        <w:tc>
          <w:tcPr>
            <w:tcW w:w="1246" w:type="dxa"/>
            <w:vAlign w:val="top"/>
          </w:tcPr>
          <w:p w14:paraId="16D5D7AF">
            <w:pPr>
              <w:rPr>
                <w:rFonts w:ascii="Arial"/>
                <w:color w:val="auto"/>
                <w:sz w:val="21"/>
              </w:rPr>
            </w:pPr>
          </w:p>
        </w:tc>
        <w:tc>
          <w:tcPr>
            <w:tcW w:w="1245" w:type="dxa"/>
            <w:vAlign w:val="top"/>
          </w:tcPr>
          <w:p w14:paraId="2D61BD98">
            <w:pPr>
              <w:rPr>
                <w:rFonts w:ascii="Arial"/>
                <w:color w:val="auto"/>
                <w:sz w:val="21"/>
              </w:rPr>
            </w:pPr>
          </w:p>
        </w:tc>
        <w:tc>
          <w:tcPr>
            <w:tcW w:w="1245" w:type="dxa"/>
            <w:vAlign w:val="top"/>
          </w:tcPr>
          <w:p w14:paraId="35943169">
            <w:pPr>
              <w:rPr>
                <w:rFonts w:ascii="Arial"/>
                <w:color w:val="auto"/>
                <w:sz w:val="21"/>
              </w:rPr>
            </w:pPr>
          </w:p>
        </w:tc>
        <w:tc>
          <w:tcPr>
            <w:tcW w:w="1245" w:type="dxa"/>
            <w:vAlign w:val="top"/>
          </w:tcPr>
          <w:p w14:paraId="1C2DF494">
            <w:pPr>
              <w:rPr>
                <w:rFonts w:ascii="Arial"/>
                <w:color w:val="auto"/>
                <w:sz w:val="21"/>
              </w:rPr>
            </w:pPr>
          </w:p>
        </w:tc>
        <w:tc>
          <w:tcPr>
            <w:tcW w:w="1253" w:type="dxa"/>
            <w:vAlign w:val="top"/>
          </w:tcPr>
          <w:p w14:paraId="3E1E33BE">
            <w:pPr>
              <w:rPr>
                <w:rFonts w:ascii="Arial"/>
                <w:color w:val="auto"/>
                <w:sz w:val="21"/>
              </w:rPr>
            </w:pPr>
          </w:p>
        </w:tc>
      </w:tr>
      <w:tr w14:paraId="5DE1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49" w:type="dxa"/>
            <w:vAlign w:val="top"/>
          </w:tcPr>
          <w:p w14:paraId="515EED90">
            <w:pPr>
              <w:rPr>
                <w:rFonts w:ascii="Arial"/>
                <w:color w:val="auto"/>
                <w:sz w:val="21"/>
              </w:rPr>
            </w:pPr>
          </w:p>
        </w:tc>
        <w:tc>
          <w:tcPr>
            <w:tcW w:w="1245" w:type="dxa"/>
            <w:vAlign w:val="top"/>
          </w:tcPr>
          <w:p w14:paraId="5F5D0115">
            <w:pPr>
              <w:rPr>
                <w:rFonts w:ascii="Arial"/>
                <w:color w:val="auto"/>
                <w:sz w:val="21"/>
              </w:rPr>
            </w:pPr>
          </w:p>
        </w:tc>
        <w:tc>
          <w:tcPr>
            <w:tcW w:w="1246" w:type="dxa"/>
            <w:vAlign w:val="top"/>
          </w:tcPr>
          <w:p w14:paraId="5DAFBAED">
            <w:pPr>
              <w:rPr>
                <w:rFonts w:ascii="Arial"/>
                <w:color w:val="auto"/>
                <w:sz w:val="21"/>
              </w:rPr>
            </w:pPr>
          </w:p>
        </w:tc>
        <w:tc>
          <w:tcPr>
            <w:tcW w:w="1246" w:type="dxa"/>
            <w:vAlign w:val="top"/>
          </w:tcPr>
          <w:p w14:paraId="08081196">
            <w:pPr>
              <w:rPr>
                <w:rFonts w:ascii="Arial"/>
                <w:color w:val="auto"/>
                <w:sz w:val="21"/>
              </w:rPr>
            </w:pPr>
          </w:p>
        </w:tc>
        <w:tc>
          <w:tcPr>
            <w:tcW w:w="1245" w:type="dxa"/>
            <w:vAlign w:val="top"/>
          </w:tcPr>
          <w:p w14:paraId="39B01439">
            <w:pPr>
              <w:rPr>
                <w:rFonts w:ascii="Arial"/>
                <w:color w:val="auto"/>
                <w:sz w:val="21"/>
              </w:rPr>
            </w:pPr>
          </w:p>
        </w:tc>
        <w:tc>
          <w:tcPr>
            <w:tcW w:w="1245" w:type="dxa"/>
            <w:vAlign w:val="top"/>
          </w:tcPr>
          <w:p w14:paraId="1848215C">
            <w:pPr>
              <w:rPr>
                <w:rFonts w:ascii="Arial"/>
                <w:color w:val="auto"/>
                <w:sz w:val="21"/>
              </w:rPr>
            </w:pPr>
          </w:p>
        </w:tc>
        <w:tc>
          <w:tcPr>
            <w:tcW w:w="1245" w:type="dxa"/>
            <w:vAlign w:val="top"/>
          </w:tcPr>
          <w:p w14:paraId="58220E7B">
            <w:pPr>
              <w:rPr>
                <w:rFonts w:ascii="Arial"/>
                <w:color w:val="auto"/>
                <w:sz w:val="21"/>
              </w:rPr>
            </w:pPr>
          </w:p>
        </w:tc>
        <w:tc>
          <w:tcPr>
            <w:tcW w:w="1253" w:type="dxa"/>
            <w:vAlign w:val="top"/>
          </w:tcPr>
          <w:p w14:paraId="042ABF7B">
            <w:pPr>
              <w:rPr>
                <w:rFonts w:ascii="Arial"/>
                <w:color w:val="auto"/>
                <w:sz w:val="21"/>
              </w:rPr>
            </w:pPr>
          </w:p>
        </w:tc>
      </w:tr>
      <w:tr w14:paraId="04D44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49" w:type="dxa"/>
            <w:vAlign w:val="top"/>
          </w:tcPr>
          <w:p w14:paraId="7DF99448">
            <w:pPr>
              <w:rPr>
                <w:rFonts w:ascii="Arial"/>
                <w:color w:val="auto"/>
                <w:sz w:val="21"/>
              </w:rPr>
            </w:pPr>
          </w:p>
        </w:tc>
        <w:tc>
          <w:tcPr>
            <w:tcW w:w="1245" w:type="dxa"/>
            <w:vAlign w:val="top"/>
          </w:tcPr>
          <w:p w14:paraId="5C198C60">
            <w:pPr>
              <w:rPr>
                <w:rFonts w:ascii="Arial"/>
                <w:color w:val="auto"/>
                <w:sz w:val="21"/>
              </w:rPr>
            </w:pPr>
          </w:p>
        </w:tc>
        <w:tc>
          <w:tcPr>
            <w:tcW w:w="1246" w:type="dxa"/>
            <w:vAlign w:val="top"/>
          </w:tcPr>
          <w:p w14:paraId="4B568F9A">
            <w:pPr>
              <w:rPr>
                <w:rFonts w:ascii="Arial"/>
                <w:color w:val="auto"/>
                <w:sz w:val="21"/>
              </w:rPr>
            </w:pPr>
          </w:p>
        </w:tc>
        <w:tc>
          <w:tcPr>
            <w:tcW w:w="1246" w:type="dxa"/>
            <w:vAlign w:val="top"/>
          </w:tcPr>
          <w:p w14:paraId="54F5521A">
            <w:pPr>
              <w:rPr>
                <w:rFonts w:ascii="Arial"/>
                <w:color w:val="auto"/>
                <w:sz w:val="21"/>
              </w:rPr>
            </w:pPr>
          </w:p>
        </w:tc>
        <w:tc>
          <w:tcPr>
            <w:tcW w:w="1245" w:type="dxa"/>
            <w:vAlign w:val="top"/>
          </w:tcPr>
          <w:p w14:paraId="2D135C5C">
            <w:pPr>
              <w:rPr>
                <w:rFonts w:ascii="Arial"/>
                <w:color w:val="auto"/>
                <w:sz w:val="21"/>
              </w:rPr>
            </w:pPr>
          </w:p>
        </w:tc>
        <w:tc>
          <w:tcPr>
            <w:tcW w:w="1245" w:type="dxa"/>
            <w:vAlign w:val="top"/>
          </w:tcPr>
          <w:p w14:paraId="4B4D9634">
            <w:pPr>
              <w:rPr>
                <w:rFonts w:ascii="Arial"/>
                <w:color w:val="auto"/>
                <w:sz w:val="21"/>
              </w:rPr>
            </w:pPr>
          </w:p>
        </w:tc>
        <w:tc>
          <w:tcPr>
            <w:tcW w:w="1245" w:type="dxa"/>
            <w:vAlign w:val="top"/>
          </w:tcPr>
          <w:p w14:paraId="54699F5E">
            <w:pPr>
              <w:rPr>
                <w:rFonts w:ascii="Arial"/>
                <w:color w:val="auto"/>
                <w:sz w:val="21"/>
              </w:rPr>
            </w:pPr>
          </w:p>
        </w:tc>
        <w:tc>
          <w:tcPr>
            <w:tcW w:w="1253" w:type="dxa"/>
            <w:vAlign w:val="top"/>
          </w:tcPr>
          <w:p w14:paraId="5D8C8507">
            <w:pPr>
              <w:rPr>
                <w:rFonts w:ascii="Arial"/>
                <w:color w:val="auto"/>
                <w:sz w:val="21"/>
              </w:rPr>
            </w:pPr>
          </w:p>
        </w:tc>
      </w:tr>
      <w:tr w14:paraId="6DFB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849" w:type="dxa"/>
            <w:vAlign w:val="top"/>
          </w:tcPr>
          <w:p w14:paraId="58B343F4">
            <w:pPr>
              <w:rPr>
                <w:rFonts w:ascii="Arial"/>
                <w:color w:val="auto"/>
                <w:sz w:val="21"/>
              </w:rPr>
            </w:pPr>
          </w:p>
        </w:tc>
        <w:tc>
          <w:tcPr>
            <w:tcW w:w="1245" w:type="dxa"/>
            <w:vAlign w:val="top"/>
          </w:tcPr>
          <w:p w14:paraId="6DD81C62">
            <w:pPr>
              <w:rPr>
                <w:rFonts w:ascii="Arial"/>
                <w:color w:val="auto"/>
                <w:sz w:val="21"/>
              </w:rPr>
            </w:pPr>
          </w:p>
        </w:tc>
        <w:tc>
          <w:tcPr>
            <w:tcW w:w="1246" w:type="dxa"/>
            <w:vAlign w:val="top"/>
          </w:tcPr>
          <w:p w14:paraId="545C4CB2">
            <w:pPr>
              <w:rPr>
                <w:rFonts w:ascii="Arial"/>
                <w:color w:val="auto"/>
                <w:sz w:val="21"/>
              </w:rPr>
            </w:pPr>
          </w:p>
        </w:tc>
        <w:tc>
          <w:tcPr>
            <w:tcW w:w="1246" w:type="dxa"/>
            <w:vAlign w:val="top"/>
          </w:tcPr>
          <w:p w14:paraId="16331353">
            <w:pPr>
              <w:rPr>
                <w:rFonts w:ascii="Arial"/>
                <w:color w:val="auto"/>
                <w:sz w:val="21"/>
              </w:rPr>
            </w:pPr>
          </w:p>
        </w:tc>
        <w:tc>
          <w:tcPr>
            <w:tcW w:w="1245" w:type="dxa"/>
            <w:vAlign w:val="top"/>
          </w:tcPr>
          <w:p w14:paraId="5A807BAA">
            <w:pPr>
              <w:rPr>
                <w:rFonts w:ascii="Arial"/>
                <w:color w:val="auto"/>
                <w:sz w:val="21"/>
              </w:rPr>
            </w:pPr>
          </w:p>
        </w:tc>
        <w:tc>
          <w:tcPr>
            <w:tcW w:w="1245" w:type="dxa"/>
            <w:vAlign w:val="top"/>
          </w:tcPr>
          <w:p w14:paraId="613EB5BB">
            <w:pPr>
              <w:rPr>
                <w:rFonts w:ascii="Arial"/>
                <w:color w:val="auto"/>
                <w:sz w:val="21"/>
              </w:rPr>
            </w:pPr>
          </w:p>
        </w:tc>
        <w:tc>
          <w:tcPr>
            <w:tcW w:w="1245" w:type="dxa"/>
            <w:vAlign w:val="top"/>
          </w:tcPr>
          <w:p w14:paraId="158B3A86">
            <w:pPr>
              <w:rPr>
                <w:rFonts w:ascii="Arial"/>
                <w:color w:val="auto"/>
                <w:sz w:val="21"/>
              </w:rPr>
            </w:pPr>
          </w:p>
        </w:tc>
        <w:tc>
          <w:tcPr>
            <w:tcW w:w="1253" w:type="dxa"/>
            <w:vAlign w:val="top"/>
          </w:tcPr>
          <w:p w14:paraId="38683508">
            <w:pPr>
              <w:rPr>
                <w:rFonts w:ascii="Arial"/>
                <w:color w:val="auto"/>
                <w:sz w:val="21"/>
              </w:rPr>
            </w:pPr>
          </w:p>
        </w:tc>
      </w:tr>
      <w:tr w14:paraId="7138F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849" w:type="dxa"/>
            <w:vAlign w:val="top"/>
          </w:tcPr>
          <w:p w14:paraId="742061AC">
            <w:pPr>
              <w:rPr>
                <w:rFonts w:ascii="Arial"/>
                <w:color w:val="auto"/>
                <w:sz w:val="21"/>
              </w:rPr>
            </w:pPr>
          </w:p>
        </w:tc>
        <w:tc>
          <w:tcPr>
            <w:tcW w:w="1245" w:type="dxa"/>
            <w:vAlign w:val="top"/>
          </w:tcPr>
          <w:p w14:paraId="325F904E">
            <w:pPr>
              <w:rPr>
                <w:rFonts w:ascii="Arial"/>
                <w:color w:val="auto"/>
                <w:sz w:val="21"/>
              </w:rPr>
            </w:pPr>
          </w:p>
        </w:tc>
        <w:tc>
          <w:tcPr>
            <w:tcW w:w="1246" w:type="dxa"/>
            <w:vAlign w:val="top"/>
          </w:tcPr>
          <w:p w14:paraId="2EC8D716">
            <w:pPr>
              <w:rPr>
                <w:rFonts w:ascii="Arial"/>
                <w:color w:val="auto"/>
                <w:sz w:val="21"/>
              </w:rPr>
            </w:pPr>
          </w:p>
        </w:tc>
        <w:tc>
          <w:tcPr>
            <w:tcW w:w="1246" w:type="dxa"/>
            <w:vAlign w:val="top"/>
          </w:tcPr>
          <w:p w14:paraId="0205D272">
            <w:pPr>
              <w:rPr>
                <w:rFonts w:ascii="Arial"/>
                <w:color w:val="auto"/>
                <w:sz w:val="21"/>
              </w:rPr>
            </w:pPr>
          </w:p>
        </w:tc>
        <w:tc>
          <w:tcPr>
            <w:tcW w:w="1245" w:type="dxa"/>
            <w:vAlign w:val="top"/>
          </w:tcPr>
          <w:p w14:paraId="2DFD1487">
            <w:pPr>
              <w:rPr>
                <w:rFonts w:ascii="Arial"/>
                <w:color w:val="auto"/>
                <w:sz w:val="21"/>
              </w:rPr>
            </w:pPr>
          </w:p>
        </w:tc>
        <w:tc>
          <w:tcPr>
            <w:tcW w:w="1245" w:type="dxa"/>
            <w:vAlign w:val="top"/>
          </w:tcPr>
          <w:p w14:paraId="64A85D1C">
            <w:pPr>
              <w:rPr>
                <w:rFonts w:ascii="Arial"/>
                <w:color w:val="auto"/>
                <w:sz w:val="21"/>
              </w:rPr>
            </w:pPr>
          </w:p>
        </w:tc>
        <w:tc>
          <w:tcPr>
            <w:tcW w:w="1245" w:type="dxa"/>
            <w:vAlign w:val="top"/>
          </w:tcPr>
          <w:p w14:paraId="10D3BC96">
            <w:pPr>
              <w:rPr>
                <w:rFonts w:ascii="Arial"/>
                <w:color w:val="auto"/>
                <w:sz w:val="21"/>
              </w:rPr>
            </w:pPr>
          </w:p>
        </w:tc>
        <w:tc>
          <w:tcPr>
            <w:tcW w:w="1253" w:type="dxa"/>
            <w:vAlign w:val="top"/>
          </w:tcPr>
          <w:p w14:paraId="29CA08CD">
            <w:pPr>
              <w:rPr>
                <w:rFonts w:ascii="Arial"/>
                <w:color w:val="auto"/>
                <w:sz w:val="21"/>
              </w:rPr>
            </w:pPr>
          </w:p>
        </w:tc>
      </w:tr>
      <w:tr w14:paraId="275C6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49" w:type="dxa"/>
            <w:vAlign w:val="top"/>
          </w:tcPr>
          <w:p w14:paraId="157FC0E9">
            <w:pPr>
              <w:rPr>
                <w:rFonts w:ascii="Arial"/>
                <w:color w:val="auto"/>
                <w:sz w:val="21"/>
              </w:rPr>
            </w:pPr>
          </w:p>
        </w:tc>
        <w:tc>
          <w:tcPr>
            <w:tcW w:w="1245" w:type="dxa"/>
            <w:vAlign w:val="top"/>
          </w:tcPr>
          <w:p w14:paraId="6B39293A">
            <w:pPr>
              <w:rPr>
                <w:rFonts w:ascii="Arial"/>
                <w:color w:val="auto"/>
                <w:sz w:val="21"/>
              </w:rPr>
            </w:pPr>
          </w:p>
        </w:tc>
        <w:tc>
          <w:tcPr>
            <w:tcW w:w="1246" w:type="dxa"/>
            <w:vAlign w:val="top"/>
          </w:tcPr>
          <w:p w14:paraId="2F4E8D8A">
            <w:pPr>
              <w:rPr>
                <w:rFonts w:ascii="Arial"/>
                <w:color w:val="auto"/>
                <w:sz w:val="21"/>
              </w:rPr>
            </w:pPr>
          </w:p>
        </w:tc>
        <w:tc>
          <w:tcPr>
            <w:tcW w:w="1246" w:type="dxa"/>
            <w:vAlign w:val="top"/>
          </w:tcPr>
          <w:p w14:paraId="355FE7BE">
            <w:pPr>
              <w:rPr>
                <w:rFonts w:ascii="Arial"/>
                <w:color w:val="auto"/>
                <w:sz w:val="21"/>
              </w:rPr>
            </w:pPr>
          </w:p>
        </w:tc>
        <w:tc>
          <w:tcPr>
            <w:tcW w:w="1245" w:type="dxa"/>
            <w:vAlign w:val="top"/>
          </w:tcPr>
          <w:p w14:paraId="6B7E2A21">
            <w:pPr>
              <w:rPr>
                <w:rFonts w:ascii="Arial"/>
                <w:color w:val="auto"/>
                <w:sz w:val="21"/>
              </w:rPr>
            </w:pPr>
          </w:p>
        </w:tc>
        <w:tc>
          <w:tcPr>
            <w:tcW w:w="1245" w:type="dxa"/>
            <w:vAlign w:val="top"/>
          </w:tcPr>
          <w:p w14:paraId="73906C84">
            <w:pPr>
              <w:rPr>
                <w:rFonts w:ascii="Arial"/>
                <w:color w:val="auto"/>
                <w:sz w:val="21"/>
              </w:rPr>
            </w:pPr>
          </w:p>
        </w:tc>
        <w:tc>
          <w:tcPr>
            <w:tcW w:w="1245" w:type="dxa"/>
            <w:vAlign w:val="top"/>
          </w:tcPr>
          <w:p w14:paraId="64C96AAE">
            <w:pPr>
              <w:rPr>
                <w:rFonts w:ascii="Arial"/>
                <w:color w:val="auto"/>
                <w:sz w:val="21"/>
              </w:rPr>
            </w:pPr>
          </w:p>
        </w:tc>
        <w:tc>
          <w:tcPr>
            <w:tcW w:w="1253" w:type="dxa"/>
            <w:vAlign w:val="top"/>
          </w:tcPr>
          <w:p w14:paraId="50F2EF63">
            <w:pPr>
              <w:rPr>
                <w:rFonts w:ascii="Arial"/>
                <w:color w:val="auto"/>
                <w:sz w:val="21"/>
              </w:rPr>
            </w:pPr>
          </w:p>
        </w:tc>
      </w:tr>
      <w:tr w14:paraId="4A70D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49" w:type="dxa"/>
            <w:vAlign w:val="top"/>
          </w:tcPr>
          <w:p w14:paraId="6EADAC03">
            <w:pPr>
              <w:rPr>
                <w:rFonts w:ascii="Arial"/>
                <w:color w:val="auto"/>
                <w:sz w:val="21"/>
              </w:rPr>
            </w:pPr>
          </w:p>
        </w:tc>
        <w:tc>
          <w:tcPr>
            <w:tcW w:w="1245" w:type="dxa"/>
            <w:vAlign w:val="top"/>
          </w:tcPr>
          <w:p w14:paraId="7E3866CD">
            <w:pPr>
              <w:rPr>
                <w:rFonts w:ascii="Arial"/>
                <w:color w:val="auto"/>
                <w:sz w:val="21"/>
              </w:rPr>
            </w:pPr>
          </w:p>
        </w:tc>
        <w:tc>
          <w:tcPr>
            <w:tcW w:w="1246" w:type="dxa"/>
            <w:vAlign w:val="top"/>
          </w:tcPr>
          <w:p w14:paraId="75974E56">
            <w:pPr>
              <w:rPr>
                <w:rFonts w:ascii="Arial"/>
                <w:color w:val="auto"/>
                <w:sz w:val="21"/>
              </w:rPr>
            </w:pPr>
          </w:p>
        </w:tc>
        <w:tc>
          <w:tcPr>
            <w:tcW w:w="1246" w:type="dxa"/>
            <w:vAlign w:val="top"/>
          </w:tcPr>
          <w:p w14:paraId="243BC438">
            <w:pPr>
              <w:rPr>
                <w:rFonts w:ascii="Arial"/>
                <w:color w:val="auto"/>
                <w:sz w:val="21"/>
              </w:rPr>
            </w:pPr>
          </w:p>
        </w:tc>
        <w:tc>
          <w:tcPr>
            <w:tcW w:w="1245" w:type="dxa"/>
            <w:vAlign w:val="top"/>
          </w:tcPr>
          <w:p w14:paraId="579E87B9">
            <w:pPr>
              <w:rPr>
                <w:rFonts w:ascii="Arial"/>
                <w:color w:val="auto"/>
                <w:sz w:val="21"/>
              </w:rPr>
            </w:pPr>
          </w:p>
        </w:tc>
        <w:tc>
          <w:tcPr>
            <w:tcW w:w="1245" w:type="dxa"/>
            <w:vAlign w:val="top"/>
          </w:tcPr>
          <w:p w14:paraId="3212C323">
            <w:pPr>
              <w:rPr>
                <w:rFonts w:ascii="Arial"/>
                <w:color w:val="auto"/>
                <w:sz w:val="21"/>
              </w:rPr>
            </w:pPr>
          </w:p>
        </w:tc>
        <w:tc>
          <w:tcPr>
            <w:tcW w:w="1245" w:type="dxa"/>
            <w:vAlign w:val="top"/>
          </w:tcPr>
          <w:p w14:paraId="5D57A0BF">
            <w:pPr>
              <w:rPr>
                <w:rFonts w:ascii="Arial"/>
                <w:color w:val="auto"/>
                <w:sz w:val="21"/>
              </w:rPr>
            </w:pPr>
          </w:p>
        </w:tc>
        <w:tc>
          <w:tcPr>
            <w:tcW w:w="1253" w:type="dxa"/>
            <w:vAlign w:val="top"/>
          </w:tcPr>
          <w:p w14:paraId="2E4C36A7">
            <w:pPr>
              <w:rPr>
                <w:rFonts w:ascii="Arial"/>
                <w:color w:val="auto"/>
                <w:sz w:val="21"/>
              </w:rPr>
            </w:pPr>
          </w:p>
        </w:tc>
      </w:tr>
      <w:tr w14:paraId="1F4B5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849" w:type="dxa"/>
            <w:vAlign w:val="top"/>
          </w:tcPr>
          <w:p w14:paraId="1E599068">
            <w:pPr>
              <w:rPr>
                <w:rFonts w:ascii="Arial"/>
                <w:color w:val="auto"/>
                <w:sz w:val="21"/>
              </w:rPr>
            </w:pPr>
          </w:p>
        </w:tc>
        <w:tc>
          <w:tcPr>
            <w:tcW w:w="1245" w:type="dxa"/>
            <w:vAlign w:val="top"/>
          </w:tcPr>
          <w:p w14:paraId="189E49F0">
            <w:pPr>
              <w:rPr>
                <w:rFonts w:ascii="Arial"/>
                <w:color w:val="auto"/>
                <w:sz w:val="21"/>
              </w:rPr>
            </w:pPr>
          </w:p>
        </w:tc>
        <w:tc>
          <w:tcPr>
            <w:tcW w:w="1246" w:type="dxa"/>
            <w:vAlign w:val="top"/>
          </w:tcPr>
          <w:p w14:paraId="5BF09160">
            <w:pPr>
              <w:rPr>
                <w:rFonts w:ascii="Arial"/>
                <w:color w:val="auto"/>
                <w:sz w:val="21"/>
              </w:rPr>
            </w:pPr>
          </w:p>
        </w:tc>
        <w:tc>
          <w:tcPr>
            <w:tcW w:w="1246" w:type="dxa"/>
            <w:vAlign w:val="top"/>
          </w:tcPr>
          <w:p w14:paraId="79447A16">
            <w:pPr>
              <w:rPr>
                <w:rFonts w:ascii="Arial"/>
                <w:color w:val="auto"/>
                <w:sz w:val="21"/>
              </w:rPr>
            </w:pPr>
          </w:p>
        </w:tc>
        <w:tc>
          <w:tcPr>
            <w:tcW w:w="1245" w:type="dxa"/>
            <w:vAlign w:val="top"/>
          </w:tcPr>
          <w:p w14:paraId="7AA081AD">
            <w:pPr>
              <w:rPr>
                <w:rFonts w:ascii="Arial"/>
                <w:color w:val="auto"/>
                <w:sz w:val="21"/>
              </w:rPr>
            </w:pPr>
          </w:p>
        </w:tc>
        <w:tc>
          <w:tcPr>
            <w:tcW w:w="1245" w:type="dxa"/>
            <w:vAlign w:val="top"/>
          </w:tcPr>
          <w:p w14:paraId="463A3DA8">
            <w:pPr>
              <w:rPr>
                <w:rFonts w:ascii="Arial"/>
                <w:color w:val="auto"/>
                <w:sz w:val="21"/>
              </w:rPr>
            </w:pPr>
          </w:p>
        </w:tc>
        <w:tc>
          <w:tcPr>
            <w:tcW w:w="1245" w:type="dxa"/>
            <w:vAlign w:val="top"/>
          </w:tcPr>
          <w:p w14:paraId="71F7F9C4">
            <w:pPr>
              <w:rPr>
                <w:rFonts w:ascii="Arial"/>
                <w:color w:val="auto"/>
                <w:sz w:val="21"/>
              </w:rPr>
            </w:pPr>
          </w:p>
        </w:tc>
        <w:tc>
          <w:tcPr>
            <w:tcW w:w="1253" w:type="dxa"/>
            <w:vAlign w:val="top"/>
          </w:tcPr>
          <w:p w14:paraId="0D1A125A">
            <w:pPr>
              <w:rPr>
                <w:rFonts w:ascii="Arial"/>
                <w:color w:val="auto"/>
                <w:sz w:val="21"/>
              </w:rPr>
            </w:pPr>
          </w:p>
        </w:tc>
      </w:tr>
      <w:tr w14:paraId="555F3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49" w:type="dxa"/>
            <w:vAlign w:val="top"/>
          </w:tcPr>
          <w:p w14:paraId="67BEECCA">
            <w:pPr>
              <w:rPr>
                <w:rFonts w:ascii="Arial"/>
                <w:color w:val="auto"/>
                <w:sz w:val="21"/>
              </w:rPr>
            </w:pPr>
          </w:p>
        </w:tc>
        <w:tc>
          <w:tcPr>
            <w:tcW w:w="1245" w:type="dxa"/>
            <w:vAlign w:val="top"/>
          </w:tcPr>
          <w:p w14:paraId="7D5966D5">
            <w:pPr>
              <w:rPr>
                <w:rFonts w:ascii="Arial"/>
                <w:color w:val="auto"/>
                <w:sz w:val="21"/>
              </w:rPr>
            </w:pPr>
          </w:p>
        </w:tc>
        <w:tc>
          <w:tcPr>
            <w:tcW w:w="1246" w:type="dxa"/>
            <w:vAlign w:val="top"/>
          </w:tcPr>
          <w:p w14:paraId="3A2E0A6C">
            <w:pPr>
              <w:rPr>
                <w:rFonts w:ascii="Arial"/>
                <w:color w:val="auto"/>
                <w:sz w:val="21"/>
              </w:rPr>
            </w:pPr>
          </w:p>
        </w:tc>
        <w:tc>
          <w:tcPr>
            <w:tcW w:w="1246" w:type="dxa"/>
            <w:vAlign w:val="top"/>
          </w:tcPr>
          <w:p w14:paraId="132FC678">
            <w:pPr>
              <w:rPr>
                <w:rFonts w:ascii="Arial"/>
                <w:color w:val="auto"/>
                <w:sz w:val="21"/>
              </w:rPr>
            </w:pPr>
          </w:p>
        </w:tc>
        <w:tc>
          <w:tcPr>
            <w:tcW w:w="1245" w:type="dxa"/>
            <w:vAlign w:val="top"/>
          </w:tcPr>
          <w:p w14:paraId="33E26E05">
            <w:pPr>
              <w:rPr>
                <w:rFonts w:ascii="Arial"/>
                <w:color w:val="auto"/>
                <w:sz w:val="21"/>
              </w:rPr>
            </w:pPr>
          </w:p>
        </w:tc>
        <w:tc>
          <w:tcPr>
            <w:tcW w:w="1245" w:type="dxa"/>
            <w:vAlign w:val="top"/>
          </w:tcPr>
          <w:p w14:paraId="3670386F">
            <w:pPr>
              <w:rPr>
                <w:rFonts w:ascii="Arial"/>
                <w:color w:val="auto"/>
                <w:sz w:val="21"/>
              </w:rPr>
            </w:pPr>
          </w:p>
        </w:tc>
        <w:tc>
          <w:tcPr>
            <w:tcW w:w="1245" w:type="dxa"/>
            <w:vAlign w:val="top"/>
          </w:tcPr>
          <w:p w14:paraId="1FE97FA1">
            <w:pPr>
              <w:rPr>
                <w:rFonts w:ascii="Arial"/>
                <w:color w:val="auto"/>
                <w:sz w:val="21"/>
              </w:rPr>
            </w:pPr>
          </w:p>
        </w:tc>
        <w:tc>
          <w:tcPr>
            <w:tcW w:w="1253" w:type="dxa"/>
            <w:vAlign w:val="top"/>
          </w:tcPr>
          <w:p w14:paraId="4A492C9D">
            <w:pPr>
              <w:rPr>
                <w:rFonts w:ascii="Arial"/>
                <w:color w:val="auto"/>
                <w:sz w:val="21"/>
              </w:rPr>
            </w:pPr>
          </w:p>
        </w:tc>
      </w:tr>
      <w:tr w14:paraId="6C62D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849" w:type="dxa"/>
            <w:vAlign w:val="top"/>
          </w:tcPr>
          <w:p w14:paraId="375A699B">
            <w:pPr>
              <w:rPr>
                <w:rFonts w:ascii="Arial"/>
                <w:color w:val="auto"/>
                <w:sz w:val="21"/>
              </w:rPr>
            </w:pPr>
          </w:p>
        </w:tc>
        <w:tc>
          <w:tcPr>
            <w:tcW w:w="1245" w:type="dxa"/>
            <w:vAlign w:val="top"/>
          </w:tcPr>
          <w:p w14:paraId="1DA26635">
            <w:pPr>
              <w:rPr>
                <w:rFonts w:ascii="Arial"/>
                <w:color w:val="auto"/>
                <w:sz w:val="21"/>
              </w:rPr>
            </w:pPr>
          </w:p>
        </w:tc>
        <w:tc>
          <w:tcPr>
            <w:tcW w:w="1246" w:type="dxa"/>
            <w:vAlign w:val="top"/>
          </w:tcPr>
          <w:p w14:paraId="3A4C3D12">
            <w:pPr>
              <w:rPr>
                <w:rFonts w:ascii="Arial"/>
                <w:color w:val="auto"/>
                <w:sz w:val="21"/>
              </w:rPr>
            </w:pPr>
          </w:p>
        </w:tc>
        <w:tc>
          <w:tcPr>
            <w:tcW w:w="1246" w:type="dxa"/>
            <w:vAlign w:val="top"/>
          </w:tcPr>
          <w:p w14:paraId="23F623C7">
            <w:pPr>
              <w:rPr>
                <w:rFonts w:ascii="Arial"/>
                <w:color w:val="auto"/>
                <w:sz w:val="21"/>
              </w:rPr>
            </w:pPr>
          </w:p>
        </w:tc>
        <w:tc>
          <w:tcPr>
            <w:tcW w:w="1245" w:type="dxa"/>
            <w:vAlign w:val="top"/>
          </w:tcPr>
          <w:p w14:paraId="29D22EC6">
            <w:pPr>
              <w:rPr>
                <w:rFonts w:ascii="Arial"/>
                <w:color w:val="auto"/>
                <w:sz w:val="21"/>
              </w:rPr>
            </w:pPr>
          </w:p>
        </w:tc>
        <w:tc>
          <w:tcPr>
            <w:tcW w:w="1245" w:type="dxa"/>
            <w:vAlign w:val="top"/>
          </w:tcPr>
          <w:p w14:paraId="6590C465">
            <w:pPr>
              <w:rPr>
                <w:rFonts w:ascii="Arial"/>
                <w:color w:val="auto"/>
                <w:sz w:val="21"/>
              </w:rPr>
            </w:pPr>
          </w:p>
        </w:tc>
        <w:tc>
          <w:tcPr>
            <w:tcW w:w="1245" w:type="dxa"/>
            <w:vAlign w:val="top"/>
          </w:tcPr>
          <w:p w14:paraId="4C3F32B4">
            <w:pPr>
              <w:rPr>
                <w:rFonts w:ascii="Arial"/>
                <w:color w:val="auto"/>
                <w:sz w:val="21"/>
              </w:rPr>
            </w:pPr>
          </w:p>
        </w:tc>
        <w:tc>
          <w:tcPr>
            <w:tcW w:w="1253" w:type="dxa"/>
            <w:vAlign w:val="top"/>
          </w:tcPr>
          <w:p w14:paraId="3207026A">
            <w:pPr>
              <w:rPr>
                <w:rFonts w:ascii="Arial"/>
                <w:color w:val="auto"/>
                <w:sz w:val="21"/>
              </w:rPr>
            </w:pPr>
          </w:p>
        </w:tc>
      </w:tr>
      <w:tr w14:paraId="1B5BA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849" w:type="dxa"/>
            <w:vAlign w:val="top"/>
          </w:tcPr>
          <w:p w14:paraId="6B6CC9D1">
            <w:pPr>
              <w:rPr>
                <w:rFonts w:ascii="Arial"/>
                <w:color w:val="auto"/>
                <w:sz w:val="21"/>
              </w:rPr>
            </w:pPr>
          </w:p>
        </w:tc>
        <w:tc>
          <w:tcPr>
            <w:tcW w:w="1245" w:type="dxa"/>
            <w:vAlign w:val="top"/>
          </w:tcPr>
          <w:p w14:paraId="60B13526">
            <w:pPr>
              <w:rPr>
                <w:rFonts w:ascii="Arial"/>
                <w:color w:val="auto"/>
                <w:sz w:val="21"/>
              </w:rPr>
            </w:pPr>
          </w:p>
        </w:tc>
        <w:tc>
          <w:tcPr>
            <w:tcW w:w="1246" w:type="dxa"/>
            <w:vAlign w:val="top"/>
          </w:tcPr>
          <w:p w14:paraId="4757CCD1">
            <w:pPr>
              <w:rPr>
                <w:rFonts w:ascii="Arial"/>
                <w:color w:val="auto"/>
                <w:sz w:val="21"/>
              </w:rPr>
            </w:pPr>
          </w:p>
        </w:tc>
        <w:tc>
          <w:tcPr>
            <w:tcW w:w="1246" w:type="dxa"/>
            <w:vAlign w:val="top"/>
          </w:tcPr>
          <w:p w14:paraId="59C625C2">
            <w:pPr>
              <w:rPr>
                <w:rFonts w:ascii="Arial"/>
                <w:color w:val="auto"/>
                <w:sz w:val="21"/>
              </w:rPr>
            </w:pPr>
          </w:p>
        </w:tc>
        <w:tc>
          <w:tcPr>
            <w:tcW w:w="1245" w:type="dxa"/>
            <w:vAlign w:val="top"/>
          </w:tcPr>
          <w:p w14:paraId="78B94459">
            <w:pPr>
              <w:rPr>
                <w:rFonts w:ascii="Arial"/>
                <w:color w:val="auto"/>
                <w:sz w:val="21"/>
              </w:rPr>
            </w:pPr>
          </w:p>
        </w:tc>
        <w:tc>
          <w:tcPr>
            <w:tcW w:w="1245" w:type="dxa"/>
            <w:vAlign w:val="top"/>
          </w:tcPr>
          <w:p w14:paraId="78D8C8FA">
            <w:pPr>
              <w:rPr>
                <w:rFonts w:ascii="Arial"/>
                <w:color w:val="auto"/>
                <w:sz w:val="21"/>
              </w:rPr>
            </w:pPr>
          </w:p>
        </w:tc>
        <w:tc>
          <w:tcPr>
            <w:tcW w:w="1245" w:type="dxa"/>
            <w:vAlign w:val="top"/>
          </w:tcPr>
          <w:p w14:paraId="087CD5E7">
            <w:pPr>
              <w:rPr>
                <w:rFonts w:ascii="Arial"/>
                <w:color w:val="auto"/>
                <w:sz w:val="21"/>
              </w:rPr>
            </w:pPr>
          </w:p>
        </w:tc>
        <w:tc>
          <w:tcPr>
            <w:tcW w:w="1253" w:type="dxa"/>
            <w:vAlign w:val="top"/>
          </w:tcPr>
          <w:p w14:paraId="702DFF06">
            <w:pPr>
              <w:rPr>
                <w:rFonts w:ascii="Arial"/>
                <w:color w:val="auto"/>
                <w:sz w:val="21"/>
              </w:rPr>
            </w:pPr>
          </w:p>
        </w:tc>
      </w:tr>
      <w:tr w14:paraId="41965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849" w:type="dxa"/>
            <w:vAlign w:val="top"/>
          </w:tcPr>
          <w:p w14:paraId="263E7ACA">
            <w:pPr>
              <w:rPr>
                <w:rFonts w:ascii="Arial"/>
                <w:color w:val="auto"/>
                <w:sz w:val="21"/>
              </w:rPr>
            </w:pPr>
          </w:p>
        </w:tc>
        <w:tc>
          <w:tcPr>
            <w:tcW w:w="1245" w:type="dxa"/>
            <w:vAlign w:val="top"/>
          </w:tcPr>
          <w:p w14:paraId="19517A28">
            <w:pPr>
              <w:rPr>
                <w:rFonts w:ascii="Arial"/>
                <w:color w:val="auto"/>
                <w:sz w:val="21"/>
              </w:rPr>
            </w:pPr>
          </w:p>
        </w:tc>
        <w:tc>
          <w:tcPr>
            <w:tcW w:w="1246" w:type="dxa"/>
            <w:vAlign w:val="top"/>
          </w:tcPr>
          <w:p w14:paraId="4994A692">
            <w:pPr>
              <w:rPr>
                <w:rFonts w:ascii="Arial"/>
                <w:color w:val="auto"/>
                <w:sz w:val="21"/>
              </w:rPr>
            </w:pPr>
          </w:p>
        </w:tc>
        <w:tc>
          <w:tcPr>
            <w:tcW w:w="1246" w:type="dxa"/>
            <w:vAlign w:val="top"/>
          </w:tcPr>
          <w:p w14:paraId="551456E7">
            <w:pPr>
              <w:rPr>
                <w:rFonts w:ascii="Arial"/>
                <w:color w:val="auto"/>
                <w:sz w:val="21"/>
              </w:rPr>
            </w:pPr>
          </w:p>
        </w:tc>
        <w:tc>
          <w:tcPr>
            <w:tcW w:w="1245" w:type="dxa"/>
            <w:vAlign w:val="top"/>
          </w:tcPr>
          <w:p w14:paraId="63944512">
            <w:pPr>
              <w:rPr>
                <w:rFonts w:ascii="Arial"/>
                <w:color w:val="auto"/>
                <w:sz w:val="21"/>
              </w:rPr>
            </w:pPr>
          </w:p>
        </w:tc>
        <w:tc>
          <w:tcPr>
            <w:tcW w:w="1245" w:type="dxa"/>
            <w:vAlign w:val="top"/>
          </w:tcPr>
          <w:p w14:paraId="1D8F8B82">
            <w:pPr>
              <w:rPr>
                <w:rFonts w:ascii="Arial"/>
                <w:color w:val="auto"/>
                <w:sz w:val="21"/>
              </w:rPr>
            </w:pPr>
          </w:p>
        </w:tc>
        <w:tc>
          <w:tcPr>
            <w:tcW w:w="1245" w:type="dxa"/>
            <w:vAlign w:val="top"/>
          </w:tcPr>
          <w:p w14:paraId="392FB924">
            <w:pPr>
              <w:rPr>
                <w:rFonts w:ascii="Arial"/>
                <w:color w:val="auto"/>
                <w:sz w:val="21"/>
              </w:rPr>
            </w:pPr>
          </w:p>
        </w:tc>
        <w:tc>
          <w:tcPr>
            <w:tcW w:w="1253" w:type="dxa"/>
            <w:vAlign w:val="top"/>
          </w:tcPr>
          <w:p w14:paraId="08CFD912">
            <w:pPr>
              <w:rPr>
                <w:rFonts w:ascii="Arial"/>
                <w:color w:val="auto"/>
                <w:sz w:val="21"/>
              </w:rPr>
            </w:pPr>
          </w:p>
        </w:tc>
      </w:tr>
      <w:tr w14:paraId="494B3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49" w:type="dxa"/>
            <w:vAlign w:val="top"/>
          </w:tcPr>
          <w:p w14:paraId="27EC6AF7">
            <w:pPr>
              <w:rPr>
                <w:rFonts w:ascii="Arial"/>
                <w:color w:val="auto"/>
                <w:sz w:val="21"/>
              </w:rPr>
            </w:pPr>
          </w:p>
        </w:tc>
        <w:tc>
          <w:tcPr>
            <w:tcW w:w="1245" w:type="dxa"/>
            <w:vAlign w:val="top"/>
          </w:tcPr>
          <w:p w14:paraId="0C0A8C34">
            <w:pPr>
              <w:rPr>
                <w:rFonts w:ascii="Arial"/>
                <w:color w:val="auto"/>
                <w:sz w:val="21"/>
              </w:rPr>
            </w:pPr>
          </w:p>
        </w:tc>
        <w:tc>
          <w:tcPr>
            <w:tcW w:w="1246" w:type="dxa"/>
            <w:vAlign w:val="top"/>
          </w:tcPr>
          <w:p w14:paraId="6EA8D823">
            <w:pPr>
              <w:rPr>
                <w:rFonts w:ascii="Arial"/>
                <w:color w:val="auto"/>
                <w:sz w:val="21"/>
              </w:rPr>
            </w:pPr>
          </w:p>
        </w:tc>
        <w:tc>
          <w:tcPr>
            <w:tcW w:w="1246" w:type="dxa"/>
            <w:vAlign w:val="top"/>
          </w:tcPr>
          <w:p w14:paraId="6F0C6C15">
            <w:pPr>
              <w:rPr>
                <w:rFonts w:ascii="Arial"/>
                <w:color w:val="auto"/>
                <w:sz w:val="21"/>
              </w:rPr>
            </w:pPr>
          </w:p>
        </w:tc>
        <w:tc>
          <w:tcPr>
            <w:tcW w:w="1245" w:type="dxa"/>
            <w:vAlign w:val="top"/>
          </w:tcPr>
          <w:p w14:paraId="32411375">
            <w:pPr>
              <w:rPr>
                <w:rFonts w:ascii="Arial"/>
                <w:color w:val="auto"/>
                <w:sz w:val="21"/>
              </w:rPr>
            </w:pPr>
          </w:p>
        </w:tc>
        <w:tc>
          <w:tcPr>
            <w:tcW w:w="1245" w:type="dxa"/>
            <w:vAlign w:val="top"/>
          </w:tcPr>
          <w:p w14:paraId="3D447C6F">
            <w:pPr>
              <w:rPr>
                <w:rFonts w:ascii="Arial"/>
                <w:color w:val="auto"/>
                <w:sz w:val="21"/>
              </w:rPr>
            </w:pPr>
          </w:p>
        </w:tc>
        <w:tc>
          <w:tcPr>
            <w:tcW w:w="1245" w:type="dxa"/>
            <w:vAlign w:val="top"/>
          </w:tcPr>
          <w:p w14:paraId="695E0419">
            <w:pPr>
              <w:rPr>
                <w:rFonts w:ascii="Arial"/>
                <w:color w:val="auto"/>
                <w:sz w:val="21"/>
              </w:rPr>
            </w:pPr>
          </w:p>
        </w:tc>
        <w:tc>
          <w:tcPr>
            <w:tcW w:w="1253" w:type="dxa"/>
            <w:vAlign w:val="top"/>
          </w:tcPr>
          <w:p w14:paraId="7C3616B3">
            <w:pPr>
              <w:rPr>
                <w:rFonts w:ascii="Arial"/>
                <w:color w:val="auto"/>
                <w:sz w:val="21"/>
              </w:rPr>
            </w:pPr>
          </w:p>
        </w:tc>
      </w:tr>
      <w:tr w14:paraId="4AF2E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849" w:type="dxa"/>
            <w:vAlign w:val="top"/>
          </w:tcPr>
          <w:p w14:paraId="0D8400FA">
            <w:pPr>
              <w:rPr>
                <w:rFonts w:ascii="Arial"/>
                <w:color w:val="auto"/>
                <w:sz w:val="21"/>
              </w:rPr>
            </w:pPr>
          </w:p>
        </w:tc>
        <w:tc>
          <w:tcPr>
            <w:tcW w:w="1245" w:type="dxa"/>
            <w:vAlign w:val="top"/>
          </w:tcPr>
          <w:p w14:paraId="2A720DB0">
            <w:pPr>
              <w:rPr>
                <w:rFonts w:ascii="Arial"/>
                <w:color w:val="auto"/>
                <w:sz w:val="21"/>
              </w:rPr>
            </w:pPr>
          </w:p>
        </w:tc>
        <w:tc>
          <w:tcPr>
            <w:tcW w:w="1246" w:type="dxa"/>
            <w:vAlign w:val="top"/>
          </w:tcPr>
          <w:p w14:paraId="5DC6BCF0">
            <w:pPr>
              <w:rPr>
                <w:rFonts w:ascii="Arial"/>
                <w:color w:val="auto"/>
                <w:sz w:val="21"/>
              </w:rPr>
            </w:pPr>
          </w:p>
        </w:tc>
        <w:tc>
          <w:tcPr>
            <w:tcW w:w="1246" w:type="dxa"/>
            <w:vAlign w:val="top"/>
          </w:tcPr>
          <w:p w14:paraId="43DDAE8B">
            <w:pPr>
              <w:rPr>
                <w:rFonts w:ascii="Arial"/>
                <w:color w:val="auto"/>
                <w:sz w:val="21"/>
              </w:rPr>
            </w:pPr>
          </w:p>
        </w:tc>
        <w:tc>
          <w:tcPr>
            <w:tcW w:w="1245" w:type="dxa"/>
            <w:vAlign w:val="top"/>
          </w:tcPr>
          <w:p w14:paraId="5E77FC30">
            <w:pPr>
              <w:rPr>
                <w:rFonts w:ascii="Arial"/>
                <w:color w:val="auto"/>
                <w:sz w:val="21"/>
              </w:rPr>
            </w:pPr>
          </w:p>
        </w:tc>
        <w:tc>
          <w:tcPr>
            <w:tcW w:w="1245" w:type="dxa"/>
            <w:vAlign w:val="top"/>
          </w:tcPr>
          <w:p w14:paraId="169F3E60">
            <w:pPr>
              <w:rPr>
                <w:rFonts w:ascii="Arial"/>
                <w:color w:val="auto"/>
                <w:sz w:val="21"/>
              </w:rPr>
            </w:pPr>
          </w:p>
        </w:tc>
        <w:tc>
          <w:tcPr>
            <w:tcW w:w="1245" w:type="dxa"/>
            <w:vAlign w:val="top"/>
          </w:tcPr>
          <w:p w14:paraId="521C6336">
            <w:pPr>
              <w:rPr>
                <w:rFonts w:ascii="Arial"/>
                <w:color w:val="auto"/>
                <w:sz w:val="21"/>
              </w:rPr>
            </w:pPr>
          </w:p>
        </w:tc>
        <w:tc>
          <w:tcPr>
            <w:tcW w:w="1253" w:type="dxa"/>
            <w:vAlign w:val="top"/>
          </w:tcPr>
          <w:p w14:paraId="73A888B2">
            <w:pPr>
              <w:rPr>
                <w:rFonts w:ascii="Arial"/>
                <w:color w:val="auto"/>
                <w:sz w:val="21"/>
              </w:rPr>
            </w:pPr>
          </w:p>
        </w:tc>
      </w:tr>
      <w:tr w14:paraId="1CCEE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849" w:type="dxa"/>
            <w:vAlign w:val="top"/>
          </w:tcPr>
          <w:p w14:paraId="04A49B0E">
            <w:pPr>
              <w:rPr>
                <w:rFonts w:ascii="Arial"/>
                <w:color w:val="auto"/>
                <w:sz w:val="21"/>
              </w:rPr>
            </w:pPr>
          </w:p>
        </w:tc>
        <w:tc>
          <w:tcPr>
            <w:tcW w:w="1245" w:type="dxa"/>
            <w:vAlign w:val="top"/>
          </w:tcPr>
          <w:p w14:paraId="1033498F">
            <w:pPr>
              <w:rPr>
                <w:rFonts w:ascii="Arial"/>
                <w:color w:val="auto"/>
                <w:sz w:val="21"/>
              </w:rPr>
            </w:pPr>
          </w:p>
        </w:tc>
        <w:tc>
          <w:tcPr>
            <w:tcW w:w="1246" w:type="dxa"/>
            <w:vAlign w:val="top"/>
          </w:tcPr>
          <w:p w14:paraId="053E32A1">
            <w:pPr>
              <w:rPr>
                <w:rFonts w:ascii="Arial"/>
                <w:color w:val="auto"/>
                <w:sz w:val="21"/>
              </w:rPr>
            </w:pPr>
          </w:p>
        </w:tc>
        <w:tc>
          <w:tcPr>
            <w:tcW w:w="1246" w:type="dxa"/>
            <w:vAlign w:val="top"/>
          </w:tcPr>
          <w:p w14:paraId="270A25C7">
            <w:pPr>
              <w:rPr>
                <w:rFonts w:ascii="Arial"/>
                <w:color w:val="auto"/>
                <w:sz w:val="21"/>
              </w:rPr>
            </w:pPr>
          </w:p>
        </w:tc>
        <w:tc>
          <w:tcPr>
            <w:tcW w:w="1245" w:type="dxa"/>
            <w:vAlign w:val="top"/>
          </w:tcPr>
          <w:p w14:paraId="2676FAD3">
            <w:pPr>
              <w:rPr>
                <w:rFonts w:ascii="Arial"/>
                <w:color w:val="auto"/>
                <w:sz w:val="21"/>
              </w:rPr>
            </w:pPr>
          </w:p>
        </w:tc>
        <w:tc>
          <w:tcPr>
            <w:tcW w:w="1245" w:type="dxa"/>
            <w:vAlign w:val="top"/>
          </w:tcPr>
          <w:p w14:paraId="41DF1BA3">
            <w:pPr>
              <w:rPr>
                <w:rFonts w:ascii="Arial"/>
                <w:color w:val="auto"/>
                <w:sz w:val="21"/>
              </w:rPr>
            </w:pPr>
          </w:p>
        </w:tc>
        <w:tc>
          <w:tcPr>
            <w:tcW w:w="1245" w:type="dxa"/>
            <w:vAlign w:val="top"/>
          </w:tcPr>
          <w:p w14:paraId="4D2DBB09">
            <w:pPr>
              <w:rPr>
                <w:rFonts w:ascii="Arial"/>
                <w:color w:val="auto"/>
                <w:sz w:val="21"/>
              </w:rPr>
            </w:pPr>
          </w:p>
        </w:tc>
        <w:tc>
          <w:tcPr>
            <w:tcW w:w="1253" w:type="dxa"/>
            <w:vAlign w:val="top"/>
          </w:tcPr>
          <w:p w14:paraId="54C68BEA">
            <w:pPr>
              <w:rPr>
                <w:rFonts w:ascii="Arial"/>
                <w:color w:val="auto"/>
                <w:sz w:val="21"/>
              </w:rPr>
            </w:pPr>
          </w:p>
        </w:tc>
      </w:tr>
      <w:tr w14:paraId="16A70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849" w:type="dxa"/>
            <w:vAlign w:val="top"/>
          </w:tcPr>
          <w:p w14:paraId="2DB572C4">
            <w:pPr>
              <w:rPr>
                <w:rFonts w:ascii="Arial"/>
                <w:color w:val="auto"/>
                <w:sz w:val="21"/>
              </w:rPr>
            </w:pPr>
          </w:p>
        </w:tc>
        <w:tc>
          <w:tcPr>
            <w:tcW w:w="1245" w:type="dxa"/>
            <w:vAlign w:val="top"/>
          </w:tcPr>
          <w:p w14:paraId="316FFC16">
            <w:pPr>
              <w:rPr>
                <w:rFonts w:ascii="Arial"/>
                <w:color w:val="auto"/>
                <w:sz w:val="21"/>
              </w:rPr>
            </w:pPr>
          </w:p>
        </w:tc>
        <w:tc>
          <w:tcPr>
            <w:tcW w:w="1246" w:type="dxa"/>
            <w:vAlign w:val="top"/>
          </w:tcPr>
          <w:p w14:paraId="5A8F01DA">
            <w:pPr>
              <w:rPr>
                <w:rFonts w:ascii="Arial"/>
                <w:color w:val="auto"/>
                <w:sz w:val="21"/>
              </w:rPr>
            </w:pPr>
          </w:p>
        </w:tc>
        <w:tc>
          <w:tcPr>
            <w:tcW w:w="1246" w:type="dxa"/>
            <w:vAlign w:val="top"/>
          </w:tcPr>
          <w:p w14:paraId="659E92B2">
            <w:pPr>
              <w:rPr>
                <w:rFonts w:ascii="Arial"/>
                <w:color w:val="auto"/>
                <w:sz w:val="21"/>
              </w:rPr>
            </w:pPr>
          </w:p>
        </w:tc>
        <w:tc>
          <w:tcPr>
            <w:tcW w:w="1245" w:type="dxa"/>
            <w:vAlign w:val="top"/>
          </w:tcPr>
          <w:p w14:paraId="37EDE608">
            <w:pPr>
              <w:rPr>
                <w:rFonts w:ascii="Arial"/>
                <w:color w:val="auto"/>
                <w:sz w:val="21"/>
              </w:rPr>
            </w:pPr>
          </w:p>
        </w:tc>
        <w:tc>
          <w:tcPr>
            <w:tcW w:w="1245" w:type="dxa"/>
            <w:vAlign w:val="top"/>
          </w:tcPr>
          <w:p w14:paraId="2D271D94">
            <w:pPr>
              <w:rPr>
                <w:rFonts w:ascii="Arial"/>
                <w:color w:val="auto"/>
                <w:sz w:val="21"/>
              </w:rPr>
            </w:pPr>
          </w:p>
        </w:tc>
        <w:tc>
          <w:tcPr>
            <w:tcW w:w="1245" w:type="dxa"/>
            <w:vAlign w:val="top"/>
          </w:tcPr>
          <w:p w14:paraId="67ACF59B">
            <w:pPr>
              <w:rPr>
                <w:rFonts w:ascii="Arial"/>
                <w:color w:val="auto"/>
                <w:sz w:val="21"/>
              </w:rPr>
            </w:pPr>
          </w:p>
        </w:tc>
        <w:tc>
          <w:tcPr>
            <w:tcW w:w="1253" w:type="dxa"/>
            <w:vAlign w:val="top"/>
          </w:tcPr>
          <w:p w14:paraId="3EE9E296">
            <w:pPr>
              <w:rPr>
                <w:rFonts w:ascii="Arial"/>
                <w:color w:val="auto"/>
                <w:sz w:val="21"/>
              </w:rPr>
            </w:pPr>
          </w:p>
        </w:tc>
      </w:tr>
      <w:tr w14:paraId="4290D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49" w:type="dxa"/>
            <w:vAlign w:val="top"/>
          </w:tcPr>
          <w:p w14:paraId="11F83F3C">
            <w:pPr>
              <w:rPr>
                <w:rFonts w:ascii="Arial"/>
                <w:color w:val="auto"/>
                <w:sz w:val="21"/>
              </w:rPr>
            </w:pPr>
          </w:p>
        </w:tc>
        <w:tc>
          <w:tcPr>
            <w:tcW w:w="1245" w:type="dxa"/>
            <w:vAlign w:val="top"/>
          </w:tcPr>
          <w:p w14:paraId="4E473B5C">
            <w:pPr>
              <w:rPr>
                <w:rFonts w:ascii="Arial"/>
                <w:color w:val="auto"/>
                <w:sz w:val="21"/>
              </w:rPr>
            </w:pPr>
          </w:p>
        </w:tc>
        <w:tc>
          <w:tcPr>
            <w:tcW w:w="1246" w:type="dxa"/>
            <w:vAlign w:val="top"/>
          </w:tcPr>
          <w:p w14:paraId="69CFA9F7">
            <w:pPr>
              <w:rPr>
                <w:rFonts w:ascii="Arial"/>
                <w:color w:val="auto"/>
                <w:sz w:val="21"/>
              </w:rPr>
            </w:pPr>
          </w:p>
        </w:tc>
        <w:tc>
          <w:tcPr>
            <w:tcW w:w="1246" w:type="dxa"/>
            <w:vAlign w:val="top"/>
          </w:tcPr>
          <w:p w14:paraId="41AF12C7">
            <w:pPr>
              <w:rPr>
                <w:rFonts w:ascii="Arial"/>
                <w:color w:val="auto"/>
                <w:sz w:val="21"/>
              </w:rPr>
            </w:pPr>
          </w:p>
        </w:tc>
        <w:tc>
          <w:tcPr>
            <w:tcW w:w="1245" w:type="dxa"/>
            <w:vAlign w:val="top"/>
          </w:tcPr>
          <w:p w14:paraId="1AA5B7E1">
            <w:pPr>
              <w:rPr>
                <w:rFonts w:ascii="Arial"/>
                <w:color w:val="auto"/>
                <w:sz w:val="21"/>
              </w:rPr>
            </w:pPr>
          </w:p>
        </w:tc>
        <w:tc>
          <w:tcPr>
            <w:tcW w:w="1245" w:type="dxa"/>
            <w:vAlign w:val="top"/>
          </w:tcPr>
          <w:p w14:paraId="1D1F8867">
            <w:pPr>
              <w:rPr>
                <w:rFonts w:ascii="Arial"/>
                <w:color w:val="auto"/>
                <w:sz w:val="21"/>
              </w:rPr>
            </w:pPr>
          </w:p>
        </w:tc>
        <w:tc>
          <w:tcPr>
            <w:tcW w:w="1245" w:type="dxa"/>
            <w:vAlign w:val="top"/>
          </w:tcPr>
          <w:p w14:paraId="443A69E6">
            <w:pPr>
              <w:rPr>
                <w:rFonts w:ascii="Arial"/>
                <w:color w:val="auto"/>
                <w:sz w:val="21"/>
              </w:rPr>
            </w:pPr>
          </w:p>
        </w:tc>
        <w:tc>
          <w:tcPr>
            <w:tcW w:w="1253" w:type="dxa"/>
            <w:vAlign w:val="top"/>
          </w:tcPr>
          <w:p w14:paraId="67D94FE7">
            <w:pPr>
              <w:rPr>
                <w:rFonts w:ascii="Arial"/>
                <w:color w:val="auto"/>
                <w:sz w:val="21"/>
              </w:rPr>
            </w:pPr>
          </w:p>
        </w:tc>
      </w:tr>
      <w:tr w14:paraId="1DDB4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849" w:type="dxa"/>
            <w:vAlign w:val="top"/>
          </w:tcPr>
          <w:p w14:paraId="6BB2E062">
            <w:pPr>
              <w:rPr>
                <w:rFonts w:ascii="Arial"/>
                <w:color w:val="auto"/>
                <w:sz w:val="21"/>
              </w:rPr>
            </w:pPr>
          </w:p>
        </w:tc>
        <w:tc>
          <w:tcPr>
            <w:tcW w:w="1245" w:type="dxa"/>
            <w:vAlign w:val="top"/>
          </w:tcPr>
          <w:p w14:paraId="0E6E0F1B">
            <w:pPr>
              <w:rPr>
                <w:rFonts w:ascii="Arial"/>
                <w:color w:val="auto"/>
                <w:sz w:val="21"/>
              </w:rPr>
            </w:pPr>
          </w:p>
        </w:tc>
        <w:tc>
          <w:tcPr>
            <w:tcW w:w="1246" w:type="dxa"/>
            <w:vAlign w:val="top"/>
          </w:tcPr>
          <w:p w14:paraId="28DDAE02">
            <w:pPr>
              <w:rPr>
                <w:rFonts w:ascii="Arial"/>
                <w:color w:val="auto"/>
                <w:sz w:val="21"/>
              </w:rPr>
            </w:pPr>
          </w:p>
        </w:tc>
        <w:tc>
          <w:tcPr>
            <w:tcW w:w="1246" w:type="dxa"/>
            <w:vAlign w:val="top"/>
          </w:tcPr>
          <w:p w14:paraId="637105BD">
            <w:pPr>
              <w:rPr>
                <w:rFonts w:ascii="Arial"/>
                <w:color w:val="auto"/>
                <w:sz w:val="21"/>
              </w:rPr>
            </w:pPr>
          </w:p>
        </w:tc>
        <w:tc>
          <w:tcPr>
            <w:tcW w:w="1245" w:type="dxa"/>
            <w:vAlign w:val="top"/>
          </w:tcPr>
          <w:p w14:paraId="22F085ED">
            <w:pPr>
              <w:rPr>
                <w:rFonts w:ascii="Arial"/>
                <w:color w:val="auto"/>
                <w:sz w:val="21"/>
              </w:rPr>
            </w:pPr>
          </w:p>
        </w:tc>
        <w:tc>
          <w:tcPr>
            <w:tcW w:w="1245" w:type="dxa"/>
            <w:vAlign w:val="top"/>
          </w:tcPr>
          <w:p w14:paraId="5E7819E2">
            <w:pPr>
              <w:rPr>
                <w:rFonts w:ascii="Arial"/>
                <w:color w:val="auto"/>
                <w:sz w:val="21"/>
              </w:rPr>
            </w:pPr>
          </w:p>
        </w:tc>
        <w:tc>
          <w:tcPr>
            <w:tcW w:w="1245" w:type="dxa"/>
            <w:vAlign w:val="top"/>
          </w:tcPr>
          <w:p w14:paraId="41134191">
            <w:pPr>
              <w:rPr>
                <w:rFonts w:ascii="Arial"/>
                <w:color w:val="auto"/>
                <w:sz w:val="21"/>
              </w:rPr>
            </w:pPr>
          </w:p>
        </w:tc>
        <w:tc>
          <w:tcPr>
            <w:tcW w:w="1253" w:type="dxa"/>
            <w:vAlign w:val="top"/>
          </w:tcPr>
          <w:p w14:paraId="03A9DDA2">
            <w:pPr>
              <w:rPr>
                <w:rFonts w:ascii="Arial"/>
                <w:color w:val="auto"/>
                <w:sz w:val="21"/>
              </w:rPr>
            </w:pPr>
          </w:p>
        </w:tc>
      </w:tr>
    </w:tbl>
    <w:p w14:paraId="574765DD">
      <w:pPr>
        <w:pStyle w:val="2"/>
        <w:rPr>
          <w:color w:val="auto"/>
        </w:rPr>
      </w:pPr>
    </w:p>
    <w:p w14:paraId="0E9687C9">
      <w:pPr>
        <w:rPr>
          <w:color w:val="auto"/>
        </w:rPr>
        <w:sectPr>
          <w:footerReference r:id="rId31" w:type="default"/>
          <w:pgSz w:w="11906" w:h="16839"/>
          <w:pgMar w:top="1440" w:right="1080" w:bottom="1440" w:left="1080" w:header="0" w:footer="783" w:gutter="0"/>
          <w:pgNumType w:fmt="decimal"/>
          <w:cols w:space="720" w:num="1"/>
        </w:sectPr>
      </w:pPr>
    </w:p>
    <w:p w14:paraId="00E36ADC">
      <w:pPr>
        <w:pStyle w:val="2"/>
        <w:spacing w:line="344" w:lineRule="auto"/>
        <w:rPr>
          <w:color w:val="auto"/>
        </w:rPr>
      </w:pPr>
    </w:p>
    <w:p w14:paraId="78258E04">
      <w:pPr>
        <w:spacing w:before="91" w:line="220" w:lineRule="auto"/>
        <w:ind w:left="22"/>
        <w:outlineLvl w:val="2"/>
        <w:rPr>
          <w:rFonts w:ascii="宋体" w:hAnsi="宋体" w:eastAsia="宋体" w:cs="宋体"/>
          <w:color w:val="auto"/>
          <w:sz w:val="28"/>
          <w:szCs w:val="28"/>
        </w:rPr>
      </w:pPr>
      <w:bookmarkStart w:id="28" w:name="_Toc19967"/>
      <w:r>
        <w:rPr>
          <w:rFonts w:ascii="宋体" w:hAnsi="宋体" w:eastAsia="宋体" w:cs="宋体"/>
          <w:b/>
          <w:bCs/>
          <w:color w:val="auto"/>
          <w:spacing w:val="-4"/>
          <w:sz w:val="28"/>
          <w:szCs w:val="28"/>
        </w:rPr>
        <w:t>附表四：计划开、竣工日期和施工进度网络图</w:t>
      </w:r>
      <w:bookmarkEnd w:id="28"/>
    </w:p>
    <w:p w14:paraId="7BB82572">
      <w:pPr>
        <w:pStyle w:val="2"/>
        <w:spacing w:line="351" w:lineRule="auto"/>
        <w:rPr>
          <w:color w:val="auto"/>
        </w:rPr>
      </w:pPr>
    </w:p>
    <w:p w14:paraId="5B69EFE6">
      <w:pPr>
        <w:pStyle w:val="2"/>
        <w:spacing w:line="352" w:lineRule="auto"/>
        <w:rPr>
          <w:color w:val="auto"/>
        </w:rPr>
      </w:pPr>
    </w:p>
    <w:p w14:paraId="3B556D8D">
      <w:pPr>
        <w:spacing w:before="65" w:line="258" w:lineRule="auto"/>
        <w:ind w:firstLine="432"/>
        <w:rPr>
          <w:rFonts w:ascii="宋体" w:hAnsi="宋体" w:eastAsia="宋体" w:cs="宋体"/>
          <w:color w:val="auto"/>
          <w:sz w:val="20"/>
          <w:szCs w:val="20"/>
        </w:rPr>
      </w:pPr>
      <w:r>
        <w:rPr>
          <w:rFonts w:ascii="宋体" w:hAnsi="宋体" w:eastAsia="宋体" w:cs="宋体"/>
          <w:color w:val="auto"/>
          <w:spacing w:val="7"/>
          <w:sz w:val="20"/>
          <w:szCs w:val="20"/>
        </w:rPr>
        <w:t>1．供应商应递交施工进度网络图或施工进度表，说明按磋商文件要求的合同履行期</w:t>
      </w:r>
      <w:r>
        <w:rPr>
          <w:rFonts w:ascii="宋体" w:hAnsi="宋体" w:eastAsia="宋体" w:cs="宋体"/>
          <w:color w:val="auto"/>
          <w:spacing w:val="6"/>
          <w:sz w:val="20"/>
          <w:szCs w:val="20"/>
        </w:rPr>
        <w:t>限进行施工的各个关键日期。</w:t>
      </w:r>
    </w:p>
    <w:p w14:paraId="551C6B3F">
      <w:pPr>
        <w:spacing w:before="64" w:line="228" w:lineRule="auto"/>
        <w:ind w:left="420"/>
        <w:rPr>
          <w:rFonts w:ascii="宋体" w:hAnsi="宋体" w:eastAsia="宋体" w:cs="宋体"/>
          <w:color w:val="auto"/>
          <w:sz w:val="20"/>
          <w:szCs w:val="20"/>
        </w:rPr>
      </w:pPr>
      <w:r>
        <w:rPr>
          <w:rFonts w:ascii="宋体" w:hAnsi="宋体" w:eastAsia="宋体" w:cs="宋体"/>
          <w:color w:val="auto"/>
          <w:spacing w:val="9"/>
          <w:sz w:val="20"/>
          <w:szCs w:val="20"/>
        </w:rPr>
        <w:t>2．施工进度表可采用网络图（或横道图）表示</w:t>
      </w:r>
    </w:p>
    <w:p w14:paraId="59B44B53">
      <w:pPr>
        <w:spacing w:line="228" w:lineRule="auto"/>
        <w:rPr>
          <w:rFonts w:ascii="宋体" w:hAnsi="宋体" w:eastAsia="宋体" w:cs="宋体"/>
          <w:color w:val="auto"/>
          <w:sz w:val="20"/>
          <w:szCs w:val="20"/>
        </w:rPr>
        <w:sectPr>
          <w:footerReference r:id="rId32" w:type="default"/>
          <w:pgSz w:w="11906" w:h="16839"/>
          <w:pgMar w:top="1440" w:right="1080" w:bottom="1440" w:left="1080" w:header="0" w:footer="783" w:gutter="0"/>
          <w:pgNumType w:fmt="decimal"/>
          <w:cols w:space="720" w:num="1"/>
        </w:sectPr>
      </w:pPr>
    </w:p>
    <w:p w14:paraId="3AEDC720">
      <w:pPr>
        <w:pStyle w:val="2"/>
        <w:spacing w:line="344" w:lineRule="auto"/>
        <w:rPr>
          <w:color w:val="auto"/>
        </w:rPr>
      </w:pPr>
    </w:p>
    <w:p w14:paraId="0C2AE97B">
      <w:pPr>
        <w:spacing w:before="91" w:line="220" w:lineRule="auto"/>
        <w:ind w:left="38"/>
        <w:outlineLvl w:val="2"/>
        <w:rPr>
          <w:rFonts w:ascii="宋体" w:hAnsi="宋体" w:eastAsia="宋体" w:cs="宋体"/>
          <w:color w:val="auto"/>
          <w:sz w:val="28"/>
          <w:szCs w:val="28"/>
        </w:rPr>
      </w:pPr>
      <w:bookmarkStart w:id="29" w:name="_Toc26846"/>
      <w:r>
        <w:rPr>
          <w:rFonts w:ascii="宋体" w:hAnsi="宋体" w:eastAsia="宋体" w:cs="宋体"/>
          <w:b/>
          <w:bCs/>
          <w:color w:val="auto"/>
          <w:spacing w:val="-6"/>
          <w:sz w:val="28"/>
          <w:szCs w:val="28"/>
        </w:rPr>
        <w:t>附表五：临时用地表</w:t>
      </w:r>
      <w:bookmarkEnd w:id="29"/>
    </w:p>
    <w:p w14:paraId="3707C39E">
      <w:pPr>
        <w:spacing w:before="119"/>
        <w:rPr>
          <w:color w:val="auto"/>
        </w:rPr>
      </w:pPr>
    </w:p>
    <w:p w14:paraId="391CF3ED">
      <w:pPr>
        <w:spacing w:before="119"/>
        <w:rPr>
          <w:color w:val="auto"/>
        </w:rPr>
      </w:pPr>
    </w:p>
    <w:tbl>
      <w:tblPr>
        <w:tblStyle w:val="15"/>
        <w:tblW w:w="9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1"/>
        <w:gridCol w:w="2325"/>
        <w:gridCol w:w="2498"/>
        <w:gridCol w:w="2502"/>
      </w:tblGrid>
      <w:tr w14:paraId="0DB1D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2141" w:type="dxa"/>
            <w:vAlign w:val="top"/>
          </w:tcPr>
          <w:p w14:paraId="1A84159A">
            <w:pPr>
              <w:pStyle w:val="16"/>
              <w:spacing w:before="206" w:line="230" w:lineRule="auto"/>
              <w:ind w:left="869"/>
              <w:rPr>
                <w:color w:val="auto"/>
                <w:sz w:val="20"/>
                <w:szCs w:val="20"/>
              </w:rPr>
            </w:pPr>
            <w:r>
              <w:rPr>
                <w:color w:val="auto"/>
                <w:spacing w:val="3"/>
                <w:sz w:val="20"/>
                <w:szCs w:val="20"/>
              </w:rPr>
              <w:t>用途</w:t>
            </w:r>
          </w:p>
        </w:tc>
        <w:tc>
          <w:tcPr>
            <w:tcW w:w="2325" w:type="dxa"/>
            <w:vAlign w:val="top"/>
          </w:tcPr>
          <w:p w14:paraId="00B39975">
            <w:pPr>
              <w:pStyle w:val="16"/>
              <w:spacing w:before="207" w:line="228" w:lineRule="auto"/>
              <w:ind w:left="433"/>
              <w:rPr>
                <w:color w:val="auto"/>
                <w:sz w:val="20"/>
                <w:szCs w:val="20"/>
              </w:rPr>
            </w:pPr>
            <w:r>
              <w:rPr>
                <w:color w:val="auto"/>
                <w:spacing w:val="6"/>
                <w:sz w:val="20"/>
                <w:szCs w:val="20"/>
              </w:rPr>
              <w:t>面积（平方米）</w:t>
            </w:r>
          </w:p>
        </w:tc>
        <w:tc>
          <w:tcPr>
            <w:tcW w:w="2498" w:type="dxa"/>
            <w:vAlign w:val="top"/>
          </w:tcPr>
          <w:p w14:paraId="30A10D4D">
            <w:pPr>
              <w:pStyle w:val="16"/>
              <w:spacing w:before="206" w:line="230" w:lineRule="auto"/>
              <w:ind w:left="1045"/>
              <w:rPr>
                <w:color w:val="auto"/>
                <w:sz w:val="20"/>
                <w:szCs w:val="20"/>
              </w:rPr>
            </w:pPr>
            <w:r>
              <w:rPr>
                <w:color w:val="auto"/>
                <w:spacing w:val="4"/>
                <w:sz w:val="20"/>
                <w:szCs w:val="20"/>
              </w:rPr>
              <w:t>位置</w:t>
            </w:r>
          </w:p>
        </w:tc>
        <w:tc>
          <w:tcPr>
            <w:tcW w:w="2502" w:type="dxa"/>
            <w:vAlign w:val="top"/>
          </w:tcPr>
          <w:p w14:paraId="6AB32237">
            <w:pPr>
              <w:pStyle w:val="16"/>
              <w:spacing w:before="207" w:line="229" w:lineRule="auto"/>
              <w:ind w:left="844"/>
              <w:rPr>
                <w:color w:val="auto"/>
                <w:sz w:val="20"/>
                <w:szCs w:val="20"/>
              </w:rPr>
            </w:pPr>
            <w:r>
              <w:rPr>
                <w:color w:val="auto"/>
                <w:spacing w:val="4"/>
                <w:sz w:val="20"/>
                <w:szCs w:val="20"/>
              </w:rPr>
              <w:t>需用时间</w:t>
            </w:r>
          </w:p>
        </w:tc>
      </w:tr>
      <w:tr w14:paraId="13A12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141" w:type="dxa"/>
            <w:vAlign w:val="top"/>
          </w:tcPr>
          <w:p w14:paraId="78340963">
            <w:pPr>
              <w:rPr>
                <w:rFonts w:ascii="Arial"/>
                <w:color w:val="auto"/>
                <w:sz w:val="21"/>
              </w:rPr>
            </w:pPr>
          </w:p>
        </w:tc>
        <w:tc>
          <w:tcPr>
            <w:tcW w:w="2325" w:type="dxa"/>
            <w:vAlign w:val="top"/>
          </w:tcPr>
          <w:p w14:paraId="7F076DD3">
            <w:pPr>
              <w:rPr>
                <w:rFonts w:ascii="Arial"/>
                <w:color w:val="auto"/>
                <w:sz w:val="21"/>
              </w:rPr>
            </w:pPr>
          </w:p>
        </w:tc>
        <w:tc>
          <w:tcPr>
            <w:tcW w:w="2498" w:type="dxa"/>
            <w:vAlign w:val="top"/>
          </w:tcPr>
          <w:p w14:paraId="0149D0AB">
            <w:pPr>
              <w:rPr>
                <w:rFonts w:ascii="Arial"/>
                <w:color w:val="auto"/>
                <w:sz w:val="21"/>
              </w:rPr>
            </w:pPr>
          </w:p>
        </w:tc>
        <w:tc>
          <w:tcPr>
            <w:tcW w:w="2502" w:type="dxa"/>
            <w:vAlign w:val="top"/>
          </w:tcPr>
          <w:p w14:paraId="62CC4141">
            <w:pPr>
              <w:rPr>
                <w:rFonts w:ascii="Arial"/>
                <w:color w:val="auto"/>
                <w:sz w:val="21"/>
              </w:rPr>
            </w:pPr>
          </w:p>
        </w:tc>
      </w:tr>
      <w:tr w14:paraId="29D46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141" w:type="dxa"/>
            <w:vAlign w:val="top"/>
          </w:tcPr>
          <w:p w14:paraId="44337BCB">
            <w:pPr>
              <w:rPr>
                <w:rFonts w:ascii="Arial"/>
                <w:color w:val="auto"/>
                <w:sz w:val="21"/>
              </w:rPr>
            </w:pPr>
          </w:p>
        </w:tc>
        <w:tc>
          <w:tcPr>
            <w:tcW w:w="2325" w:type="dxa"/>
            <w:vAlign w:val="top"/>
          </w:tcPr>
          <w:p w14:paraId="1E0C3758">
            <w:pPr>
              <w:rPr>
                <w:rFonts w:ascii="Arial"/>
                <w:color w:val="auto"/>
                <w:sz w:val="21"/>
              </w:rPr>
            </w:pPr>
          </w:p>
        </w:tc>
        <w:tc>
          <w:tcPr>
            <w:tcW w:w="2498" w:type="dxa"/>
            <w:vAlign w:val="top"/>
          </w:tcPr>
          <w:p w14:paraId="16C55405">
            <w:pPr>
              <w:rPr>
                <w:rFonts w:ascii="Arial"/>
                <w:color w:val="auto"/>
                <w:sz w:val="21"/>
              </w:rPr>
            </w:pPr>
          </w:p>
        </w:tc>
        <w:tc>
          <w:tcPr>
            <w:tcW w:w="2502" w:type="dxa"/>
            <w:vAlign w:val="top"/>
          </w:tcPr>
          <w:p w14:paraId="2B070541">
            <w:pPr>
              <w:rPr>
                <w:rFonts w:ascii="Arial"/>
                <w:color w:val="auto"/>
                <w:sz w:val="21"/>
              </w:rPr>
            </w:pPr>
          </w:p>
        </w:tc>
      </w:tr>
      <w:tr w14:paraId="16C49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141" w:type="dxa"/>
            <w:vAlign w:val="top"/>
          </w:tcPr>
          <w:p w14:paraId="58DDC763">
            <w:pPr>
              <w:rPr>
                <w:rFonts w:ascii="Arial"/>
                <w:color w:val="auto"/>
                <w:sz w:val="21"/>
              </w:rPr>
            </w:pPr>
          </w:p>
        </w:tc>
        <w:tc>
          <w:tcPr>
            <w:tcW w:w="2325" w:type="dxa"/>
            <w:vAlign w:val="top"/>
          </w:tcPr>
          <w:p w14:paraId="241FC390">
            <w:pPr>
              <w:rPr>
                <w:rFonts w:ascii="Arial"/>
                <w:color w:val="auto"/>
                <w:sz w:val="21"/>
              </w:rPr>
            </w:pPr>
          </w:p>
        </w:tc>
        <w:tc>
          <w:tcPr>
            <w:tcW w:w="2498" w:type="dxa"/>
            <w:vAlign w:val="top"/>
          </w:tcPr>
          <w:p w14:paraId="1F52AD18">
            <w:pPr>
              <w:rPr>
                <w:rFonts w:ascii="Arial"/>
                <w:color w:val="auto"/>
                <w:sz w:val="21"/>
              </w:rPr>
            </w:pPr>
          </w:p>
        </w:tc>
        <w:tc>
          <w:tcPr>
            <w:tcW w:w="2502" w:type="dxa"/>
            <w:vAlign w:val="top"/>
          </w:tcPr>
          <w:p w14:paraId="04FCD953">
            <w:pPr>
              <w:rPr>
                <w:rFonts w:ascii="Arial"/>
                <w:color w:val="auto"/>
                <w:sz w:val="21"/>
              </w:rPr>
            </w:pPr>
          </w:p>
        </w:tc>
      </w:tr>
      <w:tr w14:paraId="2FDAA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141" w:type="dxa"/>
            <w:vAlign w:val="top"/>
          </w:tcPr>
          <w:p w14:paraId="08B89C41">
            <w:pPr>
              <w:rPr>
                <w:rFonts w:ascii="Arial"/>
                <w:color w:val="auto"/>
                <w:sz w:val="21"/>
              </w:rPr>
            </w:pPr>
          </w:p>
        </w:tc>
        <w:tc>
          <w:tcPr>
            <w:tcW w:w="2325" w:type="dxa"/>
            <w:vAlign w:val="top"/>
          </w:tcPr>
          <w:p w14:paraId="3CD86819">
            <w:pPr>
              <w:rPr>
                <w:rFonts w:ascii="Arial"/>
                <w:color w:val="auto"/>
                <w:sz w:val="21"/>
              </w:rPr>
            </w:pPr>
          </w:p>
        </w:tc>
        <w:tc>
          <w:tcPr>
            <w:tcW w:w="2498" w:type="dxa"/>
            <w:vAlign w:val="top"/>
          </w:tcPr>
          <w:p w14:paraId="7A8AC3C8">
            <w:pPr>
              <w:rPr>
                <w:rFonts w:ascii="Arial"/>
                <w:color w:val="auto"/>
                <w:sz w:val="21"/>
              </w:rPr>
            </w:pPr>
          </w:p>
        </w:tc>
        <w:tc>
          <w:tcPr>
            <w:tcW w:w="2502" w:type="dxa"/>
            <w:vAlign w:val="top"/>
          </w:tcPr>
          <w:p w14:paraId="7625625C">
            <w:pPr>
              <w:rPr>
                <w:rFonts w:ascii="Arial"/>
                <w:color w:val="auto"/>
                <w:sz w:val="21"/>
              </w:rPr>
            </w:pPr>
          </w:p>
        </w:tc>
      </w:tr>
      <w:tr w14:paraId="25737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141" w:type="dxa"/>
            <w:vAlign w:val="top"/>
          </w:tcPr>
          <w:p w14:paraId="2F801899">
            <w:pPr>
              <w:rPr>
                <w:rFonts w:ascii="Arial"/>
                <w:color w:val="auto"/>
                <w:sz w:val="21"/>
              </w:rPr>
            </w:pPr>
          </w:p>
        </w:tc>
        <w:tc>
          <w:tcPr>
            <w:tcW w:w="2325" w:type="dxa"/>
            <w:vAlign w:val="top"/>
          </w:tcPr>
          <w:p w14:paraId="26AE2E63">
            <w:pPr>
              <w:rPr>
                <w:rFonts w:ascii="Arial"/>
                <w:color w:val="auto"/>
                <w:sz w:val="21"/>
              </w:rPr>
            </w:pPr>
          </w:p>
        </w:tc>
        <w:tc>
          <w:tcPr>
            <w:tcW w:w="2498" w:type="dxa"/>
            <w:vAlign w:val="top"/>
          </w:tcPr>
          <w:p w14:paraId="3214659A">
            <w:pPr>
              <w:rPr>
                <w:rFonts w:ascii="Arial"/>
                <w:color w:val="auto"/>
                <w:sz w:val="21"/>
              </w:rPr>
            </w:pPr>
          </w:p>
        </w:tc>
        <w:tc>
          <w:tcPr>
            <w:tcW w:w="2502" w:type="dxa"/>
            <w:vAlign w:val="top"/>
          </w:tcPr>
          <w:p w14:paraId="6BAAC7A2">
            <w:pPr>
              <w:rPr>
                <w:rFonts w:ascii="Arial"/>
                <w:color w:val="auto"/>
                <w:sz w:val="21"/>
              </w:rPr>
            </w:pPr>
          </w:p>
        </w:tc>
      </w:tr>
      <w:tr w14:paraId="3B98C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141" w:type="dxa"/>
            <w:vAlign w:val="top"/>
          </w:tcPr>
          <w:p w14:paraId="632B8411">
            <w:pPr>
              <w:rPr>
                <w:rFonts w:ascii="Arial"/>
                <w:color w:val="auto"/>
                <w:sz w:val="21"/>
              </w:rPr>
            </w:pPr>
          </w:p>
        </w:tc>
        <w:tc>
          <w:tcPr>
            <w:tcW w:w="2325" w:type="dxa"/>
            <w:vAlign w:val="top"/>
          </w:tcPr>
          <w:p w14:paraId="3427CD2A">
            <w:pPr>
              <w:rPr>
                <w:rFonts w:ascii="Arial"/>
                <w:color w:val="auto"/>
                <w:sz w:val="21"/>
              </w:rPr>
            </w:pPr>
          </w:p>
        </w:tc>
        <w:tc>
          <w:tcPr>
            <w:tcW w:w="2498" w:type="dxa"/>
            <w:vAlign w:val="top"/>
          </w:tcPr>
          <w:p w14:paraId="03A869FC">
            <w:pPr>
              <w:rPr>
                <w:rFonts w:ascii="Arial"/>
                <w:color w:val="auto"/>
                <w:sz w:val="21"/>
              </w:rPr>
            </w:pPr>
          </w:p>
        </w:tc>
        <w:tc>
          <w:tcPr>
            <w:tcW w:w="2502" w:type="dxa"/>
            <w:vAlign w:val="top"/>
          </w:tcPr>
          <w:p w14:paraId="5FB34B58">
            <w:pPr>
              <w:rPr>
                <w:rFonts w:ascii="Arial"/>
                <w:color w:val="auto"/>
                <w:sz w:val="21"/>
              </w:rPr>
            </w:pPr>
          </w:p>
        </w:tc>
      </w:tr>
      <w:tr w14:paraId="38923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141" w:type="dxa"/>
            <w:vAlign w:val="top"/>
          </w:tcPr>
          <w:p w14:paraId="380F589E">
            <w:pPr>
              <w:rPr>
                <w:rFonts w:ascii="Arial"/>
                <w:color w:val="auto"/>
                <w:sz w:val="21"/>
              </w:rPr>
            </w:pPr>
          </w:p>
        </w:tc>
        <w:tc>
          <w:tcPr>
            <w:tcW w:w="2325" w:type="dxa"/>
            <w:vAlign w:val="top"/>
          </w:tcPr>
          <w:p w14:paraId="4DFEFB71">
            <w:pPr>
              <w:rPr>
                <w:rFonts w:ascii="Arial"/>
                <w:color w:val="auto"/>
                <w:sz w:val="21"/>
              </w:rPr>
            </w:pPr>
          </w:p>
        </w:tc>
        <w:tc>
          <w:tcPr>
            <w:tcW w:w="2498" w:type="dxa"/>
            <w:vAlign w:val="top"/>
          </w:tcPr>
          <w:p w14:paraId="3B650344">
            <w:pPr>
              <w:rPr>
                <w:rFonts w:ascii="Arial"/>
                <w:color w:val="auto"/>
                <w:sz w:val="21"/>
              </w:rPr>
            </w:pPr>
          </w:p>
        </w:tc>
        <w:tc>
          <w:tcPr>
            <w:tcW w:w="2502" w:type="dxa"/>
            <w:vAlign w:val="top"/>
          </w:tcPr>
          <w:p w14:paraId="3A9C9AA6">
            <w:pPr>
              <w:rPr>
                <w:rFonts w:ascii="Arial"/>
                <w:color w:val="auto"/>
                <w:sz w:val="21"/>
              </w:rPr>
            </w:pPr>
          </w:p>
        </w:tc>
      </w:tr>
      <w:tr w14:paraId="545AE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141" w:type="dxa"/>
            <w:vAlign w:val="top"/>
          </w:tcPr>
          <w:p w14:paraId="023A668B">
            <w:pPr>
              <w:rPr>
                <w:rFonts w:ascii="Arial"/>
                <w:color w:val="auto"/>
                <w:sz w:val="21"/>
              </w:rPr>
            </w:pPr>
          </w:p>
        </w:tc>
        <w:tc>
          <w:tcPr>
            <w:tcW w:w="2325" w:type="dxa"/>
            <w:vAlign w:val="top"/>
          </w:tcPr>
          <w:p w14:paraId="35FC41DA">
            <w:pPr>
              <w:rPr>
                <w:rFonts w:ascii="Arial"/>
                <w:color w:val="auto"/>
                <w:sz w:val="21"/>
              </w:rPr>
            </w:pPr>
          </w:p>
        </w:tc>
        <w:tc>
          <w:tcPr>
            <w:tcW w:w="2498" w:type="dxa"/>
            <w:vAlign w:val="top"/>
          </w:tcPr>
          <w:p w14:paraId="748E2966">
            <w:pPr>
              <w:rPr>
                <w:rFonts w:ascii="Arial"/>
                <w:color w:val="auto"/>
                <w:sz w:val="21"/>
              </w:rPr>
            </w:pPr>
          </w:p>
        </w:tc>
        <w:tc>
          <w:tcPr>
            <w:tcW w:w="2502" w:type="dxa"/>
            <w:vAlign w:val="top"/>
          </w:tcPr>
          <w:p w14:paraId="5AE2ED6F">
            <w:pPr>
              <w:rPr>
                <w:rFonts w:ascii="Arial"/>
                <w:color w:val="auto"/>
                <w:sz w:val="21"/>
              </w:rPr>
            </w:pPr>
          </w:p>
        </w:tc>
      </w:tr>
      <w:tr w14:paraId="3E4DC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141" w:type="dxa"/>
            <w:vAlign w:val="top"/>
          </w:tcPr>
          <w:p w14:paraId="41AD215B">
            <w:pPr>
              <w:rPr>
                <w:rFonts w:ascii="Arial"/>
                <w:color w:val="auto"/>
                <w:sz w:val="21"/>
              </w:rPr>
            </w:pPr>
          </w:p>
        </w:tc>
        <w:tc>
          <w:tcPr>
            <w:tcW w:w="2325" w:type="dxa"/>
            <w:vAlign w:val="top"/>
          </w:tcPr>
          <w:p w14:paraId="060FDFF6">
            <w:pPr>
              <w:rPr>
                <w:rFonts w:ascii="Arial"/>
                <w:color w:val="auto"/>
                <w:sz w:val="21"/>
              </w:rPr>
            </w:pPr>
          </w:p>
        </w:tc>
        <w:tc>
          <w:tcPr>
            <w:tcW w:w="2498" w:type="dxa"/>
            <w:vAlign w:val="top"/>
          </w:tcPr>
          <w:p w14:paraId="59A48AEC">
            <w:pPr>
              <w:rPr>
                <w:rFonts w:ascii="Arial"/>
                <w:color w:val="auto"/>
                <w:sz w:val="21"/>
              </w:rPr>
            </w:pPr>
          </w:p>
        </w:tc>
        <w:tc>
          <w:tcPr>
            <w:tcW w:w="2502" w:type="dxa"/>
            <w:vAlign w:val="top"/>
          </w:tcPr>
          <w:p w14:paraId="0C5AA4D8">
            <w:pPr>
              <w:rPr>
                <w:rFonts w:ascii="Arial"/>
                <w:color w:val="auto"/>
                <w:sz w:val="21"/>
              </w:rPr>
            </w:pPr>
          </w:p>
        </w:tc>
      </w:tr>
      <w:tr w14:paraId="41392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141" w:type="dxa"/>
            <w:vAlign w:val="top"/>
          </w:tcPr>
          <w:p w14:paraId="2D2E6992">
            <w:pPr>
              <w:rPr>
                <w:rFonts w:ascii="Arial"/>
                <w:color w:val="auto"/>
                <w:sz w:val="21"/>
              </w:rPr>
            </w:pPr>
          </w:p>
        </w:tc>
        <w:tc>
          <w:tcPr>
            <w:tcW w:w="2325" w:type="dxa"/>
            <w:vAlign w:val="top"/>
          </w:tcPr>
          <w:p w14:paraId="2AECB304">
            <w:pPr>
              <w:rPr>
                <w:rFonts w:ascii="Arial"/>
                <w:color w:val="auto"/>
                <w:sz w:val="21"/>
              </w:rPr>
            </w:pPr>
          </w:p>
        </w:tc>
        <w:tc>
          <w:tcPr>
            <w:tcW w:w="2498" w:type="dxa"/>
            <w:vAlign w:val="top"/>
          </w:tcPr>
          <w:p w14:paraId="48605739">
            <w:pPr>
              <w:rPr>
                <w:rFonts w:ascii="Arial"/>
                <w:color w:val="auto"/>
                <w:sz w:val="21"/>
              </w:rPr>
            </w:pPr>
          </w:p>
        </w:tc>
        <w:tc>
          <w:tcPr>
            <w:tcW w:w="2502" w:type="dxa"/>
            <w:vAlign w:val="top"/>
          </w:tcPr>
          <w:p w14:paraId="008ACCDA">
            <w:pPr>
              <w:rPr>
                <w:rFonts w:ascii="Arial"/>
                <w:color w:val="auto"/>
                <w:sz w:val="21"/>
              </w:rPr>
            </w:pPr>
          </w:p>
        </w:tc>
      </w:tr>
      <w:tr w14:paraId="27254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141" w:type="dxa"/>
            <w:vAlign w:val="top"/>
          </w:tcPr>
          <w:p w14:paraId="7201B47A">
            <w:pPr>
              <w:rPr>
                <w:rFonts w:ascii="Arial"/>
                <w:color w:val="auto"/>
                <w:sz w:val="21"/>
              </w:rPr>
            </w:pPr>
          </w:p>
        </w:tc>
        <w:tc>
          <w:tcPr>
            <w:tcW w:w="2325" w:type="dxa"/>
            <w:vAlign w:val="top"/>
          </w:tcPr>
          <w:p w14:paraId="1AEF5029">
            <w:pPr>
              <w:rPr>
                <w:rFonts w:ascii="Arial"/>
                <w:color w:val="auto"/>
                <w:sz w:val="21"/>
              </w:rPr>
            </w:pPr>
          </w:p>
        </w:tc>
        <w:tc>
          <w:tcPr>
            <w:tcW w:w="2498" w:type="dxa"/>
            <w:vAlign w:val="top"/>
          </w:tcPr>
          <w:p w14:paraId="48B8C260">
            <w:pPr>
              <w:rPr>
                <w:rFonts w:ascii="Arial"/>
                <w:color w:val="auto"/>
                <w:sz w:val="21"/>
              </w:rPr>
            </w:pPr>
          </w:p>
        </w:tc>
        <w:tc>
          <w:tcPr>
            <w:tcW w:w="2502" w:type="dxa"/>
            <w:vAlign w:val="top"/>
          </w:tcPr>
          <w:p w14:paraId="416E10B5">
            <w:pPr>
              <w:rPr>
                <w:rFonts w:ascii="Arial"/>
                <w:color w:val="auto"/>
                <w:sz w:val="21"/>
              </w:rPr>
            </w:pPr>
          </w:p>
        </w:tc>
      </w:tr>
      <w:tr w14:paraId="101CE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141" w:type="dxa"/>
            <w:vAlign w:val="top"/>
          </w:tcPr>
          <w:p w14:paraId="365C26B9">
            <w:pPr>
              <w:rPr>
                <w:rFonts w:ascii="Arial"/>
                <w:color w:val="auto"/>
                <w:sz w:val="21"/>
              </w:rPr>
            </w:pPr>
          </w:p>
        </w:tc>
        <w:tc>
          <w:tcPr>
            <w:tcW w:w="2325" w:type="dxa"/>
            <w:vAlign w:val="top"/>
          </w:tcPr>
          <w:p w14:paraId="1CD73D78">
            <w:pPr>
              <w:rPr>
                <w:rFonts w:ascii="Arial"/>
                <w:color w:val="auto"/>
                <w:sz w:val="21"/>
              </w:rPr>
            </w:pPr>
          </w:p>
        </w:tc>
        <w:tc>
          <w:tcPr>
            <w:tcW w:w="2498" w:type="dxa"/>
            <w:vAlign w:val="top"/>
          </w:tcPr>
          <w:p w14:paraId="6359595B">
            <w:pPr>
              <w:rPr>
                <w:rFonts w:ascii="Arial"/>
                <w:color w:val="auto"/>
                <w:sz w:val="21"/>
              </w:rPr>
            </w:pPr>
          </w:p>
        </w:tc>
        <w:tc>
          <w:tcPr>
            <w:tcW w:w="2502" w:type="dxa"/>
            <w:vAlign w:val="top"/>
          </w:tcPr>
          <w:p w14:paraId="40921826">
            <w:pPr>
              <w:rPr>
                <w:rFonts w:ascii="Arial"/>
                <w:color w:val="auto"/>
                <w:sz w:val="21"/>
              </w:rPr>
            </w:pPr>
          </w:p>
        </w:tc>
      </w:tr>
      <w:tr w14:paraId="37234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141" w:type="dxa"/>
            <w:vAlign w:val="top"/>
          </w:tcPr>
          <w:p w14:paraId="4892E229">
            <w:pPr>
              <w:rPr>
                <w:rFonts w:ascii="Arial"/>
                <w:color w:val="auto"/>
                <w:sz w:val="21"/>
              </w:rPr>
            </w:pPr>
          </w:p>
        </w:tc>
        <w:tc>
          <w:tcPr>
            <w:tcW w:w="2325" w:type="dxa"/>
            <w:vAlign w:val="top"/>
          </w:tcPr>
          <w:p w14:paraId="15AFA8D3">
            <w:pPr>
              <w:rPr>
                <w:rFonts w:ascii="Arial"/>
                <w:color w:val="auto"/>
                <w:sz w:val="21"/>
              </w:rPr>
            </w:pPr>
          </w:p>
        </w:tc>
        <w:tc>
          <w:tcPr>
            <w:tcW w:w="2498" w:type="dxa"/>
            <w:vAlign w:val="top"/>
          </w:tcPr>
          <w:p w14:paraId="2A5BF6DE">
            <w:pPr>
              <w:rPr>
                <w:rFonts w:ascii="Arial"/>
                <w:color w:val="auto"/>
                <w:sz w:val="21"/>
              </w:rPr>
            </w:pPr>
          </w:p>
        </w:tc>
        <w:tc>
          <w:tcPr>
            <w:tcW w:w="2502" w:type="dxa"/>
            <w:vAlign w:val="top"/>
          </w:tcPr>
          <w:p w14:paraId="10A0037E">
            <w:pPr>
              <w:rPr>
                <w:rFonts w:ascii="Arial"/>
                <w:color w:val="auto"/>
                <w:sz w:val="21"/>
              </w:rPr>
            </w:pPr>
          </w:p>
        </w:tc>
      </w:tr>
      <w:tr w14:paraId="36FF9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141" w:type="dxa"/>
            <w:vAlign w:val="top"/>
          </w:tcPr>
          <w:p w14:paraId="134F35BF">
            <w:pPr>
              <w:rPr>
                <w:rFonts w:ascii="Arial"/>
                <w:color w:val="auto"/>
                <w:sz w:val="21"/>
              </w:rPr>
            </w:pPr>
          </w:p>
        </w:tc>
        <w:tc>
          <w:tcPr>
            <w:tcW w:w="2325" w:type="dxa"/>
            <w:vAlign w:val="top"/>
          </w:tcPr>
          <w:p w14:paraId="4B6455E7">
            <w:pPr>
              <w:rPr>
                <w:rFonts w:ascii="Arial"/>
                <w:color w:val="auto"/>
                <w:sz w:val="21"/>
              </w:rPr>
            </w:pPr>
          </w:p>
        </w:tc>
        <w:tc>
          <w:tcPr>
            <w:tcW w:w="2498" w:type="dxa"/>
            <w:vAlign w:val="top"/>
          </w:tcPr>
          <w:p w14:paraId="186D5765">
            <w:pPr>
              <w:rPr>
                <w:rFonts w:ascii="Arial"/>
                <w:color w:val="auto"/>
                <w:sz w:val="21"/>
              </w:rPr>
            </w:pPr>
          </w:p>
        </w:tc>
        <w:tc>
          <w:tcPr>
            <w:tcW w:w="2502" w:type="dxa"/>
            <w:vAlign w:val="top"/>
          </w:tcPr>
          <w:p w14:paraId="49BFF3FE">
            <w:pPr>
              <w:rPr>
                <w:rFonts w:ascii="Arial"/>
                <w:color w:val="auto"/>
                <w:sz w:val="21"/>
              </w:rPr>
            </w:pPr>
          </w:p>
        </w:tc>
      </w:tr>
      <w:tr w14:paraId="1E217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141" w:type="dxa"/>
            <w:vAlign w:val="top"/>
          </w:tcPr>
          <w:p w14:paraId="38A516C6">
            <w:pPr>
              <w:rPr>
                <w:rFonts w:ascii="Arial"/>
                <w:color w:val="auto"/>
                <w:sz w:val="21"/>
              </w:rPr>
            </w:pPr>
          </w:p>
        </w:tc>
        <w:tc>
          <w:tcPr>
            <w:tcW w:w="2325" w:type="dxa"/>
            <w:vAlign w:val="top"/>
          </w:tcPr>
          <w:p w14:paraId="52EFC678">
            <w:pPr>
              <w:rPr>
                <w:rFonts w:ascii="Arial"/>
                <w:color w:val="auto"/>
                <w:sz w:val="21"/>
              </w:rPr>
            </w:pPr>
          </w:p>
        </w:tc>
        <w:tc>
          <w:tcPr>
            <w:tcW w:w="2498" w:type="dxa"/>
            <w:vAlign w:val="top"/>
          </w:tcPr>
          <w:p w14:paraId="1F8178A8">
            <w:pPr>
              <w:rPr>
                <w:rFonts w:ascii="Arial"/>
                <w:color w:val="auto"/>
                <w:sz w:val="21"/>
              </w:rPr>
            </w:pPr>
          </w:p>
        </w:tc>
        <w:tc>
          <w:tcPr>
            <w:tcW w:w="2502" w:type="dxa"/>
            <w:vAlign w:val="top"/>
          </w:tcPr>
          <w:p w14:paraId="4B6AC2FA">
            <w:pPr>
              <w:rPr>
                <w:rFonts w:ascii="Arial"/>
                <w:color w:val="auto"/>
                <w:sz w:val="21"/>
              </w:rPr>
            </w:pPr>
          </w:p>
        </w:tc>
      </w:tr>
      <w:tr w14:paraId="20DCE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141" w:type="dxa"/>
            <w:vAlign w:val="top"/>
          </w:tcPr>
          <w:p w14:paraId="681E0E3A">
            <w:pPr>
              <w:rPr>
                <w:rFonts w:ascii="Arial"/>
                <w:color w:val="auto"/>
                <w:sz w:val="21"/>
              </w:rPr>
            </w:pPr>
          </w:p>
        </w:tc>
        <w:tc>
          <w:tcPr>
            <w:tcW w:w="2325" w:type="dxa"/>
            <w:vAlign w:val="top"/>
          </w:tcPr>
          <w:p w14:paraId="4133924F">
            <w:pPr>
              <w:rPr>
                <w:rFonts w:ascii="Arial"/>
                <w:color w:val="auto"/>
                <w:sz w:val="21"/>
              </w:rPr>
            </w:pPr>
          </w:p>
        </w:tc>
        <w:tc>
          <w:tcPr>
            <w:tcW w:w="2498" w:type="dxa"/>
            <w:vAlign w:val="top"/>
          </w:tcPr>
          <w:p w14:paraId="756AE6F6">
            <w:pPr>
              <w:rPr>
                <w:rFonts w:ascii="Arial"/>
                <w:color w:val="auto"/>
                <w:sz w:val="21"/>
              </w:rPr>
            </w:pPr>
          </w:p>
        </w:tc>
        <w:tc>
          <w:tcPr>
            <w:tcW w:w="2502" w:type="dxa"/>
            <w:vAlign w:val="top"/>
          </w:tcPr>
          <w:p w14:paraId="594C14B4">
            <w:pPr>
              <w:rPr>
                <w:rFonts w:ascii="Arial"/>
                <w:color w:val="auto"/>
                <w:sz w:val="21"/>
              </w:rPr>
            </w:pPr>
          </w:p>
        </w:tc>
      </w:tr>
      <w:tr w14:paraId="08225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141" w:type="dxa"/>
            <w:vAlign w:val="top"/>
          </w:tcPr>
          <w:p w14:paraId="6B5FA2A6">
            <w:pPr>
              <w:rPr>
                <w:rFonts w:ascii="Arial"/>
                <w:color w:val="auto"/>
                <w:sz w:val="21"/>
              </w:rPr>
            </w:pPr>
          </w:p>
        </w:tc>
        <w:tc>
          <w:tcPr>
            <w:tcW w:w="2325" w:type="dxa"/>
            <w:vAlign w:val="top"/>
          </w:tcPr>
          <w:p w14:paraId="25CB0A17">
            <w:pPr>
              <w:rPr>
                <w:rFonts w:ascii="Arial"/>
                <w:color w:val="auto"/>
                <w:sz w:val="21"/>
              </w:rPr>
            </w:pPr>
          </w:p>
        </w:tc>
        <w:tc>
          <w:tcPr>
            <w:tcW w:w="2498" w:type="dxa"/>
            <w:vAlign w:val="top"/>
          </w:tcPr>
          <w:p w14:paraId="60A2388D">
            <w:pPr>
              <w:rPr>
                <w:rFonts w:ascii="Arial"/>
                <w:color w:val="auto"/>
                <w:sz w:val="21"/>
              </w:rPr>
            </w:pPr>
          </w:p>
        </w:tc>
        <w:tc>
          <w:tcPr>
            <w:tcW w:w="2502" w:type="dxa"/>
            <w:vAlign w:val="top"/>
          </w:tcPr>
          <w:p w14:paraId="5E2C52F2">
            <w:pPr>
              <w:rPr>
                <w:rFonts w:ascii="Arial"/>
                <w:color w:val="auto"/>
                <w:sz w:val="21"/>
              </w:rPr>
            </w:pPr>
          </w:p>
        </w:tc>
      </w:tr>
      <w:tr w14:paraId="48A75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141" w:type="dxa"/>
            <w:vAlign w:val="top"/>
          </w:tcPr>
          <w:p w14:paraId="7FFD0B40">
            <w:pPr>
              <w:rPr>
                <w:rFonts w:ascii="Arial"/>
                <w:color w:val="auto"/>
                <w:sz w:val="21"/>
              </w:rPr>
            </w:pPr>
          </w:p>
        </w:tc>
        <w:tc>
          <w:tcPr>
            <w:tcW w:w="2325" w:type="dxa"/>
            <w:vAlign w:val="top"/>
          </w:tcPr>
          <w:p w14:paraId="2A3CB43B">
            <w:pPr>
              <w:rPr>
                <w:rFonts w:ascii="Arial"/>
                <w:color w:val="auto"/>
                <w:sz w:val="21"/>
              </w:rPr>
            </w:pPr>
          </w:p>
        </w:tc>
        <w:tc>
          <w:tcPr>
            <w:tcW w:w="2498" w:type="dxa"/>
            <w:vAlign w:val="top"/>
          </w:tcPr>
          <w:p w14:paraId="687CA3F9">
            <w:pPr>
              <w:rPr>
                <w:rFonts w:ascii="Arial"/>
                <w:color w:val="auto"/>
                <w:sz w:val="21"/>
              </w:rPr>
            </w:pPr>
          </w:p>
        </w:tc>
        <w:tc>
          <w:tcPr>
            <w:tcW w:w="2502" w:type="dxa"/>
            <w:vAlign w:val="top"/>
          </w:tcPr>
          <w:p w14:paraId="6F307E02">
            <w:pPr>
              <w:rPr>
                <w:rFonts w:ascii="Arial"/>
                <w:color w:val="auto"/>
                <w:sz w:val="21"/>
              </w:rPr>
            </w:pPr>
          </w:p>
        </w:tc>
      </w:tr>
      <w:tr w14:paraId="41663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141" w:type="dxa"/>
            <w:vAlign w:val="top"/>
          </w:tcPr>
          <w:p w14:paraId="7E4F94D8">
            <w:pPr>
              <w:rPr>
                <w:rFonts w:ascii="Arial"/>
                <w:color w:val="auto"/>
                <w:sz w:val="21"/>
              </w:rPr>
            </w:pPr>
          </w:p>
        </w:tc>
        <w:tc>
          <w:tcPr>
            <w:tcW w:w="2325" w:type="dxa"/>
            <w:vAlign w:val="top"/>
          </w:tcPr>
          <w:p w14:paraId="1C65679D">
            <w:pPr>
              <w:rPr>
                <w:rFonts w:ascii="Arial"/>
                <w:color w:val="auto"/>
                <w:sz w:val="21"/>
              </w:rPr>
            </w:pPr>
          </w:p>
        </w:tc>
        <w:tc>
          <w:tcPr>
            <w:tcW w:w="2498" w:type="dxa"/>
            <w:vAlign w:val="top"/>
          </w:tcPr>
          <w:p w14:paraId="36A0B4D9">
            <w:pPr>
              <w:rPr>
                <w:rFonts w:ascii="Arial"/>
                <w:color w:val="auto"/>
                <w:sz w:val="21"/>
              </w:rPr>
            </w:pPr>
          </w:p>
        </w:tc>
        <w:tc>
          <w:tcPr>
            <w:tcW w:w="2502" w:type="dxa"/>
            <w:vAlign w:val="top"/>
          </w:tcPr>
          <w:p w14:paraId="4C6113AC">
            <w:pPr>
              <w:rPr>
                <w:rFonts w:ascii="Arial"/>
                <w:color w:val="auto"/>
                <w:sz w:val="21"/>
              </w:rPr>
            </w:pPr>
          </w:p>
        </w:tc>
      </w:tr>
      <w:tr w14:paraId="15272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141" w:type="dxa"/>
            <w:vAlign w:val="top"/>
          </w:tcPr>
          <w:p w14:paraId="76CCC041">
            <w:pPr>
              <w:rPr>
                <w:rFonts w:ascii="Arial"/>
                <w:color w:val="auto"/>
                <w:sz w:val="21"/>
              </w:rPr>
            </w:pPr>
          </w:p>
        </w:tc>
        <w:tc>
          <w:tcPr>
            <w:tcW w:w="2325" w:type="dxa"/>
            <w:vAlign w:val="top"/>
          </w:tcPr>
          <w:p w14:paraId="537A65C2">
            <w:pPr>
              <w:rPr>
                <w:rFonts w:ascii="Arial"/>
                <w:color w:val="auto"/>
                <w:sz w:val="21"/>
              </w:rPr>
            </w:pPr>
          </w:p>
        </w:tc>
        <w:tc>
          <w:tcPr>
            <w:tcW w:w="2498" w:type="dxa"/>
            <w:vAlign w:val="top"/>
          </w:tcPr>
          <w:p w14:paraId="0963F0DF">
            <w:pPr>
              <w:rPr>
                <w:rFonts w:ascii="Arial"/>
                <w:color w:val="auto"/>
                <w:sz w:val="21"/>
              </w:rPr>
            </w:pPr>
          </w:p>
        </w:tc>
        <w:tc>
          <w:tcPr>
            <w:tcW w:w="2502" w:type="dxa"/>
            <w:vAlign w:val="top"/>
          </w:tcPr>
          <w:p w14:paraId="67428D61">
            <w:pPr>
              <w:rPr>
                <w:rFonts w:ascii="Arial"/>
                <w:color w:val="auto"/>
                <w:sz w:val="21"/>
              </w:rPr>
            </w:pPr>
          </w:p>
        </w:tc>
      </w:tr>
      <w:tr w14:paraId="72EA4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141" w:type="dxa"/>
            <w:vAlign w:val="top"/>
          </w:tcPr>
          <w:p w14:paraId="074B4B11">
            <w:pPr>
              <w:rPr>
                <w:rFonts w:ascii="Arial"/>
                <w:color w:val="auto"/>
                <w:sz w:val="21"/>
              </w:rPr>
            </w:pPr>
          </w:p>
        </w:tc>
        <w:tc>
          <w:tcPr>
            <w:tcW w:w="2325" w:type="dxa"/>
            <w:vAlign w:val="top"/>
          </w:tcPr>
          <w:p w14:paraId="1F753BB2">
            <w:pPr>
              <w:rPr>
                <w:rFonts w:ascii="Arial"/>
                <w:color w:val="auto"/>
                <w:sz w:val="21"/>
              </w:rPr>
            </w:pPr>
          </w:p>
        </w:tc>
        <w:tc>
          <w:tcPr>
            <w:tcW w:w="2498" w:type="dxa"/>
            <w:vAlign w:val="top"/>
          </w:tcPr>
          <w:p w14:paraId="7273B56D">
            <w:pPr>
              <w:rPr>
                <w:rFonts w:ascii="Arial"/>
                <w:color w:val="auto"/>
                <w:sz w:val="21"/>
              </w:rPr>
            </w:pPr>
          </w:p>
        </w:tc>
        <w:tc>
          <w:tcPr>
            <w:tcW w:w="2502" w:type="dxa"/>
            <w:vAlign w:val="top"/>
          </w:tcPr>
          <w:p w14:paraId="232CB614">
            <w:pPr>
              <w:rPr>
                <w:rFonts w:ascii="Arial"/>
                <w:color w:val="auto"/>
                <w:sz w:val="21"/>
              </w:rPr>
            </w:pPr>
          </w:p>
        </w:tc>
      </w:tr>
      <w:tr w14:paraId="5429B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141" w:type="dxa"/>
            <w:vAlign w:val="top"/>
          </w:tcPr>
          <w:p w14:paraId="77C060AE">
            <w:pPr>
              <w:rPr>
                <w:rFonts w:ascii="Arial"/>
                <w:color w:val="auto"/>
                <w:sz w:val="21"/>
              </w:rPr>
            </w:pPr>
          </w:p>
        </w:tc>
        <w:tc>
          <w:tcPr>
            <w:tcW w:w="2325" w:type="dxa"/>
            <w:vAlign w:val="top"/>
          </w:tcPr>
          <w:p w14:paraId="150A733D">
            <w:pPr>
              <w:rPr>
                <w:rFonts w:ascii="Arial"/>
                <w:color w:val="auto"/>
                <w:sz w:val="21"/>
              </w:rPr>
            </w:pPr>
          </w:p>
        </w:tc>
        <w:tc>
          <w:tcPr>
            <w:tcW w:w="2498" w:type="dxa"/>
            <w:vAlign w:val="top"/>
          </w:tcPr>
          <w:p w14:paraId="047B7A20">
            <w:pPr>
              <w:rPr>
                <w:rFonts w:ascii="Arial"/>
                <w:color w:val="auto"/>
                <w:sz w:val="21"/>
              </w:rPr>
            </w:pPr>
          </w:p>
        </w:tc>
        <w:tc>
          <w:tcPr>
            <w:tcW w:w="2502" w:type="dxa"/>
            <w:vAlign w:val="top"/>
          </w:tcPr>
          <w:p w14:paraId="22A8B426">
            <w:pPr>
              <w:rPr>
                <w:rFonts w:ascii="Arial"/>
                <w:color w:val="auto"/>
                <w:sz w:val="21"/>
              </w:rPr>
            </w:pPr>
          </w:p>
        </w:tc>
      </w:tr>
    </w:tbl>
    <w:p w14:paraId="524EC851">
      <w:pPr>
        <w:pStyle w:val="2"/>
        <w:rPr>
          <w:color w:val="auto"/>
        </w:rPr>
      </w:pPr>
    </w:p>
    <w:p w14:paraId="6350961F">
      <w:pPr>
        <w:rPr>
          <w:color w:val="auto"/>
        </w:rPr>
        <w:sectPr>
          <w:footerReference r:id="rId33" w:type="default"/>
          <w:pgSz w:w="11906" w:h="16839"/>
          <w:pgMar w:top="1440" w:right="1080" w:bottom="1440" w:left="1080" w:header="0" w:footer="783" w:gutter="0"/>
          <w:pgNumType w:fmt="decimal"/>
          <w:cols w:space="720" w:num="1"/>
        </w:sectPr>
      </w:pPr>
    </w:p>
    <w:p w14:paraId="359A1941">
      <w:pPr>
        <w:pStyle w:val="2"/>
        <w:spacing w:line="325" w:lineRule="auto"/>
        <w:rPr>
          <w:color w:val="auto"/>
        </w:rPr>
      </w:pPr>
    </w:p>
    <w:p w14:paraId="28DADB95">
      <w:pPr>
        <w:spacing w:before="91" w:line="220" w:lineRule="auto"/>
        <w:ind w:left="3515"/>
        <w:outlineLvl w:val="1"/>
        <w:rPr>
          <w:rFonts w:ascii="宋体" w:hAnsi="宋体" w:eastAsia="宋体" w:cs="宋体"/>
          <w:color w:val="auto"/>
          <w:sz w:val="28"/>
          <w:szCs w:val="28"/>
        </w:rPr>
      </w:pPr>
      <w:bookmarkStart w:id="30" w:name="_Toc31447"/>
      <w:r>
        <w:rPr>
          <w:rFonts w:ascii="宋体" w:hAnsi="宋体" w:eastAsia="宋体" w:cs="宋体"/>
          <w:b/>
          <w:bCs/>
          <w:color w:val="auto"/>
          <w:spacing w:val="-4"/>
          <w:sz w:val="28"/>
          <w:szCs w:val="28"/>
        </w:rPr>
        <w:t>八、项目管理机构</w:t>
      </w:r>
      <w:bookmarkEnd w:id="30"/>
    </w:p>
    <w:p w14:paraId="29AFCC56">
      <w:pPr>
        <w:pStyle w:val="2"/>
        <w:spacing w:line="356" w:lineRule="auto"/>
        <w:rPr>
          <w:color w:val="auto"/>
        </w:rPr>
      </w:pPr>
    </w:p>
    <w:p w14:paraId="32D043FB">
      <w:pPr>
        <w:spacing w:before="78" w:line="219" w:lineRule="auto"/>
        <w:ind w:left="3201"/>
        <w:outlineLvl w:val="2"/>
        <w:rPr>
          <w:rFonts w:ascii="宋体" w:hAnsi="宋体" w:eastAsia="宋体" w:cs="宋体"/>
          <w:color w:val="auto"/>
          <w:sz w:val="24"/>
          <w:szCs w:val="24"/>
        </w:rPr>
      </w:pPr>
      <w:bookmarkStart w:id="31" w:name="_Toc19293"/>
      <w:r>
        <w:rPr>
          <w:rFonts w:ascii="宋体" w:hAnsi="宋体" w:eastAsia="宋体" w:cs="宋体"/>
          <w:b/>
          <w:bCs/>
          <w:color w:val="auto"/>
          <w:spacing w:val="-4"/>
          <w:sz w:val="24"/>
          <w:szCs w:val="24"/>
        </w:rPr>
        <w:t>（一）项目管理机构组成表</w:t>
      </w:r>
      <w:bookmarkEnd w:id="31"/>
    </w:p>
    <w:p w14:paraId="27687638">
      <w:pPr>
        <w:spacing w:before="54"/>
        <w:rPr>
          <w:color w:val="auto"/>
        </w:rPr>
      </w:pPr>
    </w:p>
    <w:p w14:paraId="5D224E18">
      <w:pPr>
        <w:spacing w:before="54"/>
        <w:rPr>
          <w:color w:val="auto"/>
        </w:rPr>
      </w:pPr>
    </w:p>
    <w:tbl>
      <w:tblPr>
        <w:tblStyle w:val="15"/>
        <w:tblW w:w="94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726"/>
        <w:gridCol w:w="889"/>
        <w:gridCol w:w="1450"/>
        <w:gridCol w:w="900"/>
        <w:gridCol w:w="1079"/>
        <w:gridCol w:w="1285"/>
        <w:gridCol w:w="1327"/>
        <w:gridCol w:w="1073"/>
      </w:tblGrid>
      <w:tr w14:paraId="2992F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718" w:type="dxa"/>
            <w:vMerge w:val="restart"/>
            <w:tcBorders>
              <w:bottom w:val="nil"/>
            </w:tcBorders>
            <w:vAlign w:val="top"/>
          </w:tcPr>
          <w:p w14:paraId="6E77C7C6">
            <w:pPr>
              <w:spacing w:line="450" w:lineRule="auto"/>
              <w:rPr>
                <w:rFonts w:ascii="Arial"/>
                <w:color w:val="auto"/>
                <w:sz w:val="21"/>
              </w:rPr>
            </w:pPr>
          </w:p>
          <w:p w14:paraId="643489E4">
            <w:pPr>
              <w:pStyle w:val="16"/>
              <w:spacing w:before="65" w:line="228" w:lineRule="auto"/>
              <w:ind w:left="155"/>
              <w:rPr>
                <w:color w:val="auto"/>
                <w:sz w:val="20"/>
                <w:szCs w:val="20"/>
              </w:rPr>
            </w:pPr>
            <w:r>
              <w:rPr>
                <w:color w:val="auto"/>
                <w:spacing w:val="4"/>
                <w:sz w:val="20"/>
                <w:szCs w:val="20"/>
              </w:rPr>
              <w:t>职务</w:t>
            </w:r>
          </w:p>
        </w:tc>
        <w:tc>
          <w:tcPr>
            <w:tcW w:w="726" w:type="dxa"/>
            <w:vMerge w:val="restart"/>
            <w:tcBorders>
              <w:bottom w:val="nil"/>
            </w:tcBorders>
            <w:vAlign w:val="top"/>
          </w:tcPr>
          <w:p w14:paraId="743DE3CC">
            <w:pPr>
              <w:spacing w:line="450" w:lineRule="auto"/>
              <w:rPr>
                <w:rFonts w:ascii="Arial"/>
                <w:color w:val="auto"/>
                <w:sz w:val="21"/>
              </w:rPr>
            </w:pPr>
          </w:p>
          <w:p w14:paraId="57601639">
            <w:pPr>
              <w:pStyle w:val="16"/>
              <w:spacing w:before="65" w:line="228" w:lineRule="auto"/>
              <w:ind w:left="156"/>
              <w:rPr>
                <w:color w:val="auto"/>
                <w:sz w:val="20"/>
                <w:szCs w:val="20"/>
              </w:rPr>
            </w:pPr>
            <w:r>
              <w:rPr>
                <w:color w:val="auto"/>
                <w:spacing w:val="4"/>
                <w:sz w:val="20"/>
                <w:szCs w:val="20"/>
              </w:rPr>
              <w:t>姓名</w:t>
            </w:r>
          </w:p>
        </w:tc>
        <w:tc>
          <w:tcPr>
            <w:tcW w:w="889" w:type="dxa"/>
            <w:vMerge w:val="restart"/>
            <w:tcBorders>
              <w:bottom w:val="nil"/>
            </w:tcBorders>
            <w:vAlign w:val="top"/>
          </w:tcPr>
          <w:p w14:paraId="0EEA5D87">
            <w:pPr>
              <w:spacing w:line="449" w:lineRule="auto"/>
              <w:rPr>
                <w:rFonts w:ascii="Arial"/>
                <w:color w:val="auto"/>
                <w:sz w:val="21"/>
              </w:rPr>
            </w:pPr>
          </w:p>
          <w:p w14:paraId="68A92398">
            <w:pPr>
              <w:pStyle w:val="16"/>
              <w:spacing w:before="65" w:line="231" w:lineRule="auto"/>
              <w:ind w:left="237"/>
              <w:rPr>
                <w:color w:val="auto"/>
                <w:sz w:val="20"/>
                <w:szCs w:val="20"/>
              </w:rPr>
            </w:pPr>
            <w:r>
              <w:rPr>
                <w:color w:val="auto"/>
                <w:spacing w:val="4"/>
                <w:sz w:val="20"/>
                <w:szCs w:val="20"/>
              </w:rPr>
              <w:t>职称</w:t>
            </w:r>
          </w:p>
        </w:tc>
        <w:tc>
          <w:tcPr>
            <w:tcW w:w="6041" w:type="dxa"/>
            <w:gridSpan w:val="5"/>
            <w:vAlign w:val="top"/>
          </w:tcPr>
          <w:p w14:paraId="2C235F08">
            <w:pPr>
              <w:pStyle w:val="16"/>
              <w:spacing w:before="206" w:line="228" w:lineRule="auto"/>
              <w:ind w:left="2081"/>
              <w:rPr>
                <w:color w:val="auto"/>
                <w:sz w:val="20"/>
                <w:szCs w:val="20"/>
              </w:rPr>
            </w:pPr>
            <w:r>
              <w:rPr>
                <w:color w:val="auto"/>
                <w:spacing w:val="8"/>
                <w:sz w:val="20"/>
                <w:szCs w:val="20"/>
              </w:rPr>
              <w:t>执业或职业资格证明</w:t>
            </w:r>
          </w:p>
        </w:tc>
        <w:tc>
          <w:tcPr>
            <w:tcW w:w="1073" w:type="dxa"/>
            <w:vMerge w:val="restart"/>
            <w:tcBorders>
              <w:bottom w:val="nil"/>
            </w:tcBorders>
            <w:vAlign w:val="top"/>
          </w:tcPr>
          <w:p w14:paraId="197CC862">
            <w:pPr>
              <w:spacing w:line="450" w:lineRule="auto"/>
              <w:rPr>
                <w:rFonts w:ascii="Arial"/>
                <w:color w:val="auto"/>
                <w:sz w:val="21"/>
              </w:rPr>
            </w:pPr>
          </w:p>
          <w:p w14:paraId="4A1DD3F7">
            <w:pPr>
              <w:pStyle w:val="16"/>
              <w:spacing w:before="65" w:line="230" w:lineRule="auto"/>
              <w:ind w:left="334"/>
              <w:rPr>
                <w:color w:val="auto"/>
                <w:sz w:val="20"/>
                <w:szCs w:val="20"/>
              </w:rPr>
            </w:pPr>
            <w:r>
              <w:rPr>
                <w:color w:val="auto"/>
                <w:spacing w:val="3"/>
                <w:sz w:val="20"/>
                <w:szCs w:val="20"/>
              </w:rPr>
              <w:t>备注</w:t>
            </w:r>
          </w:p>
        </w:tc>
      </w:tr>
      <w:tr w14:paraId="488BE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18" w:type="dxa"/>
            <w:vMerge w:val="continue"/>
            <w:tcBorders>
              <w:top w:val="nil"/>
            </w:tcBorders>
            <w:vAlign w:val="top"/>
          </w:tcPr>
          <w:p w14:paraId="2E0B6D4D">
            <w:pPr>
              <w:rPr>
                <w:rFonts w:ascii="Arial"/>
                <w:color w:val="auto"/>
                <w:sz w:val="21"/>
              </w:rPr>
            </w:pPr>
          </w:p>
        </w:tc>
        <w:tc>
          <w:tcPr>
            <w:tcW w:w="726" w:type="dxa"/>
            <w:vMerge w:val="continue"/>
            <w:tcBorders>
              <w:top w:val="nil"/>
            </w:tcBorders>
            <w:vAlign w:val="top"/>
          </w:tcPr>
          <w:p w14:paraId="474FBE17">
            <w:pPr>
              <w:rPr>
                <w:rFonts w:ascii="Arial"/>
                <w:color w:val="auto"/>
                <w:sz w:val="21"/>
              </w:rPr>
            </w:pPr>
          </w:p>
        </w:tc>
        <w:tc>
          <w:tcPr>
            <w:tcW w:w="889" w:type="dxa"/>
            <w:vMerge w:val="continue"/>
            <w:tcBorders>
              <w:top w:val="nil"/>
            </w:tcBorders>
            <w:vAlign w:val="top"/>
          </w:tcPr>
          <w:p w14:paraId="18558466">
            <w:pPr>
              <w:rPr>
                <w:rFonts w:ascii="Arial"/>
                <w:color w:val="auto"/>
                <w:sz w:val="21"/>
              </w:rPr>
            </w:pPr>
          </w:p>
        </w:tc>
        <w:tc>
          <w:tcPr>
            <w:tcW w:w="1450" w:type="dxa"/>
            <w:vAlign w:val="top"/>
          </w:tcPr>
          <w:p w14:paraId="4FAA10FC">
            <w:pPr>
              <w:pStyle w:val="16"/>
              <w:spacing w:before="202" w:line="228" w:lineRule="auto"/>
              <w:ind w:left="308"/>
              <w:rPr>
                <w:color w:val="auto"/>
                <w:sz w:val="20"/>
                <w:szCs w:val="20"/>
              </w:rPr>
            </w:pPr>
            <w:r>
              <w:rPr>
                <w:color w:val="auto"/>
                <w:spacing w:val="7"/>
                <w:sz w:val="20"/>
                <w:szCs w:val="20"/>
              </w:rPr>
              <w:t>证书名称</w:t>
            </w:r>
          </w:p>
        </w:tc>
        <w:tc>
          <w:tcPr>
            <w:tcW w:w="900" w:type="dxa"/>
            <w:vAlign w:val="top"/>
          </w:tcPr>
          <w:p w14:paraId="0F8F8E11">
            <w:pPr>
              <w:pStyle w:val="16"/>
              <w:spacing w:before="203" w:line="229" w:lineRule="auto"/>
              <w:ind w:left="248"/>
              <w:rPr>
                <w:color w:val="auto"/>
                <w:sz w:val="20"/>
                <w:szCs w:val="20"/>
              </w:rPr>
            </w:pPr>
            <w:r>
              <w:rPr>
                <w:color w:val="auto"/>
                <w:spacing w:val="3"/>
                <w:sz w:val="20"/>
                <w:szCs w:val="20"/>
              </w:rPr>
              <w:t>级别</w:t>
            </w:r>
          </w:p>
        </w:tc>
        <w:tc>
          <w:tcPr>
            <w:tcW w:w="1079" w:type="dxa"/>
            <w:vAlign w:val="top"/>
          </w:tcPr>
          <w:p w14:paraId="0B2424AB">
            <w:pPr>
              <w:pStyle w:val="16"/>
              <w:spacing w:before="202" w:line="230" w:lineRule="auto"/>
              <w:ind w:left="334"/>
              <w:rPr>
                <w:color w:val="auto"/>
                <w:sz w:val="20"/>
                <w:szCs w:val="20"/>
              </w:rPr>
            </w:pPr>
            <w:r>
              <w:rPr>
                <w:color w:val="auto"/>
                <w:spacing w:val="4"/>
                <w:sz w:val="20"/>
                <w:szCs w:val="20"/>
              </w:rPr>
              <w:t>证号</w:t>
            </w:r>
          </w:p>
        </w:tc>
        <w:tc>
          <w:tcPr>
            <w:tcW w:w="1285" w:type="dxa"/>
            <w:vAlign w:val="top"/>
          </w:tcPr>
          <w:p w14:paraId="7E1EA105">
            <w:pPr>
              <w:pStyle w:val="16"/>
              <w:spacing w:before="203" w:line="229" w:lineRule="auto"/>
              <w:ind w:left="439"/>
              <w:rPr>
                <w:color w:val="auto"/>
                <w:sz w:val="20"/>
                <w:szCs w:val="20"/>
              </w:rPr>
            </w:pPr>
            <w:r>
              <w:rPr>
                <w:color w:val="auto"/>
                <w:spacing w:val="4"/>
                <w:sz w:val="20"/>
                <w:szCs w:val="20"/>
              </w:rPr>
              <w:t>专业</w:t>
            </w:r>
          </w:p>
        </w:tc>
        <w:tc>
          <w:tcPr>
            <w:tcW w:w="1327" w:type="dxa"/>
            <w:vAlign w:val="top"/>
          </w:tcPr>
          <w:p w14:paraId="25C9D990">
            <w:pPr>
              <w:pStyle w:val="16"/>
              <w:spacing w:before="203" w:line="228" w:lineRule="auto"/>
              <w:ind w:left="250"/>
              <w:rPr>
                <w:color w:val="auto"/>
                <w:sz w:val="20"/>
                <w:szCs w:val="20"/>
              </w:rPr>
            </w:pPr>
            <w:r>
              <w:rPr>
                <w:color w:val="auto"/>
                <w:spacing w:val="7"/>
                <w:sz w:val="20"/>
                <w:szCs w:val="20"/>
              </w:rPr>
              <w:t>养老保险</w:t>
            </w:r>
          </w:p>
        </w:tc>
        <w:tc>
          <w:tcPr>
            <w:tcW w:w="1073" w:type="dxa"/>
            <w:vMerge w:val="continue"/>
            <w:tcBorders>
              <w:top w:val="nil"/>
            </w:tcBorders>
            <w:vAlign w:val="top"/>
          </w:tcPr>
          <w:p w14:paraId="75B95676">
            <w:pPr>
              <w:rPr>
                <w:rFonts w:ascii="Arial"/>
                <w:color w:val="auto"/>
                <w:sz w:val="21"/>
              </w:rPr>
            </w:pPr>
          </w:p>
        </w:tc>
      </w:tr>
      <w:tr w14:paraId="05C3C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14:paraId="7664CB4D">
            <w:pPr>
              <w:rPr>
                <w:rFonts w:ascii="Arial"/>
                <w:color w:val="auto"/>
                <w:sz w:val="21"/>
              </w:rPr>
            </w:pPr>
          </w:p>
        </w:tc>
        <w:tc>
          <w:tcPr>
            <w:tcW w:w="726" w:type="dxa"/>
            <w:vAlign w:val="top"/>
          </w:tcPr>
          <w:p w14:paraId="37D41CBF">
            <w:pPr>
              <w:rPr>
                <w:rFonts w:ascii="Arial"/>
                <w:color w:val="auto"/>
                <w:sz w:val="21"/>
              </w:rPr>
            </w:pPr>
          </w:p>
        </w:tc>
        <w:tc>
          <w:tcPr>
            <w:tcW w:w="889" w:type="dxa"/>
            <w:vAlign w:val="top"/>
          </w:tcPr>
          <w:p w14:paraId="3C6D397F">
            <w:pPr>
              <w:rPr>
                <w:rFonts w:ascii="Arial"/>
                <w:color w:val="auto"/>
                <w:sz w:val="21"/>
              </w:rPr>
            </w:pPr>
          </w:p>
        </w:tc>
        <w:tc>
          <w:tcPr>
            <w:tcW w:w="1450" w:type="dxa"/>
            <w:vAlign w:val="top"/>
          </w:tcPr>
          <w:p w14:paraId="249F03B2">
            <w:pPr>
              <w:rPr>
                <w:rFonts w:ascii="Arial"/>
                <w:color w:val="auto"/>
                <w:sz w:val="21"/>
              </w:rPr>
            </w:pPr>
          </w:p>
        </w:tc>
        <w:tc>
          <w:tcPr>
            <w:tcW w:w="900" w:type="dxa"/>
            <w:vAlign w:val="top"/>
          </w:tcPr>
          <w:p w14:paraId="60D70B7D">
            <w:pPr>
              <w:rPr>
                <w:rFonts w:ascii="Arial"/>
                <w:color w:val="auto"/>
                <w:sz w:val="21"/>
              </w:rPr>
            </w:pPr>
          </w:p>
        </w:tc>
        <w:tc>
          <w:tcPr>
            <w:tcW w:w="1079" w:type="dxa"/>
            <w:vAlign w:val="top"/>
          </w:tcPr>
          <w:p w14:paraId="7EDA331B">
            <w:pPr>
              <w:rPr>
                <w:rFonts w:ascii="Arial"/>
                <w:color w:val="auto"/>
                <w:sz w:val="21"/>
              </w:rPr>
            </w:pPr>
          </w:p>
        </w:tc>
        <w:tc>
          <w:tcPr>
            <w:tcW w:w="1285" w:type="dxa"/>
            <w:vAlign w:val="top"/>
          </w:tcPr>
          <w:p w14:paraId="54934F9F">
            <w:pPr>
              <w:rPr>
                <w:rFonts w:ascii="Arial"/>
                <w:color w:val="auto"/>
                <w:sz w:val="21"/>
              </w:rPr>
            </w:pPr>
          </w:p>
        </w:tc>
        <w:tc>
          <w:tcPr>
            <w:tcW w:w="1327" w:type="dxa"/>
            <w:vAlign w:val="top"/>
          </w:tcPr>
          <w:p w14:paraId="59C93D07">
            <w:pPr>
              <w:rPr>
                <w:rFonts w:ascii="Arial"/>
                <w:color w:val="auto"/>
                <w:sz w:val="21"/>
              </w:rPr>
            </w:pPr>
          </w:p>
        </w:tc>
        <w:tc>
          <w:tcPr>
            <w:tcW w:w="1073" w:type="dxa"/>
            <w:vAlign w:val="top"/>
          </w:tcPr>
          <w:p w14:paraId="3F130DCB">
            <w:pPr>
              <w:rPr>
                <w:rFonts w:ascii="Arial"/>
                <w:color w:val="auto"/>
                <w:sz w:val="21"/>
              </w:rPr>
            </w:pPr>
          </w:p>
        </w:tc>
      </w:tr>
      <w:tr w14:paraId="7DAB7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14:paraId="68FFAEDA">
            <w:pPr>
              <w:rPr>
                <w:rFonts w:ascii="Arial"/>
                <w:color w:val="auto"/>
                <w:sz w:val="21"/>
              </w:rPr>
            </w:pPr>
          </w:p>
        </w:tc>
        <w:tc>
          <w:tcPr>
            <w:tcW w:w="726" w:type="dxa"/>
            <w:vAlign w:val="top"/>
          </w:tcPr>
          <w:p w14:paraId="3BBC6D23">
            <w:pPr>
              <w:rPr>
                <w:rFonts w:ascii="Arial"/>
                <w:color w:val="auto"/>
                <w:sz w:val="21"/>
              </w:rPr>
            </w:pPr>
          </w:p>
        </w:tc>
        <w:tc>
          <w:tcPr>
            <w:tcW w:w="889" w:type="dxa"/>
            <w:vAlign w:val="top"/>
          </w:tcPr>
          <w:p w14:paraId="11AB30EA">
            <w:pPr>
              <w:rPr>
                <w:rFonts w:ascii="Arial"/>
                <w:color w:val="auto"/>
                <w:sz w:val="21"/>
              </w:rPr>
            </w:pPr>
          </w:p>
        </w:tc>
        <w:tc>
          <w:tcPr>
            <w:tcW w:w="1450" w:type="dxa"/>
            <w:vAlign w:val="top"/>
          </w:tcPr>
          <w:p w14:paraId="2C11D9DE">
            <w:pPr>
              <w:rPr>
                <w:rFonts w:ascii="Arial"/>
                <w:color w:val="auto"/>
                <w:sz w:val="21"/>
              </w:rPr>
            </w:pPr>
          </w:p>
        </w:tc>
        <w:tc>
          <w:tcPr>
            <w:tcW w:w="900" w:type="dxa"/>
            <w:vAlign w:val="top"/>
          </w:tcPr>
          <w:p w14:paraId="038F1CAA">
            <w:pPr>
              <w:rPr>
                <w:rFonts w:ascii="Arial"/>
                <w:color w:val="auto"/>
                <w:sz w:val="21"/>
              </w:rPr>
            </w:pPr>
          </w:p>
        </w:tc>
        <w:tc>
          <w:tcPr>
            <w:tcW w:w="1079" w:type="dxa"/>
            <w:vAlign w:val="top"/>
          </w:tcPr>
          <w:p w14:paraId="386A0ED6">
            <w:pPr>
              <w:rPr>
                <w:rFonts w:ascii="Arial"/>
                <w:color w:val="auto"/>
                <w:sz w:val="21"/>
              </w:rPr>
            </w:pPr>
          </w:p>
        </w:tc>
        <w:tc>
          <w:tcPr>
            <w:tcW w:w="1285" w:type="dxa"/>
            <w:vAlign w:val="top"/>
          </w:tcPr>
          <w:p w14:paraId="6914C2EF">
            <w:pPr>
              <w:rPr>
                <w:rFonts w:ascii="Arial"/>
                <w:color w:val="auto"/>
                <w:sz w:val="21"/>
              </w:rPr>
            </w:pPr>
          </w:p>
        </w:tc>
        <w:tc>
          <w:tcPr>
            <w:tcW w:w="1327" w:type="dxa"/>
            <w:vAlign w:val="top"/>
          </w:tcPr>
          <w:p w14:paraId="5F31592A">
            <w:pPr>
              <w:rPr>
                <w:rFonts w:ascii="Arial"/>
                <w:color w:val="auto"/>
                <w:sz w:val="21"/>
              </w:rPr>
            </w:pPr>
          </w:p>
        </w:tc>
        <w:tc>
          <w:tcPr>
            <w:tcW w:w="1073" w:type="dxa"/>
            <w:vAlign w:val="top"/>
          </w:tcPr>
          <w:p w14:paraId="688897E7">
            <w:pPr>
              <w:rPr>
                <w:rFonts w:ascii="Arial"/>
                <w:color w:val="auto"/>
                <w:sz w:val="21"/>
              </w:rPr>
            </w:pPr>
          </w:p>
        </w:tc>
      </w:tr>
      <w:tr w14:paraId="6EEE2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14:paraId="2AFE8EF5">
            <w:pPr>
              <w:rPr>
                <w:rFonts w:ascii="Arial"/>
                <w:color w:val="auto"/>
                <w:sz w:val="21"/>
              </w:rPr>
            </w:pPr>
          </w:p>
        </w:tc>
        <w:tc>
          <w:tcPr>
            <w:tcW w:w="726" w:type="dxa"/>
            <w:vAlign w:val="top"/>
          </w:tcPr>
          <w:p w14:paraId="3ECA5602">
            <w:pPr>
              <w:rPr>
                <w:rFonts w:ascii="Arial"/>
                <w:color w:val="auto"/>
                <w:sz w:val="21"/>
              </w:rPr>
            </w:pPr>
          </w:p>
        </w:tc>
        <w:tc>
          <w:tcPr>
            <w:tcW w:w="889" w:type="dxa"/>
            <w:vAlign w:val="top"/>
          </w:tcPr>
          <w:p w14:paraId="4A3EB024">
            <w:pPr>
              <w:rPr>
                <w:rFonts w:ascii="Arial"/>
                <w:color w:val="auto"/>
                <w:sz w:val="21"/>
              </w:rPr>
            </w:pPr>
          </w:p>
        </w:tc>
        <w:tc>
          <w:tcPr>
            <w:tcW w:w="1450" w:type="dxa"/>
            <w:vAlign w:val="top"/>
          </w:tcPr>
          <w:p w14:paraId="6486DFAD">
            <w:pPr>
              <w:rPr>
                <w:rFonts w:ascii="Arial"/>
                <w:color w:val="auto"/>
                <w:sz w:val="21"/>
              </w:rPr>
            </w:pPr>
          </w:p>
        </w:tc>
        <w:tc>
          <w:tcPr>
            <w:tcW w:w="900" w:type="dxa"/>
            <w:vAlign w:val="top"/>
          </w:tcPr>
          <w:p w14:paraId="1044AA16">
            <w:pPr>
              <w:rPr>
                <w:rFonts w:ascii="Arial"/>
                <w:color w:val="auto"/>
                <w:sz w:val="21"/>
              </w:rPr>
            </w:pPr>
          </w:p>
        </w:tc>
        <w:tc>
          <w:tcPr>
            <w:tcW w:w="1079" w:type="dxa"/>
            <w:vAlign w:val="top"/>
          </w:tcPr>
          <w:p w14:paraId="3CCDD589">
            <w:pPr>
              <w:rPr>
                <w:rFonts w:ascii="Arial"/>
                <w:color w:val="auto"/>
                <w:sz w:val="21"/>
              </w:rPr>
            </w:pPr>
          </w:p>
        </w:tc>
        <w:tc>
          <w:tcPr>
            <w:tcW w:w="1285" w:type="dxa"/>
            <w:vAlign w:val="top"/>
          </w:tcPr>
          <w:p w14:paraId="1FE56743">
            <w:pPr>
              <w:rPr>
                <w:rFonts w:ascii="Arial"/>
                <w:color w:val="auto"/>
                <w:sz w:val="21"/>
              </w:rPr>
            </w:pPr>
          </w:p>
        </w:tc>
        <w:tc>
          <w:tcPr>
            <w:tcW w:w="1327" w:type="dxa"/>
            <w:vAlign w:val="top"/>
          </w:tcPr>
          <w:p w14:paraId="5C880C7B">
            <w:pPr>
              <w:rPr>
                <w:rFonts w:ascii="Arial"/>
                <w:color w:val="auto"/>
                <w:sz w:val="21"/>
              </w:rPr>
            </w:pPr>
          </w:p>
        </w:tc>
        <w:tc>
          <w:tcPr>
            <w:tcW w:w="1073" w:type="dxa"/>
            <w:vAlign w:val="top"/>
          </w:tcPr>
          <w:p w14:paraId="0005BFDE">
            <w:pPr>
              <w:rPr>
                <w:rFonts w:ascii="Arial"/>
                <w:color w:val="auto"/>
                <w:sz w:val="21"/>
              </w:rPr>
            </w:pPr>
          </w:p>
        </w:tc>
      </w:tr>
      <w:tr w14:paraId="71BDA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14:paraId="5F3578A5">
            <w:pPr>
              <w:rPr>
                <w:rFonts w:ascii="Arial"/>
                <w:color w:val="auto"/>
                <w:sz w:val="21"/>
              </w:rPr>
            </w:pPr>
          </w:p>
        </w:tc>
        <w:tc>
          <w:tcPr>
            <w:tcW w:w="726" w:type="dxa"/>
            <w:vAlign w:val="top"/>
          </w:tcPr>
          <w:p w14:paraId="431EE6AE">
            <w:pPr>
              <w:rPr>
                <w:rFonts w:ascii="Arial"/>
                <w:color w:val="auto"/>
                <w:sz w:val="21"/>
              </w:rPr>
            </w:pPr>
          </w:p>
        </w:tc>
        <w:tc>
          <w:tcPr>
            <w:tcW w:w="889" w:type="dxa"/>
            <w:vAlign w:val="top"/>
          </w:tcPr>
          <w:p w14:paraId="03FC42E5">
            <w:pPr>
              <w:rPr>
                <w:rFonts w:ascii="Arial"/>
                <w:color w:val="auto"/>
                <w:sz w:val="21"/>
              </w:rPr>
            </w:pPr>
          </w:p>
        </w:tc>
        <w:tc>
          <w:tcPr>
            <w:tcW w:w="1450" w:type="dxa"/>
            <w:vAlign w:val="top"/>
          </w:tcPr>
          <w:p w14:paraId="27E891A8">
            <w:pPr>
              <w:rPr>
                <w:rFonts w:ascii="Arial"/>
                <w:color w:val="auto"/>
                <w:sz w:val="21"/>
              </w:rPr>
            </w:pPr>
          </w:p>
        </w:tc>
        <w:tc>
          <w:tcPr>
            <w:tcW w:w="900" w:type="dxa"/>
            <w:vAlign w:val="top"/>
          </w:tcPr>
          <w:p w14:paraId="34807AC7">
            <w:pPr>
              <w:rPr>
                <w:rFonts w:ascii="Arial"/>
                <w:color w:val="auto"/>
                <w:sz w:val="21"/>
              </w:rPr>
            </w:pPr>
          </w:p>
        </w:tc>
        <w:tc>
          <w:tcPr>
            <w:tcW w:w="1079" w:type="dxa"/>
            <w:vAlign w:val="top"/>
          </w:tcPr>
          <w:p w14:paraId="4BD32E59">
            <w:pPr>
              <w:rPr>
                <w:rFonts w:ascii="Arial"/>
                <w:color w:val="auto"/>
                <w:sz w:val="21"/>
              </w:rPr>
            </w:pPr>
          </w:p>
        </w:tc>
        <w:tc>
          <w:tcPr>
            <w:tcW w:w="1285" w:type="dxa"/>
            <w:vAlign w:val="top"/>
          </w:tcPr>
          <w:p w14:paraId="5D528A92">
            <w:pPr>
              <w:rPr>
                <w:rFonts w:ascii="Arial"/>
                <w:color w:val="auto"/>
                <w:sz w:val="21"/>
              </w:rPr>
            </w:pPr>
          </w:p>
        </w:tc>
        <w:tc>
          <w:tcPr>
            <w:tcW w:w="1327" w:type="dxa"/>
            <w:vAlign w:val="top"/>
          </w:tcPr>
          <w:p w14:paraId="37E5311C">
            <w:pPr>
              <w:rPr>
                <w:rFonts w:ascii="Arial"/>
                <w:color w:val="auto"/>
                <w:sz w:val="21"/>
              </w:rPr>
            </w:pPr>
          </w:p>
        </w:tc>
        <w:tc>
          <w:tcPr>
            <w:tcW w:w="1073" w:type="dxa"/>
            <w:vAlign w:val="top"/>
          </w:tcPr>
          <w:p w14:paraId="5CC9134B">
            <w:pPr>
              <w:rPr>
                <w:rFonts w:ascii="Arial"/>
                <w:color w:val="auto"/>
                <w:sz w:val="21"/>
              </w:rPr>
            </w:pPr>
          </w:p>
        </w:tc>
      </w:tr>
      <w:tr w14:paraId="6C3C3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14:paraId="7E0D0B69">
            <w:pPr>
              <w:rPr>
                <w:rFonts w:ascii="Arial"/>
                <w:color w:val="auto"/>
                <w:sz w:val="21"/>
              </w:rPr>
            </w:pPr>
          </w:p>
        </w:tc>
        <w:tc>
          <w:tcPr>
            <w:tcW w:w="726" w:type="dxa"/>
            <w:vAlign w:val="top"/>
          </w:tcPr>
          <w:p w14:paraId="3EF7DD91">
            <w:pPr>
              <w:rPr>
                <w:rFonts w:ascii="Arial"/>
                <w:color w:val="auto"/>
                <w:sz w:val="21"/>
              </w:rPr>
            </w:pPr>
          </w:p>
        </w:tc>
        <w:tc>
          <w:tcPr>
            <w:tcW w:w="889" w:type="dxa"/>
            <w:vAlign w:val="top"/>
          </w:tcPr>
          <w:p w14:paraId="40A45E55">
            <w:pPr>
              <w:rPr>
                <w:rFonts w:ascii="Arial"/>
                <w:color w:val="auto"/>
                <w:sz w:val="21"/>
              </w:rPr>
            </w:pPr>
          </w:p>
        </w:tc>
        <w:tc>
          <w:tcPr>
            <w:tcW w:w="1450" w:type="dxa"/>
            <w:vAlign w:val="top"/>
          </w:tcPr>
          <w:p w14:paraId="0B016750">
            <w:pPr>
              <w:rPr>
                <w:rFonts w:ascii="Arial"/>
                <w:color w:val="auto"/>
                <w:sz w:val="21"/>
              </w:rPr>
            </w:pPr>
          </w:p>
        </w:tc>
        <w:tc>
          <w:tcPr>
            <w:tcW w:w="900" w:type="dxa"/>
            <w:vAlign w:val="top"/>
          </w:tcPr>
          <w:p w14:paraId="395ADEB1">
            <w:pPr>
              <w:rPr>
                <w:rFonts w:ascii="Arial"/>
                <w:color w:val="auto"/>
                <w:sz w:val="21"/>
              </w:rPr>
            </w:pPr>
          </w:p>
        </w:tc>
        <w:tc>
          <w:tcPr>
            <w:tcW w:w="1079" w:type="dxa"/>
            <w:vAlign w:val="top"/>
          </w:tcPr>
          <w:p w14:paraId="5EA61BA4">
            <w:pPr>
              <w:rPr>
                <w:rFonts w:ascii="Arial"/>
                <w:color w:val="auto"/>
                <w:sz w:val="21"/>
              </w:rPr>
            </w:pPr>
          </w:p>
        </w:tc>
        <w:tc>
          <w:tcPr>
            <w:tcW w:w="1285" w:type="dxa"/>
            <w:vAlign w:val="top"/>
          </w:tcPr>
          <w:p w14:paraId="532F4C2E">
            <w:pPr>
              <w:rPr>
                <w:rFonts w:ascii="Arial"/>
                <w:color w:val="auto"/>
                <w:sz w:val="21"/>
              </w:rPr>
            </w:pPr>
          </w:p>
        </w:tc>
        <w:tc>
          <w:tcPr>
            <w:tcW w:w="1327" w:type="dxa"/>
            <w:vAlign w:val="top"/>
          </w:tcPr>
          <w:p w14:paraId="4752FF50">
            <w:pPr>
              <w:rPr>
                <w:rFonts w:ascii="Arial"/>
                <w:color w:val="auto"/>
                <w:sz w:val="21"/>
              </w:rPr>
            </w:pPr>
          </w:p>
        </w:tc>
        <w:tc>
          <w:tcPr>
            <w:tcW w:w="1073" w:type="dxa"/>
            <w:vAlign w:val="top"/>
          </w:tcPr>
          <w:p w14:paraId="661EC462">
            <w:pPr>
              <w:rPr>
                <w:rFonts w:ascii="Arial"/>
                <w:color w:val="auto"/>
                <w:sz w:val="21"/>
              </w:rPr>
            </w:pPr>
          </w:p>
        </w:tc>
      </w:tr>
      <w:tr w14:paraId="4EC43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vAlign w:val="top"/>
          </w:tcPr>
          <w:p w14:paraId="479592D2">
            <w:pPr>
              <w:rPr>
                <w:rFonts w:ascii="Arial"/>
                <w:color w:val="auto"/>
                <w:sz w:val="21"/>
              </w:rPr>
            </w:pPr>
          </w:p>
        </w:tc>
        <w:tc>
          <w:tcPr>
            <w:tcW w:w="726" w:type="dxa"/>
            <w:vAlign w:val="top"/>
          </w:tcPr>
          <w:p w14:paraId="1B5BAE39">
            <w:pPr>
              <w:rPr>
                <w:rFonts w:ascii="Arial"/>
                <w:color w:val="auto"/>
                <w:sz w:val="21"/>
              </w:rPr>
            </w:pPr>
          </w:p>
        </w:tc>
        <w:tc>
          <w:tcPr>
            <w:tcW w:w="889" w:type="dxa"/>
            <w:vAlign w:val="top"/>
          </w:tcPr>
          <w:p w14:paraId="6439C439">
            <w:pPr>
              <w:rPr>
                <w:rFonts w:ascii="Arial"/>
                <w:color w:val="auto"/>
                <w:sz w:val="21"/>
              </w:rPr>
            </w:pPr>
          </w:p>
        </w:tc>
        <w:tc>
          <w:tcPr>
            <w:tcW w:w="1450" w:type="dxa"/>
            <w:vAlign w:val="top"/>
          </w:tcPr>
          <w:p w14:paraId="21A09114">
            <w:pPr>
              <w:rPr>
                <w:rFonts w:ascii="Arial"/>
                <w:color w:val="auto"/>
                <w:sz w:val="21"/>
              </w:rPr>
            </w:pPr>
          </w:p>
        </w:tc>
        <w:tc>
          <w:tcPr>
            <w:tcW w:w="900" w:type="dxa"/>
            <w:vAlign w:val="top"/>
          </w:tcPr>
          <w:p w14:paraId="30F91D9A">
            <w:pPr>
              <w:rPr>
                <w:rFonts w:ascii="Arial"/>
                <w:color w:val="auto"/>
                <w:sz w:val="21"/>
              </w:rPr>
            </w:pPr>
          </w:p>
        </w:tc>
        <w:tc>
          <w:tcPr>
            <w:tcW w:w="1079" w:type="dxa"/>
            <w:vAlign w:val="top"/>
          </w:tcPr>
          <w:p w14:paraId="575B6D5B">
            <w:pPr>
              <w:rPr>
                <w:rFonts w:ascii="Arial"/>
                <w:color w:val="auto"/>
                <w:sz w:val="21"/>
              </w:rPr>
            </w:pPr>
          </w:p>
        </w:tc>
        <w:tc>
          <w:tcPr>
            <w:tcW w:w="1285" w:type="dxa"/>
            <w:vAlign w:val="top"/>
          </w:tcPr>
          <w:p w14:paraId="751EF3CE">
            <w:pPr>
              <w:rPr>
                <w:rFonts w:ascii="Arial"/>
                <w:color w:val="auto"/>
                <w:sz w:val="21"/>
              </w:rPr>
            </w:pPr>
          </w:p>
        </w:tc>
        <w:tc>
          <w:tcPr>
            <w:tcW w:w="1327" w:type="dxa"/>
            <w:vAlign w:val="top"/>
          </w:tcPr>
          <w:p w14:paraId="156ABCC0">
            <w:pPr>
              <w:rPr>
                <w:rFonts w:ascii="Arial"/>
                <w:color w:val="auto"/>
                <w:sz w:val="21"/>
              </w:rPr>
            </w:pPr>
          </w:p>
        </w:tc>
        <w:tc>
          <w:tcPr>
            <w:tcW w:w="1073" w:type="dxa"/>
            <w:vAlign w:val="top"/>
          </w:tcPr>
          <w:p w14:paraId="53D64F86">
            <w:pPr>
              <w:rPr>
                <w:rFonts w:ascii="Arial"/>
                <w:color w:val="auto"/>
                <w:sz w:val="21"/>
              </w:rPr>
            </w:pPr>
          </w:p>
        </w:tc>
      </w:tr>
      <w:tr w14:paraId="7D34C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14:paraId="77F45E0F">
            <w:pPr>
              <w:rPr>
                <w:rFonts w:ascii="Arial"/>
                <w:color w:val="auto"/>
                <w:sz w:val="21"/>
              </w:rPr>
            </w:pPr>
          </w:p>
        </w:tc>
        <w:tc>
          <w:tcPr>
            <w:tcW w:w="726" w:type="dxa"/>
            <w:vAlign w:val="top"/>
          </w:tcPr>
          <w:p w14:paraId="1920CD67">
            <w:pPr>
              <w:rPr>
                <w:rFonts w:ascii="Arial"/>
                <w:color w:val="auto"/>
                <w:sz w:val="21"/>
              </w:rPr>
            </w:pPr>
          </w:p>
        </w:tc>
        <w:tc>
          <w:tcPr>
            <w:tcW w:w="889" w:type="dxa"/>
            <w:vAlign w:val="top"/>
          </w:tcPr>
          <w:p w14:paraId="3AE01DE2">
            <w:pPr>
              <w:rPr>
                <w:rFonts w:ascii="Arial"/>
                <w:color w:val="auto"/>
                <w:sz w:val="21"/>
              </w:rPr>
            </w:pPr>
          </w:p>
        </w:tc>
        <w:tc>
          <w:tcPr>
            <w:tcW w:w="1450" w:type="dxa"/>
            <w:vAlign w:val="top"/>
          </w:tcPr>
          <w:p w14:paraId="48047EA8">
            <w:pPr>
              <w:rPr>
                <w:rFonts w:ascii="Arial"/>
                <w:color w:val="auto"/>
                <w:sz w:val="21"/>
              </w:rPr>
            </w:pPr>
          </w:p>
        </w:tc>
        <w:tc>
          <w:tcPr>
            <w:tcW w:w="900" w:type="dxa"/>
            <w:vAlign w:val="top"/>
          </w:tcPr>
          <w:p w14:paraId="016757B2">
            <w:pPr>
              <w:rPr>
                <w:rFonts w:ascii="Arial"/>
                <w:color w:val="auto"/>
                <w:sz w:val="21"/>
              </w:rPr>
            </w:pPr>
          </w:p>
        </w:tc>
        <w:tc>
          <w:tcPr>
            <w:tcW w:w="1079" w:type="dxa"/>
            <w:vAlign w:val="top"/>
          </w:tcPr>
          <w:p w14:paraId="2B953742">
            <w:pPr>
              <w:rPr>
                <w:rFonts w:ascii="Arial"/>
                <w:color w:val="auto"/>
                <w:sz w:val="21"/>
              </w:rPr>
            </w:pPr>
          </w:p>
        </w:tc>
        <w:tc>
          <w:tcPr>
            <w:tcW w:w="1285" w:type="dxa"/>
            <w:vAlign w:val="top"/>
          </w:tcPr>
          <w:p w14:paraId="5DE23575">
            <w:pPr>
              <w:rPr>
                <w:rFonts w:ascii="Arial"/>
                <w:color w:val="auto"/>
                <w:sz w:val="21"/>
              </w:rPr>
            </w:pPr>
          </w:p>
        </w:tc>
        <w:tc>
          <w:tcPr>
            <w:tcW w:w="1327" w:type="dxa"/>
            <w:vAlign w:val="top"/>
          </w:tcPr>
          <w:p w14:paraId="4A7A099D">
            <w:pPr>
              <w:rPr>
                <w:rFonts w:ascii="Arial"/>
                <w:color w:val="auto"/>
                <w:sz w:val="21"/>
              </w:rPr>
            </w:pPr>
          </w:p>
        </w:tc>
        <w:tc>
          <w:tcPr>
            <w:tcW w:w="1073" w:type="dxa"/>
            <w:vAlign w:val="top"/>
          </w:tcPr>
          <w:p w14:paraId="36599B45">
            <w:pPr>
              <w:rPr>
                <w:rFonts w:ascii="Arial"/>
                <w:color w:val="auto"/>
                <w:sz w:val="21"/>
              </w:rPr>
            </w:pPr>
          </w:p>
        </w:tc>
      </w:tr>
      <w:tr w14:paraId="21EDC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vAlign w:val="top"/>
          </w:tcPr>
          <w:p w14:paraId="028A89FF">
            <w:pPr>
              <w:rPr>
                <w:rFonts w:ascii="Arial"/>
                <w:color w:val="auto"/>
                <w:sz w:val="21"/>
              </w:rPr>
            </w:pPr>
          </w:p>
        </w:tc>
        <w:tc>
          <w:tcPr>
            <w:tcW w:w="726" w:type="dxa"/>
            <w:vAlign w:val="top"/>
          </w:tcPr>
          <w:p w14:paraId="56C5A984">
            <w:pPr>
              <w:rPr>
                <w:rFonts w:ascii="Arial"/>
                <w:color w:val="auto"/>
                <w:sz w:val="21"/>
              </w:rPr>
            </w:pPr>
          </w:p>
        </w:tc>
        <w:tc>
          <w:tcPr>
            <w:tcW w:w="889" w:type="dxa"/>
            <w:vAlign w:val="top"/>
          </w:tcPr>
          <w:p w14:paraId="49C084D6">
            <w:pPr>
              <w:rPr>
                <w:rFonts w:ascii="Arial"/>
                <w:color w:val="auto"/>
                <w:sz w:val="21"/>
              </w:rPr>
            </w:pPr>
          </w:p>
        </w:tc>
        <w:tc>
          <w:tcPr>
            <w:tcW w:w="1450" w:type="dxa"/>
            <w:vAlign w:val="top"/>
          </w:tcPr>
          <w:p w14:paraId="5F53C8E4">
            <w:pPr>
              <w:rPr>
                <w:rFonts w:ascii="Arial"/>
                <w:color w:val="auto"/>
                <w:sz w:val="21"/>
              </w:rPr>
            </w:pPr>
          </w:p>
        </w:tc>
        <w:tc>
          <w:tcPr>
            <w:tcW w:w="900" w:type="dxa"/>
            <w:vAlign w:val="top"/>
          </w:tcPr>
          <w:p w14:paraId="5015A095">
            <w:pPr>
              <w:rPr>
                <w:rFonts w:ascii="Arial"/>
                <w:color w:val="auto"/>
                <w:sz w:val="21"/>
              </w:rPr>
            </w:pPr>
          </w:p>
        </w:tc>
        <w:tc>
          <w:tcPr>
            <w:tcW w:w="1079" w:type="dxa"/>
            <w:vAlign w:val="top"/>
          </w:tcPr>
          <w:p w14:paraId="2ABC5D74">
            <w:pPr>
              <w:rPr>
                <w:rFonts w:ascii="Arial"/>
                <w:color w:val="auto"/>
                <w:sz w:val="21"/>
              </w:rPr>
            </w:pPr>
          </w:p>
        </w:tc>
        <w:tc>
          <w:tcPr>
            <w:tcW w:w="1285" w:type="dxa"/>
            <w:vAlign w:val="top"/>
          </w:tcPr>
          <w:p w14:paraId="020591AE">
            <w:pPr>
              <w:rPr>
                <w:rFonts w:ascii="Arial"/>
                <w:color w:val="auto"/>
                <w:sz w:val="21"/>
              </w:rPr>
            </w:pPr>
          </w:p>
        </w:tc>
        <w:tc>
          <w:tcPr>
            <w:tcW w:w="1327" w:type="dxa"/>
            <w:vAlign w:val="top"/>
          </w:tcPr>
          <w:p w14:paraId="38F9B0B1">
            <w:pPr>
              <w:rPr>
                <w:rFonts w:ascii="Arial"/>
                <w:color w:val="auto"/>
                <w:sz w:val="21"/>
              </w:rPr>
            </w:pPr>
          </w:p>
        </w:tc>
        <w:tc>
          <w:tcPr>
            <w:tcW w:w="1073" w:type="dxa"/>
            <w:vAlign w:val="top"/>
          </w:tcPr>
          <w:p w14:paraId="53F699A9">
            <w:pPr>
              <w:rPr>
                <w:rFonts w:ascii="Arial"/>
                <w:color w:val="auto"/>
                <w:sz w:val="21"/>
              </w:rPr>
            </w:pPr>
          </w:p>
        </w:tc>
      </w:tr>
      <w:tr w14:paraId="452FC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14:paraId="29C15F22">
            <w:pPr>
              <w:rPr>
                <w:rFonts w:ascii="Arial"/>
                <w:color w:val="auto"/>
                <w:sz w:val="21"/>
              </w:rPr>
            </w:pPr>
          </w:p>
        </w:tc>
        <w:tc>
          <w:tcPr>
            <w:tcW w:w="726" w:type="dxa"/>
            <w:vAlign w:val="top"/>
          </w:tcPr>
          <w:p w14:paraId="58824DC0">
            <w:pPr>
              <w:rPr>
                <w:rFonts w:ascii="Arial"/>
                <w:color w:val="auto"/>
                <w:sz w:val="21"/>
              </w:rPr>
            </w:pPr>
          </w:p>
        </w:tc>
        <w:tc>
          <w:tcPr>
            <w:tcW w:w="889" w:type="dxa"/>
            <w:vAlign w:val="top"/>
          </w:tcPr>
          <w:p w14:paraId="32767140">
            <w:pPr>
              <w:rPr>
                <w:rFonts w:ascii="Arial"/>
                <w:color w:val="auto"/>
                <w:sz w:val="21"/>
              </w:rPr>
            </w:pPr>
          </w:p>
        </w:tc>
        <w:tc>
          <w:tcPr>
            <w:tcW w:w="1450" w:type="dxa"/>
            <w:vAlign w:val="top"/>
          </w:tcPr>
          <w:p w14:paraId="06C3A755">
            <w:pPr>
              <w:rPr>
                <w:rFonts w:ascii="Arial"/>
                <w:color w:val="auto"/>
                <w:sz w:val="21"/>
              </w:rPr>
            </w:pPr>
          </w:p>
        </w:tc>
        <w:tc>
          <w:tcPr>
            <w:tcW w:w="900" w:type="dxa"/>
            <w:vAlign w:val="top"/>
          </w:tcPr>
          <w:p w14:paraId="09A7B6B7">
            <w:pPr>
              <w:rPr>
                <w:rFonts w:ascii="Arial"/>
                <w:color w:val="auto"/>
                <w:sz w:val="21"/>
              </w:rPr>
            </w:pPr>
          </w:p>
        </w:tc>
        <w:tc>
          <w:tcPr>
            <w:tcW w:w="1079" w:type="dxa"/>
            <w:vAlign w:val="top"/>
          </w:tcPr>
          <w:p w14:paraId="1943CDE0">
            <w:pPr>
              <w:rPr>
                <w:rFonts w:ascii="Arial"/>
                <w:color w:val="auto"/>
                <w:sz w:val="21"/>
              </w:rPr>
            </w:pPr>
          </w:p>
        </w:tc>
        <w:tc>
          <w:tcPr>
            <w:tcW w:w="1285" w:type="dxa"/>
            <w:vAlign w:val="top"/>
          </w:tcPr>
          <w:p w14:paraId="1376DEEC">
            <w:pPr>
              <w:rPr>
                <w:rFonts w:ascii="Arial"/>
                <w:color w:val="auto"/>
                <w:sz w:val="21"/>
              </w:rPr>
            </w:pPr>
          </w:p>
        </w:tc>
        <w:tc>
          <w:tcPr>
            <w:tcW w:w="1327" w:type="dxa"/>
            <w:vAlign w:val="top"/>
          </w:tcPr>
          <w:p w14:paraId="246E4DE3">
            <w:pPr>
              <w:rPr>
                <w:rFonts w:ascii="Arial"/>
                <w:color w:val="auto"/>
                <w:sz w:val="21"/>
              </w:rPr>
            </w:pPr>
          </w:p>
        </w:tc>
        <w:tc>
          <w:tcPr>
            <w:tcW w:w="1073" w:type="dxa"/>
            <w:vAlign w:val="top"/>
          </w:tcPr>
          <w:p w14:paraId="179EE616">
            <w:pPr>
              <w:rPr>
                <w:rFonts w:ascii="Arial"/>
                <w:color w:val="auto"/>
                <w:sz w:val="21"/>
              </w:rPr>
            </w:pPr>
          </w:p>
        </w:tc>
      </w:tr>
      <w:tr w14:paraId="09EF5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14:paraId="6CDE6EE9">
            <w:pPr>
              <w:rPr>
                <w:rFonts w:ascii="Arial"/>
                <w:color w:val="auto"/>
                <w:sz w:val="21"/>
              </w:rPr>
            </w:pPr>
          </w:p>
        </w:tc>
        <w:tc>
          <w:tcPr>
            <w:tcW w:w="726" w:type="dxa"/>
            <w:vAlign w:val="top"/>
          </w:tcPr>
          <w:p w14:paraId="1E83B162">
            <w:pPr>
              <w:rPr>
                <w:rFonts w:ascii="Arial"/>
                <w:color w:val="auto"/>
                <w:sz w:val="21"/>
              </w:rPr>
            </w:pPr>
          </w:p>
        </w:tc>
        <w:tc>
          <w:tcPr>
            <w:tcW w:w="889" w:type="dxa"/>
            <w:vAlign w:val="top"/>
          </w:tcPr>
          <w:p w14:paraId="321E53B8">
            <w:pPr>
              <w:rPr>
                <w:rFonts w:ascii="Arial"/>
                <w:color w:val="auto"/>
                <w:sz w:val="21"/>
              </w:rPr>
            </w:pPr>
          </w:p>
        </w:tc>
        <w:tc>
          <w:tcPr>
            <w:tcW w:w="1450" w:type="dxa"/>
            <w:vAlign w:val="top"/>
          </w:tcPr>
          <w:p w14:paraId="0BC24066">
            <w:pPr>
              <w:rPr>
                <w:rFonts w:ascii="Arial"/>
                <w:color w:val="auto"/>
                <w:sz w:val="21"/>
              </w:rPr>
            </w:pPr>
          </w:p>
        </w:tc>
        <w:tc>
          <w:tcPr>
            <w:tcW w:w="900" w:type="dxa"/>
            <w:vAlign w:val="top"/>
          </w:tcPr>
          <w:p w14:paraId="3775B135">
            <w:pPr>
              <w:rPr>
                <w:rFonts w:ascii="Arial"/>
                <w:color w:val="auto"/>
                <w:sz w:val="21"/>
              </w:rPr>
            </w:pPr>
          </w:p>
        </w:tc>
        <w:tc>
          <w:tcPr>
            <w:tcW w:w="1079" w:type="dxa"/>
            <w:vAlign w:val="top"/>
          </w:tcPr>
          <w:p w14:paraId="58402FCF">
            <w:pPr>
              <w:rPr>
                <w:rFonts w:ascii="Arial"/>
                <w:color w:val="auto"/>
                <w:sz w:val="21"/>
              </w:rPr>
            </w:pPr>
          </w:p>
        </w:tc>
        <w:tc>
          <w:tcPr>
            <w:tcW w:w="1285" w:type="dxa"/>
            <w:vAlign w:val="top"/>
          </w:tcPr>
          <w:p w14:paraId="54A89807">
            <w:pPr>
              <w:rPr>
                <w:rFonts w:ascii="Arial"/>
                <w:color w:val="auto"/>
                <w:sz w:val="21"/>
              </w:rPr>
            </w:pPr>
          </w:p>
        </w:tc>
        <w:tc>
          <w:tcPr>
            <w:tcW w:w="1327" w:type="dxa"/>
            <w:vAlign w:val="top"/>
          </w:tcPr>
          <w:p w14:paraId="7540067B">
            <w:pPr>
              <w:rPr>
                <w:rFonts w:ascii="Arial"/>
                <w:color w:val="auto"/>
                <w:sz w:val="21"/>
              </w:rPr>
            </w:pPr>
          </w:p>
        </w:tc>
        <w:tc>
          <w:tcPr>
            <w:tcW w:w="1073" w:type="dxa"/>
            <w:vAlign w:val="top"/>
          </w:tcPr>
          <w:p w14:paraId="7266593B">
            <w:pPr>
              <w:rPr>
                <w:rFonts w:ascii="Arial"/>
                <w:color w:val="auto"/>
                <w:sz w:val="21"/>
              </w:rPr>
            </w:pPr>
          </w:p>
        </w:tc>
      </w:tr>
      <w:tr w14:paraId="16DEA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14:paraId="3E4BF26B">
            <w:pPr>
              <w:rPr>
                <w:rFonts w:ascii="Arial"/>
                <w:color w:val="auto"/>
                <w:sz w:val="21"/>
              </w:rPr>
            </w:pPr>
          </w:p>
        </w:tc>
        <w:tc>
          <w:tcPr>
            <w:tcW w:w="726" w:type="dxa"/>
            <w:vAlign w:val="top"/>
          </w:tcPr>
          <w:p w14:paraId="7B74CDC4">
            <w:pPr>
              <w:rPr>
                <w:rFonts w:ascii="Arial"/>
                <w:color w:val="auto"/>
                <w:sz w:val="21"/>
              </w:rPr>
            </w:pPr>
          </w:p>
        </w:tc>
        <w:tc>
          <w:tcPr>
            <w:tcW w:w="889" w:type="dxa"/>
            <w:vAlign w:val="top"/>
          </w:tcPr>
          <w:p w14:paraId="2CBC20E1">
            <w:pPr>
              <w:rPr>
                <w:rFonts w:ascii="Arial"/>
                <w:color w:val="auto"/>
                <w:sz w:val="21"/>
              </w:rPr>
            </w:pPr>
          </w:p>
        </w:tc>
        <w:tc>
          <w:tcPr>
            <w:tcW w:w="1450" w:type="dxa"/>
            <w:vAlign w:val="top"/>
          </w:tcPr>
          <w:p w14:paraId="1D1D72EE">
            <w:pPr>
              <w:rPr>
                <w:rFonts w:ascii="Arial"/>
                <w:color w:val="auto"/>
                <w:sz w:val="21"/>
              </w:rPr>
            </w:pPr>
          </w:p>
        </w:tc>
        <w:tc>
          <w:tcPr>
            <w:tcW w:w="900" w:type="dxa"/>
            <w:vAlign w:val="top"/>
          </w:tcPr>
          <w:p w14:paraId="41716FFA">
            <w:pPr>
              <w:rPr>
                <w:rFonts w:ascii="Arial"/>
                <w:color w:val="auto"/>
                <w:sz w:val="21"/>
              </w:rPr>
            </w:pPr>
          </w:p>
        </w:tc>
        <w:tc>
          <w:tcPr>
            <w:tcW w:w="1079" w:type="dxa"/>
            <w:vAlign w:val="top"/>
          </w:tcPr>
          <w:p w14:paraId="1BB91347">
            <w:pPr>
              <w:rPr>
                <w:rFonts w:ascii="Arial"/>
                <w:color w:val="auto"/>
                <w:sz w:val="21"/>
              </w:rPr>
            </w:pPr>
          </w:p>
        </w:tc>
        <w:tc>
          <w:tcPr>
            <w:tcW w:w="1285" w:type="dxa"/>
            <w:vAlign w:val="top"/>
          </w:tcPr>
          <w:p w14:paraId="6FD2C7A2">
            <w:pPr>
              <w:rPr>
                <w:rFonts w:ascii="Arial"/>
                <w:color w:val="auto"/>
                <w:sz w:val="21"/>
              </w:rPr>
            </w:pPr>
          </w:p>
        </w:tc>
        <w:tc>
          <w:tcPr>
            <w:tcW w:w="1327" w:type="dxa"/>
            <w:vAlign w:val="top"/>
          </w:tcPr>
          <w:p w14:paraId="6F08119C">
            <w:pPr>
              <w:rPr>
                <w:rFonts w:ascii="Arial"/>
                <w:color w:val="auto"/>
                <w:sz w:val="21"/>
              </w:rPr>
            </w:pPr>
          </w:p>
        </w:tc>
        <w:tc>
          <w:tcPr>
            <w:tcW w:w="1073" w:type="dxa"/>
            <w:vAlign w:val="top"/>
          </w:tcPr>
          <w:p w14:paraId="08E46B9F">
            <w:pPr>
              <w:rPr>
                <w:rFonts w:ascii="Arial"/>
                <w:color w:val="auto"/>
                <w:sz w:val="21"/>
              </w:rPr>
            </w:pPr>
          </w:p>
        </w:tc>
      </w:tr>
      <w:tr w14:paraId="4E3FB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vAlign w:val="top"/>
          </w:tcPr>
          <w:p w14:paraId="078723EF">
            <w:pPr>
              <w:rPr>
                <w:rFonts w:ascii="Arial"/>
                <w:color w:val="auto"/>
                <w:sz w:val="21"/>
              </w:rPr>
            </w:pPr>
          </w:p>
        </w:tc>
        <w:tc>
          <w:tcPr>
            <w:tcW w:w="726" w:type="dxa"/>
            <w:vAlign w:val="top"/>
          </w:tcPr>
          <w:p w14:paraId="31FFE699">
            <w:pPr>
              <w:rPr>
                <w:rFonts w:ascii="Arial"/>
                <w:color w:val="auto"/>
                <w:sz w:val="21"/>
              </w:rPr>
            </w:pPr>
          </w:p>
        </w:tc>
        <w:tc>
          <w:tcPr>
            <w:tcW w:w="889" w:type="dxa"/>
            <w:vAlign w:val="top"/>
          </w:tcPr>
          <w:p w14:paraId="40792168">
            <w:pPr>
              <w:rPr>
                <w:rFonts w:ascii="Arial"/>
                <w:color w:val="auto"/>
                <w:sz w:val="21"/>
              </w:rPr>
            </w:pPr>
          </w:p>
        </w:tc>
        <w:tc>
          <w:tcPr>
            <w:tcW w:w="1450" w:type="dxa"/>
            <w:vAlign w:val="top"/>
          </w:tcPr>
          <w:p w14:paraId="4C23381E">
            <w:pPr>
              <w:rPr>
                <w:rFonts w:ascii="Arial"/>
                <w:color w:val="auto"/>
                <w:sz w:val="21"/>
              </w:rPr>
            </w:pPr>
          </w:p>
        </w:tc>
        <w:tc>
          <w:tcPr>
            <w:tcW w:w="900" w:type="dxa"/>
            <w:vAlign w:val="top"/>
          </w:tcPr>
          <w:p w14:paraId="58BEB27A">
            <w:pPr>
              <w:rPr>
                <w:rFonts w:ascii="Arial"/>
                <w:color w:val="auto"/>
                <w:sz w:val="21"/>
              </w:rPr>
            </w:pPr>
          </w:p>
        </w:tc>
        <w:tc>
          <w:tcPr>
            <w:tcW w:w="1079" w:type="dxa"/>
            <w:vAlign w:val="top"/>
          </w:tcPr>
          <w:p w14:paraId="04F7087E">
            <w:pPr>
              <w:rPr>
                <w:rFonts w:ascii="Arial"/>
                <w:color w:val="auto"/>
                <w:sz w:val="21"/>
              </w:rPr>
            </w:pPr>
          </w:p>
        </w:tc>
        <w:tc>
          <w:tcPr>
            <w:tcW w:w="1285" w:type="dxa"/>
            <w:vAlign w:val="top"/>
          </w:tcPr>
          <w:p w14:paraId="28676372">
            <w:pPr>
              <w:rPr>
                <w:rFonts w:ascii="Arial"/>
                <w:color w:val="auto"/>
                <w:sz w:val="21"/>
              </w:rPr>
            </w:pPr>
          </w:p>
        </w:tc>
        <w:tc>
          <w:tcPr>
            <w:tcW w:w="1327" w:type="dxa"/>
            <w:vAlign w:val="top"/>
          </w:tcPr>
          <w:p w14:paraId="716B6707">
            <w:pPr>
              <w:rPr>
                <w:rFonts w:ascii="Arial"/>
                <w:color w:val="auto"/>
                <w:sz w:val="21"/>
              </w:rPr>
            </w:pPr>
          </w:p>
        </w:tc>
        <w:tc>
          <w:tcPr>
            <w:tcW w:w="1073" w:type="dxa"/>
            <w:vAlign w:val="top"/>
          </w:tcPr>
          <w:p w14:paraId="367C60FA">
            <w:pPr>
              <w:rPr>
                <w:rFonts w:ascii="Arial"/>
                <w:color w:val="auto"/>
                <w:sz w:val="21"/>
              </w:rPr>
            </w:pPr>
          </w:p>
        </w:tc>
      </w:tr>
      <w:tr w14:paraId="0E83D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14:paraId="2D3D1E09">
            <w:pPr>
              <w:rPr>
                <w:rFonts w:ascii="Arial"/>
                <w:color w:val="auto"/>
                <w:sz w:val="21"/>
              </w:rPr>
            </w:pPr>
          </w:p>
        </w:tc>
        <w:tc>
          <w:tcPr>
            <w:tcW w:w="726" w:type="dxa"/>
            <w:vAlign w:val="top"/>
          </w:tcPr>
          <w:p w14:paraId="0CAF09AE">
            <w:pPr>
              <w:rPr>
                <w:rFonts w:ascii="Arial"/>
                <w:color w:val="auto"/>
                <w:sz w:val="21"/>
              </w:rPr>
            </w:pPr>
          </w:p>
        </w:tc>
        <w:tc>
          <w:tcPr>
            <w:tcW w:w="889" w:type="dxa"/>
            <w:vAlign w:val="top"/>
          </w:tcPr>
          <w:p w14:paraId="3DFEA16C">
            <w:pPr>
              <w:rPr>
                <w:rFonts w:ascii="Arial"/>
                <w:color w:val="auto"/>
                <w:sz w:val="21"/>
              </w:rPr>
            </w:pPr>
          </w:p>
        </w:tc>
        <w:tc>
          <w:tcPr>
            <w:tcW w:w="1450" w:type="dxa"/>
            <w:vAlign w:val="top"/>
          </w:tcPr>
          <w:p w14:paraId="4EB4A7EA">
            <w:pPr>
              <w:rPr>
                <w:rFonts w:ascii="Arial"/>
                <w:color w:val="auto"/>
                <w:sz w:val="21"/>
              </w:rPr>
            </w:pPr>
          </w:p>
        </w:tc>
        <w:tc>
          <w:tcPr>
            <w:tcW w:w="900" w:type="dxa"/>
            <w:vAlign w:val="top"/>
          </w:tcPr>
          <w:p w14:paraId="21B2BBBC">
            <w:pPr>
              <w:rPr>
                <w:rFonts w:ascii="Arial"/>
                <w:color w:val="auto"/>
                <w:sz w:val="21"/>
              </w:rPr>
            </w:pPr>
          </w:p>
        </w:tc>
        <w:tc>
          <w:tcPr>
            <w:tcW w:w="1079" w:type="dxa"/>
            <w:vAlign w:val="top"/>
          </w:tcPr>
          <w:p w14:paraId="660B65AE">
            <w:pPr>
              <w:rPr>
                <w:rFonts w:ascii="Arial"/>
                <w:color w:val="auto"/>
                <w:sz w:val="21"/>
              </w:rPr>
            </w:pPr>
          </w:p>
        </w:tc>
        <w:tc>
          <w:tcPr>
            <w:tcW w:w="1285" w:type="dxa"/>
            <w:vAlign w:val="top"/>
          </w:tcPr>
          <w:p w14:paraId="12CE9DF3">
            <w:pPr>
              <w:rPr>
                <w:rFonts w:ascii="Arial"/>
                <w:color w:val="auto"/>
                <w:sz w:val="21"/>
              </w:rPr>
            </w:pPr>
          </w:p>
        </w:tc>
        <w:tc>
          <w:tcPr>
            <w:tcW w:w="1327" w:type="dxa"/>
            <w:vAlign w:val="top"/>
          </w:tcPr>
          <w:p w14:paraId="24B3B3D6">
            <w:pPr>
              <w:rPr>
                <w:rFonts w:ascii="Arial"/>
                <w:color w:val="auto"/>
                <w:sz w:val="21"/>
              </w:rPr>
            </w:pPr>
          </w:p>
        </w:tc>
        <w:tc>
          <w:tcPr>
            <w:tcW w:w="1073" w:type="dxa"/>
            <w:vAlign w:val="top"/>
          </w:tcPr>
          <w:p w14:paraId="6B96517E">
            <w:pPr>
              <w:rPr>
                <w:rFonts w:ascii="Arial"/>
                <w:color w:val="auto"/>
                <w:sz w:val="21"/>
              </w:rPr>
            </w:pPr>
          </w:p>
        </w:tc>
      </w:tr>
      <w:tr w14:paraId="672D0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18" w:type="dxa"/>
            <w:vAlign w:val="top"/>
          </w:tcPr>
          <w:p w14:paraId="01DDA1A7">
            <w:pPr>
              <w:rPr>
                <w:rFonts w:ascii="Arial"/>
                <w:color w:val="auto"/>
                <w:sz w:val="21"/>
              </w:rPr>
            </w:pPr>
          </w:p>
        </w:tc>
        <w:tc>
          <w:tcPr>
            <w:tcW w:w="726" w:type="dxa"/>
            <w:vAlign w:val="top"/>
          </w:tcPr>
          <w:p w14:paraId="0744B97F">
            <w:pPr>
              <w:rPr>
                <w:rFonts w:ascii="Arial"/>
                <w:color w:val="auto"/>
                <w:sz w:val="21"/>
              </w:rPr>
            </w:pPr>
          </w:p>
        </w:tc>
        <w:tc>
          <w:tcPr>
            <w:tcW w:w="889" w:type="dxa"/>
            <w:vAlign w:val="top"/>
          </w:tcPr>
          <w:p w14:paraId="0C59319A">
            <w:pPr>
              <w:rPr>
                <w:rFonts w:ascii="Arial"/>
                <w:color w:val="auto"/>
                <w:sz w:val="21"/>
              </w:rPr>
            </w:pPr>
          </w:p>
        </w:tc>
        <w:tc>
          <w:tcPr>
            <w:tcW w:w="1450" w:type="dxa"/>
            <w:vAlign w:val="top"/>
          </w:tcPr>
          <w:p w14:paraId="62588876">
            <w:pPr>
              <w:rPr>
                <w:rFonts w:ascii="Arial"/>
                <w:color w:val="auto"/>
                <w:sz w:val="21"/>
              </w:rPr>
            </w:pPr>
          </w:p>
        </w:tc>
        <w:tc>
          <w:tcPr>
            <w:tcW w:w="900" w:type="dxa"/>
            <w:vAlign w:val="top"/>
          </w:tcPr>
          <w:p w14:paraId="02719676">
            <w:pPr>
              <w:rPr>
                <w:rFonts w:ascii="Arial"/>
                <w:color w:val="auto"/>
                <w:sz w:val="21"/>
              </w:rPr>
            </w:pPr>
          </w:p>
        </w:tc>
        <w:tc>
          <w:tcPr>
            <w:tcW w:w="1079" w:type="dxa"/>
            <w:vAlign w:val="top"/>
          </w:tcPr>
          <w:p w14:paraId="5409046E">
            <w:pPr>
              <w:rPr>
                <w:rFonts w:ascii="Arial"/>
                <w:color w:val="auto"/>
                <w:sz w:val="21"/>
              </w:rPr>
            </w:pPr>
          </w:p>
        </w:tc>
        <w:tc>
          <w:tcPr>
            <w:tcW w:w="1285" w:type="dxa"/>
            <w:vAlign w:val="top"/>
          </w:tcPr>
          <w:p w14:paraId="1E8569D1">
            <w:pPr>
              <w:rPr>
                <w:rFonts w:ascii="Arial"/>
                <w:color w:val="auto"/>
                <w:sz w:val="21"/>
              </w:rPr>
            </w:pPr>
          </w:p>
        </w:tc>
        <w:tc>
          <w:tcPr>
            <w:tcW w:w="1327" w:type="dxa"/>
            <w:vAlign w:val="top"/>
          </w:tcPr>
          <w:p w14:paraId="6EB52689">
            <w:pPr>
              <w:rPr>
                <w:rFonts w:ascii="Arial"/>
                <w:color w:val="auto"/>
                <w:sz w:val="21"/>
              </w:rPr>
            </w:pPr>
          </w:p>
        </w:tc>
        <w:tc>
          <w:tcPr>
            <w:tcW w:w="1073" w:type="dxa"/>
            <w:vAlign w:val="top"/>
          </w:tcPr>
          <w:p w14:paraId="05ACB3EA">
            <w:pPr>
              <w:rPr>
                <w:rFonts w:ascii="Arial"/>
                <w:color w:val="auto"/>
                <w:sz w:val="21"/>
              </w:rPr>
            </w:pPr>
          </w:p>
        </w:tc>
      </w:tr>
    </w:tbl>
    <w:p w14:paraId="26107189">
      <w:pPr>
        <w:pStyle w:val="2"/>
        <w:rPr>
          <w:color w:val="auto"/>
        </w:rPr>
      </w:pPr>
    </w:p>
    <w:p w14:paraId="6663CCBF">
      <w:pPr>
        <w:rPr>
          <w:color w:val="auto"/>
        </w:rPr>
        <w:sectPr>
          <w:footerReference r:id="rId34" w:type="default"/>
          <w:pgSz w:w="11906" w:h="16839"/>
          <w:pgMar w:top="1440" w:right="1080" w:bottom="1440" w:left="1080" w:header="0" w:footer="783" w:gutter="0"/>
          <w:pgNumType w:fmt="decimal"/>
          <w:cols w:space="720" w:num="1"/>
        </w:sectPr>
      </w:pPr>
    </w:p>
    <w:p w14:paraId="1A9DFC01">
      <w:pPr>
        <w:spacing w:before="303" w:line="219" w:lineRule="auto"/>
        <w:ind w:left="3441"/>
        <w:outlineLvl w:val="2"/>
        <w:rPr>
          <w:rFonts w:ascii="宋体" w:hAnsi="宋体" w:eastAsia="宋体" w:cs="宋体"/>
          <w:color w:val="auto"/>
          <w:sz w:val="24"/>
          <w:szCs w:val="24"/>
        </w:rPr>
      </w:pPr>
      <w:bookmarkStart w:id="32" w:name="_Toc31727"/>
      <w:r>
        <w:rPr>
          <w:rFonts w:ascii="宋体" w:hAnsi="宋体" w:eastAsia="宋体" w:cs="宋体"/>
          <w:b/>
          <w:bCs/>
          <w:color w:val="auto"/>
          <w:spacing w:val="-4"/>
          <w:sz w:val="24"/>
          <w:szCs w:val="24"/>
        </w:rPr>
        <w:t>（二）主要人员简历表</w:t>
      </w:r>
      <w:bookmarkEnd w:id="32"/>
    </w:p>
    <w:p w14:paraId="3FE9C02F">
      <w:pPr>
        <w:pStyle w:val="2"/>
        <w:spacing w:line="352" w:lineRule="auto"/>
        <w:rPr>
          <w:color w:val="auto"/>
        </w:rPr>
      </w:pPr>
    </w:p>
    <w:p w14:paraId="21D8ADF4">
      <w:pPr>
        <w:spacing w:before="65" w:line="370" w:lineRule="auto"/>
        <w:ind w:left="14" w:right="226" w:firstLine="407"/>
        <w:rPr>
          <w:rFonts w:ascii="宋体" w:hAnsi="宋体" w:eastAsia="宋体" w:cs="宋体"/>
          <w:color w:val="auto"/>
          <w:sz w:val="20"/>
          <w:szCs w:val="20"/>
        </w:rPr>
      </w:pPr>
      <w:r>
        <w:rPr>
          <w:rFonts w:ascii="宋体" w:hAnsi="宋体" w:eastAsia="宋体" w:cs="宋体"/>
          <w:color w:val="auto"/>
          <w:spacing w:val="9"/>
          <w:sz w:val="20"/>
          <w:szCs w:val="20"/>
        </w:rPr>
        <w:t>“主要人员简历表</w:t>
      </w:r>
      <w:r>
        <w:rPr>
          <w:rFonts w:ascii="宋体" w:hAnsi="宋体" w:eastAsia="宋体" w:cs="宋体"/>
          <w:color w:val="auto"/>
          <w:spacing w:val="-58"/>
          <w:sz w:val="20"/>
          <w:szCs w:val="20"/>
        </w:rPr>
        <w:t xml:space="preserve"> </w:t>
      </w:r>
      <w:r>
        <w:rPr>
          <w:rFonts w:ascii="宋体" w:hAnsi="宋体" w:eastAsia="宋体" w:cs="宋体"/>
          <w:color w:val="auto"/>
          <w:spacing w:val="9"/>
          <w:sz w:val="20"/>
          <w:szCs w:val="20"/>
        </w:rPr>
        <w:t>”中的项目经理应附建造师注册证、身份证、学历证、养老保险复印件，管理</w:t>
      </w:r>
      <w:r>
        <w:rPr>
          <w:rFonts w:ascii="宋体" w:hAnsi="宋体" w:eastAsia="宋体" w:cs="宋体"/>
          <w:color w:val="auto"/>
          <w:spacing w:val="10"/>
          <w:sz w:val="20"/>
          <w:szCs w:val="20"/>
        </w:rPr>
        <w:t>过的项目业绩须附中标通知书或合同协议书或工程接收证书（工程</w:t>
      </w:r>
      <w:r>
        <w:rPr>
          <w:rFonts w:ascii="宋体" w:hAnsi="宋体" w:eastAsia="宋体" w:cs="宋体"/>
          <w:color w:val="auto"/>
          <w:spacing w:val="9"/>
          <w:sz w:val="20"/>
          <w:szCs w:val="20"/>
        </w:rPr>
        <w:t>竣工验收证书）复印件（如有</w:t>
      </w:r>
      <w:r>
        <w:rPr>
          <w:rFonts w:ascii="宋体" w:hAnsi="宋体" w:eastAsia="宋体" w:cs="宋体"/>
          <w:color w:val="auto"/>
          <w:spacing w:val="11"/>
          <w:sz w:val="20"/>
          <w:szCs w:val="20"/>
        </w:rPr>
        <w:t>）；</w:t>
      </w:r>
      <w:r>
        <w:rPr>
          <w:rFonts w:ascii="宋体" w:hAnsi="宋体" w:eastAsia="宋体" w:cs="宋体"/>
          <w:color w:val="auto"/>
          <w:spacing w:val="10"/>
          <w:sz w:val="20"/>
          <w:szCs w:val="20"/>
        </w:rPr>
        <w:t>技术负责人应附身份证、职称证、学历证、养老保险复印件，管理过的项目</w:t>
      </w:r>
      <w:r>
        <w:rPr>
          <w:rFonts w:ascii="宋体" w:hAnsi="宋体" w:eastAsia="宋体" w:cs="宋体"/>
          <w:color w:val="auto"/>
          <w:spacing w:val="9"/>
          <w:sz w:val="20"/>
          <w:szCs w:val="20"/>
        </w:rPr>
        <w:t>业绩须附中标通知书或合</w:t>
      </w:r>
      <w:r>
        <w:rPr>
          <w:rFonts w:ascii="宋体" w:hAnsi="宋体" w:eastAsia="宋体" w:cs="宋体"/>
          <w:color w:val="auto"/>
          <w:spacing w:val="10"/>
          <w:sz w:val="20"/>
          <w:szCs w:val="20"/>
        </w:rPr>
        <w:t>同协议书或工程接收证书（工程竣工验收证书</w:t>
      </w:r>
      <w:r>
        <w:rPr>
          <w:rFonts w:ascii="宋体" w:hAnsi="宋体" w:eastAsia="宋体" w:cs="宋体"/>
          <w:color w:val="auto"/>
          <w:spacing w:val="9"/>
          <w:sz w:val="20"/>
          <w:szCs w:val="20"/>
        </w:rPr>
        <w:t>）复印件（如有</w:t>
      </w:r>
      <w:r>
        <w:rPr>
          <w:rFonts w:ascii="宋体" w:hAnsi="宋体" w:eastAsia="宋体" w:cs="宋体"/>
          <w:color w:val="auto"/>
          <w:spacing w:val="16"/>
          <w:sz w:val="20"/>
          <w:szCs w:val="20"/>
        </w:rPr>
        <w:t>）；</w:t>
      </w:r>
      <w:r>
        <w:rPr>
          <w:rFonts w:ascii="宋体" w:hAnsi="宋体" w:eastAsia="宋体" w:cs="宋体"/>
          <w:color w:val="auto"/>
          <w:spacing w:val="9"/>
          <w:sz w:val="20"/>
          <w:szCs w:val="20"/>
        </w:rPr>
        <w:t>其他主要人员应附职称证（执业证</w:t>
      </w:r>
      <w:r>
        <w:rPr>
          <w:rFonts w:ascii="宋体" w:hAnsi="宋体" w:eastAsia="宋体" w:cs="宋体"/>
          <w:color w:val="auto"/>
          <w:spacing w:val="8"/>
          <w:sz w:val="20"/>
          <w:szCs w:val="20"/>
        </w:rPr>
        <w:t>或上岗证书）、养老保险复印件。</w:t>
      </w:r>
    </w:p>
    <w:p w14:paraId="5A84AACA">
      <w:pPr>
        <w:spacing w:line="169" w:lineRule="exact"/>
        <w:rPr>
          <w:color w:val="auto"/>
        </w:rPr>
      </w:pPr>
    </w:p>
    <w:tbl>
      <w:tblPr>
        <w:tblStyle w:val="15"/>
        <w:tblW w:w="9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7"/>
        <w:gridCol w:w="352"/>
        <w:gridCol w:w="1611"/>
        <w:gridCol w:w="1073"/>
        <w:gridCol w:w="892"/>
        <w:gridCol w:w="536"/>
        <w:gridCol w:w="1243"/>
        <w:gridCol w:w="723"/>
        <w:gridCol w:w="1779"/>
      </w:tblGrid>
      <w:tr w14:paraId="337CA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09" w:type="dxa"/>
            <w:gridSpan w:val="2"/>
            <w:vAlign w:val="top"/>
          </w:tcPr>
          <w:p w14:paraId="6C02C22D">
            <w:pPr>
              <w:pStyle w:val="16"/>
              <w:spacing w:before="132" w:line="228" w:lineRule="auto"/>
              <w:ind w:left="598"/>
              <w:rPr>
                <w:color w:val="auto"/>
                <w:sz w:val="20"/>
                <w:szCs w:val="20"/>
              </w:rPr>
            </w:pPr>
            <w:r>
              <w:rPr>
                <w:color w:val="auto"/>
                <w:spacing w:val="4"/>
                <w:sz w:val="20"/>
                <w:szCs w:val="20"/>
              </w:rPr>
              <w:t>姓名</w:t>
            </w:r>
          </w:p>
        </w:tc>
        <w:tc>
          <w:tcPr>
            <w:tcW w:w="1611" w:type="dxa"/>
            <w:vAlign w:val="top"/>
          </w:tcPr>
          <w:p w14:paraId="6CD583A2">
            <w:pPr>
              <w:rPr>
                <w:rFonts w:ascii="Arial"/>
                <w:color w:val="auto"/>
                <w:sz w:val="21"/>
              </w:rPr>
            </w:pPr>
          </w:p>
        </w:tc>
        <w:tc>
          <w:tcPr>
            <w:tcW w:w="1073" w:type="dxa"/>
            <w:vAlign w:val="top"/>
          </w:tcPr>
          <w:p w14:paraId="5A724460">
            <w:pPr>
              <w:pStyle w:val="16"/>
              <w:spacing w:before="132" w:line="228" w:lineRule="auto"/>
              <w:ind w:left="331"/>
              <w:rPr>
                <w:color w:val="auto"/>
                <w:sz w:val="20"/>
                <w:szCs w:val="20"/>
              </w:rPr>
            </w:pPr>
            <w:r>
              <w:rPr>
                <w:color w:val="auto"/>
                <w:spacing w:val="4"/>
                <w:sz w:val="20"/>
                <w:szCs w:val="20"/>
              </w:rPr>
              <w:t>年龄</w:t>
            </w:r>
          </w:p>
        </w:tc>
        <w:tc>
          <w:tcPr>
            <w:tcW w:w="1428" w:type="dxa"/>
            <w:gridSpan w:val="2"/>
            <w:vAlign w:val="top"/>
          </w:tcPr>
          <w:p w14:paraId="1EC972C4">
            <w:pPr>
              <w:rPr>
                <w:rFonts w:ascii="Arial"/>
                <w:color w:val="auto"/>
                <w:sz w:val="21"/>
              </w:rPr>
            </w:pPr>
          </w:p>
        </w:tc>
        <w:tc>
          <w:tcPr>
            <w:tcW w:w="1966" w:type="dxa"/>
            <w:gridSpan w:val="2"/>
            <w:vAlign w:val="top"/>
          </w:tcPr>
          <w:p w14:paraId="1A0DD623">
            <w:pPr>
              <w:pStyle w:val="16"/>
              <w:spacing w:before="131" w:line="230" w:lineRule="auto"/>
              <w:ind w:left="257"/>
              <w:rPr>
                <w:color w:val="auto"/>
                <w:sz w:val="20"/>
                <w:szCs w:val="20"/>
              </w:rPr>
            </w:pPr>
            <w:r>
              <w:rPr>
                <w:color w:val="auto"/>
                <w:spacing w:val="-2"/>
                <w:sz w:val="20"/>
                <w:szCs w:val="20"/>
              </w:rPr>
              <w:t>学</w:t>
            </w:r>
            <w:r>
              <w:rPr>
                <w:color w:val="auto"/>
                <w:spacing w:val="6"/>
                <w:sz w:val="20"/>
                <w:szCs w:val="20"/>
              </w:rPr>
              <w:t xml:space="preserve">          </w:t>
            </w:r>
            <w:r>
              <w:rPr>
                <w:color w:val="auto"/>
                <w:spacing w:val="-2"/>
                <w:sz w:val="20"/>
                <w:szCs w:val="20"/>
              </w:rPr>
              <w:t>历</w:t>
            </w:r>
          </w:p>
        </w:tc>
        <w:tc>
          <w:tcPr>
            <w:tcW w:w="1779" w:type="dxa"/>
            <w:vAlign w:val="top"/>
          </w:tcPr>
          <w:p w14:paraId="58FD375D">
            <w:pPr>
              <w:rPr>
                <w:rFonts w:ascii="Arial"/>
                <w:color w:val="auto"/>
                <w:sz w:val="21"/>
              </w:rPr>
            </w:pPr>
          </w:p>
        </w:tc>
      </w:tr>
      <w:tr w14:paraId="22CEB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09" w:type="dxa"/>
            <w:gridSpan w:val="2"/>
            <w:vAlign w:val="top"/>
          </w:tcPr>
          <w:p w14:paraId="371CE6A7">
            <w:pPr>
              <w:pStyle w:val="16"/>
              <w:spacing w:before="103" w:line="231" w:lineRule="auto"/>
              <w:ind w:left="599"/>
              <w:rPr>
                <w:color w:val="auto"/>
                <w:sz w:val="20"/>
                <w:szCs w:val="20"/>
              </w:rPr>
            </w:pPr>
            <w:r>
              <w:rPr>
                <w:color w:val="auto"/>
                <w:spacing w:val="4"/>
                <w:sz w:val="20"/>
                <w:szCs w:val="20"/>
              </w:rPr>
              <w:t>职称</w:t>
            </w:r>
          </w:p>
        </w:tc>
        <w:tc>
          <w:tcPr>
            <w:tcW w:w="1611" w:type="dxa"/>
            <w:vAlign w:val="top"/>
          </w:tcPr>
          <w:p w14:paraId="45D754B5">
            <w:pPr>
              <w:rPr>
                <w:rFonts w:ascii="Arial"/>
                <w:color w:val="auto"/>
                <w:sz w:val="21"/>
              </w:rPr>
            </w:pPr>
          </w:p>
        </w:tc>
        <w:tc>
          <w:tcPr>
            <w:tcW w:w="1073" w:type="dxa"/>
            <w:vAlign w:val="top"/>
          </w:tcPr>
          <w:p w14:paraId="72215E70">
            <w:pPr>
              <w:pStyle w:val="16"/>
              <w:spacing w:before="103" w:line="228" w:lineRule="auto"/>
              <w:ind w:left="331"/>
              <w:rPr>
                <w:color w:val="auto"/>
                <w:sz w:val="20"/>
                <w:szCs w:val="20"/>
              </w:rPr>
            </w:pPr>
            <w:r>
              <w:rPr>
                <w:color w:val="auto"/>
                <w:spacing w:val="4"/>
                <w:sz w:val="20"/>
                <w:szCs w:val="20"/>
              </w:rPr>
              <w:t>职务</w:t>
            </w:r>
          </w:p>
        </w:tc>
        <w:tc>
          <w:tcPr>
            <w:tcW w:w="1428" w:type="dxa"/>
            <w:gridSpan w:val="2"/>
            <w:vAlign w:val="top"/>
          </w:tcPr>
          <w:p w14:paraId="26CE6818">
            <w:pPr>
              <w:rPr>
                <w:rFonts w:ascii="Arial"/>
                <w:color w:val="auto"/>
                <w:sz w:val="21"/>
              </w:rPr>
            </w:pPr>
          </w:p>
        </w:tc>
        <w:tc>
          <w:tcPr>
            <w:tcW w:w="1966" w:type="dxa"/>
            <w:gridSpan w:val="2"/>
            <w:vAlign w:val="top"/>
          </w:tcPr>
          <w:p w14:paraId="50DC5A48">
            <w:pPr>
              <w:pStyle w:val="16"/>
              <w:spacing w:before="103" w:line="228" w:lineRule="auto"/>
              <w:ind w:left="253"/>
              <w:rPr>
                <w:color w:val="auto"/>
                <w:sz w:val="20"/>
                <w:szCs w:val="20"/>
              </w:rPr>
            </w:pPr>
            <w:r>
              <w:rPr>
                <w:color w:val="auto"/>
                <w:spacing w:val="8"/>
                <w:sz w:val="20"/>
                <w:szCs w:val="20"/>
              </w:rPr>
              <w:t>拟在本合同任职</w:t>
            </w:r>
          </w:p>
        </w:tc>
        <w:tc>
          <w:tcPr>
            <w:tcW w:w="1779" w:type="dxa"/>
            <w:vAlign w:val="top"/>
          </w:tcPr>
          <w:p w14:paraId="6313A34D">
            <w:pPr>
              <w:rPr>
                <w:rFonts w:ascii="Arial"/>
                <w:color w:val="auto"/>
                <w:sz w:val="21"/>
              </w:rPr>
            </w:pPr>
          </w:p>
        </w:tc>
      </w:tr>
      <w:tr w14:paraId="15788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09" w:type="dxa"/>
            <w:gridSpan w:val="2"/>
            <w:vAlign w:val="top"/>
          </w:tcPr>
          <w:p w14:paraId="2B676B38">
            <w:pPr>
              <w:pStyle w:val="16"/>
              <w:spacing w:before="195" w:line="228" w:lineRule="auto"/>
              <w:ind w:left="394"/>
              <w:rPr>
                <w:color w:val="auto"/>
                <w:sz w:val="20"/>
                <w:szCs w:val="20"/>
              </w:rPr>
            </w:pPr>
            <w:r>
              <w:rPr>
                <w:color w:val="auto"/>
                <w:spacing w:val="6"/>
                <w:sz w:val="20"/>
                <w:szCs w:val="20"/>
              </w:rPr>
              <w:t>毕业学校</w:t>
            </w:r>
          </w:p>
        </w:tc>
        <w:tc>
          <w:tcPr>
            <w:tcW w:w="7857" w:type="dxa"/>
            <w:gridSpan w:val="7"/>
            <w:vAlign w:val="top"/>
          </w:tcPr>
          <w:p w14:paraId="52AAAE5A">
            <w:pPr>
              <w:pStyle w:val="16"/>
              <w:spacing w:before="195" w:line="228" w:lineRule="auto"/>
              <w:ind w:left="1990"/>
              <w:rPr>
                <w:color w:val="auto"/>
                <w:sz w:val="20"/>
                <w:szCs w:val="20"/>
              </w:rPr>
            </w:pPr>
            <w:r>
              <w:rPr>
                <w:color w:val="auto"/>
                <w:spacing w:val="5"/>
                <w:sz w:val="20"/>
                <w:szCs w:val="20"/>
              </w:rPr>
              <w:t>年毕业于</w:t>
            </w:r>
            <w:r>
              <w:rPr>
                <w:color w:val="auto"/>
                <w:sz w:val="20"/>
                <w:szCs w:val="20"/>
              </w:rPr>
              <w:t xml:space="preserve">                  </w:t>
            </w:r>
            <w:r>
              <w:rPr>
                <w:color w:val="auto"/>
                <w:spacing w:val="5"/>
                <w:sz w:val="20"/>
                <w:szCs w:val="20"/>
              </w:rPr>
              <w:t>学校</w:t>
            </w:r>
            <w:r>
              <w:rPr>
                <w:color w:val="auto"/>
                <w:spacing w:val="6"/>
                <w:sz w:val="20"/>
                <w:szCs w:val="20"/>
              </w:rPr>
              <w:t xml:space="preserve">         </w:t>
            </w:r>
            <w:r>
              <w:rPr>
                <w:color w:val="auto"/>
                <w:spacing w:val="5"/>
                <w:sz w:val="20"/>
                <w:szCs w:val="20"/>
              </w:rPr>
              <w:t>专业</w:t>
            </w:r>
          </w:p>
        </w:tc>
      </w:tr>
      <w:tr w14:paraId="02F81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466" w:type="dxa"/>
            <w:gridSpan w:val="9"/>
            <w:vAlign w:val="top"/>
          </w:tcPr>
          <w:p w14:paraId="11ADFC73">
            <w:pPr>
              <w:pStyle w:val="16"/>
              <w:spacing w:before="53" w:line="229" w:lineRule="auto"/>
              <w:ind w:left="118"/>
              <w:rPr>
                <w:color w:val="auto"/>
                <w:sz w:val="20"/>
                <w:szCs w:val="20"/>
              </w:rPr>
            </w:pPr>
            <w:r>
              <w:rPr>
                <w:color w:val="auto"/>
                <w:spacing w:val="7"/>
                <w:sz w:val="20"/>
                <w:szCs w:val="20"/>
              </w:rPr>
              <w:t>主要工作经历</w:t>
            </w:r>
          </w:p>
        </w:tc>
      </w:tr>
      <w:tr w14:paraId="7901A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257" w:type="dxa"/>
            <w:vAlign w:val="top"/>
          </w:tcPr>
          <w:p w14:paraId="057FF59C">
            <w:pPr>
              <w:pStyle w:val="16"/>
              <w:spacing w:before="203" w:line="231" w:lineRule="auto"/>
              <w:ind w:left="433"/>
              <w:rPr>
                <w:color w:val="auto"/>
                <w:sz w:val="20"/>
                <w:szCs w:val="20"/>
              </w:rPr>
            </w:pPr>
            <w:r>
              <w:rPr>
                <w:color w:val="auto"/>
                <w:spacing w:val="-1"/>
                <w:sz w:val="20"/>
                <w:szCs w:val="20"/>
              </w:rPr>
              <w:t>时间</w:t>
            </w:r>
          </w:p>
        </w:tc>
        <w:tc>
          <w:tcPr>
            <w:tcW w:w="3928" w:type="dxa"/>
            <w:gridSpan w:val="4"/>
            <w:vAlign w:val="top"/>
          </w:tcPr>
          <w:p w14:paraId="07A79F19">
            <w:pPr>
              <w:pStyle w:val="16"/>
              <w:spacing w:before="204" w:line="228" w:lineRule="auto"/>
              <w:ind w:left="1131"/>
              <w:rPr>
                <w:color w:val="auto"/>
                <w:sz w:val="20"/>
                <w:szCs w:val="20"/>
              </w:rPr>
            </w:pPr>
            <w:r>
              <w:rPr>
                <w:color w:val="auto"/>
                <w:spacing w:val="8"/>
                <w:sz w:val="20"/>
                <w:szCs w:val="20"/>
              </w:rPr>
              <w:t>参加过的类似项目</w:t>
            </w:r>
          </w:p>
        </w:tc>
        <w:tc>
          <w:tcPr>
            <w:tcW w:w="1779" w:type="dxa"/>
            <w:gridSpan w:val="2"/>
            <w:vAlign w:val="top"/>
          </w:tcPr>
          <w:p w14:paraId="39EC4829">
            <w:pPr>
              <w:pStyle w:val="16"/>
              <w:spacing w:before="204" w:line="228" w:lineRule="auto"/>
              <w:ind w:left="478"/>
              <w:rPr>
                <w:color w:val="auto"/>
                <w:sz w:val="20"/>
                <w:szCs w:val="20"/>
              </w:rPr>
            </w:pPr>
            <w:r>
              <w:rPr>
                <w:color w:val="auto"/>
                <w:spacing w:val="7"/>
                <w:sz w:val="20"/>
                <w:szCs w:val="20"/>
              </w:rPr>
              <w:t>担任职务</w:t>
            </w:r>
          </w:p>
        </w:tc>
        <w:tc>
          <w:tcPr>
            <w:tcW w:w="2502" w:type="dxa"/>
            <w:gridSpan w:val="2"/>
            <w:vAlign w:val="top"/>
          </w:tcPr>
          <w:p w14:paraId="0818098A">
            <w:pPr>
              <w:pStyle w:val="16"/>
              <w:spacing w:before="204" w:line="229" w:lineRule="auto"/>
              <w:ind w:left="420"/>
              <w:rPr>
                <w:color w:val="auto"/>
                <w:sz w:val="20"/>
                <w:szCs w:val="20"/>
              </w:rPr>
            </w:pPr>
            <w:r>
              <w:rPr>
                <w:color w:val="auto"/>
                <w:spacing w:val="8"/>
                <w:sz w:val="20"/>
                <w:szCs w:val="20"/>
              </w:rPr>
              <w:t>发包人及联系电话</w:t>
            </w:r>
          </w:p>
        </w:tc>
      </w:tr>
      <w:tr w14:paraId="313E5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257" w:type="dxa"/>
            <w:vAlign w:val="top"/>
          </w:tcPr>
          <w:p w14:paraId="43A77B7F">
            <w:pPr>
              <w:rPr>
                <w:rFonts w:ascii="Arial"/>
                <w:color w:val="auto"/>
                <w:sz w:val="21"/>
              </w:rPr>
            </w:pPr>
          </w:p>
        </w:tc>
        <w:tc>
          <w:tcPr>
            <w:tcW w:w="3928" w:type="dxa"/>
            <w:gridSpan w:val="4"/>
            <w:vAlign w:val="top"/>
          </w:tcPr>
          <w:p w14:paraId="7172CBFA">
            <w:pPr>
              <w:rPr>
                <w:rFonts w:ascii="Arial"/>
                <w:color w:val="auto"/>
                <w:sz w:val="21"/>
              </w:rPr>
            </w:pPr>
          </w:p>
        </w:tc>
        <w:tc>
          <w:tcPr>
            <w:tcW w:w="1779" w:type="dxa"/>
            <w:gridSpan w:val="2"/>
            <w:vAlign w:val="top"/>
          </w:tcPr>
          <w:p w14:paraId="5CC11A0E">
            <w:pPr>
              <w:rPr>
                <w:rFonts w:ascii="Arial"/>
                <w:color w:val="auto"/>
                <w:sz w:val="21"/>
              </w:rPr>
            </w:pPr>
          </w:p>
        </w:tc>
        <w:tc>
          <w:tcPr>
            <w:tcW w:w="2502" w:type="dxa"/>
            <w:gridSpan w:val="2"/>
            <w:vAlign w:val="top"/>
          </w:tcPr>
          <w:p w14:paraId="633D0643">
            <w:pPr>
              <w:rPr>
                <w:rFonts w:ascii="Arial"/>
                <w:color w:val="auto"/>
                <w:sz w:val="21"/>
              </w:rPr>
            </w:pPr>
          </w:p>
        </w:tc>
      </w:tr>
      <w:tr w14:paraId="30B1C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257" w:type="dxa"/>
            <w:vAlign w:val="top"/>
          </w:tcPr>
          <w:p w14:paraId="77709480">
            <w:pPr>
              <w:rPr>
                <w:rFonts w:ascii="Arial"/>
                <w:color w:val="auto"/>
                <w:sz w:val="21"/>
              </w:rPr>
            </w:pPr>
          </w:p>
        </w:tc>
        <w:tc>
          <w:tcPr>
            <w:tcW w:w="3928" w:type="dxa"/>
            <w:gridSpan w:val="4"/>
            <w:vAlign w:val="top"/>
          </w:tcPr>
          <w:p w14:paraId="16153C4E">
            <w:pPr>
              <w:rPr>
                <w:rFonts w:ascii="Arial"/>
                <w:color w:val="auto"/>
                <w:sz w:val="21"/>
              </w:rPr>
            </w:pPr>
          </w:p>
        </w:tc>
        <w:tc>
          <w:tcPr>
            <w:tcW w:w="1779" w:type="dxa"/>
            <w:gridSpan w:val="2"/>
            <w:vAlign w:val="top"/>
          </w:tcPr>
          <w:p w14:paraId="3F35E4A9">
            <w:pPr>
              <w:rPr>
                <w:rFonts w:ascii="Arial"/>
                <w:color w:val="auto"/>
                <w:sz w:val="21"/>
              </w:rPr>
            </w:pPr>
          </w:p>
        </w:tc>
        <w:tc>
          <w:tcPr>
            <w:tcW w:w="2502" w:type="dxa"/>
            <w:gridSpan w:val="2"/>
            <w:vAlign w:val="top"/>
          </w:tcPr>
          <w:p w14:paraId="36B65D3C">
            <w:pPr>
              <w:rPr>
                <w:rFonts w:ascii="Arial"/>
                <w:color w:val="auto"/>
                <w:sz w:val="21"/>
              </w:rPr>
            </w:pPr>
          </w:p>
        </w:tc>
      </w:tr>
      <w:tr w14:paraId="6F1D8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257" w:type="dxa"/>
            <w:vAlign w:val="top"/>
          </w:tcPr>
          <w:p w14:paraId="09C4E68A">
            <w:pPr>
              <w:rPr>
                <w:rFonts w:ascii="Arial"/>
                <w:color w:val="auto"/>
                <w:sz w:val="21"/>
              </w:rPr>
            </w:pPr>
          </w:p>
        </w:tc>
        <w:tc>
          <w:tcPr>
            <w:tcW w:w="3928" w:type="dxa"/>
            <w:gridSpan w:val="4"/>
            <w:vAlign w:val="top"/>
          </w:tcPr>
          <w:p w14:paraId="29D9F40E">
            <w:pPr>
              <w:rPr>
                <w:rFonts w:ascii="Arial"/>
                <w:color w:val="auto"/>
                <w:sz w:val="21"/>
              </w:rPr>
            </w:pPr>
          </w:p>
        </w:tc>
        <w:tc>
          <w:tcPr>
            <w:tcW w:w="1779" w:type="dxa"/>
            <w:gridSpan w:val="2"/>
            <w:vAlign w:val="top"/>
          </w:tcPr>
          <w:p w14:paraId="1D2DEE78">
            <w:pPr>
              <w:rPr>
                <w:rFonts w:ascii="Arial"/>
                <w:color w:val="auto"/>
                <w:sz w:val="21"/>
              </w:rPr>
            </w:pPr>
          </w:p>
        </w:tc>
        <w:tc>
          <w:tcPr>
            <w:tcW w:w="2502" w:type="dxa"/>
            <w:gridSpan w:val="2"/>
            <w:vAlign w:val="top"/>
          </w:tcPr>
          <w:p w14:paraId="60E5AF0A">
            <w:pPr>
              <w:rPr>
                <w:rFonts w:ascii="Arial"/>
                <w:color w:val="auto"/>
                <w:sz w:val="21"/>
              </w:rPr>
            </w:pPr>
          </w:p>
        </w:tc>
      </w:tr>
      <w:tr w14:paraId="2D692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257" w:type="dxa"/>
            <w:vAlign w:val="top"/>
          </w:tcPr>
          <w:p w14:paraId="618F9A68">
            <w:pPr>
              <w:rPr>
                <w:rFonts w:ascii="Arial"/>
                <w:color w:val="auto"/>
                <w:sz w:val="21"/>
              </w:rPr>
            </w:pPr>
          </w:p>
        </w:tc>
        <w:tc>
          <w:tcPr>
            <w:tcW w:w="3928" w:type="dxa"/>
            <w:gridSpan w:val="4"/>
            <w:vAlign w:val="top"/>
          </w:tcPr>
          <w:p w14:paraId="38FEB584">
            <w:pPr>
              <w:rPr>
                <w:rFonts w:ascii="Arial"/>
                <w:color w:val="auto"/>
                <w:sz w:val="21"/>
              </w:rPr>
            </w:pPr>
          </w:p>
        </w:tc>
        <w:tc>
          <w:tcPr>
            <w:tcW w:w="1779" w:type="dxa"/>
            <w:gridSpan w:val="2"/>
            <w:vAlign w:val="top"/>
          </w:tcPr>
          <w:p w14:paraId="01E5A9B1">
            <w:pPr>
              <w:rPr>
                <w:rFonts w:ascii="Arial"/>
                <w:color w:val="auto"/>
                <w:sz w:val="21"/>
              </w:rPr>
            </w:pPr>
          </w:p>
        </w:tc>
        <w:tc>
          <w:tcPr>
            <w:tcW w:w="2502" w:type="dxa"/>
            <w:gridSpan w:val="2"/>
            <w:vAlign w:val="top"/>
          </w:tcPr>
          <w:p w14:paraId="0FC7C446">
            <w:pPr>
              <w:rPr>
                <w:rFonts w:ascii="Arial"/>
                <w:color w:val="auto"/>
                <w:sz w:val="21"/>
              </w:rPr>
            </w:pPr>
          </w:p>
        </w:tc>
      </w:tr>
      <w:tr w14:paraId="1D138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257" w:type="dxa"/>
            <w:vAlign w:val="top"/>
          </w:tcPr>
          <w:p w14:paraId="29B18E23">
            <w:pPr>
              <w:rPr>
                <w:rFonts w:ascii="Arial"/>
                <w:color w:val="auto"/>
                <w:sz w:val="21"/>
              </w:rPr>
            </w:pPr>
          </w:p>
        </w:tc>
        <w:tc>
          <w:tcPr>
            <w:tcW w:w="3928" w:type="dxa"/>
            <w:gridSpan w:val="4"/>
            <w:vAlign w:val="top"/>
          </w:tcPr>
          <w:p w14:paraId="0938239D">
            <w:pPr>
              <w:rPr>
                <w:rFonts w:ascii="Arial"/>
                <w:color w:val="auto"/>
                <w:sz w:val="21"/>
              </w:rPr>
            </w:pPr>
          </w:p>
        </w:tc>
        <w:tc>
          <w:tcPr>
            <w:tcW w:w="1779" w:type="dxa"/>
            <w:gridSpan w:val="2"/>
            <w:vAlign w:val="top"/>
          </w:tcPr>
          <w:p w14:paraId="23E4C0CF">
            <w:pPr>
              <w:rPr>
                <w:rFonts w:ascii="Arial"/>
                <w:color w:val="auto"/>
                <w:sz w:val="21"/>
              </w:rPr>
            </w:pPr>
          </w:p>
        </w:tc>
        <w:tc>
          <w:tcPr>
            <w:tcW w:w="2502" w:type="dxa"/>
            <w:gridSpan w:val="2"/>
            <w:vAlign w:val="top"/>
          </w:tcPr>
          <w:p w14:paraId="3174414B">
            <w:pPr>
              <w:rPr>
                <w:rFonts w:ascii="Arial"/>
                <w:color w:val="auto"/>
                <w:sz w:val="21"/>
              </w:rPr>
            </w:pPr>
          </w:p>
        </w:tc>
      </w:tr>
      <w:tr w14:paraId="03141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257" w:type="dxa"/>
            <w:vAlign w:val="top"/>
          </w:tcPr>
          <w:p w14:paraId="16B24BAA">
            <w:pPr>
              <w:rPr>
                <w:rFonts w:ascii="Arial"/>
                <w:color w:val="auto"/>
                <w:sz w:val="21"/>
              </w:rPr>
            </w:pPr>
          </w:p>
        </w:tc>
        <w:tc>
          <w:tcPr>
            <w:tcW w:w="3928" w:type="dxa"/>
            <w:gridSpan w:val="4"/>
            <w:vAlign w:val="top"/>
          </w:tcPr>
          <w:p w14:paraId="0E4A0DED">
            <w:pPr>
              <w:rPr>
                <w:rFonts w:ascii="Arial"/>
                <w:color w:val="auto"/>
                <w:sz w:val="21"/>
              </w:rPr>
            </w:pPr>
          </w:p>
        </w:tc>
        <w:tc>
          <w:tcPr>
            <w:tcW w:w="1779" w:type="dxa"/>
            <w:gridSpan w:val="2"/>
            <w:vAlign w:val="top"/>
          </w:tcPr>
          <w:p w14:paraId="54EFD9AE">
            <w:pPr>
              <w:rPr>
                <w:rFonts w:ascii="Arial"/>
                <w:color w:val="auto"/>
                <w:sz w:val="21"/>
              </w:rPr>
            </w:pPr>
          </w:p>
        </w:tc>
        <w:tc>
          <w:tcPr>
            <w:tcW w:w="2502" w:type="dxa"/>
            <w:gridSpan w:val="2"/>
            <w:vAlign w:val="top"/>
          </w:tcPr>
          <w:p w14:paraId="69D1FD21">
            <w:pPr>
              <w:rPr>
                <w:rFonts w:ascii="Arial"/>
                <w:color w:val="auto"/>
                <w:sz w:val="21"/>
              </w:rPr>
            </w:pPr>
          </w:p>
        </w:tc>
      </w:tr>
      <w:tr w14:paraId="10C47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57" w:type="dxa"/>
            <w:vAlign w:val="top"/>
          </w:tcPr>
          <w:p w14:paraId="5B71DAEC">
            <w:pPr>
              <w:rPr>
                <w:rFonts w:ascii="Arial"/>
                <w:color w:val="auto"/>
                <w:sz w:val="21"/>
              </w:rPr>
            </w:pPr>
          </w:p>
        </w:tc>
        <w:tc>
          <w:tcPr>
            <w:tcW w:w="3928" w:type="dxa"/>
            <w:gridSpan w:val="4"/>
            <w:vAlign w:val="top"/>
          </w:tcPr>
          <w:p w14:paraId="0330C371">
            <w:pPr>
              <w:rPr>
                <w:rFonts w:ascii="Arial"/>
                <w:color w:val="auto"/>
                <w:sz w:val="21"/>
              </w:rPr>
            </w:pPr>
          </w:p>
        </w:tc>
        <w:tc>
          <w:tcPr>
            <w:tcW w:w="1779" w:type="dxa"/>
            <w:gridSpan w:val="2"/>
            <w:vAlign w:val="top"/>
          </w:tcPr>
          <w:p w14:paraId="4BD2D91F">
            <w:pPr>
              <w:rPr>
                <w:rFonts w:ascii="Arial"/>
                <w:color w:val="auto"/>
                <w:sz w:val="21"/>
              </w:rPr>
            </w:pPr>
          </w:p>
        </w:tc>
        <w:tc>
          <w:tcPr>
            <w:tcW w:w="2502" w:type="dxa"/>
            <w:gridSpan w:val="2"/>
            <w:vAlign w:val="top"/>
          </w:tcPr>
          <w:p w14:paraId="6D800C31">
            <w:pPr>
              <w:rPr>
                <w:rFonts w:ascii="Arial"/>
                <w:color w:val="auto"/>
                <w:sz w:val="21"/>
              </w:rPr>
            </w:pPr>
          </w:p>
        </w:tc>
      </w:tr>
      <w:tr w14:paraId="4AA86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57" w:type="dxa"/>
            <w:vAlign w:val="top"/>
          </w:tcPr>
          <w:p w14:paraId="6B140C9C">
            <w:pPr>
              <w:rPr>
                <w:rFonts w:ascii="Arial"/>
                <w:color w:val="auto"/>
                <w:sz w:val="21"/>
              </w:rPr>
            </w:pPr>
          </w:p>
        </w:tc>
        <w:tc>
          <w:tcPr>
            <w:tcW w:w="3928" w:type="dxa"/>
            <w:gridSpan w:val="4"/>
            <w:vAlign w:val="top"/>
          </w:tcPr>
          <w:p w14:paraId="6DCBE3CD">
            <w:pPr>
              <w:rPr>
                <w:rFonts w:ascii="Arial"/>
                <w:color w:val="auto"/>
                <w:sz w:val="21"/>
              </w:rPr>
            </w:pPr>
          </w:p>
        </w:tc>
        <w:tc>
          <w:tcPr>
            <w:tcW w:w="1779" w:type="dxa"/>
            <w:gridSpan w:val="2"/>
            <w:vAlign w:val="top"/>
          </w:tcPr>
          <w:p w14:paraId="3DC955DE">
            <w:pPr>
              <w:rPr>
                <w:rFonts w:ascii="Arial"/>
                <w:color w:val="auto"/>
                <w:sz w:val="21"/>
              </w:rPr>
            </w:pPr>
          </w:p>
        </w:tc>
        <w:tc>
          <w:tcPr>
            <w:tcW w:w="2502" w:type="dxa"/>
            <w:gridSpan w:val="2"/>
            <w:vAlign w:val="top"/>
          </w:tcPr>
          <w:p w14:paraId="6536EB93">
            <w:pPr>
              <w:rPr>
                <w:rFonts w:ascii="Arial"/>
                <w:color w:val="auto"/>
                <w:sz w:val="21"/>
              </w:rPr>
            </w:pPr>
          </w:p>
        </w:tc>
      </w:tr>
      <w:tr w14:paraId="63C97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257" w:type="dxa"/>
            <w:vAlign w:val="top"/>
          </w:tcPr>
          <w:p w14:paraId="625EDA33">
            <w:pPr>
              <w:rPr>
                <w:rFonts w:ascii="Arial"/>
                <w:color w:val="auto"/>
                <w:sz w:val="21"/>
              </w:rPr>
            </w:pPr>
          </w:p>
        </w:tc>
        <w:tc>
          <w:tcPr>
            <w:tcW w:w="3928" w:type="dxa"/>
            <w:gridSpan w:val="4"/>
            <w:vAlign w:val="top"/>
          </w:tcPr>
          <w:p w14:paraId="7D19B29E">
            <w:pPr>
              <w:rPr>
                <w:rFonts w:ascii="Arial"/>
                <w:color w:val="auto"/>
                <w:sz w:val="21"/>
              </w:rPr>
            </w:pPr>
          </w:p>
        </w:tc>
        <w:tc>
          <w:tcPr>
            <w:tcW w:w="1779" w:type="dxa"/>
            <w:gridSpan w:val="2"/>
            <w:vAlign w:val="top"/>
          </w:tcPr>
          <w:p w14:paraId="3D80CF78">
            <w:pPr>
              <w:rPr>
                <w:rFonts w:ascii="Arial"/>
                <w:color w:val="auto"/>
                <w:sz w:val="21"/>
              </w:rPr>
            </w:pPr>
          </w:p>
        </w:tc>
        <w:tc>
          <w:tcPr>
            <w:tcW w:w="2502" w:type="dxa"/>
            <w:gridSpan w:val="2"/>
            <w:vAlign w:val="top"/>
          </w:tcPr>
          <w:p w14:paraId="03774807">
            <w:pPr>
              <w:rPr>
                <w:rFonts w:ascii="Arial"/>
                <w:color w:val="auto"/>
                <w:sz w:val="21"/>
              </w:rPr>
            </w:pPr>
          </w:p>
        </w:tc>
      </w:tr>
      <w:tr w14:paraId="4CE17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257" w:type="dxa"/>
            <w:vAlign w:val="top"/>
          </w:tcPr>
          <w:p w14:paraId="4BA295D3">
            <w:pPr>
              <w:rPr>
                <w:rFonts w:ascii="Arial"/>
                <w:color w:val="auto"/>
                <w:sz w:val="21"/>
              </w:rPr>
            </w:pPr>
          </w:p>
        </w:tc>
        <w:tc>
          <w:tcPr>
            <w:tcW w:w="3928" w:type="dxa"/>
            <w:gridSpan w:val="4"/>
            <w:vAlign w:val="top"/>
          </w:tcPr>
          <w:p w14:paraId="51806E5D">
            <w:pPr>
              <w:rPr>
                <w:rFonts w:ascii="Arial"/>
                <w:color w:val="auto"/>
                <w:sz w:val="21"/>
              </w:rPr>
            </w:pPr>
          </w:p>
        </w:tc>
        <w:tc>
          <w:tcPr>
            <w:tcW w:w="1779" w:type="dxa"/>
            <w:gridSpan w:val="2"/>
            <w:vAlign w:val="top"/>
          </w:tcPr>
          <w:p w14:paraId="41BBCC77">
            <w:pPr>
              <w:rPr>
                <w:rFonts w:ascii="Arial"/>
                <w:color w:val="auto"/>
                <w:sz w:val="21"/>
              </w:rPr>
            </w:pPr>
          </w:p>
        </w:tc>
        <w:tc>
          <w:tcPr>
            <w:tcW w:w="2502" w:type="dxa"/>
            <w:gridSpan w:val="2"/>
            <w:vAlign w:val="top"/>
          </w:tcPr>
          <w:p w14:paraId="31BF57BC">
            <w:pPr>
              <w:rPr>
                <w:rFonts w:ascii="Arial"/>
                <w:color w:val="auto"/>
                <w:sz w:val="21"/>
              </w:rPr>
            </w:pPr>
          </w:p>
        </w:tc>
      </w:tr>
      <w:tr w14:paraId="328E7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257" w:type="dxa"/>
            <w:vAlign w:val="top"/>
          </w:tcPr>
          <w:p w14:paraId="3278A0CD">
            <w:pPr>
              <w:rPr>
                <w:rFonts w:ascii="Arial"/>
                <w:color w:val="auto"/>
                <w:sz w:val="21"/>
              </w:rPr>
            </w:pPr>
          </w:p>
        </w:tc>
        <w:tc>
          <w:tcPr>
            <w:tcW w:w="3928" w:type="dxa"/>
            <w:gridSpan w:val="4"/>
            <w:vAlign w:val="top"/>
          </w:tcPr>
          <w:p w14:paraId="61C39BF9">
            <w:pPr>
              <w:rPr>
                <w:rFonts w:ascii="Arial"/>
                <w:color w:val="auto"/>
                <w:sz w:val="21"/>
              </w:rPr>
            </w:pPr>
          </w:p>
        </w:tc>
        <w:tc>
          <w:tcPr>
            <w:tcW w:w="1779" w:type="dxa"/>
            <w:gridSpan w:val="2"/>
            <w:vAlign w:val="top"/>
          </w:tcPr>
          <w:p w14:paraId="11AAAEEB">
            <w:pPr>
              <w:rPr>
                <w:rFonts w:ascii="Arial"/>
                <w:color w:val="auto"/>
                <w:sz w:val="21"/>
              </w:rPr>
            </w:pPr>
          </w:p>
        </w:tc>
        <w:tc>
          <w:tcPr>
            <w:tcW w:w="2502" w:type="dxa"/>
            <w:gridSpan w:val="2"/>
            <w:vAlign w:val="top"/>
          </w:tcPr>
          <w:p w14:paraId="4E743C20">
            <w:pPr>
              <w:rPr>
                <w:rFonts w:ascii="Arial"/>
                <w:color w:val="auto"/>
                <w:sz w:val="21"/>
              </w:rPr>
            </w:pPr>
          </w:p>
        </w:tc>
      </w:tr>
      <w:tr w14:paraId="5A4A1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257" w:type="dxa"/>
            <w:vAlign w:val="top"/>
          </w:tcPr>
          <w:p w14:paraId="050BDD42">
            <w:pPr>
              <w:rPr>
                <w:rFonts w:ascii="Arial"/>
                <w:color w:val="auto"/>
                <w:sz w:val="21"/>
              </w:rPr>
            </w:pPr>
          </w:p>
        </w:tc>
        <w:tc>
          <w:tcPr>
            <w:tcW w:w="3928" w:type="dxa"/>
            <w:gridSpan w:val="4"/>
            <w:vAlign w:val="top"/>
          </w:tcPr>
          <w:p w14:paraId="7A703D47">
            <w:pPr>
              <w:rPr>
                <w:rFonts w:ascii="Arial"/>
                <w:color w:val="auto"/>
                <w:sz w:val="21"/>
              </w:rPr>
            </w:pPr>
          </w:p>
        </w:tc>
        <w:tc>
          <w:tcPr>
            <w:tcW w:w="1779" w:type="dxa"/>
            <w:gridSpan w:val="2"/>
            <w:vAlign w:val="top"/>
          </w:tcPr>
          <w:p w14:paraId="550BC905">
            <w:pPr>
              <w:rPr>
                <w:rFonts w:ascii="Arial"/>
                <w:color w:val="auto"/>
                <w:sz w:val="21"/>
              </w:rPr>
            </w:pPr>
          </w:p>
        </w:tc>
        <w:tc>
          <w:tcPr>
            <w:tcW w:w="2502" w:type="dxa"/>
            <w:gridSpan w:val="2"/>
            <w:vAlign w:val="top"/>
          </w:tcPr>
          <w:p w14:paraId="5846396D">
            <w:pPr>
              <w:rPr>
                <w:rFonts w:ascii="Arial"/>
                <w:color w:val="auto"/>
                <w:sz w:val="21"/>
              </w:rPr>
            </w:pPr>
          </w:p>
        </w:tc>
      </w:tr>
    </w:tbl>
    <w:p w14:paraId="2B4EF1C1">
      <w:pPr>
        <w:pStyle w:val="2"/>
        <w:rPr>
          <w:color w:val="auto"/>
        </w:rPr>
      </w:pPr>
    </w:p>
    <w:p w14:paraId="75A0A87E">
      <w:pPr>
        <w:rPr>
          <w:color w:val="auto"/>
        </w:rPr>
        <w:sectPr>
          <w:footerReference r:id="rId35" w:type="default"/>
          <w:pgSz w:w="11906" w:h="16839"/>
          <w:pgMar w:top="1440" w:right="1080" w:bottom="1440" w:left="1080" w:header="0" w:footer="783" w:gutter="0"/>
          <w:pgNumType w:fmt="decimal"/>
          <w:cols w:space="720" w:num="1"/>
        </w:sectPr>
      </w:pPr>
    </w:p>
    <w:p w14:paraId="091C36DA">
      <w:pPr>
        <w:pStyle w:val="2"/>
        <w:spacing w:line="249" w:lineRule="auto"/>
        <w:rPr>
          <w:color w:val="auto"/>
        </w:rPr>
      </w:pPr>
    </w:p>
    <w:p w14:paraId="6D7EFD29">
      <w:pPr>
        <w:pStyle w:val="2"/>
        <w:spacing w:line="249" w:lineRule="auto"/>
        <w:rPr>
          <w:color w:val="auto"/>
        </w:rPr>
      </w:pPr>
    </w:p>
    <w:p w14:paraId="1105CEE8">
      <w:pPr>
        <w:pStyle w:val="2"/>
        <w:spacing w:line="249" w:lineRule="auto"/>
        <w:rPr>
          <w:color w:val="auto"/>
        </w:rPr>
      </w:pPr>
    </w:p>
    <w:p w14:paraId="3F2DCAC6">
      <w:pPr>
        <w:pStyle w:val="2"/>
        <w:spacing w:line="249" w:lineRule="auto"/>
        <w:rPr>
          <w:color w:val="auto"/>
        </w:rPr>
      </w:pPr>
    </w:p>
    <w:p w14:paraId="5CEB3F1C">
      <w:pPr>
        <w:spacing w:before="91" w:line="220" w:lineRule="auto"/>
        <w:ind w:left="4202"/>
        <w:rPr>
          <w:rFonts w:ascii="宋体" w:hAnsi="宋体" w:eastAsia="宋体" w:cs="宋体"/>
          <w:color w:val="auto"/>
          <w:sz w:val="28"/>
          <w:szCs w:val="28"/>
        </w:rPr>
      </w:pPr>
      <w:r>
        <w:rPr>
          <w:rFonts w:ascii="宋体" w:hAnsi="宋体" w:eastAsia="宋体" w:cs="宋体"/>
          <w:b/>
          <w:bCs/>
          <w:color w:val="auto"/>
          <w:spacing w:val="-6"/>
          <w:sz w:val="28"/>
          <w:szCs w:val="28"/>
        </w:rPr>
        <w:t>承诺书</w:t>
      </w:r>
    </w:p>
    <w:p w14:paraId="667DE582">
      <w:pPr>
        <w:pStyle w:val="2"/>
        <w:spacing w:line="267" w:lineRule="auto"/>
        <w:rPr>
          <w:color w:val="auto"/>
        </w:rPr>
      </w:pPr>
    </w:p>
    <w:p w14:paraId="453C96DE">
      <w:pPr>
        <w:pStyle w:val="2"/>
        <w:spacing w:line="268" w:lineRule="auto"/>
        <w:rPr>
          <w:color w:val="auto"/>
        </w:rPr>
      </w:pPr>
    </w:p>
    <w:p w14:paraId="337CACEC">
      <w:pPr>
        <w:spacing w:before="65" w:line="228" w:lineRule="auto"/>
        <w:rPr>
          <w:rFonts w:ascii="宋体" w:hAnsi="宋体" w:eastAsia="宋体" w:cs="宋体"/>
          <w:color w:val="auto"/>
          <w:sz w:val="20"/>
          <w:szCs w:val="20"/>
        </w:rPr>
      </w:pPr>
      <w:r>
        <w:rPr>
          <w:rFonts w:ascii="宋体" w:hAnsi="宋体" w:eastAsia="宋体" w:cs="宋体"/>
          <w:color w:val="auto"/>
          <w:spacing w:val="9"/>
          <w:position w:val="-6"/>
          <w:sz w:val="20"/>
          <w:szCs w:val="20"/>
        </w:rPr>
        <w:t>————————</w:t>
      </w:r>
      <w:r>
        <w:rPr>
          <w:rFonts w:ascii="宋体" w:hAnsi="宋体" w:eastAsia="宋体" w:cs="宋体"/>
          <w:color w:val="auto"/>
          <w:spacing w:val="9"/>
          <w:sz w:val="20"/>
          <w:szCs w:val="20"/>
        </w:rPr>
        <w:t>（采购人名称</w:t>
      </w:r>
      <w:r>
        <w:rPr>
          <w:rFonts w:ascii="宋体" w:hAnsi="宋体" w:eastAsia="宋体" w:cs="宋体"/>
          <w:color w:val="auto"/>
          <w:spacing w:val="2"/>
          <w:sz w:val="20"/>
          <w:szCs w:val="20"/>
        </w:rPr>
        <w:t>）：</w:t>
      </w:r>
    </w:p>
    <w:p w14:paraId="27A1CD89">
      <w:pPr>
        <w:pStyle w:val="2"/>
        <w:spacing w:line="376" w:lineRule="auto"/>
        <w:rPr>
          <w:color w:val="auto"/>
        </w:rPr>
      </w:pPr>
    </w:p>
    <w:p w14:paraId="14BE11A2">
      <w:pPr>
        <w:spacing w:before="65" w:line="407" w:lineRule="auto"/>
        <w:ind w:left="4" w:right="2" w:firstLine="419"/>
        <w:rPr>
          <w:rFonts w:ascii="宋体" w:hAnsi="宋体" w:eastAsia="宋体" w:cs="宋体"/>
          <w:color w:val="auto"/>
          <w:sz w:val="20"/>
          <w:szCs w:val="20"/>
        </w:rPr>
      </w:pPr>
      <w:r>
        <w:rPr>
          <w:rFonts w:ascii="宋体" w:hAnsi="宋体" w:eastAsia="宋体" w:cs="宋体"/>
          <w:color w:val="auto"/>
          <w:spacing w:val="8"/>
          <w:sz w:val="20"/>
          <w:szCs w:val="20"/>
        </w:rPr>
        <w:t>我方在此声明，我方拟派往</w:t>
      </w:r>
      <w:r>
        <w:rPr>
          <w:rFonts w:ascii="宋体" w:hAnsi="宋体" w:eastAsia="宋体" w:cs="宋体"/>
          <w:color w:val="auto"/>
          <w:spacing w:val="8"/>
          <w:sz w:val="20"/>
          <w:szCs w:val="20"/>
          <w:u w:val="single" w:color="auto"/>
        </w:rPr>
        <w:t xml:space="preserve">        </w:t>
      </w:r>
      <w:r>
        <w:rPr>
          <w:rFonts w:ascii="宋体" w:hAnsi="宋体" w:eastAsia="宋体" w:cs="宋体"/>
          <w:color w:val="auto"/>
          <w:spacing w:val="8"/>
          <w:sz w:val="20"/>
          <w:szCs w:val="20"/>
        </w:rPr>
        <w:t>（项目名</w:t>
      </w:r>
      <w:r>
        <w:rPr>
          <w:rFonts w:ascii="宋体" w:hAnsi="宋体" w:eastAsia="宋体" w:cs="宋体"/>
          <w:color w:val="auto"/>
          <w:spacing w:val="7"/>
          <w:sz w:val="20"/>
          <w:szCs w:val="20"/>
        </w:rPr>
        <w:t>称）</w:t>
      </w:r>
      <w:r>
        <w:rPr>
          <w:rFonts w:ascii="宋体" w:hAnsi="宋体" w:eastAsia="宋体" w:cs="宋体"/>
          <w:color w:val="auto"/>
          <w:spacing w:val="7"/>
          <w:sz w:val="20"/>
          <w:szCs w:val="20"/>
          <w:u w:val="single" w:color="auto"/>
        </w:rPr>
        <w:t xml:space="preserve">      </w:t>
      </w:r>
      <w:r>
        <w:rPr>
          <w:rFonts w:ascii="宋体" w:hAnsi="宋体" w:eastAsia="宋体" w:cs="宋体"/>
          <w:color w:val="auto"/>
          <w:spacing w:val="-91"/>
          <w:sz w:val="20"/>
          <w:szCs w:val="20"/>
        </w:rPr>
        <w:t xml:space="preserve"> </w:t>
      </w:r>
      <w:r>
        <w:rPr>
          <w:rFonts w:ascii="宋体" w:hAnsi="宋体" w:eastAsia="宋体" w:cs="宋体"/>
          <w:color w:val="auto"/>
          <w:spacing w:val="7"/>
          <w:sz w:val="20"/>
          <w:szCs w:val="20"/>
        </w:rPr>
        <w:t>标段（以下简称“本工程</w:t>
      </w:r>
      <w:r>
        <w:rPr>
          <w:rFonts w:ascii="宋体" w:hAnsi="宋体" w:eastAsia="宋体" w:cs="宋体"/>
          <w:color w:val="auto"/>
          <w:spacing w:val="-70"/>
          <w:sz w:val="20"/>
          <w:szCs w:val="20"/>
        </w:rPr>
        <w:t xml:space="preserve"> </w:t>
      </w:r>
      <w:r>
        <w:rPr>
          <w:rFonts w:ascii="宋体" w:hAnsi="宋体" w:eastAsia="宋体" w:cs="宋体"/>
          <w:color w:val="auto"/>
          <w:spacing w:val="7"/>
          <w:sz w:val="20"/>
          <w:szCs w:val="20"/>
        </w:rPr>
        <w:t>”）的项目经</w:t>
      </w:r>
      <w:r>
        <w:rPr>
          <w:rFonts w:ascii="宋体" w:hAnsi="宋体" w:eastAsia="宋体" w:cs="宋体"/>
          <w:color w:val="auto"/>
          <w:spacing w:val="8"/>
          <w:sz w:val="20"/>
          <w:szCs w:val="20"/>
        </w:rPr>
        <w:t>理</w:t>
      </w:r>
      <w:r>
        <w:rPr>
          <w:rFonts w:ascii="宋体" w:hAnsi="宋体" w:eastAsia="宋体" w:cs="宋体"/>
          <w:color w:val="auto"/>
          <w:spacing w:val="8"/>
          <w:sz w:val="20"/>
          <w:szCs w:val="20"/>
          <w:u w:val="single" w:color="auto"/>
        </w:rPr>
        <w:t xml:space="preserve">           </w:t>
      </w:r>
      <w:r>
        <w:rPr>
          <w:rFonts w:ascii="宋体" w:hAnsi="宋体" w:eastAsia="宋体" w:cs="宋体"/>
          <w:color w:val="auto"/>
          <w:spacing w:val="8"/>
          <w:sz w:val="20"/>
          <w:szCs w:val="20"/>
        </w:rPr>
        <w:t>（项目经理姓名）现阶段没有担任任何在施建设工程项目的项目经理。</w:t>
      </w:r>
    </w:p>
    <w:p w14:paraId="20DD0E0B">
      <w:pPr>
        <w:spacing w:line="227" w:lineRule="auto"/>
        <w:ind w:left="423"/>
        <w:rPr>
          <w:rFonts w:ascii="宋体" w:hAnsi="宋体" w:eastAsia="宋体" w:cs="宋体"/>
          <w:color w:val="auto"/>
          <w:sz w:val="20"/>
          <w:szCs w:val="20"/>
        </w:rPr>
      </w:pPr>
      <w:r>
        <w:rPr>
          <w:rFonts w:ascii="宋体" w:hAnsi="宋体" w:eastAsia="宋体" w:cs="宋体"/>
          <w:color w:val="auto"/>
          <w:spacing w:val="9"/>
          <w:sz w:val="20"/>
          <w:szCs w:val="20"/>
        </w:rPr>
        <w:t>我方保证上述信息的真实和准确，并愿意承担因我方就此弄虚作假所引起的一切法律后果。</w:t>
      </w:r>
    </w:p>
    <w:p w14:paraId="341FF491">
      <w:pPr>
        <w:pStyle w:val="2"/>
        <w:spacing w:line="250" w:lineRule="auto"/>
        <w:rPr>
          <w:color w:val="auto"/>
        </w:rPr>
      </w:pPr>
    </w:p>
    <w:p w14:paraId="04B207A4">
      <w:pPr>
        <w:pStyle w:val="2"/>
        <w:spacing w:line="250" w:lineRule="auto"/>
        <w:rPr>
          <w:color w:val="auto"/>
        </w:rPr>
      </w:pPr>
    </w:p>
    <w:p w14:paraId="3649DCBF">
      <w:pPr>
        <w:pStyle w:val="2"/>
        <w:spacing w:line="251" w:lineRule="auto"/>
        <w:rPr>
          <w:color w:val="auto"/>
        </w:rPr>
      </w:pPr>
    </w:p>
    <w:p w14:paraId="394CAE95">
      <w:pPr>
        <w:pStyle w:val="2"/>
        <w:spacing w:line="251" w:lineRule="auto"/>
        <w:rPr>
          <w:color w:val="auto"/>
        </w:rPr>
      </w:pPr>
    </w:p>
    <w:p w14:paraId="741054AA">
      <w:pPr>
        <w:spacing w:before="65" w:line="228" w:lineRule="auto"/>
        <w:ind w:left="421"/>
        <w:rPr>
          <w:rFonts w:ascii="宋体" w:hAnsi="宋体" w:eastAsia="宋体" w:cs="宋体"/>
          <w:color w:val="auto"/>
          <w:sz w:val="20"/>
          <w:szCs w:val="20"/>
        </w:rPr>
      </w:pPr>
      <w:r>
        <w:rPr>
          <w:rFonts w:ascii="宋体" w:hAnsi="宋体" w:eastAsia="宋体" w:cs="宋体"/>
          <w:color w:val="auto"/>
          <w:spacing w:val="7"/>
          <w:sz w:val="20"/>
          <w:szCs w:val="20"/>
        </w:rPr>
        <w:t>特此承诺</w:t>
      </w:r>
    </w:p>
    <w:p w14:paraId="72DDA855">
      <w:pPr>
        <w:pStyle w:val="2"/>
        <w:spacing w:line="249" w:lineRule="auto"/>
        <w:rPr>
          <w:color w:val="auto"/>
        </w:rPr>
      </w:pPr>
    </w:p>
    <w:p w14:paraId="3A033343">
      <w:pPr>
        <w:pStyle w:val="2"/>
        <w:spacing w:line="250" w:lineRule="auto"/>
        <w:rPr>
          <w:color w:val="auto"/>
        </w:rPr>
      </w:pPr>
    </w:p>
    <w:p w14:paraId="5A558946">
      <w:pPr>
        <w:pStyle w:val="2"/>
        <w:spacing w:line="250" w:lineRule="auto"/>
        <w:rPr>
          <w:color w:val="auto"/>
        </w:rPr>
      </w:pPr>
    </w:p>
    <w:p w14:paraId="7D98577D">
      <w:pPr>
        <w:pStyle w:val="2"/>
        <w:spacing w:line="250" w:lineRule="auto"/>
        <w:rPr>
          <w:color w:val="auto"/>
        </w:rPr>
      </w:pPr>
    </w:p>
    <w:p w14:paraId="01BED124">
      <w:pPr>
        <w:pStyle w:val="2"/>
        <w:spacing w:line="250" w:lineRule="auto"/>
        <w:rPr>
          <w:color w:val="auto"/>
        </w:rPr>
      </w:pPr>
    </w:p>
    <w:p w14:paraId="094821B8">
      <w:pPr>
        <w:pStyle w:val="2"/>
        <w:spacing w:line="250" w:lineRule="auto"/>
        <w:rPr>
          <w:color w:val="auto"/>
        </w:rPr>
      </w:pPr>
    </w:p>
    <w:p w14:paraId="0A2A44D2">
      <w:pPr>
        <w:pStyle w:val="2"/>
        <w:spacing w:line="250" w:lineRule="auto"/>
        <w:rPr>
          <w:color w:val="auto"/>
        </w:rPr>
      </w:pPr>
    </w:p>
    <w:p w14:paraId="5FC1FA3E">
      <w:pPr>
        <w:pStyle w:val="2"/>
        <w:spacing w:line="250" w:lineRule="auto"/>
        <w:rPr>
          <w:color w:val="auto"/>
        </w:rPr>
      </w:pPr>
    </w:p>
    <w:p w14:paraId="0737F78A">
      <w:pPr>
        <w:pStyle w:val="2"/>
        <w:spacing w:line="250" w:lineRule="auto"/>
        <w:rPr>
          <w:color w:val="auto"/>
        </w:rPr>
      </w:pPr>
    </w:p>
    <w:p w14:paraId="2EA2AB14">
      <w:pPr>
        <w:pStyle w:val="2"/>
        <w:spacing w:line="250" w:lineRule="auto"/>
        <w:rPr>
          <w:color w:val="auto"/>
        </w:rPr>
      </w:pPr>
    </w:p>
    <w:p w14:paraId="002D301C">
      <w:pPr>
        <w:pStyle w:val="2"/>
        <w:spacing w:line="250" w:lineRule="auto"/>
        <w:rPr>
          <w:color w:val="auto"/>
        </w:rPr>
      </w:pPr>
    </w:p>
    <w:p w14:paraId="3278F155">
      <w:pPr>
        <w:spacing w:before="65" w:line="228" w:lineRule="auto"/>
        <w:ind w:right="11"/>
        <w:jc w:val="right"/>
        <w:rPr>
          <w:rFonts w:ascii="宋体" w:hAnsi="宋体" w:eastAsia="宋体" w:cs="宋体"/>
          <w:color w:val="auto"/>
          <w:sz w:val="20"/>
          <w:szCs w:val="20"/>
        </w:rPr>
      </w:pPr>
      <w:r>
        <w:rPr>
          <w:rFonts w:ascii="宋体" w:hAnsi="宋体" w:eastAsia="宋体" w:cs="宋体"/>
          <w:color w:val="auto"/>
          <w:spacing w:val="11"/>
          <w:sz w:val="20"/>
          <w:szCs w:val="20"/>
        </w:rPr>
        <w:t>供应商</w:t>
      </w:r>
      <w:r>
        <w:rPr>
          <w:rFonts w:ascii="宋体" w:hAnsi="宋体" w:eastAsia="宋体" w:cs="宋体"/>
          <w:color w:val="auto"/>
          <w:spacing w:val="-5"/>
          <w:sz w:val="20"/>
          <w:szCs w:val="20"/>
        </w:rPr>
        <w:t>：</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5"/>
          <w:sz w:val="20"/>
          <w:szCs w:val="20"/>
        </w:rPr>
        <w:t>（</w:t>
      </w:r>
      <w:r>
        <w:rPr>
          <w:rFonts w:ascii="宋体" w:hAnsi="宋体" w:eastAsia="宋体" w:cs="宋体"/>
          <w:color w:val="auto"/>
          <w:spacing w:val="11"/>
          <w:sz w:val="20"/>
          <w:szCs w:val="20"/>
        </w:rPr>
        <w:t>盖单位章）</w:t>
      </w:r>
    </w:p>
    <w:p w14:paraId="68E9DF52">
      <w:pPr>
        <w:spacing w:before="195" w:line="228" w:lineRule="auto"/>
        <w:ind w:right="11"/>
        <w:jc w:val="right"/>
        <w:rPr>
          <w:rFonts w:ascii="宋体" w:hAnsi="宋体" w:eastAsia="宋体" w:cs="宋体"/>
          <w:color w:val="auto"/>
          <w:sz w:val="20"/>
          <w:szCs w:val="20"/>
        </w:rPr>
      </w:pPr>
      <w:r>
        <w:rPr>
          <w:rFonts w:ascii="宋体" w:hAnsi="宋体" w:eastAsia="宋体" w:cs="宋体"/>
          <w:color w:val="auto"/>
          <w:spacing w:val="10"/>
          <w:sz w:val="20"/>
          <w:szCs w:val="20"/>
        </w:rPr>
        <w:t>法定代表人或其委托代理人</w:t>
      </w:r>
      <w:r>
        <w:rPr>
          <w:rFonts w:ascii="宋体" w:hAnsi="宋体" w:eastAsia="宋体" w:cs="宋体"/>
          <w:color w:val="auto"/>
          <w:sz w:val="20"/>
          <w:szCs w:val="20"/>
        </w:rPr>
        <w:t>：</w:t>
      </w:r>
      <w:r>
        <w:rPr>
          <w:rFonts w:ascii="宋体" w:hAnsi="宋体" w:eastAsia="宋体" w:cs="宋体"/>
          <w:color w:val="auto"/>
          <w:spacing w:val="4"/>
          <w:sz w:val="20"/>
          <w:szCs w:val="20"/>
          <w:u w:val="single" w:color="auto"/>
        </w:rPr>
        <w:t xml:space="preserve">               </w:t>
      </w:r>
      <w:r>
        <w:rPr>
          <w:rFonts w:ascii="宋体" w:hAnsi="宋体" w:eastAsia="宋体" w:cs="宋体"/>
          <w:color w:val="auto"/>
          <w:sz w:val="20"/>
          <w:szCs w:val="20"/>
        </w:rPr>
        <w:t>（</w:t>
      </w:r>
      <w:r>
        <w:rPr>
          <w:rFonts w:ascii="宋体" w:hAnsi="宋体" w:eastAsia="宋体" w:cs="宋体"/>
          <w:color w:val="auto"/>
          <w:spacing w:val="10"/>
          <w:sz w:val="20"/>
          <w:szCs w:val="20"/>
        </w:rPr>
        <w:t>签字）</w:t>
      </w:r>
    </w:p>
    <w:p w14:paraId="5834438E">
      <w:pPr>
        <w:pStyle w:val="2"/>
        <w:spacing w:line="281" w:lineRule="auto"/>
        <w:rPr>
          <w:color w:val="auto"/>
        </w:rPr>
      </w:pPr>
    </w:p>
    <w:p w14:paraId="0C46A768">
      <w:pPr>
        <w:pStyle w:val="2"/>
        <w:spacing w:line="281" w:lineRule="auto"/>
        <w:rPr>
          <w:color w:val="auto"/>
        </w:rPr>
      </w:pPr>
    </w:p>
    <w:p w14:paraId="09C2AB2F">
      <w:pPr>
        <w:tabs>
          <w:tab w:val="left" w:pos="6924"/>
        </w:tabs>
        <w:spacing w:before="66" w:line="228" w:lineRule="auto"/>
        <w:ind w:left="5873"/>
        <w:rPr>
          <w:rFonts w:ascii="宋体" w:hAnsi="宋体" w:eastAsia="宋体" w:cs="宋体"/>
          <w:color w:val="auto"/>
          <w:sz w:val="20"/>
          <w:szCs w:val="20"/>
        </w:rPr>
      </w:pPr>
      <w:r>
        <w:rPr>
          <w:rFonts w:ascii="宋体" w:hAnsi="宋体" w:eastAsia="宋体" w:cs="宋体"/>
          <w:color w:val="auto"/>
          <w:sz w:val="20"/>
          <w:szCs w:val="20"/>
          <w:u w:val="single" w:color="auto"/>
        </w:rPr>
        <w:tab/>
      </w:r>
      <w:r>
        <w:rPr>
          <w:rFonts w:ascii="宋体" w:hAnsi="宋体" w:eastAsia="宋体" w:cs="宋体"/>
          <w:color w:val="auto"/>
          <w:spacing w:val="-89"/>
          <w:sz w:val="20"/>
          <w:szCs w:val="20"/>
        </w:rPr>
        <w:t xml:space="preserve"> </w:t>
      </w:r>
      <w:r>
        <w:rPr>
          <w:rFonts w:ascii="宋体" w:hAnsi="宋体" w:eastAsia="宋体" w:cs="宋体"/>
          <w:color w:val="auto"/>
          <w:spacing w:val="-14"/>
          <w:sz w:val="20"/>
          <w:szCs w:val="20"/>
        </w:rPr>
        <w:t>年</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79"/>
          <w:sz w:val="20"/>
          <w:szCs w:val="20"/>
        </w:rPr>
        <w:t xml:space="preserve"> </w:t>
      </w:r>
      <w:r>
        <w:rPr>
          <w:rFonts w:ascii="宋体" w:hAnsi="宋体" w:eastAsia="宋体" w:cs="宋体"/>
          <w:color w:val="auto"/>
          <w:spacing w:val="-14"/>
          <w:sz w:val="20"/>
          <w:szCs w:val="20"/>
        </w:rPr>
        <w:t>月</w:t>
      </w:r>
      <w:r>
        <w:rPr>
          <w:rFonts w:ascii="宋体" w:hAnsi="宋体" w:eastAsia="宋体" w:cs="宋体"/>
          <w:color w:val="auto"/>
          <w:spacing w:val="-98"/>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6"/>
          <w:sz w:val="20"/>
          <w:szCs w:val="20"/>
        </w:rPr>
        <w:t xml:space="preserve"> </w:t>
      </w:r>
      <w:r>
        <w:rPr>
          <w:rFonts w:ascii="宋体" w:hAnsi="宋体" w:eastAsia="宋体" w:cs="宋体"/>
          <w:color w:val="auto"/>
          <w:spacing w:val="-14"/>
          <w:sz w:val="20"/>
          <w:szCs w:val="20"/>
        </w:rPr>
        <w:t>日</w:t>
      </w:r>
    </w:p>
    <w:p w14:paraId="10E8A4F7">
      <w:pPr>
        <w:spacing w:line="228" w:lineRule="auto"/>
        <w:rPr>
          <w:rFonts w:ascii="宋体" w:hAnsi="宋体" w:eastAsia="宋体" w:cs="宋体"/>
          <w:color w:val="auto"/>
          <w:sz w:val="20"/>
          <w:szCs w:val="20"/>
        </w:rPr>
        <w:sectPr>
          <w:footerReference r:id="rId36" w:type="default"/>
          <w:pgSz w:w="11906" w:h="16839"/>
          <w:pgMar w:top="1440" w:right="1080" w:bottom="1440" w:left="1080" w:header="0" w:footer="783" w:gutter="0"/>
          <w:pgNumType w:fmt="decimal"/>
          <w:cols w:space="720" w:num="1"/>
        </w:sectPr>
      </w:pPr>
    </w:p>
    <w:p w14:paraId="5FE2DE42">
      <w:pPr>
        <w:spacing w:before="156" w:line="221" w:lineRule="auto"/>
        <w:ind w:left="3517"/>
        <w:rPr>
          <w:rFonts w:ascii="宋体" w:hAnsi="宋体" w:eastAsia="宋体" w:cs="宋体"/>
          <w:color w:val="auto"/>
          <w:sz w:val="28"/>
          <w:szCs w:val="28"/>
        </w:rPr>
      </w:pPr>
      <w:r>
        <w:rPr>
          <w:rFonts w:ascii="宋体" w:hAnsi="宋体" w:eastAsia="宋体" w:cs="宋体"/>
          <w:b/>
          <w:bCs/>
          <w:color w:val="auto"/>
          <w:spacing w:val="-5"/>
          <w:sz w:val="28"/>
          <w:szCs w:val="28"/>
        </w:rPr>
        <w:t>九、资格审查资料</w:t>
      </w:r>
    </w:p>
    <w:p w14:paraId="3FEE8EA6">
      <w:pPr>
        <w:pStyle w:val="2"/>
        <w:spacing w:line="355" w:lineRule="auto"/>
        <w:rPr>
          <w:color w:val="auto"/>
        </w:rPr>
      </w:pPr>
    </w:p>
    <w:p w14:paraId="6F633EA3">
      <w:pPr>
        <w:spacing w:before="78" w:line="219" w:lineRule="auto"/>
        <w:ind w:left="3321"/>
        <w:outlineLvl w:val="2"/>
        <w:rPr>
          <w:rFonts w:ascii="宋体" w:hAnsi="宋体" w:eastAsia="宋体" w:cs="宋体"/>
          <w:color w:val="auto"/>
          <w:sz w:val="24"/>
          <w:szCs w:val="24"/>
        </w:rPr>
      </w:pPr>
      <w:bookmarkStart w:id="33" w:name="_Toc9084"/>
      <w:r>
        <w:rPr>
          <w:rFonts w:ascii="宋体" w:hAnsi="宋体" w:eastAsia="宋体" w:cs="宋体"/>
          <w:b/>
          <w:bCs/>
          <w:color w:val="auto"/>
          <w:spacing w:val="-4"/>
          <w:sz w:val="24"/>
          <w:szCs w:val="24"/>
        </w:rPr>
        <w:t>（一）供应商基本情况表</w:t>
      </w:r>
      <w:bookmarkEnd w:id="33"/>
    </w:p>
    <w:p w14:paraId="7FC84C1F">
      <w:pPr>
        <w:spacing w:before="55"/>
        <w:rPr>
          <w:color w:val="auto"/>
        </w:rPr>
      </w:pPr>
    </w:p>
    <w:p w14:paraId="07F28F29">
      <w:pPr>
        <w:spacing w:before="54"/>
        <w:rPr>
          <w:color w:val="auto"/>
        </w:rPr>
      </w:pPr>
    </w:p>
    <w:tbl>
      <w:tblPr>
        <w:tblStyle w:val="15"/>
        <w:tblW w:w="93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1"/>
        <w:gridCol w:w="1060"/>
        <w:gridCol w:w="1771"/>
        <w:gridCol w:w="704"/>
        <w:gridCol w:w="530"/>
        <w:gridCol w:w="1071"/>
        <w:gridCol w:w="173"/>
        <w:gridCol w:w="712"/>
        <w:gridCol w:w="1411"/>
      </w:tblGrid>
      <w:tr w14:paraId="21480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951" w:type="dxa"/>
            <w:vAlign w:val="top"/>
          </w:tcPr>
          <w:p w14:paraId="5A2A3467">
            <w:pPr>
              <w:pStyle w:val="16"/>
              <w:spacing w:before="55" w:line="228" w:lineRule="auto"/>
              <w:ind w:left="116"/>
              <w:rPr>
                <w:color w:val="auto"/>
                <w:sz w:val="20"/>
                <w:szCs w:val="20"/>
              </w:rPr>
            </w:pPr>
            <w:r>
              <w:rPr>
                <w:color w:val="auto"/>
                <w:spacing w:val="7"/>
                <w:sz w:val="20"/>
                <w:szCs w:val="20"/>
              </w:rPr>
              <w:t>供应商名称</w:t>
            </w:r>
          </w:p>
        </w:tc>
        <w:tc>
          <w:tcPr>
            <w:tcW w:w="7432" w:type="dxa"/>
            <w:gridSpan w:val="8"/>
            <w:vAlign w:val="top"/>
          </w:tcPr>
          <w:p w14:paraId="31440DAF">
            <w:pPr>
              <w:rPr>
                <w:rFonts w:ascii="Arial"/>
                <w:color w:val="auto"/>
                <w:sz w:val="21"/>
              </w:rPr>
            </w:pPr>
          </w:p>
        </w:tc>
      </w:tr>
      <w:tr w14:paraId="14D1B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951" w:type="dxa"/>
            <w:vAlign w:val="top"/>
          </w:tcPr>
          <w:p w14:paraId="337C2432">
            <w:pPr>
              <w:pStyle w:val="16"/>
              <w:spacing w:before="53" w:line="230" w:lineRule="auto"/>
              <w:ind w:left="116"/>
              <w:rPr>
                <w:color w:val="auto"/>
                <w:sz w:val="20"/>
                <w:szCs w:val="20"/>
              </w:rPr>
            </w:pPr>
            <w:r>
              <w:rPr>
                <w:color w:val="auto"/>
                <w:spacing w:val="7"/>
                <w:sz w:val="20"/>
                <w:szCs w:val="20"/>
              </w:rPr>
              <w:t>注册地址</w:t>
            </w:r>
          </w:p>
        </w:tc>
        <w:tc>
          <w:tcPr>
            <w:tcW w:w="4065" w:type="dxa"/>
            <w:gridSpan w:val="4"/>
            <w:vAlign w:val="top"/>
          </w:tcPr>
          <w:p w14:paraId="0EAB1D46">
            <w:pPr>
              <w:rPr>
                <w:rFonts w:ascii="Arial"/>
                <w:color w:val="auto"/>
                <w:sz w:val="21"/>
              </w:rPr>
            </w:pPr>
          </w:p>
        </w:tc>
        <w:tc>
          <w:tcPr>
            <w:tcW w:w="1071" w:type="dxa"/>
            <w:vAlign w:val="top"/>
          </w:tcPr>
          <w:p w14:paraId="73A9151B">
            <w:pPr>
              <w:pStyle w:val="16"/>
              <w:spacing w:before="53" w:line="228" w:lineRule="auto"/>
              <w:ind w:left="130"/>
              <w:rPr>
                <w:color w:val="auto"/>
                <w:sz w:val="20"/>
                <w:szCs w:val="20"/>
              </w:rPr>
            </w:pPr>
            <w:r>
              <w:rPr>
                <w:color w:val="auto"/>
                <w:spacing w:val="3"/>
                <w:sz w:val="20"/>
                <w:szCs w:val="20"/>
              </w:rPr>
              <w:t>邮政编码</w:t>
            </w:r>
          </w:p>
        </w:tc>
        <w:tc>
          <w:tcPr>
            <w:tcW w:w="2296" w:type="dxa"/>
            <w:gridSpan w:val="3"/>
            <w:vAlign w:val="top"/>
          </w:tcPr>
          <w:p w14:paraId="44B4A22E">
            <w:pPr>
              <w:rPr>
                <w:rFonts w:ascii="Arial"/>
                <w:color w:val="auto"/>
                <w:sz w:val="21"/>
              </w:rPr>
            </w:pPr>
          </w:p>
        </w:tc>
      </w:tr>
      <w:tr w14:paraId="26895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951" w:type="dxa"/>
            <w:vMerge w:val="restart"/>
            <w:tcBorders>
              <w:bottom w:val="nil"/>
            </w:tcBorders>
            <w:vAlign w:val="top"/>
          </w:tcPr>
          <w:p w14:paraId="3E42391C">
            <w:pPr>
              <w:spacing w:line="409" w:lineRule="auto"/>
              <w:rPr>
                <w:rFonts w:ascii="Arial"/>
                <w:color w:val="auto"/>
                <w:sz w:val="21"/>
              </w:rPr>
            </w:pPr>
          </w:p>
          <w:p w14:paraId="03123964">
            <w:pPr>
              <w:pStyle w:val="16"/>
              <w:spacing w:before="65" w:line="230" w:lineRule="auto"/>
              <w:ind w:left="561"/>
              <w:rPr>
                <w:color w:val="auto"/>
                <w:sz w:val="20"/>
                <w:szCs w:val="20"/>
              </w:rPr>
            </w:pPr>
            <w:r>
              <w:rPr>
                <w:color w:val="auto"/>
                <w:spacing w:val="7"/>
                <w:sz w:val="20"/>
                <w:szCs w:val="20"/>
              </w:rPr>
              <w:t>联系方式</w:t>
            </w:r>
          </w:p>
        </w:tc>
        <w:tc>
          <w:tcPr>
            <w:tcW w:w="1060" w:type="dxa"/>
            <w:vAlign w:val="top"/>
          </w:tcPr>
          <w:p w14:paraId="5BA9071E">
            <w:pPr>
              <w:pStyle w:val="16"/>
              <w:spacing w:before="52" w:line="231" w:lineRule="auto"/>
              <w:ind w:left="112"/>
              <w:rPr>
                <w:color w:val="auto"/>
                <w:sz w:val="20"/>
                <w:szCs w:val="20"/>
              </w:rPr>
            </w:pPr>
            <w:r>
              <w:rPr>
                <w:color w:val="auto"/>
                <w:spacing w:val="6"/>
                <w:sz w:val="20"/>
                <w:szCs w:val="20"/>
              </w:rPr>
              <w:t>联系人</w:t>
            </w:r>
          </w:p>
        </w:tc>
        <w:tc>
          <w:tcPr>
            <w:tcW w:w="3005" w:type="dxa"/>
            <w:gridSpan w:val="3"/>
            <w:vAlign w:val="top"/>
          </w:tcPr>
          <w:p w14:paraId="7D519B5F">
            <w:pPr>
              <w:rPr>
                <w:rFonts w:ascii="Arial"/>
                <w:color w:val="auto"/>
                <w:sz w:val="21"/>
              </w:rPr>
            </w:pPr>
          </w:p>
        </w:tc>
        <w:tc>
          <w:tcPr>
            <w:tcW w:w="1071" w:type="dxa"/>
            <w:vAlign w:val="top"/>
          </w:tcPr>
          <w:p w14:paraId="64ACE2FF">
            <w:pPr>
              <w:pStyle w:val="16"/>
              <w:spacing w:before="52" w:line="231" w:lineRule="auto"/>
              <w:ind w:left="139"/>
              <w:rPr>
                <w:color w:val="auto"/>
                <w:sz w:val="20"/>
                <w:szCs w:val="20"/>
              </w:rPr>
            </w:pPr>
            <w:r>
              <w:rPr>
                <w:color w:val="auto"/>
                <w:spacing w:val="-8"/>
                <w:sz w:val="20"/>
                <w:szCs w:val="20"/>
              </w:rPr>
              <w:t>电话</w:t>
            </w:r>
          </w:p>
        </w:tc>
        <w:tc>
          <w:tcPr>
            <w:tcW w:w="2296" w:type="dxa"/>
            <w:gridSpan w:val="3"/>
            <w:vAlign w:val="top"/>
          </w:tcPr>
          <w:p w14:paraId="662B8087">
            <w:pPr>
              <w:rPr>
                <w:rFonts w:ascii="Arial"/>
                <w:color w:val="auto"/>
                <w:sz w:val="21"/>
              </w:rPr>
            </w:pPr>
          </w:p>
        </w:tc>
      </w:tr>
      <w:tr w14:paraId="42F0A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951" w:type="dxa"/>
            <w:vMerge w:val="continue"/>
            <w:tcBorders>
              <w:top w:val="nil"/>
            </w:tcBorders>
            <w:vAlign w:val="top"/>
          </w:tcPr>
          <w:p w14:paraId="01807ECB">
            <w:pPr>
              <w:rPr>
                <w:rFonts w:ascii="Arial"/>
                <w:color w:val="auto"/>
                <w:sz w:val="21"/>
              </w:rPr>
            </w:pPr>
          </w:p>
        </w:tc>
        <w:tc>
          <w:tcPr>
            <w:tcW w:w="1060" w:type="dxa"/>
            <w:vAlign w:val="top"/>
          </w:tcPr>
          <w:p w14:paraId="4530E364">
            <w:pPr>
              <w:pStyle w:val="16"/>
              <w:spacing w:before="52" w:line="228" w:lineRule="auto"/>
              <w:ind w:left="110"/>
              <w:rPr>
                <w:color w:val="auto"/>
                <w:sz w:val="20"/>
                <w:szCs w:val="20"/>
              </w:rPr>
            </w:pPr>
            <w:r>
              <w:rPr>
                <w:color w:val="auto"/>
                <w:spacing w:val="5"/>
                <w:sz w:val="20"/>
                <w:szCs w:val="20"/>
              </w:rPr>
              <w:t>传真</w:t>
            </w:r>
          </w:p>
        </w:tc>
        <w:tc>
          <w:tcPr>
            <w:tcW w:w="3005" w:type="dxa"/>
            <w:gridSpan w:val="3"/>
            <w:vAlign w:val="top"/>
          </w:tcPr>
          <w:p w14:paraId="7E61B662">
            <w:pPr>
              <w:rPr>
                <w:rFonts w:ascii="Arial"/>
                <w:color w:val="auto"/>
                <w:sz w:val="21"/>
              </w:rPr>
            </w:pPr>
          </w:p>
        </w:tc>
        <w:tc>
          <w:tcPr>
            <w:tcW w:w="1071" w:type="dxa"/>
            <w:vAlign w:val="top"/>
          </w:tcPr>
          <w:p w14:paraId="0849D66E">
            <w:pPr>
              <w:pStyle w:val="16"/>
              <w:spacing w:before="53" w:line="233" w:lineRule="auto"/>
              <w:ind w:left="131"/>
              <w:rPr>
                <w:color w:val="auto"/>
                <w:sz w:val="20"/>
                <w:szCs w:val="20"/>
              </w:rPr>
            </w:pPr>
            <w:r>
              <w:rPr>
                <w:color w:val="auto"/>
                <w:spacing w:val="-4"/>
                <w:sz w:val="20"/>
                <w:szCs w:val="20"/>
              </w:rPr>
              <w:t>网址</w:t>
            </w:r>
          </w:p>
        </w:tc>
        <w:tc>
          <w:tcPr>
            <w:tcW w:w="2296" w:type="dxa"/>
            <w:gridSpan w:val="3"/>
            <w:vAlign w:val="top"/>
          </w:tcPr>
          <w:p w14:paraId="56D5BCB6">
            <w:pPr>
              <w:rPr>
                <w:rFonts w:ascii="Arial"/>
                <w:color w:val="auto"/>
                <w:sz w:val="21"/>
              </w:rPr>
            </w:pPr>
          </w:p>
        </w:tc>
      </w:tr>
      <w:tr w14:paraId="05B69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951" w:type="dxa"/>
            <w:vAlign w:val="top"/>
          </w:tcPr>
          <w:p w14:paraId="35725D41">
            <w:pPr>
              <w:pStyle w:val="16"/>
              <w:spacing w:before="53" w:line="229" w:lineRule="auto"/>
              <w:ind w:left="118"/>
              <w:rPr>
                <w:color w:val="auto"/>
                <w:sz w:val="20"/>
                <w:szCs w:val="20"/>
              </w:rPr>
            </w:pPr>
            <w:r>
              <w:rPr>
                <w:color w:val="auto"/>
                <w:spacing w:val="6"/>
                <w:sz w:val="20"/>
                <w:szCs w:val="20"/>
              </w:rPr>
              <w:t>组织结构</w:t>
            </w:r>
          </w:p>
        </w:tc>
        <w:tc>
          <w:tcPr>
            <w:tcW w:w="7432" w:type="dxa"/>
            <w:gridSpan w:val="8"/>
            <w:vAlign w:val="top"/>
          </w:tcPr>
          <w:p w14:paraId="406E868B">
            <w:pPr>
              <w:rPr>
                <w:rFonts w:ascii="Arial"/>
                <w:color w:val="auto"/>
                <w:sz w:val="21"/>
              </w:rPr>
            </w:pPr>
          </w:p>
        </w:tc>
      </w:tr>
      <w:tr w14:paraId="48546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51" w:type="dxa"/>
            <w:vAlign w:val="top"/>
          </w:tcPr>
          <w:p w14:paraId="2F08AC08">
            <w:pPr>
              <w:pStyle w:val="16"/>
              <w:spacing w:before="51" w:line="228" w:lineRule="auto"/>
              <w:ind w:left="117"/>
              <w:rPr>
                <w:color w:val="auto"/>
                <w:sz w:val="20"/>
                <w:szCs w:val="20"/>
              </w:rPr>
            </w:pPr>
            <w:r>
              <w:rPr>
                <w:color w:val="auto"/>
                <w:spacing w:val="7"/>
                <w:sz w:val="20"/>
                <w:szCs w:val="20"/>
              </w:rPr>
              <w:t>法定代表人</w:t>
            </w:r>
          </w:p>
        </w:tc>
        <w:tc>
          <w:tcPr>
            <w:tcW w:w="1060" w:type="dxa"/>
            <w:vAlign w:val="top"/>
          </w:tcPr>
          <w:p w14:paraId="2F68F276">
            <w:pPr>
              <w:pStyle w:val="16"/>
              <w:spacing w:before="51" w:line="228" w:lineRule="auto"/>
              <w:ind w:left="111"/>
              <w:rPr>
                <w:color w:val="auto"/>
                <w:sz w:val="20"/>
                <w:szCs w:val="20"/>
              </w:rPr>
            </w:pPr>
            <w:r>
              <w:rPr>
                <w:color w:val="auto"/>
                <w:spacing w:val="4"/>
                <w:sz w:val="20"/>
                <w:szCs w:val="20"/>
              </w:rPr>
              <w:t>姓名</w:t>
            </w:r>
          </w:p>
        </w:tc>
        <w:tc>
          <w:tcPr>
            <w:tcW w:w="1771" w:type="dxa"/>
            <w:vAlign w:val="top"/>
          </w:tcPr>
          <w:p w14:paraId="6CB9F503">
            <w:pPr>
              <w:rPr>
                <w:rFonts w:ascii="Arial"/>
                <w:color w:val="auto"/>
                <w:sz w:val="21"/>
              </w:rPr>
            </w:pPr>
          </w:p>
        </w:tc>
        <w:tc>
          <w:tcPr>
            <w:tcW w:w="1234" w:type="dxa"/>
            <w:gridSpan w:val="2"/>
            <w:vAlign w:val="top"/>
          </w:tcPr>
          <w:p w14:paraId="364A8F85">
            <w:pPr>
              <w:pStyle w:val="16"/>
              <w:spacing w:before="51" w:line="228" w:lineRule="auto"/>
              <w:ind w:left="113"/>
              <w:rPr>
                <w:color w:val="auto"/>
                <w:sz w:val="20"/>
                <w:szCs w:val="20"/>
              </w:rPr>
            </w:pPr>
            <w:r>
              <w:rPr>
                <w:color w:val="auto"/>
                <w:spacing w:val="7"/>
                <w:sz w:val="20"/>
                <w:szCs w:val="20"/>
              </w:rPr>
              <w:t>技术职称</w:t>
            </w:r>
          </w:p>
        </w:tc>
        <w:tc>
          <w:tcPr>
            <w:tcW w:w="1244" w:type="dxa"/>
            <w:gridSpan w:val="2"/>
            <w:vAlign w:val="top"/>
          </w:tcPr>
          <w:p w14:paraId="687ABCFA">
            <w:pPr>
              <w:rPr>
                <w:rFonts w:ascii="Arial"/>
                <w:color w:val="auto"/>
                <w:sz w:val="21"/>
              </w:rPr>
            </w:pPr>
          </w:p>
        </w:tc>
        <w:tc>
          <w:tcPr>
            <w:tcW w:w="712" w:type="dxa"/>
            <w:vAlign w:val="top"/>
          </w:tcPr>
          <w:p w14:paraId="7110E8D6">
            <w:pPr>
              <w:pStyle w:val="16"/>
              <w:spacing w:before="51" w:line="231" w:lineRule="auto"/>
              <w:ind w:left="138"/>
              <w:rPr>
                <w:color w:val="auto"/>
                <w:sz w:val="20"/>
                <w:szCs w:val="20"/>
              </w:rPr>
            </w:pPr>
            <w:r>
              <w:rPr>
                <w:color w:val="auto"/>
                <w:spacing w:val="-8"/>
                <w:sz w:val="20"/>
                <w:szCs w:val="20"/>
              </w:rPr>
              <w:t>电话</w:t>
            </w:r>
          </w:p>
        </w:tc>
        <w:tc>
          <w:tcPr>
            <w:tcW w:w="1411" w:type="dxa"/>
            <w:vAlign w:val="top"/>
          </w:tcPr>
          <w:p w14:paraId="56C42D31">
            <w:pPr>
              <w:rPr>
                <w:rFonts w:ascii="Arial"/>
                <w:color w:val="auto"/>
                <w:sz w:val="21"/>
              </w:rPr>
            </w:pPr>
          </w:p>
        </w:tc>
      </w:tr>
      <w:tr w14:paraId="34D9A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951" w:type="dxa"/>
            <w:vAlign w:val="top"/>
          </w:tcPr>
          <w:p w14:paraId="2B14906A">
            <w:pPr>
              <w:pStyle w:val="16"/>
              <w:spacing w:before="51" w:line="228" w:lineRule="auto"/>
              <w:ind w:left="117"/>
              <w:rPr>
                <w:color w:val="auto"/>
                <w:sz w:val="20"/>
                <w:szCs w:val="20"/>
              </w:rPr>
            </w:pPr>
            <w:r>
              <w:rPr>
                <w:color w:val="auto"/>
                <w:spacing w:val="7"/>
                <w:sz w:val="20"/>
                <w:szCs w:val="20"/>
              </w:rPr>
              <w:t>技术负责人</w:t>
            </w:r>
          </w:p>
        </w:tc>
        <w:tc>
          <w:tcPr>
            <w:tcW w:w="1060" w:type="dxa"/>
            <w:vAlign w:val="top"/>
          </w:tcPr>
          <w:p w14:paraId="4044ED75">
            <w:pPr>
              <w:pStyle w:val="16"/>
              <w:spacing w:before="51" w:line="228" w:lineRule="auto"/>
              <w:ind w:left="111"/>
              <w:rPr>
                <w:color w:val="auto"/>
                <w:sz w:val="20"/>
                <w:szCs w:val="20"/>
              </w:rPr>
            </w:pPr>
            <w:r>
              <w:rPr>
                <w:color w:val="auto"/>
                <w:spacing w:val="4"/>
                <w:sz w:val="20"/>
                <w:szCs w:val="20"/>
              </w:rPr>
              <w:t>姓名</w:t>
            </w:r>
          </w:p>
        </w:tc>
        <w:tc>
          <w:tcPr>
            <w:tcW w:w="1771" w:type="dxa"/>
            <w:vAlign w:val="top"/>
          </w:tcPr>
          <w:p w14:paraId="18FC1E76">
            <w:pPr>
              <w:rPr>
                <w:rFonts w:ascii="Arial"/>
                <w:color w:val="auto"/>
                <w:sz w:val="21"/>
              </w:rPr>
            </w:pPr>
          </w:p>
        </w:tc>
        <w:tc>
          <w:tcPr>
            <w:tcW w:w="1234" w:type="dxa"/>
            <w:gridSpan w:val="2"/>
            <w:vAlign w:val="top"/>
          </w:tcPr>
          <w:p w14:paraId="5C4AFC2E">
            <w:pPr>
              <w:pStyle w:val="16"/>
              <w:spacing w:before="51" w:line="228" w:lineRule="auto"/>
              <w:ind w:left="113"/>
              <w:rPr>
                <w:color w:val="auto"/>
                <w:sz w:val="20"/>
                <w:szCs w:val="20"/>
              </w:rPr>
            </w:pPr>
            <w:r>
              <w:rPr>
                <w:color w:val="auto"/>
                <w:spacing w:val="7"/>
                <w:sz w:val="20"/>
                <w:szCs w:val="20"/>
              </w:rPr>
              <w:t>技术职称</w:t>
            </w:r>
          </w:p>
        </w:tc>
        <w:tc>
          <w:tcPr>
            <w:tcW w:w="1244" w:type="dxa"/>
            <w:gridSpan w:val="2"/>
            <w:vAlign w:val="top"/>
          </w:tcPr>
          <w:p w14:paraId="2D912CE2">
            <w:pPr>
              <w:rPr>
                <w:rFonts w:ascii="Arial"/>
                <w:color w:val="auto"/>
                <w:sz w:val="21"/>
              </w:rPr>
            </w:pPr>
          </w:p>
        </w:tc>
        <w:tc>
          <w:tcPr>
            <w:tcW w:w="712" w:type="dxa"/>
            <w:vAlign w:val="top"/>
          </w:tcPr>
          <w:p w14:paraId="23ABF5B6">
            <w:pPr>
              <w:pStyle w:val="16"/>
              <w:spacing w:before="50" w:line="231" w:lineRule="auto"/>
              <w:ind w:left="138"/>
              <w:rPr>
                <w:color w:val="auto"/>
                <w:sz w:val="20"/>
                <w:szCs w:val="20"/>
              </w:rPr>
            </w:pPr>
            <w:r>
              <w:rPr>
                <w:color w:val="auto"/>
                <w:spacing w:val="-8"/>
                <w:sz w:val="20"/>
                <w:szCs w:val="20"/>
              </w:rPr>
              <w:t>电话</w:t>
            </w:r>
          </w:p>
        </w:tc>
        <w:tc>
          <w:tcPr>
            <w:tcW w:w="1411" w:type="dxa"/>
            <w:vAlign w:val="top"/>
          </w:tcPr>
          <w:p w14:paraId="74670A18">
            <w:pPr>
              <w:rPr>
                <w:rFonts w:ascii="Arial"/>
                <w:color w:val="auto"/>
                <w:sz w:val="21"/>
              </w:rPr>
            </w:pPr>
          </w:p>
        </w:tc>
      </w:tr>
      <w:tr w14:paraId="4D850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951" w:type="dxa"/>
            <w:vAlign w:val="top"/>
          </w:tcPr>
          <w:p w14:paraId="44F1C18E">
            <w:pPr>
              <w:pStyle w:val="16"/>
              <w:spacing w:before="52" w:line="230" w:lineRule="auto"/>
              <w:ind w:left="118"/>
              <w:rPr>
                <w:color w:val="auto"/>
                <w:sz w:val="20"/>
                <w:szCs w:val="20"/>
              </w:rPr>
            </w:pPr>
            <w:r>
              <w:rPr>
                <w:color w:val="auto"/>
                <w:spacing w:val="6"/>
                <w:sz w:val="20"/>
                <w:szCs w:val="20"/>
              </w:rPr>
              <w:t>成立时间</w:t>
            </w:r>
          </w:p>
        </w:tc>
        <w:tc>
          <w:tcPr>
            <w:tcW w:w="2831" w:type="dxa"/>
            <w:gridSpan w:val="2"/>
            <w:vAlign w:val="top"/>
          </w:tcPr>
          <w:p w14:paraId="739DDC46">
            <w:pPr>
              <w:rPr>
                <w:rFonts w:ascii="Arial"/>
                <w:color w:val="auto"/>
                <w:sz w:val="21"/>
              </w:rPr>
            </w:pPr>
          </w:p>
        </w:tc>
        <w:tc>
          <w:tcPr>
            <w:tcW w:w="4601" w:type="dxa"/>
            <w:gridSpan w:val="6"/>
            <w:vAlign w:val="top"/>
          </w:tcPr>
          <w:p w14:paraId="58A7EE30">
            <w:pPr>
              <w:pStyle w:val="16"/>
              <w:spacing w:before="53" w:line="228" w:lineRule="auto"/>
              <w:ind w:left="120"/>
              <w:rPr>
                <w:color w:val="auto"/>
                <w:sz w:val="20"/>
                <w:szCs w:val="20"/>
              </w:rPr>
            </w:pPr>
            <w:r>
              <w:rPr>
                <w:color w:val="auto"/>
                <w:spacing w:val="5"/>
                <w:sz w:val="20"/>
                <w:szCs w:val="20"/>
              </w:rPr>
              <w:t>员工总人数：</w:t>
            </w:r>
          </w:p>
        </w:tc>
      </w:tr>
      <w:tr w14:paraId="592C2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951" w:type="dxa"/>
            <w:vAlign w:val="top"/>
          </w:tcPr>
          <w:p w14:paraId="3DEF38B3">
            <w:pPr>
              <w:pStyle w:val="16"/>
              <w:spacing w:before="54" w:line="228" w:lineRule="auto"/>
              <w:ind w:left="119"/>
              <w:rPr>
                <w:color w:val="auto"/>
                <w:sz w:val="20"/>
                <w:szCs w:val="20"/>
              </w:rPr>
            </w:pPr>
            <w:r>
              <w:rPr>
                <w:color w:val="auto"/>
                <w:spacing w:val="7"/>
                <w:sz w:val="20"/>
                <w:szCs w:val="20"/>
              </w:rPr>
              <w:t>企业资质等级</w:t>
            </w:r>
          </w:p>
        </w:tc>
        <w:tc>
          <w:tcPr>
            <w:tcW w:w="2831" w:type="dxa"/>
            <w:gridSpan w:val="2"/>
            <w:vAlign w:val="top"/>
          </w:tcPr>
          <w:p w14:paraId="0AE5C10A">
            <w:pPr>
              <w:rPr>
                <w:rFonts w:ascii="Arial"/>
                <w:color w:val="auto"/>
                <w:sz w:val="21"/>
              </w:rPr>
            </w:pPr>
          </w:p>
        </w:tc>
        <w:tc>
          <w:tcPr>
            <w:tcW w:w="704" w:type="dxa"/>
            <w:vMerge w:val="restart"/>
            <w:tcBorders>
              <w:bottom w:val="nil"/>
            </w:tcBorders>
            <w:vAlign w:val="top"/>
          </w:tcPr>
          <w:p w14:paraId="2FC91E73">
            <w:pPr>
              <w:rPr>
                <w:rFonts w:ascii="Arial"/>
                <w:color w:val="auto"/>
                <w:sz w:val="21"/>
              </w:rPr>
            </w:pPr>
          </w:p>
          <w:p w14:paraId="69CD57EC">
            <w:pPr>
              <w:rPr>
                <w:rFonts w:ascii="Arial"/>
                <w:color w:val="auto"/>
                <w:sz w:val="21"/>
              </w:rPr>
            </w:pPr>
          </w:p>
          <w:p w14:paraId="10BDE0BA">
            <w:pPr>
              <w:spacing w:line="241" w:lineRule="auto"/>
              <w:rPr>
                <w:rFonts w:ascii="Arial"/>
                <w:color w:val="auto"/>
                <w:sz w:val="21"/>
              </w:rPr>
            </w:pPr>
          </w:p>
          <w:p w14:paraId="7E755163">
            <w:pPr>
              <w:spacing w:line="241" w:lineRule="auto"/>
              <w:rPr>
                <w:rFonts w:ascii="Arial"/>
                <w:color w:val="auto"/>
                <w:sz w:val="21"/>
              </w:rPr>
            </w:pPr>
          </w:p>
          <w:p w14:paraId="0E4D79C6">
            <w:pPr>
              <w:spacing w:line="241" w:lineRule="auto"/>
              <w:rPr>
                <w:rFonts w:ascii="Arial"/>
                <w:color w:val="auto"/>
                <w:sz w:val="21"/>
              </w:rPr>
            </w:pPr>
          </w:p>
          <w:p w14:paraId="6B6C3B9F">
            <w:pPr>
              <w:spacing w:line="241" w:lineRule="auto"/>
              <w:rPr>
                <w:rFonts w:ascii="Arial"/>
                <w:color w:val="auto"/>
                <w:sz w:val="21"/>
              </w:rPr>
            </w:pPr>
          </w:p>
          <w:p w14:paraId="005F789E">
            <w:pPr>
              <w:pStyle w:val="16"/>
              <w:spacing w:before="65" w:line="229" w:lineRule="auto"/>
              <w:ind w:left="149"/>
              <w:rPr>
                <w:color w:val="auto"/>
                <w:sz w:val="20"/>
                <w:szCs w:val="20"/>
              </w:rPr>
            </w:pPr>
            <w:r>
              <w:rPr>
                <w:color w:val="auto"/>
                <w:spacing w:val="4"/>
                <w:sz w:val="20"/>
                <w:szCs w:val="20"/>
              </w:rPr>
              <w:t>其中</w:t>
            </w:r>
          </w:p>
        </w:tc>
        <w:tc>
          <w:tcPr>
            <w:tcW w:w="1774" w:type="dxa"/>
            <w:gridSpan w:val="3"/>
            <w:vAlign w:val="top"/>
          </w:tcPr>
          <w:p w14:paraId="27319034">
            <w:pPr>
              <w:pStyle w:val="16"/>
              <w:spacing w:before="53" w:line="229" w:lineRule="auto"/>
              <w:ind w:left="117"/>
              <w:rPr>
                <w:color w:val="auto"/>
                <w:sz w:val="20"/>
                <w:szCs w:val="20"/>
              </w:rPr>
            </w:pPr>
            <w:r>
              <w:rPr>
                <w:color w:val="auto"/>
                <w:spacing w:val="6"/>
                <w:sz w:val="20"/>
                <w:szCs w:val="20"/>
              </w:rPr>
              <w:t>项目经理</w:t>
            </w:r>
          </w:p>
        </w:tc>
        <w:tc>
          <w:tcPr>
            <w:tcW w:w="2123" w:type="dxa"/>
            <w:gridSpan w:val="2"/>
            <w:vAlign w:val="top"/>
          </w:tcPr>
          <w:p w14:paraId="5F592EC8">
            <w:pPr>
              <w:rPr>
                <w:rFonts w:ascii="Arial"/>
                <w:color w:val="auto"/>
                <w:sz w:val="21"/>
              </w:rPr>
            </w:pPr>
          </w:p>
        </w:tc>
      </w:tr>
      <w:tr w14:paraId="6A48A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951" w:type="dxa"/>
            <w:vAlign w:val="top"/>
          </w:tcPr>
          <w:p w14:paraId="7BCBE355">
            <w:pPr>
              <w:pStyle w:val="16"/>
              <w:spacing w:before="52" w:line="228" w:lineRule="auto"/>
              <w:ind w:left="122"/>
              <w:rPr>
                <w:color w:val="auto"/>
                <w:sz w:val="20"/>
                <w:szCs w:val="20"/>
              </w:rPr>
            </w:pPr>
            <w:r>
              <w:rPr>
                <w:color w:val="auto"/>
                <w:spacing w:val="6"/>
                <w:sz w:val="20"/>
                <w:szCs w:val="20"/>
              </w:rPr>
              <w:t>营业执照号</w:t>
            </w:r>
          </w:p>
        </w:tc>
        <w:tc>
          <w:tcPr>
            <w:tcW w:w="2831" w:type="dxa"/>
            <w:gridSpan w:val="2"/>
            <w:vAlign w:val="top"/>
          </w:tcPr>
          <w:p w14:paraId="2F6C9503">
            <w:pPr>
              <w:rPr>
                <w:rFonts w:ascii="Arial"/>
                <w:color w:val="auto"/>
                <w:sz w:val="21"/>
              </w:rPr>
            </w:pPr>
          </w:p>
        </w:tc>
        <w:tc>
          <w:tcPr>
            <w:tcW w:w="704" w:type="dxa"/>
            <w:vMerge w:val="continue"/>
            <w:tcBorders>
              <w:top w:val="nil"/>
              <w:bottom w:val="nil"/>
            </w:tcBorders>
            <w:vAlign w:val="top"/>
          </w:tcPr>
          <w:p w14:paraId="7925ABBE">
            <w:pPr>
              <w:rPr>
                <w:rFonts w:ascii="Arial"/>
                <w:color w:val="auto"/>
                <w:sz w:val="21"/>
              </w:rPr>
            </w:pPr>
          </w:p>
        </w:tc>
        <w:tc>
          <w:tcPr>
            <w:tcW w:w="1774" w:type="dxa"/>
            <w:gridSpan w:val="3"/>
            <w:vAlign w:val="top"/>
          </w:tcPr>
          <w:p w14:paraId="48E29610">
            <w:pPr>
              <w:pStyle w:val="16"/>
              <w:spacing w:before="52" w:line="228" w:lineRule="auto"/>
              <w:ind w:left="119"/>
              <w:rPr>
                <w:color w:val="auto"/>
                <w:sz w:val="20"/>
                <w:szCs w:val="20"/>
              </w:rPr>
            </w:pPr>
            <w:r>
              <w:rPr>
                <w:color w:val="auto"/>
                <w:spacing w:val="7"/>
                <w:sz w:val="20"/>
                <w:szCs w:val="20"/>
              </w:rPr>
              <w:t>高级职称人员</w:t>
            </w:r>
          </w:p>
        </w:tc>
        <w:tc>
          <w:tcPr>
            <w:tcW w:w="2123" w:type="dxa"/>
            <w:gridSpan w:val="2"/>
            <w:vAlign w:val="top"/>
          </w:tcPr>
          <w:p w14:paraId="3A490352">
            <w:pPr>
              <w:rPr>
                <w:rFonts w:ascii="Arial"/>
                <w:color w:val="auto"/>
                <w:sz w:val="21"/>
              </w:rPr>
            </w:pPr>
          </w:p>
        </w:tc>
      </w:tr>
      <w:tr w14:paraId="198FE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951" w:type="dxa"/>
            <w:vAlign w:val="top"/>
          </w:tcPr>
          <w:p w14:paraId="5B749446">
            <w:pPr>
              <w:pStyle w:val="16"/>
              <w:spacing w:before="53" w:line="230" w:lineRule="auto"/>
              <w:ind w:left="116"/>
              <w:rPr>
                <w:color w:val="auto"/>
                <w:sz w:val="20"/>
                <w:szCs w:val="20"/>
              </w:rPr>
            </w:pPr>
            <w:r>
              <w:rPr>
                <w:color w:val="auto"/>
                <w:spacing w:val="7"/>
                <w:sz w:val="20"/>
                <w:szCs w:val="20"/>
              </w:rPr>
              <w:t>注册资金</w:t>
            </w:r>
          </w:p>
        </w:tc>
        <w:tc>
          <w:tcPr>
            <w:tcW w:w="2831" w:type="dxa"/>
            <w:gridSpan w:val="2"/>
            <w:vAlign w:val="top"/>
          </w:tcPr>
          <w:p w14:paraId="62CC6B31">
            <w:pPr>
              <w:rPr>
                <w:rFonts w:ascii="Arial"/>
                <w:color w:val="auto"/>
                <w:sz w:val="21"/>
              </w:rPr>
            </w:pPr>
          </w:p>
        </w:tc>
        <w:tc>
          <w:tcPr>
            <w:tcW w:w="704" w:type="dxa"/>
            <w:vMerge w:val="continue"/>
            <w:tcBorders>
              <w:top w:val="nil"/>
              <w:bottom w:val="nil"/>
            </w:tcBorders>
            <w:vAlign w:val="top"/>
          </w:tcPr>
          <w:p w14:paraId="42E1B0A8">
            <w:pPr>
              <w:rPr>
                <w:rFonts w:ascii="Arial"/>
                <w:color w:val="auto"/>
                <w:sz w:val="21"/>
              </w:rPr>
            </w:pPr>
          </w:p>
        </w:tc>
        <w:tc>
          <w:tcPr>
            <w:tcW w:w="1774" w:type="dxa"/>
            <w:gridSpan w:val="3"/>
            <w:vAlign w:val="top"/>
          </w:tcPr>
          <w:p w14:paraId="71E5FC7E">
            <w:pPr>
              <w:pStyle w:val="16"/>
              <w:spacing w:before="53" w:line="229" w:lineRule="auto"/>
              <w:ind w:left="133"/>
              <w:rPr>
                <w:color w:val="auto"/>
                <w:sz w:val="20"/>
                <w:szCs w:val="20"/>
              </w:rPr>
            </w:pPr>
            <w:r>
              <w:rPr>
                <w:color w:val="auto"/>
                <w:spacing w:val="4"/>
                <w:sz w:val="20"/>
                <w:szCs w:val="20"/>
              </w:rPr>
              <w:t>中级职称人员</w:t>
            </w:r>
          </w:p>
        </w:tc>
        <w:tc>
          <w:tcPr>
            <w:tcW w:w="2123" w:type="dxa"/>
            <w:gridSpan w:val="2"/>
            <w:vAlign w:val="top"/>
          </w:tcPr>
          <w:p w14:paraId="65331ECE">
            <w:pPr>
              <w:rPr>
                <w:rFonts w:ascii="Arial"/>
                <w:color w:val="auto"/>
                <w:sz w:val="21"/>
              </w:rPr>
            </w:pPr>
          </w:p>
        </w:tc>
      </w:tr>
      <w:tr w14:paraId="7D9EA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951" w:type="dxa"/>
            <w:vAlign w:val="top"/>
          </w:tcPr>
          <w:p w14:paraId="6C7B4EC0">
            <w:pPr>
              <w:pStyle w:val="16"/>
              <w:spacing w:before="54" w:line="229" w:lineRule="auto"/>
              <w:ind w:left="117"/>
              <w:rPr>
                <w:color w:val="auto"/>
                <w:sz w:val="20"/>
                <w:szCs w:val="20"/>
              </w:rPr>
            </w:pPr>
            <w:r>
              <w:rPr>
                <w:color w:val="auto"/>
                <w:spacing w:val="7"/>
                <w:sz w:val="20"/>
                <w:szCs w:val="20"/>
              </w:rPr>
              <w:t>开户银行</w:t>
            </w:r>
          </w:p>
        </w:tc>
        <w:tc>
          <w:tcPr>
            <w:tcW w:w="2831" w:type="dxa"/>
            <w:gridSpan w:val="2"/>
            <w:vAlign w:val="top"/>
          </w:tcPr>
          <w:p w14:paraId="7B1A2C21">
            <w:pPr>
              <w:rPr>
                <w:rFonts w:ascii="Arial"/>
                <w:color w:val="auto"/>
                <w:sz w:val="21"/>
              </w:rPr>
            </w:pPr>
          </w:p>
        </w:tc>
        <w:tc>
          <w:tcPr>
            <w:tcW w:w="704" w:type="dxa"/>
            <w:vMerge w:val="continue"/>
            <w:tcBorders>
              <w:top w:val="nil"/>
              <w:bottom w:val="nil"/>
            </w:tcBorders>
            <w:vAlign w:val="top"/>
          </w:tcPr>
          <w:p w14:paraId="4C1DD93E">
            <w:pPr>
              <w:rPr>
                <w:rFonts w:ascii="Arial"/>
                <w:color w:val="auto"/>
                <w:sz w:val="21"/>
              </w:rPr>
            </w:pPr>
          </w:p>
        </w:tc>
        <w:tc>
          <w:tcPr>
            <w:tcW w:w="1774" w:type="dxa"/>
            <w:gridSpan w:val="3"/>
            <w:vAlign w:val="top"/>
          </w:tcPr>
          <w:p w14:paraId="2ADD55EF">
            <w:pPr>
              <w:pStyle w:val="16"/>
              <w:spacing w:before="53" w:line="230" w:lineRule="auto"/>
              <w:ind w:left="113"/>
              <w:rPr>
                <w:color w:val="auto"/>
                <w:sz w:val="20"/>
                <w:szCs w:val="20"/>
              </w:rPr>
            </w:pPr>
            <w:r>
              <w:rPr>
                <w:color w:val="auto"/>
                <w:spacing w:val="8"/>
                <w:sz w:val="20"/>
                <w:szCs w:val="20"/>
              </w:rPr>
              <w:t>初级职称人员</w:t>
            </w:r>
          </w:p>
        </w:tc>
        <w:tc>
          <w:tcPr>
            <w:tcW w:w="2123" w:type="dxa"/>
            <w:gridSpan w:val="2"/>
            <w:vAlign w:val="top"/>
          </w:tcPr>
          <w:p w14:paraId="2C586675">
            <w:pPr>
              <w:rPr>
                <w:rFonts w:ascii="Arial"/>
                <w:color w:val="auto"/>
                <w:sz w:val="21"/>
              </w:rPr>
            </w:pPr>
          </w:p>
        </w:tc>
      </w:tr>
      <w:tr w14:paraId="71AD0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951" w:type="dxa"/>
            <w:vAlign w:val="top"/>
          </w:tcPr>
          <w:p w14:paraId="5C9E6D82">
            <w:pPr>
              <w:pStyle w:val="16"/>
              <w:spacing w:before="54" w:line="230" w:lineRule="auto"/>
              <w:ind w:left="119"/>
              <w:rPr>
                <w:color w:val="auto"/>
                <w:sz w:val="20"/>
                <w:szCs w:val="20"/>
              </w:rPr>
            </w:pPr>
            <w:r>
              <w:rPr>
                <w:color w:val="auto"/>
                <w:spacing w:val="3"/>
                <w:sz w:val="20"/>
                <w:szCs w:val="20"/>
              </w:rPr>
              <w:t>账号</w:t>
            </w:r>
          </w:p>
        </w:tc>
        <w:tc>
          <w:tcPr>
            <w:tcW w:w="2831" w:type="dxa"/>
            <w:gridSpan w:val="2"/>
            <w:vAlign w:val="top"/>
          </w:tcPr>
          <w:p w14:paraId="440D71CD">
            <w:pPr>
              <w:rPr>
                <w:rFonts w:ascii="Arial"/>
                <w:color w:val="auto"/>
                <w:sz w:val="21"/>
              </w:rPr>
            </w:pPr>
          </w:p>
        </w:tc>
        <w:tc>
          <w:tcPr>
            <w:tcW w:w="704" w:type="dxa"/>
            <w:vMerge w:val="continue"/>
            <w:tcBorders>
              <w:top w:val="nil"/>
            </w:tcBorders>
            <w:vAlign w:val="top"/>
          </w:tcPr>
          <w:p w14:paraId="21683622">
            <w:pPr>
              <w:rPr>
                <w:rFonts w:ascii="Arial"/>
                <w:color w:val="auto"/>
                <w:sz w:val="21"/>
              </w:rPr>
            </w:pPr>
          </w:p>
        </w:tc>
        <w:tc>
          <w:tcPr>
            <w:tcW w:w="1774" w:type="dxa"/>
            <w:gridSpan w:val="3"/>
            <w:vAlign w:val="top"/>
          </w:tcPr>
          <w:p w14:paraId="30304609">
            <w:pPr>
              <w:pStyle w:val="16"/>
              <w:spacing w:before="54" w:line="230" w:lineRule="auto"/>
              <w:ind w:left="115"/>
              <w:rPr>
                <w:color w:val="auto"/>
                <w:sz w:val="20"/>
                <w:szCs w:val="20"/>
              </w:rPr>
            </w:pPr>
            <w:r>
              <w:rPr>
                <w:color w:val="auto"/>
                <w:spacing w:val="4"/>
                <w:sz w:val="20"/>
                <w:szCs w:val="20"/>
              </w:rPr>
              <w:t>技工</w:t>
            </w:r>
          </w:p>
        </w:tc>
        <w:tc>
          <w:tcPr>
            <w:tcW w:w="2123" w:type="dxa"/>
            <w:gridSpan w:val="2"/>
            <w:vAlign w:val="top"/>
          </w:tcPr>
          <w:p w14:paraId="53BEC925">
            <w:pPr>
              <w:rPr>
                <w:rFonts w:ascii="Arial"/>
                <w:color w:val="auto"/>
                <w:sz w:val="21"/>
              </w:rPr>
            </w:pPr>
          </w:p>
        </w:tc>
      </w:tr>
      <w:tr w14:paraId="6486C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9" w:hRule="atLeast"/>
        </w:trPr>
        <w:tc>
          <w:tcPr>
            <w:tcW w:w="1951" w:type="dxa"/>
            <w:vAlign w:val="top"/>
          </w:tcPr>
          <w:p w14:paraId="1BDFE795">
            <w:pPr>
              <w:pStyle w:val="16"/>
              <w:spacing w:before="54" w:line="229" w:lineRule="auto"/>
              <w:ind w:left="118"/>
              <w:rPr>
                <w:color w:val="auto"/>
                <w:sz w:val="20"/>
                <w:szCs w:val="20"/>
              </w:rPr>
            </w:pPr>
            <w:r>
              <w:rPr>
                <w:color w:val="auto"/>
                <w:spacing w:val="7"/>
                <w:sz w:val="20"/>
                <w:szCs w:val="20"/>
              </w:rPr>
              <w:t>经营范围备注</w:t>
            </w:r>
          </w:p>
        </w:tc>
        <w:tc>
          <w:tcPr>
            <w:tcW w:w="7432" w:type="dxa"/>
            <w:gridSpan w:val="8"/>
            <w:vAlign w:val="top"/>
          </w:tcPr>
          <w:p w14:paraId="0F5E68D3">
            <w:pPr>
              <w:rPr>
                <w:rFonts w:ascii="Arial"/>
                <w:color w:val="auto"/>
                <w:sz w:val="21"/>
              </w:rPr>
            </w:pPr>
          </w:p>
        </w:tc>
      </w:tr>
    </w:tbl>
    <w:p w14:paraId="18A1891B">
      <w:pPr>
        <w:spacing w:before="174" w:line="406" w:lineRule="auto"/>
        <w:ind w:left="15" w:right="143"/>
        <w:rPr>
          <w:rFonts w:ascii="宋体" w:hAnsi="宋体" w:eastAsia="宋体" w:cs="宋体"/>
          <w:color w:val="auto"/>
          <w:sz w:val="20"/>
          <w:szCs w:val="20"/>
        </w:rPr>
      </w:pPr>
      <w:r>
        <w:rPr>
          <w:rFonts w:ascii="宋体" w:hAnsi="宋体" w:eastAsia="宋体" w:cs="宋体"/>
          <w:color w:val="auto"/>
          <w:spacing w:val="10"/>
          <w:sz w:val="20"/>
          <w:szCs w:val="20"/>
        </w:rPr>
        <w:t>备注：本表后应附企业法人营业执照副本及其年检合格的证明材料、企业</w:t>
      </w:r>
      <w:r>
        <w:rPr>
          <w:rFonts w:ascii="宋体" w:hAnsi="宋体" w:eastAsia="宋体" w:cs="宋体"/>
          <w:color w:val="auto"/>
          <w:spacing w:val="9"/>
          <w:sz w:val="20"/>
          <w:szCs w:val="20"/>
        </w:rPr>
        <w:t>资质证书、安全生产许可证</w:t>
      </w:r>
      <w:r>
        <w:rPr>
          <w:rFonts w:ascii="宋体" w:hAnsi="宋体" w:eastAsia="宋体" w:cs="宋体"/>
          <w:color w:val="auto"/>
          <w:spacing w:val="7"/>
          <w:sz w:val="20"/>
          <w:szCs w:val="20"/>
        </w:rPr>
        <w:t>等材料的复印件。</w:t>
      </w:r>
    </w:p>
    <w:p w14:paraId="640DAB98">
      <w:pPr>
        <w:spacing w:line="406" w:lineRule="auto"/>
        <w:rPr>
          <w:rFonts w:ascii="宋体" w:hAnsi="宋体" w:eastAsia="宋体" w:cs="宋体"/>
          <w:color w:val="auto"/>
          <w:sz w:val="20"/>
          <w:szCs w:val="20"/>
        </w:rPr>
        <w:sectPr>
          <w:footerReference r:id="rId37" w:type="default"/>
          <w:pgSz w:w="11906" w:h="16839"/>
          <w:pgMar w:top="1440" w:right="1080" w:bottom="1440" w:left="1080" w:header="0" w:footer="783" w:gutter="0"/>
          <w:pgNumType w:fmt="decimal"/>
          <w:cols w:space="720" w:num="1"/>
        </w:sectPr>
      </w:pPr>
    </w:p>
    <w:p w14:paraId="18960F62">
      <w:pPr>
        <w:spacing w:before="302" w:line="220" w:lineRule="auto"/>
        <w:ind w:left="12"/>
        <w:outlineLvl w:val="2"/>
        <w:rPr>
          <w:rFonts w:ascii="宋体" w:hAnsi="宋体" w:eastAsia="宋体" w:cs="宋体"/>
          <w:color w:val="auto"/>
          <w:sz w:val="24"/>
          <w:szCs w:val="24"/>
        </w:rPr>
      </w:pPr>
      <w:bookmarkStart w:id="34" w:name="_Toc25082"/>
      <w:r>
        <w:rPr>
          <w:rFonts w:ascii="宋体" w:hAnsi="宋体" w:eastAsia="宋体" w:cs="宋体"/>
          <w:b/>
          <w:bCs/>
          <w:color w:val="auto"/>
          <w:spacing w:val="-4"/>
          <w:sz w:val="24"/>
          <w:szCs w:val="24"/>
        </w:rPr>
        <w:t>（二）近年财务状况表</w:t>
      </w:r>
      <w:bookmarkEnd w:id="34"/>
    </w:p>
    <w:p w14:paraId="5A86F63C">
      <w:pPr>
        <w:pStyle w:val="2"/>
        <w:spacing w:line="326" w:lineRule="auto"/>
        <w:rPr>
          <w:color w:val="auto"/>
        </w:rPr>
      </w:pPr>
    </w:p>
    <w:p w14:paraId="5DDCC69E">
      <w:pPr>
        <w:pStyle w:val="2"/>
        <w:spacing w:line="326" w:lineRule="auto"/>
        <w:rPr>
          <w:color w:val="auto"/>
        </w:rPr>
      </w:pPr>
    </w:p>
    <w:p w14:paraId="7F582ED7">
      <w:pPr>
        <w:spacing w:before="65" w:line="331" w:lineRule="auto"/>
        <w:ind w:left="13" w:firstLine="406"/>
        <w:outlineLvl w:val="1"/>
        <w:rPr>
          <w:rFonts w:ascii="宋体" w:hAnsi="宋体" w:eastAsia="宋体" w:cs="宋体"/>
          <w:color w:val="auto"/>
          <w:sz w:val="20"/>
          <w:szCs w:val="20"/>
        </w:rPr>
      </w:pPr>
      <w:bookmarkStart w:id="35" w:name="_Toc9279"/>
      <w:r>
        <w:rPr>
          <w:rFonts w:ascii="宋体" w:hAnsi="宋体" w:eastAsia="宋体" w:cs="宋体"/>
          <w:color w:val="auto"/>
          <w:spacing w:val="8"/>
          <w:sz w:val="20"/>
          <w:szCs w:val="20"/>
        </w:rPr>
        <w:t>供应商参加采购活动应当提交反映其财务状况</w:t>
      </w:r>
      <w:r>
        <w:rPr>
          <w:rFonts w:ascii="宋体" w:hAnsi="宋体" w:eastAsia="宋体" w:cs="宋体"/>
          <w:color w:val="auto"/>
          <w:spacing w:val="7"/>
          <w:sz w:val="20"/>
          <w:szCs w:val="20"/>
        </w:rPr>
        <w:t>、依法缴纳税收和社保保障资金情况的资格条件承诺</w:t>
      </w:r>
      <w:r>
        <w:rPr>
          <w:rFonts w:ascii="宋体" w:hAnsi="宋体" w:eastAsia="宋体" w:cs="宋体"/>
          <w:color w:val="auto"/>
          <w:spacing w:val="-7"/>
          <w:sz w:val="20"/>
          <w:szCs w:val="20"/>
        </w:rPr>
        <w:t>函。</w:t>
      </w:r>
      <w:bookmarkEnd w:id="35"/>
    </w:p>
    <w:p w14:paraId="741B1C95">
      <w:pPr>
        <w:pStyle w:val="2"/>
        <w:spacing w:line="286" w:lineRule="auto"/>
        <w:rPr>
          <w:color w:val="auto"/>
        </w:rPr>
      </w:pPr>
    </w:p>
    <w:p w14:paraId="3008F2A3">
      <w:pPr>
        <w:spacing w:before="101" w:line="225" w:lineRule="auto"/>
        <w:ind w:left="2962"/>
        <w:rPr>
          <w:rFonts w:ascii="宋体" w:hAnsi="宋体" w:eastAsia="宋体" w:cs="宋体"/>
          <w:color w:val="auto"/>
          <w:sz w:val="31"/>
          <w:szCs w:val="31"/>
        </w:rPr>
      </w:pPr>
      <w:r>
        <w:rPr>
          <w:rFonts w:ascii="宋体" w:hAnsi="宋体" w:eastAsia="宋体" w:cs="宋体"/>
          <w:b/>
          <w:bCs/>
          <w:color w:val="auto"/>
          <w:spacing w:val="-20"/>
          <w:sz w:val="31"/>
          <w:szCs w:val="31"/>
        </w:rPr>
        <w:t>资格条件承诺函</w:t>
      </w:r>
    </w:p>
    <w:p w14:paraId="132D1033">
      <w:pPr>
        <w:pStyle w:val="2"/>
        <w:spacing w:line="249" w:lineRule="auto"/>
        <w:rPr>
          <w:color w:val="auto"/>
        </w:rPr>
      </w:pPr>
    </w:p>
    <w:p w14:paraId="1C5E07CD">
      <w:pPr>
        <w:pStyle w:val="2"/>
        <w:spacing w:line="249" w:lineRule="auto"/>
        <w:rPr>
          <w:color w:val="auto"/>
        </w:rPr>
      </w:pPr>
    </w:p>
    <w:p w14:paraId="533C067B">
      <w:pPr>
        <w:pStyle w:val="2"/>
        <w:spacing w:line="249" w:lineRule="auto"/>
        <w:rPr>
          <w:color w:val="auto"/>
        </w:rPr>
      </w:pPr>
    </w:p>
    <w:p w14:paraId="2192E637">
      <w:pPr>
        <w:pStyle w:val="2"/>
        <w:spacing w:line="249" w:lineRule="auto"/>
        <w:rPr>
          <w:color w:val="auto"/>
        </w:rPr>
      </w:pPr>
    </w:p>
    <w:p w14:paraId="38395ED3">
      <w:pPr>
        <w:pStyle w:val="2"/>
        <w:spacing w:line="250" w:lineRule="auto"/>
        <w:rPr>
          <w:color w:val="auto"/>
        </w:rPr>
      </w:pPr>
    </w:p>
    <w:p w14:paraId="6B650921">
      <w:pPr>
        <w:spacing w:before="65" w:line="228" w:lineRule="auto"/>
        <w:rPr>
          <w:rFonts w:ascii="宋体" w:hAnsi="宋体" w:eastAsia="宋体" w:cs="宋体"/>
          <w:color w:val="auto"/>
          <w:sz w:val="20"/>
          <w:szCs w:val="20"/>
        </w:rPr>
      </w:pPr>
      <w:r>
        <w:rPr>
          <w:rFonts w:ascii="宋体" w:hAnsi="宋体" w:eastAsia="宋体" w:cs="宋体"/>
          <w:color w:val="auto"/>
          <w:spacing w:val="-3"/>
          <w:sz w:val="20"/>
          <w:szCs w:val="20"/>
        </w:rPr>
        <w:t>致 ：</w:t>
      </w:r>
      <w:r>
        <w:rPr>
          <w:rFonts w:ascii="宋体" w:hAnsi="宋体" w:eastAsia="宋体" w:cs="宋体"/>
          <w:color w:val="auto"/>
          <w:spacing w:val="-36"/>
          <w:sz w:val="20"/>
          <w:szCs w:val="20"/>
        </w:rPr>
        <w:t xml:space="preserve"> </w:t>
      </w:r>
      <w:r>
        <w:rPr>
          <w:rFonts w:ascii="宋体" w:hAnsi="宋体" w:eastAsia="宋体" w:cs="宋体"/>
          <w:color w:val="auto"/>
          <w:spacing w:val="-3"/>
          <w:sz w:val="20"/>
          <w:szCs w:val="20"/>
          <w:u w:val="single" w:color="auto"/>
        </w:rPr>
        <w:t xml:space="preserve">    (采</w:t>
      </w:r>
      <w:r>
        <w:rPr>
          <w:rFonts w:ascii="宋体" w:hAnsi="宋体" w:eastAsia="宋体" w:cs="宋体"/>
          <w:color w:val="auto"/>
          <w:spacing w:val="-37"/>
          <w:sz w:val="20"/>
          <w:szCs w:val="20"/>
          <w:u w:val="single" w:color="auto"/>
        </w:rPr>
        <w:t xml:space="preserve"> </w:t>
      </w:r>
      <w:r>
        <w:rPr>
          <w:rFonts w:ascii="宋体" w:hAnsi="宋体" w:eastAsia="宋体" w:cs="宋体"/>
          <w:color w:val="auto"/>
          <w:spacing w:val="-3"/>
          <w:sz w:val="20"/>
          <w:szCs w:val="20"/>
          <w:u w:val="single" w:color="auto"/>
        </w:rPr>
        <w:t>购</w:t>
      </w:r>
      <w:r>
        <w:rPr>
          <w:rFonts w:ascii="宋体" w:hAnsi="宋体" w:eastAsia="宋体" w:cs="宋体"/>
          <w:color w:val="auto"/>
          <w:spacing w:val="-32"/>
          <w:sz w:val="20"/>
          <w:szCs w:val="20"/>
          <w:u w:val="single" w:color="auto"/>
        </w:rPr>
        <w:t xml:space="preserve"> </w:t>
      </w:r>
      <w:r>
        <w:rPr>
          <w:rFonts w:ascii="宋体" w:hAnsi="宋体" w:eastAsia="宋体" w:cs="宋体"/>
          <w:color w:val="auto"/>
          <w:spacing w:val="-3"/>
          <w:sz w:val="20"/>
          <w:szCs w:val="20"/>
          <w:u w:val="single" w:color="auto"/>
        </w:rPr>
        <w:t>人</w:t>
      </w:r>
      <w:r>
        <w:rPr>
          <w:rFonts w:ascii="宋体" w:hAnsi="宋体" w:eastAsia="宋体" w:cs="宋体"/>
          <w:color w:val="auto"/>
          <w:spacing w:val="-23"/>
          <w:sz w:val="20"/>
          <w:szCs w:val="20"/>
          <w:u w:val="single" w:color="auto"/>
        </w:rPr>
        <w:t xml:space="preserve"> </w:t>
      </w:r>
      <w:r>
        <w:rPr>
          <w:rFonts w:ascii="宋体" w:hAnsi="宋体" w:eastAsia="宋体" w:cs="宋体"/>
          <w:color w:val="auto"/>
          <w:spacing w:val="-3"/>
          <w:sz w:val="20"/>
          <w:szCs w:val="20"/>
          <w:u w:val="single" w:color="auto"/>
        </w:rPr>
        <w:t>、</w:t>
      </w:r>
      <w:r>
        <w:rPr>
          <w:rFonts w:ascii="宋体" w:hAnsi="宋体" w:eastAsia="宋体" w:cs="宋体"/>
          <w:color w:val="auto"/>
          <w:spacing w:val="-29"/>
          <w:sz w:val="20"/>
          <w:szCs w:val="20"/>
          <w:u w:val="single" w:color="auto"/>
        </w:rPr>
        <w:t xml:space="preserve"> </w:t>
      </w:r>
      <w:r>
        <w:rPr>
          <w:rFonts w:ascii="宋体" w:hAnsi="宋体" w:eastAsia="宋体" w:cs="宋体"/>
          <w:color w:val="auto"/>
          <w:spacing w:val="-3"/>
          <w:sz w:val="20"/>
          <w:szCs w:val="20"/>
          <w:u w:val="single" w:color="auto"/>
        </w:rPr>
        <w:t>采</w:t>
      </w:r>
      <w:r>
        <w:rPr>
          <w:rFonts w:ascii="宋体" w:hAnsi="宋体" w:eastAsia="宋体" w:cs="宋体"/>
          <w:color w:val="auto"/>
          <w:spacing w:val="-36"/>
          <w:sz w:val="20"/>
          <w:szCs w:val="20"/>
          <w:u w:val="single" w:color="auto"/>
        </w:rPr>
        <w:t xml:space="preserve"> </w:t>
      </w:r>
      <w:r>
        <w:rPr>
          <w:rFonts w:ascii="宋体" w:hAnsi="宋体" w:eastAsia="宋体" w:cs="宋体"/>
          <w:color w:val="auto"/>
          <w:spacing w:val="-3"/>
          <w:sz w:val="20"/>
          <w:szCs w:val="20"/>
          <w:u w:val="single" w:color="auto"/>
        </w:rPr>
        <w:t>购</w:t>
      </w:r>
      <w:r>
        <w:rPr>
          <w:rFonts w:ascii="宋体" w:hAnsi="宋体" w:eastAsia="宋体" w:cs="宋体"/>
          <w:color w:val="auto"/>
          <w:spacing w:val="-35"/>
          <w:sz w:val="20"/>
          <w:szCs w:val="20"/>
          <w:u w:val="single" w:color="auto"/>
        </w:rPr>
        <w:t xml:space="preserve"> </w:t>
      </w:r>
      <w:r>
        <w:rPr>
          <w:rFonts w:ascii="宋体" w:hAnsi="宋体" w:eastAsia="宋体" w:cs="宋体"/>
          <w:color w:val="auto"/>
          <w:spacing w:val="-3"/>
          <w:sz w:val="20"/>
          <w:szCs w:val="20"/>
          <w:u w:val="single" w:color="auto"/>
        </w:rPr>
        <w:t>代</w:t>
      </w:r>
      <w:r>
        <w:rPr>
          <w:rFonts w:ascii="宋体" w:hAnsi="宋体" w:eastAsia="宋体" w:cs="宋体"/>
          <w:color w:val="auto"/>
          <w:spacing w:val="-32"/>
          <w:sz w:val="20"/>
          <w:szCs w:val="20"/>
          <w:u w:val="single" w:color="auto"/>
        </w:rPr>
        <w:t xml:space="preserve"> </w:t>
      </w:r>
      <w:r>
        <w:rPr>
          <w:rFonts w:ascii="宋体" w:hAnsi="宋体" w:eastAsia="宋体" w:cs="宋体"/>
          <w:color w:val="auto"/>
          <w:spacing w:val="-3"/>
          <w:sz w:val="20"/>
          <w:szCs w:val="20"/>
          <w:u w:val="single" w:color="auto"/>
        </w:rPr>
        <w:t>理</w:t>
      </w:r>
      <w:r>
        <w:rPr>
          <w:rFonts w:ascii="宋体" w:hAnsi="宋体" w:eastAsia="宋体" w:cs="宋体"/>
          <w:color w:val="auto"/>
          <w:spacing w:val="-36"/>
          <w:sz w:val="20"/>
          <w:szCs w:val="20"/>
          <w:u w:val="single" w:color="auto"/>
        </w:rPr>
        <w:t xml:space="preserve"> </w:t>
      </w:r>
      <w:r>
        <w:rPr>
          <w:rFonts w:ascii="宋体" w:hAnsi="宋体" w:eastAsia="宋体" w:cs="宋体"/>
          <w:color w:val="auto"/>
          <w:spacing w:val="-3"/>
          <w:sz w:val="20"/>
          <w:szCs w:val="20"/>
          <w:u w:val="single" w:color="auto"/>
        </w:rPr>
        <w:t>机</w:t>
      </w:r>
      <w:r>
        <w:rPr>
          <w:rFonts w:ascii="宋体" w:hAnsi="宋体" w:eastAsia="宋体" w:cs="宋体"/>
          <w:color w:val="auto"/>
          <w:spacing w:val="-34"/>
          <w:sz w:val="20"/>
          <w:szCs w:val="20"/>
          <w:u w:val="single" w:color="auto"/>
        </w:rPr>
        <w:t xml:space="preserve"> </w:t>
      </w:r>
      <w:r>
        <w:rPr>
          <w:rFonts w:ascii="宋体" w:hAnsi="宋体" w:eastAsia="宋体" w:cs="宋体"/>
          <w:color w:val="auto"/>
          <w:spacing w:val="-3"/>
          <w:sz w:val="20"/>
          <w:szCs w:val="20"/>
          <w:u w:val="single" w:color="auto"/>
        </w:rPr>
        <w:t>构</w:t>
      </w:r>
      <w:r>
        <w:rPr>
          <w:rFonts w:ascii="宋体" w:hAnsi="宋体" w:eastAsia="宋体" w:cs="宋体"/>
          <w:color w:val="auto"/>
          <w:spacing w:val="-31"/>
          <w:sz w:val="20"/>
          <w:szCs w:val="20"/>
          <w:u w:val="single" w:color="auto"/>
        </w:rPr>
        <w:t xml:space="preserve"> </w:t>
      </w:r>
      <w:r>
        <w:rPr>
          <w:rFonts w:ascii="宋体" w:hAnsi="宋体" w:eastAsia="宋体" w:cs="宋体"/>
          <w:color w:val="auto"/>
          <w:spacing w:val="-3"/>
          <w:sz w:val="20"/>
          <w:szCs w:val="20"/>
          <w:u w:val="single" w:color="auto"/>
        </w:rPr>
        <w:t>)</w:t>
      </w:r>
      <w:r>
        <w:rPr>
          <w:rFonts w:ascii="宋体" w:hAnsi="宋体" w:eastAsia="宋体" w:cs="宋体"/>
          <w:color w:val="auto"/>
          <w:spacing w:val="16"/>
          <w:sz w:val="20"/>
          <w:szCs w:val="20"/>
          <w:u w:val="single" w:color="auto"/>
        </w:rPr>
        <w:t xml:space="preserve">    </w:t>
      </w:r>
      <w:r>
        <w:rPr>
          <w:rFonts w:ascii="宋体" w:hAnsi="宋体" w:eastAsia="宋体" w:cs="宋体"/>
          <w:color w:val="auto"/>
          <w:spacing w:val="-58"/>
          <w:sz w:val="20"/>
          <w:szCs w:val="20"/>
        </w:rPr>
        <w:t xml:space="preserve"> </w:t>
      </w:r>
      <w:r>
        <w:rPr>
          <w:rFonts w:ascii="宋体" w:hAnsi="宋体" w:eastAsia="宋体" w:cs="宋体"/>
          <w:color w:val="auto"/>
          <w:spacing w:val="-3"/>
          <w:sz w:val="20"/>
          <w:szCs w:val="20"/>
        </w:rPr>
        <w:t>:</w:t>
      </w:r>
    </w:p>
    <w:p w14:paraId="313205A2">
      <w:pPr>
        <w:pStyle w:val="2"/>
        <w:spacing w:line="289" w:lineRule="auto"/>
        <w:rPr>
          <w:color w:val="auto"/>
        </w:rPr>
      </w:pPr>
    </w:p>
    <w:p w14:paraId="086A5FDC">
      <w:pPr>
        <w:spacing w:before="66" w:line="436" w:lineRule="auto"/>
        <w:ind w:left="634" w:right="112" w:hanging="4"/>
        <w:rPr>
          <w:rFonts w:ascii="宋体" w:hAnsi="宋体" w:eastAsia="宋体" w:cs="宋体"/>
          <w:color w:val="auto"/>
          <w:sz w:val="20"/>
          <w:szCs w:val="20"/>
        </w:rPr>
      </w:pPr>
      <w:r>
        <w:rPr>
          <w:rFonts w:ascii="宋体" w:hAnsi="宋体" w:eastAsia="宋体" w:cs="宋体"/>
          <w:color w:val="auto"/>
          <w:spacing w:val="2"/>
          <w:sz w:val="20"/>
          <w:szCs w:val="20"/>
        </w:rPr>
        <w:t>我单位(公司)参与</w:t>
      </w:r>
      <w:r>
        <w:rPr>
          <w:rFonts w:ascii="宋体" w:hAnsi="宋体" w:eastAsia="宋体" w:cs="宋体"/>
          <w:color w:val="auto"/>
          <w:spacing w:val="2"/>
          <w:sz w:val="20"/>
          <w:szCs w:val="20"/>
          <w:u w:val="single" w:color="auto"/>
        </w:rPr>
        <w:t xml:space="preserve">    (</w:t>
      </w:r>
      <w:r>
        <w:rPr>
          <w:rFonts w:ascii="宋体" w:hAnsi="宋体" w:eastAsia="宋体" w:cs="宋体"/>
          <w:color w:val="auto"/>
          <w:spacing w:val="-51"/>
          <w:sz w:val="20"/>
          <w:szCs w:val="20"/>
          <w:u w:val="single" w:color="auto"/>
        </w:rPr>
        <w:t xml:space="preserve"> </w:t>
      </w:r>
      <w:r>
        <w:rPr>
          <w:rFonts w:ascii="宋体" w:hAnsi="宋体" w:eastAsia="宋体" w:cs="宋体"/>
          <w:color w:val="auto"/>
          <w:spacing w:val="2"/>
          <w:sz w:val="20"/>
          <w:szCs w:val="20"/>
          <w:u w:val="single" w:color="auto"/>
        </w:rPr>
        <w:t>采 购 项 目 名 称 项 目 编 号 )</w:t>
      </w:r>
      <w:r>
        <w:rPr>
          <w:rFonts w:ascii="宋体" w:hAnsi="宋体" w:eastAsia="宋体" w:cs="宋体"/>
          <w:color w:val="auto"/>
          <w:spacing w:val="-53"/>
          <w:sz w:val="20"/>
          <w:szCs w:val="20"/>
          <w:u w:val="single" w:color="auto"/>
        </w:rPr>
        <w:t xml:space="preserve"> </w:t>
      </w:r>
      <w:r>
        <w:rPr>
          <w:rFonts w:ascii="宋体" w:hAnsi="宋体" w:eastAsia="宋体" w:cs="宋体"/>
          <w:color w:val="auto"/>
          <w:spacing w:val="2"/>
          <w:sz w:val="20"/>
          <w:szCs w:val="20"/>
        </w:rPr>
        <w:t>采购项目的政府采购活动，现承诺如</w:t>
      </w:r>
      <w:r>
        <w:rPr>
          <w:rFonts w:ascii="宋体" w:hAnsi="宋体" w:eastAsia="宋体" w:cs="宋体"/>
          <w:color w:val="auto"/>
          <w:spacing w:val="-3"/>
          <w:sz w:val="20"/>
          <w:szCs w:val="20"/>
        </w:rPr>
        <w:t>下：</w:t>
      </w:r>
    </w:p>
    <w:p w14:paraId="1D810986">
      <w:pPr>
        <w:spacing w:before="1" w:line="227" w:lineRule="auto"/>
        <w:ind w:left="435"/>
        <w:outlineLvl w:val="1"/>
        <w:rPr>
          <w:rFonts w:ascii="宋体" w:hAnsi="宋体" w:eastAsia="宋体" w:cs="宋体"/>
          <w:color w:val="auto"/>
          <w:sz w:val="20"/>
          <w:szCs w:val="20"/>
        </w:rPr>
      </w:pPr>
      <w:bookmarkStart w:id="36" w:name="_Toc19619"/>
      <w:r>
        <w:rPr>
          <w:rFonts w:ascii="宋体" w:hAnsi="宋体" w:eastAsia="宋体" w:cs="宋体"/>
          <w:color w:val="auto"/>
          <w:spacing w:val="7"/>
          <w:sz w:val="20"/>
          <w:szCs w:val="20"/>
        </w:rPr>
        <w:t>1. 具有良好的商业信誉和健全的财务会计制度；</w:t>
      </w:r>
      <w:bookmarkEnd w:id="36"/>
    </w:p>
    <w:p w14:paraId="4A950F34">
      <w:pPr>
        <w:spacing w:before="221" w:line="228" w:lineRule="auto"/>
        <w:ind w:left="422"/>
        <w:outlineLvl w:val="1"/>
        <w:rPr>
          <w:rFonts w:ascii="宋体" w:hAnsi="宋体" w:eastAsia="宋体" w:cs="宋体"/>
          <w:color w:val="auto"/>
          <w:sz w:val="20"/>
          <w:szCs w:val="20"/>
        </w:rPr>
      </w:pPr>
      <w:bookmarkStart w:id="37" w:name="_Toc3216"/>
      <w:r>
        <w:rPr>
          <w:rFonts w:ascii="宋体" w:hAnsi="宋体" w:eastAsia="宋体" w:cs="宋体"/>
          <w:color w:val="auto"/>
          <w:spacing w:val="7"/>
          <w:sz w:val="20"/>
          <w:szCs w:val="20"/>
        </w:rPr>
        <w:t>2. 具有依法缴纳税收的良好记录；</w:t>
      </w:r>
      <w:bookmarkEnd w:id="37"/>
    </w:p>
    <w:p w14:paraId="562B0653">
      <w:pPr>
        <w:spacing w:before="221" w:line="228" w:lineRule="auto"/>
        <w:ind w:left="424"/>
        <w:outlineLvl w:val="1"/>
        <w:rPr>
          <w:rFonts w:ascii="宋体" w:hAnsi="宋体" w:eastAsia="宋体" w:cs="宋体"/>
          <w:color w:val="auto"/>
          <w:sz w:val="20"/>
          <w:szCs w:val="20"/>
        </w:rPr>
      </w:pPr>
      <w:bookmarkStart w:id="38" w:name="_Toc19820"/>
      <w:r>
        <w:rPr>
          <w:rFonts w:ascii="宋体" w:hAnsi="宋体" w:eastAsia="宋体" w:cs="宋体"/>
          <w:color w:val="auto"/>
          <w:spacing w:val="8"/>
          <w:sz w:val="20"/>
          <w:szCs w:val="20"/>
        </w:rPr>
        <w:t>3.具有依法缴纳社会保障金的良好记录。</w:t>
      </w:r>
      <w:bookmarkEnd w:id="38"/>
    </w:p>
    <w:p w14:paraId="3641AF7D">
      <w:pPr>
        <w:spacing w:before="221" w:line="228" w:lineRule="auto"/>
        <w:ind w:right="7"/>
        <w:jc w:val="right"/>
        <w:outlineLvl w:val="1"/>
        <w:rPr>
          <w:rFonts w:ascii="宋体" w:hAnsi="宋体" w:eastAsia="宋体" w:cs="宋体"/>
          <w:color w:val="auto"/>
          <w:sz w:val="20"/>
          <w:szCs w:val="20"/>
        </w:rPr>
      </w:pPr>
      <w:bookmarkStart w:id="39" w:name="_Toc17699"/>
      <w:r>
        <w:rPr>
          <w:rFonts w:ascii="宋体" w:hAnsi="宋体" w:eastAsia="宋体" w:cs="宋体"/>
          <w:color w:val="auto"/>
          <w:spacing w:val="9"/>
          <w:sz w:val="20"/>
          <w:szCs w:val="20"/>
        </w:rPr>
        <w:t>我方在采购项目评审(评标)环节结束后，随时接受采 购人、采购代理机构的检查验证，配合提供</w:t>
      </w:r>
      <w:bookmarkEnd w:id="39"/>
    </w:p>
    <w:p w14:paraId="2FBCBA8B">
      <w:pPr>
        <w:spacing w:before="221" w:line="228" w:lineRule="auto"/>
        <w:rPr>
          <w:rFonts w:ascii="宋体" w:hAnsi="宋体" w:eastAsia="宋体" w:cs="宋体"/>
          <w:color w:val="auto"/>
          <w:sz w:val="20"/>
          <w:szCs w:val="20"/>
        </w:rPr>
      </w:pPr>
      <w:r>
        <w:rPr>
          <w:rFonts w:ascii="宋体" w:hAnsi="宋体" w:eastAsia="宋体" w:cs="宋体"/>
          <w:color w:val="auto"/>
          <w:spacing w:val="9"/>
          <w:sz w:val="20"/>
          <w:szCs w:val="20"/>
        </w:rPr>
        <w:t>相关证明材料， 证明符合《中华人民共和国政府采购法》规定的供应商基本资格条件。</w:t>
      </w:r>
    </w:p>
    <w:p w14:paraId="60E36537">
      <w:pPr>
        <w:pStyle w:val="2"/>
        <w:spacing w:line="374" w:lineRule="auto"/>
        <w:rPr>
          <w:color w:val="auto"/>
        </w:rPr>
      </w:pPr>
    </w:p>
    <w:p w14:paraId="679314CE">
      <w:pPr>
        <w:spacing w:before="65" w:line="228" w:lineRule="auto"/>
        <w:ind w:left="630"/>
        <w:rPr>
          <w:rFonts w:ascii="宋体" w:hAnsi="宋体" w:eastAsia="宋体" w:cs="宋体"/>
          <w:color w:val="auto"/>
          <w:sz w:val="20"/>
          <w:szCs w:val="20"/>
        </w:rPr>
      </w:pPr>
      <w:r>
        <w:rPr>
          <w:rFonts w:ascii="宋体" w:hAnsi="宋体" w:eastAsia="宋体" w:cs="宋体"/>
          <w:color w:val="auto"/>
          <w:spacing w:val="5"/>
          <w:sz w:val="20"/>
          <w:szCs w:val="20"/>
        </w:rPr>
        <w:t>我单位(公司)对上述承诺的真实性负责。如有虚假，将依法承担相应责任。</w:t>
      </w:r>
    </w:p>
    <w:p w14:paraId="05DF0EFE">
      <w:pPr>
        <w:pStyle w:val="2"/>
        <w:spacing w:line="268" w:lineRule="auto"/>
        <w:rPr>
          <w:color w:val="auto"/>
        </w:rPr>
      </w:pPr>
    </w:p>
    <w:p w14:paraId="1A821911">
      <w:pPr>
        <w:pStyle w:val="2"/>
        <w:spacing w:line="269" w:lineRule="auto"/>
        <w:rPr>
          <w:color w:val="auto"/>
        </w:rPr>
      </w:pPr>
    </w:p>
    <w:p w14:paraId="7E509B4D">
      <w:pPr>
        <w:spacing w:before="66" w:line="228" w:lineRule="auto"/>
        <w:ind w:left="628"/>
        <w:rPr>
          <w:rFonts w:ascii="宋体" w:hAnsi="宋体" w:eastAsia="宋体" w:cs="宋体"/>
          <w:color w:val="auto"/>
          <w:sz w:val="20"/>
          <w:szCs w:val="20"/>
        </w:rPr>
      </w:pPr>
      <w:r>
        <w:rPr>
          <w:rFonts w:ascii="宋体" w:hAnsi="宋体" w:eastAsia="宋体" w:cs="宋体"/>
          <w:color w:val="auto"/>
          <w:spacing w:val="3"/>
          <w:sz w:val="20"/>
          <w:szCs w:val="20"/>
        </w:rPr>
        <w:t>特此承诺。</w:t>
      </w:r>
    </w:p>
    <w:p w14:paraId="27E58FFA">
      <w:pPr>
        <w:pStyle w:val="2"/>
        <w:spacing w:line="247" w:lineRule="auto"/>
        <w:rPr>
          <w:color w:val="auto"/>
        </w:rPr>
      </w:pPr>
    </w:p>
    <w:p w14:paraId="4BFC6FB2">
      <w:pPr>
        <w:pStyle w:val="2"/>
        <w:spacing w:line="247" w:lineRule="auto"/>
        <w:rPr>
          <w:color w:val="auto"/>
        </w:rPr>
      </w:pPr>
    </w:p>
    <w:p w14:paraId="343A94DF">
      <w:pPr>
        <w:pStyle w:val="2"/>
        <w:spacing w:line="247" w:lineRule="auto"/>
        <w:rPr>
          <w:color w:val="auto"/>
        </w:rPr>
      </w:pPr>
    </w:p>
    <w:p w14:paraId="22269C60">
      <w:pPr>
        <w:pStyle w:val="2"/>
        <w:spacing w:line="248" w:lineRule="auto"/>
        <w:rPr>
          <w:color w:val="auto"/>
        </w:rPr>
      </w:pPr>
    </w:p>
    <w:p w14:paraId="2EB3B0DA">
      <w:pPr>
        <w:pStyle w:val="2"/>
        <w:spacing w:line="248" w:lineRule="auto"/>
        <w:rPr>
          <w:color w:val="auto"/>
        </w:rPr>
      </w:pPr>
    </w:p>
    <w:p w14:paraId="7EC87F9C">
      <w:pPr>
        <w:pStyle w:val="2"/>
        <w:spacing w:line="248" w:lineRule="auto"/>
        <w:rPr>
          <w:color w:val="auto"/>
        </w:rPr>
      </w:pPr>
    </w:p>
    <w:p w14:paraId="2C3000B2">
      <w:pPr>
        <w:spacing w:before="65" w:line="228" w:lineRule="auto"/>
        <w:ind w:left="8624"/>
        <w:rPr>
          <w:rFonts w:ascii="宋体" w:hAnsi="宋体" w:eastAsia="宋体" w:cs="宋体"/>
          <w:color w:val="auto"/>
          <w:sz w:val="20"/>
          <w:szCs w:val="20"/>
        </w:rPr>
      </w:pPr>
      <w:r>
        <w:rPr>
          <w:rFonts w:ascii="宋体" w:hAnsi="宋体" w:eastAsia="宋体" w:cs="宋体"/>
          <w:color w:val="auto"/>
          <w:spacing w:val="2"/>
          <w:sz w:val="20"/>
          <w:szCs w:val="20"/>
        </w:rPr>
        <w:t>盖章：</w:t>
      </w:r>
    </w:p>
    <w:p w14:paraId="678D7328">
      <w:pPr>
        <w:pStyle w:val="2"/>
        <w:spacing w:line="268" w:lineRule="auto"/>
        <w:rPr>
          <w:color w:val="auto"/>
        </w:rPr>
      </w:pPr>
    </w:p>
    <w:p w14:paraId="2F710287">
      <w:pPr>
        <w:pStyle w:val="2"/>
        <w:spacing w:line="269" w:lineRule="auto"/>
        <w:rPr>
          <w:color w:val="auto"/>
        </w:rPr>
      </w:pPr>
    </w:p>
    <w:p w14:paraId="0FAF516E">
      <w:pPr>
        <w:spacing w:before="65" w:line="228" w:lineRule="auto"/>
        <w:ind w:left="8623"/>
        <w:rPr>
          <w:rFonts w:ascii="宋体" w:hAnsi="宋体" w:eastAsia="宋体" w:cs="宋体"/>
          <w:color w:val="auto"/>
          <w:sz w:val="20"/>
          <w:szCs w:val="20"/>
        </w:rPr>
      </w:pPr>
      <w:r>
        <w:rPr>
          <w:rFonts w:ascii="宋体" w:hAnsi="宋体" w:eastAsia="宋体" w:cs="宋体"/>
          <w:color w:val="auto"/>
          <w:spacing w:val="2"/>
          <w:sz w:val="20"/>
          <w:szCs w:val="20"/>
        </w:rPr>
        <w:t>签字：</w:t>
      </w:r>
    </w:p>
    <w:p w14:paraId="7C427A7E">
      <w:pPr>
        <w:pStyle w:val="2"/>
        <w:spacing w:line="268" w:lineRule="auto"/>
        <w:rPr>
          <w:color w:val="auto"/>
        </w:rPr>
      </w:pPr>
    </w:p>
    <w:p w14:paraId="179AA3A0">
      <w:pPr>
        <w:pStyle w:val="2"/>
        <w:spacing w:line="268" w:lineRule="auto"/>
        <w:rPr>
          <w:color w:val="auto"/>
        </w:rPr>
      </w:pPr>
    </w:p>
    <w:p w14:paraId="1D1277D0">
      <w:pPr>
        <w:spacing w:before="66" w:line="229" w:lineRule="auto"/>
        <w:ind w:left="8659"/>
        <w:rPr>
          <w:rFonts w:ascii="宋体" w:hAnsi="宋体" w:eastAsia="宋体" w:cs="宋体"/>
          <w:color w:val="auto"/>
          <w:sz w:val="20"/>
          <w:szCs w:val="20"/>
        </w:rPr>
      </w:pPr>
      <w:r>
        <w:rPr>
          <w:rFonts w:ascii="宋体" w:hAnsi="宋体" w:eastAsia="宋体" w:cs="宋体"/>
          <w:color w:val="auto"/>
          <w:spacing w:val="-10"/>
          <w:sz w:val="20"/>
          <w:szCs w:val="20"/>
        </w:rPr>
        <w:t>日期：</w:t>
      </w:r>
    </w:p>
    <w:p w14:paraId="13E21803">
      <w:pPr>
        <w:spacing w:line="229" w:lineRule="auto"/>
        <w:rPr>
          <w:rFonts w:ascii="宋体" w:hAnsi="宋体" w:eastAsia="宋体" w:cs="宋体"/>
          <w:color w:val="auto"/>
          <w:sz w:val="20"/>
          <w:szCs w:val="20"/>
        </w:rPr>
        <w:sectPr>
          <w:footerReference r:id="rId38" w:type="default"/>
          <w:pgSz w:w="11906" w:h="16839"/>
          <w:pgMar w:top="1440" w:right="1080" w:bottom="1440" w:left="1080" w:header="0" w:footer="783" w:gutter="0"/>
          <w:pgNumType w:fmt="decimal"/>
          <w:cols w:space="720" w:num="1"/>
        </w:sectPr>
      </w:pPr>
    </w:p>
    <w:p w14:paraId="67190F08">
      <w:pPr>
        <w:spacing w:before="302" w:line="220" w:lineRule="auto"/>
        <w:ind w:left="136"/>
        <w:outlineLvl w:val="2"/>
        <w:rPr>
          <w:rFonts w:ascii="宋体" w:hAnsi="宋体" w:eastAsia="宋体" w:cs="宋体"/>
          <w:color w:val="auto"/>
          <w:sz w:val="24"/>
          <w:szCs w:val="24"/>
        </w:rPr>
      </w:pPr>
      <w:bookmarkStart w:id="40" w:name="_Toc14987"/>
      <w:r>
        <w:rPr>
          <w:rFonts w:ascii="宋体" w:hAnsi="宋体" w:eastAsia="宋体" w:cs="宋体"/>
          <w:b/>
          <w:bCs/>
          <w:color w:val="auto"/>
          <w:spacing w:val="-4"/>
          <w:sz w:val="24"/>
          <w:szCs w:val="24"/>
        </w:rPr>
        <w:t>（三）近年完成的类似项目情况表</w:t>
      </w:r>
      <w:bookmarkEnd w:id="40"/>
    </w:p>
    <w:p w14:paraId="052739DA">
      <w:pPr>
        <w:spacing w:before="54"/>
        <w:rPr>
          <w:color w:val="auto"/>
        </w:rPr>
      </w:pPr>
    </w:p>
    <w:p w14:paraId="0EB1690E">
      <w:pPr>
        <w:spacing w:before="54"/>
        <w:rPr>
          <w:color w:val="auto"/>
        </w:rPr>
      </w:pPr>
    </w:p>
    <w:tbl>
      <w:tblPr>
        <w:tblStyle w:val="15"/>
        <w:tblW w:w="90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0"/>
        <w:gridCol w:w="6555"/>
      </w:tblGrid>
      <w:tr w14:paraId="06213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520" w:type="dxa"/>
            <w:vAlign w:val="top"/>
          </w:tcPr>
          <w:p w14:paraId="1A7886E5">
            <w:pPr>
              <w:pStyle w:val="16"/>
              <w:spacing w:before="187" w:line="229" w:lineRule="auto"/>
              <w:ind w:left="537"/>
              <w:rPr>
                <w:color w:val="auto"/>
                <w:sz w:val="20"/>
                <w:szCs w:val="20"/>
              </w:rPr>
            </w:pPr>
            <w:r>
              <w:rPr>
                <w:color w:val="auto"/>
                <w:spacing w:val="6"/>
                <w:sz w:val="20"/>
                <w:szCs w:val="20"/>
              </w:rPr>
              <w:t>项目名称</w:t>
            </w:r>
          </w:p>
        </w:tc>
        <w:tc>
          <w:tcPr>
            <w:tcW w:w="6555" w:type="dxa"/>
            <w:vAlign w:val="top"/>
          </w:tcPr>
          <w:p w14:paraId="42F6177B">
            <w:pPr>
              <w:rPr>
                <w:rFonts w:ascii="Arial"/>
                <w:color w:val="auto"/>
                <w:sz w:val="21"/>
              </w:rPr>
            </w:pPr>
          </w:p>
        </w:tc>
      </w:tr>
      <w:tr w14:paraId="3E10F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520" w:type="dxa"/>
            <w:vAlign w:val="top"/>
          </w:tcPr>
          <w:p w14:paraId="36D50E83">
            <w:pPr>
              <w:pStyle w:val="16"/>
              <w:spacing w:before="181" w:line="229" w:lineRule="auto"/>
              <w:ind w:left="537"/>
              <w:rPr>
                <w:color w:val="auto"/>
                <w:sz w:val="20"/>
                <w:szCs w:val="20"/>
              </w:rPr>
            </w:pPr>
            <w:r>
              <w:rPr>
                <w:color w:val="auto"/>
                <w:spacing w:val="7"/>
                <w:sz w:val="20"/>
                <w:szCs w:val="20"/>
              </w:rPr>
              <w:t>项目所在地</w:t>
            </w:r>
          </w:p>
        </w:tc>
        <w:tc>
          <w:tcPr>
            <w:tcW w:w="6555" w:type="dxa"/>
            <w:vAlign w:val="top"/>
          </w:tcPr>
          <w:p w14:paraId="22D2B951">
            <w:pPr>
              <w:rPr>
                <w:rFonts w:ascii="Arial"/>
                <w:color w:val="auto"/>
                <w:sz w:val="21"/>
              </w:rPr>
            </w:pPr>
          </w:p>
        </w:tc>
      </w:tr>
      <w:tr w14:paraId="268D2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520" w:type="dxa"/>
            <w:vAlign w:val="top"/>
          </w:tcPr>
          <w:p w14:paraId="0E00FE3F">
            <w:pPr>
              <w:pStyle w:val="16"/>
              <w:spacing w:before="182" w:line="229" w:lineRule="auto"/>
              <w:ind w:left="537"/>
              <w:rPr>
                <w:color w:val="auto"/>
                <w:sz w:val="20"/>
                <w:szCs w:val="20"/>
              </w:rPr>
            </w:pPr>
            <w:r>
              <w:rPr>
                <w:color w:val="auto"/>
                <w:spacing w:val="7"/>
                <w:sz w:val="20"/>
                <w:szCs w:val="20"/>
              </w:rPr>
              <w:t>发包人名称</w:t>
            </w:r>
          </w:p>
        </w:tc>
        <w:tc>
          <w:tcPr>
            <w:tcW w:w="6555" w:type="dxa"/>
            <w:vAlign w:val="top"/>
          </w:tcPr>
          <w:p w14:paraId="17F14AF7">
            <w:pPr>
              <w:rPr>
                <w:rFonts w:ascii="Arial"/>
                <w:color w:val="auto"/>
                <w:sz w:val="21"/>
              </w:rPr>
            </w:pPr>
          </w:p>
        </w:tc>
      </w:tr>
      <w:tr w14:paraId="27673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2520" w:type="dxa"/>
            <w:vAlign w:val="top"/>
          </w:tcPr>
          <w:p w14:paraId="3BFC9A36">
            <w:pPr>
              <w:pStyle w:val="16"/>
              <w:spacing w:before="193" w:line="229" w:lineRule="auto"/>
              <w:ind w:left="537"/>
              <w:rPr>
                <w:color w:val="auto"/>
                <w:sz w:val="20"/>
                <w:szCs w:val="20"/>
              </w:rPr>
            </w:pPr>
            <w:r>
              <w:rPr>
                <w:color w:val="auto"/>
                <w:spacing w:val="7"/>
                <w:sz w:val="20"/>
                <w:szCs w:val="20"/>
              </w:rPr>
              <w:t>发包人地址</w:t>
            </w:r>
          </w:p>
        </w:tc>
        <w:tc>
          <w:tcPr>
            <w:tcW w:w="6555" w:type="dxa"/>
            <w:vAlign w:val="top"/>
          </w:tcPr>
          <w:p w14:paraId="7F5E810E">
            <w:pPr>
              <w:rPr>
                <w:rFonts w:ascii="Arial"/>
                <w:color w:val="auto"/>
                <w:sz w:val="21"/>
              </w:rPr>
            </w:pPr>
          </w:p>
        </w:tc>
      </w:tr>
      <w:tr w14:paraId="5481E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520" w:type="dxa"/>
            <w:vAlign w:val="top"/>
          </w:tcPr>
          <w:p w14:paraId="7C8723DB">
            <w:pPr>
              <w:pStyle w:val="16"/>
              <w:spacing w:before="182" w:line="229" w:lineRule="auto"/>
              <w:ind w:left="537"/>
              <w:rPr>
                <w:color w:val="auto"/>
                <w:sz w:val="20"/>
                <w:szCs w:val="20"/>
              </w:rPr>
            </w:pPr>
            <w:r>
              <w:rPr>
                <w:color w:val="auto"/>
                <w:spacing w:val="7"/>
                <w:sz w:val="20"/>
                <w:szCs w:val="20"/>
              </w:rPr>
              <w:t>发包人电话</w:t>
            </w:r>
          </w:p>
        </w:tc>
        <w:tc>
          <w:tcPr>
            <w:tcW w:w="6555" w:type="dxa"/>
            <w:vAlign w:val="top"/>
          </w:tcPr>
          <w:p w14:paraId="158C1FB3">
            <w:pPr>
              <w:rPr>
                <w:rFonts w:ascii="Arial"/>
                <w:color w:val="auto"/>
                <w:sz w:val="21"/>
              </w:rPr>
            </w:pPr>
          </w:p>
        </w:tc>
      </w:tr>
      <w:tr w14:paraId="131B1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520" w:type="dxa"/>
            <w:vAlign w:val="top"/>
          </w:tcPr>
          <w:p w14:paraId="0200A609">
            <w:pPr>
              <w:pStyle w:val="16"/>
              <w:spacing w:before="184" w:line="227" w:lineRule="auto"/>
              <w:ind w:left="534"/>
              <w:rPr>
                <w:color w:val="auto"/>
                <w:sz w:val="20"/>
                <w:szCs w:val="20"/>
              </w:rPr>
            </w:pPr>
            <w:r>
              <w:rPr>
                <w:color w:val="auto"/>
                <w:spacing w:val="7"/>
                <w:sz w:val="20"/>
                <w:szCs w:val="20"/>
              </w:rPr>
              <w:t>合同价格</w:t>
            </w:r>
          </w:p>
        </w:tc>
        <w:tc>
          <w:tcPr>
            <w:tcW w:w="6555" w:type="dxa"/>
            <w:vAlign w:val="top"/>
          </w:tcPr>
          <w:p w14:paraId="2C35429F">
            <w:pPr>
              <w:rPr>
                <w:rFonts w:ascii="Arial"/>
                <w:color w:val="auto"/>
                <w:sz w:val="21"/>
              </w:rPr>
            </w:pPr>
          </w:p>
        </w:tc>
      </w:tr>
      <w:tr w14:paraId="3DCC0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520" w:type="dxa"/>
            <w:vAlign w:val="top"/>
          </w:tcPr>
          <w:p w14:paraId="76B6DEFC">
            <w:pPr>
              <w:pStyle w:val="16"/>
              <w:spacing w:before="185" w:line="229" w:lineRule="auto"/>
              <w:ind w:left="534"/>
              <w:rPr>
                <w:color w:val="auto"/>
                <w:sz w:val="20"/>
                <w:szCs w:val="20"/>
              </w:rPr>
            </w:pPr>
            <w:r>
              <w:rPr>
                <w:color w:val="auto"/>
                <w:spacing w:val="7"/>
                <w:sz w:val="20"/>
                <w:szCs w:val="20"/>
              </w:rPr>
              <w:t>开工日期</w:t>
            </w:r>
          </w:p>
        </w:tc>
        <w:tc>
          <w:tcPr>
            <w:tcW w:w="6555" w:type="dxa"/>
            <w:vAlign w:val="top"/>
          </w:tcPr>
          <w:p w14:paraId="092AB81A">
            <w:pPr>
              <w:rPr>
                <w:rFonts w:ascii="Arial"/>
                <w:color w:val="auto"/>
                <w:sz w:val="21"/>
              </w:rPr>
            </w:pPr>
          </w:p>
        </w:tc>
      </w:tr>
      <w:tr w14:paraId="15E97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520" w:type="dxa"/>
            <w:vAlign w:val="top"/>
          </w:tcPr>
          <w:p w14:paraId="1801CD12">
            <w:pPr>
              <w:pStyle w:val="16"/>
              <w:spacing w:before="187" w:line="228" w:lineRule="auto"/>
              <w:ind w:left="534"/>
              <w:rPr>
                <w:color w:val="auto"/>
                <w:sz w:val="20"/>
                <w:szCs w:val="20"/>
              </w:rPr>
            </w:pPr>
            <w:r>
              <w:rPr>
                <w:color w:val="auto"/>
                <w:spacing w:val="7"/>
                <w:sz w:val="20"/>
                <w:szCs w:val="20"/>
              </w:rPr>
              <w:t>竣工日期</w:t>
            </w:r>
          </w:p>
        </w:tc>
        <w:tc>
          <w:tcPr>
            <w:tcW w:w="6555" w:type="dxa"/>
            <w:vAlign w:val="top"/>
          </w:tcPr>
          <w:p w14:paraId="4ACC61FA">
            <w:pPr>
              <w:rPr>
                <w:rFonts w:ascii="Arial"/>
                <w:color w:val="auto"/>
                <w:sz w:val="21"/>
              </w:rPr>
            </w:pPr>
          </w:p>
        </w:tc>
      </w:tr>
      <w:tr w14:paraId="6AD49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520" w:type="dxa"/>
            <w:vAlign w:val="top"/>
          </w:tcPr>
          <w:p w14:paraId="302172C9">
            <w:pPr>
              <w:pStyle w:val="16"/>
              <w:spacing w:before="187" w:line="228" w:lineRule="auto"/>
              <w:ind w:left="533"/>
              <w:rPr>
                <w:color w:val="auto"/>
                <w:sz w:val="20"/>
                <w:szCs w:val="20"/>
              </w:rPr>
            </w:pPr>
            <w:r>
              <w:rPr>
                <w:color w:val="auto"/>
                <w:spacing w:val="8"/>
                <w:sz w:val="20"/>
                <w:szCs w:val="20"/>
              </w:rPr>
              <w:t>承担的工作</w:t>
            </w:r>
          </w:p>
        </w:tc>
        <w:tc>
          <w:tcPr>
            <w:tcW w:w="6555" w:type="dxa"/>
            <w:vAlign w:val="top"/>
          </w:tcPr>
          <w:p w14:paraId="3BD710D7">
            <w:pPr>
              <w:rPr>
                <w:rFonts w:ascii="Arial"/>
                <w:color w:val="auto"/>
                <w:sz w:val="21"/>
              </w:rPr>
            </w:pPr>
          </w:p>
        </w:tc>
      </w:tr>
      <w:tr w14:paraId="7C61C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520" w:type="dxa"/>
            <w:vAlign w:val="top"/>
          </w:tcPr>
          <w:p w14:paraId="0C1C15D6">
            <w:pPr>
              <w:pStyle w:val="16"/>
              <w:spacing w:before="185" w:line="229" w:lineRule="auto"/>
              <w:ind w:left="536"/>
              <w:rPr>
                <w:color w:val="auto"/>
                <w:sz w:val="20"/>
                <w:szCs w:val="20"/>
              </w:rPr>
            </w:pPr>
            <w:r>
              <w:rPr>
                <w:color w:val="auto"/>
                <w:spacing w:val="6"/>
                <w:sz w:val="20"/>
                <w:szCs w:val="20"/>
              </w:rPr>
              <w:t>工程质量</w:t>
            </w:r>
          </w:p>
        </w:tc>
        <w:tc>
          <w:tcPr>
            <w:tcW w:w="6555" w:type="dxa"/>
            <w:vAlign w:val="top"/>
          </w:tcPr>
          <w:p w14:paraId="7D65F009">
            <w:pPr>
              <w:rPr>
                <w:rFonts w:ascii="Arial"/>
                <w:color w:val="auto"/>
                <w:sz w:val="21"/>
              </w:rPr>
            </w:pPr>
          </w:p>
        </w:tc>
      </w:tr>
      <w:tr w14:paraId="53EBB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520" w:type="dxa"/>
            <w:vAlign w:val="top"/>
          </w:tcPr>
          <w:p w14:paraId="20682BF4">
            <w:pPr>
              <w:pStyle w:val="16"/>
              <w:spacing w:before="185" w:line="229" w:lineRule="auto"/>
              <w:ind w:left="537"/>
              <w:rPr>
                <w:color w:val="auto"/>
                <w:sz w:val="20"/>
                <w:szCs w:val="20"/>
              </w:rPr>
            </w:pPr>
            <w:r>
              <w:rPr>
                <w:color w:val="auto"/>
                <w:spacing w:val="6"/>
                <w:sz w:val="20"/>
                <w:szCs w:val="20"/>
              </w:rPr>
              <w:t>项目经理</w:t>
            </w:r>
          </w:p>
        </w:tc>
        <w:tc>
          <w:tcPr>
            <w:tcW w:w="6555" w:type="dxa"/>
            <w:vAlign w:val="top"/>
          </w:tcPr>
          <w:p w14:paraId="59481456">
            <w:pPr>
              <w:rPr>
                <w:rFonts w:ascii="Arial"/>
                <w:color w:val="auto"/>
                <w:sz w:val="21"/>
              </w:rPr>
            </w:pPr>
          </w:p>
        </w:tc>
      </w:tr>
      <w:tr w14:paraId="3BA4D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520" w:type="dxa"/>
            <w:vAlign w:val="top"/>
          </w:tcPr>
          <w:p w14:paraId="75A69D26">
            <w:pPr>
              <w:pStyle w:val="16"/>
              <w:spacing w:before="186" w:line="228" w:lineRule="auto"/>
              <w:ind w:left="534"/>
              <w:rPr>
                <w:color w:val="auto"/>
                <w:sz w:val="20"/>
                <w:szCs w:val="20"/>
              </w:rPr>
            </w:pPr>
            <w:r>
              <w:rPr>
                <w:color w:val="auto"/>
                <w:spacing w:val="7"/>
                <w:sz w:val="20"/>
                <w:szCs w:val="20"/>
              </w:rPr>
              <w:t>技术负责人</w:t>
            </w:r>
          </w:p>
        </w:tc>
        <w:tc>
          <w:tcPr>
            <w:tcW w:w="6555" w:type="dxa"/>
            <w:vAlign w:val="top"/>
          </w:tcPr>
          <w:p w14:paraId="2C579931">
            <w:pPr>
              <w:rPr>
                <w:rFonts w:ascii="Arial"/>
                <w:color w:val="auto"/>
                <w:sz w:val="21"/>
              </w:rPr>
            </w:pPr>
          </w:p>
        </w:tc>
      </w:tr>
      <w:tr w14:paraId="53D90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2520" w:type="dxa"/>
            <w:vAlign w:val="top"/>
          </w:tcPr>
          <w:p w14:paraId="6807ED58">
            <w:pPr>
              <w:pStyle w:val="16"/>
              <w:spacing w:before="198" w:line="228" w:lineRule="auto"/>
              <w:ind w:left="116"/>
              <w:rPr>
                <w:color w:val="auto"/>
                <w:sz w:val="20"/>
                <w:szCs w:val="20"/>
              </w:rPr>
            </w:pPr>
            <w:r>
              <w:rPr>
                <w:color w:val="auto"/>
                <w:spacing w:val="8"/>
                <w:sz w:val="20"/>
                <w:szCs w:val="20"/>
              </w:rPr>
              <w:t>总监理工程师及电话</w:t>
            </w:r>
          </w:p>
        </w:tc>
        <w:tc>
          <w:tcPr>
            <w:tcW w:w="6555" w:type="dxa"/>
            <w:vAlign w:val="top"/>
          </w:tcPr>
          <w:p w14:paraId="5BDB39F4">
            <w:pPr>
              <w:rPr>
                <w:rFonts w:ascii="Arial"/>
                <w:color w:val="auto"/>
                <w:sz w:val="21"/>
              </w:rPr>
            </w:pPr>
          </w:p>
        </w:tc>
      </w:tr>
      <w:tr w14:paraId="3E604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2520" w:type="dxa"/>
            <w:vAlign w:val="top"/>
          </w:tcPr>
          <w:p w14:paraId="08741B0C">
            <w:pPr>
              <w:spacing w:line="276" w:lineRule="auto"/>
              <w:rPr>
                <w:rFonts w:ascii="Arial"/>
                <w:color w:val="auto"/>
                <w:sz w:val="21"/>
              </w:rPr>
            </w:pPr>
          </w:p>
          <w:p w14:paraId="7DFDAB7B">
            <w:pPr>
              <w:spacing w:line="276" w:lineRule="auto"/>
              <w:rPr>
                <w:rFonts w:ascii="Arial"/>
                <w:color w:val="auto"/>
                <w:sz w:val="21"/>
              </w:rPr>
            </w:pPr>
          </w:p>
          <w:p w14:paraId="170869D8">
            <w:pPr>
              <w:spacing w:line="276" w:lineRule="auto"/>
              <w:rPr>
                <w:rFonts w:ascii="Arial"/>
                <w:color w:val="auto"/>
                <w:sz w:val="21"/>
              </w:rPr>
            </w:pPr>
          </w:p>
          <w:p w14:paraId="49DCF001">
            <w:pPr>
              <w:pStyle w:val="16"/>
              <w:spacing w:before="65" w:line="229" w:lineRule="auto"/>
              <w:ind w:left="537"/>
              <w:rPr>
                <w:color w:val="auto"/>
                <w:sz w:val="20"/>
                <w:szCs w:val="20"/>
              </w:rPr>
            </w:pPr>
            <w:r>
              <w:rPr>
                <w:color w:val="auto"/>
                <w:spacing w:val="6"/>
                <w:sz w:val="20"/>
                <w:szCs w:val="20"/>
              </w:rPr>
              <w:t>项目描述</w:t>
            </w:r>
          </w:p>
        </w:tc>
        <w:tc>
          <w:tcPr>
            <w:tcW w:w="6555" w:type="dxa"/>
            <w:vAlign w:val="top"/>
          </w:tcPr>
          <w:p w14:paraId="42BC6241">
            <w:pPr>
              <w:rPr>
                <w:rFonts w:ascii="Arial"/>
                <w:color w:val="auto"/>
                <w:sz w:val="21"/>
              </w:rPr>
            </w:pPr>
          </w:p>
        </w:tc>
      </w:tr>
      <w:tr w14:paraId="01DB6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2520" w:type="dxa"/>
            <w:vAlign w:val="top"/>
          </w:tcPr>
          <w:p w14:paraId="149AB071">
            <w:pPr>
              <w:spacing w:line="445" w:lineRule="auto"/>
              <w:rPr>
                <w:rFonts w:ascii="Arial"/>
                <w:color w:val="auto"/>
                <w:sz w:val="21"/>
              </w:rPr>
            </w:pPr>
          </w:p>
          <w:p w14:paraId="30D3B5CC">
            <w:pPr>
              <w:pStyle w:val="16"/>
              <w:spacing w:before="65" w:line="230" w:lineRule="auto"/>
              <w:ind w:left="536"/>
              <w:rPr>
                <w:color w:val="auto"/>
                <w:sz w:val="20"/>
                <w:szCs w:val="20"/>
              </w:rPr>
            </w:pPr>
            <w:r>
              <w:rPr>
                <w:color w:val="auto"/>
                <w:spacing w:val="3"/>
                <w:sz w:val="20"/>
                <w:szCs w:val="20"/>
              </w:rPr>
              <w:t>备注</w:t>
            </w:r>
          </w:p>
        </w:tc>
        <w:tc>
          <w:tcPr>
            <w:tcW w:w="6555" w:type="dxa"/>
            <w:vAlign w:val="top"/>
          </w:tcPr>
          <w:p w14:paraId="0484713B">
            <w:pPr>
              <w:rPr>
                <w:rFonts w:ascii="Arial"/>
                <w:color w:val="auto"/>
                <w:sz w:val="21"/>
              </w:rPr>
            </w:pPr>
          </w:p>
        </w:tc>
      </w:tr>
    </w:tbl>
    <w:p w14:paraId="6AC92906">
      <w:pPr>
        <w:spacing w:before="66" w:line="322" w:lineRule="auto"/>
        <w:ind w:left="665" w:hanging="541"/>
        <w:rPr>
          <w:rFonts w:ascii="宋体" w:hAnsi="宋体" w:eastAsia="宋体" w:cs="宋体"/>
          <w:color w:val="auto"/>
          <w:sz w:val="18"/>
          <w:szCs w:val="18"/>
        </w:rPr>
      </w:pPr>
      <w:r>
        <w:rPr>
          <w:rFonts w:ascii="宋体" w:hAnsi="宋体" w:eastAsia="宋体" w:cs="宋体"/>
          <w:color w:val="auto"/>
          <w:spacing w:val="1"/>
          <w:sz w:val="18"/>
          <w:szCs w:val="18"/>
        </w:rPr>
        <w:t>备注：本表后附中标通知书或合同协议书或工程接收证书（工程竣工验收证书）的复印件，具体年份要求见供应</w:t>
      </w:r>
      <w:r>
        <w:rPr>
          <w:rFonts w:ascii="宋体" w:hAnsi="宋体" w:eastAsia="宋体" w:cs="宋体"/>
          <w:color w:val="auto"/>
          <w:sz w:val="18"/>
          <w:szCs w:val="18"/>
        </w:rPr>
        <w:t>商须</w:t>
      </w:r>
      <w:r>
        <w:rPr>
          <w:rFonts w:ascii="宋体" w:hAnsi="宋体" w:eastAsia="宋体" w:cs="宋体"/>
          <w:color w:val="auto"/>
          <w:spacing w:val="-1"/>
          <w:sz w:val="18"/>
          <w:szCs w:val="18"/>
        </w:rPr>
        <w:t>知前附表。每张表格只填写一个项目，并标明序号</w:t>
      </w:r>
    </w:p>
    <w:p w14:paraId="2C6827A7">
      <w:pPr>
        <w:spacing w:line="322" w:lineRule="auto"/>
        <w:rPr>
          <w:rFonts w:ascii="宋体" w:hAnsi="宋体" w:eastAsia="宋体" w:cs="宋体"/>
          <w:color w:val="auto"/>
          <w:sz w:val="18"/>
          <w:szCs w:val="18"/>
        </w:rPr>
        <w:sectPr>
          <w:footerReference r:id="rId39" w:type="default"/>
          <w:pgSz w:w="11906" w:h="16839"/>
          <w:pgMar w:top="1440" w:right="1080" w:bottom="1440" w:left="1080" w:header="0" w:footer="783" w:gutter="0"/>
          <w:pgNumType w:fmt="decimal"/>
          <w:cols w:space="720" w:num="1"/>
        </w:sectPr>
      </w:pPr>
    </w:p>
    <w:p w14:paraId="14D5FB07">
      <w:pPr>
        <w:spacing w:before="302" w:line="220" w:lineRule="auto"/>
        <w:ind w:left="26"/>
        <w:rPr>
          <w:rFonts w:ascii="宋体" w:hAnsi="宋体" w:eastAsia="宋体" w:cs="宋体"/>
          <w:color w:val="auto"/>
          <w:sz w:val="24"/>
          <w:szCs w:val="24"/>
        </w:rPr>
      </w:pPr>
      <w:r>
        <w:rPr>
          <w:rFonts w:ascii="宋体" w:hAnsi="宋体" w:eastAsia="宋体" w:cs="宋体"/>
          <w:b/>
          <w:bCs/>
          <w:color w:val="auto"/>
          <w:spacing w:val="-3"/>
          <w:sz w:val="24"/>
          <w:szCs w:val="24"/>
        </w:rPr>
        <w:t>（四）正在施工的和新承接的项目情况表</w:t>
      </w:r>
    </w:p>
    <w:p w14:paraId="6E63C536">
      <w:pPr>
        <w:spacing w:before="54"/>
        <w:rPr>
          <w:color w:val="auto"/>
        </w:rPr>
      </w:pPr>
    </w:p>
    <w:p w14:paraId="1439F37D">
      <w:pPr>
        <w:spacing w:before="54"/>
        <w:rPr>
          <w:color w:val="auto"/>
        </w:rPr>
      </w:pPr>
    </w:p>
    <w:tbl>
      <w:tblPr>
        <w:tblStyle w:val="15"/>
        <w:tblW w:w="9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73"/>
        <w:gridCol w:w="5893"/>
      </w:tblGrid>
      <w:tr w14:paraId="6987C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3573" w:type="dxa"/>
            <w:vAlign w:val="top"/>
          </w:tcPr>
          <w:p w14:paraId="1700A743">
            <w:pPr>
              <w:pStyle w:val="16"/>
              <w:spacing w:before="55" w:line="229" w:lineRule="auto"/>
              <w:ind w:left="119"/>
              <w:rPr>
                <w:color w:val="auto"/>
                <w:sz w:val="20"/>
                <w:szCs w:val="20"/>
              </w:rPr>
            </w:pPr>
            <w:r>
              <w:rPr>
                <w:color w:val="auto"/>
                <w:spacing w:val="6"/>
                <w:sz w:val="20"/>
                <w:szCs w:val="20"/>
              </w:rPr>
              <w:t>项目名称</w:t>
            </w:r>
          </w:p>
        </w:tc>
        <w:tc>
          <w:tcPr>
            <w:tcW w:w="5893" w:type="dxa"/>
            <w:vAlign w:val="top"/>
          </w:tcPr>
          <w:p w14:paraId="7143B20E">
            <w:pPr>
              <w:rPr>
                <w:rFonts w:ascii="Arial"/>
                <w:color w:val="auto"/>
                <w:sz w:val="21"/>
              </w:rPr>
            </w:pPr>
          </w:p>
        </w:tc>
      </w:tr>
      <w:tr w14:paraId="334E6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3573" w:type="dxa"/>
            <w:vAlign w:val="top"/>
          </w:tcPr>
          <w:p w14:paraId="19B35D15">
            <w:pPr>
              <w:pStyle w:val="16"/>
              <w:spacing w:before="53" w:line="229" w:lineRule="auto"/>
              <w:ind w:left="119"/>
              <w:rPr>
                <w:color w:val="auto"/>
                <w:sz w:val="20"/>
                <w:szCs w:val="20"/>
              </w:rPr>
            </w:pPr>
            <w:r>
              <w:rPr>
                <w:color w:val="auto"/>
                <w:spacing w:val="7"/>
                <w:sz w:val="20"/>
                <w:szCs w:val="20"/>
              </w:rPr>
              <w:t>项目所在地</w:t>
            </w:r>
          </w:p>
        </w:tc>
        <w:tc>
          <w:tcPr>
            <w:tcW w:w="5893" w:type="dxa"/>
            <w:vAlign w:val="top"/>
          </w:tcPr>
          <w:p w14:paraId="0A659898">
            <w:pPr>
              <w:rPr>
                <w:rFonts w:ascii="Arial"/>
                <w:color w:val="auto"/>
                <w:sz w:val="21"/>
              </w:rPr>
            </w:pPr>
          </w:p>
        </w:tc>
      </w:tr>
      <w:tr w14:paraId="771CE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3573" w:type="dxa"/>
            <w:vAlign w:val="top"/>
          </w:tcPr>
          <w:p w14:paraId="0F1C9F28">
            <w:pPr>
              <w:pStyle w:val="16"/>
              <w:spacing w:before="53" w:line="229" w:lineRule="auto"/>
              <w:ind w:left="119"/>
              <w:rPr>
                <w:color w:val="auto"/>
                <w:sz w:val="20"/>
                <w:szCs w:val="20"/>
              </w:rPr>
            </w:pPr>
            <w:r>
              <w:rPr>
                <w:color w:val="auto"/>
                <w:spacing w:val="7"/>
                <w:sz w:val="20"/>
                <w:szCs w:val="20"/>
              </w:rPr>
              <w:t>发包人名称</w:t>
            </w:r>
          </w:p>
        </w:tc>
        <w:tc>
          <w:tcPr>
            <w:tcW w:w="5893" w:type="dxa"/>
            <w:vAlign w:val="top"/>
          </w:tcPr>
          <w:p w14:paraId="5DA34340">
            <w:pPr>
              <w:rPr>
                <w:rFonts w:ascii="Arial"/>
                <w:color w:val="auto"/>
                <w:sz w:val="21"/>
              </w:rPr>
            </w:pPr>
          </w:p>
        </w:tc>
      </w:tr>
      <w:tr w14:paraId="2F67C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3573" w:type="dxa"/>
            <w:vAlign w:val="top"/>
          </w:tcPr>
          <w:p w14:paraId="1D54FE09">
            <w:pPr>
              <w:pStyle w:val="16"/>
              <w:spacing w:before="52" w:line="229" w:lineRule="auto"/>
              <w:ind w:left="119"/>
              <w:rPr>
                <w:color w:val="auto"/>
                <w:sz w:val="20"/>
                <w:szCs w:val="20"/>
              </w:rPr>
            </w:pPr>
            <w:r>
              <w:rPr>
                <w:color w:val="auto"/>
                <w:spacing w:val="7"/>
                <w:sz w:val="20"/>
                <w:szCs w:val="20"/>
              </w:rPr>
              <w:t>发包人地址</w:t>
            </w:r>
          </w:p>
        </w:tc>
        <w:tc>
          <w:tcPr>
            <w:tcW w:w="5893" w:type="dxa"/>
            <w:vAlign w:val="top"/>
          </w:tcPr>
          <w:p w14:paraId="26DAE926">
            <w:pPr>
              <w:rPr>
                <w:rFonts w:ascii="Arial"/>
                <w:color w:val="auto"/>
                <w:sz w:val="21"/>
              </w:rPr>
            </w:pPr>
          </w:p>
        </w:tc>
      </w:tr>
      <w:tr w14:paraId="26C77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3573" w:type="dxa"/>
            <w:vAlign w:val="top"/>
          </w:tcPr>
          <w:p w14:paraId="45501F68">
            <w:pPr>
              <w:pStyle w:val="16"/>
              <w:spacing w:before="53" w:line="229" w:lineRule="auto"/>
              <w:ind w:left="119"/>
              <w:rPr>
                <w:color w:val="auto"/>
                <w:sz w:val="20"/>
                <w:szCs w:val="20"/>
              </w:rPr>
            </w:pPr>
            <w:r>
              <w:rPr>
                <w:color w:val="auto"/>
                <w:spacing w:val="7"/>
                <w:sz w:val="20"/>
                <w:szCs w:val="20"/>
              </w:rPr>
              <w:t>发包人电话</w:t>
            </w:r>
          </w:p>
        </w:tc>
        <w:tc>
          <w:tcPr>
            <w:tcW w:w="5893" w:type="dxa"/>
            <w:vAlign w:val="top"/>
          </w:tcPr>
          <w:p w14:paraId="665FD1E8">
            <w:pPr>
              <w:rPr>
                <w:rFonts w:ascii="Arial"/>
                <w:color w:val="auto"/>
                <w:sz w:val="21"/>
              </w:rPr>
            </w:pPr>
          </w:p>
        </w:tc>
      </w:tr>
      <w:tr w14:paraId="3D79A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3573" w:type="dxa"/>
            <w:vAlign w:val="top"/>
          </w:tcPr>
          <w:p w14:paraId="10BCEE35">
            <w:pPr>
              <w:pStyle w:val="16"/>
              <w:spacing w:before="54" w:line="227" w:lineRule="auto"/>
              <w:ind w:left="116"/>
              <w:rPr>
                <w:color w:val="auto"/>
                <w:sz w:val="20"/>
                <w:szCs w:val="20"/>
              </w:rPr>
            </w:pPr>
            <w:r>
              <w:rPr>
                <w:color w:val="auto"/>
                <w:spacing w:val="8"/>
                <w:sz w:val="20"/>
                <w:szCs w:val="20"/>
              </w:rPr>
              <w:t>签约合同价</w:t>
            </w:r>
          </w:p>
        </w:tc>
        <w:tc>
          <w:tcPr>
            <w:tcW w:w="5893" w:type="dxa"/>
            <w:vAlign w:val="top"/>
          </w:tcPr>
          <w:p w14:paraId="3095DB58">
            <w:pPr>
              <w:rPr>
                <w:rFonts w:ascii="Arial"/>
                <w:color w:val="auto"/>
                <w:sz w:val="21"/>
              </w:rPr>
            </w:pPr>
          </w:p>
        </w:tc>
      </w:tr>
      <w:tr w14:paraId="4598E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3573" w:type="dxa"/>
            <w:vAlign w:val="top"/>
          </w:tcPr>
          <w:p w14:paraId="24C86FE1">
            <w:pPr>
              <w:pStyle w:val="16"/>
              <w:spacing w:before="53" w:line="229" w:lineRule="auto"/>
              <w:ind w:left="117"/>
              <w:rPr>
                <w:color w:val="auto"/>
                <w:sz w:val="20"/>
                <w:szCs w:val="20"/>
              </w:rPr>
            </w:pPr>
            <w:r>
              <w:rPr>
                <w:color w:val="auto"/>
                <w:spacing w:val="7"/>
                <w:sz w:val="20"/>
                <w:szCs w:val="20"/>
              </w:rPr>
              <w:t>开工日期</w:t>
            </w:r>
          </w:p>
        </w:tc>
        <w:tc>
          <w:tcPr>
            <w:tcW w:w="5893" w:type="dxa"/>
            <w:vAlign w:val="top"/>
          </w:tcPr>
          <w:p w14:paraId="3E104D8B">
            <w:pPr>
              <w:rPr>
                <w:rFonts w:ascii="Arial"/>
                <w:color w:val="auto"/>
                <w:sz w:val="21"/>
              </w:rPr>
            </w:pPr>
          </w:p>
        </w:tc>
      </w:tr>
      <w:tr w14:paraId="75B1E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3573" w:type="dxa"/>
            <w:vAlign w:val="top"/>
          </w:tcPr>
          <w:p w14:paraId="3A076F77">
            <w:pPr>
              <w:pStyle w:val="16"/>
              <w:spacing w:before="54" w:line="228" w:lineRule="auto"/>
              <w:ind w:left="116"/>
              <w:rPr>
                <w:color w:val="auto"/>
                <w:sz w:val="20"/>
                <w:szCs w:val="20"/>
              </w:rPr>
            </w:pPr>
            <w:r>
              <w:rPr>
                <w:color w:val="auto"/>
                <w:spacing w:val="8"/>
                <w:sz w:val="20"/>
                <w:szCs w:val="20"/>
              </w:rPr>
              <w:t>计划竣工日期</w:t>
            </w:r>
          </w:p>
        </w:tc>
        <w:tc>
          <w:tcPr>
            <w:tcW w:w="5893" w:type="dxa"/>
            <w:vAlign w:val="top"/>
          </w:tcPr>
          <w:p w14:paraId="4BCE5B0B">
            <w:pPr>
              <w:rPr>
                <w:rFonts w:ascii="Arial"/>
                <w:color w:val="auto"/>
                <w:sz w:val="21"/>
              </w:rPr>
            </w:pPr>
          </w:p>
        </w:tc>
      </w:tr>
      <w:tr w14:paraId="72E9D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3573" w:type="dxa"/>
            <w:vAlign w:val="top"/>
          </w:tcPr>
          <w:p w14:paraId="55BB81FF">
            <w:pPr>
              <w:pStyle w:val="16"/>
              <w:spacing w:before="53" w:line="228" w:lineRule="auto"/>
              <w:ind w:left="116"/>
              <w:rPr>
                <w:color w:val="auto"/>
                <w:sz w:val="20"/>
                <w:szCs w:val="20"/>
              </w:rPr>
            </w:pPr>
            <w:r>
              <w:rPr>
                <w:color w:val="auto"/>
                <w:spacing w:val="8"/>
                <w:sz w:val="20"/>
                <w:szCs w:val="20"/>
              </w:rPr>
              <w:t>承担的工作</w:t>
            </w:r>
          </w:p>
        </w:tc>
        <w:tc>
          <w:tcPr>
            <w:tcW w:w="5893" w:type="dxa"/>
            <w:vAlign w:val="top"/>
          </w:tcPr>
          <w:p w14:paraId="37349AE7">
            <w:pPr>
              <w:rPr>
                <w:rFonts w:ascii="Arial"/>
                <w:color w:val="auto"/>
                <w:sz w:val="21"/>
              </w:rPr>
            </w:pPr>
          </w:p>
        </w:tc>
      </w:tr>
      <w:tr w14:paraId="6BB0D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3573" w:type="dxa"/>
            <w:vAlign w:val="top"/>
          </w:tcPr>
          <w:p w14:paraId="554D1E8F">
            <w:pPr>
              <w:pStyle w:val="16"/>
              <w:spacing w:before="54" w:line="229" w:lineRule="auto"/>
              <w:ind w:left="118"/>
              <w:rPr>
                <w:color w:val="auto"/>
                <w:sz w:val="20"/>
                <w:szCs w:val="20"/>
              </w:rPr>
            </w:pPr>
            <w:r>
              <w:rPr>
                <w:color w:val="auto"/>
                <w:spacing w:val="6"/>
                <w:sz w:val="20"/>
                <w:szCs w:val="20"/>
              </w:rPr>
              <w:t>工程质量</w:t>
            </w:r>
          </w:p>
        </w:tc>
        <w:tc>
          <w:tcPr>
            <w:tcW w:w="5893" w:type="dxa"/>
            <w:vAlign w:val="top"/>
          </w:tcPr>
          <w:p w14:paraId="1E6A7489">
            <w:pPr>
              <w:rPr>
                <w:rFonts w:ascii="Arial"/>
                <w:color w:val="auto"/>
                <w:sz w:val="21"/>
              </w:rPr>
            </w:pPr>
          </w:p>
        </w:tc>
      </w:tr>
      <w:tr w14:paraId="2A759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3573" w:type="dxa"/>
            <w:vAlign w:val="top"/>
          </w:tcPr>
          <w:p w14:paraId="0D7D2BBC">
            <w:pPr>
              <w:pStyle w:val="16"/>
              <w:spacing w:before="54" w:line="229" w:lineRule="auto"/>
              <w:ind w:left="119"/>
              <w:rPr>
                <w:color w:val="auto"/>
                <w:sz w:val="20"/>
                <w:szCs w:val="20"/>
              </w:rPr>
            </w:pPr>
            <w:r>
              <w:rPr>
                <w:color w:val="auto"/>
                <w:spacing w:val="6"/>
                <w:sz w:val="20"/>
                <w:szCs w:val="20"/>
              </w:rPr>
              <w:t>项目经理</w:t>
            </w:r>
          </w:p>
        </w:tc>
        <w:tc>
          <w:tcPr>
            <w:tcW w:w="5893" w:type="dxa"/>
            <w:vAlign w:val="top"/>
          </w:tcPr>
          <w:p w14:paraId="05366644">
            <w:pPr>
              <w:rPr>
                <w:rFonts w:ascii="Arial"/>
                <w:color w:val="auto"/>
                <w:sz w:val="21"/>
              </w:rPr>
            </w:pPr>
          </w:p>
        </w:tc>
      </w:tr>
      <w:tr w14:paraId="59120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3573" w:type="dxa"/>
            <w:vAlign w:val="top"/>
          </w:tcPr>
          <w:p w14:paraId="6A086B00">
            <w:pPr>
              <w:pStyle w:val="16"/>
              <w:spacing w:before="53" w:line="228" w:lineRule="auto"/>
              <w:ind w:left="117"/>
              <w:rPr>
                <w:color w:val="auto"/>
                <w:sz w:val="20"/>
                <w:szCs w:val="20"/>
              </w:rPr>
            </w:pPr>
            <w:r>
              <w:rPr>
                <w:color w:val="auto"/>
                <w:spacing w:val="7"/>
                <w:sz w:val="20"/>
                <w:szCs w:val="20"/>
              </w:rPr>
              <w:t>技术负责人</w:t>
            </w:r>
          </w:p>
        </w:tc>
        <w:tc>
          <w:tcPr>
            <w:tcW w:w="5893" w:type="dxa"/>
            <w:vAlign w:val="top"/>
          </w:tcPr>
          <w:p w14:paraId="4C227B98">
            <w:pPr>
              <w:rPr>
                <w:rFonts w:ascii="Arial"/>
                <w:color w:val="auto"/>
                <w:sz w:val="21"/>
              </w:rPr>
            </w:pPr>
          </w:p>
        </w:tc>
      </w:tr>
      <w:tr w14:paraId="6C649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3573" w:type="dxa"/>
            <w:vAlign w:val="top"/>
          </w:tcPr>
          <w:p w14:paraId="36EEBD9C">
            <w:pPr>
              <w:pStyle w:val="16"/>
              <w:spacing w:before="54" w:line="228" w:lineRule="auto"/>
              <w:ind w:left="118"/>
              <w:rPr>
                <w:color w:val="auto"/>
                <w:sz w:val="20"/>
                <w:szCs w:val="20"/>
              </w:rPr>
            </w:pPr>
            <w:r>
              <w:rPr>
                <w:color w:val="auto"/>
                <w:spacing w:val="8"/>
                <w:sz w:val="20"/>
                <w:szCs w:val="20"/>
              </w:rPr>
              <w:t>总监理工程师及电话</w:t>
            </w:r>
          </w:p>
        </w:tc>
        <w:tc>
          <w:tcPr>
            <w:tcW w:w="5893" w:type="dxa"/>
            <w:vAlign w:val="top"/>
          </w:tcPr>
          <w:p w14:paraId="00FE7B07">
            <w:pPr>
              <w:rPr>
                <w:rFonts w:ascii="Arial"/>
                <w:color w:val="auto"/>
                <w:sz w:val="21"/>
              </w:rPr>
            </w:pPr>
          </w:p>
        </w:tc>
      </w:tr>
      <w:tr w14:paraId="19060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5" w:hRule="atLeast"/>
        </w:trPr>
        <w:tc>
          <w:tcPr>
            <w:tcW w:w="3573" w:type="dxa"/>
            <w:vAlign w:val="top"/>
          </w:tcPr>
          <w:p w14:paraId="4937578A">
            <w:pPr>
              <w:spacing w:line="295" w:lineRule="auto"/>
              <w:rPr>
                <w:rFonts w:ascii="Arial"/>
                <w:color w:val="auto"/>
                <w:sz w:val="21"/>
              </w:rPr>
            </w:pPr>
          </w:p>
          <w:p w14:paraId="7C650738">
            <w:pPr>
              <w:spacing w:line="296" w:lineRule="auto"/>
              <w:rPr>
                <w:rFonts w:ascii="Arial"/>
                <w:color w:val="auto"/>
                <w:sz w:val="21"/>
              </w:rPr>
            </w:pPr>
          </w:p>
          <w:p w14:paraId="1FF6400A">
            <w:pPr>
              <w:pStyle w:val="16"/>
              <w:spacing w:before="65" w:line="229" w:lineRule="auto"/>
              <w:ind w:left="119"/>
              <w:rPr>
                <w:color w:val="auto"/>
                <w:sz w:val="20"/>
                <w:szCs w:val="20"/>
              </w:rPr>
            </w:pPr>
            <w:r>
              <w:rPr>
                <w:color w:val="auto"/>
                <w:spacing w:val="6"/>
                <w:sz w:val="20"/>
                <w:szCs w:val="20"/>
              </w:rPr>
              <w:t>项目描述</w:t>
            </w:r>
          </w:p>
        </w:tc>
        <w:tc>
          <w:tcPr>
            <w:tcW w:w="5893" w:type="dxa"/>
            <w:vAlign w:val="top"/>
          </w:tcPr>
          <w:p w14:paraId="2B0B3062">
            <w:pPr>
              <w:rPr>
                <w:rFonts w:ascii="Arial"/>
                <w:color w:val="auto"/>
                <w:sz w:val="21"/>
              </w:rPr>
            </w:pPr>
          </w:p>
        </w:tc>
      </w:tr>
      <w:tr w14:paraId="2A2DB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3573" w:type="dxa"/>
            <w:vAlign w:val="top"/>
          </w:tcPr>
          <w:p w14:paraId="50E59B31">
            <w:pPr>
              <w:pStyle w:val="16"/>
              <w:spacing w:before="56" w:line="230" w:lineRule="auto"/>
              <w:ind w:left="118"/>
              <w:rPr>
                <w:color w:val="auto"/>
                <w:sz w:val="20"/>
                <w:szCs w:val="20"/>
              </w:rPr>
            </w:pPr>
            <w:r>
              <w:rPr>
                <w:color w:val="auto"/>
                <w:spacing w:val="3"/>
                <w:sz w:val="20"/>
                <w:szCs w:val="20"/>
              </w:rPr>
              <w:t>备注</w:t>
            </w:r>
          </w:p>
        </w:tc>
        <w:tc>
          <w:tcPr>
            <w:tcW w:w="5893" w:type="dxa"/>
            <w:vAlign w:val="top"/>
          </w:tcPr>
          <w:p w14:paraId="3DFA8F57">
            <w:pPr>
              <w:rPr>
                <w:rFonts w:ascii="Arial"/>
                <w:color w:val="auto"/>
                <w:sz w:val="21"/>
              </w:rPr>
            </w:pPr>
          </w:p>
        </w:tc>
      </w:tr>
    </w:tbl>
    <w:p w14:paraId="09D1AAC9">
      <w:pPr>
        <w:spacing w:before="66" w:line="322" w:lineRule="auto"/>
        <w:ind w:left="15" w:right="226" w:hanging="1"/>
        <w:rPr>
          <w:rFonts w:ascii="宋体" w:hAnsi="宋体" w:eastAsia="宋体" w:cs="宋体"/>
          <w:color w:val="auto"/>
          <w:sz w:val="18"/>
          <w:szCs w:val="18"/>
        </w:rPr>
      </w:pPr>
      <w:r>
        <w:rPr>
          <w:rFonts w:ascii="宋体" w:hAnsi="宋体" w:eastAsia="宋体" w:cs="宋体"/>
          <w:color w:val="auto"/>
          <w:spacing w:val="1"/>
          <w:sz w:val="18"/>
          <w:szCs w:val="18"/>
        </w:rPr>
        <w:t>备注：本表后附中标通知书或合同协议书或工程接收证书（工程竣工验收证书）的复印件，具体年份要求见供应</w:t>
      </w:r>
      <w:r>
        <w:rPr>
          <w:rFonts w:ascii="宋体" w:hAnsi="宋体" w:eastAsia="宋体" w:cs="宋体"/>
          <w:color w:val="auto"/>
          <w:sz w:val="18"/>
          <w:szCs w:val="18"/>
        </w:rPr>
        <w:t>商须</w:t>
      </w:r>
      <w:r>
        <w:rPr>
          <w:rFonts w:ascii="宋体" w:hAnsi="宋体" w:eastAsia="宋体" w:cs="宋体"/>
          <w:color w:val="auto"/>
          <w:spacing w:val="-1"/>
          <w:sz w:val="18"/>
          <w:szCs w:val="18"/>
        </w:rPr>
        <w:t>知前附表。每张表格只填写一个项目，并标明序号。</w:t>
      </w:r>
    </w:p>
    <w:p w14:paraId="31D2C6F4">
      <w:pPr>
        <w:spacing w:line="322" w:lineRule="auto"/>
        <w:rPr>
          <w:rFonts w:ascii="宋体" w:hAnsi="宋体" w:eastAsia="宋体" w:cs="宋体"/>
          <w:color w:val="auto"/>
          <w:sz w:val="18"/>
          <w:szCs w:val="18"/>
        </w:rPr>
        <w:sectPr>
          <w:footerReference r:id="rId40" w:type="default"/>
          <w:pgSz w:w="11906" w:h="16839"/>
          <w:pgMar w:top="1440" w:right="1080" w:bottom="1440" w:left="1080" w:header="0" w:footer="783" w:gutter="0"/>
          <w:pgNumType w:fmt="decimal"/>
          <w:cols w:space="720" w:num="1"/>
        </w:sectPr>
      </w:pPr>
    </w:p>
    <w:p w14:paraId="19F910F9">
      <w:pPr>
        <w:pStyle w:val="2"/>
        <w:spacing w:line="244" w:lineRule="auto"/>
        <w:rPr>
          <w:color w:val="auto"/>
        </w:rPr>
      </w:pPr>
    </w:p>
    <w:p w14:paraId="7632AA37">
      <w:pPr>
        <w:spacing w:before="79" w:line="220" w:lineRule="auto"/>
        <w:ind w:left="12"/>
        <w:outlineLvl w:val="2"/>
        <w:rPr>
          <w:rFonts w:ascii="宋体" w:hAnsi="宋体" w:eastAsia="宋体" w:cs="宋体"/>
          <w:color w:val="auto"/>
          <w:sz w:val="24"/>
          <w:szCs w:val="24"/>
        </w:rPr>
      </w:pPr>
      <w:bookmarkStart w:id="41" w:name="_Toc25183"/>
      <w:r>
        <w:rPr>
          <w:rFonts w:ascii="宋体" w:hAnsi="宋体" w:eastAsia="宋体" w:cs="宋体"/>
          <w:b/>
          <w:bCs/>
          <w:color w:val="auto"/>
          <w:spacing w:val="-4"/>
          <w:sz w:val="24"/>
          <w:szCs w:val="24"/>
        </w:rPr>
        <w:t>（五）近年发生的诉讼及仲裁情况</w:t>
      </w:r>
      <w:bookmarkEnd w:id="41"/>
    </w:p>
    <w:p w14:paraId="462633BB">
      <w:pPr>
        <w:pStyle w:val="2"/>
        <w:spacing w:line="347" w:lineRule="auto"/>
        <w:rPr>
          <w:color w:val="auto"/>
        </w:rPr>
      </w:pPr>
    </w:p>
    <w:p w14:paraId="368748EF">
      <w:pPr>
        <w:pStyle w:val="2"/>
        <w:spacing w:line="348" w:lineRule="auto"/>
        <w:rPr>
          <w:color w:val="auto"/>
        </w:rPr>
      </w:pPr>
    </w:p>
    <w:p w14:paraId="01566B5A">
      <w:pPr>
        <w:spacing w:before="65" w:line="407" w:lineRule="auto"/>
        <w:ind w:left="628" w:right="71" w:hanging="626"/>
        <w:rPr>
          <w:rFonts w:ascii="宋体" w:hAnsi="宋体" w:eastAsia="宋体" w:cs="宋体"/>
          <w:color w:val="auto"/>
          <w:sz w:val="20"/>
          <w:szCs w:val="20"/>
        </w:rPr>
      </w:pPr>
      <w:r>
        <w:rPr>
          <w:rFonts w:ascii="宋体" w:hAnsi="宋体" w:eastAsia="宋体" w:cs="宋体"/>
          <w:b/>
          <w:bCs/>
          <w:color w:val="auto"/>
          <w:spacing w:val="9"/>
          <w:sz w:val="20"/>
          <w:szCs w:val="20"/>
        </w:rPr>
        <w:t>说明：</w:t>
      </w:r>
      <w:r>
        <w:rPr>
          <w:rFonts w:ascii="宋体" w:hAnsi="宋体" w:eastAsia="宋体" w:cs="宋体"/>
          <w:color w:val="auto"/>
          <w:spacing w:val="9"/>
          <w:sz w:val="20"/>
          <w:szCs w:val="20"/>
        </w:rPr>
        <w:t>近年发生的诉讼和仲裁情况仅限于供应商败诉的，且与履行施工承</w:t>
      </w:r>
      <w:r>
        <w:rPr>
          <w:rFonts w:ascii="宋体" w:hAnsi="宋体" w:eastAsia="宋体" w:cs="宋体"/>
          <w:color w:val="auto"/>
          <w:spacing w:val="8"/>
          <w:sz w:val="20"/>
          <w:szCs w:val="20"/>
        </w:rPr>
        <w:t>包合同有关的案件，不</w:t>
      </w:r>
      <w:r>
        <w:rPr>
          <w:rFonts w:ascii="宋体" w:hAnsi="宋体" w:eastAsia="宋体" w:cs="宋体"/>
          <w:color w:val="auto"/>
          <w:spacing w:val="9"/>
          <w:sz w:val="20"/>
          <w:szCs w:val="20"/>
        </w:rPr>
        <w:t>包括调解结案以及未裁决的仲裁或未终审判决的诉讼。</w:t>
      </w:r>
    </w:p>
    <w:p w14:paraId="0243B2F8">
      <w:pPr>
        <w:pStyle w:val="2"/>
        <w:spacing w:line="263" w:lineRule="auto"/>
        <w:rPr>
          <w:color w:val="auto"/>
        </w:rPr>
      </w:pPr>
    </w:p>
    <w:p w14:paraId="6DB071D8">
      <w:pPr>
        <w:pStyle w:val="2"/>
        <w:spacing w:line="263" w:lineRule="auto"/>
        <w:rPr>
          <w:color w:val="auto"/>
        </w:rPr>
      </w:pPr>
    </w:p>
    <w:p w14:paraId="20861AB0">
      <w:pPr>
        <w:spacing w:before="65" w:line="228" w:lineRule="auto"/>
        <w:jc w:val="right"/>
        <w:rPr>
          <w:rFonts w:ascii="宋体" w:hAnsi="宋体" w:eastAsia="宋体" w:cs="宋体"/>
          <w:color w:val="auto"/>
          <w:sz w:val="20"/>
          <w:szCs w:val="20"/>
        </w:rPr>
      </w:pPr>
      <w:r>
        <w:rPr>
          <w:rFonts w:ascii="宋体" w:hAnsi="宋体" w:eastAsia="宋体" w:cs="宋体"/>
          <w:b/>
          <w:bCs/>
          <w:color w:val="auto"/>
          <w:spacing w:val="6"/>
          <w:sz w:val="20"/>
          <w:szCs w:val="20"/>
        </w:rPr>
        <w:t>注：</w:t>
      </w:r>
      <w:r>
        <w:rPr>
          <w:rFonts w:ascii="宋体" w:hAnsi="宋体" w:eastAsia="宋体" w:cs="宋体"/>
          <w:color w:val="auto"/>
          <w:spacing w:val="6"/>
          <w:sz w:val="20"/>
          <w:szCs w:val="20"/>
        </w:rPr>
        <w:t>针对上述情况，提供由企业法定代表人或其授权委托人签字或</w:t>
      </w:r>
      <w:r>
        <w:rPr>
          <w:rFonts w:ascii="宋体" w:hAnsi="宋体" w:eastAsia="宋体" w:cs="宋体"/>
          <w:color w:val="auto"/>
          <w:spacing w:val="5"/>
          <w:sz w:val="20"/>
          <w:szCs w:val="20"/>
        </w:rPr>
        <w:t>盖章并加盖单位公章的承诺书。</w:t>
      </w:r>
    </w:p>
    <w:p w14:paraId="1913FFBE">
      <w:pPr>
        <w:spacing w:line="228" w:lineRule="auto"/>
        <w:rPr>
          <w:rFonts w:ascii="宋体" w:hAnsi="宋体" w:eastAsia="宋体" w:cs="宋体"/>
          <w:color w:val="auto"/>
          <w:sz w:val="20"/>
          <w:szCs w:val="20"/>
        </w:rPr>
        <w:sectPr>
          <w:footerReference r:id="rId41" w:type="default"/>
          <w:pgSz w:w="11906" w:h="16839"/>
          <w:pgMar w:top="1440" w:right="1080" w:bottom="1440" w:left="1080" w:header="0" w:footer="783" w:gutter="0"/>
          <w:pgNumType w:fmt="decimal"/>
          <w:cols w:space="720" w:num="1"/>
        </w:sectPr>
      </w:pPr>
    </w:p>
    <w:p w14:paraId="62D0182C">
      <w:pPr>
        <w:spacing w:before="180" w:line="228" w:lineRule="auto"/>
        <w:ind w:left="7"/>
        <w:outlineLvl w:val="2"/>
        <w:rPr>
          <w:rFonts w:ascii="宋体" w:hAnsi="宋体" w:eastAsia="宋体" w:cs="宋体"/>
          <w:color w:val="auto"/>
          <w:sz w:val="20"/>
          <w:szCs w:val="20"/>
        </w:rPr>
      </w:pPr>
      <w:bookmarkStart w:id="42" w:name="_Toc14764"/>
      <w:r>
        <w:rPr>
          <w:rFonts w:ascii="宋体" w:hAnsi="宋体" w:eastAsia="宋体" w:cs="宋体"/>
          <w:b/>
          <w:bCs/>
          <w:color w:val="auto"/>
          <w:spacing w:val="8"/>
          <w:sz w:val="20"/>
          <w:szCs w:val="20"/>
        </w:rPr>
        <w:t>（六）企业其他信誉情况表（年份要求同诉讼</w:t>
      </w:r>
      <w:r>
        <w:rPr>
          <w:rFonts w:ascii="宋体" w:hAnsi="宋体" w:eastAsia="宋体" w:cs="宋体"/>
          <w:b/>
          <w:bCs/>
          <w:color w:val="auto"/>
          <w:spacing w:val="7"/>
          <w:sz w:val="20"/>
          <w:szCs w:val="20"/>
        </w:rPr>
        <w:t>及仲裁情况年份要求）</w:t>
      </w:r>
      <w:bookmarkEnd w:id="42"/>
    </w:p>
    <w:p w14:paraId="1848BDEA">
      <w:pPr>
        <w:pStyle w:val="2"/>
        <w:spacing w:line="284" w:lineRule="auto"/>
        <w:rPr>
          <w:color w:val="auto"/>
        </w:rPr>
      </w:pPr>
    </w:p>
    <w:p w14:paraId="432AC601">
      <w:pPr>
        <w:spacing w:before="65" w:line="228" w:lineRule="auto"/>
        <w:ind w:left="13"/>
        <w:rPr>
          <w:rFonts w:ascii="宋体" w:hAnsi="宋体" w:eastAsia="宋体" w:cs="宋体"/>
          <w:color w:val="auto"/>
          <w:sz w:val="20"/>
          <w:szCs w:val="20"/>
        </w:rPr>
      </w:pPr>
      <w:r>
        <w:rPr>
          <w:rFonts w:ascii="宋体" w:hAnsi="宋体" w:eastAsia="宋体" w:cs="宋体"/>
          <w:color w:val="auto"/>
          <w:spacing w:val="7"/>
          <w:sz w:val="20"/>
          <w:szCs w:val="20"/>
        </w:rPr>
        <w:t>1、近年企业不良行为记录情况</w:t>
      </w:r>
    </w:p>
    <w:p w14:paraId="31009EC4">
      <w:pPr>
        <w:pStyle w:val="2"/>
        <w:spacing w:line="267" w:lineRule="auto"/>
        <w:rPr>
          <w:color w:val="auto"/>
        </w:rPr>
      </w:pPr>
    </w:p>
    <w:p w14:paraId="27549E24">
      <w:pPr>
        <w:pStyle w:val="2"/>
        <w:spacing w:line="267" w:lineRule="auto"/>
        <w:rPr>
          <w:color w:val="auto"/>
        </w:rPr>
      </w:pPr>
    </w:p>
    <w:p w14:paraId="31D549A3">
      <w:pPr>
        <w:pStyle w:val="2"/>
        <w:spacing w:line="268" w:lineRule="auto"/>
        <w:rPr>
          <w:color w:val="auto"/>
        </w:rPr>
      </w:pPr>
    </w:p>
    <w:p w14:paraId="4FFEC75F">
      <w:pPr>
        <w:pStyle w:val="2"/>
        <w:spacing w:line="268" w:lineRule="auto"/>
        <w:rPr>
          <w:color w:val="auto"/>
        </w:rPr>
      </w:pPr>
    </w:p>
    <w:p w14:paraId="6F4921A4">
      <w:pPr>
        <w:pStyle w:val="2"/>
        <w:spacing w:line="268" w:lineRule="auto"/>
        <w:rPr>
          <w:color w:val="auto"/>
        </w:rPr>
      </w:pPr>
    </w:p>
    <w:p w14:paraId="14D6A67F">
      <w:pPr>
        <w:pStyle w:val="2"/>
        <w:spacing w:line="268" w:lineRule="auto"/>
        <w:rPr>
          <w:color w:val="auto"/>
        </w:rPr>
      </w:pPr>
    </w:p>
    <w:p w14:paraId="0E912E77">
      <w:pPr>
        <w:pStyle w:val="2"/>
        <w:spacing w:line="268" w:lineRule="auto"/>
        <w:rPr>
          <w:color w:val="auto"/>
        </w:rPr>
      </w:pPr>
    </w:p>
    <w:p w14:paraId="26B0A965">
      <w:pPr>
        <w:spacing w:before="65" w:line="228" w:lineRule="auto"/>
        <w:rPr>
          <w:rFonts w:ascii="宋体" w:hAnsi="宋体" w:eastAsia="宋体" w:cs="宋体"/>
          <w:color w:val="auto"/>
          <w:sz w:val="20"/>
          <w:szCs w:val="20"/>
        </w:rPr>
      </w:pPr>
      <w:r>
        <w:rPr>
          <w:rFonts w:ascii="宋体" w:hAnsi="宋体" w:eastAsia="宋体" w:cs="宋体"/>
          <w:color w:val="auto"/>
          <w:spacing w:val="9"/>
          <w:sz w:val="20"/>
          <w:szCs w:val="20"/>
        </w:rPr>
        <w:t>2、在施工程以及近年已竣工工程合同履行情况</w:t>
      </w:r>
    </w:p>
    <w:p w14:paraId="139352CB">
      <w:pPr>
        <w:pStyle w:val="2"/>
        <w:spacing w:line="250" w:lineRule="auto"/>
        <w:rPr>
          <w:color w:val="auto"/>
        </w:rPr>
      </w:pPr>
    </w:p>
    <w:p w14:paraId="42051BEF">
      <w:pPr>
        <w:pStyle w:val="2"/>
        <w:spacing w:line="250" w:lineRule="auto"/>
        <w:rPr>
          <w:color w:val="auto"/>
        </w:rPr>
      </w:pPr>
    </w:p>
    <w:p w14:paraId="5269C917">
      <w:pPr>
        <w:pStyle w:val="2"/>
        <w:spacing w:line="250" w:lineRule="auto"/>
        <w:rPr>
          <w:color w:val="auto"/>
        </w:rPr>
      </w:pPr>
    </w:p>
    <w:p w14:paraId="5D2A1845">
      <w:pPr>
        <w:pStyle w:val="2"/>
        <w:spacing w:line="250" w:lineRule="auto"/>
        <w:rPr>
          <w:color w:val="auto"/>
        </w:rPr>
      </w:pPr>
    </w:p>
    <w:p w14:paraId="35C29E1C">
      <w:pPr>
        <w:pStyle w:val="2"/>
        <w:spacing w:line="250" w:lineRule="auto"/>
        <w:rPr>
          <w:color w:val="auto"/>
        </w:rPr>
      </w:pPr>
    </w:p>
    <w:p w14:paraId="26BBC931">
      <w:pPr>
        <w:pStyle w:val="2"/>
        <w:spacing w:line="250" w:lineRule="auto"/>
        <w:rPr>
          <w:color w:val="auto"/>
        </w:rPr>
      </w:pPr>
    </w:p>
    <w:p w14:paraId="32029DE5">
      <w:pPr>
        <w:pStyle w:val="2"/>
        <w:spacing w:line="250" w:lineRule="auto"/>
        <w:rPr>
          <w:color w:val="auto"/>
        </w:rPr>
      </w:pPr>
    </w:p>
    <w:p w14:paraId="49B4A6E7">
      <w:pPr>
        <w:pStyle w:val="2"/>
        <w:spacing w:line="250" w:lineRule="auto"/>
        <w:rPr>
          <w:color w:val="auto"/>
        </w:rPr>
      </w:pPr>
    </w:p>
    <w:p w14:paraId="479366BC">
      <w:pPr>
        <w:pStyle w:val="2"/>
        <w:spacing w:line="250" w:lineRule="auto"/>
        <w:rPr>
          <w:color w:val="auto"/>
        </w:rPr>
      </w:pPr>
    </w:p>
    <w:p w14:paraId="764782A0">
      <w:pPr>
        <w:pStyle w:val="2"/>
        <w:spacing w:line="251" w:lineRule="auto"/>
        <w:rPr>
          <w:color w:val="auto"/>
        </w:rPr>
      </w:pPr>
    </w:p>
    <w:p w14:paraId="48DEB6FF">
      <w:pPr>
        <w:pStyle w:val="2"/>
        <w:spacing w:line="251" w:lineRule="auto"/>
        <w:rPr>
          <w:color w:val="auto"/>
        </w:rPr>
      </w:pPr>
    </w:p>
    <w:p w14:paraId="681489AD">
      <w:pPr>
        <w:spacing w:before="65" w:line="229" w:lineRule="auto"/>
        <w:ind w:left="1"/>
        <w:rPr>
          <w:rFonts w:ascii="宋体" w:hAnsi="宋体" w:eastAsia="宋体" w:cs="宋体"/>
          <w:color w:val="auto"/>
          <w:sz w:val="20"/>
          <w:szCs w:val="20"/>
        </w:rPr>
      </w:pPr>
      <w:r>
        <w:rPr>
          <w:rFonts w:ascii="宋体" w:hAnsi="宋体" w:eastAsia="宋体" w:cs="宋体"/>
          <w:color w:val="auto"/>
          <w:spacing w:val="-3"/>
          <w:sz w:val="20"/>
          <w:szCs w:val="20"/>
        </w:rPr>
        <w:t>3</w:t>
      </w:r>
      <w:r>
        <w:rPr>
          <w:rFonts w:ascii="宋体" w:hAnsi="宋体" w:eastAsia="宋体" w:cs="宋体"/>
          <w:color w:val="auto"/>
          <w:spacing w:val="-77"/>
          <w:sz w:val="20"/>
          <w:szCs w:val="20"/>
        </w:rPr>
        <w:t xml:space="preserve"> </w:t>
      </w:r>
      <w:r>
        <w:rPr>
          <w:rFonts w:ascii="宋体" w:hAnsi="宋体" w:eastAsia="宋体" w:cs="宋体"/>
          <w:color w:val="auto"/>
          <w:spacing w:val="-3"/>
          <w:sz w:val="20"/>
          <w:szCs w:val="20"/>
        </w:rPr>
        <w:t>、其</w:t>
      </w:r>
      <w:r>
        <w:rPr>
          <w:rFonts w:ascii="宋体" w:hAnsi="宋体" w:eastAsia="宋体" w:cs="宋体"/>
          <w:color w:val="auto"/>
          <w:spacing w:val="9"/>
          <w:sz w:val="20"/>
          <w:szCs w:val="20"/>
        </w:rPr>
        <w:t xml:space="preserve">  </w:t>
      </w:r>
      <w:r>
        <w:rPr>
          <w:rFonts w:ascii="宋体" w:hAnsi="宋体" w:eastAsia="宋体" w:cs="宋体"/>
          <w:color w:val="auto"/>
          <w:spacing w:val="-3"/>
          <w:sz w:val="20"/>
          <w:szCs w:val="20"/>
        </w:rPr>
        <w:t>他</w:t>
      </w:r>
    </w:p>
    <w:p w14:paraId="525BF9EA">
      <w:pPr>
        <w:pStyle w:val="2"/>
        <w:spacing w:line="288" w:lineRule="auto"/>
        <w:rPr>
          <w:color w:val="auto"/>
        </w:rPr>
      </w:pPr>
    </w:p>
    <w:p w14:paraId="2FE4F23F">
      <w:pPr>
        <w:pStyle w:val="2"/>
        <w:spacing w:line="289" w:lineRule="auto"/>
        <w:rPr>
          <w:color w:val="auto"/>
        </w:rPr>
      </w:pPr>
    </w:p>
    <w:p w14:paraId="15B82FB0">
      <w:pPr>
        <w:pStyle w:val="2"/>
        <w:spacing w:line="289" w:lineRule="auto"/>
        <w:rPr>
          <w:color w:val="auto"/>
        </w:rPr>
      </w:pPr>
    </w:p>
    <w:p w14:paraId="47129464">
      <w:pPr>
        <w:pStyle w:val="2"/>
        <w:spacing w:line="289" w:lineRule="auto"/>
        <w:rPr>
          <w:color w:val="auto"/>
        </w:rPr>
      </w:pPr>
    </w:p>
    <w:p w14:paraId="357032AE">
      <w:pPr>
        <w:spacing w:before="65" w:line="228" w:lineRule="auto"/>
        <w:jc w:val="right"/>
        <w:rPr>
          <w:rFonts w:ascii="宋体" w:hAnsi="宋体" w:eastAsia="宋体" w:cs="宋体"/>
          <w:color w:val="auto"/>
          <w:sz w:val="20"/>
          <w:szCs w:val="20"/>
        </w:rPr>
      </w:pPr>
      <w:r>
        <w:rPr>
          <w:rFonts w:ascii="宋体" w:hAnsi="宋体" w:eastAsia="宋体" w:cs="宋体"/>
          <w:b/>
          <w:bCs/>
          <w:color w:val="auto"/>
          <w:spacing w:val="6"/>
          <w:sz w:val="20"/>
          <w:szCs w:val="20"/>
        </w:rPr>
        <w:t>注：</w:t>
      </w:r>
      <w:r>
        <w:rPr>
          <w:rFonts w:ascii="宋体" w:hAnsi="宋体" w:eastAsia="宋体" w:cs="宋体"/>
          <w:color w:val="auto"/>
          <w:spacing w:val="6"/>
          <w:sz w:val="20"/>
          <w:szCs w:val="20"/>
        </w:rPr>
        <w:t>针对上述情况，提供由企业法定代表人或其授权委托人签</w:t>
      </w:r>
      <w:r>
        <w:rPr>
          <w:rFonts w:ascii="宋体" w:hAnsi="宋体" w:eastAsia="宋体" w:cs="宋体"/>
          <w:color w:val="auto"/>
          <w:spacing w:val="5"/>
          <w:sz w:val="20"/>
          <w:szCs w:val="20"/>
        </w:rPr>
        <w:t>字或盖章并加盖单位公章的承诺书。</w:t>
      </w:r>
    </w:p>
    <w:p w14:paraId="34DDC841">
      <w:pPr>
        <w:spacing w:line="228" w:lineRule="auto"/>
        <w:rPr>
          <w:rFonts w:ascii="宋体" w:hAnsi="宋体" w:eastAsia="宋体" w:cs="宋体"/>
          <w:color w:val="auto"/>
          <w:sz w:val="20"/>
          <w:szCs w:val="20"/>
        </w:rPr>
        <w:sectPr>
          <w:footerReference r:id="rId42" w:type="default"/>
          <w:pgSz w:w="11906" w:h="16839"/>
          <w:pgMar w:top="1440" w:right="1080" w:bottom="1440" w:left="1080" w:header="0" w:footer="783" w:gutter="0"/>
          <w:pgNumType w:fmt="decimal"/>
          <w:cols w:space="720" w:num="1"/>
        </w:sectPr>
      </w:pPr>
    </w:p>
    <w:p w14:paraId="1A599A39">
      <w:pPr>
        <w:pStyle w:val="2"/>
        <w:spacing w:line="366" w:lineRule="auto"/>
        <w:rPr>
          <w:color w:val="auto"/>
        </w:rPr>
      </w:pPr>
    </w:p>
    <w:p w14:paraId="4D3FD969">
      <w:pPr>
        <w:spacing w:before="91" w:line="220" w:lineRule="auto"/>
        <w:ind w:left="3338"/>
        <w:rPr>
          <w:rFonts w:ascii="宋体" w:hAnsi="宋体" w:eastAsia="宋体" w:cs="宋体"/>
          <w:color w:val="auto"/>
          <w:sz w:val="28"/>
          <w:szCs w:val="28"/>
        </w:rPr>
      </w:pPr>
      <w:r>
        <w:rPr>
          <w:rFonts w:ascii="宋体" w:hAnsi="宋体" w:eastAsia="宋体" w:cs="宋体"/>
          <w:b/>
          <w:bCs/>
          <w:color w:val="auto"/>
          <w:spacing w:val="-5"/>
          <w:sz w:val="28"/>
          <w:szCs w:val="28"/>
        </w:rPr>
        <w:t>十、其他材料</w:t>
      </w:r>
    </w:p>
    <w:p w14:paraId="48C6D4CA">
      <w:pPr>
        <w:spacing w:line="220" w:lineRule="auto"/>
        <w:rPr>
          <w:rFonts w:ascii="宋体" w:hAnsi="宋体" w:eastAsia="宋体" w:cs="宋体"/>
          <w:color w:val="auto"/>
          <w:sz w:val="28"/>
          <w:szCs w:val="28"/>
        </w:rPr>
        <w:sectPr>
          <w:footerReference r:id="rId43" w:type="default"/>
          <w:pgSz w:w="11906" w:h="16839"/>
          <w:pgMar w:top="1440" w:right="1080" w:bottom="1440" w:left="1080" w:header="0" w:footer="799" w:gutter="0"/>
          <w:pgNumType w:fmt="decimal"/>
          <w:cols w:space="720" w:num="1"/>
        </w:sectPr>
      </w:pPr>
    </w:p>
    <w:p w14:paraId="7E459C31">
      <w:pPr>
        <w:spacing w:before="98" w:line="228" w:lineRule="auto"/>
        <w:ind w:left="17"/>
        <w:rPr>
          <w:rFonts w:ascii="宋体" w:hAnsi="宋体" w:eastAsia="宋体" w:cs="宋体"/>
          <w:color w:val="auto"/>
          <w:sz w:val="20"/>
          <w:szCs w:val="20"/>
        </w:rPr>
      </w:pPr>
      <w:r>
        <w:rPr>
          <w:rFonts w:ascii="宋体" w:hAnsi="宋体" w:eastAsia="宋体" w:cs="宋体"/>
          <w:color w:val="auto"/>
          <w:spacing w:val="-4"/>
          <w:sz w:val="20"/>
          <w:szCs w:val="20"/>
        </w:rPr>
        <w:t>附件</w:t>
      </w:r>
    </w:p>
    <w:p w14:paraId="473253B0">
      <w:pPr>
        <w:spacing w:before="144" w:line="228" w:lineRule="auto"/>
        <w:ind w:left="2940"/>
        <w:rPr>
          <w:rFonts w:ascii="宋体" w:hAnsi="宋体" w:eastAsia="宋体" w:cs="宋体"/>
          <w:color w:val="auto"/>
          <w:sz w:val="20"/>
          <w:szCs w:val="20"/>
        </w:rPr>
      </w:pPr>
      <w:r>
        <w:rPr>
          <w:rFonts w:ascii="宋体" w:hAnsi="宋体" w:eastAsia="宋体" w:cs="宋体"/>
          <w:b/>
          <w:bCs/>
          <w:color w:val="auto"/>
          <w:spacing w:val="8"/>
          <w:sz w:val="20"/>
          <w:szCs w:val="20"/>
        </w:rPr>
        <w:t>政府采购促进中小企业发展管理办法</w:t>
      </w:r>
    </w:p>
    <w:p w14:paraId="775C0DDA">
      <w:pPr>
        <w:spacing w:before="104" w:line="228" w:lineRule="auto"/>
        <w:ind w:left="527"/>
        <w:rPr>
          <w:rFonts w:ascii="宋体" w:hAnsi="宋体" w:eastAsia="宋体" w:cs="宋体"/>
          <w:color w:val="auto"/>
          <w:sz w:val="20"/>
          <w:szCs w:val="20"/>
        </w:rPr>
      </w:pPr>
      <w:r>
        <w:rPr>
          <w:rFonts w:ascii="宋体" w:hAnsi="宋体" w:eastAsia="宋体" w:cs="宋体"/>
          <w:color w:val="auto"/>
          <w:spacing w:val="6"/>
          <w:sz w:val="20"/>
          <w:szCs w:val="20"/>
        </w:rPr>
        <w:t>第一条</w:t>
      </w:r>
    </w:p>
    <w:p w14:paraId="31B5C8DC">
      <w:pPr>
        <w:spacing w:before="64" w:line="288" w:lineRule="auto"/>
        <w:ind w:left="7" w:firstLine="417"/>
        <w:rPr>
          <w:rFonts w:ascii="宋体" w:hAnsi="宋体" w:eastAsia="宋体" w:cs="宋体"/>
          <w:color w:val="auto"/>
          <w:sz w:val="20"/>
          <w:szCs w:val="20"/>
        </w:rPr>
      </w:pPr>
      <w:r>
        <w:rPr>
          <w:rFonts w:ascii="宋体" w:hAnsi="宋体" w:eastAsia="宋体" w:cs="宋体"/>
          <w:color w:val="auto"/>
          <w:spacing w:val="1"/>
          <w:sz w:val="20"/>
          <w:szCs w:val="20"/>
        </w:rPr>
        <w:t>为了发挥政府采购的政策功能，促进中小企业健康发展，</w:t>
      </w:r>
      <w:r>
        <w:rPr>
          <w:rFonts w:ascii="宋体" w:hAnsi="宋体" w:eastAsia="宋体" w:cs="宋体"/>
          <w:color w:val="auto"/>
          <w:sz w:val="20"/>
          <w:szCs w:val="20"/>
        </w:rPr>
        <w:t xml:space="preserve">根据《中华人民共和国政府采购法》、 </w:t>
      </w:r>
      <w:r>
        <w:rPr>
          <w:rFonts w:ascii="宋体" w:hAnsi="宋体" w:eastAsia="宋体" w:cs="宋体"/>
          <w:color w:val="auto"/>
          <w:spacing w:val="9"/>
          <w:sz w:val="20"/>
          <w:szCs w:val="20"/>
        </w:rPr>
        <w:t>《中华人民共和国中小企业促进法》等有关法律法规，制定本办法。</w:t>
      </w:r>
    </w:p>
    <w:p w14:paraId="5E728471">
      <w:pPr>
        <w:spacing w:line="228" w:lineRule="auto"/>
        <w:ind w:left="527"/>
        <w:rPr>
          <w:rFonts w:ascii="宋体" w:hAnsi="宋体" w:eastAsia="宋体" w:cs="宋体"/>
          <w:color w:val="auto"/>
          <w:sz w:val="20"/>
          <w:szCs w:val="20"/>
        </w:rPr>
      </w:pPr>
      <w:r>
        <w:rPr>
          <w:rFonts w:ascii="宋体" w:hAnsi="宋体" w:eastAsia="宋体" w:cs="宋体"/>
          <w:color w:val="auto"/>
          <w:spacing w:val="6"/>
          <w:sz w:val="20"/>
          <w:szCs w:val="20"/>
        </w:rPr>
        <w:t>第二条</w:t>
      </w:r>
    </w:p>
    <w:p w14:paraId="15181A26">
      <w:pPr>
        <w:spacing w:before="64" w:line="288" w:lineRule="auto"/>
        <w:ind w:right="70" w:firstLine="421"/>
        <w:rPr>
          <w:rFonts w:ascii="宋体" w:hAnsi="宋体" w:eastAsia="宋体" w:cs="宋体"/>
          <w:color w:val="auto"/>
          <w:sz w:val="20"/>
          <w:szCs w:val="20"/>
        </w:rPr>
      </w:pPr>
      <w:r>
        <w:rPr>
          <w:rFonts w:ascii="宋体" w:hAnsi="宋体" w:eastAsia="宋体" w:cs="宋体"/>
          <w:color w:val="auto"/>
          <w:spacing w:val="9"/>
          <w:sz w:val="20"/>
          <w:szCs w:val="20"/>
        </w:rPr>
        <w:t>本办法所称中小企业，是指在中华人民共和国境内依法设立，依据国务院批准的中</w:t>
      </w:r>
      <w:r>
        <w:rPr>
          <w:rFonts w:ascii="宋体" w:hAnsi="宋体" w:eastAsia="宋体" w:cs="宋体"/>
          <w:color w:val="auto"/>
          <w:spacing w:val="8"/>
          <w:sz w:val="20"/>
          <w:szCs w:val="20"/>
        </w:rPr>
        <w:t>小企业划</w:t>
      </w:r>
      <w:r>
        <w:rPr>
          <w:rFonts w:ascii="宋体" w:hAnsi="宋体" w:eastAsia="宋体" w:cs="宋体"/>
          <w:color w:val="auto"/>
          <w:spacing w:val="9"/>
          <w:sz w:val="20"/>
          <w:szCs w:val="20"/>
        </w:rPr>
        <w:t>分标准确定的中型企业、小型企业和微型企业，但与大企业的负责人为同一人，或者与大企业存</w:t>
      </w:r>
      <w:r>
        <w:rPr>
          <w:rFonts w:ascii="宋体" w:hAnsi="宋体" w:eastAsia="宋体" w:cs="宋体"/>
          <w:color w:val="auto"/>
          <w:spacing w:val="8"/>
          <w:sz w:val="20"/>
          <w:szCs w:val="20"/>
        </w:rPr>
        <w:t>在直接控股、管理关系的除外。</w:t>
      </w:r>
    </w:p>
    <w:p w14:paraId="67972A8B">
      <w:pPr>
        <w:spacing w:before="1" w:line="227" w:lineRule="auto"/>
        <w:ind w:left="423"/>
        <w:rPr>
          <w:rFonts w:ascii="宋体" w:hAnsi="宋体" w:eastAsia="宋体" w:cs="宋体"/>
          <w:color w:val="auto"/>
          <w:sz w:val="20"/>
          <w:szCs w:val="20"/>
        </w:rPr>
      </w:pPr>
      <w:r>
        <w:rPr>
          <w:rFonts w:ascii="宋体" w:hAnsi="宋体" w:eastAsia="宋体" w:cs="宋体"/>
          <w:color w:val="auto"/>
          <w:spacing w:val="9"/>
          <w:sz w:val="20"/>
          <w:szCs w:val="20"/>
        </w:rPr>
        <w:t>符合中小企业划分标准的个体工商户，在政府采购活动中视同中小企业。</w:t>
      </w:r>
    </w:p>
    <w:p w14:paraId="7849203D">
      <w:pPr>
        <w:spacing w:before="66" w:line="228" w:lineRule="auto"/>
        <w:ind w:left="421"/>
        <w:rPr>
          <w:rFonts w:ascii="宋体" w:hAnsi="宋体" w:eastAsia="宋体" w:cs="宋体"/>
          <w:color w:val="auto"/>
          <w:sz w:val="20"/>
          <w:szCs w:val="20"/>
        </w:rPr>
      </w:pPr>
      <w:r>
        <w:rPr>
          <w:rFonts w:ascii="宋体" w:hAnsi="宋体" w:eastAsia="宋体" w:cs="宋体"/>
          <w:color w:val="auto"/>
          <w:spacing w:val="6"/>
          <w:sz w:val="20"/>
          <w:szCs w:val="20"/>
        </w:rPr>
        <w:t>第三条</w:t>
      </w:r>
    </w:p>
    <w:p w14:paraId="3438DDC2">
      <w:pPr>
        <w:spacing w:before="64" w:line="288" w:lineRule="auto"/>
        <w:ind w:right="74" w:firstLine="420"/>
        <w:rPr>
          <w:rFonts w:ascii="宋体" w:hAnsi="宋体" w:eastAsia="宋体" w:cs="宋体"/>
          <w:color w:val="auto"/>
          <w:sz w:val="20"/>
          <w:szCs w:val="20"/>
        </w:rPr>
      </w:pPr>
      <w:r>
        <w:rPr>
          <w:rFonts w:ascii="宋体" w:hAnsi="宋体" w:eastAsia="宋体" w:cs="宋体"/>
          <w:color w:val="auto"/>
          <w:spacing w:val="9"/>
          <w:sz w:val="20"/>
          <w:szCs w:val="20"/>
        </w:rPr>
        <w:t>采购人在政府采购活动中应当通过加强采购需求管理，落实预留采购份额、价</w:t>
      </w:r>
      <w:r>
        <w:rPr>
          <w:rFonts w:ascii="宋体" w:hAnsi="宋体" w:eastAsia="宋体" w:cs="宋体"/>
          <w:color w:val="auto"/>
          <w:spacing w:val="8"/>
          <w:sz w:val="20"/>
          <w:szCs w:val="20"/>
        </w:rPr>
        <w:t>格评审优惠、</w:t>
      </w:r>
      <w:r>
        <w:rPr>
          <w:rFonts w:ascii="宋体" w:hAnsi="宋体" w:eastAsia="宋体" w:cs="宋体"/>
          <w:color w:val="auto"/>
          <w:spacing w:val="9"/>
          <w:sz w:val="20"/>
          <w:szCs w:val="20"/>
        </w:rPr>
        <w:t>优先采购等措施，提高中小企业在政府采购中的份额，支持中小企业发展。</w:t>
      </w:r>
    </w:p>
    <w:p w14:paraId="4123F3D9">
      <w:pPr>
        <w:spacing w:before="1" w:line="228" w:lineRule="auto"/>
        <w:ind w:left="421"/>
        <w:rPr>
          <w:rFonts w:ascii="宋体" w:hAnsi="宋体" w:eastAsia="宋体" w:cs="宋体"/>
          <w:color w:val="auto"/>
          <w:sz w:val="20"/>
          <w:szCs w:val="20"/>
        </w:rPr>
      </w:pPr>
      <w:r>
        <w:rPr>
          <w:rFonts w:ascii="宋体" w:hAnsi="宋体" w:eastAsia="宋体" w:cs="宋体"/>
          <w:color w:val="auto"/>
          <w:spacing w:val="6"/>
          <w:sz w:val="20"/>
          <w:szCs w:val="20"/>
        </w:rPr>
        <w:t>第四条</w:t>
      </w:r>
    </w:p>
    <w:p w14:paraId="0BD86987">
      <w:pPr>
        <w:spacing w:before="64" w:line="288" w:lineRule="auto"/>
        <w:ind w:left="21" w:right="73" w:firstLine="399"/>
        <w:rPr>
          <w:rFonts w:ascii="宋体" w:hAnsi="宋体" w:eastAsia="宋体" w:cs="宋体"/>
          <w:color w:val="auto"/>
          <w:sz w:val="20"/>
          <w:szCs w:val="20"/>
        </w:rPr>
      </w:pPr>
      <w:r>
        <w:rPr>
          <w:rFonts w:ascii="宋体" w:hAnsi="宋体" w:eastAsia="宋体" w:cs="宋体"/>
          <w:color w:val="auto"/>
          <w:spacing w:val="9"/>
          <w:sz w:val="20"/>
          <w:szCs w:val="20"/>
        </w:rPr>
        <w:t>在政府采购活动中，供应商提供的货物、工程或者服务符合下列情形的，享受本</w:t>
      </w:r>
      <w:r>
        <w:rPr>
          <w:rFonts w:ascii="宋体" w:hAnsi="宋体" w:eastAsia="宋体" w:cs="宋体"/>
          <w:color w:val="auto"/>
          <w:spacing w:val="8"/>
          <w:sz w:val="20"/>
          <w:szCs w:val="20"/>
        </w:rPr>
        <w:t>办法规定的</w:t>
      </w:r>
      <w:r>
        <w:rPr>
          <w:rFonts w:ascii="宋体" w:hAnsi="宋体" w:eastAsia="宋体" w:cs="宋体"/>
          <w:color w:val="auto"/>
          <w:spacing w:val="5"/>
          <w:sz w:val="20"/>
          <w:szCs w:val="20"/>
        </w:rPr>
        <w:t>中小企业扶持政策：</w:t>
      </w:r>
    </w:p>
    <w:p w14:paraId="5B305DB6">
      <w:pPr>
        <w:spacing w:before="1" w:line="258" w:lineRule="auto"/>
        <w:ind w:left="5" w:right="70" w:firstLine="425"/>
        <w:rPr>
          <w:rFonts w:ascii="宋体" w:hAnsi="宋体" w:eastAsia="宋体" w:cs="宋体"/>
          <w:color w:val="auto"/>
          <w:sz w:val="20"/>
          <w:szCs w:val="20"/>
        </w:rPr>
      </w:pPr>
      <w:r>
        <w:rPr>
          <w:rFonts w:ascii="宋体" w:hAnsi="宋体" w:eastAsia="宋体" w:cs="宋体"/>
          <w:color w:val="auto"/>
          <w:spacing w:val="9"/>
          <w:sz w:val="20"/>
          <w:szCs w:val="20"/>
        </w:rPr>
        <w:t>（一）在货物采购项目中，货物由中小企业制造，即货物由中</w:t>
      </w:r>
      <w:r>
        <w:rPr>
          <w:rFonts w:ascii="宋体" w:hAnsi="宋体" w:eastAsia="宋体" w:cs="宋体"/>
          <w:color w:val="auto"/>
          <w:spacing w:val="8"/>
          <w:sz w:val="20"/>
          <w:szCs w:val="20"/>
        </w:rPr>
        <w:t>小企业生产且使用该中小企业</w:t>
      </w:r>
      <w:r>
        <w:rPr>
          <w:rFonts w:ascii="宋体" w:hAnsi="宋体" w:eastAsia="宋体" w:cs="宋体"/>
          <w:color w:val="auto"/>
          <w:spacing w:val="7"/>
          <w:sz w:val="20"/>
          <w:szCs w:val="20"/>
        </w:rPr>
        <w:t>商号或者注册商标；</w:t>
      </w:r>
    </w:p>
    <w:p w14:paraId="689D942C">
      <w:pPr>
        <w:spacing w:before="64" w:line="228" w:lineRule="auto"/>
        <w:ind w:left="431"/>
        <w:rPr>
          <w:rFonts w:ascii="宋体" w:hAnsi="宋体" w:eastAsia="宋体" w:cs="宋体"/>
          <w:color w:val="auto"/>
          <w:sz w:val="20"/>
          <w:szCs w:val="20"/>
        </w:rPr>
      </w:pPr>
      <w:r>
        <w:rPr>
          <w:rFonts w:ascii="宋体" w:hAnsi="宋体" w:eastAsia="宋体" w:cs="宋体"/>
          <w:color w:val="auto"/>
          <w:spacing w:val="9"/>
          <w:sz w:val="20"/>
          <w:szCs w:val="20"/>
        </w:rPr>
        <w:t>（二）在工程采购项目中，工程由中小企业承建，即工程施工单位为中小企业；</w:t>
      </w:r>
    </w:p>
    <w:p w14:paraId="01E0FD5A">
      <w:pPr>
        <w:spacing w:before="65" w:line="268" w:lineRule="auto"/>
        <w:ind w:left="3" w:right="70" w:firstLine="428"/>
        <w:rPr>
          <w:rFonts w:ascii="宋体" w:hAnsi="宋体" w:eastAsia="宋体" w:cs="宋体"/>
          <w:color w:val="auto"/>
          <w:sz w:val="20"/>
          <w:szCs w:val="20"/>
        </w:rPr>
      </w:pPr>
      <w:r>
        <w:rPr>
          <w:rFonts w:ascii="宋体" w:hAnsi="宋体" w:eastAsia="宋体" w:cs="宋体"/>
          <w:color w:val="auto"/>
          <w:spacing w:val="9"/>
          <w:sz w:val="20"/>
          <w:szCs w:val="20"/>
        </w:rPr>
        <w:t>（三）在服务采购项目中，服务由中小企业承接，即提供服务</w:t>
      </w:r>
      <w:r>
        <w:rPr>
          <w:rFonts w:ascii="宋体" w:hAnsi="宋体" w:eastAsia="宋体" w:cs="宋体"/>
          <w:color w:val="auto"/>
          <w:spacing w:val="8"/>
          <w:sz w:val="20"/>
          <w:szCs w:val="20"/>
        </w:rPr>
        <w:t>的人员为中小企业依照《中华</w:t>
      </w:r>
      <w:r>
        <w:rPr>
          <w:rFonts w:ascii="宋体" w:hAnsi="宋体" w:eastAsia="宋体" w:cs="宋体"/>
          <w:color w:val="auto"/>
          <w:spacing w:val="9"/>
          <w:sz w:val="20"/>
          <w:szCs w:val="20"/>
        </w:rPr>
        <w:t>人民共和国劳动合同法》订立劳动合同的从业人员。在货物采购项目中，供应商提供的货</w:t>
      </w:r>
      <w:r>
        <w:rPr>
          <w:rFonts w:ascii="宋体" w:hAnsi="宋体" w:eastAsia="宋体" w:cs="宋体"/>
          <w:color w:val="auto"/>
          <w:spacing w:val="8"/>
          <w:sz w:val="20"/>
          <w:szCs w:val="20"/>
        </w:rPr>
        <w:t>物既有</w:t>
      </w:r>
      <w:r>
        <w:rPr>
          <w:rFonts w:ascii="宋体" w:hAnsi="宋体" w:eastAsia="宋体" w:cs="宋体"/>
          <w:color w:val="auto"/>
          <w:spacing w:val="9"/>
          <w:sz w:val="20"/>
          <w:szCs w:val="20"/>
        </w:rPr>
        <w:t>中小企业制造货物，也有大型企业制造货物的，不享受本办法规定的中小企业扶持政策。</w:t>
      </w:r>
    </w:p>
    <w:p w14:paraId="36D50012">
      <w:pPr>
        <w:spacing w:before="65" w:line="288" w:lineRule="auto"/>
        <w:ind w:left="2" w:right="14" w:firstLine="442"/>
        <w:rPr>
          <w:rFonts w:ascii="宋体" w:hAnsi="宋体" w:eastAsia="宋体" w:cs="宋体"/>
          <w:color w:val="auto"/>
          <w:sz w:val="20"/>
          <w:szCs w:val="20"/>
        </w:rPr>
      </w:pPr>
      <w:r>
        <w:rPr>
          <w:rFonts w:ascii="宋体" w:hAnsi="宋体" w:eastAsia="宋体" w:cs="宋体"/>
          <w:color w:val="auto"/>
          <w:spacing w:val="5"/>
          <w:sz w:val="20"/>
          <w:szCs w:val="20"/>
        </w:rPr>
        <w:t>以联合体形式参加政府采购活动，联合体各方均为中小企</w:t>
      </w:r>
      <w:r>
        <w:rPr>
          <w:rFonts w:ascii="宋体" w:hAnsi="宋体" w:eastAsia="宋体" w:cs="宋体"/>
          <w:color w:val="auto"/>
          <w:spacing w:val="4"/>
          <w:sz w:val="20"/>
          <w:szCs w:val="20"/>
        </w:rPr>
        <w:t>业的，联合体视同中小企业。其中，</w:t>
      </w:r>
      <w:r>
        <w:rPr>
          <w:rFonts w:ascii="宋体" w:hAnsi="宋体" w:eastAsia="宋体" w:cs="宋体"/>
          <w:color w:val="auto"/>
          <w:spacing w:val="9"/>
          <w:sz w:val="20"/>
          <w:szCs w:val="20"/>
        </w:rPr>
        <w:t>联合体各方均为小微企业的，联合体视同小微企业。</w:t>
      </w:r>
    </w:p>
    <w:p w14:paraId="7F7D2C29">
      <w:pPr>
        <w:spacing w:before="1" w:line="228" w:lineRule="auto"/>
        <w:ind w:left="421"/>
        <w:rPr>
          <w:rFonts w:ascii="宋体" w:hAnsi="宋体" w:eastAsia="宋体" w:cs="宋体"/>
          <w:color w:val="auto"/>
          <w:sz w:val="20"/>
          <w:szCs w:val="20"/>
        </w:rPr>
      </w:pPr>
      <w:r>
        <w:rPr>
          <w:rFonts w:ascii="宋体" w:hAnsi="宋体" w:eastAsia="宋体" w:cs="宋体"/>
          <w:color w:val="auto"/>
          <w:spacing w:val="6"/>
          <w:sz w:val="20"/>
          <w:szCs w:val="20"/>
        </w:rPr>
        <w:t>第五条</w:t>
      </w:r>
    </w:p>
    <w:p w14:paraId="6DF20653">
      <w:pPr>
        <w:spacing w:before="64" w:line="288" w:lineRule="auto"/>
        <w:ind w:left="1" w:right="70" w:firstLine="419"/>
        <w:rPr>
          <w:rFonts w:ascii="宋体" w:hAnsi="宋体" w:eastAsia="宋体" w:cs="宋体"/>
          <w:color w:val="auto"/>
          <w:sz w:val="20"/>
          <w:szCs w:val="20"/>
        </w:rPr>
      </w:pPr>
      <w:r>
        <w:rPr>
          <w:rFonts w:ascii="宋体" w:hAnsi="宋体" w:eastAsia="宋体" w:cs="宋体"/>
          <w:color w:val="auto"/>
          <w:spacing w:val="9"/>
          <w:sz w:val="20"/>
          <w:szCs w:val="20"/>
        </w:rPr>
        <w:t>采购人在政府采购活动中应当合理确定采购项目的采购需求，不得以企业注册资本、资</w:t>
      </w:r>
      <w:r>
        <w:rPr>
          <w:rFonts w:ascii="宋体" w:hAnsi="宋体" w:eastAsia="宋体" w:cs="宋体"/>
          <w:color w:val="auto"/>
          <w:spacing w:val="8"/>
          <w:sz w:val="20"/>
          <w:szCs w:val="20"/>
        </w:rPr>
        <w:t>产总</w:t>
      </w:r>
      <w:r>
        <w:rPr>
          <w:rFonts w:ascii="宋体" w:hAnsi="宋体" w:eastAsia="宋体" w:cs="宋体"/>
          <w:color w:val="auto"/>
          <w:spacing w:val="9"/>
          <w:sz w:val="20"/>
          <w:szCs w:val="20"/>
        </w:rPr>
        <w:t>额、营业收入、从业人员、利润、纳税额等规模条件和财务指标作为供应商的资格要求或者评审因素，不得在企业股权结构、经营年限等方面对中小企业实行差别待遇或者歧视待遇。</w:t>
      </w:r>
    </w:p>
    <w:p w14:paraId="00C9B768">
      <w:pPr>
        <w:spacing w:before="1" w:line="228" w:lineRule="auto"/>
        <w:ind w:left="421"/>
        <w:rPr>
          <w:rFonts w:ascii="宋体" w:hAnsi="宋体" w:eastAsia="宋体" w:cs="宋体"/>
          <w:color w:val="auto"/>
          <w:sz w:val="20"/>
          <w:szCs w:val="20"/>
        </w:rPr>
      </w:pPr>
      <w:r>
        <w:rPr>
          <w:rFonts w:ascii="宋体" w:hAnsi="宋体" w:eastAsia="宋体" w:cs="宋体"/>
          <w:color w:val="auto"/>
          <w:spacing w:val="6"/>
          <w:sz w:val="20"/>
          <w:szCs w:val="20"/>
        </w:rPr>
        <w:t>第六条</w:t>
      </w:r>
    </w:p>
    <w:p w14:paraId="0119FE92">
      <w:pPr>
        <w:spacing w:before="64" w:line="288" w:lineRule="auto"/>
        <w:ind w:right="70" w:firstLine="423"/>
        <w:rPr>
          <w:rFonts w:ascii="宋体" w:hAnsi="宋体" w:eastAsia="宋体" w:cs="宋体"/>
          <w:color w:val="auto"/>
          <w:sz w:val="20"/>
          <w:szCs w:val="20"/>
        </w:rPr>
      </w:pPr>
      <w:r>
        <w:rPr>
          <w:rFonts w:ascii="宋体" w:hAnsi="宋体" w:eastAsia="宋体" w:cs="宋体"/>
          <w:color w:val="auto"/>
          <w:spacing w:val="9"/>
          <w:sz w:val="20"/>
          <w:szCs w:val="20"/>
        </w:rPr>
        <w:t>主管预算单位应当组织评估本部门及所属单位政府采购项目，统筹制定面向中小</w:t>
      </w:r>
      <w:r>
        <w:rPr>
          <w:rFonts w:ascii="宋体" w:hAnsi="宋体" w:eastAsia="宋体" w:cs="宋体"/>
          <w:color w:val="auto"/>
          <w:spacing w:val="8"/>
          <w:sz w:val="20"/>
          <w:szCs w:val="20"/>
        </w:rPr>
        <w:t>企业预留采</w:t>
      </w:r>
      <w:r>
        <w:rPr>
          <w:rFonts w:ascii="宋体" w:hAnsi="宋体" w:eastAsia="宋体" w:cs="宋体"/>
          <w:color w:val="auto"/>
          <w:spacing w:val="9"/>
          <w:sz w:val="20"/>
          <w:szCs w:val="20"/>
        </w:rPr>
        <w:t>购份额的具体方案，对适宜由中小企业提供的采购项目和采购包，预留采购份额专门面向中小企业采购，并在政府采购预算中单独列示。</w:t>
      </w:r>
    </w:p>
    <w:p w14:paraId="68589BB9">
      <w:pPr>
        <w:spacing w:before="1" w:line="227" w:lineRule="auto"/>
        <w:ind w:left="423"/>
        <w:rPr>
          <w:rFonts w:ascii="宋体" w:hAnsi="宋体" w:eastAsia="宋体" w:cs="宋体"/>
          <w:color w:val="auto"/>
          <w:sz w:val="20"/>
          <w:szCs w:val="20"/>
        </w:rPr>
      </w:pPr>
      <w:r>
        <w:rPr>
          <w:rFonts w:ascii="宋体" w:hAnsi="宋体" w:eastAsia="宋体" w:cs="宋体"/>
          <w:color w:val="auto"/>
          <w:spacing w:val="9"/>
          <w:sz w:val="20"/>
          <w:szCs w:val="20"/>
        </w:rPr>
        <w:t>符合下列情形之一的，可不专门面向中小企业预留采购份额：</w:t>
      </w:r>
    </w:p>
    <w:p w14:paraId="68D073CC">
      <w:pPr>
        <w:spacing w:before="65" w:line="258" w:lineRule="auto"/>
        <w:ind w:left="1" w:right="70" w:firstLine="430"/>
        <w:rPr>
          <w:rFonts w:ascii="宋体" w:hAnsi="宋体" w:eastAsia="宋体" w:cs="宋体"/>
          <w:color w:val="auto"/>
          <w:sz w:val="20"/>
          <w:szCs w:val="20"/>
        </w:rPr>
      </w:pPr>
      <w:r>
        <w:rPr>
          <w:rFonts w:ascii="宋体" w:hAnsi="宋体" w:eastAsia="宋体" w:cs="宋体"/>
          <w:color w:val="auto"/>
          <w:spacing w:val="9"/>
          <w:sz w:val="20"/>
          <w:szCs w:val="20"/>
        </w:rPr>
        <w:t>（一）法律法规和国家有关政策明确规定优先或者应当面向事</w:t>
      </w:r>
      <w:r>
        <w:rPr>
          <w:rFonts w:ascii="宋体" w:hAnsi="宋体" w:eastAsia="宋体" w:cs="宋体"/>
          <w:color w:val="auto"/>
          <w:spacing w:val="8"/>
          <w:sz w:val="20"/>
          <w:szCs w:val="20"/>
        </w:rPr>
        <w:t>业单位、社会组织等非企业主</w:t>
      </w:r>
      <w:r>
        <w:rPr>
          <w:rFonts w:ascii="宋体" w:hAnsi="宋体" w:eastAsia="宋体" w:cs="宋体"/>
          <w:color w:val="auto"/>
          <w:spacing w:val="5"/>
          <w:sz w:val="20"/>
          <w:szCs w:val="20"/>
        </w:rPr>
        <w:t>体采购的；</w:t>
      </w:r>
    </w:p>
    <w:p w14:paraId="7597F704">
      <w:pPr>
        <w:spacing w:before="65" w:line="258" w:lineRule="auto"/>
        <w:ind w:left="17" w:right="70" w:firstLine="413"/>
        <w:rPr>
          <w:rFonts w:ascii="宋体" w:hAnsi="宋体" w:eastAsia="宋体" w:cs="宋体"/>
          <w:color w:val="auto"/>
          <w:sz w:val="20"/>
          <w:szCs w:val="20"/>
        </w:rPr>
      </w:pPr>
      <w:r>
        <w:rPr>
          <w:rFonts w:ascii="宋体" w:hAnsi="宋体" w:eastAsia="宋体" w:cs="宋体"/>
          <w:color w:val="auto"/>
          <w:spacing w:val="9"/>
          <w:sz w:val="20"/>
          <w:szCs w:val="20"/>
        </w:rPr>
        <w:t>（二）因确需使用不可替代的专利、专有技术，基础设施限制</w:t>
      </w:r>
      <w:r>
        <w:rPr>
          <w:rFonts w:ascii="宋体" w:hAnsi="宋体" w:eastAsia="宋体" w:cs="宋体"/>
          <w:color w:val="auto"/>
          <w:spacing w:val="8"/>
          <w:sz w:val="20"/>
          <w:szCs w:val="20"/>
        </w:rPr>
        <w:t>，或者提供特定公共服务等原因，只能从中小企业之外的供应商处采购的；</w:t>
      </w:r>
    </w:p>
    <w:p w14:paraId="78FF91E2">
      <w:pPr>
        <w:spacing w:before="65" w:line="258" w:lineRule="auto"/>
        <w:ind w:right="70" w:firstLine="430"/>
        <w:rPr>
          <w:rFonts w:ascii="宋体" w:hAnsi="宋体" w:eastAsia="宋体" w:cs="宋体"/>
          <w:color w:val="auto"/>
          <w:sz w:val="20"/>
          <w:szCs w:val="20"/>
        </w:rPr>
      </w:pPr>
      <w:r>
        <w:rPr>
          <w:rFonts w:ascii="宋体" w:hAnsi="宋体" w:eastAsia="宋体" w:cs="宋体"/>
          <w:color w:val="auto"/>
          <w:spacing w:val="9"/>
          <w:sz w:val="20"/>
          <w:szCs w:val="20"/>
        </w:rPr>
        <w:t>（三）按照本办法规定预留采购份额无法确保充分供应、充分</w:t>
      </w:r>
      <w:r>
        <w:rPr>
          <w:rFonts w:ascii="宋体" w:hAnsi="宋体" w:eastAsia="宋体" w:cs="宋体"/>
          <w:color w:val="auto"/>
          <w:spacing w:val="8"/>
          <w:sz w:val="20"/>
          <w:szCs w:val="20"/>
        </w:rPr>
        <w:t>竞争，或者存在可能影响政府采购目标实现的情形；</w:t>
      </w:r>
    </w:p>
    <w:p w14:paraId="286A3305">
      <w:pPr>
        <w:spacing w:before="65" w:line="228" w:lineRule="auto"/>
        <w:ind w:left="431"/>
        <w:rPr>
          <w:rFonts w:ascii="宋体" w:hAnsi="宋体" w:eastAsia="宋体" w:cs="宋体"/>
          <w:color w:val="auto"/>
          <w:sz w:val="20"/>
          <w:szCs w:val="20"/>
        </w:rPr>
      </w:pPr>
      <w:r>
        <w:rPr>
          <w:rFonts w:ascii="宋体" w:hAnsi="宋体" w:eastAsia="宋体" w:cs="宋体"/>
          <w:color w:val="auto"/>
          <w:spacing w:val="7"/>
          <w:sz w:val="20"/>
          <w:szCs w:val="20"/>
        </w:rPr>
        <w:t>（四）框架协议采购项目；</w:t>
      </w:r>
    </w:p>
    <w:p w14:paraId="24C18F01">
      <w:pPr>
        <w:spacing w:before="65" w:line="228" w:lineRule="auto"/>
        <w:ind w:left="431"/>
        <w:rPr>
          <w:rFonts w:ascii="宋体" w:hAnsi="宋体" w:eastAsia="宋体" w:cs="宋体"/>
          <w:color w:val="auto"/>
          <w:sz w:val="20"/>
          <w:szCs w:val="20"/>
        </w:rPr>
      </w:pPr>
      <w:r>
        <w:rPr>
          <w:rFonts w:ascii="宋体" w:hAnsi="宋体" w:eastAsia="宋体" w:cs="宋体"/>
          <w:color w:val="auto"/>
          <w:spacing w:val="8"/>
          <w:sz w:val="20"/>
          <w:szCs w:val="20"/>
        </w:rPr>
        <w:t>（五）省级以上人民政府财政部门规定的其他情形。</w:t>
      </w:r>
    </w:p>
    <w:p w14:paraId="6B53A830">
      <w:pPr>
        <w:spacing w:before="65" w:line="228" w:lineRule="auto"/>
        <w:ind w:left="434"/>
        <w:rPr>
          <w:rFonts w:ascii="宋体" w:hAnsi="宋体" w:eastAsia="宋体" w:cs="宋体"/>
          <w:color w:val="auto"/>
          <w:sz w:val="20"/>
          <w:szCs w:val="20"/>
        </w:rPr>
      </w:pPr>
      <w:r>
        <w:rPr>
          <w:rFonts w:ascii="宋体" w:hAnsi="宋体" w:eastAsia="宋体" w:cs="宋体"/>
          <w:color w:val="auto"/>
          <w:spacing w:val="8"/>
          <w:sz w:val="20"/>
          <w:szCs w:val="20"/>
        </w:rPr>
        <w:t>除上述情形外，其他均为适宜由中小企业提供的情形。</w:t>
      </w:r>
    </w:p>
    <w:p w14:paraId="419010BD">
      <w:pPr>
        <w:pStyle w:val="2"/>
        <w:spacing w:line="310" w:lineRule="auto"/>
        <w:rPr>
          <w:color w:val="auto"/>
        </w:rPr>
      </w:pPr>
    </w:p>
    <w:p w14:paraId="00FB2243">
      <w:pPr>
        <w:spacing w:before="66" w:line="228" w:lineRule="auto"/>
        <w:ind w:left="421"/>
        <w:rPr>
          <w:rFonts w:ascii="宋体" w:hAnsi="宋体" w:eastAsia="宋体" w:cs="宋体"/>
          <w:color w:val="auto"/>
          <w:sz w:val="20"/>
          <w:szCs w:val="20"/>
        </w:rPr>
      </w:pPr>
      <w:r>
        <w:rPr>
          <w:rFonts w:ascii="宋体" w:hAnsi="宋体" w:eastAsia="宋体" w:cs="宋体"/>
          <w:color w:val="auto"/>
          <w:spacing w:val="6"/>
          <w:sz w:val="20"/>
          <w:szCs w:val="20"/>
        </w:rPr>
        <w:t>第七条</w:t>
      </w:r>
    </w:p>
    <w:p w14:paraId="3BFF19C8">
      <w:pPr>
        <w:spacing w:line="228" w:lineRule="auto"/>
        <w:rPr>
          <w:rFonts w:ascii="宋体" w:hAnsi="宋体" w:eastAsia="宋体" w:cs="宋体"/>
          <w:color w:val="auto"/>
          <w:sz w:val="20"/>
          <w:szCs w:val="20"/>
        </w:rPr>
        <w:sectPr>
          <w:footerReference r:id="rId44" w:type="default"/>
          <w:pgSz w:w="11906" w:h="16839"/>
          <w:pgMar w:top="1440" w:right="1080" w:bottom="1440" w:left="1080" w:header="0" w:footer="783" w:gutter="0"/>
          <w:pgNumType w:fmt="decimal"/>
          <w:cols w:space="720" w:num="1"/>
        </w:sectPr>
      </w:pPr>
    </w:p>
    <w:p w14:paraId="11E8BEDE">
      <w:pPr>
        <w:spacing w:before="60" w:line="288" w:lineRule="auto"/>
        <w:ind w:right="18" w:firstLine="419"/>
        <w:rPr>
          <w:rFonts w:ascii="宋体" w:hAnsi="宋体" w:eastAsia="宋体" w:cs="宋体"/>
          <w:color w:val="auto"/>
          <w:sz w:val="20"/>
          <w:szCs w:val="20"/>
        </w:rPr>
      </w:pPr>
      <w:r>
        <w:rPr>
          <w:rFonts w:ascii="宋体" w:hAnsi="宋体" w:eastAsia="宋体" w:cs="宋体"/>
          <w:color w:val="auto"/>
          <w:spacing w:val="8"/>
          <w:sz w:val="20"/>
          <w:szCs w:val="20"/>
        </w:rPr>
        <w:t xml:space="preserve">采购限额标准以上，200 万元以下的货物和服务采购项目、400 </w:t>
      </w:r>
      <w:r>
        <w:rPr>
          <w:rFonts w:ascii="宋体" w:hAnsi="宋体" w:eastAsia="宋体" w:cs="宋体"/>
          <w:color w:val="auto"/>
          <w:spacing w:val="7"/>
          <w:sz w:val="20"/>
          <w:szCs w:val="20"/>
        </w:rPr>
        <w:t>万元以下的工程采购项目，</w:t>
      </w:r>
      <w:r>
        <w:rPr>
          <w:rFonts w:ascii="宋体" w:hAnsi="宋体" w:eastAsia="宋体" w:cs="宋体"/>
          <w:color w:val="auto"/>
          <w:spacing w:val="9"/>
          <w:sz w:val="20"/>
          <w:szCs w:val="20"/>
        </w:rPr>
        <w:t>适宜由中小企业提供的，采购人应当专门面向中小企业采购。</w:t>
      </w:r>
    </w:p>
    <w:p w14:paraId="6DAF2443">
      <w:pPr>
        <w:spacing w:line="228" w:lineRule="auto"/>
        <w:ind w:left="526"/>
        <w:rPr>
          <w:rFonts w:ascii="宋体" w:hAnsi="宋体" w:eastAsia="宋体" w:cs="宋体"/>
          <w:color w:val="auto"/>
          <w:sz w:val="20"/>
          <w:szCs w:val="20"/>
        </w:rPr>
      </w:pPr>
      <w:r>
        <w:rPr>
          <w:rFonts w:ascii="宋体" w:hAnsi="宋体" w:eastAsia="宋体" w:cs="宋体"/>
          <w:color w:val="auto"/>
          <w:spacing w:val="6"/>
          <w:sz w:val="20"/>
          <w:szCs w:val="20"/>
        </w:rPr>
        <w:t>第八条</w:t>
      </w:r>
    </w:p>
    <w:p w14:paraId="48D36245">
      <w:pPr>
        <w:spacing w:before="64" w:line="288" w:lineRule="auto"/>
        <w:ind w:firstLine="524"/>
        <w:rPr>
          <w:rFonts w:ascii="宋体" w:hAnsi="宋体" w:eastAsia="宋体" w:cs="宋体"/>
          <w:color w:val="auto"/>
          <w:sz w:val="20"/>
          <w:szCs w:val="20"/>
        </w:rPr>
      </w:pPr>
      <w:r>
        <w:rPr>
          <w:rFonts w:ascii="宋体" w:hAnsi="宋体" w:eastAsia="宋体" w:cs="宋体"/>
          <w:color w:val="auto"/>
          <w:spacing w:val="8"/>
          <w:sz w:val="20"/>
          <w:szCs w:val="20"/>
        </w:rPr>
        <w:t>超过 200 万元的货物和服务采购项目、超过400 万元的工程采购项目中适宜由中小企业提</w:t>
      </w:r>
      <w:r>
        <w:rPr>
          <w:rFonts w:ascii="宋体" w:hAnsi="宋体" w:eastAsia="宋体" w:cs="宋体"/>
          <w:color w:val="auto"/>
          <w:spacing w:val="9"/>
          <w:sz w:val="20"/>
          <w:szCs w:val="20"/>
        </w:rPr>
        <w:t>供的，预留该部分采购项目预算总额的 30%以上专门</w:t>
      </w:r>
      <w:r>
        <w:rPr>
          <w:rFonts w:ascii="宋体" w:hAnsi="宋体" w:eastAsia="宋体" w:cs="宋体"/>
          <w:color w:val="auto"/>
          <w:spacing w:val="8"/>
          <w:sz w:val="20"/>
          <w:szCs w:val="20"/>
        </w:rPr>
        <w:t>面向中小企业采购，其中预留给小微企业的比例不低于 60%。预留份额通过下列措施进行：</w:t>
      </w:r>
    </w:p>
    <w:p w14:paraId="3484484A">
      <w:pPr>
        <w:spacing w:line="227" w:lineRule="auto"/>
        <w:ind w:left="430"/>
        <w:rPr>
          <w:rFonts w:ascii="宋体" w:hAnsi="宋体" w:eastAsia="宋体" w:cs="宋体"/>
          <w:color w:val="auto"/>
          <w:sz w:val="20"/>
          <w:szCs w:val="20"/>
        </w:rPr>
      </w:pPr>
      <w:r>
        <w:rPr>
          <w:rFonts w:ascii="宋体" w:hAnsi="宋体" w:eastAsia="宋体" w:cs="宋体"/>
          <w:color w:val="auto"/>
          <w:spacing w:val="9"/>
          <w:sz w:val="20"/>
          <w:szCs w:val="20"/>
        </w:rPr>
        <w:t>（一）将采购项目整体或者设置采购包专门面向中小企业</w:t>
      </w:r>
      <w:r>
        <w:rPr>
          <w:rFonts w:ascii="宋体" w:hAnsi="宋体" w:eastAsia="宋体" w:cs="宋体"/>
          <w:color w:val="auto"/>
          <w:spacing w:val="8"/>
          <w:sz w:val="20"/>
          <w:szCs w:val="20"/>
        </w:rPr>
        <w:t>采购；</w:t>
      </w:r>
    </w:p>
    <w:p w14:paraId="73101E65">
      <w:pPr>
        <w:spacing w:before="65" w:line="259" w:lineRule="auto"/>
        <w:ind w:firstLine="430"/>
        <w:rPr>
          <w:rFonts w:ascii="宋体" w:hAnsi="宋体" w:eastAsia="宋体" w:cs="宋体"/>
          <w:color w:val="auto"/>
          <w:sz w:val="20"/>
          <w:szCs w:val="20"/>
        </w:rPr>
      </w:pPr>
      <w:r>
        <w:rPr>
          <w:rFonts w:ascii="宋体" w:hAnsi="宋体" w:eastAsia="宋体" w:cs="宋体"/>
          <w:color w:val="auto"/>
          <w:spacing w:val="9"/>
          <w:sz w:val="20"/>
          <w:szCs w:val="20"/>
        </w:rPr>
        <w:t>（二）要求供应商以联合体形式参加采购活动，且联合体中中</w:t>
      </w:r>
      <w:r>
        <w:rPr>
          <w:rFonts w:ascii="宋体" w:hAnsi="宋体" w:eastAsia="宋体" w:cs="宋体"/>
          <w:color w:val="auto"/>
          <w:spacing w:val="8"/>
          <w:sz w:val="20"/>
          <w:szCs w:val="20"/>
        </w:rPr>
        <w:t>小企业承担的部分达到一定比</w:t>
      </w:r>
      <w:r>
        <w:rPr>
          <w:rFonts w:ascii="宋体" w:hAnsi="宋体" w:eastAsia="宋体" w:cs="宋体"/>
          <w:color w:val="auto"/>
          <w:sz w:val="20"/>
          <w:szCs w:val="20"/>
        </w:rPr>
        <w:t>例；</w:t>
      </w:r>
    </w:p>
    <w:p w14:paraId="3D832E91">
      <w:pPr>
        <w:spacing w:before="63" w:line="268" w:lineRule="auto"/>
        <w:ind w:firstLine="430"/>
        <w:rPr>
          <w:rFonts w:ascii="宋体" w:hAnsi="宋体" w:eastAsia="宋体" w:cs="宋体"/>
          <w:color w:val="auto"/>
          <w:sz w:val="20"/>
          <w:szCs w:val="20"/>
        </w:rPr>
      </w:pPr>
      <w:r>
        <w:rPr>
          <w:rFonts w:ascii="宋体" w:hAnsi="宋体" w:eastAsia="宋体" w:cs="宋体"/>
          <w:color w:val="auto"/>
          <w:spacing w:val="9"/>
          <w:sz w:val="20"/>
          <w:szCs w:val="20"/>
        </w:rPr>
        <w:t>（三）要求获得采购合同的供应商将采购项目中的一定比例分</w:t>
      </w:r>
      <w:r>
        <w:rPr>
          <w:rFonts w:ascii="宋体" w:hAnsi="宋体" w:eastAsia="宋体" w:cs="宋体"/>
          <w:color w:val="auto"/>
          <w:spacing w:val="8"/>
          <w:sz w:val="20"/>
          <w:szCs w:val="20"/>
        </w:rPr>
        <w:t>包给一家或者多家中小企业。</w:t>
      </w:r>
      <w:r>
        <w:rPr>
          <w:rFonts w:ascii="宋体" w:hAnsi="宋体" w:eastAsia="宋体" w:cs="宋体"/>
          <w:color w:val="auto"/>
          <w:spacing w:val="14"/>
          <w:sz w:val="20"/>
          <w:szCs w:val="20"/>
        </w:rPr>
        <w:t>组成联合体或者接受分包合同的中小企业与联合体内其他企业、分包企业之间不得存在直接控</w:t>
      </w:r>
      <w:r>
        <w:rPr>
          <w:rFonts w:ascii="宋体" w:hAnsi="宋体" w:eastAsia="宋体" w:cs="宋体"/>
          <w:color w:val="auto"/>
          <w:spacing w:val="7"/>
          <w:sz w:val="20"/>
          <w:szCs w:val="20"/>
        </w:rPr>
        <w:t>股、管理关系。</w:t>
      </w:r>
    </w:p>
    <w:p w14:paraId="0FF4E8A2">
      <w:pPr>
        <w:spacing w:before="65" w:line="228" w:lineRule="auto"/>
        <w:ind w:left="526"/>
        <w:rPr>
          <w:rFonts w:ascii="宋体" w:hAnsi="宋体" w:eastAsia="宋体" w:cs="宋体"/>
          <w:color w:val="auto"/>
          <w:sz w:val="20"/>
          <w:szCs w:val="20"/>
        </w:rPr>
      </w:pPr>
      <w:r>
        <w:rPr>
          <w:rFonts w:ascii="宋体" w:hAnsi="宋体" w:eastAsia="宋体" w:cs="宋体"/>
          <w:color w:val="auto"/>
          <w:spacing w:val="6"/>
          <w:sz w:val="20"/>
          <w:szCs w:val="20"/>
        </w:rPr>
        <w:t>第九条</w:t>
      </w:r>
    </w:p>
    <w:p w14:paraId="0FE5AA93">
      <w:pPr>
        <w:spacing w:before="65" w:line="288" w:lineRule="auto"/>
        <w:ind w:firstLine="524"/>
        <w:rPr>
          <w:rFonts w:ascii="宋体" w:hAnsi="宋体" w:eastAsia="宋体" w:cs="宋体"/>
          <w:color w:val="auto"/>
          <w:sz w:val="20"/>
          <w:szCs w:val="20"/>
        </w:rPr>
      </w:pPr>
      <w:r>
        <w:rPr>
          <w:rFonts w:ascii="宋体" w:hAnsi="宋体" w:eastAsia="宋体" w:cs="宋体"/>
          <w:color w:val="auto"/>
          <w:spacing w:val="12"/>
          <w:sz w:val="20"/>
          <w:szCs w:val="20"/>
        </w:rPr>
        <w:t>对于经主管预算单位统筹后未预留份额专门面向中小</w:t>
      </w:r>
      <w:r>
        <w:rPr>
          <w:rFonts w:ascii="宋体" w:hAnsi="宋体" w:eastAsia="宋体" w:cs="宋体"/>
          <w:color w:val="auto"/>
          <w:spacing w:val="11"/>
          <w:sz w:val="20"/>
          <w:szCs w:val="20"/>
        </w:rPr>
        <w:t>企业采购的采购项目，以及预留份额</w:t>
      </w:r>
      <w:r>
        <w:rPr>
          <w:rFonts w:ascii="宋体" w:hAnsi="宋体" w:eastAsia="宋体" w:cs="宋体"/>
          <w:color w:val="auto"/>
          <w:spacing w:val="9"/>
          <w:sz w:val="20"/>
          <w:szCs w:val="20"/>
        </w:rPr>
        <w:t>项目中的非预留部分采购包，采购人、招标代理机构应当对符合本办法规定的小微企业报价给予</w:t>
      </w:r>
      <w:r>
        <w:rPr>
          <w:rFonts w:ascii="宋体" w:hAnsi="宋体" w:eastAsia="宋体" w:cs="宋体"/>
          <w:color w:val="auto"/>
          <w:spacing w:val="8"/>
          <w:sz w:val="20"/>
          <w:szCs w:val="20"/>
        </w:rPr>
        <w:t>6%—10%（工程项目为 3%—5%）的扣除，用扣除后的价格参加评审。适用招标投标法的政府采购</w:t>
      </w:r>
      <w:r>
        <w:rPr>
          <w:rFonts w:ascii="宋体" w:hAnsi="宋体" w:eastAsia="宋体" w:cs="宋体"/>
          <w:color w:val="auto"/>
          <w:spacing w:val="9"/>
          <w:sz w:val="20"/>
          <w:szCs w:val="20"/>
        </w:rPr>
        <w:t>工程建设项目，采用综合评分法但未采用低价优先法计算价格分的，评标时应当在采用原报价进</w:t>
      </w:r>
      <w:r>
        <w:rPr>
          <w:rFonts w:ascii="宋体" w:hAnsi="宋体" w:eastAsia="宋体" w:cs="宋体"/>
          <w:color w:val="auto"/>
          <w:spacing w:val="11"/>
          <w:sz w:val="20"/>
          <w:szCs w:val="20"/>
        </w:rPr>
        <w:t>行评分的基础上增加其价格得分的 3%—5%作为其价格分。接受大中型企</w:t>
      </w:r>
      <w:r>
        <w:rPr>
          <w:rFonts w:ascii="宋体" w:hAnsi="宋体" w:eastAsia="宋体" w:cs="宋体"/>
          <w:color w:val="auto"/>
          <w:spacing w:val="10"/>
          <w:sz w:val="20"/>
          <w:szCs w:val="20"/>
        </w:rPr>
        <w:t>业与小微企业组成联合</w:t>
      </w:r>
      <w:r>
        <w:rPr>
          <w:rFonts w:ascii="宋体" w:hAnsi="宋体" w:eastAsia="宋体" w:cs="宋体"/>
          <w:color w:val="auto"/>
          <w:spacing w:val="9"/>
          <w:sz w:val="20"/>
          <w:szCs w:val="20"/>
        </w:rPr>
        <w:t>体或者允许大中型企业向一家或者多家小微企业分包的采购项目，对于联合协议或者分包意向协议约定小微企业的合同份额占到合同总金额 30%以上</w:t>
      </w:r>
      <w:r>
        <w:rPr>
          <w:rFonts w:ascii="宋体" w:hAnsi="宋体" w:eastAsia="宋体" w:cs="宋体"/>
          <w:color w:val="auto"/>
          <w:spacing w:val="8"/>
          <w:sz w:val="20"/>
          <w:szCs w:val="20"/>
        </w:rPr>
        <w:t>的，采购人、招标代理机构应当对联合体或</w:t>
      </w:r>
      <w:r>
        <w:rPr>
          <w:rFonts w:ascii="宋体" w:hAnsi="宋体" w:eastAsia="宋体" w:cs="宋体"/>
          <w:color w:val="auto"/>
          <w:spacing w:val="10"/>
          <w:sz w:val="20"/>
          <w:szCs w:val="20"/>
        </w:rPr>
        <w:t>者大中型企业的报价给予 2%-3%（工程项目为</w:t>
      </w:r>
      <w:r>
        <w:rPr>
          <w:rFonts w:ascii="宋体" w:hAnsi="宋体" w:eastAsia="宋体" w:cs="宋体"/>
          <w:color w:val="auto"/>
          <w:spacing w:val="34"/>
          <w:sz w:val="20"/>
          <w:szCs w:val="20"/>
        </w:rPr>
        <w:t xml:space="preserve"> </w:t>
      </w:r>
      <w:r>
        <w:rPr>
          <w:rFonts w:ascii="宋体" w:hAnsi="宋体" w:eastAsia="宋体" w:cs="宋体"/>
          <w:color w:val="auto"/>
          <w:spacing w:val="10"/>
          <w:sz w:val="20"/>
          <w:szCs w:val="20"/>
        </w:rPr>
        <w:t>1%—</w:t>
      </w:r>
      <w:r>
        <w:rPr>
          <w:rFonts w:ascii="宋体" w:hAnsi="宋体" w:eastAsia="宋体" w:cs="宋体"/>
          <w:color w:val="auto"/>
          <w:spacing w:val="9"/>
          <w:sz w:val="20"/>
          <w:szCs w:val="20"/>
        </w:rPr>
        <w:t>2%）的扣除，用扣除后的价格参加评审。适用招标投标法的政府采购工程建设项目，采用综合评分法但未采用低价优先法计算价格分的，评</w:t>
      </w:r>
      <w:r>
        <w:rPr>
          <w:rFonts w:ascii="宋体" w:hAnsi="宋体" w:eastAsia="宋体" w:cs="宋体"/>
          <w:color w:val="auto"/>
          <w:spacing w:val="10"/>
          <w:sz w:val="20"/>
          <w:szCs w:val="20"/>
        </w:rPr>
        <w:t>标时应当在采用原报价进行评分的基础上增加其价格得分的</w:t>
      </w:r>
      <w:r>
        <w:rPr>
          <w:rFonts w:ascii="宋体" w:hAnsi="宋体" w:eastAsia="宋体" w:cs="宋体"/>
          <w:color w:val="auto"/>
          <w:spacing w:val="47"/>
          <w:sz w:val="20"/>
          <w:szCs w:val="20"/>
        </w:rPr>
        <w:t xml:space="preserve"> </w:t>
      </w:r>
      <w:r>
        <w:rPr>
          <w:rFonts w:ascii="宋体" w:hAnsi="宋体" w:eastAsia="宋体" w:cs="宋体"/>
          <w:color w:val="auto"/>
          <w:spacing w:val="10"/>
          <w:sz w:val="20"/>
          <w:szCs w:val="20"/>
        </w:rPr>
        <w:t>1%—2%作为其价格分。组成联合体</w:t>
      </w:r>
      <w:r>
        <w:rPr>
          <w:rFonts w:ascii="宋体" w:hAnsi="宋体" w:eastAsia="宋体" w:cs="宋体"/>
          <w:color w:val="auto"/>
          <w:spacing w:val="9"/>
          <w:sz w:val="20"/>
          <w:szCs w:val="20"/>
        </w:rPr>
        <w:t>或者接受分包的小微企业与联合体内其他企业、分包企业之间存在直接控股、管理关系的，不享</w:t>
      </w:r>
      <w:r>
        <w:rPr>
          <w:rFonts w:ascii="宋体" w:hAnsi="宋体" w:eastAsia="宋体" w:cs="宋体"/>
          <w:color w:val="auto"/>
          <w:spacing w:val="8"/>
          <w:sz w:val="20"/>
          <w:szCs w:val="20"/>
        </w:rPr>
        <w:t>受价格扣除优惠政策。</w:t>
      </w:r>
    </w:p>
    <w:p w14:paraId="6B278E21">
      <w:pPr>
        <w:spacing w:line="288" w:lineRule="auto"/>
        <w:ind w:firstLine="420"/>
        <w:jc w:val="both"/>
        <w:rPr>
          <w:rFonts w:ascii="宋体" w:hAnsi="宋体" w:eastAsia="宋体" w:cs="宋体"/>
          <w:color w:val="auto"/>
          <w:sz w:val="20"/>
          <w:szCs w:val="20"/>
        </w:rPr>
      </w:pPr>
      <w:r>
        <w:rPr>
          <w:rFonts w:ascii="宋体" w:hAnsi="宋体" w:eastAsia="宋体" w:cs="宋体"/>
          <w:color w:val="auto"/>
          <w:spacing w:val="9"/>
          <w:sz w:val="20"/>
          <w:szCs w:val="20"/>
        </w:rPr>
        <w:t>价格扣除比例或者价格分加分比例对小型企业和微型企业同等对待，不作区分。具</w:t>
      </w:r>
      <w:r>
        <w:rPr>
          <w:rFonts w:ascii="宋体" w:hAnsi="宋体" w:eastAsia="宋体" w:cs="宋体"/>
          <w:color w:val="auto"/>
          <w:spacing w:val="8"/>
          <w:sz w:val="20"/>
          <w:szCs w:val="20"/>
        </w:rPr>
        <w:t>体采购项</w:t>
      </w:r>
      <w:r>
        <w:rPr>
          <w:rFonts w:ascii="宋体" w:hAnsi="宋体" w:eastAsia="宋体" w:cs="宋体"/>
          <w:color w:val="auto"/>
          <w:spacing w:val="9"/>
          <w:sz w:val="20"/>
          <w:szCs w:val="20"/>
        </w:rPr>
        <w:t>目的价格扣除比例或者价格分加分比例，由采购人根据采购标的相关行业平均利润率、市场竞争</w:t>
      </w:r>
      <w:r>
        <w:rPr>
          <w:rFonts w:ascii="宋体" w:hAnsi="宋体" w:eastAsia="宋体" w:cs="宋体"/>
          <w:color w:val="auto"/>
          <w:spacing w:val="8"/>
          <w:sz w:val="20"/>
          <w:szCs w:val="20"/>
        </w:rPr>
        <w:t>状况等，在本办法规定的幅度内确定。</w:t>
      </w:r>
    </w:p>
    <w:p w14:paraId="1A375058">
      <w:pPr>
        <w:spacing w:line="228" w:lineRule="auto"/>
        <w:ind w:left="526"/>
        <w:rPr>
          <w:rFonts w:ascii="宋体" w:hAnsi="宋体" w:eastAsia="宋体" w:cs="宋体"/>
          <w:color w:val="auto"/>
          <w:sz w:val="20"/>
          <w:szCs w:val="20"/>
        </w:rPr>
      </w:pPr>
      <w:r>
        <w:rPr>
          <w:rFonts w:ascii="宋体" w:hAnsi="宋体" w:eastAsia="宋体" w:cs="宋体"/>
          <w:color w:val="auto"/>
          <w:spacing w:val="6"/>
          <w:sz w:val="20"/>
          <w:szCs w:val="20"/>
        </w:rPr>
        <w:t>第十条</w:t>
      </w:r>
    </w:p>
    <w:p w14:paraId="4FE5CB9B">
      <w:pPr>
        <w:spacing w:before="65" w:line="288" w:lineRule="auto"/>
        <w:ind w:firstLine="525"/>
        <w:rPr>
          <w:rFonts w:ascii="宋体" w:hAnsi="宋体" w:eastAsia="宋体" w:cs="宋体"/>
          <w:color w:val="auto"/>
          <w:sz w:val="20"/>
          <w:szCs w:val="20"/>
        </w:rPr>
      </w:pPr>
      <w:r>
        <w:rPr>
          <w:rFonts w:ascii="宋体" w:hAnsi="宋体" w:eastAsia="宋体" w:cs="宋体"/>
          <w:color w:val="auto"/>
          <w:spacing w:val="12"/>
          <w:sz w:val="20"/>
          <w:szCs w:val="20"/>
        </w:rPr>
        <w:t>采购人应当严格按照本办法规定和主管预算单位制定</w:t>
      </w:r>
      <w:r>
        <w:rPr>
          <w:rFonts w:ascii="宋体" w:hAnsi="宋体" w:eastAsia="宋体" w:cs="宋体"/>
          <w:color w:val="auto"/>
          <w:spacing w:val="11"/>
          <w:sz w:val="20"/>
          <w:szCs w:val="20"/>
        </w:rPr>
        <w:t>的预留采购份额具体方案开展采购活</w:t>
      </w:r>
      <w:r>
        <w:rPr>
          <w:rFonts w:ascii="宋体" w:hAnsi="宋体" w:eastAsia="宋体" w:cs="宋体"/>
          <w:color w:val="auto"/>
          <w:spacing w:val="9"/>
          <w:sz w:val="20"/>
          <w:szCs w:val="20"/>
        </w:rPr>
        <w:t>动。预留份额的采购项目或者采购包，通过发布公告方式邀请供应商后，符合资格条件的中小企</w:t>
      </w:r>
      <w:r>
        <w:rPr>
          <w:rFonts w:ascii="宋体" w:hAnsi="宋体" w:eastAsia="宋体" w:cs="宋体"/>
          <w:color w:val="auto"/>
          <w:spacing w:val="11"/>
          <w:sz w:val="20"/>
          <w:szCs w:val="20"/>
        </w:rPr>
        <w:t>业数量不足 3 家的，应当中止采购活动，视同未预留份额的采购项目或者采购包，按照本办法</w:t>
      </w:r>
      <w:r>
        <w:rPr>
          <w:rFonts w:ascii="宋体" w:hAnsi="宋体" w:eastAsia="宋体" w:cs="宋体"/>
          <w:color w:val="auto"/>
          <w:spacing w:val="8"/>
          <w:sz w:val="20"/>
          <w:szCs w:val="20"/>
        </w:rPr>
        <w:t>第九条有关规定重新组织采购活动。</w:t>
      </w:r>
    </w:p>
    <w:p w14:paraId="1F353DE5">
      <w:pPr>
        <w:spacing w:line="228" w:lineRule="auto"/>
        <w:ind w:left="526"/>
        <w:rPr>
          <w:rFonts w:ascii="宋体" w:hAnsi="宋体" w:eastAsia="宋体" w:cs="宋体"/>
          <w:color w:val="auto"/>
          <w:sz w:val="20"/>
          <w:szCs w:val="20"/>
        </w:rPr>
      </w:pPr>
      <w:r>
        <w:rPr>
          <w:rFonts w:ascii="宋体" w:hAnsi="宋体" w:eastAsia="宋体" w:cs="宋体"/>
          <w:color w:val="auto"/>
          <w:spacing w:val="7"/>
          <w:sz w:val="20"/>
          <w:szCs w:val="20"/>
        </w:rPr>
        <w:t>第十一条</w:t>
      </w:r>
    </w:p>
    <w:p w14:paraId="5B980D4A">
      <w:pPr>
        <w:spacing w:before="65" w:line="288" w:lineRule="auto"/>
        <w:ind w:left="4" w:firstLine="541"/>
        <w:rPr>
          <w:rFonts w:ascii="宋体" w:hAnsi="宋体" w:eastAsia="宋体" w:cs="宋体"/>
          <w:color w:val="auto"/>
          <w:sz w:val="20"/>
          <w:szCs w:val="20"/>
        </w:rPr>
      </w:pPr>
      <w:r>
        <w:rPr>
          <w:rFonts w:ascii="宋体" w:hAnsi="宋体" w:eastAsia="宋体" w:cs="宋体"/>
          <w:color w:val="auto"/>
          <w:spacing w:val="9"/>
          <w:sz w:val="20"/>
          <w:szCs w:val="20"/>
        </w:rPr>
        <w:t>中小企业参加政府采购活动，应当出具本办法规定的《中小企业声明函》</w:t>
      </w:r>
      <w:r>
        <w:rPr>
          <w:rFonts w:ascii="宋体" w:hAnsi="宋体" w:eastAsia="宋体" w:cs="宋体"/>
          <w:color w:val="auto"/>
          <w:spacing w:val="-79"/>
          <w:sz w:val="20"/>
          <w:szCs w:val="20"/>
        </w:rPr>
        <w:t xml:space="preserve"> </w:t>
      </w:r>
      <w:r>
        <w:rPr>
          <w:rFonts w:ascii="宋体" w:hAnsi="宋体" w:eastAsia="宋体" w:cs="宋体"/>
          <w:color w:val="auto"/>
          <w:spacing w:val="9"/>
          <w:sz w:val="20"/>
          <w:szCs w:val="20"/>
        </w:rPr>
        <w:t>（附</w:t>
      </w:r>
      <w:r>
        <w:rPr>
          <w:rFonts w:ascii="宋体" w:hAnsi="宋体" w:eastAsia="宋体" w:cs="宋体"/>
          <w:color w:val="auto"/>
          <w:spacing w:val="34"/>
          <w:sz w:val="20"/>
          <w:szCs w:val="20"/>
        </w:rPr>
        <w:t xml:space="preserve"> </w:t>
      </w:r>
      <w:r>
        <w:rPr>
          <w:rFonts w:ascii="宋体" w:hAnsi="宋体" w:eastAsia="宋体" w:cs="宋体"/>
          <w:color w:val="auto"/>
          <w:spacing w:val="9"/>
          <w:sz w:val="20"/>
          <w:szCs w:val="20"/>
        </w:rPr>
        <w:t>1</w:t>
      </w:r>
      <w:r>
        <w:rPr>
          <w:rFonts w:ascii="宋体" w:hAnsi="宋体" w:eastAsia="宋体" w:cs="宋体"/>
          <w:color w:val="auto"/>
          <w:spacing w:val="22"/>
          <w:sz w:val="20"/>
          <w:szCs w:val="20"/>
        </w:rPr>
        <w:t>），</w:t>
      </w:r>
      <w:r>
        <w:rPr>
          <w:rFonts w:ascii="宋体" w:hAnsi="宋体" w:eastAsia="宋体" w:cs="宋体"/>
          <w:color w:val="auto"/>
          <w:spacing w:val="9"/>
          <w:sz w:val="20"/>
          <w:szCs w:val="20"/>
        </w:rPr>
        <w:t>否则不得享受相关中小企业扶持政策。任何单位和个人不得要求供应商提供《中小企业声明</w:t>
      </w:r>
      <w:r>
        <w:rPr>
          <w:rFonts w:ascii="宋体" w:hAnsi="宋体" w:eastAsia="宋体" w:cs="宋体"/>
          <w:color w:val="auto"/>
          <w:spacing w:val="8"/>
          <w:sz w:val="20"/>
          <w:szCs w:val="20"/>
        </w:rPr>
        <w:t>函》之外的中小企业身份证明文件。</w:t>
      </w:r>
    </w:p>
    <w:p w14:paraId="0CB6071D">
      <w:pPr>
        <w:spacing w:line="228" w:lineRule="auto"/>
        <w:ind w:left="526"/>
        <w:rPr>
          <w:rFonts w:ascii="宋体" w:hAnsi="宋体" w:eastAsia="宋体" w:cs="宋体"/>
          <w:color w:val="auto"/>
          <w:sz w:val="20"/>
          <w:szCs w:val="20"/>
        </w:rPr>
      </w:pPr>
      <w:r>
        <w:rPr>
          <w:rFonts w:ascii="宋体" w:hAnsi="宋体" w:eastAsia="宋体" w:cs="宋体"/>
          <w:color w:val="auto"/>
          <w:spacing w:val="7"/>
          <w:sz w:val="20"/>
          <w:szCs w:val="20"/>
        </w:rPr>
        <w:t>第十二条</w:t>
      </w:r>
    </w:p>
    <w:p w14:paraId="6BB41773">
      <w:pPr>
        <w:spacing w:before="65" w:line="228" w:lineRule="auto"/>
        <w:ind w:left="525"/>
        <w:rPr>
          <w:rFonts w:ascii="宋体" w:hAnsi="宋体" w:eastAsia="宋体" w:cs="宋体"/>
          <w:color w:val="auto"/>
          <w:sz w:val="20"/>
          <w:szCs w:val="20"/>
        </w:rPr>
      </w:pPr>
      <w:r>
        <w:rPr>
          <w:rFonts w:ascii="宋体" w:hAnsi="宋体" w:eastAsia="宋体" w:cs="宋体"/>
          <w:color w:val="auto"/>
          <w:spacing w:val="9"/>
          <w:sz w:val="20"/>
          <w:szCs w:val="20"/>
        </w:rPr>
        <w:t>采购项目涉及中小企业采购的，采购文件应当明确以下内容：</w:t>
      </w:r>
    </w:p>
    <w:p w14:paraId="4488160C">
      <w:pPr>
        <w:spacing w:before="65" w:line="258" w:lineRule="auto"/>
        <w:ind w:left="24" w:right="18" w:firstLine="406"/>
        <w:rPr>
          <w:rFonts w:ascii="宋体" w:hAnsi="宋体" w:eastAsia="宋体" w:cs="宋体"/>
          <w:color w:val="auto"/>
          <w:sz w:val="20"/>
          <w:szCs w:val="20"/>
        </w:rPr>
      </w:pPr>
      <w:r>
        <w:rPr>
          <w:rFonts w:ascii="宋体" w:hAnsi="宋体" w:eastAsia="宋体" w:cs="宋体"/>
          <w:color w:val="auto"/>
          <w:spacing w:val="8"/>
          <w:sz w:val="20"/>
          <w:szCs w:val="20"/>
        </w:rPr>
        <w:t>（一）预留份额的采购项目或者采购包，明确该项目或相关采购包专门面向中小企业采购，</w:t>
      </w:r>
      <w:r>
        <w:rPr>
          <w:rFonts w:ascii="宋体" w:hAnsi="宋体" w:eastAsia="宋体" w:cs="宋体"/>
          <w:color w:val="auto"/>
          <w:spacing w:val="6"/>
          <w:sz w:val="20"/>
          <w:szCs w:val="20"/>
        </w:rPr>
        <w:t>以及相关标的及预算金额；</w:t>
      </w:r>
    </w:p>
    <w:p w14:paraId="2FB63496">
      <w:pPr>
        <w:spacing w:before="65" w:line="258" w:lineRule="auto"/>
        <w:ind w:left="1" w:firstLine="429"/>
        <w:rPr>
          <w:rFonts w:ascii="宋体" w:hAnsi="宋体" w:eastAsia="宋体" w:cs="宋体"/>
          <w:color w:val="auto"/>
          <w:sz w:val="20"/>
          <w:szCs w:val="20"/>
        </w:rPr>
      </w:pPr>
      <w:r>
        <w:rPr>
          <w:rFonts w:ascii="宋体" w:hAnsi="宋体" w:eastAsia="宋体" w:cs="宋体"/>
          <w:color w:val="auto"/>
          <w:spacing w:val="9"/>
          <w:sz w:val="20"/>
          <w:szCs w:val="20"/>
        </w:rPr>
        <w:t>（二）要求以联合体形式参加或者合同分包的，明确联合协议</w:t>
      </w:r>
      <w:r>
        <w:rPr>
          <w:rFonts w:ascii="宋体" w:hAnsi="宋体" w:eastAsia="宋体" w:cs="宋体"/>
          <w:color w:val="auto"/>
          <w:spacing w:val="8"/>
          <w:sz w:val="20"/>
          <w:szCs w:val="20"/>
        </w:rPr>
        <w:t>或者分包意向协议中中小企业</w:t>
      </w:r>
      <w:r>
        <w:rPr>
          <w:rFonts w:ascii="宋体" w:hAnsi="宋体" w:eastAsia="宋体" w:cs="宋体"/>
          <w:color w:val="auto"/>
          <w:spacing w:val="9"/>
          <w:sz w:val="20"/>
          <w:szCs w:val="20"/>
        </w:rPr>
        <w:t>合同金额应当达到的比例，并作为供应商资格条件；</w:t>
      </w:r>
    </w:p>
    <w:p w14:paraId="14E652FD">
      <w:pPr>
        <w:spacing w:before="65" w:line="227" w:lineRule="auto"/>
        <w:ind w:left="430"/>
        <w:rPr>
          <w:rFonts w:ascii="宋体" w:hAnsi="宋体" w:eastAsia="宋体" w:cs="宋体"/>
          <w:color w:val="auto"/>
          <w:sz w:val="20"/>
          <w:szCs w:val="20"/>
        </w:rPr>
      </w:pPr>
      <w:r>
        <w:rPr>
          <w:rFonts w:ascii="宋体" w:hAnsi="宋体" w:eastAsia="宋体" w:cs="宋体"/>
          <w:color w:val="auto"/>
          <w:spacing w:val="9"/>
          <w:sz w:val="20"/>
          <w:szCs w:val="20"/>
        </w:rPr>
        <w:t>（三）非预留份额的采购项目或者采购包，明确有关价格扣除比例或者价格分加分比例；</w:t>
      </w:r>
    </w:p>
    <w:p w14:paraId="5F45C4C5">
      <w:pPr>
        <w:spacing w:line="227" w:lineRule="auto"/>
        <w:rPr>
          <w:rFonts w:ascii="宋体" w:hAnsi="宋体" w:eastAsia="宋体" w:cs="宋体"/>
          <w:color w:val="auto"/>
          <w:sz w:val="20"/>
          <w:szCs w:val="20"/>
        </w:rPr>
        <w:sectPr>
          <w:footerReference r:id="rId45" w:type="default"/>
          <w:pgSz w:w="11906" w:h="16839"/>
          <w:pgMar w:top="1440" w:right="1080" w:bottom="1440" w:left="1080" w:header="0" w:footer="799" w:gutter="0"/>
          <w:pgNumType w:fmt="decimal"/>
          <w:cols w:space="720" w:num="1"/>
        </w:sectPr>
      </w:pPr>
    </w:p>
    <w:p w14:paraId="4BA1756F">
      <w:pPr>
        <w:spacing w:before="61" w:line="258" w:lineRule="auto"/>
        <w:ind w:left="3" w:right="1" w:firstLine="427"/>
        <w:rPr>
          <w:rFonts w:ascii="宋体" w:hAnsi="宋体" w:eastAsia="宋体" w:cs="宋体"/>
          <w:color w:val="auto"/>
          <w:sz w:val="20"/>
          <w:szCs w:val="20"/>
        </w:rPr>
      </w:pPr>
      <w:r>
        <w:rPr>
          <w:rFonts w:ascii="宋体" w:hAnsi="宋体" w:eastAsia="宋体" w:cs="宋体"/>
          <w:color w:val="auto"/>
          <w:spacing w:val="9"/>
          <w:sz w:val="20"/>
          <w:szCs w:val="20"/>
        </w:rPr>
        <w:t>（四）规定依据本办法规定享受扶持政策获得政府采购合同的</w:t>
      </w:r>
      <w:r>
        <w:rPr>
          <w:rFonts w:ascii="宋体" w:hAnsi="宋体" w:eastAsia="宋体" w:cs="宋体"/>
          <w:color w:val="auto"/>
          <w:spacing w:val="8"/>
          <w:sz w:val="20"/>
          <w:szCs w:val="20"/>
        </w:rPr>
        <w:t>，小微企业不得将合同分包给</w:t>
      </w:r>
      <w:r>
        <w:rPr>
          <w:rFonts w:ascii="宋体" w:hAnsi="宋体" w:eastAsia="宋体" w:cs="宋体"/>
          <w:color w:val="auto"/>
          <w:spacing w:val="9"/>
          <w:sz w:val="20"/>
          <w:szCs w:val="20"/>
        </w:rPr>
        <w:t>大中型企业，中型企业不得将合同分包给大型企</w:t>
      </w:r>
      <w:r>
        <w:rPr>
          <w:rFonts w:ascii="宋体" w:hAnsi="宋体" w:eastAsia="宋体" w:cs="宋体"/>
          <w:color w:val="auto"/>
          <w:spacing w:val="8"/>
          <w:sz w:val="20"/>
          <w:szCs w:val="20"/>
        </w:rPr>
        <w:t>业；</w:t>
      </w:r>
    </w:p>
    <w:p w14:paraId="6959F14C">
      <w:pPr>
        <w:spacing w:before="65" w:line="258" w:lineRule="auto"/>
        <w:ind w:right="1" w:firstLine="430"/>
        <w:rPr>
          <w:rFonts w:ascii="宋体" w:hAnsi="宋体" w:eastAsia="宋体" w:cs="宋体"/>
          <w:color w:val="auto"/>
          <w:sz w:val="20"/>
          <w:szCs w:val="20"/>
        </w:rPr>
      </w:pPr>
      <w:r>
        <w:rPr>
          <w:rFonts w:ascii="宋体" w:hAnsi="宋体" w:eastAsia="宋体" w:cs="宋体"/>
          <w:color w:val="auto"/>
          <w:spacing w:val="9"/>
          <w:sz w:val="20"/>
          <w:szCs w:val="20"/>
        </w:rPr>
        <w:t>（五）采购人认为具备相关条件的，明确对中小企业在资金支</w:t>
      </w:r>
      <w:r>
        <w:rPr>
          <w:rFonts w:ascii="宋体" w:hAnsi="宋体" w:eastAsia="宋体" w:cs="宋体"/>
          <w:color w:val="auto"/>
          <w:spacing w:val="8"/>
          <w:sz w:val="20"/>
          <w:szCs w:val="20"/>
        </w:rPr>
        <w:t>付期限、预付款比例等方面的</w:t>
      </w:r>
      <w:r>
        <w:rPr>
          <w:rFonts w:ascii="宋体" w:hAnsi="宋体" w:eastAsia="宋体" w:cs="宋体"/>
          <w:color w:val="auto"/>
          <w:spacing w:val="6"/>
          <w:sz w:val="20"/>
          <w:szCs w:val="20"/>
        </w:rPr>
        <w:t>优惠措施；</w:t>
      </w:r>
    </w:p>
    <w:p w14:paraId="147081C2">
      <w:pPr>
        <w:spacing w:before="64" w:line="228" w:lineRule="auto"/>
        <w:ind w:left="430"/>
        <w:rPr>
          <w:rFonts w:ascii="宋体" w:hAnsi="宋体" w:eastAsia="宋体" w:cs="宋体"/>
          <w:color w:val="auto"/>
          <w:sz w:val="20"/>
          <w:szCs w:val="20"/>
        </w:rPr>
      </w:pPr>
      <w:r>
        <w:rPr>
          <w:rFonts w:ascii="宋体" w:hAnsi="宋体" w:eastAsia="宋体" w:cs="宋体"/>
          <w:color w:val="auto"/>
          <w:spacing w:val="8"/>
          <w:sz w:val="20"/>
          <w:szCs w:val="20"/>
        </w:rPr>
        <w:t>（六）明确采购标的对应的中小企业划分标准所属行业；</w:t>
      </w:r>
    </w:p>
    <w:p w14:paraId="50CF668A">
      <w:pPr>
        <w:spacing w:before="65" w:line="228" w:lineRule="auto"/>
        <w:ind w:left="430"/>
        <w:rPr>
          <w:rFonts w:ascii="宋体" w:hAnsi="宋体" w:eastAsia="宋体" w:cs="宋体"/>
          <w:color w:val="auto"/>
          <w:sz w:val="20"/>
          <w:szCs w:val="20"/>
        </w:rPr>
      </w:pPr>
      <w:r>
        <w:rPr>
          <w:rFonts w:ascii="宋体" w:hAnsi="宋体" w:eastAsia="宋体" w:cs="宋体"/>
          <w:color w:val="auto"/>
          <w:spacing w:val="9"/>
          <w:sz w:val="20"/>
          <w:szCs w:val="20"/>
        </w:rPr>
        <w:t>（七）法律法规和省级以上人民政府财政部门规定的其他</w:t>
      </w:r>
      <w:r>
        <w:rPr>
          <w:rFonts w:ascii="宋体" w:hAnsi="宋体" w:eastAsia="宋体" w:cs="宋体"/>
          <w:color w:val="auto"/>
          <w:spacing w:val="8"/>
          <w:sz w:val="20"/>
          <w:szCs w:val="20"/>
        </w:rPr>
        <w:t>事项。</w:t>
      </w:r>
    </w:p>
    <w:p w14:paraId="4C1F5E80">
      <w:pPr>
        <w:spacing w:before="65" w:line="228" w:lineRule="auto"/>
        <w:ind w:left="526"/>
        <w:rPr>
          <w:rFonts w:ascii="宋体" w:hAnsi="宋体" w:eastAsia="宋体" w:cs="宋体"/>
          <w:color w:val="auto"/>
          <w:sz w:val="20"/>
          <w:szCs w:val="20"/>
        </w:rPr>
      </w:pPr>
      <w:r>
        <w:rPr>
          <w:rFonts w:ascii="宋体" w:hAnsi="宋体" w:eastAsia="宋体" w:cs="宋体"/>
          <w:color w:val="auto"/>
          <w:spacing w:val="7"/>
          <w:sz w:val="20"/>
          <w:szCs w:val="20"/>
        </w:rPr>
        <w:t>第十三条</w:t>
      </w:r>
    </w:p>
    <w:p w14:paraId="07D40F7B">
      <w:pPr>
        <w:spacing w:before="64" w:line="288" w:lineRule="auto"/>
        <w:ind w:left="3" w:right="1" w:firstLine="542"/>
        <w:rPr>
          <w:rFonts w:ascii="宋体" w:hAnsi="宋体" w:eastAsia="宋体" w:cs="宋体"/>
          <w:color w:val="auto"/>
          <w:sz w:val="20"/>
          <w:szCs w:val="20"/>
        </w:rPr>
      </w:pPr>
      <w:r>
        <w:rPr>
          <w:rFonts w:ascii="宋体" w:hAnsi="宋体" w:eastAsia="宋体" w:cs="宋体"/>
          <w:color w:val="auto"/>
          <w:spacing w:val="11"/>
          <w:sz w:val="20"/>
          <w:szCs w:val="20"/>
        </w:rPr>
        <w:t>中标、成交供应商享受本办法规定的中小企业扶持政策的，采购人、招标代理机构应当随</w:t>
      </w:r>
      <w:r>
        <w:rPr>
          <w:rFonts w:ascii="宋体" w:hAnsi="宋体" w:eastAsia="宋体" w:cs="宋体"/>
          <w:color w:val="auto"/>
          <w:spacing w:val="9"/>
          <w:sz w:val="20"/>
          <w:szCs w:val="20"/>
        </w:rPr>
        <w:t>中标、成交结果公开中标、成交供应商的《中小企业声明函》。适用招标投标法的政府</w:t>
      </w:r>
      <w:r>
        <w:rPr>
          <w:rFonts w:ascii="宋体" w:hAnsi="宋体" w:eastAsia="宋体" w:cs="宋体"/>
          <w:color w:val="auto"/>
          <w:spacing w:val="8"/>
          <w:sz w:val="20"/>
          <w:szCs w:val="20"/>
        </w:rPr>
        <w:t>采购工程</w:t>
      </w:r>
      <w:r>
        <w:rPr>
          <w:rFonts w:ascii="宋体" w:hAnsi="宋体" w:eastAsia="宋体" w:cs="宋体"/>
          <w:color w:val="auto"/>
          <w:spacing w:val="9"/>
          <w:sz w:val="20"/>
          <w:szCs w:val="20"/>
        </w:rPr>
        <w:t>建设项目，应当在公示中标候选人时公开中标候选人的《中小企业声明函》。</w:t>
      </w:r>
    </w:p>
    <w:p w14:paraId="0B6023F0">
      <w:pPr>
        <w:spacing w:line="228" w:lineRule="auto"/>
        <w:ind w:left="526"/>
        <w:rPr>
          <w:rFonts w:ascii="宋体" w:hAnsi="宋体" w:eastAsia="宋体" w:cs="宋体"/>
          <w:color w:val="auto"/>
          <w:sz w:val="20"/>
          <w:szCs w:val="20"/>
        </w:rPr>
      </w:pPr>
      <w:r>
        <w:rPr>
          <w:rFonts w:ascii="宋体" w:hAnsi="宋体" w:eastAsia="宋体" w:cs="宋体"/>
          <w:color w:val="auto"/>
          <w:spacing w:val="7"/>
          <w:sz w:val="20"/>
          <w:szCs w:val="20"/>
        </w:rPr>
        <w:t>第十四条</w:t>
      </w:r>
    </w:p>
    <w:p w14:paraId="762D0000">
      <w:pPr>
        <w:spacing w:before="64" w:line="288" w:lineRule="auto"/>
        <w:ind w:left="1" w:right="1" w:firstLine="523"/>
        <w:rPr>
          <w:rFonts w:ascii="宋体" w:hAnsi="宋体" w:eastAsia="宋体" w:cs="宋体"/>
          <w:color w:val="auto"/>
          <w:sz w:val="20"/>
          <w:szCs w:val="20"/>
        </w:rPr>
      </w:pPr>
      <w:r>
        <w:rPr>
          <w:rFonts w:ascii="宋体" w:hAnsi="宋体" w:eastAsia="宋体" w:cs="宋体"/>
          <w:color w:val="auto"/>
          <w:spacing w:val="12"/>
          <w:sz w:val="20"/>
          <w:szCs w:val="20"/>
        </w:rPr>
        <w:t>对于通过预留采购项目、预留专门采购包、要求以联</w:t>
      </w:r>
      <w:r>
        <w:rPr>
          <w:rFonts w:ascii="宋体" w:hAnsi="宋体" w:eastAsia="宋体" w:cs="宋体"/>
          <w:color w:val="auto"/>
          <w:spacing w:val="11"/>
          <w:sz w:val="20"/>
          <w:szCs w:val="20"/>
        </w:rPr>
        <w:t>合体形式参加或者合同分包等措施签</w:t>
      </w:r>
      <w:r>
        <w:rPr>
          <w:rFonts w:ascii="宋体" w:hAnsi="宋体" w:eastAsia="宋体" w:cs="宋体"/>
          <w:color w:val="auto"/>
          <w:spacing w:val="9"/>
          <w:sz w:val="20"/>
          <w:szCs w:val="20"/>
        </w:rPr>
        <w:t>订的采购合同，应当明确标注本合同为中小企业预留合同。其中，要求以联合体形式参加采</w:t>
      </w:r>
      <w:r>
        <w:rPr>
          <w:rFonts w:ascii="宋体" w:hAnsi="宋体" w:eastAsia="宋体" w:cs="宋体"/>
          <w:color w:val="auto"/>
          <w:spacing w:val="8"/>
          <w:sz w:val="20"/>
          <w:szCs w:val="20"/>
        </w:rPr>
        <w:t>购活</w:t>
      </w:r>
      <w:r>
        <w:rPr>
          <w:rFonts w:ascii="宋体" w:hAnsi="宋体" w:eastAsia="宋体" w:cs="宋体"/>
          <w:color w:val="auto"/>
          <w:spacing w:val="9"/>
          <w:sz w:val="20"/>
          <w:szCs w:val="20"/>
        </w:rPr>
        <w:t>动或者合同分包的，应当将联合协议或者分包意向协议作为采购合同的组成部分。</w:t>
      </w:r>
    </w:p>
    <w:p w14:paraId="451370E6">
      <w:pPr>
        <w:spacing w:before="1" w:line="228" w:lineRule="auto"/>
        <w:ind w:left="526"/>
        <w:rPr>
          <w:rFonts w:ascii="宋体" w:hAnsi="宋体" w:eastAsia="宋体" w:cs="宋体"/>
          <w:color w:val="auto"/>
          <w:sz w:val="20"/>
          <w:szCs w:val="20"/>
        </w:rPr>
      </w:pPr>
      <w:r>
        <w:rPr>
          <w:rFonts w:ascii="宋体" w:hAnsi="宋体" w:eastAsia="宋体" w:cs="宋体"/>
          <w:color w:val="auto"/>
          <w:spacing w:val="7"/>
          <w:sz w:val="20"/>
          <w:szCs w:val="20"/>
        </w:rPr>
        <w:t>第十五条</w:t>
      </w:r>
    </w:p>
    <w:p w14:paraId="6153E5AA">
      <w:pPr>
        <w:spacing w:before="64" w:line="288" w:lineRule="auto"/>
        <w:ind w:right="1" w:firstLine="421"/>
        <w:rPr>
          <w:rFonts w:ascii="宋体" w:hAnsi="宋体" w:eastAsia="宋体" w:cs="宋体"/>
          <w:color w:val="auto"/>
          <w:sz w:val="20"/>
          <w:szCs w:val="20"/>
        </w:rPr>
      </w:pPr>
      <w:r>
        <w:rPr>
          <w:rFonts w:ascii="宋体" w:hAnsi="宋体" w:eastAsia="宋体" w:cs="宋体"/>
          <w:color w:val="auto"/>
          <w:spacing w:val="9"/>
          <w:sz w:val="20"/>
          <w:szCs w:val="20"/>
        </w:rPr>
        <w:t>鼓励各地区、各部门在采购活动中允许中小企业引入信用担保手段，为中小企业</w:t>
      </w:r>
      <w:r>
        <w:rPr>
          <w:rFonts w:ascii="宋体" w:hAnsi="宋体" w:eastAsia="宋体" w:cs="宋体"/>
          <w:color w:val="auto"/>
          <w:spacing w:val="8"/>
          <w:sz w:val="20"/>
          <w:szCs w:val="20"/>
        </w:rPr>
        <w:t>在投标（响</w:t>
      </w:r>
      <w:r>
        <w:rPr>
          <w:rFonts w:ascii="宋体" w:hAnsi="宋体" w:eastAsia="宋体" w:cs="宋体"/>
          <w:color w:val="auto"/>
          <w:spacing w:val="10"/>
          <w:sz w:val="20"/>
          <w:szCs w:val="20"/>
        </w:rPr>
        <w:t>应）保证、履约保证等方面提供专业化服务</w:t>
      </w:r>
      <w:r>
        <w:rPr>
          <w:rFonts w:ascii="宋体" w:hAnsi="宋体" w:eastAsia="宋体" w:cs="宋体"/>
          <w:color w:val="auto"/>
          <w:spacing w:val="9"/>
          <w:sz w:val="20"/>
          <w:szCs w:val="20"/>
        </w:rPr>
        <w:t>。鼓励中小企业依法合规通过政府采购合同融资。</w:t>
      </w:r>
    </w:p>
    <w:p w14:paraId="33C7FC5B">
      <w:pPr>
        <w:spacing w:before="1" w:line="228" w:lineRule="auto"/>
        <w:ind w:left="526"/>
        <w:rPr>
          <w:rFonts w:ascii="宋体" w:hAnsi="宋体" w:eastAsia="宋体" w:cs="宋体"/>
          <w:color w:val="auto"/>
          <w:sz w:val="20"/>
          <w:szCs w:val="20"/>
        </w:rPr>
      </w:pPr>
      <w:r>
        <w:rPr>
          <w:rFonts w:ascii="宋体" w:hAnsi="宋体" w:eastAsia="宋体" w:cs="宋体"/>
          <w:color w:val="auto"/>
          <w:spacing w:val="7"/>
          <w:sz w:val="20"/>
          <w:szCs w:val="20"/>
        </w:rPr>
        <w:t>第十六条</w:t>
      </w:r>
    </w:p>
    <w:p w14:paraId="59A6C5E5">
      <w:pPr>
        <w:spacing w:before="64" w:line="288" w:lineRule="auto"/>
        <w:ind w:firstLine="524"/>
        <w:rPr>
          <w:rFonts w:ascii="宋体" w:hAnsi="宋体" w:eastAsia="宋体" w:cs="宋体"/>
          <w:color w:val="auto"/>
          <w:sz w:val="20"/>
          <w:szCs w:val="20"/>
        </w:rPr>
      </w:pPr>
      <w:r>
        <w:rPr>
          <w:rFonts w:ascii="宋体" w:hAnsi="宋体" w:eastAsia="宋体" w:cs="宋体"/>
          <w:color w:val="auto"/>
          <w:spacing w:val="11"/>
          <w:sz w:val="20"/>
          <w:szCs w:val="20"/>
        </w:rPr>
        <w:t>政府采购监督检查、投诉处理及政府采购行</w:t>
      </w:r>
      <w:r>
        <w:rPr>
          <w:rFonts w:ascii="宋体" w:hAnsi="宋体" w:eastAsia="宋体" w:cs="宋体"/>
          <w:color w:val="auto"/>
          <w:spacing w:val="10"/>
          <w:sz w:val="20"/>
          <w:szCs w:val="20"/>
        </w:rPr>
        <w:t>政处罚中对中小企业的认定，</w:t>
      </w:r>
      <w:r>
        <w:rPr>
          <w:rFonts w:ascii="宋体" w:hAnsi="宋体" w:eastAsia="宋体" w:cs="宋体"/>
          <w:color w:val="auto"/>
          <w:spacing w:val="-57"/>
          <w:sz w:val="20"/>
          <w:szCs w:val="20"/>
        </w:rPr>
        <w:t xml:space="preserve"> </w:t>
      </w:r>
      <w:r>
        <w:rPr>
          <w:rFonts w:ascii="宋体" w:hAnsi="宋体" w:eastAsia="宋体" w:cs="宋体"/>
          <w:color w:val="auto"/>
          <w:spacing w:val="10"/>
          <w:sz w:val="20"/>
          <w:szCs w:val="20"/>
        </w:rPr>
        <w:t>由货物制造商或</w:t>
      </w:r>
      <w:r>
        <w:rPr>
          <w:rFonts w:ascii="宋体" w:hAnsi="宋体" w:eastAsia="宋体" w:cs="宋体"/>
          <w:color w:val="auto"/>
          <w:spacing w:val="9"/>
          <w:sz w:val="20"/>
          <w:szCs w:val="20"/>
        </w:rPr>
        <w:t>者工程、服务供应商注册登记所在地的县级以上人民政府中小企业主管部门负责。中小企业主管</w:t>
      </w:r>
      <w:r>
        <w:rPr>
          <w:rFonts w:ascii="宋体" w:hAnsi="宋体" w:eastAsia="宋体" w:cs="宋体"/>
          <w:color w:val="auto"/>
          <w:spacing w:val="16"/>
          <w:sz w:val="20"/>
          <w:szCs w:val="20"/>
        </w:rPr>
        <w:t>部门应当在收到财政部门或者有关招标投标</w:t>
      </w:r>
      <w:r>
        <w:rPr>
          <w:rFonts w:ascii="宋体" w:hAnsi="宋体" w:eastAsia="宋体" w:cs="宋体"/>
          <w:color w:val="auto"/>
          <w:spacing w:val="15"/>
          <w:sz w:val="20"/>
          <w:szCs w:val="20"/>
        </w:rPr>
        <w:t>行政监督部门关于协助开展中小企业认定函后</w:t>
      </w:r>
      <w:r>
        <w:rPr>
          <w:rFonts w:ascii="宋体" w:hAnsi="宋体" w:eastAsia="宋体" w:cs="宋体"/>
          <w:color w:val="auto"/>
          <w:spacing w:val="44"/>
          <w:sz w:val="20"/>
          <w:szCs w:val="20"/>
        </w:rPr>
        <w:t xml:space="preserve"> </w:t>
      </w:r>
      <w:r>
        <w:rPr>
          <w:rFonts w:ascii="宋体" w:hAnsi="宋体" w:eastAsia="宋体" w:cs="宋体"/>
          <w:color w:val="auto"/>
          <w:spacing w:val="15"/>
          <w:sz w:val="20"/>
          <w:szCs w:val="20"/>
        </w:rPr>
        <w:t>10</w:t>
      </w:r>
      <w:r>
        <w:rPr>
          <w:rFonts w:ascii="宋体" w:hAnsi="宋体" w:eastAsia="宋体" w:cs="宋体"/>
          <w:color w:val="auto"/>
          <w:spacing w:val="8"/>
          <w:sz w:val="20"/>
          <w:szCs w:val="20"/>
        </w:rPr>
        <w:t>个工作日内作出书面答复。</w:t>
      </w:r>
    </w:p>
    <w:p w14:paraId="4B9CB763">
      <w:pPr>
        <w:spacing w:before="1" w:line="228" w:lineRule="auto"/>
        <w:ind w:left="526"/>
        <w:rPr>
          <w:rFonts w:ascii="宋体" w:hAnsi="宋体" w:eastAsia="宋体" w:cs="宋体"/>
          <w:color w:val="auto"/>
          <w:sz w:val="20"/>
          <w:szCs w:val="20"/>
        </w:rPr>
      </w:pPr>
      <w:r>
        <w:rPr>
          <w:rFonts w:ascii="宋体" w:hAnsi="宋体" w:eastAsia="宋体" w:cs="宋体"/>
          <w:color w:val="auto"/>
          <w:spacing w:val="7"/>
          <w:sz w:val="20"/>
          <w:szCs w:val="20"/>
        </w:rPr>
        <w:t>第十七条</w:t>
      </w:r>
    </w:p>
    <w:p w14:paraId="11621A88">
      <w:pPr>
        <w:spacing w:before="64" w:line="288" w:lineRule="auto"/>
        <w:ind w:left="2" w:right="1" w:firstLine="526"/>
        <w:rPr>
          <w:rFonts w:ascii="宋体" w:hAnsi="宋体" w:eastAsia="宋体" w:cs="宋体"/>
          <w:color w:val="auto"/>
          <w:sz w:val="20"/>
          <w:szCs w:val="20"/>
        </w:rPr>
      </w:pPr>
      <w:r>
        <w:rPr>
          <w:rFonts w:ascii="宋体" w:hAnsi="宋体" w:eastAsia="宋体" w:cs="宋体"/>
          <w:color w:val="auto"/>
          <w:spacing w:val="12"/>
          <w:sz w:val="20"/>
          <w:szCs w:val="20"/>
        </w:rPr>
        <w:t>各地区、各部门应当对涉及中小企业采购的</w:t>
      </w:r>
      <w:r>
        <w:rPr>
          <w:rFonts w:ascii="宋体" w:hAnsi="宋体" w:eastAsia="宋体" w:cs="宋体"/>
          <w:color w:val="auto"/>
          <w:spacing w:val="11"/>
          <w:sz w:val="20"/>
          <w:szCs w:val="20"/>
        </w:rPr>
        <w:t>预算项目实施全过程绩效管理，合理设置绩效</w:t>
      </w:r>
      <w:r>
        <w:rPr>
          <w:rFonts w:ascii="宋体" w:hAnsi="宋体" w:eastAsia="宋体" w:cs="宋体"/>
          <w:color w:val="auto"/>
          <w:spacing w:val="9"/>
          <w:sz w:val="20"/>
          <w:szCs w:val="20"/>
        </w:rPr>
        <w:t>目标和指标，落实扶持中小企业有关政策要求，定期开展绩效监控和评价，强化绩效评价</w:t>
      </w:r>
      <w:r>
        <w:rPr>
          <w:rFonts w:ascii="宋体" w:hAnsi="宋体" w:eastAsia="宋体" w:cs="宋体"/>
          <w:color w:val="auto"/>
          <w:spacing w:val="8"/>
          <w:sz w:val="20"/>
          <w:szCs w:val="20"/>
        </w:rPr>
        <w:t>结果应</w:t>
      </w:r>
      <w:r>
        <w:rPr>
          <w:rFonts w:ascii="宋体" w:hAnsi="宋体" w:eastAsia="宋体" w:cs="宋体"/>
          <w:color w:val="auto"/>
          <w:spacing w:val="-1"/>
          <w:sz w:val="20"/>
          <w:szCs w:val="20"/>
        </w:rPr>
        <w:t>用。</w:t>
      </w:r>
    </w:p>
    <w:p w14:paraId="386C2E95">
      <w:pPr>
        <w:spacing w:before="1" w:line="228" w:lineRule="auto"/>
        <w:ind w:left="420"/>
        <w:rPr>
          <w:rFonts w:ascii="宋体" w:hAnsi="宋体" w:eastAsia="宋体" w:cs="宋体"/>
          <w:color w:val="auto"/>
          <w:sz w:val="20"/>
          <w:szCs w:val="20"/>
        </w:rPr>
      </w:pPr>
      <w:r>
        <w:rPr>
          <w:rFonts w:ascii="宋体" w:hAnsi="宋体" w:eastAsia="宋体" w:cs="宋体"/>
          <w:color w:val="auto"/>
          <w:spacing w:val="7"/>
          <w:sz w:val="20"/>
          <w:szCs w:val="20"/>
        </w:rPr>
        <w:t>第十八条</w:t>
      </w:r>
    </w:p>
    <w:p w14:paraId="31C3D147">
      <w:pPr>
        <w:spacing w:before="64" w:line="288" w:lineRule="auto"/>
        <w:ind w:right="1" w:firstLine="527"/>
        <w:jc w:val="both"/>
        <w:rPr>
          <w:rFonts w:ascii="宋体" w:hAnsi="宋体" w:eastAsia="宋体" w:cs="宋体"/>
          <w:color w:val="auto"/>
          <w:sz w:val="20"/>
          <w:szCs w:val="20"/>
        </w:rPr>
      </w:pPr>
      <w:r>
        <w:rPr>
          <w:rFonts w:ascii="宋体" w:hAnsi="宋体" w:eastAsia="宋体" w:cs="宋体"/>
          <w:color w:val="auto"/>
          <w:spacing w:val="11"/>
          <w:sz w:val="20"/>
          <w:szCs w:val="20"/>
        </w:rPr>
        <w:t>主管预算单位应当自 2022 年起向同级财政部门报告本</w:t>
      </w:r>
      <w:r>
        <w:rPr>
          <w:rFonts w:ascii="宋体" w:hAnsi="宋体" w:eastAsia="宋体" w:cs="宋体"/>
          <w:color w:val="auto"/>
          <w:spacing w:val="10"/>
          <w:sz w:val="20"/>
          <w:szCs w:val="20"/>
        </w:rPr>
        <w:t>部门上一年度面向中小企业预留份</w:t>
      </w:r>
      <w:r>
        <w:rPr>
          <w:rFonts w:ascii="宋体" w:hAnsi="宋体" w:eastAsia="宋体" w:cs="宋体"/>
          <w:color w:val="auto"/>
          <w:spacing w:val="9"/>
          <w:sz w:val="20"/>
          <w:szCs w:val="20"/>
        </w:rPr>
        <w:t>额和采购的具体情况，并在中国政府采购网公开预留项目执行情况（附</w:t>
      </w:r>
      <w:r>
        <w:rPr>
          <w:rFonts w:ascii="宋体" w:hAnsi="宋体" w:eastAsia="宋体" w:cs="宋体"/>
          <w:color w:val="auto"/>
          <w:spacing w:val="-37"/>
          <w:sz w:val="20"/>
          <w:szCs w:val="20"/>
        </w:rPr>
        <w:t xml:space="preserve"> </w:t>
      </w:r>
      <w:r>
        <w:rPr>
          <w:rFonts w:ascii="宋体" w:hAnsi="宋体" w:eastAsia="宋体" w:cs="宋体"/>
          <w:color w:val="auto"/>
          <w:spacing w:val="9"/>
          <w:sz w:val="20"/>
          <w:szCs w:val="20"/>
        </w:rPr>
        <w:t>2）</w:t>
      </w:r>
      <w:r>
        <w:rPr>
          <w:rFonts w:ascii="宋体" w:hAnsi="宋体" w:eastAsia="宋体" w:cs="宋体"/>
          <w:color w:val="auto"/>
          <w:spacing w:val="-59"/>
          <w:sz w:val="20"/>
          <w:szCs w:val="20"/>
        </w:rPr>
        <w:t xml:space="preserve"> </w:t>
      </w:r>
      <w:r>
        <w:rPr>
          <w:rFonts w:ascii="宋体" w:hAnsi="宋体" w:eastAsia="宋体" w:cs="宋体"/>
          <w:color w:val="auto"/>
          <w:spacing w:val="9"/>
          <w:sz w:val="20"/>
          <w:szCs w:val="20"/>
        </w:rPr>
        <w:t>。未达到</w:t>
      </w:r>
      <w:r>
        <w:rPr>
          <w:rFonts w:ascii="宋体" w:hAnsi="宋体" w:eastAsia="宋体" w:cs="宋体"/>
          <w:color w:val="auto"/>
          <w:spacing w:val="8"/>
          <w:sz w:val="20"/>
          <w:szCs w:val="20"/>
        </w:rPr>
        <w:t>本办法规定的预留份额比例的，应当作出说明。</w:t>
      </w:r>
    </w:p>
    <w:p w14:paraId="75139DB1">
      <w:pPr>
        <w:spacing w:before="1" w:line="228" w:lineRule="auto"/>
        <w:ind w:left="526"/>
        <w:rPr>
          <w:rFonts w:ascii="宋体" w:hAnsi="宋体" w:eastAsia="宋体" w:cs="宋体"/>
          <w:color w:val="auto"/>
          <w:sz w:val="20"/>
          <w:szCs w:val="20"/>
        </w:rPr>
      </w:pPr>
      <w:r>
        <w:rPr>
          <w:rFonts w:ascii="宋体" w:hAnsi="宋体" w:eastAsia="宋体" w:cs="宋体"/>
          <w:color w:val="auto"/>
          <w:spacing w:val="7"/>
          <w:sz w:val="20"/>
          <w:szCs w:val="20"/>
        </w:rPr>
        <w:t>第十九条</w:t>
      </w:r>
    </w:p>
    <w:p w14:paraId="12C027B7">
      <w:pPr>
        <w:spacing w:before="64" w:line="288" w:lineRule="auto"/>
        <w:ind w:left="1" w:right="1" w:firstLine="523"/>
        <w:rPr>
          <w:rFonts w:ascii="宋体" w:hAnsi="宋体" w:eastAsia="宋体" w:cs="宋体"/>
          <w:color w:val="auto"/>
          <w:sz w:val="20"/>
          <w:szCs w:val="20"/>
        </w:rPr>
      </w:pPr>
      <w:r>
        <w:rPr>
          <w:rFonts w:ascii="宋体" w:hAnsi="宋体" w:eastAsia="宋体" w:cs="宋体"/>
          <w:color w:val="auto"/>
          <w:spacing w:val="12"/>
          <w:sz w:val="20"/>
          <w:szCs w:val="20"/>
        </w:rPr>
        <w:t>采购人未按本办法规定为中小企业预留采购份额，采</w:t>
      </w:r>
      <w:r>
        <w:rPr>
          <w:rFonts w:ascii="宋体" w:hAnsi="宋体" w:eastAsia="宋体" w:cs="宋体"/>
          <w:color w:val="auto"/>
          <w:spacing w:val="11"/>
          <w:sz w:val="20"/>
          <w:szCs w:val="20"/>
        </w:rPr>
        <w:t>购人、招标代理机构未按照本办法规</w:t>
      </w:r>
      <w:r>
        <w:rPr>
          <w:rFonts w:ascii="宋体" w:hAnsi="宋体" w:eastAsia="宋体" w:cs="宋体"/>
          <w:color w:val="auto"/>
          <w:spacing w:val="9"/>
          <w:sz w:val="20"/>
          <w:szCs w:val="20"/>
        </w:rPr>
        <w:t>定要求实施价格扣除或者价格分加分的，属于未按照规定执行政府采购政策，依照《中华人</w:t>
      </w:r>
      <w:r>
        <w:rPr>
          <w:rFonts w:ascii="宋体" w:hAnsi="宋体" w:eastAsia="宋体" w:cs="宋体"/>
          <w:color w:val="auto"/>
          <w:spacing w:val="8"/>
          <w:sz w:val="20"/>
          <w:szCs w:val="20"/>
        </w:rPr>
        <w:t>民共</w:t>
      </w:r>
      <w:r>
        <w:rPr>
          <w:rFonts w:ascii="宋体" w:hAnsi="宋体" w:eastAsia="宋体" w:cs="宋体"/>
          <w:color w:val="auto"/>
          <w:spacing w:val="9"/>
          <w:sz w:val="20"/>
          <w:szCs w:val="20"/>
        </w:rPr>
        <w:t>和国政府采购法》等国家有关规定追究法律责任。</w:t>
      </w:r>
    </w:p>
    <w:p w14:paraId="47DBD936">
      <w:pPr>
        <w:spacing w:before="1" w:line="228" w:lineRule="auto"/>
        <w:ind w:left="526"/>
        <w:rPr>
          <w:rFonts w:ascii="宋体" w:hAnsi="宋体" w:eastAsia="宋体" w:cs="宋体"/>
          <w:color w:val="auto"/>
          <w:sz w:val="20"/>
          <w:szCs w:val="20"/>
        </w:rPr>
      </w:pPr>
      <w:r>
        <w:rPr>
          <w:rFonts w:ascii="宋体" w:hAnsi="宋体" w:eastAsia="宋体" w:cs="宋体"/>
          <w:color w:val="auto"/>
          <w:spacing w:val="7"/>
          <w:sz w:val="20"/>
          <w:szCs w:val="20"/>
        </w:rPr>
        <w:t>第二十条</w:t>
      </w:r>
    </w:p>
    <w:p w14:paraId="274D2D2B">
      <w:pPr>
        <w:spacing w:before="64" w:line="288" w:lineRule="auto"/>
        <w:ind w:right="1" w:firstLine="420"/>
        <w:jc w:val="both"/>
        <w:rPr>
          <w:rFonts w:ascii="宋体" w:hAnsi="宋体" w:eastAsia="宋体" w:cs="宋体"/>
          <w:color w:val="auto"/>
          <w:sz w:val="20"/>
          <w:szCs w:val="20"/>
        </w:rPr>
      </w:pPr>
      <w:r>
        <w:rPr>
          <w:rFonts w:ascii="宋体" w:hAnsi="宋体" w:eastAsia="宋体" w:cs="宋体"/>
          <w:color w:val="auto"/>
          <w:spacing w:val="4"/>
          <w:sz w:val="20"/>
          <w:szCs w:val="20"/>
        </w:rPr>
        <w:t>供应商按照本办法规定提供声明函内容不实的，属于提供虚假材料谋取中标、</w:t>
      </w:r>
      <w:r>
        <w:rPr>
          <w:rFonts w:ascii="宋体" w:hAnsi="宋体" w:eastAsia="宋体" w:cs="宋体"/>
          <w:color w:val="auto"/>
          <w:spacing w:val="3"/>
          <w:sz w:val="20"/>
          <w:szCs w:val="20"/>
        </w:rPr>
        <w:t>成交，依照《中</w:t>
      </w:r>
      <w:r>
        <w:rPr>
          <w:rFonts w:ascii="宋体" w:hAnsi="宋体" w:eastAsia="宋体" w:cs="宋体"/>
          <w:color w:val="auto"/>
          <w:spacing w:val="9"/>
          <w:sz w:val="20"/>
          <w:szCs w:val="20"/>
        </w:rPr>
        <w:t>华人民共和国政府采购法》等国家有关规定追究相应责任。适用招标投标法的政府采购工程建设项目，供应商按照本办法规定提供声明函内容不实的，属于弄虚作假骗取中标，依照《中华人民共和国招标投标法》等国家有关规定追究相应责任。</w:t>
      </w:r>
    </w:p>
    <w:p w14:paraId="3FEF84F4">
      <w:pPr>
        <w:spacing w:before="1" w:line="228" w:lineRule="auto"/>
        <w:ind w:left="526"/>
        <w:rPr>
          <w:rFonts w:ascii="宋体" w:hAnsi="宋体" w:eastAsia="宋体" w:cs="宋体"/>
          <w:color w:val="auto"/>
          <w:sz w:val="20"/>
          <w:szCs w:val="20"/>
        </w:rPr>
      </w:pPr>
      <w:r>
        <w:rPr>
          <w:rFonts w:ascii="宋体" w:hAnsi="宋体" w:eastAsia="宋体" w:cs="宋体"/>
          <w:color w:val="auto"/>
          <w:spacing w:val="8"/>
          <w:sz w:val="20"/>
          <w:szCs w:val="20"/>
        </w:rPr>
        <w:t>第二十一条</w:t>
      </w:r>
    </w:p>
    <w:p w14:paraId="1CC7E19F">
      <w:pPr>
        <w:spacing w:before="63" w:line="289" w:lineRule="auto"/>
        <w:ind w:left="1" w:right="1" w:firstLine="525"/>
        <w:rPr>
          <w:rFonts w:ascii="宋体" w:hAnsi="宋体" w:eastAsia="宋体" w:cs="宋体"/>
          <w:color w:val="auto"/>
          <w:sz w:val="20"/>
          <w:szCs w:val="20"/>
        </w:rPr>
      </w:pPr>
      <w:r>
        <w:rPr>
          <w:rFonts w:ascii="宋体" w:hAnsi="宋体" w:eastAsia="宋体" w:cs="宋体"/>
          <w:color w:val="auto"/>
          <w:spacing w:val="12"/>
          <w:sz w:val="20"/>
          <w:szCs w:val="20"/>
        </w:rPr>
        <w:t>财政部门、中小企业主管部门及其工作人员在履</w:t>
      </w:r>
      <w:r>
        <w:rPr>
          <w:rFonts w:ascii="宋体" w:hAnsi="宋体" w:eastAsia="宋体" w:cs="宋体"/>
          <w:color w:val="auto"/>
          <w:spacing w:val="11"/>
          <w:sz w:val="20"/>
          <w:szCs w:val="20"/>
        </w:rPr>
        <w:t>行职责中违反本办法规定及存在其他滥用</w:t>
      </w:r>
      <w:r>
        <w:rPr>
          <w:rFonts w:ascii="宋体" w:hAnsi="宋体" w:eastAsia="宋体" w:cs="宋体"/>
          <w:color w:val="auto"/>
          <w:spacing w:val="9"/>
          <w:sz w:val="20"/>
          <w:szCs w:val="20"/>
        </w:rPr>
        <w:t>职权、玩忽职守、徇私舞弊等违法违纪行为的，依照《中华人民共和国政府采购法》、《中</w:t>
      </w:r>
      <w:r>
        <w:rPr>
          <w:rFonts w:ascii="宋体" w:hAnsi="宋体" w:eastAsia="宋体" w:cs="宋体"/>
          <w:color w:val="auto"/>
          <w:spacing w:val="8"/>
          <w:sz w:val="20"/>
          <w:szCs w:val="20"/>
        </w:rPr>
        <w:t>华人</w:t>
      </w:r>
      <w:r>
        <w:rPr>
          <w:rFonts w:ascii="宋体" w:hAnsi="宋体" w:eastAsia="宋体" w:cs="宋体"/>
          <w:color w:val="auto"/>
          <w:spacing w:val="9"/>
          <w:sz w:val="20"/>
          <w:szCs w:val="20"/>
        </w:rPr>
        <w:t>民共和国公务员法》、《中华人民共和国监察法》、《中华人民共和国政府采购法实施条例</w:t>
      </w:r>
      <w:r>
        <w:rPr>
          <w:rFonts w:ascii="宋体" w:hAnsi="宋体" w:eastAsia="宋体" w:cs="宋体"/>
          <w:color w:val="auto"/>
          <w:spacing w:val="8"/>
          <w:sz w:val="20"/>
          <w:szCs w:val="20"/>
        </w:rPr>
        <w:t>》等</w:t>
      </w:r>
      <w:r>
        <w:rPr>
          <w:rFonts w:ascii="宋体" w:hAnsi="宋体" w:eastAsia="宋体" w:cs="宋体"/>
          <w:color w:val="auto"/>
          <w:spacing w:val="4"/>
          <w:sz w:val="20"/>
          <w:szCs w:val="20"/>
        </w:rPr>
        <w:t>国家</w:t>
      </w:r>
    </w:p>
    <w:p w14:paraId="4831E545">
      <w:pPr>
        <w:spacing w:line="289" w:lineRule="auto"/>
        <w:rPr>
          <w:rFonts w:ascii="宋体" w:hAnsi="宋体" w:eastAsia="宋体" w:cs="宋体"/>
          <w:color w:val="auto"/>
          <w:sz w:val="20"/>
          <w:szCs w:val="20"/>
        </w:rPr>
        <w:sectPr>
          <w:footerReference r:id="rId46" w:type="default"/>
          <w:pgSz w:w="11906" w:h="16839"/>
          <w:pgMar w:top="1440" w:right="1080" w:bottom="1440" w:left="1080" w:header="0" w:footer="783" w:gutter="0"/>
          <w:pgNumType w:fmt="decimal"/>
          <w:cols w:space="720" w:num="1"/>
        </w:sectPr>
      </w:pPr>
    </w:p>
    <w:p w14:paraId="0100FDA7">
      <w:pPr>
        <w:spacing w:before="60" w:line="228" w:lineRule="auto"/>
        <w:ind w:left="417"/>
        <w:rPr>
          <w:rFonts w:ascii="宋体" w:hAnsi="宋体" w:eastAsia="宋体" w:cs="宋体"/>
          <w:color w:val="auto"/>
          <w:sz w:val="20"/>
          <w:szCs w:val="20"/>
        </w:rPr>
      </w:pPr>
      <w:r>
        <w:rPr>
          <w:rFonts w:ascii="宋体" w:hAnsi="宋体" w:eastAsia="宋体" w:cs="宋体"/>
          <w:color w:val="auto"/>
          <w:spacing w:val="9"/>
          <w:sz w:val="20"/>
          <w:szCs w:val="20"/>
        </w:rPr>
        <w:t>有关规定追究相应责任；涉嫌犯罪的，依法移送有关国家机关处理。</w:t>
      </w:r>
    </w:p>
    <w:p w14:paraId="498735F3">
      <w:pPr>
        <w:spacing w:before="65" w:line="228" w:lineRule="auto"/>
        <w:ind w:left="522"/>
        <w:rPr>
          <w:rFonts w:ascii="宋体" w:hAnsi="宋体" w:eastAsia="宋体" w:cs="宋体"/>
          <w:color w:val="auto"/>
          <w:sz w:val="20"/>
          <w:szCs w:val="20"/>
        </w:rPr>
      </w:pPr>
      <w:r>
        <w:rPr>
          <w:rFonts w:ascii="宋体" w:hAnsi="宋体" w:eastAsia="宋体" w:cs="宋体"/>
          <w:color w:val="auto"/>
          <w:spacing w:val="8"/>
          <w:sz w:val="20"/>
          <w:szCs w:val="20"/>
        </w:rPr>
        <w:t>第二十二条</w:t>
      </w:r>
    </w:p>
    <w:p w14:paraId="1BF598AF">
      <w:pPr>
        <w:spacing w:before="64" w:line="228" w:lineRule="auto"/>
        <w:ind w:left="415"/>
        <w:rPr>
          <w:rFonts w:ascii="宋体" w:hAnsi="宋体" w:eastAsia="宋体" w:cs="宋体"/>
          <w:color w:val="auto"/>
          <w:sz w:val="20"/>
          <w:szCs w:val="20"/>
        </w:rPr>
      </w:pPr>
      <w:r>
        <w:rPr>
          <w:rFonts w:ascii="宋体" w:hAnsi="宋体" w:eastAsia="宋体" w:cs="宋体"/>
          <w:color w:val="auto"/>
          <w:spacing w:val="9"/>
          <w:sz w:val="20"/>
          <w:szCs w:val="20"/>
        </w:rPr>
        <w:t>对外援助项目、国家相关资格或者资质管理制度另有规定的项目，不适用本办法。</w:t>
      </w:r>
    </w:p>
    <w:p w14:paraId="4B45DA61">
      <w:pPr>
        <w:spacing w:before="65" w:line="228" w:lineRule="auto"/>
        <w:ind w:left="416"/>
        <w:rPr>
          <w:rFonts w:ascii="宋体" w:hAnsi="宋体" w:eastAsia="宋体" w:cs="宋体"/>
          <w:color w:val="auto"/>
          <w:sz w:val="20"/>
          <w:szCs w:val="20"/>
        </w:rPr>
      </w:pPr>
      <w:r>
        <w:rPr>
          <w:rFonts w:ascii="宋体" w:hAnsi="宋体" w:eastAsia="宋体" w:cs="宋体"/>
          <w:color w:val="auto"/>
          <w:spacing w:val="8"/>
          <w:sz w:val="20"/>
          <w:szCs w:val="20"/>
        </w:rPr>
        <w:t>第二十三条</w:t>
      </w:r>
    </w:p>
    <w:p w14:paraId="42F9F547">
      <w:pPr>
        <w:spacing w:before="64" w:line="228" w:lineRule="auto"/>
        <w:ind w:left="420"/>
        <w:rPr>
          <w:rFonts w:ascii="宋体" w:hAnsi="宋体" w:eastAsia="宋体" w:cs="宋体"/>
          <w:color w:val="auto"/>
          <w:sz w:val="20"/>
          <w:szCs w:val="20"/>
        </w:rPr>
      </w:pPr>
      <w:r>
        <w:rPr>
          <w:rFonts w:ascii="宋体" w:hAnsi="宋体" w:eastAsia="宋体" w:cs="宋体"/>
          <w:color w:val="auto"/>
          <w:spacing w:val="9"/>
          <w:sz w:val="20"/>
          <w:szCs w:val="20"/>
        </w:rPr>
        <w:t>关于视同中小企业的其他主体的政府采购扶持政策，由财政部会同有关部门另行规定。</w:t>
      </w:r>
    </w:p>
    <w:p w14:paraId="65DF19B5">
      <w:pPr>
        <w:spacing w:before="66" w:line="228" w:lineRule="auto"/>
        <w:ind w:left="522"/>
        <w:rPr>
          <w:rFonts w:ascii="宋体" w:hAnsi="宋体" w:eastAsia="宋体" w:cs="宋体"/>
          <w:color w:val="auto"/>
          <w:sz w:val="20"/>
          <w:szCs w:val="20"/>
        </w:rPr>
      </w:pPr>
      <w:r>
        <w:rPr>
          <w:rFonts w:ascii="宋体" w:hAnsi="宋体" w:eastAsia="宋体" w:cs="宋体"/>
          <w:color w:val="auto"/>
          <w:spacing w:val="8"/>
          <w:sz w:val="20"/>
          <w:szCs w:val="20"/>
        </w:rPr>
        <w:t>第二十四条</w:t>
      </w:r>
    </w:p>
    <w:p w14:paraId="00440876">
      <w:pPr>
        <w:spacing w:before="64" w:line="228" w:lineRule="auto"/>
        <w:ind w:left="525"/>
        <w:rPr>
          <w:rFonts w:ascii="宋体" w:hAnsi="宋体" w:eastAsia="宋体" w:cs="宋体"/>
          <w:color w:val="auto"/>
          <w:sz w:val="20"/>
          <w:szCs w:val="20"/>
        </w:rPr>
      </w:pPr>
      <w:r>
        <w:rPr>
          <w:rFonts w:ascii="宋体" w:hAnsi="宋体" w:eastAsia="宋体" w:cs="宋体"/>
          <w:color w:val="auto"/>
          <w:spacing w:val="9"/>
          <w:sz w:val="20"/>
          <w:szCs w:val="20"/>
        </w:rPr>
        <w:t>省级财政部门可以会同中小企业主管部门根据本办法的规定制定具体实施办法。</w:t>
      </w:r>
    </w:p>
    <w:p w14:paraId="35AB7265">
      <w:pPr>
        <w:spacing w:before="66" w:line="228" w:lineRule="auto"/>
        <w:ind w:left="522"/>
        <w:rPr>
          <w:rFonts w:ascii="宋体" w:hAnsi="宋体" w:eastAsia="宋体" w:cs="宋体"/>
          <w:color w:val="auto"/>
          <w:sz w:val="20"/>
          <w:szCs w:val="20"/>
        </w:rPr>
      </w:pPr>
      <w:r>
        <w:rPr>
          <w:rFonts w:ascii="宋体" w:hAnsi="宋体" w:eastAsia="宋体" w:cs="宋体"/>
          <w:color w:val="auto"/>
          <w:spacing w:val="8"/>
          <w:sz w:val="20"/>
          <w:szCs w:val="20"/>
        </w:rPr>
        <w:t>第二十五条</w:t>
      </w:r>
    </w:p>
    <w:p w14:paraId="7B984334">
      <w:pPr>
        <w:spacing w:before="65" w:line="289" w:lineRule="auto"/>
        <w:ind w:firstLine="523"/>
        <w:rPr>
          <w:rFonts w:ascii="宋体" w:hAnsi="宋体" w:eastAsia="宋体" w:cs="宋体"/>
          <w:color w:val="auto"/>
          <w:sz w:val="20"/>
          <w:szCs w:val="20"/>
        </w:rPr>
      </w:pPr>
      <w:r>
        <w:rPr>
          <w:rFonts w:ascii="宋体" w:hAnsi="宋体" w:eastAsia="宋体" w:cs="宋体"/>
          <w:color w:val="auto"/>
          <w:spacing w:val="6"/>
          <w:sz w:val="20"/>
          <w:szCs w:val="20"/>
        </w:rPr>
        <w:t>本办法自</w:t>
      </w:r>
      <w:r>
        <w:rPr>
          <w:rFonts w:ascii="宋体" w:hAnsi="宋体" w:eastAsia="宋体" w:cs="宋体"/>
          <w:color w:val="auto"/>
          <w:spacing w:val="-30"/>
          <w:sz w:val="20"/>
          <w:szCs w:val="20"/>
        </w:rPr>
        <w:t xml:space="preserve"> </w:t>
      </w:r>
      <w:r>
        <w:rPr>
          <w:rFonts w:ascii="宋体" w:hAnsi="宋体" w:eastAsia="宋体" w:cs="宋体"/>
          <w:color w:val="auto"/>
          <w:spacing w:val="6"/>
          <w:sz w:val="20"/>
          <w:szCs w:val="20"/>
        </w:rPr>
        <w:t>2021 年</w:t>
      </w:r>
      <w:r>
        <w:rPr>
          <w:rFonts w:ascii="宋体" w:hAnsi="宋体" w:eastAsia="宋体" w:cs="宋体"/>
          <w:color w:val="auto"/>
          <w:spacing w:val="-21"/>
          <w:sz w:val="20"/>
          <w:szCs w:val="20"/>
        </w:rPr>
        <w:t xml:space="preserve"> </w:t>
      </w:r>
      <w:r>
        <w:rPr>
          <w:rFonts w:ascii="宋体" w:hAnsi="宋体" w:eastAsia="宋体" w:cs="宋体"/>
          <w:color w:val="auto"/>
          <w:spacing w:val="6"/>
          <w:sz w:val="20"/>
          <w:szCs w:val="20"/>
        </w:rPr>
        <w:t>1</w:t>
      </w:r>
      <w:r>
        <w:rPr>
          <w:rFonts w:ascii="宋体" w:hAnsi="宋体" w:eastAsia="宋体" w:cs="宋体"/>
          <w:color w:val="auto"/>
          <w:spacing w:val="-33"/>
          <w:sz w:val="20"/>
          <w:szCs w:val="20"/>
        </w:rPr>
        <w:t xml:space="preserve"> </w:t>
      </w:r>
      <w:r>
        <w:rPr>
          <w:rFonts w:ascii="宋体" w:hAnsi="宋体" w:eastAsia="宋体" w:cs="宋体"/>
          <w:color w:val="auto"/>
          <w:spacing w:val="6"/>
          <w:sz w:val="20"/>
          <w:szCs w:val="20"/>
        </w:rPr>
        <w:t>月</w:t>
      </w:r>
      <w:r>
        <w:rPr>
          <w:rFonts w:ascii="宋体" w:hAnsi="宋体" w:eastAsia="宋体" w:cs="宋体"/>
          <w:color w:val="auto"/>
          <w:spacing w:val="-24"/>
          <w:sz w:val="20"/>
          <w:szCs w:val="20"/>
        </w:rPr>
        <w:t xml:space="preserve"> </w:t>
      </w:r>
      <w:r>
        <w:rPr>
          <w:rFonts w:ascii="宋体" w:hAnsi="宋体" w:eastAsia="宋体" w:cs="宋体"/>
          <w:color w:val="auto"/>
          <w:spacing w:val="6"/>
          <w:sz w:val="20"/>
          <w:szCs w:val="20"/>
        </w:rPr>
        <w:t>1 日起施行。 财政部工业和信息化部关于印发〈政府采购促进中小</w:t>
      </w:r>
      <w:r>
        <w:rPr>
          <w:rFonts w:ascii="宋体" w:hAnsi="宋体" w:eastAsia="宋体" w:cs="宋体"/>
          <w:color w:val="auto"/>
          <w:spacing w:val="7"/>
          <w:sz w:val="20"/>
          <w:szCs w:val="20"/>
        </w:rPr>
        <w:t>企业发展暂行办法〉的通知（财库﹝2011﹞</w:t>
      </w:r>
      <w:r>
        <w:rPr>
          <w:rFonts w:ascii="宋体" w:hAnsi="宋体" w:eastAsia="宋体" w:cs="宋体"/>
          <w:color w:val="auto"/>
          <w:spacing w:val="-70"/>
          <w:sz w:val="20"/>
          <w:szCs w:val="20"/>
        </w:rPr>
        <w:t xml:space="preserve"> </w:t>
      </w:r>
      <w:r>
        <w:rPr>
          <w:rFonts w:ascii="宋体" w:hAnsi="宋体" w:eastAsia="宋体" w:cs="宋体"/>
          <w:color w:val="auto"/>
          <w:spacing w:val="7"/>
          <w:sz w:val="20"/>
          <w:szCs w:val="20"/>
        </w:rPr>
        <w:t>181 号）同时废止。</w:t>
      </w:r>
    </w:p>
    <w:p w14:paraId="2E506E93">
      <w:pPr>
        <w:spacing w:line="289" w:lineRule="auto"/>
        <w:rPr>
          <w:rFonts w:ascii="宋体" w:hAnsi="宋体" w:eastAsia="宋体" w:cs="宋体"/>
          <w:color w:val="auto"/>
          <w:sz w:val="20"/>
          <w:szCs w:val="20"/>
        </w:rPr>
        <w:sectPr>
          <w:footerReference r:id="rId47" w:type="default"/>
          <w:pgSz w:w="11906" w:h="16839"/>
          <w:pgMar w:top="1440" w:right="1080" w:bottom="1440" w:left="1080" w:header="0" w:footer="783" w:gutter="0"/>
          <w:pgNumType w:fmt="decimal"/>
          <w:cols w:space="720" w:num="1"/>
        </w:sectPr>
      </w:pPr>
    </w:p>
    <w:p w14:paraId="7C51AA3F">
      <w:pPr>
        <w:spacing w:before="61" w:line="228" w:lineRule="auto"/>
        <w:ind w:left="2939"/>
        <w:rPr>
          <w:rFonts w:ascii="宋体" w:hAnsi="宋体" w:eastAsia="宋体" w:cs="宋体"/>
          <w:color w:val="auto"/>
          <w:sz w:val="20"/>
          <w:szCs w:val="20"/>
        </w:rPr>
      </w:pPr>
      <w:r>
        <w:rPr>
          <w:rFonts w:ascii="宋体" w:hAnsi="宋体" w:eastAsia="宋体" w:cs="宋体"/>
          <w:b/>
          <w:bCs/>
          <w:color w:val="auto"/>
          <w:spacing w:val="5"/>
          <w:sz w:val="20"/>
          <w:szCs w:val="20"/>
        </w:rPr>
        <w:t>中小企业声明函（工程、服务）</w:t>
      </w:r>
    </w:p>
    <w:p w14:paraId="3350296E">
      <w:pPr>
        <w:pStyle w:val="2"/>
        <w:spacing w:line="309" w:lineRule="auto"/>
        <w:rPr>
          <w:color w:val="auto"/>
        </w:rPr>
      </w:pPr>
    </w:p>
    <w:p w14:paraId="7227A28F">
      <w:pPr>
        <w:spacing w:before="65" w:line="288" w:lineRule="auto"/>
        <w:ind w:right="1" w:firstLine="630"/>
        <w:jc w:val="both"/>
        <w:rPr>
          <w:rFonts w:ascii="宋体" w:hAnsi="宋体" w:eastAsia="宋体" w:cs="宋体"/>
          <w:color w:val="auto"/>
          <w:sz w:val="20"/>
          <w:szCs w:val="20"/>
        </w:rPr>
      </w:pPr>
      <w:r>
        <w:rPr>
          <w:rFonts w:ascii="宋体" w:hAnsi="宋体" w:eastAsia="宋体" w:cs="宋体"/>
          <w:color w:val="auto"/>
          <w:spacing w:val="3"/>
          <w:sz w:val="20"/>
          <w:szCs w:val="20"/>
        </w:rPr>
        <w:t>本公司（联合体）郑重声明，根据《政府采购促进中小企业发展管理办法》（财库﹝2020﹞</w:t>
      </w:r>
      <w:r>
        <w:rPr>
          <w:rFonts w:ascii="宋体" w:hAnsi="宋体" w:eastAsia="宋体" w:cs="宋体"/>
          <w:color w:val="auto"/>
          <w:spacing w:val="18"/>
          <w:sz w:val="20"/>
          <w:szCs w:val="20"/>
        </w:rPr>
        <w:t xml:space="preserve"> </w:t>
      </w:r>
      <w:r>
        <w:rPr>
          <w:rFonts w:ascii="宋体" w:hAnsi="宋体" w:eastAsia="宋体" w:cs="宋体"/>
          <w:color w:val="auto"/>
          <w:spacing w:val="10"/>
          <w:sz w:val="20"/>
          <w:szCs w:val="20"/>
        </w:rPr>
        <w:t>46 号）的规定，本公司（联合体）参加</w:t>
      </w:r>
      <w:r>
        <w:rPr>
          <w:rFonts w:ascii="宋体" w:hAnsi="宋体" w:eastAsia="宋体" w:cs="宋体"/>
          <w:color w:val="auto"/>
          <w:spacing w:val="9"/>
          <w:sz w:val="20"/>
          <w:szCs w:val="20"/>
          <w:u w:val="single" w:color="auto"/>
        </w:rPr>
        <w:t>（单位名称）</w:t>
      </w:r>
      <w:r>
        <w:rPr>
          <w:rFonts w:ascii="宋体" w:hAnsi="宋体" w:eastAsia="宋体" w:cs="宋体"/>
          <w:color w:val="auto"/>
          <w:spacing w:val="9"/>
          <w:sz w:val="20"/>
          <w:szCs w:val="20"/>
        </w:rPr>
        <w:t>的</w:t>
      </w:r>
      <w:r>
        <w:rPr>
          <w:rFonts w:ascii="宋体" w:hAnsi="宋体" w:eastAsia="宋体" w:cs="宋体"/>
          <w:color w:val="auto"/>
          <w:spacing w:val="9"/>
          <w:sz w:val="20"/>
          <w:szCs w:val="20"/>
          <w:u w:val="single" w:color="auto"/>
        </w:rPr>
        <w:t>（项目名称）</w:t>
      </w:r>
      <w:r>
        <w:rPr>
          <w:rFonts w:ascii="宋体" w:hAnsi="宋体" w:eastAsia="宋体" w:cs="宋体"/>
          <w:color w:val="auto"/>
          <w:spacing w:val="9"/>
          <w:sz w:val="20"/>
          <w:szCs w:val="20"/>
        </w:rPr>
        <w:t>采购活动，工程的施工单位全部为符合政策要求的中小企业（或者：服务全部由符合政策要求的中小企业承接）。相关企业（含联合体中的中小企业、签订分包意向协议的中小企业）的具体情况如下：</w:t>
      </w:r>
    </w:p>
    <w:p w14:paraId="2A306F42">
      <w:pPr>
        <w:spacing w:line="268" w:lineRule="auto"/>
        <w:ind w:left="1" w:right="19" w:firstLine="15"/>
        <w:rPr>
          <w:rFonts w:ascii="宋体" w:hAnsi="宋体" w:eastAsia="宋体" w:cs="宋体"/>
          <w:color w:val="auto"/>
          <w:sz w:val="20"/>
          <w:szCs w:val="20"/>
        </w:rPr>
      </w:pPr>
      <w:r>
        <w:rPr>
          <w:rFonts w:ascii="宋体" w:hAnsi="宋体" w:eastAsia="宋体" w:cs="宋体"/>
          <w:color w:val="auto"/>
          <w:spacing w:val="8"/>
          <w:sz w:val="20"/>
          <w:szCs w:val="20"/>
        </w:rPr>
        <w:t>1.</w:t>
      </w:r>
      <w:r>
        <w:rPr>
          <w:rFonts w:ascii="宋体" w:hAnsi="宋体" w:eastAsia="宋体" w:cs="宋体"/>
          <w:color w:val="auto"/>
          <w:spacing w:val="8"/>
          <w:sz w:val="20"/>
          <w:szCs w:val="20"/>
          <w:u w:val="single" w:color="auto"/>
        </w:rPr>
        <w:t xml:space="preserve"> （标的名称</w:t>
      </w:r>
      <w:r>
        <w:rPr>
          <w:rFonts w:ascii="宋体" w:hAnsi="宋体" w:eastAsia="宋体" w:cs="宋体"/>
          <w:color w:val="auto"/>
          <w:spacing w:val="3"/>
          <w:sz w:val="20"/>
          <w:szCs w:val="20"/>
          <w:u w:val="single" w:color="auto"/>
        </w:rPr>
        <w:t>）</w:t>
      </w:r>
      <w:r>
        <w:rPr>
          <w:rFonts w:ascii="宋体" w:hAnsi="宋体" w:eastAsia="宋体" w:cs="宋体"/>
          <w:color w:val="auto"/>
          <w:spacing w:val="29"/>
          <w:sz w:val="20"/>
          <w:szCs w:val="20"/>
        </w:rPr>
        <w:t xml:space="preserve"> </w:t>
      </w:r>
      <w:r>
        <w:rPr>
          <w:rFonts w:ascii="宋体" w:hAnsi="宋体" w:eastAsia="宋体" w:cs="宋体"/>
          <w:color w:val="auto"/>
          <w:spacing w:val="3"/>
          <w:sz w:val="20"/>
          <w:szCs w:val="20"/>
        </w:rPr>
        <w:t>，</w:t>
      </w:r>
      <w:r>
        <w:rPr>
          <w:rFonts w:ascii="宋体" w:hAnsi="宋体" w:eastAsia="宋体" w:cs="宋体"/>
          <w:color w:val="auto"/>
          <w:spacing w:val="8"/>
          <w:sz w:val="20"/>
          <w:szCs w:val="20"/>
        </w:rPr>
        <w:t>属于</w:t>
      </w:r>
      <w:r>
        <w:rPr>
          <w:rFonts w:ascii="宋体" w:hAnsi="宋体" w:eastAsia="宋体" w:cs="宋体"/>
          <w:color w:val="auto"/>
          <w:spacing w:val="8"/>
          <w:sz w:val="20"/>
          <w:szCs w:val="20"/>
          <w:u w:val="single" w:color="auto"/>
        </w:rPr>
        <w:t>（采购文件中明确的所属行业</w:t>
      </w:r>
      <w:r>
        <w:rPr>
          <w:rFonts w:ascii="宋体" w:hAnsi="宋体" w:eastAsia="宋体" w:cs="宋体"/>
          <w:color w:val="auto"/>
          <w:spacing w:val="3"/>
          <w:sz w:val="20"/>
          <w:szCs w:val="20"/>
          <w:u w:val="single" w:color="auto"/>
        </w:rPr>
        <w:t>）</w:t>
      </w:r>
      <w:r>
        <w:rPr>
          <w:rFonts w:ascii="宋体" w:hAnsi="宋体" w:eastAsia="宋体" w:cs="宋体"/>
          <w:color w:val="auto"/>
          <w:spacing w:val="3"/>
          <w:sz w:val="20"/>
          <w:szCs w:val="20"/>
        </w:rPr>
        <w:t>；</w:t>
      </w:r>
      <w:r>
        <w:rPr>
          <w:rFonts w:ascii="宋体" w:hAnsi="宋体" w:eastAsia="宋体" w:cs="宋体"/>
          <w:color w:val="auto"/>
          <w:spacing w:val="8"/>
          <w:sz w:val="20"/>
          <w:szCs w:val="20"/>
        </w:rPr>
        <w:t>承建（承接）企业为</w:t>
      </w:r>
      <w:r>
        <w:rPr>
          <w:rFonts w:ascii="宋体" w:hAnsi="宋体" w:eastAsia="宋体" w:cs="宋体"/>
          <w:color w:val="auto"/>
          <w:spacing w:val="8"/>
          <w:sz w:val="20"/>
          <w:szCs w:val="20"/>
          <w:u w:val="single" w:color="auto"/>
        </w:rPr>
        <w:t>（企业名称</w:t>
      </w:r>
      <w:r>
        <w:rPr>
          <w:rFonts w:ascii="宋体" w:hAnsi="宋体" w:eastAsia="宋体" w:cs="宋体"/>
          <w:color w:val="auto"/>
          <w:spacing w:val="3"/>
          <w:sz w:val="20"/>
          <w:szCs w:val="20"/>
          <w:u w:val="single" w:color="auto"/>
        </w:rPr>
        <w:t>）</w:t>
      </w:r>
      <w:r>
        <w:rPr>
          <w:rFonts w:ascii="宋体" w:hAnsi="宋体" w:eastAsia="宋体" w:cs="宋体"/>
          <w:color w:val="auto"/>
          <w:spacing w:val="3"/>
          <w:sz w:val="20"/>
          <w:szCs w:val="20"/>
        </w:rPr>
        <w:t>，</w:t>
      </w:r>
      <w:r>
        <w:rPr>
          <w:rFonts w:ascii="宋体" w:hAnsi="宋体" w:eastAsia="宋体" w:cs="宋体"/>
          <w:color w:val="auto"/>
          <w:spacing w:val="7"/>
          <w:sz w:val="20"/>
          <w:szCs w:val="20"/>
        </w:rPr>
        <w:t>从业人员</w:t>
      </w:r>
      <w:r>
        <w:rPr>
          <w:rFonts w:ascii="宋体" w:hAnsi="宋体" w:eastAsia="宋体" w:cs="宋体"/>
          <w:color w:val="auto"/>
          <w:spacing w:val="-98"/>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90"/>
          <w:sz w:val="20"/>
          <w:szCs w:val="20"/>
        </w:rPr>
        <w:t xml:space="preserve"> </w:t>
      </w:r>
      <w:r>
        <w:rPr>
          <w:rFonts w:ascii="宋体" w:hAnsi="宋体" w:eastAsia="宋体" w:cs="宋体"/>
          <w:color w:val="auto"/>
          <w:spacing w:val="7"/>
          <w:sz w:val="20"/>
          <w:szCs w:val="20"/>
        </w:rPr>
        <w:t>人，营业收入为</w:t>
      </w:r>
      <w:r>
        <w:rPr>
          <w:rFonts w:ascii="宋体" w:hAnsi="宋体" w:eastAsia="宋体" w:cs="宋体"/>
          <w:color w:val="auto"/>
          <w:spacing w:val="7"/>
          <w:sz w:val="20"/>
          <w:szCs w:val="20"/>
          <w:u w:val="single" w:color="auto"/>
        </w:rPr>
        <w:t xml:space="preserve">    </w:t>
      </w:r>
      <w:r>
        <w:rPr>
          <w:rFonts w:ascii="宋体" w:hAnsi="宋体" w:eastAsia="宋体" w:cs="宋体"/>
          <w:color w:val="auto"/>
          <w:spacing w:val="-86"/>
          <w:sz w:val="20"/>
          <w:szCs w:val="20"/>
        </w:rPr>
        <w:t xml:space="preserve"> </w:t>
      </w:r>
      <w:r>
        <w:rPr>
          <w:rFonts w:ascii="宋体" w:hAnsi="宋体" w:eastAsia="宋体" w:cs="宋体"/>
          <w:color w:val="auto"/>
          <w:spacing w:val="7"/>
          <w:sz w:val="20"/>
          <w:szCs w:val="20"/>
        </w:rPr>
        <w:t>万元，资产总额为</w:t>
      </w:r>
      <w:r>
        <w:rPr>
          <w:rFonts w:ascii="宋体" w:hAnsi="宋体" w:eastAsia="宋体" w:cs="宋体"/>
          <w:color w:val="auto"/>
          <w:spacing w:val="-99"/>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5"/>
          <w:sz w:val="20"/>
          <w:szCs w:val="20"/>
        </w:rPr>
        <w:t xml:space="preserve"> </w:t>
      </w:r>
      <w:r>
        <w:rPr>
          <w:rFonts w:ascii="宋体" w:hAnsi="宋体" w:eastAsia="宋体" w:cs="宋体"/>
          <w:color w:val="auto"/>
          <w:spacing w:val="6"/>
          <w:sz w:val="20"/>
          <w:szCs w:val="20"/>
        </w:rPr>
        <w:t>万元，属于（</w:t>
      </w:r>
      <w:r>
        <w:rPr>
          <w:rFonts w:ascii="宋体" w:hAnsi="宋体" w:eastAsia="宋体" w:cs="宋体"/>
          <w:color w:val="auto"/>
          <w:spacing w:val="-68"/>
          <w:sz w:val="20"/>
          <w:szCs w:val="20"/>
        </w:rPr>
        <w:t xml:space="preserve"> </w:t>
      </w:r>
      <w:r>
        <w:rPr>
          <w:rFonts w:ascii="宋体" w:hAnsi="宋体" w:eastAsia="宋体" w:cs="宋体"/>
          <w:color w:val="auto"/>
          <w:spacing w:val="-72"/>
          <w:sz w:val="20"/>
          <w:szCs w:val="20"/>
          <w:u w:val="single" w:color="auto"/>
        </w:rPr>
        <w:t xml:space="preserve"> </w:t>
      </w:r>
      <w:r>
        <w:rPr>
          <w:rFonts w:ascii="宋体" w:hAnsi="宋体" w:eastAsia="宋体" w:cs="宋体"/>
          <w:color w:val="auto"/>
          <w:spacing w:val="6"/>
          <w:sz w:val="20"/>
          <w:szCs w:val="20"/>
          <w:u w:val="single" w:color="auto"/>
        </w:rPr>
        <w:t>中型企业、小型企业、</w:t>
      </w:r>
      <w:r>
        <w:rPr>
          <w:rFonts w:ascii="宋体" w:hAnsi="宋体" w:eastAsia="宋体" w:cs="宋体"/>
          <w:color w:val="auto"/>
          <w:spacing w:val="7"/>
          <w:sz w:val="20"/>
          <w:szCs w:val="20"/>
          <w:u w:val="single" w:color="auto"/>
        </w:rPr>
        <w:t>微型企业</w:t>
      </w:r>
      <w:r>
        <w:rPr>
          <w:rFonts w:ascii="宋体" w:hAnsi="宋体" w:eastAsia="宋体" w:cs="宋体"/>
          <w:color w:val="auto"/>
          <w:sz w:val="20"/>
          <w:szCs w:val="20"/>
        </w:rPr>
        <w:t>）；</w:t>
      </w:r>
    </w:p>
    <w:p w14:paraId="54371E57">
      <w:pPr>
        <w:spacing w:before="65" w:line="268" w:lineRule="auto"/>
        <w:ind w:left="1" w:firstLine="2"/>
        <w:rPr>
          <w:rFonts w:ascii="宋体" w:hAnsi="宋体" w:eastAsia="宋体" w:cs="宋体"/>
          <w:color w:val="auto"/>
          <w:sz w:val="20"/>
          <w:szCs w:val="20"/>
        </w:rPr>
      </w:pPr>
      <w:r>
        <w:rPr>
          <w:rFonts w:ascii="宋体" w:hAnsi="宋体" w:eastAsia="宋体" w:cs="宋体"/>
          <w:color w:val="auto"/>
          <w:spacing w:val="9"/>
          <w:sz w:val="20"/>
          <w:szCs w:val="20"/>
        </w:rPr>
        <w:t xml:space="preserve">2. </w:t>
      </w:r>
      <w:r>
        <w:rPr>
          <w:rFonts w:ascii="宋体" w:hAnsi="宋体" w:eastAsia="宋体" w:cs="宋体"/>
          <w:color w:val="auto"/>
          <w:spacing w:val="9"/>
          <w:sz w:val="20"/>
          <w:szCs w:val="20"/>
          <w:u w:val="single" w:color="auto"/>
        </w:rPr>
        <w:t>（标的名称</w:t>
      </w:r>
      <w:r>
        <w:rPr>
          <w:rFonts w:ascii="宋体" w:hAnsi="宋体" w:eastAsia="宋体" w:cs="宋体"/>
          <w:color w:val="auto"/>
          <w:spacing w:val="2"/>
          <w:sz w:val="20"/>
          <w:szCs w:val="20"/>
          <w:u w:val="single" w:color="auto"/>
        </w:rPr>
        <w:t>）</w:t>
      </w:r>
      <w:r>
        <w:rPr>
          <w:rFonts w:ascii="宋体" w:hAnsi="宋体" w:eastAsia="宋体" w:cs="宋体"/>
          <w:color w:val="auto"/>
          <w:spacing w:val="19"/>
          <w:sz w:val="20"/>
          <w:szCs w:val="20"/>
          <w:u w:val="single" w:color="auto"/>
        </w:rPr>
        <w:t xml:space="preserve"> </w:t>
      </w:r>
      <w:r>
        <w:rPr>
          <w:rFonts w:ascii="宋体" w:hAnsi="宋体" w:eastAsia="宋体" w:cs="宋体"/>
          <w:color w:val="auto"/>
          <w:spacing w:val="-77"/>
          <w:sz w:val="20"/>
          <w:szCs w:val="20"/>
        </w:rPr>
        <w:t xml:space="preserve"> </w:t>
      </w:r>
      <w:r>
        <w:rPr>
          <w:rFonts w:ascii="宋体" w:hAnsi="宋体" w:eastAsia="宋体" w:cs="宋体"/>
          <w:color w:val="auto"/>
          <w:spacing w:val="2"/>
          <w:sz w:val="20"/>
          <w:szCs w:val="20"/>
        </w:rPr>
        <w:t>，</w:t>
      </w:r>
      <w:r>
        <w:rPr>
          <w:rFonts w:ascii="宋体" w:hAnsi="宋体" w:eastAsia="宋体" w:cs="宋体"/>
          <w:color w:val="auto"/>
          <w:spacing w:val="9"/>
          <w:sz w:val="20"/>
          <w:szCs w:val="20"/>
        </w:rPr>
        <w:t>属于</w:t>
      </w:r>
      <w:r>
        <w:rPr>
          <w:rFonts w:ascii="宋体" w:hAnsi="宋体" w:eastAsia="宋体" w:cs="宋体"/>
          <w:color w:val="auto"/>
          <w:spacing w:val="9"/>
          <w:sz w:val="20"/>
          <w:szCs w:val="20"/>
          <w:u w:val="single" w:color="auto"/>
        </w:rPr>
        <w:t>（采购文件中明确的所属行业</w:t>
      </w:r>
      <w:r>
        <w:rPr>
          <w:rFonts w:ascii="宋体" w:hAnsi="宋体" w:eastAsia="宋体" w:cs="宋体"/>
          <w:color w:val="auto"/>
          <w:spacing w:val="2"/>
          <w:sz w:val="20"/>
          <w:szCs w:val="20"/>
          <w:u w:val="single" w:color="auto"/>
        </w:rPr>
        <w:t>）</w:t>
      </w:r>
      <w:r>
        <w:rPr>
          <w:rFonts w:ascii="宋体" w:hAnsi="宋体" w:eastAsia="宋体" w:cs="宋体"/>
          <w:color w:val="auto"/>
          <w:spacing w:val="2"/>
          <w:sz w:val="20"/>
          <w:szCs w:val="20"/>
        </w:rPr>
        <w:t>；</w:t>
      </w:r>
      <w:r>
        <w:rPr>
          <w:rFonts w:ascii="宋体" w:hAnsi="宋体" w:eastAsia="宋体" w:cs="宋体"/>
          <w:color w:val="auto"/>
          <w:spacing w:val="9"/>
          <w:sz w:val="20"/>
          <w:szCs w:val="20"/>
        </w:rPr>
        <w:t>承建（</w:t>
      </w:r>
      <w:r>
        <w:rPr>
          <w:rFonts w:ascii="宋体" w:hAnsi="宋体" w:eastAsia="宋体" w:cs="宋体"/>
          <w:color w:val="auto"/>
          <w:spacing w:val="8"/>
          <w:sz w:val="20"/>
          <w:szCs w:val="20"/>
        </w:rPr>
        <w:t>承接）企业为</w:t>
      </w:r>
      <w:r>
        <w:rPr>
          <w:rFonts w:ascii="宋体" w:hAnsi="宋体" w:eastAsia="宋体" w:cs="宋体"/>
          <w:color w:val="auto"/>
          <w:spacing w:val="8"/>
          <w:sz w:val="20"/>
          <w:szCs w:val="20"/>
          <w:u w:val="single" w:color="auto"/>
        </w:rPr>
        <w:t>（企业名称</w:t>
      </w:r>
      <w:r>
        <w:rPr>
          <w:rFonts w:ascii="宋体" w:hAnsi="宋体" w:eastAsia="宋体" w:cs="宋体"/>
          <w:color w:val="auto"/>
          <w:spacing w:val="2"/>
          <w:sz w:val="20"/>
          <w:szCs w:val="20"/>
          <w:u w:val="single" w:color="auto"/>
        </w:rPr>
        <w:t>）</w:t>
      </w:r>
      <w:r>
        <w:rPr>
          <w:rFonts w:ascii="宋体" w:hAnsi="宋体" w:eastAsia="宋体" w:cs="宋体"/>
          <w:color w:val="auto"/>
          <w:spacing w:val="2"/>
          <w:sz w:val="20"/>
          <w:szCs w:val="20"/>
        </w:rPr>
        <w:t>，</w:t>
      </w:r>
      <w:r>
        <w:rPr>
          <w:rFonts w:ascii="宋体" w:hAnsi="宋体" w:eastAsia="宋体" w:cs="宋体"/>
          <w:color w:val="auto"/>
          <w:spacing w:val="7"/>
          <w:sz w:val="20"/>
          <w:szCs w:val="20"/>
        </w:rPr>
        <w:t>从业人员</w:t>
      </w:r>
      <w:r>
        <w:rPr>
          <w:rFonts w:ascii="宋体" w:hAnsi="宋体" w:eastAsia="宋体" w:cs="宋体"/>
          <w:color w:val="auto"/>
          <w:spacing w:val="-86"/>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90"/>
          <w:sz w:val="20"/>
          <w:szCs w:val="20"/>
        </w:rPr>
        <w:t xml:space="preserve"> </w:t>
      </w:r>
      <w:r>
        <w:rPr>
          <w:rFonts w:ascii="宋体" w:hAnsi="宋体" w:eastAsia="宋体" w:cs="宋体"/>
          <w:color w:val="auto"/>
          <w:spacing w:val="7"/>
          <w:sz w:val="20"/>
          <w:szCs w:val="20"/>
        </w:rPr>
        <w:t>人，营业收入为</w:t>
      </w:r>
      <w:r>
        <w:rPr>
          <w:rFonts w:ascii="宋体" w:hAnsi="宋体" w:eastAsia="宋体" w:cs="宋体"/>
          <w:color w:val="auto"/>
          <w:spacing w:val="7"/>
          <w:sz w:val="20"/>
          <w:szCs w:val="20"/>
          <w:u w:val="single" w:color="auto"/>
        </w:rPr>
        <w:t xml:space="preserve">     </w:t>
      </w:r>
      <w:r>
        <w:rPr>
          <w:rFonts w:ascii="宋体" w:hAnsi="宋体" w:eastAsia="宋体" w:cs="宋体"/>
          <w:color w:val="auto"/>
          <w:spacing w:val="-87"/>
          <w:sz w:val="20"/>
          <w:szCs w:val="20"/>
        </w:rPr>
        <w:t xml:space="preserve"> </w:t>
      </w:r>
      <w:r>
        <w:rPr>
          <w:rFonts w:ascii="宋体" w:hAnsi="宋体" w:eastAsia="宋体" w:cs="宋体"/>
          <w:color w:val="auto"/>
          <w:spacing w:val="7"/>
          <w:sz w:val="20"/>
          <w:szCs w:val="20"/>
        </w:rPr>
        <w:t>万元，资产总额为</w:t>
      </w:r>
      <w:r>
        <w:rPr>
          <w:rFonts w:ascii="宋体" w:hAnsi="宋体" w:eastAsia="宋体" w:cs="宋体"/>
          <w:color w:val="auto"/>
          <w:spacing w:val="-98"/>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6"/>
          <w:sz w:val="20"/>
          <w:szCs w:val="20"/>
        </w:rPr>
        <w:t xml:space="preserve"> </w:t>
      </w:r>
      <w:r>
        <w:rPr>
          <w:rFonts w:ascii="宋体" w:hAnsi="宋体" w:eastAsia="宋体" w:cs="宋体"/>
          <w:color w:val="auto"/>
          <w:spacing w:val="7"/>
          <w:sz w:val="20"/>
          <w:szCs w:val="20"/>
        </w:rPr>
        <w:t>万元，属于</w:t>
      </w:r>
      <w:r>
        <w:rPr>
          <w:rFonts w:ascii="宋体" w:hAnsi="宋体" w:eastAsia="宋体" w:cs="宋体"/>
          <w:color w:val="auto"/>
          <w:spacing w:val="7"/>
          <w:sz w:val="20"/>
          <w:szCs w:val="20"/>
          <w:u w:val="single" w:color="auto"/>
        </w:rPr>
        <w:t>（中型企业、小型企业、微型企业</w:t>
      </w:r>
      <w:r>
        <w:rPr>
          <w:rFonts w:ascii="宋体" w:hAnsi="宋体" w:eastAsia="宋体" w:cs="宋体"/>
          <w:color w:val="auto"/>
          <w:sz w:val="20"/>
          <w:szCs w:val="20"/>
          <w:u w:val="single" w:color="auto"/>
        </w:rPr>
        <w:t>）</w:t>
      </w:r>
      <w:r>
        <w:rPr>
          <w:rFonts w:ascii="宋体" w:hAnsi="宋体" w:eastAsia="宋体" w:cs="宋体"/>
          <w:color w:val="auto"/>
          <w:sz w:val="20"/>
          <w:szCs w:val="20"/>
        </w:rPr>
        <w:t>；</w:t>
      </w:r>
    </w:p>
    <w:p w14:paraId="608E9D93">
      <w:pPr>
        <w:spacing w:before="64" w:line="312" w:lineRule="exact"/>
        <w:ind w:left="14"/>
        <w:rPr>
          <w:rFonts w:ascii="宋体" w:hAnsi="宋体" w:eastAsia="宋体" w:cs="宋体"/>
          <w:color w:val="auto"/>
          <w:sz w:val="20"/>
          <w:szCs w:val="20"/>
        </w:rPr>
      </w:pPr>
      <w:r>
        <w:rPr>
          <w:rFonts w:ascii="宋体" w:hAnsi="宋体" w:eastAsia="宋体" w:cs="宋体"/>
          <w:color w:val="auto"/>
          <w:spacing w:val="-2"/>
          <w:position w:val="2"/>
          <w:sz w:val="20"/>
          <w:szCs w:val="20"/>
        </w:rPr>
        <w:t>……</w:t>
      </w:r>
    </w:p>
    <w:p w14:paraId="52A98EFE">
      <w:pPr>
        <w:spacing w:before="2" w:line="288" w:lineRule="auto"/>
        <w:ind w:left="8" w:right="1" w:firstLine="16"/>
        <w:rPr>
          <w:rFonts w:ascii="宋体" w:hAnsi="宋体" w:eastAsia="宋体" w:cs="宋体"/>
          <w:color w:val="auto"/>
          <w:sz w:val="20"/>
          <w:szCs w:val="20"/>
        </w:rPr>
      </w:pPr>
      <w:r>
        <w:rPr>
          <w:rFonts w:ascii="宋体" w:hAnsi="宋体" w:eastAsia="宋体" w:cs="宋体"/>
          <w:color w:val="auto"/>
          <w:spacing w:val="8"/>
          <w:sz w:val="20"/>
          <w:szCs w:val="20"/>
        </w:rPr>
        <w:t>以上企业，不属于大企业的分支机构，不存在控股股东为大企业的情形，也不存在与大企业的负</w:t>
      </w:r>
      <w:r>
        <w:rPr>
          <w:rFonts w:ascii="宋体" w:hAnsi="宋体" w:eastAsia="宋体" w:cs="宋体"/>
          <w:color w:val="auto"/>
          <w:spacing w:val="9"/>
          <w:sz w:val="20"/>
          <w:szCs w:val="20"/>
        </w:rPr>
        <w:t>责人为同一人的情形。本企业对上述声明内容的真实性负责。如有虚假</w:t>
      </w:r>
      <w:r>
        <w:rPr>
          <w:rFonts w:ascii="宋体" w:hAnsi="宋体" w:eastAsia="宋体" w:cs="宋体"/>
          <w:color w:val="auto"/>
          <w:spacing w:val="8"/>
          <w:sz w:val="20"/>
          <w:szCs w:val="20"/>
        </w:rPr>
        <w:t>，将依法承担相应责任。</w:t>
      </w:r>
    </w:p>
    <w:p w14:paraId="0E932699">
      <w:pPr>
        <w:pStyle w:val="2"/>
        <w:spacing w:line="293" w:lineRule="auto"/>
        <w:rPr>
          <w:color w:val="auto"/>
        </w:rPr>
      </w:pPr>
    </w:p>
    <w:p w14:paraId="791BFFD6">
      <w:pPr>
        <w:pStyle w:val="2"/>
        <w:spacing w:line="293" w:lineRule="auto"/>
        <w:rPr>
          <w:color w:val="auto"/>
        </w:rPr>
      </w:pPr>
    </w:p>
    <w:p w14:paraId="5B0F4378">
      <w:pPr>
        <w:pStyle w:val="2"/>
        <w:spacing w:line="293" w:lineRule="auto"/>
        <w:rPr>
          <w:color w:val="auto"/>
        </w:rPr>
      </w:pPr>
    </w:p>
    <w:p w14:paraId="435A2047">
      <w:pPr>
        <w:pStyle w:val="2"/>
        <w:spacing w:line="294" w:lineRule="auto"/>
        <w:rPr>
          <w:color w:val="auto"/>
        </w:rPr>
      </w:pPr>
    </w:p>
    <w:p w14:paraId="2F2BA09E">
      <w:pPr>
        <w:spacing w:before="65" w:line="228" w:lineRule="auto"/>
        <w:ind w:right="21"/>
        <w:jc w:val="right"/>
        <w:rPr>
          <w:rFonts w:ascii="宋体" w:hAnsi="宋体" w:eastAsia="宋体" w:cs="宋体"/>
          <w:color w:val="auto"/>
          <w:sz w:val="20"/>
          <w:szCs w:val="20"/>
        </w:rPr>
      </w:pPr>
      <w:r>
        <w:rPr>
          <w:rFonts w:ascii="宋体" w:hAnsi="宋体" w:eastAsia="宋体" w:cs="宋体"/>
          <w:color w:val="auto"/>
          <w:spacing w:val="8"/>
          <w:sz w:val="20"/>
          <w:szCs w:val="20"/>
        </w:rPr>
        <w:t>企业名称（盖章</w:t>
      </w:r>
      <w:r>
        <w:rPr>
          <w:rFonts w:ascii="宋体" w:hAnsi="宋体" w:eastAsia="宋体" w:cs="宋体"/>
          <w:color w:val="auto"/>
          <w:sz w:val="20"/>
          <w:szCs w:val="20"/>
        </w:rPr>
        <w:t>）：</w:t>
      </w:r>
    </w:p>
    <w:p w14:paraId="76C27B7E">
      <w:pPr>
        <w:spacing w:before="65" w:line="229" w:lineRule="auto"/>
        <w:ind w:right="12"/>
        <w:jc w:val="right"/>
        <w:rPr>
          <w:rFonts w:ascii="宋体" w:hAnsi="宋体" w:eastAsia="宋体" w:cs="宋体"/>
          <w:color w:val="auto"/>
          <w:sz w:val="20"/>
          <w:szCs w:val="20"/>
        </w:rPr>
      </w:pPr>
      <w:r>
        <w:rPr>
          <w:rFonts w:ascii="宋体" w:hAnsi="宋体" w:eastAsia="宋体" w:cs="宋体"/>
          <w:color w:val="auto"/>
          <w:spacing w:val="-9"/>
          <w:sz w:val="20"/>
          <w:szCs w:val="20"/>
        </w:rPr>
        <w:t>日期：</w:t>
      </w:r>
    </w:p>
    <w:p w14:paraId="760609E2">
      <w:pPr>
        <w:pStyle w:val="2"/>
        <w:spacing w:line="299" w:lineRule="auto"/>
        <w:rPr>
          <w:color w:val="auto"/>
        </w:rPr>
      </w:pPr>
    </w:p>
    <w:p w14:paraId="518CD5DE">
      <w:pPr>
        <w:pStyle w:val="2"/>
        <w:spacing w:line="299" w:lineRule="auto"/>
        <w:rPr>
          <w:color w:val="auto"/>
        </w:rPr>
      </w:pPr>
    </w:p>
    <w:p w14:paraId="5F1C18EB">
      <w:pPr>
        <w:pStyle w:val="2"/>
        <w:spacing w:line="299" w:lineRule="auto"/>
        <w:rPr>
          <w:color w:val="auto"/>
        </w:rPr>
      </w:pPr>
    </w:p>
    <w:p w14:paraId="01971547">
      <w:pPr>
        <w:pStyle w:val="2"/>
        <w:spacing w:line="299" w:lineRule="auto"/>
        <w:rPr>
          <w:color w:val="auto"/>
        </w:rPr>
      </w:pPr>
    </w:p>
    <w:p w14:paraId="57F1FB71">
      <w:pPr>
        <w:spacing w:before="59" w:line="220" w:lineRule="auto"/>
        <w:rPr>
          <w:rFonts w:ascii="宋体" w:hAnsi="宋体" w:eastAsia="宋体" w:cs="宋体"/>
          <w:color w:val="auto"/>
          <w:sz w:val="18"/>
          <w:szCs w:val="18"/>
        </w:rPr>
      </w:pPr>
      <w:r>
        <w:rPr>
          <w:rFonts w:ascii="宋体" w:hAnsi="宋体" w:eastAsia="宋体" w:cs="宋体"/>
          <w:color w:val="auto"/>
          <w:sz w:val="18"/>
          <w:szCs w:val="18"/>
        </w:rPr>
        <w:t>注：从业人员、营业收入、资产总额填报上一年度数据，无上一年度数据的新</w:t>
      </w:r>
      <w:r>
        <w:rPr>
          <w:rFonts w:ascii="宋体" w:hAnsi="宋体" w:eastAsia="宋体" w:cs="宋体"/>
          <w:color w:val="auto"/>
          <w:spacing w:val="-1"/>
          <w:sz w:val="18"/>
          <w:szCs w:val="18"/>
        </w:rPr>
        <w:t>成立企业可不填报。</w:t>
      </w:r>
    </w:p>
    <w:p w14:paraId="5683C844">
      <w:pPr>
        <w:spacing w:line="220" w:lineRule="auto"/>
        <w:rPr>
          <w:rFonts w:ascii="宋体" w:hAnsi="宋体" w:eastAsia="宋体" w:cs="宋体"/>
          <w:color w:val="auto"/>
          <w:sz w:val="18"/>
          <w:szCs w:val="18"/>
        </w:rPr>
        <w:sectPr>
          <w:footerReference r:id="rId48" w:type="default"/>
          <w:pgSz w:w="11906" w:h="16839"/>
          <w:pgMar w:top="1440" w:right="1080" w:bottom="1440" w:left="1080" w:header="0" w:footer="783" w:gutter="0"/>
          <w:pgNumType w:fmt="decimal"/>
          <w:cols w:space="720" w:num="1"/>
        </w:sectPr>
      </w:pPr>
    </w:p>
    <w:p w14:paraId="7CF3FAE7">
      <w:pPr>
        <w:pStyle w:val="2"/>
        <w:spacing w:line="443" w:lineRule="auto"/>
        <w:rPr>
          <w:color w:val="auto"/>
        </w:rPr>
      </w:pPr>
    </w:p>
    <w:p w14:paraId="22D25DCB">
      <w:pPr>
        <w:spacing w:before="65" w:line="228" w:lineRule="auto"/>
        <w:ind w:left="3541"/>
        <w:rPr>
          <w:rFonts w:ascii="宋体" w:hAnsi="宋体" w:eastAsia="宋体" w:cs="宋体"/>
          <w:color w:val="auto"/>
          <w:sz w:val="20"/>
          <w:szCs w:val="20"/>
        </w:rPr>
      </w:pPr>
      <w:r>
        <w:rPr>
          <w:rFonts w:ascii="宋体" w:hAnsi="宋体" w:eastAsia="宋体" w:cs="宋体"/>
          <w:b/>
          <w:bCs/>
          <w:color w:val="auto"/>
          <w:spacing w:val="7"/>
          <w:sz w:val="20"/>
          <w:szCs w:val="20"/>
        </w:rPr>
        <w:t>监狱企业证明材料</w:t>
      </w:r>
    </w:p>
    <w:p w14:paraId="72041C77">
      <w:pPr>
        <w:pStyle w:val="2"/>
        <w:spacing w:line="256" w:lineRule="auto"/>
        <w:rPr>
          <w:color w:val="auto"/>
        </w:rPr>
      </w:pPr>
    </w:p>
    <w:p w14:paraId="4A96E582">
      <w:pPr>
        <w:pStyle w:val="2"/>
        <w:spacing w:line="256" w:lineRule="auto"/>
        <w:rPr>
          <w:color w:val="auto"/>
        </w:rPr>
      </w:pPr>
    </w:p>
    <w:p w14:paraId="0ADC63A3">
      <w:pPr>
        <w:pStyle w:val="2"/>
        <w:spacing w:line="256" w:lineRule="auto"/>
        <w:rPr>
          <w:color w:val="auto"/>
        </w:rPr>
      </w:pPr>
    </w:p>
    <w:p w14:paraId="0011AFA7">
      <w:pPr>
        <w:pStyle w:val="2"/>
        <w:spacing w:line="256" w:lineRule="auto"/>
        <w:rPr>
          <w:color w:val="auto"/>
        </w:rPr>
      </w:pPr>
    </w:p>
    <w:p w14:paraId="104442C8">
      <w:pPr>
        <w:pStyle w:val="2"/>
        <w:spacing w:line="256" w:lineRule="auto"/>
        <w:rPr>
          <w:color w:val="auto"/>
        </w:rPr>
      </w:pPr>
    </w:p>
    <w:p w14:paraId="594EEFA9">
      <w:pPr>
        <w:pStyle w:val="2"/>
        <w:spacing w:line="257" w:lineRule="auto"/>
        <w:rPr>
          <w:color w:val="auto"/>
        </w:rPr>
      </w:pPr>
    </w:p>
    <w:p w14:paraId="0E38384E">
      <w:pPr>
        <w:pStyle w:val="2"/>
        <w:spacing w:line="257" w:lineRule="auto"/>
        <w:rPr>
          <w:color w:val="auto"/>
        </w:rPr>
      </w:pPr>
    </w:p>
    <w:p w14:paraId="3F0223C6">
      <w:pPr>
        <w:pStyle w:val="2"/>
        <w:spacing w:line="257" w:lineRule="auto"/>
        <w:rPr>
          <w:color w:val="auto"/>
        </w:rPr>
      </w:pPr>
    </w:p>
    <w:p w14:paraId="165A7DA2">
      <w:pPr>
        <w:pStyle w:val="2"/>
        <w:spacing w:line="257" w:lineRule="auto"/>
        <w:rPr>
          <w:color w:val="auto"/>
        </w:rPr>
      </w:pPr>
    </w:p>
    <w:p w14:paraId="26D556D7">
      <w:pPr>
        <w:pStyle w:val="2"/>
        <w:spacing w:line="257" w:lineRule="auto"/>
        <w:rPr>
          <w:color w:val="auto"/>
        </w:rPr>
      </w:pPr>
    </w:p>
    <w:p w14:paraId="769C3297">
      <w:pPr>
        <w:pStyle w:val="2"/>
        <w:spacing w:line="257" w:lineRule="auto"/>
        <w:rPr>
          <w:color w:val="auto"/>
        </w:rPr>
      </w:pPr>
    </w:p>
    <w:p w14:paraId="5F9E62E5">
      <w:pPr>
        <w:pStyle w:val="2"/>
        <w:spacing w:line="257" w:lineRule="auto"/>
        <w:rPr>
          <w:color w:val="auto"/>
        </w:rPr>
      </w:pPr>
    </w:p>
    <w:p w14:paraId="6B6C0412">
      <w:pPr>
        <w:spacing w:before="65" w:line="228" w:lineRule="auto"/>
        <w:ind w:left="5332"/>
        <w:rPr>
          <w:rFonts w:ascii="宋体" w:hAnsi="宋体" w:eastAsia="宋体" w:cs="宋体"/>
          <w:color w:val="auto"/>
          <w:sz w:val="20"/>
          <w:szCs w:val="20"/>
        </w:rPr>
      </w:pPr>
      <w:r>
        <w:rPr>
          <w:rFonts w:ascii="宋体" w:hAnsi="宋体" w:eastAsia="宋体" w:cs="宋体"/>
          <w:color w:val="auto"/>
          <w:spacing w:val="8"/>
          <w:sz w:val="20"/>
          <w:szCs w:val="20"/>
        </w:rPr>
        <w:t>企业名称（公章</w:t>
      </w:r>
      <w:r>
        <w:rPr>
          <w:rFonts w:ascii="宋体" w:hAnsi="宋体" w:eastAsia="宋体" w:cs="宋体"/>
          <w:color w:val="auto"/>
          <w:sz w:val="20"/>
          <w:szCs w:val="20"/>
        </w:rPr>
        <w:t>）：</w:t>
      </w:r>
    </w:p>
    <w:p w14:paraId="58F2D870">
      <w:pPr>
        <w:pStyle w:val="2"/>
        <w:spacing w:line="310" w:lineRule="auto"/>
        <w:rPr>
          <w:color w:val="auto"/>
        </w:rPr>
      </w:pPr>
    </w:p>
    <w:p w14:paraId="450EAE94">
      <w:pPr>
        <w:pStyle w:val="2"/>
        <w:spacing w:line="310" w:lineRule="auto"/>
        <w:rPr>
          <w:color w:val="auto"/>
        </w:rPr>
      </w:pPr>
    </w:p>
    <w:p w14:paraId="2288B400">
      <w:pPr>
        <w:spacing w:before="65" w:line="229" w:lineRule="auto"/>
        <w:ind w:left="7481"/>
        <w:rPr>
          <w:rFonts w:ascii="宋体" w:hAnsi="宋体" w:eastAsia="宋体" w:cs="宋体"/>
          <w:color w:val="auto"/>
          <w:sz w:val="20"/>
          <w:szCs w:val="20"/>
        </w:rPr>
      </w:pPr>
      <w:r>
        <w:rPr>
          <w:rFonts w:ascii="宋体" w:hAnsi="宋体" w:eastAsia="宋体" w:cs="宋体"/>
          <w:color w:val="auto"/>
          <w:spacing w:val="-9"/>
          <w:sz w:val="20"/>
          <w:szCs w:val="20"/>
        </w:rPr>
        <w:t>日期：</w:t>
      </w:r>
    </w:p>
    <w:p w14:paraId="57E6F945">
      <w:pPr>
        <w:pStyle w:val="2"/>
        <w:spacing w:line="254" w:lineRule="auto"/>
        <w:rPr>
          <w:color w:val="auto"/>
        </w:rPr>
      </w:pPr>
    </w:p>
    <w:p w14:paraId="1109790E">
      <w:pPr>
        <w:pStyle w:val="2"/>
        <w:spacing w:line="255" w:lineRule="auto"/>
        <w:rPr>
          <w:color w:val="auto"/>
        </w:rPr>
      </w:pPr>
    </w:p>
    <w:p w14:paraId="4A39052E">
      <w:pPr>
        <w:pStyle w:val="2"/>
        <w:spacing w:line="255" w:lineRule="auto"/>
        <w:rPr>
          <w:color w:val="auto"/>
        </w:rPr>
      </w:pPr>
    </w:p>
    <w:p w14:paraId="2465CF50">
      <w:pPr>
        <w:spacing w:before="78" w:line="361" w:lineRule="auto"/>
        <w:ind w:firstLine="475"/>
        <w:rPr>
          <w:rFonts w:ascii="宋体" w:hAnsi="宋体" w:eastAsia="宋体" w:cs="宋体"/>
          <w:color w:val="auto"/>
          <w:sz w:val="24"/>
          <w:szCs w:val="24"/>
        </w:rPr>
      </w:pPr>
      <w:r>
        <w:rPr>
          <w:rFonts w:ascii="宋体" w:hAnsi="宋体" w:eastAsia="宋体" w:cs="宋体"/>
          <w:color w:val="auto"/>
          <w:spacing w:val="-3"/>
          <w:sz w:val="24"/>
          <w:szCs w:val="24"/>
        </w:rPr>
        <w:t>备注：若有，后附行政主管部门出具的证明材料扫描件，评标时评标委员会进行</w:t>
      </w:r>
      <w:r>
        <w:rPr>
          <w:rFonts w:ascii="宋体" w:hAnsi="宋体" w:eastAsia="宋体" w:cs="宋体"/>
          <w:color w:val="auto"/>
          <w:spacing w:val="-2"/>
          <w:sz w:val="24"/>
          <w:szCs w:val="24"/>
        </w:rPr>
        <w:t>审查，否则不给予价格扣除。</w:t>
      </w:r>
    </w:p>
    <w:p w14:paraId="2768BBA7">
      <w:pPr>
        <w:spacing w:line="361" w:lineRule="auto"/>
        <w:rPr>
          <w:rFonts w:ascii="宋体" w:hAnsi="宋体" w:eastAsia="宋体" w:cs="宋体"/>
          <w:color w:val="auto"/>
          <w:sz w:val="24"/>
          <w:szCs w:val="24"/>
        </w:rPr>
        <w:sectPr>
          <w:footerReference r:id="rId49" w:type="default"/>
          <w:pgSz w:w="11906" w:h="16839"/>
          <w:pgMar w:top="1440" w:right="1080" w:bottom="1440" w:left="1080" w:header="0" w:footer="783" w:gutter="0"/>
          <w:pgNumType w:fmt="decimal"/>
          <w:cols w:space="720" w:num="1"/>
        </w:sectPr>
      </w:pPr>
    </w:p>
    <w:p w14:paraId="126C29F7">
      <w:pPr>
        <w:pStyle w:val="2"/>
        <w:spacing w:line="253" w:lineRule="auto"/>
        <w:rPr>
          <w:color w:val="auto"/>
        </w:rPr>
      </w:pPr>
    </w:p>
    <w:p w14:paraId="53444F43">
      <w:pPr>
        <w:pStyle w:val="2"/>
        <w:spacing w:line="253" w:lineRule="auto"/>
        <w:rPr>
          <w:color w:val="auto"/>
        </w:rPr>
      </w:pPr>
    </w:p>
    <w:p w14:paraId="392BD7E0">
      <w:pPr>
        <w:spacing w:before="65" w:line="228" w:lineRule="auto"/>
        <w:ind w:left="3233"/>
        <w:rPr>
          <w:rFonts w:ascii="宋体" w:hAnsi="宋体" w:eastAsia="宋体" w:cs="宋体"/>
          <w:color w:val="auto"/>
          <w:sz w:val="20"/>
          <w:szCs w:val="20"/>
        </w:rPr>
      </w:pPr>
      <w:r>
        <w:rPr>
          <w:rFonts w:ascii="宋体" w:hAnsi="宋体" w:eastAsia="宋体" w:cs="宋体"/>
          <w:b/>
          <w:bCs/>
          <w:color w:val="auto"/>
          <w:spacing w:val="7"/>
          <w:sz w:val="20"/>
          <w:szCs w:val="20"/>
        </w:rPr>
        <w:t>残疾人福利性单位声明函</w:t>
      </w:r>
    </w:p>
    <w:p w14:paraId="706EE78D">
      <w:pPr>
        <w:pStyle w:val="2"/>
        <w:spacing w:line="288" w:lineRule="auto"/>
        <w:rPr>
          <w:color w:val="auto"/>
        </w:rPr>
      </w:pPr>
    </w:p>
    <w:p w14:paraId="1CBE2627">
      <w:pPr>
        <w:pStyle w:val="2"/>
        <w:spacing w:line="289" w:lineRule="auto"/>
        <w:rPr>
          <w:color w:val="auto"/>
        </w:rPr>
      </w:pPr>
    </w:p>
    <w:p w14:paraId="3DAD0F77">
      <w:pPr>
        <w:pStyle w:val="2"/>
        <w:spacing w:line="289" w:lineRule="auto"/>
        <w:rPr>
          <w:color w:val="auto"/>
        </w:rPr>
      </w:pPr>
    </w:p>
    <w:p w14:paraId="3A8756A8">
      <w:pPr>
        <w:spacing w:before="65" w:line="543" w:lineRule="auto"/>
        <w:ind w:firstLine="445"/>
        <w:jc w:val="both"/>
        <w:rPr>
          <w:rFonts w:ascii="宋体" w:hAnsi="宋体" w:eastAsia="宋体" w:cs="宋体"/>
          <w:color w:val="auto"/>
          <w:sz w:val="20"/>
          <w:szCs w:val="20"/>
        </w:rPr>
      </w:pPr>
      <w:r>
        <w:rPr>
          <w:rFonts w:ascii="宋体" w:hAnsi="宋体" w:eastAsia="宋体" w:cs="宋体"/>
          <w:color w:val="auto"/>
          <w:spacing w:val="19"/>
          <w:sz w:val="20"/>
          <w:szCs w:val="20"/>
        </w:rPr>
        <w:t>本单位郑重声明，根据《财政部民政部中国残疾人联合会关于促进残疾人就业政府</w:t>
      </w:r>
      <w:r>
        <w:rPr>
          <w:rFonts w:ascii="宋体" w:hAnsi="宋体" w:eastAsia="宋体" w:cs="宋体"/>
          <w:color w:val="auto"/>
          <w:spacing w:val="18"/>
          <w:sz w:val="20"/>
          <w:szCs w:val="20"/>
        </w:rPr>
        <w:t>采购</w:t>
      </w:r>
      <w:r>
        <w:rPr>
          <w:rFonts w:ascii="宋体" w:hAnsi="宋体" w:eastAsia="宋体" w:cs="宋体"/>
          <w:color w:val="auto"/>
          <w:spacing w:val="15"/>
          <w:sz w:val="20"/>
          <w:szCs w:val="20"/>
        </w:rPr>
        <w:t>政策的通知》（财库〔2017〕 141</w:t>
      </w:r>
      <w:r>
        <w:rPr>
          <w:rFonts w:ascii="宋体" w:hAnsi="宋体" w:eastAsia="宋体" w:cs="宋体"/>
          <w:color w:val="auto"/>
          <w:spacing w:val="-35"/>
          <w:sz w:val="20"/>
          <w:szCs w:val="20"/>
        </w:rPr>
        <w:t xml:space="preserve"> </w:t>
      </w:r>
      <w:r>
        <w:rPr>
          <w:rFonts w:ascii="宋体" w:hAnsi="宋体" w:eastAsia="宋体" w:cs="宋体"/>
          <w:color w:val="auto"/>
          <w:spacing w:val="15"/>
          <w:sz w:val="20"/>
          <w:szCs w:val="20"/>
        </w:rPr>
        <w:t>号）</w:t>
      </w:r>
      <w:r>
        <w:rPr>
          <w:rFonts w:ascii="宋体" w:hAnsi="宋体" w:eastAsia="宋体" w:cs="宋体"/>
          <w:color w:val="auto"/>
          <w:spacing w:val="-49"/>
          <w:sz w:val="20"/>
          <w:szCs w:val="20"/>
        </w:rPr>
        <w:t xml:space="preserve"> </w:t>
      </w:r>
      <w:r>
        <w:rPr>
          <w:rFonts w:ascii="宋体" w:hAnsi="宋体" w:eastAsia="宋体" w:cs="宋体"/>
          <w:color w:val="auto"/>
          <w:spacing w:val="15"/>
          <w:sz w:val="20"/>
          <w:szCs w:val="20"/>
        </w:rPr>
        <w:t>的规定，本单位为符合条件的</w:t>
      </w:r>
      <w:r>
        <w:rPr>
          <w:rFonts w:ascii="宋体" w:hAnsi="宋体" w:eastAsia="宋体" w:cs="宋体"/>
          <w:color w:val="auto"/>
          <w:spacing w:val="14"/>
          <w:sz w:val="20"/>
          <w:szCs w:val="20"/>
        </w:rPr>
        <w:t>残疾人福利性单位，且</w:t>
      </w:r>
      <w:r>
        <w:rPr>
          <w:rFonts w:ascii="宋体" w:hAnsi="宋体" w:eastAsia="宋体" w:cs="宋体"/>
          <w:color w:val="auto"/>
          <w:spacing w:val="20"/>
          <w:sz w:val="20"/>
          <w:szCs w:val="20"/>
        </w:rPr>
        <w:t>本单位参加单位的项目采购活动提供本单位</w:t>
      </w:r>
      <w:r>
        <w:rPr>
          <w:rFonts w:ascii="宋体" w:hAnsi="宋体" w:eastAsia="宋体" w:cs="宋体"/>
          <w:color w:val="auto"/>
          <w:spacing w:val="19"/>
          <w:sz w:val="20"/>
          <w:szCs w:val="20"/>
        </w:rPr>
        <w:t>制造的货物（</w:t>
      </w:r>
      <w:r>
        <w:rPr>
          <w:rFonts w:ascii="宋体" w:hAnsi="宋体" w:eastAsia="宋体" w:cs="宋体"/>
          <w:color w:val="auto"/>
          <w:spacing w:val="-21"/>
          <w:sz w:val="20"/>
          <w:szCs w:val="20"/>
        </w:rPr>
        <w:t xml:space="preserve"> </w:t>
      </w:r>
      <w:r>
        <w:rPr>
          <w:rFonts w:ascii="宋体" w:hAnsi="宋体" w:eastAsia="宋体" w:cs="宋体"/>
          <w:color w:val="auto"/>
          <w:spacing w:val="19"/>
          <w:sz w:val="20"/>
          <w:szCs w:val="20"/>
        </w:rPr>
        <w:t>由本单位承担工程/提供服务</w:t>
      </w:r>
      <w:r>
        <w:rPr>
          <w:rFonts w:ascii="宋体" w:hAnsi="宋体" w:eastAsia="宋体" w:cs="宋体"/>
          <w:color w:val="auto"/>
          <w:spacing w:val="-7"/>
          <w:sz w:val="20"/>
          <w:szCs w:val="20"/>
        </w:rPr>
        <w:t>）</w:t>
      </w:r>
      <w:r>
        <w:rPr>
          <w:rFonts w:ascii="宋体" w:hAnsi="宋体" w:eastAsia="宋体" w:cs="宋体"/>
          <w:color w:val="auto"/>
          <w:spacing w:val="-40"/>
          <w:sz w:val="20"/>
          <w:szCs w:val="20"/>
        </w:rPr>
        <w:t xml:space="preserve"> </w:t>
      </w:r>
      <w:r>
        <w:rPr>
          <w:rFonts w:ascii="宋体" w:hAnsi="宋体" w:eastAsia="宋体" w:cs="宋体"/>
          <w:color w:val="auto"/>
          <w:spacing w:val="-7"/>
          <w:sz w:val="20"/>
          <w:szCs w:val="20"/>
        </w:rPr>
        <w:t>，</w:t>
      </w:r>
      <w:r>
        <w:rPr>
          <w:rFonts w:ascii="宋体" w:hAnsi="宋体" w:eastAsia="宋体" w:cs="宋体"/>
          <w:color w:val="auto"/>
          <w:spacing w:val="19"/>
          <w:sz w:val="20"/>
          <w:szCs w:val="20"/>
        </w:rPr>
        <w:t>或者提供其他残疾人福利性单位制造的货物（不包括使用非残疾人福利性单位注册商标的货</w:t>
      </w:r>
      <w:r>
        <w:rPr>
          <w:rFonts w:ascii="宋体" w:hAnsi="宋体" w:eastAsia="宋体" w:cs="宋体"/>
          <w:color w:val="auto"/>
          <w:spacing w:val="12"/>
          <w:sz w:val="20"/>
          <w:szCs w:val="20"/>
        </w:rPr>
        <w:t>物）。</w:t>
      </w:r>
    </w:p>
    <w:p w14:paraId="3FAFC84F">
      <w:pPr>
        <w:spacing w:line="227" w:lineRule="auto"/>
        <w:ind w:left="445"/>
        <w:rPr>
          <w:rFonts w:ascii="宋体" w:hAnsi="宋体" w:eastAsia="宋体" w:cs="宋体"/>
          <w:color w:val="auto"/>
          <w:sz w:val="20"/>
          <w:szCs w:val="20"/>
        </w:rPr>
      </w:pPr>
      <w:r>
        <w:rPr>
          <w:rFonts w:ascii="宋体" w:hAnsi="宋体" w:eastAsia="宋体" w:cs="宋体"/>
          <w:color w:val="auto"/>
          <w:spacing w:val="19"/>
          <w:sz w:val="20"/>
          <w:szCs w:val="20"/>
        </w:rPr>
        <w:t>本单位对上述声明的真实性负责</w:t>
      </w:r>
      <w:r>
        <w:rPr>
          <w:rFonts w:ascii="宋体" w:hAnsi="宋体" w:eastAsia="宋体" w:cs="宋体"/>
          <w:color w:val="auto"/>
          <w:spacing w:val="-56"/>
          <w:sz w:val="20"/>
          <w:szCs w:val="20"/>
        </w:rPr>
        <w:t xml:space="preserve"> </w:t>
      </w:r>
      <w:r>
        <w:rPr>
          <w:rFonts w:ascii="宋体" w:hAnsi="宋体" w:eastAsia="宋体" w:cs="宋体"/>
          <w:color w:val="auto"/>
          <w:spacing w:val="19"/>
          <w:sz w:val="20"/>
          <w:szCs w:val="20"/>
        </w:rPr>
        <w:t>。如有虚假，将依法承担相应责任。</w:t>
      </w:r>
    </w:p>
    <w:p w14:paraId="64C1D9D2">
      <w:pPr>
        <w:pStyle w:val="2"/>
        <w:rPr>
          <w:color w:val="auto"/>
        </w:rPr>
      </w:pPr>
    </w:p>
    <w:p w14:paraId="5FF65A8D">
      <w:pPr>
        <w:pStyle w:val="2"/>
        <w:rPr>
          <w:color w:val="auto"/>
        </w:rPr>
      </w:pPr>
    </w:p>
    <w:p w14:paraId="7B4F334A">
      <w:pPr>
        <w:pStyle w:val="2"/>
        <w:rPr>
          <w:color w:val="auto"/>
        </w:rPr>
      </w:pPr>
    </w:p>
    <w:p w14:paraId="5981F995">
      <w:pPr>
        <w:pStyle w:val="2"/>
        <w:spacing w:line="241" w:lineRule="auto"/>
        <w:rPr>
          <w:color w:val="auto"/>
        </w:rPr>
      </w:pPr>
    </w:p>
    <w:p w14:paraId="28DC0107">
      <w:pPr>
        <w:pStyle w:val="2"/>
        <w:spacing w:line="241" w:lineRule="auto"/>
        <w:rPr>
          <w:color w:val="auto"/>
        </w:rPr>
      </w:pPr>
    </w:p>
    <w:p w14:paraId="285B2670">
      <w:pPr>
        <w:pStyle w:val="2"/>
        <w:spacing w:line="241" w:lineRule="auto"/>
        <w:rPr>
          <w:color w:val="auto"/>
        </w:rPr>
      </w:pPr>
    </w:p>
    <w:p w14:paraId="46C85DCA">
      <w:pPr>
        <w:spacing w:before="65" w:line="228" w:lineRule="auto"/>
        <w:ind w:left="5341"/>
        <w:rPr>
          <w:rFonts w:ascii="宋体" w:hAnsi="宋体" w:eastAsia="宋体" w:cs="宋体"/>
          <w:color w:val="auto"/>
          <w:sz w:val="20"/>
          <w:szCs w:val="20"/>
        </w:rPr>
      </w:pPr>
      <w:r>
        <w:rPr>
          <w:rFonts w:ascii="宋体" w:hAnsi="宋体" w:eastAsia="宋体" w:cs="宋体"/>
          <w:color w:val="auto"/>
          <w:spacing w:val="8"/>
          <w:sz w:val="20"/>
          <w:szCs w:val="20"/>
        </w:rPr>
        <w:t>企业名称（公章</w:t>
      </w:r>
      <w:r>
        <w:rPr>
          <w:rFonts w:ascii="宋体" w:hAnsi="宋体" w:eastAsia="宋体" w:cs="宋体"/>
          <w:color w:val="auto"/>
          <w:sz w:val="20"/>
          <w:szCs w:val="20"/>
        </w:rPr>
        <w:t>）：</w:t>
      </w:r>
    </w:p>
    <w:p w14:paraId="47AD8365">
      <w:pPr>
        <w:pStyle w:val="2"/>
        <w:spacing w:line="274" w:lineRule="auto"/>
        <w:rPr>
          <w:color w:val="auto"/>
        </w:rPr>
      </w:pPr>
    </w:p>
    <w:p w14:paraId="3A28634E">
      <w:pPr>
        <w:spacing w:before="65" w:line="229" w:lineRule="auto"/>
        <w:ind w:left="6634"/>
        <w:rPr>
          <w:rFonts w:ascii="宋体" w:hAnsi="宋体" w:eastAsia="宋体" w:cs="宋体"/>
          <w:color w:val="auto"/>
          <w:sz w:val="20"/>
          <w:szCs w:val="20"/>
        </w:rPr>
      </w:pPr>
      <w:r>
        <w:rPr>
          <w:rFonts w:ascii="宋体" w:hAnsi="宋体" w:eastAsia="宋体" w:cs="宋体"/>
          <w:color w:val="auto"/>
          <w:spacing w:val="-9"/>
          <w:sz w:val="20"/>
          <w:szCs w:val="20"/>
        </w:rPr>
        <w:t>日期：</w:t>
      </w:r>
    </w:p>
    <w:p w14:paraId="2E428647">
      <w:pPr>
        <w:pStyle w:val="2"/>
        <w:spacing w:line="245" w:lineRule="auto"/>
        <w:rPr>
          <w:color w:val="auto"/>
        </w:rPr>
      </w:pPr>
    </w:p>
    <w:p w14:paraId="53AC4334">
      <w:pPr>
        <w:pStyle w:val="2"/>
        <w:spacing w:line="245" w:lineRule="auto"/>
        <w:rPr>
          <w:color w:val="auto"/>
        </w:rPr>
      </w:pPr>
    </w:p>
    <w:p w14:paraId="6D088368">
      <w:pPr>
        <w:spacing w:before="72" w:line="263" w:lineRule="auto"/>
        <w:ind w:left="7" w:right="21" w:hanging="4"/>
        <w:rPr>
          <w:rFonts w:ascii="宋体" w:hAnsi="宋体" w:eastAsia="宋体" w:cs="宋体"/>
          <w:color w:val="auto"/>
          <w:sz w:val="22"/>
          <w:szCs w:val="22"/>
        </w:rPr>
      </w:pPr>
      <w:r>
        <w:rPr>
          <w:rFonts w:ascii="宋体" w:hAnsi="宋体" w:eastAsia="宋体" w:cs="宋体"/>
          <w:color w:val="auto"/>
          <w:spacing w:val="-1"/>
          <w:sz w:val="22"/>
          <w:szCs w:val="22"/>
        </w:rPr>
        <w:t>备注：若有，后附行政主管部门出具的证明材</w:t>
      </w:r>
      <w:r>
        <w:rPr>
          <w:rFonts w:ascii="宋体" w:hAnsi="宋体" w:eastAsia="宋体" w:cs="宋体"/>
          <w:color w:val="auto"/>
          <w:spacing w:val="-2"/>
          <w:sz w:val="22"/>
          <w:szCs w:val="22"/>
        </w:rPr>
        <w:t>料扫描件，评标时提交评标委员会进行审查，否则不给予价格扣除。</w:t>
      </w:r>
    </w:p>
    <w:sectPr>
      <w:footerReference r:id="rId50" w:type="default"/>
      <w:pgSz w:w="11906" w:h="16839"/>
      <w:pgMar w:top="1440" w:right="1080" w:bottom="1440" w:left="1080" w:header="0" w:footer="78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UI Gothic">
    <w:panose1 w:val="020B0600070205080204"/>
    <w:charset w:val="86"/>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B686">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3FC0D">
    <w:pPr>
      <w:spacing w:line="226" w:lineRule="exact"/>
      <w:ind w:left="472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ADB2">
    <w:pPr>
      <w:spacing w:line="226" w:lineRule="exact"/>
      <w:ind w:left="429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E839">
    <w:pPr>
      <w:spacing w:line="226" w:lineRule="exact"/>
      <w:ind w:left="408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92404">
    <w:pPr>
      <w:spacing w:line="226" w:lineRule="exact"/>
      <w:ind w:left="408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7A969">
    <w:pPr>
      <w:spacing w:line="226" w:lineRule="exact"/>
      <w:ind w:left="408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10C7A">
    <w:pPr>
      <w:spacing w:line="226" w:lineRule="exact"/>
      <w:ind w:left="408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E0334">
    <w:pPr>
      <w:spacing w:line="226" w:lineRule="exact"/>
      <w:ind w:left="408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840A6">
    <w:pPr>
      <w:spacing w:line="226" w:lineRule="exact"/>
      <w:ind w:left="430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8F8D8">
    <w:pPr>
      <w:spacing w:line="226" w:lineRule="exact"/>
      <w:ind w:left="431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7570B">
    <w:pPr>
      <w:spacing w:line="226" w:lineRule="exact"/>
      <w:ind w:left="458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86E80">
    <w:pPr>
      <w:spacing w:line="226" w:lineRule="exact"/>
      <w:ind w:left="4896"/>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10</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657D0">
    <w:pPr>
      <w:spacing w:line="226" w:lineRule="exact"/>
      <w:ind w:left="458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FDC27">
    <w:pPr>
      <w:spacing w:line="226" w:lineRule="exact"/>
      <w:ind w:left="462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2868D">
    <w:pPr>
      <w:spacing w:line="226" w:lineRule="exact"/>
      <w:ind w:left="422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863EE">
    <w:pPr>
      <w:spacing w:line="226" w:lineRule="exact"/>
      <w:ind w:left="458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BB3D0">
    <w:pPr>
      <w:spacing w:line="226" w:lineRule="exact"/>
      <w:ind w:left="458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530C">
    <w:pPr>
      <w:spacing w:line="226" w:lineRule="exact"/>
      <w:ind w:left="459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5A20F">
    <w:pPr>
      <w:spacing w:line="226" w:lineRule="exact"/>
      <w:ind w:left="470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4C6FD">
    <w:pPr>
      <w:spacing w:line="226" w:lineRule="exact"/>
      <w:ind w:left="470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06998">
    <w:pPr>
      <w:spacing w:line="226" w:lineRule="exact"/>
      <w:ind w:left="457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0AC5A">
    <w:pPr>
      <w:spacing w:line="226" w:lineRule="exact"/>
      <w:ind w:left="459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F96A3">
    <w:pPr>
      <w:tabs>
        <w:tab w:val="center" w:pos="4873"/>
      </w:tabs>
      <w:spacing w:line="226" w:lineRule="exact"/>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ab/>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832C">
    <w:pPr>
      <w:spacing w:line="226" w:lineRule="exact"/>
      <w:ind w:left="459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46</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83A31">
    <w:pPr>
      <w:spacing w:line="226" w:lineRule="exact"/>
      <w:ind w:left="459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47</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4900">
    <w:pPr>
      <w:spacing w:line="226" w:lineRule="exact"/>
      <w:ind w:left="4582"/>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48</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8B1FC">
    <w:pPr>
      <w:spacing w:line="226" w:lineRule="exact"/>
      <w:ind w:left="459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49</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EE120">
    <w:pPr>
      <w:spacing w:line="226" w:lineRule="exact"/>
      <w:ind w:left="458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50</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99282">
    <w:pPr>
      <w:spacing w:line="226" w:lineRule="exact"/>
      <w:ind w:left="471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FF27B">
    <w:pPr>
      <w:spacing w:line="226" w:lineRule="exact"/>
      <w:ind w:left="460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52</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4EC83">
    <w:pPr>
      <w:spacing w:line="226" w:lineRule="exact"/>
      <w:ind w:left="430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53</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95906">
    <w:pPr>
      <w:spacing w:line="226" w:lineRule="exact"/>
      <w:ind w:left="430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40187">
    <w:pPr>
      <w:spacing w:line="173"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AC110">
    <w:pPr>
      <w:pStyle w:val="2"/>
      <w:spacing w:line="14" w:lineRule="auto"/>
      <w:rPr>
        <w:sz w:val="2"/>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84641">
    <w:pPr>
      <w:spacing w:line="226" w:lineRule="exact"/>
      <w:ind w:left="430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56</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320D1">
    <w:pPr>
      <w:spacing w:line="173" w:lineRule="auto"/>
      <w:ind w:left="43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976DE">
    <w:pPr>
      <w:spacing w:line="226" w:lineRule="exact"/>
      <w:ind w:left="430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58</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E5F02">
    <w:pPr>
      <w:spacing w:line="226" w:lineRule="exact"/>
      <w:ind w:left="430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59</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75CF4">
    <w:pPr>
      <w:spacing w:line="226" w:lineRule="exact"/>
      <w:ind w:left="430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60</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DFD2">
    <w:pPr>
      <w:spacing w:line="226" w:lineRule="exact"/>
      <w:ind w:left="429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61</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C0BC0">
    <w:pPr>
      <w:spacing w:line="226" w:lineRule="exact"/>
      <w:ind w:left="430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7EB2F">
    <w:pPr>
      <w:spacing w:line="226" w:lineRule="exact"/>
      <w:ind w:left="485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2363C">
    <w:pPr>
      <w:spacing w:line="226" w:lineRule="exact"/>
      <w:ind w:left="431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F807C">
    <w:pPr>
      <w:spacing w:line="226" w:lineRule="exact"/>
      <w:ind w:left="472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43D76">
    <w:pPr>
      <w:spacing w:line="226" w:lineRule="exact"/>
      <w:ind w:left="472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6B841">
    <w:pPr>
      <w:spacing w:line="226" w:lineRule="exact"/>
      <w:ind w:left="472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65ED5"/>
    <w:multiLevelType w:val="singleLevel"/>
    <w:tmpl w:val="18065ED5"/>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B70294"/>
    <w:rsid w:val="00DF5344"/>
    <w:rsid w:val="01735414"/>
    <w:rsid w:val="02AE55E9"/>
    <w:rsid w:val="0447016F"/>
    <w:rsid w:val="04E80761"/>
    <w:rsid w:val="05FA2BB8"/>
    <w:rsid w:val="06334737"/>
    <w:rsid w:val="0A742C74"/>
    <w:rsid w:val="0B0F2AE7"/>
    <w:rsid w:val="0B41349E"/>
    <w:rsid w:val="0C131187"/>
    <w:rsid w:val="0C7C2B57"/>
    <w:rsid w:val="0C8B2DC3"/>
    <w:rsid w:val="0D960386"/>
    <w:rsid w:val="0DE3083D"/>
    <w:rsid w:val="0E6C0832"/>
    <w:rsid w:val="0ED471D0"/>
    <w:rsid w:val="0EFC26D1"/>
    <w:rsid w:val="0FC24482"/>
    <w:rsid w:val="11B20C52"/>
    <w:rsid w:val="142F3D5E"/>
    <w:rsid w:val="14504EBD"/>
    <w:rsid w:val="14570EC5"/>
    <w:rsid w:val="153F62C9"/>
    <w:rsid w:val="167E0ED9"/>
    <w:rsid w:val="1836143D"/>
    <w:rsid w:val="188A6092"/>
    <w:rsid w:val="19057BDB"/>
    <w:rsid w:val="195402DC"/>
    <w:rsid w:val="1968675A"/>
    <w:rsid w:val="1A050FE6"/>
    <w:rsid w:val="1B4A42F7"/>
    <w:rsid w:val="1DA368C3"/>
    <w:rsid w:val="1F680BA2"/>
    <w:rsid w:val="20716D35"/>
    <w:rsid w:val="2188552B"/>
    <w:rsid w:val="21DF3764"/>
    <w:rsid w:val="21F34A51"/>
    <w:rsid w:val="22E0407A"/>
    <w:rsid w:val="27AF112E"/>
    <w:rsid w:val="2867108D"/>
    <w:rsid w:val="29AE4178"/>
    <w:rsid w:val="2A027E45"/>
    <w:rsid w:val="2B02041C"/>
    <w:rsid w:val="2D3055C0"/>
    <w:rsid w:val="2E6136FE"/>
    <w:rsid w:val="2EEE48EB"/>
    <w:rsid w:val="32B14D4D"/>
    <w:rsid w:val="33984CBF"/>
    <w:rsid w:val="35394071"/>
    <w:rsid w:val="37DF3574"/>
    <w:rsid w:val="38EA5768"/>
    <w:rsid w:val="39F252A9"/>
    <w:rsid w:val="3A7558B6"/>
    <w:rsid w:val="3BEF38F1"/>
    <w:rsid w:val="3CEA4F51"/>
    <w:rsid w:val="3EA846BF"/>
    <w:rsid w:val="3EBB4BE0"/>
    <w:rsid w:val="3EC97025"/>
    <w:rsid w:val="3F8F37DD"/>
    <w:rsid w:val="406D3E12"/>
    <w:rsid w:val="43994D3A"/>
    <w:rsid w:val="43BC1948"/>
    <w:rsid w:val="44382EB0"/>
    <w:rsid w:val="458A446B"/>
    <w:rsid w:val="479A2650"/>
    <w:rsid w:val="47FC782A"/>
    <w:rsid w:val="494123B1"/>
    <w:rsid w:val="4BDF1609"/>
    <w:rsid w:val="4C532ADA"/>
    <w:rsid w:val="4D0F5D4C"/>
    <w:rsid w:val="4DA93FB0"/>
    <w:rsid w:val="4E08156A"/>
    <w:rsid w:val="4E4A7541"/>
    <w:rsid w:val="4FA13E31"/>
    <w:rsid w:val="4FAB613C"/>
    <w:rsid w:val="4FD01CC8"/>
    <w:rsid w:val="4FF63A93"/>
    <w:rsid w:val="50D004A9"/>
    <w:rsid w:val="50FE637F"/>
    <w:rsid w:val="52026913"/>
    <w:rsid w:val="535D027D"/>
    <w:rsid w:val="58F92290"/>
    <w:rsid w:val="5A2F2F5F"/>
    <w:rsid w:val="5A3E42C7"/>
    <w:rsid w:val="5B48738F"/>
    <w:rsid w:val="5E4239A1"/>
    <w:rsid w:val="5E453881"/>
    <w:rsid w:val="6126362C"/>
    <w:rsid w:val="617478C1"/>
    <w:rsid w:val="61CA224E"/>
    <w:rsid w:val="61EF3AF0"/>
    <w:rsid w:val="6313179D"/>
    <w:rsid w:val="63D27965"/>
    <w:rsid w:val="645111D2"/>
    <w:rsid w:val="67DE7AB7"/>
    <w:rsid w:val="68CF0917"/>
    <w:rsid w:val="68D0643D"/>
    <w:rsid w:val="694B1F6D"/>
    <w:rsid w:val="6C345DAE"/>
    <w:rsid w:val="6C6A7734"/>
    <w:rsid w:val="6E3B07FD"/>
    <w:rsid w:val="6EB057E5"/>
    <w:rsid w:val="6ED664F4"/>
    <w:rsid w:val="6EF85299"/>
    <w:rsid w:val="6F0230C8"/>
    <w:rsid w:val="6F567312"/>
    <w:rsid w:val="72C012B3"/>
    <w:rsid w:val="74E871A0"/>
    <w:rsid w:val="77343E56"/>
    <w:rsid w:val="77FC2DAB"/>
    <w:rsid w:val="790338A9"/>
    <w:rsid w:val="7A137BAE"/>
    <w:rsid w:val="7A4B0F0D"/>
    <w:rsid w:val="7BAB0D70"/>
    <w:rsid w:val="7C4F676E"/>
    <w:rsid w:val="7DDF20E1"/>
    <w:rsid w:val="7FDA46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toc 3"/>
    <w:basedOn w:val="1"/>
    <w:next w:val="1"/>
    <w:qFormat/>
    <w:uiPriority w:val="0"/>
    <w:pPr>
      <w:ind w:left="840" w:leftChars="400"/>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FollowedHyperlink"/>
    <w:basedOn w:val="11"/>
    <w:qFormat/>
    <w:uiPriority w:val="0"/>
    <w:rPr>
      <w:color w:val="000000"/>
      <w:u w:val="none"/>
    </w:rPr>
  </w:style>
  <w:style w:type="character" w:styleId="13">
    <w:name w:val="Hyperlink"/>
    <w:basedOn w:val="11"/>
    <w:qFormat/>
    <w:uiPriority w:val="0"/>
    <w:rPr>
      <w:color w:val="000000"/>
      <w:u w:val="none"/>
    </w:rPr>
  </w:style>
  <w:style w:type="character" w:styleId="14">
    <w:name w:val="HTML Cite"/>
    <w:basedOn w:val="11"/>
    <w:qFormat/>
    <w:uiPriority w:val="0"/>
    <w:rPr>
      <w:color w:val="000000"/>
      <w:u w:val="non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character" w:customStyle="1" w:styleId="17">
    <w:name w:val="yellow"/>
    <w:basedOn w:val="11"/>
    <w:qFormat/>
    <w:uiPriority w:val="0"/>
    <w:rPr>
      <w:shd w:val="clear" w:fill="F58F00"/>
    </w:rPr>
  </w:style>
  <w:style w:type="character" w:customStyle="1" w:styleId="18">
    <w:name w:val="disabled2"/>
    <w:basedOn w:val="11"/>
    <w:qFormat/>
    <w:uiPriority w:val="0"/>
    <w:rPr>
      <w:color w:val="DDDDDD"/>
      <w:bdr w:val="single" w:color="EEEEEE" w:sz="6" w:space="0"/>
    </w:rPr>
  </w:style>
  <w:style w:type="character" w:customStyle="1" w:styleId="19">
    <w:name w:val="green"/>
    <w:basedOn w:val="11"/>
    <w:qFormat/>
    <w:uiPriority w:val="0"/>
    <w:rPr>
      <w:shd w:val="clear" w:fill="71C033"/>
    </w:rPr>
  </w:style>
  <w:style w:type="character" w:customStyle="1" w:styleId="20">
    <w:name w:val="blue2"/>
    <w:basedOn w:val="11"/>
    <w:qFormat/>
    <w:uiPriority w:val="0"/>
    <w:rPr>
      <w:shd w:val="clear" w:fill="53A7FF"/>
    </w:rPr>
  </w:style>
  <w:style w:type="character" w:customStyle="1" w:styleId="21">
    <w:name w:val="red"/>
    <w:basedOn w:val="11"/>
    <w:qFormat/>
    <w:uiPriority w:val="0"/>
    <w:rPr>
      <w:shd w:val="clear" w:fill="EA5954"/>
    </w:rPr>
  </w:style>
  <w:style w:type="character" w:customStyle="1" w:styleId="22">
    <w:name w:val="disabled"/>
    <w:basedOn w:val="11"/>
    <w:qFormat/>
    <w:uiPriority w:val="0"/>
    <w:rPr>
      <w:color w:val="DDDDDD"/>
      <w:bdr w:val="single" w:color="EEEEEE" w:sz="6" w:space="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theme" Target="theme/theme1.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63</Pages>
  <Words>19193</Words>
  <Characters>20441</Characters>
  <TotalTime>12</TotalTime>
  <ScaleCrop>false</ScaleCrop>
  <LinksUpToDate>false</LinksUpToDate>
  <CharactersWithSpaces>21400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2026-02-13T11:06:00Z</dcterms:created>
  <dc:creator>AL</dc:creator>
  <cp:lastModifiedBy>一切只为你</cp:lastModifiedBy>
  <cp:lastPrinted>2026-03-16T02:03:00Z</cp:lastPrinted>
  <dcterms:modified xsi:type="dcterms:W3CDTF">2026-05-11T03:47:57Z</dcterms:modified>
  <dc:title>竞争性磋商文件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2026-03-05T10:10:24Z</vt:filetime>
  </property>
  <property fmtid="{D5CDD505-2E9C-101B-9397-08002B2CF9AE}" pid="4" name="KSOProductBuildVer">
    <vt:lpwstr>2052-12.1.0.25865</vt:lpwstr>
  </property>
  <property fmtid="{D5CDD505-2E9C-101B-9397-08002B2CF9AE}" pid="5" name="ICV">
    <vt:lpwstr>8201DCD5EF2D44FCA7F5077BB2B4EFE9_13</vt:lpwstr>
  </property>
  <property fmtid="{D5CDD505-2E9C-101B-9397-08002B2CF9AE}" pid="6" name="KSOTemplateDocerSaveRecord">
    <vt:lpwstr>eyJoZGlkIjoiNjIzOWU3MjU5MGZjYTRkZThmMWViNzkyNWZhMGFiZGQiLCJ1c2VySWQiOiIzNjkzNDAzNTcifQ==</vt:lpwstr>
  </property>
</Properties>
</file>