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01986">
      <w:pPr>
        <w:spacing w:line="360" w:lineRule="auto"/>
        <w:jc w:val="center"/>
        <w:rPr>
          <w:rFonts w:hint="eastAsia" w:ascii="仿宋" w:hAnsi="仿宋" w:eastAsia="仿宋" w:cs="仿宋"/>
          <w:b/>
          <w:color w:val="auto"/>
          <w:sz w:val="24"/>
          <w:highlight w:val="none"/>
        </w:rPr>
      </w:pPr>
    </w:p>
    <w:p w14:paraId="094F5FF0">
      <w:pPr>
        <w:spacing w:line="360" w:lineRule="auto"/>
        <w:jc w:val="center"/>
        <w:rPr>
          <w:rFonts w:hint="eastAsia" w:ascii="仿宋" w:hAnsi="仿宋" w:eastAsia="仿宋" w:cs="仿宋"/>
          <w:b/>
          <w:color w:val="auto"/>
          <w:sz w:val="24"/>
          <w:highlight w:val="none"/>
        </w:rPr>
      </w:pPr>
    </w:p>
    <w:p w14:paraId="021261FF">
      <w:pPr>
        <w:adjustRightInd/>
        <w:spacing w:line="360" w:lineRule="auto"/>
        <w:jc w:val="center"/>
        <w:rPr>
          <w:rFonts w:hint="eastAsia" w:ascii="仿宋" w:hAnsi="仿宋" w:eastAsia="仿宋" w:cs="仿宋"/>
          <w:b/>
          <w:color w:val="auto"/>
          <w:sz w:val="24"/>
          <w:szCs w:val="24"/>
          <w:highlight w:val="none"/>
        </w:rPr>
      </w:pPr>
    </w:p>
    <w:p w14:paraId="57C20E48">
      <w:pPr>
        <w:adjustRightInd/>
        <w:spacing w:line="360" w:lineRule="auto"/>
        <w:jc w:val="center"/>
        <w:rPr>
          <w:rFonts w:hint="eastAsia" w:ascii="仿宋" w:hAnsi="仿宋" w:eastAsia="仿宋" w:cs="仿宋"/>
          <w:b/>
          <w:color w:val="auto"/>
          <w:sz w:val="24"/>
          <w:szCs w:val="24"/>
          <w:highlight w:val="none"/>
        </w:rPr>
      </w:pPr>
    </w:p>
    <w:p w14:paraId="7A824090">
      <w:pPr>
        <w:spacing w:line="360" w:lineRule="auto"/>
        <w:jc w:val="center"/>
        <w:rPr>
          <w:rFonts w:hint="eastAsia" w:ascii="仿宋" w:hAnsi="仿宋" w:eastAsia="仿宋" w:cs="仿宋"/>
          <w:b/>
          <w:color w:val="auto"/>
          <w:sz w:val="24"/>
          <w:szCs w:val="24"/>
          <w:highlight w:val="none"/>
        </w:rPr>
      </w:pPr>
    </w:p>
    <w:p w14:paraId="1CB64D80">
      <w:pPr>
        <w:adjustRightInd/>
        <w:spacing w:line="360" w:lineRule="auto"/>
        <w:jc w:val="center"/>
        <w:rPr>
          <w:rFonts w:hint="eastAsia" w:ascii="仿宋" w:hAnsi="仿宋" w:eastAsia="仿宋" w:cs="仿宋"/>
          <w:b/>
          <w:color w:val="auto"/>
          <w:sz w:val="24"/>
          <w:szCs w:val="24"/>
          <w:highlight w:val="none"/>
          <w:lang w:eastAsia="zh-CN"/>
        </w:rPr>
      </w:pPr>
      <w:r>
        <w:rPr>
          <w:rFonts w:hint="eastAsia" w:ascii="仿宋" w:hAnsi="仿宋" w:eastAsia="仿宋" w:cs="仿宋"/>
          <w:b/>
          <w:bCs/>
          <w:color w:val="auto"/>
          <w:sz w:val="48"/>
          <w:szCs w:val="48"/>
          <w:highlight w:val="none"/>
          <w:lang w:eastAsia="zh-CN"/>
        </w:rPr>
        <w:t>2026年九堡街道企业退休人员自管小组文体活动项目</w:t>
      </w:r>
    </w:p>
    <w:p w14:paraId="11FDB9F7">
      <w:pPr>
        <w:adjustRightInd/>
        <w:spacing w:line="360" w:lineRule="auto"/>
        <w:jc w:val="center"/>
        <w:rPr>
          <w:rFonts w:hint="eastAsia" w:ascii="仿宋" w:hAnsi="仿宋" w:eastAsia="仿宋" w:cs="仿宋"/>
          <w:b/>
          <w:color w:val="auto"/>
          <w:sz w:val="24"/>
          <w:szCs w:val="24"/>
          <w:highlight w:val="none"/>
          <w:lang w:eastAsia="zh-CN"/>
        </w:rPr>
      </w:pPr>
    </w:p>
    <w:p w14:paraId="693A4F34">
      <w:pPr>
        <w:adjustRightInd/>
        <w:spacing w:line="360" w:lineRule="auto"/>
        <w:jc w:val="center"/>
        <w:rPr>
          <w:rFonts w:hint="eastAsia" w:ascii="仿宋" w:hAnsi="仿宋" w:eastAsia="仿宋" w:cs="仿宋"/>
          <w:b/>
          <w:color w:val="auto"/>
          <w:sz w:val="24"/>
          <w:szCs w:val="24"/>
          <w:highlight w:val="none"/>
          <w:lang w:eastAsia="zh-CN"/>
        </w:rPr>
      </w:pPr>
    </w:p>
    <w:p w14:paraId="1D162680">
      <w:pPr>
        <w:adjustRightInd/>
        <w:spacing w:line="360" w:lineRule="auto"/>
        <w:jc w:val="center"/>
        <w:rPr>
          <w:rFonts w:hint="eastAsia" w:ascii="仿宋" w:hAnsi="仿宋" w:eastAsia="仿宋" w:cs="仿宋"/>
          <w:b/>
          <w:color w:val="auto"/>
          <w:sz w:val="24"/>
          <w:szCs w:val="24"/>
          <w:highlight w:val="none"/>
          <w:lang w:eastAsia="zh-CN"/>
        </w:rPr>
      </w:pPr>
    </w:p>
    <w:p w14:paraId="59F6F059">
      <w:pPr>
        <w:adjustRightInd/>
        <w:spacing w:line="360" w:lineRule="auto"/>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招标文件</w:t>
      </w:r>
    </w:p>
    <w:p w14:paraId="7D91D063">
      <w:pPr>
        <w:adjustRightInd/>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（电子招投标）</w:t>
      </w:r>
    </w:p>
    <w:p w14:paraId="0F4C66D6">
      <w:pPr>
        <w:snapToGrid w:val="0"/>
        <w:spacing w:line="360" w:lineRule="auto"/>
        <w:jc w:val="cente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编号</w:t>
      </w:r>
      <w:r>
        <w:rPr>
          <w:rFonts w:hint="eastAsia" w:ascii="仿宋" w:hAnsi="仿宋" w:eastAsia="仿宋" w:cs="仿宋"/>
          <w:color w:val="auto"/>
          <w:sz w:val="30"/>
          <w:szCs w:val="30"/>
          <w:highlight w:val="none"/>
          <w:lang w:eastAsia="zh-CN"/>
        </w:rPr>
        <w:t>：330102262910020000003-FYC022604-118</w:t>
      </w:r>
    </w:p>
    <w:p w14:paraId="30F28ADD">
      <w:pPr>
        <w:adjustRightInd/>
        <w:spacing w:line="360" w:lineRule="auto"/>
        <w:jc w:val="center"/>
        <w:rPr>
          <w:rFonts w:hint="eastAsia" w:ascii="仿宋" w:hAnsi="仿宋" w:eastAsia="仿宋" w:cs="仿宋"/>
          <w:b/>
          <w:color w:val="auto"/>
          <w:sz w:val="24"/>
          <w:szCs w:val="24"/>
          <w:highlight w:val="none"/>
        </w:rPr>
      </w:pPr>
    </w:p>
    <w:p w14:paraId="6BC469B3">
      <w:pPr>
        <w:adjustRightInd/>
        <w:spacing w:line="360" w:lineRule="auto"/>
        <w:jc w:val="center"/>
        <w:rPr>
          <w:rFonts w:hint="eastAsia" w:ascii="仿宋" w:hAnsi="仿宋" w:eastAsia="仿宋" w:cs="仿宋"/>
          <w:b/>
          <w:color w:val="auto"/>
          <w:sz w:val="24"/>
          <w:szCs w:val="24"/>
          <w:highlight w:val="none"/>
        </w:rPr>
      </w:pPr>
    </w:p>
    <w:p w14:paraId="259EE904">
      <w:pPr>
        <w:adjustRightInd/>
        <w:spacing w:line="360" w:lineRule="auto"/>
        <w:jc w:val="center"/>
        <w:rPr>
          <w:rFonts w:hint="eastAsia" w:ascii="仿宋" w:hAnsi="仿宋" w:eastAsia="仿宋" w:cs="仿宋"/>
          <w:b/>
          <w:color w:val="auto"/>
          <w:sz w:val="24"/>
          <w:szCs w:val="24"/>
          <w:highlight w:val="none"/>
        </w:rPr>
      </w:pPr>
    </w:p>
    <w:p w14:paraId="31F5F49C">
      <w:pPr>
        <w:adjustRightInd/>
        <w:spacing w:line="360" w:lineRule="auto"/>
        <w:jc w:val="center"/>
        <w:rPr>
          <w:rFonts w:hint="eastAsia" w:ascii="仿宋" w:hAnsi="仿宋" w:eastAsia="仿宋" w:cs="仿宋"/>
          <w:b/>
          <w:color w:val="auto"/>
          <w:sz w:val="24"/>
          <w:highlight w:val="none"/>
        </w:rPr>
      </w:pPr>
    </w:p>
    <w:p w14:paraId="06B12366">
      <w:pPr>
        <w:adjustRightInd/>
        <w:spacing w:line="360" w:lineRule="auto"/>
        <w:jc w:val="center"/>
        <w:rPr>
          <w:rFonts w:hint="eastAsia" w:ascii="仿宋" w:hAnsi="仿宋" w:eastAsia="仿宋" w:cs="仿宋"/>
          <w:b/>
          <w:color w:val="auto"/>
          <w:sz w:val="24"/>
          <w:highlight w:val="none"/>
        </w:rPr>
      </w:pPr>
    </w:p>
    <w:p w14:paraId="3FA66F22">
      <w:pPr>
        <w:adjustRightInd/>
        <w:spacing w:line="360" w:lineRule="auto"/>
        <w:jc w:val="center"/>
        <w:rPr>
          <w:rFonts w:hint="eastAsia" w:ascii="仿宋" w:hAnsi="仿宋" w:eastAsia="仿宋" w:cs="仿宋"/>
          <w:b/>
          <w:color w:val="auto"/>
          <w:sz w:val="24"/>
          <w:highlight w:val="none"/>
        </w:rPr>
      </w:pPr>
    </w:p>
    <w:p w14:paraId="6877E069">
      <w:pPr>
        <w:adjustRightInd/>
        <w:spacing w:line="360" w:lineRule="auto"/>
        <w:jc w:val="center"/>
        <w:rPr>
          <w:rFonts w:hint="eastAsia" w:ascii="仿宋" w:hAnsi="仿宋" w:eastAsia="仿宋" w:cs="仿宋"/>
          <w:b/>
          <w:color w:val="auto"/>
          <w:sz w:val="24"/>
          <w:szCs w:val="24"/>
          <w:highlight w:val="none"/>
        </w:rPr>
      </w:pPr>
    </w:p>
    <w:p w14:paraId="7EB266FB">
      <w:pPr>
        <w:spacing w:line="360" w:lineRule="auto"/>
        <w:jc w:val="center"/>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杭州市上城区九堡街道党群与便民服务中心</w:t>
      </w:r>
    </w:p>
    <w:p w14:paraId="4272AA67">
      <w:pPr>
        <w:spacing w:line="360" w:lineRule="auto"/>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浙江泛亚工程咨询有限公司</w:t>
      </w:r>
    </w:p>
    <w:p w14:paraId="732CD255">
      <w:pPr>
        <w:snapToGrid w:val="0"/>
        <w:spacing w:line="360" w:lineRule="auto"/>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二〇二</w:t>
      </w:r>
      <w:r>
        <w:rPr>
          <w:rFonts w:hint="eastAsia" w:ascii="仿宋" w:hAnsi="仿宋" w:eastAsia="仿宋" w:cs="仿宋"/>
          <w:bCs/>
          <w:color w:val="auto"/>
          <w:sz w:val="32"/>
          <w:szCs w:val="32"/>
          <w:highlight w:val="none"/>
          <w:lang w:val="en-US" w:eastAsia="zh-CN"/>
        </w:rPr>
        <w:t>六</w:t>
      </w:r>
      <w:r>
        <w:rPr>
          <w:rFonts w:hint="eastAsia" w:ascii="仿宋" w:hAnsi="仿宋" w:eastAsia="仿宋" w:cs="仿宋"/>
          <w:bCs/>
          <w:color w:val="auto"/>
          <w:sz w:val="32"/>
          <w:szCs w:val="32"/>
          <w:highlight w:val="none"/>
        </w:rPr>
        <w:t>年</w:t>
      </w:r>
      <w:r>
        <w:rPr>
          <w:rFonts w:hint="eastAsia" w:ascii="仿宋" w:hAnsi="仿宋" w:eastAsia="仿宋" w:cs="仿宋"/>
          <w:bCs/>
          <w:color w:val="auto"/>
          <w:sz w:val="32"/>
          <w:szCs w:val="32"/>
          <w:highlight w:val="none"/>
          <w:lang w:val="en-US" w:eastAsia="zh-CN"/>
        </w:rPr>
        <w:t>四</w:t>
      </w:r>
      <w:r>
        <w:rPr>
          <w:rFonts w:hint="eastAsia" w:ascii="仿宋" w:hAnsi="仿宋" w:eastAsia="仿宋" w:cs="仿宋"/>
          <w:bCs/>
          <w:color w:val="auto"/>
          <w:sz w:val="32"/>
          <w:szCs w:val="32"/>
          <w:highlight w:val="none"/>
        </w:rPr>
        <w:t>月</w:t>
      </w:r>
      <w:r>
        <w:rPr>
          <w:rFonts w:hint="eastAsia" w:ascii="仿宋" w:hAnsi="仿宋" w:eastAsia="仿宋" w:cs="仿宋"/>
          <w:bCs/>
          <w:color w:val="auto"/>
          <w:sz w:val="32"/>
          <w:szCs w:val="32"/>
          <w:highlight w:val="none"/>
          <w:lang w:val="en-US" w:eastAsia="zh-CN"/>
        </w:rPr>
        <w:t>三十</w:t>
      </w:r>
      <w:r>
        <w:rPr>
          <w:rFonts w:hint="eastAsia" w:ascii="仿宋" w:hAnsi="仿宋" w:eastAsia="仿宋" w:cs="仿宋"/>
          <w:bCs/>
          <w:color w:val="auto"/>
          <w:sz w:val="32"/>
          <w:szCs w:val="32"/>
          <w:highlight w:val="none"/>
        </w:rPr>
        <w:t>日</w:t>
      </w:r>
    </w:p>
    <w:p w14:paraId="48B32D0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718CD0CA">
      <w:pPr>
        <w:spacing w:line="360" w:lineRule="auto"/>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目  录</w:t>
      </w:r>
    </w:p>
    <w:p w14:paraId="501489B4">
      <w:pPr>
        <w:spacing w:line="360" w:lineRule="auto"/>
        <w:rPr>
          <w:rFonts w:hint="eastAsia" w:ascii="仿宋" w:hAnsi="仿宋" w:eastAsia="仿宋" w:cs="仿宋"/>
          <w:color w:val="auto"/>
          <w:sz w:val="32"/>
          <w:szCs w:val="32"/>
          <w:highlight w:val="none"/>
        </w:rPr>
      </w:pPr>
    </w:p>
    <w:p w14:paraId="16A29812">
      <w:pPr>
        <w:spacing w:line="360" w:lineRule="auto"/>
        <w:rPr>
          <w:rFonts w:hint="eastAsia" w:ascii="仿宋" w:hAnsi="仿宋" w:eastAsia="仿宋" w:cs="仿宋"/>
          <w:color w:val="auto"/>
          <w:sz w:val="32"/>
          <w:szCs w:val="32"/>
          <w:highlight w:val="none"/>
        </w:rPr>
      </w:pPr>
    </w:p>
    <w:p w14:paraId="1A7F890C">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第一部分      招标公告</w:t>
      </w:r>
    </w:p>
    <w:p w14:paraId="21902F10">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第二部分      投标人须知</w:t>
      </w:r>
    </w:p>
    <w:p w14:paraId="5FB92F17">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第三部分      采购需求</w:t>
      </w:r>
    </w:p>
    <w:p w14:paraId="082AD2E9">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第四部分      评标办法</w:t>
      </w:r>
    </w:p>
    <w:p w14:paraId="66C05957">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第五部分      拟签订的合同文本</w:t>
      </w:r>
    </w:p>
    <w:p w14:paraId="15BDBA3F">
      <w:pPr>
        <w:spacing w:line="360" w:lineRule="auto"/>
        <w:ind w:firstLine="1280" w:firstLineChars="400"/>
        <w:rPr>
          <w:rFonts w:hint="eastAsia" w:ascii="仿宋" w:hAnsi="仿宋" w:eastAsia="仿宋" w:cs="仿宋"/>
          <w:color w:val="auto"/>
          <w:sz w:val="32"/>
          <w:szCs w:val="32"/>
          <w:highlight w:val="none"/>
        </w:rPr>
        <w:sectPr>
          <w:headerReference r:id="rId4" w:type="first"/>
          <w:footerReference r:id="rId7" w:type="first"/>
          <w:headerReference r:id="rId3" w:type="default"/>
          <w:footerReference r:id="rId5" w:type="default"/>
          <w:footerReference r:id="rId6" w:type="even"/>
          <w:pgSz w:w="11905" w:h="16838"/>
          <w:pgMar w:top="1440" w:right="1083" w:bottom="1440" w:left="1083" w:header="850" w:footer="992" w:gutter="0"/>
          <w:cols w:space="0" w:num="1"/>
          <w:titlePg/>
          <w:rtlGutter w:val="0"/>
          <w:docGrid w:linePitch="312" w:charSpace="0"/>
        </w:sectPr>
      </w:pPr>
      <w:r>
        <w:rPr>
          <w:rFonts w:hint="eastAsia" w:ascii="仿宋" w:hAnsi="仿宋" w:eastAsia="仿宋" w:cs="仿宋"/>
          <w:color w:val="auto"/>
          <w:sz w:val="32"/>
          <w:szCs w:val="32"/>
          <w:highlight w:val="none"/>
        </w:rPr>
        <w:t>第六部分      应提交的有关格式范例</w:t>
      </w:r>
    </w:p>
    <w:p w14:paraId="0EF75471">
      <w:pPr>
        <w:pStyle w:val="3"/>
        <w:adjustRightInd/>
        <w:jc w:val="center"/>
        <w:outlineLvl w:val="0"/>
        <w:rPr>
          <w:rFonts w:hint="default"/>
          <w:color w:val="auto"/>
          <w:highlight w:val="none"/>
        </w:rPr>
      </w:pPr>
      <w:r>
        <w:rPr>
          <w:rFonts w:hint="default"/>
          <w:color w:val="auto"/>
          <w:highlight w:val="none"/>
        </w:rPr>
        <w:t>第一部分 招标公告</w:t>
      </w:r>
    </w:p>
    <w:p w14:paraId="697C320C">
      <w:pPr>
        <w:pBdr>
          <w:top w:val="single" w:color="auto" w:sz="4" w:space="1"/>
          <w:left w:val="single" w:color="auto" w:sz="4" w:space="4"/>
          <w:bottom w:val="single" w:color="auto" w:sz="4" w:space="1"/>
          <w:right w:val="single" w:color="auto" w:sz="4" w:space="4"/>
        </w:pBdr>
        <w:spacing w:beforeLines="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71A51C8D">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2026年九堡街道企业退休人员自管小组文体活动项目</w:t>
      </w:r>
      <w:r>
        <w:rPr>
          <w:rFonts w:hint="eastAsia" w:ascii="仿宋" w:hAnsi="仿宋" w:eastAsia="仿宋" w:cs="仿宋"/>
          <w:color w:val="auto"/>
          <w:sz w:val="24"/>
          <w:highlight w:val="none"/>
        </w:rPr>
        <w:t>招标项目的潜在投标人应在政采云平台（</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"https://www.zcygov.cn/）获取（下载）招标文件，并于202%20年%20月%20日%20点%20分00秒" </w:instrText>
      </w:r>
      <w:r>
        <w:rPr>
          <w:rFonts w:hint="eastAsia" w:ascii="仿宋" w:hAnsi="仿宋" w:eastAsia="仿宋" w:cs="仿宋"/>
          <w:color w:val="auto"/>
          <w:highlight w:val="none"/>
        </w:rPr>
        <w:fldChar w:fldCharType="separate"/>
      </w:r>
      <w:r>
        <w:rPr>
          <w:rStyle w:val="76"/>
          <w:rFonts w:hint="eastAsia" w:ascii="仿宋" w:hAnsi="仿宋" w:eastAsia="仿宋" w:cs="仿宋"/>
          <w:snapToGrid/>
          <w:color w:val="auto"/>
          <w:kern w:val="2"/>
          <w:sz w:val="24"/>
          <w:szCs w:val="24"/>
          <w:highlight w:val="none"/>
        </w:rPr>
        <w:t>https://www.zcygov.cn/）获取（下载）招标文件，并于202</w:t>
      </w:r>
      <w:r>
        <w:rPr>
          <w:rStyle w:val="76"/>
          <w:rFonts w:hint="eastAsia" w:ascii="仿宋" w:hAnsi="仿宋" w:eastAsia="仿宋" w:cs="仿宋"/>
          <w:snapToGrid/>
          <w:color w:val="auto"/>
          <w:kern w:val="2"/>
          <w:sz w:val="24"/>
          <w:szCs w:val="24"/>
          <w:highlight w:val="none"/>
          <w:lang w:val="en-US" w:eastAsia="zh-CN"/>
        </w:rPr>
        <w:t>6</w:t>
      </w:r>
      <w:r>
        <w:rPr>
          <w:rStyle w:val="76"/>
          <w:rFonts w:hint="eastAsia" w:ascii="仿宋" w:hAnsi="仿宋" w:eastAsia="仿宋" w:cs="仿宋"/>
          <w:snapToGrid/>
          <w:color w:val="auto"/>
          <w:kern w:val="2"/>
          <w:sz w:val="24"/>
          <w:szCs w:val="24"/>
          <w:highlight w:val="none"/>
        </w:rPr>
        <w:t>年</w:t>
      </w:r>
      <w:r>
        <w:rPr>
          <w:rStyle w:val="76"/>
          <w:rFonts w:hint="eastAsia" w:ascii="仿宋" w:hAnsi="仿宋" w:eastAsia="仿宋" w:cs="仿宋"/>
          <w:snapToGrid/>
          <w:color w:val="auto"/>
          <w:kern w:val="2"/>
          <w:sz w:val="24"/>
          <w:szCs w:val="24"/>
          <w:highlight w:val="none"/>
          <w:lang w:val="en-US" w:eastAsia="zh-CN"/>
        </w:rPr>
        <w:t>05</w:t>
      </w:r>
      <w:r>
        <w:rPr>
          <w:rStyle w:val="76"/>
          <w:rFonts w:hint="eastAsia" w:ascii="仿宋" w:hAnsi="仿宋" w:eastAsia="仿宋" w:cs="仿宋"/>
          <w:snapToGrid/>
          <w:color w:val="auto"/>
          <w:kern w:val="2"/>
          <w:sz w:val="24"/>
          <w:szCs w:val="24"/>
          <w:highlight w:val="none"/>
        </w:rPr>
        <w:t>月</w:t>
      </w:r>
      <w:r>
        <w:rPr>
          <w:rStyle w:val="76"/>
          <w:rFonts w:hint="eastAsia" w:ascii="仿宋" w:hAnsi="仿宋" w:eastAsia="仿宋" w:cs="仿宋"/>
          <w:snapToGrid/>
          <w:color w:val="auto"/>
          <w:kern w:val="2"/>
          <w:sz w:val="24"/>
          <w:szCs w:val="24"/>
          <w:highlight w:val="none"/>
          <w:lang w:val="en-US" w:eastAsia="zh-CN"/>
        </w:rPr>
        <w:t>21</w:t>
      </w:r>
      <w:r>
        <w:rPr>
          <w:rStyle w:val="76"/>
          <w:rFonts w:hint="eastAsia" w:ascii="仿宋" w:hAnsi="仿宋" w:eastAsia="仿宋" w:cs="仿宋"/>
          <w:snapToGrid/>
          <w:color w:val="auto"/>
          <w:kern w:val="2"/>
          <w:sz w:val="24"/>
          <w:szCs w:val="24"/>
          <w:highlight w:val="none"/>
        </w:rPr>
        <w:t>日</w:t>
      </w:r>
      <w:r>
        <w:rPr>
          <w:rStyle w:val="76"/>
          <w:rFonts w:hint="eastAsia" w:ascii="仿宋" w:hAnsi="仿宋" w:eastAsia="仿宋" w:cs="仿宋"/>
          <w:snapToGrid/>
          <w:color w:val="auto"/>
          <w:kern w:val="2"/>
          <w:sz w:val="24"/>
          <w:szCs w:val="24"/>
          <w:highlight w:val="none"/>
          <w:lang w:val="en-US" w:eastAsia="zh-CN"/>
        </w:rPr>
        <w:t>13</w:t>
      </w:r>
      <w:r>
        <w:rPr>
          <w:rStyle w:val="76"/>
          <w:rFonts w:hint="eastAsia" w:ascii="仿宋" w:hAnsi="仿宋" w:eastAsia="仿宋" w:cs="仿宋"/>
          <w:snapToGrid/>
          <w:color w:val="auto"/>
          <w:kern w:val="2"/>
          <w:sz w:val="24"/>
          <w:szCs w:val="24"/>
          <w:highlight w:val="none"/>
        </w:rPr>
        <w:t>点</w:t>
      </w:r>
      <w:r>
        <w:rPr>
          <w:rStyle w:val="76"/>
          <w:rFonts w:hint="eastAsia" w:ascii="仿宋" w:hAnsi="仿宋" w:eastAsia="仿宋" w:cs="仿宋"/>
          <w:snapToGrid/>
          <w:color w:val="auto"/>
          <w:kern w:val="2"/>
          <w:sz w:val="24"/>
          <w:szCs w:val="24"/>
          <w:highlight w:val="none"/>
          <w:lang w:val="en-US" w:eastAsia="zh-CN"/>
        </w:rPr>
        <w:t>30</w:t>
      </w:r>
      <w:r>
        <w:rPr>
          <w:rStyle w:val="76"/>
          <w:rFonts w:hint="eastAsia" w:ascii="仿宋" w:hAnsi="仿宋" w:eastAsia="仿宋" w:cs="仿宋"/>
          <w:snapToGrid/>
          <w:color w:val="auto"/>
          <w:kern w:val="2"/>
          <w:sz w:val="24"/>
          <w:szCs w:val="24"/>
          <w:highlight w:val="none"/>
        </w:rPr>
        <w:t>分</w:t>
      </w:r>
      <w:r>
        <w:rPr>
          <w:rStyle w:val="76"/>
          <w:rFonts w:hint="eastAsia" w:ascii="仿宋" w:hAnsi="仿宋" w:eastAsia="仿宋" w:cs="仿宋"/>
          <w:bCs/>
          <w:snapToGrid/>
          <w:color w:val="auto"/>
          <w:kern w:val="2"/>
          <w:sz w:val="24"/>
          <w:szCs w:val="24"/>
          <w:highlight w:val="none"/>
        </w:rPr>
        <w:t>00秒</w:t>
      </w:r>
      <w:r>
        <w:rPr>
          <w:rStyle w:val="76"/>
          <w:rFonts w:hint="eastAsia" w:ascii="仿宋" w:hAnsi="仿宋" w:eastAsia="仿宋" w:cs="仿宋"/>
          <w:bCs/>
          <w:snapToGrid/>
          <w:color w:val="auto"/>
          <w:kern w:val="2"/>
          <w:sz w:val="24"/>
          <w:szCs w:val="24"/>
          <w:highlight w:val="none"/>
        </w:rPr>
        <w:fldChar w:fldCharType="end"/>
      </w:r>
      <w:r>
        <w:rPr>
          <w:rFonts w:hint="eastAsia" w:ascii="仿宋" w:hAnsi="仿宋" w:eastAsia="仿宋" w:cs="仿宋"/>
          <w:bCs/>
          <w:color w:val="auto"/>
          <w:sz w:val="24"/>
          <w:highlight w:val="none"/>
        </w:rPr>
        <w:t>（北京时间）前</w:t>
      </w:r>
      <w:r>
        <w:rPr>
          <w:rFonts w:hint="eastAsia" w:ascii="仿宋" w:hAnsi="仿宋" w:eastAsia="仿宋" w:cs="仿宋"/>
          <w:color w:val="auto"/>
          <w:sz w:val="24"/>
          <w:highlight w:val="none"/>
        </w:rPr>
        <w:t>递交（上传）投标文件。</w:t>
      </w:r>
    </w:p>
    <w:p w14:paraId="2D615B2E">
      <w:pPr>
        <w:pStyle w:val="4"/>
        <w:rPr>
          <w:rFonts w:hint="default"/>
          <w:color w:val="auto"/>
          <w:highlight w:val="none"/>
        </w:rPr>
      </w:pPr>
      <w:r>
        <w:rPr>
          <w:rFonts w:hint="default"/>
          <w:color w:val="auto"/>
          <w:highlight w:val="none"/>
        </w:rPr>
        <w:t>一、项目基本情况</w:t>
      </w:r>
    </w:p>
    <w:p w14:paraId="581AFFB7">
      <w:pPr>
        <w:spacing w:line="360" w:lineRule="auto"/>
        <w:ind w:firstLine="420" w:firstLineChars="0"/>
        <w:rPr>
          <w:rFonts w:hint="eastAsia" w:ascii="仿宋" w:hAnsi="仿宋" w:eastAsia="仿宋" w:cs="仿宋"/>
          <w:color w:val="auto"/>
          <w:sz w:val="24"/>
          <w:highlight w:val="none"/>
          <w:lang w:eastAsia="zh-CN"/>
        </w:rPr>
      </w:pPr>
      <w:r>
        <w:rPr>
          <w:rFonts w:hint="eastAsia" w:ascii="仿宋" w:hAnsi="仿宋" w:eastAsia="仿宋" w:cs="仿宋"/>
          <w:b/>
          <w:color w:val="auto"/>
          <w:sz w:val="24"/>
          <w:highlight w:val="none"/>
        </w:rPr>
        <w:t>项目编号：330102262910020000003-FYC022604-118</w:t>
      </w:r>
    </w:p>
    <w:p w14:paraId="7011CACD">
      <w:pPr>
        <w:spacing w:line="360" w:lineRule="auto"/>
        <w:ind w:firstLine="420"/>
        <w:rPr>
          <w:rFonts w:hint="eastAsia" w:ascii="仿宋" w:hAnsi="仿宋" w:eastAsia="仿宋" w:cs="仿宋"/>
          <w:color w:val="auto"/>
          <w:sz w:val="24"/>
          <w:highlight w:val="none"/>
          <w:lang w:eastAsia="zh-CN"/>
        </w:rPr>
      </w:pPr>
      <w:r>
        <w:rPr>
          <w:rFonts w:hint="eastAsia" w:ascii="仿宋" w:hAnsi="仿宋" w:eastAsia="仿宋" w:cs="仿宋"/>
          <w:b/>
          <w:color w:val="auto"/>
          <w:sz w:val="24"/>
          <w:highlight w:val="none"/>
        </w:rPr>
        <w:t>项目名称：</w:t>
      </w:r>
      <w:r>
        <w:rPr>
          <w:rFonts w:hint="eastAsia" w:ascii="仿宋" w:hAnsi="仿宋" w:eastAsia="仿宋" w:cs="仿宋"/>
          <w:color w:val="auto"/>
          <w:sz w:val="24"/>
          <w:highlight w:val="none"/>
          <w:lang w:eastAsia="zh-CN"/>
        </w:rPr>
        <w:t>2026年九堡街道企业退休人员自管小组文体活动项目</w:t>
      </w:r>
    </w:p>
    <w:p w14:paraId="65C10F19">
      <w:pPr>
        <w:spacing w:line="360" w:lineRule="auto"/>
        <w:ind w:firstLine="42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预算金额（元）：</w:t>
      </w:r>
      <w:r>
        <w:rPr>
          <w:rFonts w:hint="eastAsia" w:ascii="仿宋" w:hAnsi="仿宋" w:eastAsia="仿宋" w:cs="仿宋"/>
          <w:b w:val="0"/>
          <w:bCs/>
          <w:color w:val="auto"/>
          <w:sz w:val="24"/>
          <w:highlight w:val="none"/>
          <w:lang w:val="en-US" w:eastAsia="zh-CN"/>
        </w:rPr>
        <w:t>2310100.00</w:t>
      </w:r>
    </w:p>
    <w:p w14:paraId="21DD81E2">
      <w:pPr>
        <w:spacing w:line="360" w:lineRule="auto"/>
        <w:ind w:firstLine="420" w:firstLineChars="0"/>
        <w:rPr>
          <w:rFonts w:hint="eastAsia" w:ascii="仿宋" w:hAnsi="仿宋" w:eastAsia="仿宋" w:cs="仿宋"/>
          <w:b/>
          <w:bCs w:val="0"/>
          <w:color w:val="auto"/>
          <w:sz w:val="24"/>
          <w:highlight w:val="none"/>
        </w:rPr>
      </w:pPr>
      <w:r>
        <w:rPr>
          <w:rFonts w:hint="eastAsia" w:ascii="仿宋" w:hAnsi="仿宋" w:eastAsia="仿宋" w:cs="仿宋"/>
          <w:b/>
          <w:color w:val="auto"/>
          <w:sz w:val="24"/>
          <w:highlight w:val="none"/>
        </w:rPr>
        <w:t>最高限价（元）：</w:t>
      </w:r>
      <w:r>
        <w:rPr>
          <w:rFonts w:hint="eastAsia" w:ascii="仿宋" w:hAnsi="仿宋" w:eastAsia="仿宋" w:cs="仿宋"/>
          <w:b w:val="0"/>
          <w:bCs/>
          <w:color w:val="auto"/>
          <w:sz w:val="24"/>
          <w:highlight w:val="none"/>
          <w:lang w:val="en-US" w:eastAsia="zh-CN"/>
        </w:rPr>
        <w:t>2310100.00</w:t>
      </w:r>
    </w:p>
    <w:p w14:paraId="1DB2C1F8">
      <w:pPr>
        <w:spacing w:line="360" w:lineRule="auto"/>
        <w:ind w:firstLine="420" w:firstLineChars="0"/>
        <w:rPr>
          <w:rFonts w:hint="eastAsia" w:ascii="仿宋" w:hAnsi="仿宋" w:eastAsia="仿宋" w:cs="仿宋"/>
          <w:snapToGrid/>
          <w:color w:val="auto"/>
          <w:kern w:val="2"/>
          <w:sz w:val="24"/>
          <w:szCs w:val="24"/>
          <w:highlight w:val="none"/>
        </w:rPr>
      </w:pPr>
      <w:r>
        <w:rPr>
          <w:rFonts w:hint="eastAsia" w:ascii="仿宋" w:hAnsi="仿宋" w:eastAsia="仿宋" w:cs="仿宋"/>
          <w:b/>
          <w:color w:val="auto"/>
          <w:sz w:val="24"/>
          <w:highlight w:val="none"/>
        </w:rPr>
        <w:t>采购需求：</w:t>
      </w:r>
      <w:r>
        <w:rPr>
          <w:rFonts w:hint="eastAsia" w:ascii="仿宋" w:hAnsi="仿宋" w:eastAsia="仿宋" w:cs="仿宋"/>
          <w:bCs/>
          <w:snapToGrid/>
          <w:color w:val="auto"/>
          <w:kern w:val="2"/>
          <w:sz w:val="24"/>
          <w:szCs w:val="24"/>
          <w:highlight w:val="none"/>
          <w:lang w:eastAsia="zh-CN"/>
        </w:rPr>
        <w:t>2026年九堡街道企业退休人员自管小组文体活动项目</w:t>
      </w:r>
      <w:r>
        <w:rPr>
          <w:rFonts w:hint="eastAsia" w:ascii="仿宋" w:hAnsi="仿宋" w:eastAsia="仿宋" w:cs="仿宋"/>
          <w:bCs/>
          <w:snapToGrid/>
          <w:color w:val="auto"/>
          <w:kern w:val="2"/>
          <w:sz w:val="24"/>
          <w:szCs w:val="24"/>
          <w:highlight w:val="none"/>
        </w:rPr>
        <w:t>主要内容：满足企业退休人员的外出旅游活动或文娱活动，对于高龄及行动不便的企退人员进行上门慰问。</w:t>
      </w:r>
      <w:r>
        <w:rPr>
          <w:rFonts w:hint="eastAsia" w:ascii="仿宋" w:hAnsi="仿宋" w:eastAsia="仿宋" w:cs="仿宋"/>
          <w:snapToGrid/>
          <w:color w:val="auto"/>
          <w:kern w:val="2"/>
          <w:sz w:val="24"/>
          <w:szCs w:val="24"/>
          <w:highlight w:val="none"/>
        </w:rPr>
        <w:t>具体以招标文件第三部分采购需求为准。</w:t>
      </w:r>
    </w:p>
    <w:p w14:paraId="10CC7D30">
      <w:pPr>
        <w:spacing w:line="360" w:lineRule="auto"/>
        <w:ind w:firstLine="420" w:firstLineChars="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合同履约期限：</w:t>
      </w:r>
      <w:r>
        <w:rPr>
          <w:rFonts w:hint="eastAsia" w:ascii="仿宋" w:hAnsi="仿宋" w:eastAsia="仿宋" w:cs="仿宋"/>
          <w:b w:val="0"/>
          <w:bCs/>
          <w:color w:val="auto"/>
          <w:sz w:val="24"/>
          <w:highlight w:val="none"/>
          <w:lang w:val="en-US" w:eastAsia="zh-CN"/>
        </w:rPr>
        <w:t>自合同签订之日起至2026年12月31日</w:t>
      </w:r>
      <w:r>
        <w:rPr>
          <w:rFonts w:hint="eastAsia" w:ascii="仿宋" w:hAnsi="仿宋" w:eastAsia="仿宋" w:cs="仿宋"/>
          <w:b w:val="0"/>
          <w:bCs/>
          <w:color w:val="auto"/>
          <w:sz w:val="24"/>
          <w:highlight w:val="none"/>
        </w:rPr>
        <w:t>，</w:t>
      </w:r>
      <w:r>
        <w:rPr>
          <w:rFonts w:hint="eastAsia" w:ascii="仿宋" w:hAnsi="仿宋" w:eastAsia="仿宋" w:cs="仿宋"/>
          <w:snapToGrid/>
          <w:color w:val="auto"/>
          <w:kern w:val="2"/>
          <w:sz w:val="24"/>
          <w:szCs w:val="24"/>
          <w:highlight w:val="none"/>
        </w:rPr>
        <w:t>具体以招标文件第三部分采购需求为准。</w:t>
      </w:r>
    </w:p>
    <w:p w14:paraId="4A4F5C43">
      <w:pPr>
        <w:spacing w:line="360" w:lineRule="auto"/>
        <w:ind w:firstLine="420" w:firstLineChars="0"/>
        <w:rPr>
          <w:rFonts w:hint="eastAsia" w:ascii="仿宋" w:hAnsi="仿宋" w:eastAsia="仿宋" w:cs="仿宋"/>
          <w:b/>
          <w:color w:val="auto"/>
          <w:highlight w:val="none"/>
        </w:rPr>
      </w:pPr>
      <w:r>
        <w:rPr>
          <w:rFonts w:hint="eastAsia" w:ascii="仿宋" w:hAnsi="仿宋" w:eastAsia="仿宋" w:cs="仿宋"/>
          <w:b/>
          <w:color w:val="auto"/>
          <w:sz w:val="24"/>
          <w:highlight w:val="none"/>
        </w:rPr>
        <w:t>本项目接受联合体投标：</w:t>
      </w:r>
      <w:sdt>
        <w:sdtPr>
          <w:rPr>
            <w:rFonts w:hint="eastAsia" w:ascii="仿宋" w:hAnsi="仿宋" w:eastAsia="仿宋" w:cs="仿宋"/>
            <w:color w:val="auto"/>
            <w:kern w:val="0"/>
            <w:sz w:val="24"/>
            <w:highlight w:val="none"/>
          </w:rPr>
          <w:id w:val="147475604"/>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b/>
          <w:color w:val="auto"/>
          <w:sz w:val="24"/>
          <w:highlight w:val="none"/>
        </w:rPr>
        <w:t>是；</w:t>
      </w:r>
      <w:sdt>
        <w:sdtPr>
          <w:rPr>
            <w:rFonts w:hint="eastAsia" w:ascii="仿宋" w:hAnsi="仿宋" w:eastAsia="仿宋" w:cs="仿宋"/>
            <w:color w:val="auto"/>
            <w:kern w:val="0"/>
            <w:sz w:val="24"/>
            <w:highlight w:val="none"/>
          </w:rPr>
          <w:id w:val="147462941"/>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b/>
          <w:color w:val="auto"/>
          <w:sz w:val="24"/>
          <w:highlight w:val="none"/>
        </w:rPr>
        <w:t>否</w:t>
      </w:r>
      <w:r>
        <w:rPr>
          <w:rFonts w:hint="eastAsia" w:ascii="仿宋" w:hAnsi="仿宋" w:eastAsia="仿宋" w:cs="仿宋"/>
          <w:color w:val="auto"/>
          <w:kern w:val="0"/>
          <w:sz w:val="24"/>
          <w:highlight w:val="none"/>
        </w:rPr>
        <w:t>。</w:t>
      </w:r>
    </w:p>
    <w:p w14:paraId="45AA07E7">
      <w:pPr>
        <w:pStyle w:val="4"/>
        <w:rPr>
          <w:rFonts w:hint="default" w:ascii="仿宋" w:hAnsi="仿宋" w:eastAsia="仿宋" w:cs="仿宋"/>
          <w:b/>
          <w:color w:val="auto"/>
          <w:sz w:val="28"/>
          <w:highlight w:val="none"/>
        </w:rPr>
      </w:pPr>
      <w:r>
        <w:rPr>
          <w:rFonts w:hint="default" w:ascii="仿宋" w:hAnsi="仿宋" w:eastAsia="仿宋" w:cs="仿宋"/>
          <w:b/>
          <w:color w:val="auto"/>
          <w:sz w:val="28"/>
          <w:highlight w:val="none"/>
        </w:rPr>
        <w:t>二、申请人的资格要求：</w:t>
      </w:r>
    </w:p>
    <w:p w14:paraId="64F1D053">
      <w:pPr>
        <w:spacing w:line="360" w:lineRule="auto"/>
        <w:ind w:firstLine="480"/>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1.满足《中华人民共和国政府采购法》第二十二条规定；未被“信用中国”（www.creditchina.gov.cn</w:t>
      </w:r>
      <w:r>
        <w:rPr>
          <w:rFonts w:hint="eastAsia" w:ascii="仿宋" w:hAnsi="仿宋" w:eastAsia="仿宋" w:cs="仿宋"/>
          <w:snapToGrid w:val="0"/>
          <w:color w:val="auto"/>
          <w:kern w:val="28"/>
          <w:sz w:val="24"/>
          <w:szCs w:val="20"/>
          <w:highlight w:val="none"/>
          <w:lang w:eastAsia="zh-CN"/>
        </w:rPr>
        <w:t>）</w:t>
      </w:r>
      <w:r>
        <w:rPr>
          <w:rFonts w:hint="eastAsia" w:ascii="仿宋" w:hAnsi="仿宋" w:eastAsia="仿宋" w:cs="仿宋"/>
          <w:snapToGrid w:val="0"/>
          <w:color w:val="auto"/>
          <w:kern w:val="28"/>
          <w:sz w:val="24"/>
          <w:szCs w:val="20"/>
          <w:highlight w:val="none"/>
        </w:rPr>
        <w:t>、中国政府采购网（www.ccgp.gov.cn）列入失信被执行人、重大税收违法失信主体、政府采购严重违法失信行为记录名单；</w:t>
      </w:r>
    </w:p>
    <w:p w14:paraId="5B856BB7">
      <w:pPr>
        <w:spacing w:line="360" w:lineRule="auto"/>
        <w:ind w:firstLine="480"/>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2.以联合体形式投标的，提供联合协议</w:t>
      </w:r>
      <w:r>
        <w:rPr>
          <w:rFonts w:hint="eastAsia" w:ascii="仿宋" w:hAnsi="仿宋" w:eastAsia="仿宋" w:cs="仿宋"/>
          <w:snapToGrid w:val="0"/>
          <w:color w:val="auto"/>
          <w:kern w:val="28"/>
          <w:sz w:val="24"/>
          <w:szCs w:val="20"/>
          <w:highlight w:val="none"/>
          <w:lang w:eastAsia="zh-CN"/>
        </w:rPr>
        <w:t>（</w:t>
      </w:r>
      <w:r>
        <w:rPr>
          <w:rFonts w:hint="eastAsia" w:ascii="仿宋" w:hAnsi="仿宋" w:eastAsia="仿宋" w:cs="仿宋"/>
          <w:snapToGrid w:val="0"/>
          <w:color w:val="auto"/>
          <w:kern w:val="28"/>
          <w:sz w:val="24"/>
          <w:szCs w:val="20"/>
          <w:highlight w:val="none"/>
        </w:rPr>
        <w:t>本项目不接受联合体投标或者投标人不以联合体形式投标的，则不需要提供</w:t>
      </w:r>
      <w:r>
        <w:rPr>
          <w:rFonts w:hint="eastAsia" w:ascii="仿宋" w:hAnsi="仿宋" w:eastAsia="仿宋" w:cs="仿宋"/>
          <w:snapToGrid w:val="0"/>
          <w:color w:val="auto"/>
          <w:kern w:val="28"/>
          <w:sz w:val="24"/>
          <w:szCs w:val="20"/>
          <w:highlight w:val="none"/>
          <w:lang w:eastAsia="zh-CN"/>
        </w:rPr>
        <w:t>）</w:t>
      </w:r>
      <w:r>
        <w:rPr>
          <w:rFonts w:hint="eastAsia" w:ascii="仿宋" w:hAnsi="仿宋" w:eastAsia="仿宋" w:cs="仿宋"/>
          <w:snapToGrid w:val="0"/>
          <w:color w:val="auto"/>
          <w:kern w:val="28"/>
          <w:sz w:val="24"/>
          <w:szCs w:val="20"/>
          <w:highlight w:val="none"/>
        </w:rPr>
        <w:t>；</w:t>
      </w:r>
    </w:p>
    <w:p w14:paraId="65617027">
      <w:pPr>
        <w:spacing w:line="360" w:lineRule="auto"/>
        <w:ind w:firstLine="480" w:firstLineChars="200"/>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3.落实政府采购政策需满足的资格要求：</w:t>
      </w:r>
    </w:p>
    <w:p w14:paraId="199C4504">
      <w:pPr>
        <w:spacing w:line="360" w:lineRule="auto"/>
        <w:ind w:firstLine="480" w:firstLineChars="200"/>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59715"/>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专</w:t>
      </w:r>
      <w:r>
        <w:rPr>
          <w:rFonts w:hint="eastAsia" w:ascii="仿宋" w:hAnsi="仿宋" w:eastAsia="仿宋" w:cs="仿宋"/>
          <w:color w:val="auto"/>
          <w:sz w:val="24"/>
          <w:highlight w:val="none"/>
        </w:rPr>
        <w:t>门面向中小企业</w:t>
      </w:r>
    </w:p>
    <w:p w14:paraId="190E6A01">
      <w:pPr>
        <w:spacing w:line="360" w:lineRule="auto"/>
        <w:ind w:firstLine="897" w:firstLineChars="374"/>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66013"/>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sz w:val="24"/>
          <w:highlight w:val="none"/>
        </w:rPr>
        <w:t>服务全部由符合政策要求的小微企业承接，提供中小企业声明函</w:t>
      </w:r>
      <w:r>
        <w:rPr>
          <w:rFonts w:hint="eastAsia" w:ascii="仿宋" w:hAnsi="仿宋" w:eastAsia="仿宋" w:cs="仿宋"/>
          <w:color w:val="auto"/>
          <w:sz w:val="24"/>
          <w:highlight w:val="none"/>
          <w:lang w:eastAsia="zh-CN"/>
        </w:rPr>
        <w:t>；</w:t>
      </w:r>
    </w:p>
    <w:p w14:paraId="75A33DAD">
      <w:pPr>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4.本项目的特定资格要求：</w:t>
      </w:r>
      <w:sdt>
        <w:sdtPr>
          <w:rPr>
            <w:rFonts w:hint="eastAsia" w:ascii="仿宋" w:hAnsi="仿宋" w:eastAsia="仿宋" w:cs="仿宋"/>
            <w:color w:val="auto"/>
            <w:kern w:val="0"/>
            <w:sz w:val="24"/>
            <w:highlight w:val="none"/>
          </w:rPr>
          <w:id w:val="147461504"/>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lang w:val="en-US" w:eastAsia="zh-CN"/>
        </w:rPr>
        <w:t>无。</w:t>
      </w:r>
    </w:p>
    <w:p w14:paraId="6484C9E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D7A73E7">
      <w:pPr>
        <w:pStyle w:val="4"/>
        <w:rPr>
          <w:rFonts w:hint="default" w:ascii="仿宋" w:hAnsi="仿宋" w:eastAsia="仿宋" w:cs="仿宋"/>
          <w:b/>
          <w:color w:val="auto"/>
          <w:sz w:val="28"/>
          <w:highlight w:val="none"/>
        </w:rPr>
      </w:pPr>
      <w:r>
        <w:rPr>
          <w:rFonts w:hint="default" w:ascii="仿宋" w:hAnsi="仿宋" w:eastAsia="仿宋" w:cs="仿宋"/>
          <w:b/>
          <w:color w:val="auto"/>
          <w:sz w:val="28"/>
          <w:highlight w:val="none"/>
        </w:rPr>
        <w:t>三、获取招标文件</w:t>
      </w:r>
    </w:p>
    <w:p w14:paraId="1A750749">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时间：</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05</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21</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rPr>
        <w:t>，每天上午00:00至12:00，下午12:00至23:59（北京时间，线上获取法定节假日均可，线下获取文件法定节假日除外）</w:t>
      </w:r>
    </w:p>
    <w:p w14:paraId="3D62779B">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地点（网址）：</w:t>
      </w:r>
      <w:r>
        <w:rPr>
          <w:rFonts w:hint="eastAsia" w:ascii="仿宋" w:hAnsi="仿宋" w:eastAsia="仿宋" w:cs="仿宋"/>
          <w:color w:val="auto"/>
          <w:sz w:val="24"/>
          <w:highlight w:val="none"/>
        </w:rPr>
        <w:t>政采云平台（https://www.zcygov.cn/）</w:t>
      </w:r>
    </w:p>
    <w:p w14:paraId="184CD46F">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方式：</w:t>
      </w:r>
      <w:r>
        <w:rPr>
          <w:rFonts w:hint="eastAsia" w:ascii="仿宋" w:hAnsi="仿宋" w:eastAsia="仿宋" w:cs="仿宋"/>
          <w:color w:val="auto"/>
          <w:sz w:val="24"/>
          <w:highlight w:val="none"/>
        </w:rPr>
        <w:t>供应商登录政采云平台https://www.zcygov.cn/在线申请获取采购文件（进入“项目采购”应用，在获取采购文件菜单中选择项目，申请获取采购文件）。</w:t>
      </w:r>
    </w:p>
    <w:p w14:paraId="6E08DBDB">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售价（元）：</w:t>
      </w:r>
      <w:r>
        <w:rPr>
          <w:rFonts w:hint="eastAsia" w:ascii="仿宋" w:hAnsi="仿宋" w:eastAsia="仿宋" w:cs="仿宋"/>
          <w:color w:val="auto"/>
          <w:sz w:val="24"/>
          <w:highlight w:val="none"/>
        </w:rPr>
        <w:t>0</w:t>
      </w:r>
    </w:p>
    <w:p w14:paraId="696D9924">
      <w:pPr>
        <w:pStyle w:val="4"/>
        <w:rPr>
          <w:rFonts w:hint="default" w:ascii="仿宋" w:hAnsi="仿宋" w:eastAsia="仿宋" w:cs="仿宋"/>
          <w:b/>
          <w:color w:val="auto"/>
          <w:sz w:val="28"/>
          <w:highlight w:val="none"/>
        </w:rPr>
      </w:pPr>
      <w:r>
        <w:rPr>
          <w:rFonts w:hint="default" w:ascii="仿宋" w:hAnsi="仿宋" w:eastAsia="仿宋" w:cs="仿宋"/>
          <w:b/>
          <w:color w:val="auto"/>
          <w:sz w:val="28"/>
          <w:highlight w:val="none"/>
        </w:rPr>
        <w:t>四、提交投标文件截止时间、开标时间和地点</w:t>
      </w:r>
    </w:p>
    <w:p w14:paraId="2B47D9F1">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提交投标文件截止时间：</w:t>
      </w:r>
      <w:r>
        <w:rPr>
          <w:rFonts w:hint="eastAsia" w:ascii="仿宋" w:hAnsi="仿宋" w:eastAsia="仿宋" w:cs="仿宋"/>
          <w:color w:val="auto"/>
          <w:sz w:val="24"/>
          <w:highlight w:val="none"/>
          <w:u w:val="single"/>
        </w:rPr>
        <w:t>20</w:t>
      </w:r>
      <w:r>
        <w:rPr>
          <w:rFonts w:hint="eastAsia" w:ascii="仿宋" w:hAnsi="仿宋" w:eastAsia="仿宋" w:cs="仿宋"/>
          <w:color w:val="auto"/>
          <w:sz w:val="24"/>
          <w:highlight w:val="none"/>
          <w:u w:val="single"/>
          <w:lang w:val="en-US" w:eastAsia="zh-CN"/>
        </w:rPr>
        <w:t>26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05</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21</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13</w:t>
      </w:r>
      <w:r>
        <w:rPr>
          <w:rFonts w:hint="eastAsia" w:ascii="仿宋" w:hAnsi="仿宋" w:eastAsia="仿宋" w:cs="仿宋"/>
          <w:color w:val="auto"/>
          <w:sz w:val="24"/>
          <w:highlight w:val="none"/>
          <w:u w:val="single"/>
        </w:rPr>
        <w:t>点</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u w:val="single"/>
        </w:rPr>
        <w:t>分00秒</w:t>
      </w:r>
      <w:r>
        <w:rPr>
          <w:rFonts w:hint="eastAsia" w:ascii="仿宋" w:hAnsi="仿宋" w:eastAsia="仿宋" w:cs="仿宋"/>
          <w:color w:val="auto"/>
          <w:sz w:val="24"/>
          <w:highlight w:val="none"/>
        </w:rPr>
        <w:t>（北京时间）</w:t>
      </w:r>
    </w:p>
    <w:p w14:paraId="4475A41F">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投标地点（网址）：</w:t>
      </w:r>
      <w:r>
        <w:rPr>
          <w:rFonts w:hint="eastAsia" w:ascii="仿宋" w:hAnsi="仿宋" w:eastAsia="仿宋" w:cs="仿宋"/>
          <w:color w:val="auto"/>
          <w:sz w:val="24"/>
          <w:highlight w:val="none"/>
        </w:rPr>
        <w:t>政采云平台（https://www.zcygov.cn/）</w:t>
      </w:r>
    </w:p>
    <w:p w14:paraId="41D7146B">
      <w:pPr>
        <w:spacing w:line="360" w:lineRule="auto"/>
        <w:ind w:firstLine="482" w:firstLineChars="200"/>
        <w:rPr>
          <w:rFonts w:hint="eastAsia" w:ascii="仿宋" w:hAnsi="仿宋" w:eastAsia="仿宋" w:cs="仿宋"/>
          <w:color w:val="auto"/>
          <w:sz w:val="24"/>
          <w:highlight w:val="none"/>
          <w:u w:val="single"/>
        </w:rPr>
      </w:pPr>
      <w:r>
        <w:rPr>
          <w:rFonts w:hint="eastAsia" w:ascii="仿宋" w:hAnsi="仿宋" w:eastAsia="仿宋" w:cs="仿宋"/>
          <w:b/>
          <w:color w:val="auto"/>
          <w:sz w:val="24"/>
          <w:highlight w:val="none"/>
        </w:rPr>
        <w:t>开标时间：</w:t>
      </w:r>
      <w:r>
        <w:rPr>
          <w:rFonts w:hint="eastAsia" w:ascii="仿宋" w:hAnsi="仿宋" w:eastAsia="仿宋" w:cs="仿宋"/>
          <w:color w:val="auto"/>
          <w:sz w:val="24"/>
          <w:highlight w:val="none"/>
          <w:u w:val="single"/>
        </w:rPr>
        <w:t>20</w:t>
      </w:r>
      <w:r>
        <w:rPr>
          <w:rFonts w:hint="eastAsia" w:ascii="仿宋" w:hAnsi="仿宋" w:eastAsia="仿宋" w:cs="仿宋"/>
          <w:color w:val="auto"/>
          <w:sz w:val="24"/>
          <w:highlight w:val="none"/>
          <w:u w:val="single"/>
          <w:lang w:val="en-US" w:eastAsia="zh-CN"/>
        </w:rPr>
        <w:t>26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05</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21</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13</w:t>
      </w:r>
      <w:r>
        <w:rPr>
          <w:rFonts w:hint="eastAsia" w:ascii="仿宋" w:hAnsi="仿宋" w:eastAsia="仿宋" w:cs="仿宋"/>
          <w:color w:val="auto"/>
          <w:sz w:val="24"/>
          <w:highlight w:val="none"/>
          <w:u w:val="single"/>
        </w:rPr>
        <w:t>点</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u w:val="single"/>
        </w:rPr>
        <w:t>分00秒</w:t>
      </w:r>
    </w:p>
    <w:p w14:paraId="2FA3CC18">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开标地点（网址）：</w:t>
      </w:r>
      <w:r>
        <w:rPr>
          <w:rFonts w:hint="eastAsia" w:ascii="仿宋" w:hAnsi="仿宋" w:eastAsia="仿宋" w:cs="仿宋"/>
          <w:color w:val="auto"/>
          <w:sz w:val="24"/>
          <w:highlight w:val="none"/>
        </w:rPr>
        <w:t>政采云平台（https://www.zcygov.cn/）</w:t>
      </w:r>
    </w:p>
    <w:p w14:paraId="58C21564">
      <w:pPr>
        <w:pStyle w:val="4"/>
        <w:rPr>
          <w:rFonts w:hint="default" w:ascii="仿宋" w:hAnsi="仿宋" w:eastAsia="仿宋" w:cs="仿宋"/>
          <w:color w:val="auto"/>
          <w:sz w:val="28"/>
          <w:highlight w:val="none"/>
        </w:rPr>
      </w:pPr>
      <w:r>
        <w:rPr>
          <w:rFonts w:hint="default" w:ascii="仿宋" w:hAnsi="仿宋" w:eastAsia="仿宋" w:cs="仿宋"/>
          <w:b/>
          <w:color w:val="auto"/>
          <w:sz w:val="28"/>
          <w:highlight w:val="none"/>
        </w:rPr>
        <w:t>五、公告期限</w:t>
      </w:r>
    </w:p>
    <w:p w14:paraId="1530A80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3F196B0D">
      <w:pPr>
        <w:pStyle w:val="4"/>
        <w:rPr>
          <w:rFonts w:hint="default" w:ascii="仿宋" w:hAnsi="仿宋" w:eastAsia="仿宋" w:cs="仿宋"/>
          <w:b/>
          <w:color w:val="auto"/>
          <w:sz w:val="28"/>
          <w:highlight w:val="none"/>
        </w:rPr>
      </w:pPr>
      <w:r>
        <w:rPr>
          <w:rFonts w:hint="default" w:ascii="仿宋" w:hAnsi="仿宋" w:eastAsia="仿宋" w:cs="仿宋"/>
          <w:b/>
          <w:color w:val="auto"/>
          <w:sz w:val="28"/>
          <w:highlight w:val="none"/>
        </w:rPr>
        <w:t>六、其他补充事宜</w:t>
      </w:r>
    </w:p>
    <w:p w14:paraId="66DABF4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377BA68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2.根据《浙江省财政厅关于进一步促进政府采购公平竞争打造最优营商环境的通知》（浙财采监（2021）22号）文件关于“健全行政裁决机制”要求，鼓励供应商在线提起询问，路径为：政采云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项目采购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询问质疑投诉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询问列表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鼓励供应商在线提起质疑，路径为：政采云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项目采购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询问质疑投诉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质疑列表。质疑供应商对在线质疑答复不满意的，可在线提起投诉，路径为：浙江政府服务网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政府采购投诉处理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在线办理。</w:t>
      </w:r>
    </w:p>
    <w:p w14:paraId="0B96AE0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FF6160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点击“商家入驻”，进行政府采购供应商资料填写；申领CA数字证书---申领流程详见“浙江政府采购网-下载专区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电子交易客户端-CA驱动和申领流程”；安装“政采云电子交易客户端”----前往“浙江政府采购网-下载专区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将依托政采云平台完成本项目的电子交易活动，平台不接受未按上述方式获取招标文件的供应商进行投标活动；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帮助文档</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项目采购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操作流程</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电子招投标</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政府采购项目电子交易管理操作指南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供应商”。（3）招标文件公告期限与招标公告的公告期限一致。</w:t>
      </w:r>
    </w:p>
    <w:p w14:paraId="78827F58">
      <w:pPr>
        <w:pStyle w:val="4"/>
        <w:rPr>
          <w:rFonts w:hint="default" w:ascii="仿宋" w:hAnsi="仿宋" w:eastAsia="仿宋" w:cs="仿宋"/>
          <w:b/>
          <w:color w:val="auto"/>
          <w:sz w:val="28"/>
          <w:highlight w:val="none"/>
        </w:rPr>
      </w:pPr>
      <w:r>
        <w:rPr>
          <w:rFonts w:hint="default" w:ascii="仿宋" w:hAnsi="仿宋" w:eastAsia="仿宋" w:cs="仿宋"/>
          <w:b/>
          <w:color w:val="auto"/>
          <w:sz w:val="28"/>
          <w:highlight w:val="none"/>
        </w:rPr>
        <w:t>七、对本次采购提出询问、质疑、投诉，请按以下方式联系</w:t>
      </w:r>
    </w:p>
    <w:p w14:paraId="77F8E68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1.采购人信息</w:t>
      </w:r>
    </w:p>
    <w:p w14:paraId="5839003F">
      <w:pPr>
        <w:spacing w:line="360" w:lineRule="auto"/>
        <w:ind w:firstLine="420" w:firstLineChars="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杭州市上城区九堡街道党群与便民服务中心</w:t>
      </w:r>
    </w:p>
    <w:p w14:paraId="5FD2361E">
      <w:pPr>
        <w:spacing w:line="360" w:lineRule="auto"/>
        <w:ind w:firstLine="42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地址：杭州市上城区杭乔路211号</w:t>
      </w:r>
    </w:p>
    <w:p w14:paraId="3BFC1949">
      <w:pPr>
        <w:spacing w:line="360" w:lineRule="auto"/>
        <w:ind w:firstLine="420" w:firstLineChars="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传真：/</w:t>
      </w:r>
    </w:p>
    <w:p w14:paraId="355C6D3B">
      <w:pPr>
        <w:spacing w:line="360" w:lineRule="auto"/>
        <w:ind w:firstLine="420" w:firstLineChars="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项目联系人（询问）：戚</w:t>
      </w:r>
      <w:r>
        <w:rPr>
          <w:rFonts w:hint="eastAsia" w:ascii="仿宋" w:hAnsi="仿宋" w:eastAsia="仿宋" w:cs="仿宋"/>
          <w:color w:val="auto"/>
          <w:sz w:val="24"/>
          <w:highlight w:val="none"/>
          <w:lang w:val="en-US" w:eastAsia="zh-CN"/>
        </w:rPr>
        <w:t>老师</w:t>
      </w:r>
    </w:p>
    <w:p w14:paraId="3A74B790">
      <w:pPr>
        <w:spacing w:line="360" w:lineRule="auto"/>
        <w:ind w:firstLine="420" w:firstLineChars="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项目联系方式（询问）：0571-86702628</w:t>
      </w:r>
    </w:p>
    <w:p w14:paraId="3F30E732">
      <w:pPr>
        <w:spacing w:line="360" w:lineRule="auto"/>
        <w:ind w:firstLine="420" w:firstLineChars="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质疑联系人：莫</w:t>
      </w:r>
      <w:r>
        <w:rPr>
          <w:rFonts w:hint="eastAsia" w:ascii="仿宋" w:hAnsi="仿宋" w:eastAsia="仿宋" w:cs="仿宋"/>
          <w:color w:val="auto"/>
          <w:sz w:val="24"/>
          <w:highlight w:val="none"/>
          <w:lang w:val="en-US" w:eastAsia="zh-CN"/>
        </w:rPr>
        <w:t>老师</w:t>
      </w:r>
    </w:p>
    <w:p w14:paraId="6722B274">
      <w:pPr>
        <w:spacing w:line="360" w:lineRule="auto"/>
        <w:ind w:firstLine="420" w:firstLineChars="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质疑联系方式：0571-86702618</w:t>
      </w:r>
    </w:p>
    <w:p w14:paraId="08474451">
      <w:pPr>
        <w:spacing w:line="360" w:lineRule="auto"/>
        <w:ind w:firstLine="42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采购代理机构信息</w:t>
      </w:r>
    </w:p>
    <w:p w14:paraId="023EB407">
      <w:pPr>
        <w:spacing w:line="360" w:lineRule="auto"/>
        <w:ind w:firstLine="42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名称：浙江泛亚工程咨询有限公司</w:t>
      </w:r>
    </w:p>
    <w:p w14:paraId="6D0A9126">
      <w:pPr>
        <w:spacing w:line="360" w:lineRule="auto"/>
        <w:ind w:firstLine="42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地址：杭州市西湖区天目山路181号天际大厦803室</w:t>
      </w:r>
    </w:p>
    <w:p w14:paraId="6438E3F8">
      <w:pPr>
        <w:spacing w:line="360" w:lineRule="auto"/>
        <w:ind w:firstLine="42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lang w:val="en-US" w:eastAsia="zh-CN"/>
        </w:rPr>
        <w:t>/</w:t>
      </w:r>
    </w:p>
    <w:p w14:paraId="56719450">
      <w:pPr>
        <w:spacing w:line="360" w:lineRule="auto"/>
        <w:ind w:firstLine="42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项目联系人（询问）：</w:t>
      </w:r>
      <w:r>
        <w:rPr>
          <w:rFonts w:hint="eastAsia" w:ascii="仿宋" w:hAnsi="仿宋" w:eastAsia="仿宋" w:cs="仿宋"/>
          <w:color w:val="auto"/>
          <w:sz w:val="24"/>
          <w:highlight w:val="none"/>
          <w:lang w:val="en-US" w:eastAsia="zh-CN"/>
        </w:rPr>
        <w:t>黄工</w:t>
      </w:r>
    </w:p>
    <w:p w14:paraId="08B30549">
      <w:pPr>
        <w:spacing w:line="360" w:lineRule="auto"/>
        <w:ind w:firstLine="42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项目联系方式（询问）：19858153552</w:t>
      </w:r>
    </w:p>
    <w:p w14:paraId="1A60A5D8">
      <w:pPr>
        <w:spacing w:line="360" w:lineRule="auto"/>
        <w:ind w:firstLine="42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质疑联系人：</w:t>
      </w:r>
      <w:r>
        <w:rPr>
          <w:rFonts w:hint="eastAsia" w:ascii="仿宋" w:hAnsi="仿宋" w:eastAsia="仿宋" w:cs="仿宋"/>
          <w:color w:val="auto"/>
          <w:sz w:val="24"/>
          <w:highlight w:val="none"/>
          <w:lang w:val="en-US" w:eastAsia="zh-CN"/>
        </w:rPr>
        <w:t>童工</w:t>
      </w:r>
    </w:p>
    <w:p w14:paraId="357FAAFA">
      <w:pPr>
        <w:spacing w:line="360" w:lineRule="auto"/>
        <w:ind w:firstLine="42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质疑联系方式：18329110338</w:t>
      </w:r>
    </w:p>
    <w:p w14:paraId="293FBA9A">
      <w:pPr>
        <w:spacing w:line="360" w:lineRule="auto"/>
        <w:ind w:firstLine="42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3.同级政府采购监督管理部门</w:t>
      </w:r>
    </w:p>
    <w:p w14:paraId="573F361F">
      <w:pPr>
        <w:spacing w:line="360" w:lineRule="auto"/>
        <w:ind w:firstLine="420"/>
        <w:rPr>
          <w:rFonts w:hint="eastAsia" w:ascii="仿宋" w:hAnsi="仿宋" w:eastAsia="仿宋" w:cs="仿宋"/>
          <w:color w:val="auto"/>
          <w:sz w:val="24"/>
          <w:highlight w:val="none"/>
        </w:rPr>
      </w:pPr>
      <w:r>
        <w:rPr>
          <w:rFonts w:hint="eastAsia" w:ascii="仿宋" w:hAnsi="仿宋" w:eastAsia="仿宋" w:cs="仿宋"/>
          <w:color w:val="auto"/>
          <w:sz w:val="24"/>
          <w:highlight w:val="none"/>
        </w:rPr>
        <w:t>名称：杭州市</w:t>
      </w:r>
      <w:r>
        <w:rPr>
          <w:rFonts w:hint="eastAsia" w:ascii="仿宋" w:hAnsi="仿宋" w:eastAsia="仿宋" w:cs="仿宋"/>
          <w:color w:val="auto"/>
          <w:sz w:val="24"/>
          <w:highlight w:val="none"/>
          <w:lang w:val="en-US" w:eastAsia="zh-CN"/>
        </w:rPr>
        <w:t>上城区</w:t>
      </w:r>
      <w:r>
        <w:rPr>
          <w:rFonts w:hint="eastAsia" w:ascii="仿宋" w:hAnsi="仿宋" w:eastAsia="仿宋" w:cs="仿宋"/>
          <w:color w:val="auto"/>
          <w:sz w:val="24"/>
          <w:highlight w:val="none"/>
        </w:rPr>
        <w:t>财政局/浙江省政府采购行政裁决服务中心（杭州）</w:t>
      </w:r>
    </w:p>
    <w:p w14:paraId="6BA160B0">
      <w:pPr>
        <w:spacing w:line="360" w:lineRule="auto"/>
        <w:ind w:firstLine="42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i w:val="0"/>
          <w:caps w:val="0"/>
          <w:color w:val="auto"/>
          <w:spacing w:val="0"/>
          <w:sz w:val="24"/>
          <w:szCs w:val="24"/>
          <w:highlight w:val="none"/>
          <w:lang w:eastAsia="zh-CN"/>
        </w:rPr>
        <w:t>杭州市上城区清泰街549号城建综合大楼11楼</w:t>
      </w:r>
      <w:r>
        <w:rPr>
          <w:rFonts w:hint="eastAsia" w:ascii="仿宋" w:hAnsi="仿宋" w:eastAsia="仿宋" w:cs="仿宋"/>
          <w:i w:val="0"/>
          <w:caps w:val="0"/>
          <w:color w:val="auto"/>
          <w:spacing w:val="0"/>
          <w:sz w:val="24"/>
          <w:szCs w:val="24"/>
          <w:highlight w:val="none"/>
        </w:rPr>
        <w:t>（快递仅限ems或顺丰）</w:t>
      </w:r>
    </w:p>
    <w:p w14:paraId="65186997">
      <w:pPr>
        <w:spacing w:line="360" w:lineRule="auto"/>
        <w:ind w:firstLine="420"/>
        <w:rPr>
          <w:rFonts w:hint="eastAsia" w:ascii="仿宋" w:hAnsi="仿宋" w:eastAsia="仿宋" w:cs="仿宋"/>
          <w:color w:val="auto"/>
          <w:sz w:val="24"/>
          <w:highlight w:val="none"/>
        </w:rPr>
      </w:pPr>
      <w:r>
        <w:rPr>
          <w:rFonts w:hint="eastAsia" w:ascii="仿宋" w:hAnsi="仿宋" w:eastAsia="仿宋" w:cs="仿宋"/>
          <w:color w:val="auto"/>
          <w:sz w:val="24"/>
          <w:highlight w:val="none"/>
        </w:rPr>
        <w:t>传真：/</w:t>
      </w:r>
    </w:p>
    <w:p w14:paraId="65A6D0B4">
      <w:pPr>
        <w:spacing w:line="360" w:lineRule="auto"/>
        <w:ind w:firstLine="42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林老师</w:t>
      </w:r>
    </w:p>
    <w:p w14:paraId="4A8EEF72">
      <w:pPr>
        <w:spacing w:line="360" w:lineRule="auto"/>
        <w:ind w:firstLine="42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监督投诉电话：0571-87227671</w:t>
      </w:r>
    </w:p>
    <w:p w14:paraId="7666A58F">
      <w:pPr>
        <w:spacing w:line="360" w:lineRule="auto"/>
        <w:ind w:firstLine="42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政策咨询电话：沈先生、陈先生，0571-89580457、0571-89580460 政府采购监管部门工作人员</w:t>
      </w:r>
    </w:p>
    <w:p w14:paraId="6FD42F9E">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226C7EAE">
      <w:pPr>
        <w:widowControl/>
        <w:adjustRightInd/>
        <w:spacing w:line="360" w:lineRule="auto"/>
        <w:ind w:firstLine="480" w:firstLineChars="200"/>
        <w:jc w:val="left"/>
        <w:rPr>
          <w:rFonts w:hint="eastAsia" w:ascii="仿宋" w:hAnsi="仿宋" w:eastAsia="仿宋" w:cs="仿宋"/>
          <w:b/>
          <w:color w:val="auto"/>
          <w:sz w:val="36"/>
          <w:szCs w:val="20"/>
          <w:highlight w:val="none"/>
        </w:rPr>
      </w:pPr>
      <w:r>
        <w:rPr>
          <w:rFonts w:hint="eastAsia" w:ascii="仿宋" w:hAnsi="仿宋" w:eastAsia="仿宋" w:cs="仿宋"/>
          <w:color w:val="auto"/>
          <w:sz w:val="24"/>
          <w:highlight w:val="none"/>
        </w:rPr>
        <w:t>CA问题联系电话（人工）：汇信CA 400-888-4636；天谷CA 400-087-8198。</w:t>
      </w:r>
    </w:p>
    <w:p w14:paraId="5939E8B7">
      <w:pPr>
        <w:widowControl/>
        <w:adjustRightInd/>
        <w:spacing w:line="360" w:lineRule="auto"/>
        <w:ind w:firstLine="723" w:firstLineChars="200"/>
        <w:jc w:val="left"/>
        <w:rPr>
          <w:rFonts w:hint="eastAsia" w:ascii="仿宋" w:hAnsi="仿宋" w:eastAsia="仿宋" w:cs="仿宋"/>
          <w:b/>
          <w:color w:val="auto"/>
          <w:sz w:val="36"/>
          <w:szCs w:val="20"/>
          <w:highlight w:val="none"/>
        </w:rPr>
        <w:sectPr>
          <w:pgSz w:w="11905" w:h="16838"/>
          <w:pgMar w:top="1440" w:right="1083" w:bottom="1440" w:left="1083" w:header="850" w:footer="992" w:gutter="0"/>
          <w:cols w:space="0" w:num="1"/>
          <w:titlePg/>
          <w:rtlGutter w:val="0"/>
          <w:docGrid w:linePitch="312" w:charSpace="0"/>
        </w:sectPr>
      </w:pPr>
    </w:p>
    <w:p w14:paraId="6214B96B">
      <w:pPr>
        <w:pStyle w:val="3"/>
        <w:adjustRightInd/>
        <w:spacing w:beforeLines="0" w:afterLines="0" w:line="360" w:lineRule="auto"/>
        <w:jc w:val="center"/>
        <w:outlineLvl w:val="0"/>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第二部分 投标人须知</w:t>
      </w:r>
    </w:p>
    <w:p w14:paraId="0FD65B45">
      <w:pPr>
        <w:adjustRightInd/>
        <w:spacing w:line="360" w:lineRule="auto"/>
        <w:ind w:firstLine="0" w:firstLineChars="0"/>
        <w:jc w:val="center"/>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前附表</w:t>
      </w:r>
    </w:p>
    <w:tbl>
      <w:tblPr>
        <w:tblStyle w:val="6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14"/>
        <w:gridCol w:w="1502"/>
        <w:gridCol w:w="7569"/>
      </w:tblGrid>
      <w:tr w14:paraId="339D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6" w:hRule="atLeast"/>
          <w:tblHeader/>
        </w:trPr>
        <w:tc>
          <w:tcPr>
            <w:tcW w:w="365" w:type="pct"/>
            <w:vAlign w:val="center"/>
          </w:tcPr>
          <w:p w14:paraId="6284FD4C">
            <w:pPr>
              <w:snapToGrid w:val="0"/>
              <w:spacing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767" w:type="pct"/>
            <w:vAlign w:val="center"/>
          </w:tcPr>
          <w:p w14:paraId="2F7178B9">
            <w:pPr>
              <w:snapToGrid w:val="0"/>
              <w:spacing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事项</w:t>
            </w:r>
          </w:p>
        </w:tc>
        <w:tc>
          <w:tcPr>
            <w:tcW w:w="3866" w:type="pct"/>
            <w:vAlign w:val="center"/>
          </w:tcPr>
          <w:p w14:paraId="7AAB6834">
            <w:pPr>
              <w:snapToGrid w:val="0"/>
              <w:spacing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本项目的特别规定</w:t>
            </w:r>
          </w:p>
        </w:tc>
      </w:tr>
      <w:tr w14:paraId="5FC7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2" w:hRule="atLeast"/>
          <w:tblHeader/>
        </w:trPr>
        <w:tc>
          <w:tcPr>
            <w:tcW w:w="365" w:type="pct"/>
            <w:vAlign w:val="center"/>
          </w:tcPr>
          <w:p w14:paraId="59F95966">
            <w:pPr>
              <w:snapToGrid w:val="0"/>
              <w:spacing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p>
        </w:tc>
        <w:tc>
          <w:tcPr>
            <w:tcW w:w="767" w:type="pct"/>
            <w:vAlign w:val="center"/>
          </w:tcPr>
          <w:p w14:paraId="77EA4348">
            <w:pPr>
              <w:snapToGrid w:val="0"/>
              <w:spacing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项目属性</w:t>
            </w:r>
          </w:p>
        </w:tc>
        <w:tc>
          <w:tcPr>
            <w:tcW w:w="3866" w:type="pct"/>
            <w:vAlign w:val="center"/>
          </w:tcPr>
          <w:p w14:paraId="523EA94B">
            <w:pPr>
              <w:snapToGrid w:val="0"/>
              <w:spacing w:line="24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服务类。</w:t>
            </w:r>
          </w:p>
        </w:tc>
      </w:tr>
      <w:tr w14:paraId="433E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blHeader/>
        </w:trPr>
        <w:tc>
          <w:tcPr>
            <w:tcW w:w="365" w:type="pct"/>
            <w:vAlign w:val="center"/>
          </w:tcPr>
          <w:p w14:paraId="6F43D378">
            <w:pPr>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767" w:type="pct"/>
            <w:vAlign w:val="center"/>
          </w:tcPr>
          <w:p w14:paraId="37E87380">
            <w:pPr>
              <w:snapToGrid w:val="0"/>
              <w:spacing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采购标的及其对应的中小企业划分标准所属行业</w:t>
            </w:r>
          </w:p>
        </w:tc>
        <w:tc>
          <w:tcPr>
            <w:tcW w:w="3866" w:type="pct"/>
            <w:vAlign w:val="center"/>
          </w:tcPr>
          <w:p w14:paraId="62ED2232">
            <w:pPr>
              <w:numPr>
                <w:ilvl w:val="0"/>
                <w:numId w:val="1"/>
              </w:numPr>
              <w:snapToGrid w:val="0"/>
              <w:spacing w:line="240" w:lineRule="auto"/>
              <w:jc w:val="left"/>
              <w:rPr>
                <w:rFonts w:ascii="仿宋" w:hAnsi="仿宋" w:eastAsia="仿宋" w:cs="宋体"/>
                <w:color w:val="auto"/>
                <w:kern w:val="0"/>
                <w:sz w:val="24"/>
                <w:highlight w:val="none"/>
              </w:rPr>
            </w:pPr>
            <w:r>
              <w:rPr>
                <w:rFonts w:hint="eastAsia" w:ascii="仿宋" w:hAnsi="仿宋" w:eastAsia="仿宋" w:cs="仿宋"/>
                <w:color w:val="auto"/>
                <w:kern w:val="0"/>
                <w:sz w:val="24"/>
                <w:highlight w:val="none"/>
              </w:rPr>
              <w:t>标的：</w:t>
            </w:r>
            <w:r>
              <w:rPr>
                <w:rFonts w:hint="eastAsia" w:ascii="仿宋" w:hAnsi="仿宋" w:eastAsia="仿宋" w:cs="仿宋"/>
                <w:color w:val="auto"/>
                <w:kern w:val="0"/>
                <w:sz w:val="24"/>
                <w:highlight w:val="none"/>
                <w:u w:val="single"/>
                <w:lang w:eastAsia="zh-CN"/>
              </w:rPr>
              <w:t>2026年九堡街道企业退休人员自管小组文体活动项目</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属于</w:t>
            </w:r>
            <w:r>
              <w:rPr>
                <w:rFonts w:hint="eastAsia" w:ascii="仿宋" w:hAnsi="仿宋" w:eastAsia="仿宋" w:cs="宋体"/>
                <w:color w:val="auto"/>
                <w:kern w:val="0"/>
                <w:sz w:val="24"/>
                <w:highlight w:val="none"/>
                <w:u w:val="single"/>
              </w:rPr>
              <w:t>其他未列明</w:t>
            </w:r>
            <w:r>
              <w:rPr>
                <w:rFonts w:hint="eastAsia" w:ascii="仿宋" w:hAnsi="仿宋" w:eastAsia="仿宋" w:cs="宋体"/>
                <w:color w:val="auto"/>
                <w:kern w:val="0"/>
                <w:sz w:val="24"/>
                <w:highlight w:val="none"/>
              </w:rPr>
              <w:t>行业；</w:t>
            </w:r>
          </w:p>
          <w:p w14:paraId="6769A859">
            <w:pPr>
              <w:snapToGrid w:val="0"/>
              <w:spacing w:line="240" w:lineRule="auto"/>
              <w:jc w:val="left"/>
              <w:rPr>
                <w:rFonts w:hint="eastAsia" w:ascii="仿宋" w:hAnsi="仿宋" w:eastAsia="仿宋" w:cs="仿宋"/>
                <w:color w:val="auto"/>
                <w:highlight w:val="none"/>
                <w:lang w:val="en-US"/>
              </w:rPr>
            </w:pPr>
            <w:r>
              <w:rPr>
                <w:rFonts w:hint="eastAsia" w:ascii="仿宋" w:hAnsi="仿宋" w:eastAsia="仿宋" w:cs="宋体"/>
                <w:color w:val="auto"/>
                <w:kern w:val="0"/>
                <w:sz w:val="24"/>
                <w:highlight w:val="none"/>
              </w:rPr>
              <w:t>（2）备注：《关于印发中小企业划型标准规定的通知》（工信部联企业〔2011〕300）：</w:t>
            </w:r>
            <w:r>
              <w:rPr>
                <w:rFonts w:hint="eastAsia" w:ascii="仿宋" w:hAnsi="仿宋" w:eastAsia="仿宋" w:cs="宋体"/>
                <w:b/>
                <w:bCs/>
                <w:color w:val="auto"/>
                <w:kern w:val="0"/>
                <w:sz w:val="24"/>
                <w:highlight w:val="none"/>
                <w:u w:val="single"/>
              </w:rPr>
              <w:t>其他未列明行业</w:t>
            </w:r>
            <w:r>
              <w:rPr>
                <w:rFonts w:hint="eastAsia" w:ascii="仿宋" w:hAnsi="仿宋" w:eastAsia="仿宋" w:cs="宋体"/>
                <w:color w:val="auto"/>
                <w:kern w:val="0"/>
                <w:sz w:val="24"/>
                <w:highlight w:val="none"/>
                <w:u w:val="single"/>
              </w:rPr>
              <w:t>（包括科学研究和技术服务业，水利、环境和公共设施管理业，居民服务、修理和其他服务业，社会工作，文化、体育和娱乐业等）：从业人员300人以下的为中小微型企业。其中，从业人员100人及以上的为中型企业；从业人员10人及以上的为小型企业；从业人员10人以下的为微型企业。</w:t>
            </w:r>
          </w:p>
        </w:tc>
      </w:tr>
      <w:tr w14:paraId="1065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1" w:hRule="atLeast"/>
          <w:tblHeader/>
        </w:trPr>
        <w:tc>
          <w:tcPr>
            <w:tcW w:w="365" w:type="pct"/>
            <w:vAlign w:val="center"/>
          </w:tcPr>
          <w:p w14:paraId="0CACC128">
            <w:pPr>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767" w:type="pct"/>
            <w:vAlign w:val="center"/>
          </w:tcPr>
          <w:p w14:paraId="7FC3B650">
            <w:pPr>
              <w:snapToGrid w:val="0"/>
              <w:spacing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是否允许采购进口产品</w:t>
            </w:r>
          </w:p>
        </w:tc>
        <w:tc>
          <w:tcPr>
            <w:tcW w:w="3866" w:type="pct"/>
            <w:vAlign w:val="center"/>
          </w:tcPr>
          <w:p w14:paraId="08B77051">
            <w:pPr>
              <w:spacing w:line="240" w:lineRule="auto"/>
              <w:jc w:val="left"/>
              <w:rPr>
                <w:rFonts w:hint="eastAsia" w:ascii="仿宋" w:hAnsi="仿宋" w:eastAsia="仿宋" w:cs="仿宋"/>
                <w:color w:val="auto"/>
                <w:kern w:val="0"/>
                <w:sz w:val="24"/>
                <w:highlight w:val="none"/>
              </w:rPr>
            </w:pPr>
            <w:sdt>
              <w:sdtPr>
                <w:rPr>
                  <w:rFonts w:hint="eastAsia" w:ascii="仿宋" w:hAnsi="仿宋" w:eastAsia="仿宋" w:cs="仿宋"/>
                  <w:color w:val="auto"/>
                  <w:kern w:val="0"/>
                  <w:sz w:val="24"/>
                  <w:highlight w:val="none"/>
                </w:rPr>
                <w:id w:val="147468313"/>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sym w:font="Wingdings" w:char="F0FE"/>
                </w:r>
              </w:sdtContent>
            </w:sdt>
            <w:r>
              <w:rPr>
                <w:rFonts w:hint="eastAsia" w:ascii="仿宋" w:hAnsi="仿宋" w:eastAsia="仿宋" w:cs="仿宋"/>
                <w:color w:val="auto"/>
                <w:kern w:val="0"/>
                <w:sz w:val="24"/>
                <w:highlight w:val="none"/>
              </w:rPr>
              <w:t>本项目不允许采购进口产品。</w:t>
            </w:r>
          </w:p>
          <w:p w14:paraId="69549E68">
            <w:pPr>
              <w:spacing w:line="240" w:lineRule="auto"/>
              <w:jc w:val="left"/>
              <w:rPr>
                <w:rFonts w:hint="eastAsia" w:ascii="仿宋" w:hAnsi="仿宋" w:eastAsia="仿宋" w:cs="仿宋"/>
                <w:color w:val="auto"/>
                <w:highlight w:val="none"/>
              </w:rPr>
            </w:pPr>
            <w:sdt>
              <w:sdtPr>
                <w:rPr>
                  <w:rFonts w:hint="eastAsia" w:ascii="仿宋" w:hAnsi="仿宋" w:eastAsia="仿宋" w:cs="仿宋"/>
                  <w:color w:val="auto"/>
                  <w:kern w:val="0"/>
                  <w:sz w:val="24"/>
                  <w:highlight w:val="none"/>
                </w:rPr>
                <w:id w:val="147473431"/>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可以就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采购进口产品。</w:t>
            </w:r>
          </w:p>
        </w:tc>
      </w:tr>
      <w:tr w14:paraId="1F4C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8" w:hRule="atLeast"/>
          <w:tblHeader/>
        </w:trPr>
        <w:tc>
          <w:tcPr>
            <w:tcW w:w="365" w:type="pct"/>
            <w:vAlign w:val="center"/>
          </w:tcPr>
          <w:p w14:paraId="0E641B9C">
            <w:pPr>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767" w:type="pct"/>
            <w:vAlign w:val="center"/>
          </w:tcPr>
          <w:p w14:paraId="3B772B7B">
            <w:pPr>
              <w:snapToGrid w:val="0"/>
              <w:spacing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分包</w:t>
            </w:r>
          </w:p>
        </w:tc>
        <w:tc>
          <w:tcPr>
            <w:tcW w:w="3866" w:type="pct"/>
            <w:vAlign w:val="center"/>
          </w:tcPr>
          <w:p w14:paraId="28FF787C">
            <w:pPr>
              <w:spacing w:line="240" w:lineRule="auto"/>
              <w:jc w:val="left"/>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79951"/>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同意将非主体、非关键性的工作分包。</w:t>
            </w:r>
          </w:p>
          <w:p w14:paraId="57D3B34D">
            <w:pPr>
              <w:spacing w:line="240" w:lineRule="auto"/>
              <w:jc w:val="left"/>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76063"/>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B</w:t>
            </w:r>
            <w:r>
              <w:rPr>
                <w:rFonts w:hint="eastAsia" w:ascii="仿宋" w:hAnsi="仿宋" w:eastAsia="仿宋" w:cs="仿宋"/>
                <w:color w:val="auto"/>
                <w:sz w:val="24"/>
                <w:highlight w:val="none"/>
              </w:rPr>
              <w:t>不同意分包。</w:t>
            </w:r>
          </w:p>
          <w:p w14:paraId="1D79D352">
            <w:pPr>
              <w:spacing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注：分包份额不得超过总包单位。投标人中标后以分包方式履行合同的，提供分包意向协议（附件7）；不以分包方式履行合同的，则无需提供。不得限制大中型企业向小微企业合理分包。</w:t>
            </w:r>
            <w:sdt>
              <w:sdtPr>
                <w:rPr>
                  <w:rFonts w:hint="eastAsia" w:ascii="仿宋" w:hAnsi="仿宋" w:eastAsia="仿宋" w:cs="仿宋"/>
                  <w:color w:val="auto"/>
                  <w:kern w:val="0"/>
                  <w:sz w:val="24"/>
                  <w:highlight w:val="none"/>
                </w:rPr>
                <w:id w:val="147470740"/>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sz w:val="24"/>
                <w:highlight w:val="none"/>
              </w:rPr>
              <w:t>本项目专门面向</w:t>
            </w:r>
            <w:r>
              <w:rPr>
                <w:rFonts w:hint="eastAsia" w:ascii="仿宋" w:hAnsi="仿宋" w:eastAsia="仿宋" w:cs="仿宋"/>
                <w:color w:val="auto"/>
                <w:sz w:val="24"/>
                <w:highlight w:val="none"/>
                <w:u w:val="single"/>
              </w:rPr>
              <w:t xml:space="preserve"> 小微 </w:t>
            </w:r>
            <w:r>
              <w:rPr>
                <w:rFonts w:hint="eastAsia" w:ascii="仿宋" w:hAnsi="仿宋" w:eastAsia="仿宋" w:cs="仿宋"/>
                <w:color w:val="auto"/>
                <w:sz w:val="24"/>
                <w:highlight w:val="none"/>
              </w:rPr>
              <w:t>企业采购，分包单位必须为</w:t>
            </w:r>
            <w:r>
              <w:rPr>
                <w:rFonts w:hint="eastAsia" w:ascii="仿宋" w:hAnsi="仿宋" w:eastAsia="仿宋" w:cs="仿宋"/>
                <w:color w:val="auto"/>
                <w:sz w:val="24"/>
                <w:highlight w:val="none"/>
                <w:u w:val="single"/>
              </w:rPr>
              <w:t xml:space="preserve"> 小微 </w:t>
            </w:r>
            <w:r>
              <w:rPr>
                <w:rFonts w:hint="eastAsia" w:ascii="仿宋" w:hAnsi="仿宋" w:eastAsia="仿宋" w:cs="仿宋"/>
                <w:color w:val="auto"/>
                <w:sz w:val="24"/>
                <w:highlight w:val="none"/>
              </w:rPr>
              <w:t>企业。</w:t>
            </w:r>
          </w:p>
        </w:tc>
      </w:tr>
      <w:tr w14:paraId="5E00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53" w:hRule="atLeast"/>
          <w:tblHeader/>
        </w:trPr>
        <w:tc>
          <w:tcPr>
            <w:tcW w:w="365" w:type="pct"/>
            <w:vAlign w:val="center"/>
          </w:tcPr>
          <w:p w14:paraId="31980E70">
            <w:pPr>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767" w:type="pct"/>
            <w:vAlign w:val="center"/>
          </w:tcPr>
          <w:p w14:paraId="0032909F">
            <w:pPr>
              <w:snapToGrid w:val="0"/>
              <w:spacing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开标前答疑会或现场考察</w:t>
            </w:r>
          </w:p>
        </w:tc>
        <w:tc>
          <w:tcPr>
            <w:tcW w:w="3866" w:type="pct"/>
            <w:vAlign w:val="center"/>
          </w:tcPr>
          <w:p w14:paraId="085FB0B8">
            <w:pPr>
              <w:spacing w:line="240" w:lineRule="auto"/>
              <w:jc w:val="left"/>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75348"/>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不组织。</w:t>
            </w:r>
          </w:p>
          <w:p w14:paraId="6F41D2C3">
            <w:pPr>
              <w:spacing w:line="240" w:lineRule="auto"/>
              <w:jc w:val="left"/>
              <w:rPr>
                <w:rFonts w:hint="eastAsia" w:ascii="仿宋" w:hAnsi="仿宋" w:eastAsia="仿宋" w:cs="仿宋"/>
                <w:color w:val="auto"/>
                <w:sz w:val="24"/>
                <w:szCs w:val="20"/>
                <w:highlight w:val="none"/>
              </w:rPr>
            </w:pPr>
            <w:sdt>
              <w:sdtPr>
                <w:rPr>
                  <w:rFonts w:hint="eastAsia" w:ascii="仿宋" w:hAnsi="仿宋" w:eastAsia="仿宋" w:cs="仿宋"/>
                  <w:color w:val="auto"/>
                  <w:kern w:val="0"/>
                  <w:sz w:val="24"/>
                  <w:highlight w:val="none"/>
                </w:rPr>
                <w:id w:val="147459867"/>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B组织，</w:t>
            </w: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0"/>
                <w:highlight w:val="none"/>
              </w:rPr>
              <w:t>。</w:t>
            </w:r>
          </w:p>
          <w:p w14:paraId="488973D9">
            <w:pPr>
              <w:pStyle w:val="81"/>
              <w:spacing w:line="240" w:lineRule="auto"/>
              <w:ind w:firstLine="0" w:firstLineChars="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SA"/>
              </w:rPr>
              <w:t>☐C不统一组织，供应商在获取采购文件后，自行至项目现场考察。地点：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szCs w:val="24"/>
                <w:highlight w:val="none"/>
                <w:lang w:val="en-US" w:eastAsia="zh-CN" w:bidi="ar-SA"/>
              </w:rPr>
              <w:t>，联系人：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szCs w:val="24"/>
                <w:highlight w:val="none"/>
                <w:lang w:val="en-US" w:eastAsia="zh-CN" w:bidi="ar-SA"/>
              </w:rPr>
              <w:t>，联系方式：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szCs w:val="24"/>
                <w:highlight w:val="none"/>
                <w:lang w:val="en-US" w:eastAsia="zh-CN" w:bidi="ar-SA"/>
              </w:rPr>
              <w:t>。</w:t>
            </w:r>
          </w:p>
        </w:tc>
      </w:tr>
      <w:tr w14:paraId="2AEC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4" w:hRule="atLeast"/>
          <w:tblHeader/>
        </w:trPr>
        <w:tc>
          <w:tcPr>
            <w:tcW w:w="365" w:type="pct"/>
            <w:vAlign w:val="center"/>
          </w:tcPr>
          <w:p w14:paraId="3C6CCF7B">
            <w:pPr>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767" w:type="pct"/>
            <w:vAlign w:val="center"/>
          </w:tcPr>
          <w:p w14:paraId="2DB91428">
            <w:pPr>
              <w:snapToGrid w:val="0"/>
              <w:spacing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样品提供</w:t>
            </w:r>
          </w:p>
        </w:tc>
        <w:tc>
          <w:tcPr>
            <w:tcW w:w="3866" w:type="pct"/>
            <w:vAlign w:val="center"/>
          </w:tcPr>
          <w:p w14:paraId="112649C2">
            <w:pPr>
              <w:spacing w:line="240" w:lineRule="auto"/>
              <w:jc w:val="left"/>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77731"/>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不要求提供。</w:t>
            </w:r>
          </w:p>
          <w:p w14:paraId="4E2E3409">
            <w:pPr>
              <w:spacing w:line="240" w:lineRule="auto"/>
              <w:jc w:val="left"/>
              <w:rPr>
                <w:rFonts w:hint="eastAsia"/>
                <w:color w:val="auto"/>
                <w:highlight w:val="none"/>
              </w:rPr>
            </w:pPr>
            <w:sdt>
              <w:sdtPr>
                <w:rPr>
                  <w:rFonts w:hint="eastAsia" w:ascii="仿宋" w:hAnsi="仿宋" w:eastAsia="仿宋" w:cs="仿宋"/>
                  <w:color w:val="auto"/>
                  <w:kern w:val="0"/>
                  <w:sz w:val="24"/>
                  <w:highlight w:val="none"/>
                </w:rPr>
                <w:id w:val="147475714"/>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MS Gothic" w:hAnsi="MS Gothic"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highlight w:val="none"/>
              </w:rPr>
              <w:t>B要求提供</w:t>
            </w:r>
            <w:r>
              <w:rPr>
                <w:rFonts w:hint="eastAsia" w:ascii="仿宋" w:hAnsi="仿宋" w:eastAsia="仿宋" w:cs="仿宋"/>
                <w:color w:val="auto"/>
                <w:sz w:val="24"/>
                <w:highlight w:val="none"/>
              </w:rPr>
              <w:t>。</w:t>
            </w:r>
          </w:p>
        </w:tc>
      </w:tr>
      <w:tr w14:paraId="3436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4" w:hRule="atLeast"/>
          <w:tblHeader/>
        </w:trPr>
        <w:tc>
          <w:tcPr>
            <w:tcW w:w="365" w:type="pct"/>
            <w:vAlign w:val="center"/>
          </w:tcPr>
          <w:p w14:paraId="75F3644B">
            <w:pPr>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767" w:type="pct"/>
            <w:vAlign w:val="center"/>
          </w:tcPr>
          <w:p w14:paraId="55B83AD2">
            <w:pPr>
              <w:snapToGrid w:val="0"/>
              <w:spacing w:line="240" w:lineRule="auto"/>
              <w:jc w:val="center"/>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方案讲解演示</w:t>
            </w:r>
          </w:p>
        </w:tc>
        <w:tc>
          <w:tcPr>
            <w:tcW w:w="3866" w:type="pct"/>
            <w:vAlign w:val="center"/>
          </w:tcPr>
          <w:p w14:paraId="5ADE06C9">
            <w:pPr>
              <w:spacing w:line="240" w:lineRule="auto"/>
              <w:jc w:val="left"/>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47468270"/>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不组织。</w:t>
            </w:r>
          </w:p>
          <w:p w14:paraId="32861332">
            <w:pPr>
              <w:spacing w:line="240" w:lineRule="auto"/>
              <w:jc w:val="left"/>
              <w:rPr>
                <w:rFonts w:hint="eastAsia" w:ascii="仿宋" w:hAnsi="仿宋" w:eastAsia="仿宋" w:cs="仿宋"/>
                <w:b/>
                <w:color w:val="auto"/>
                <w:kern w:val="0"/>
                <w:sz w:val="24"/>
                <w:highlight w:val="none"/>
                <w:lang w:val="zh-CN"/>
              </w:rPr>
            </w:pPr>
            <w:sdt>
              <w:sdtPr>
                <w:rPr>
                  <w:rFonts w:hint="eastAsia" w:ascii="仿宋" w:hAnsi="仿宋" w:eastAsia="仿宋" w:cs="仿宋"/>
                  <w:color w:val="auto"/>
                  <w:kern w:val="0"/>
                  <w:sz w:val="24"/>
                  <w:highlight w:val="none"/>
                </w:rPr>
                <w:id w:val="147454231"/>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B组织。</w:t>
            </w:r>
          </w:p>
        </w:tc>
      </w:tr>
      <w:tr w14:paraId="38120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tblHeader/>
        </w:trPr>
        <w:tc>
          <w:tcPr>
            <w:tcW w:w="365" w:type="pct"/>
            <w:vMerge w:val="restart"/>
            <w:vAlign w:val="center"/>
          </w:tcPr>
          <w:p w14:paraId="4846B8ED">
            <w:pPr>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767" w:type="pct"/>
            <w:vMerge w:val="restart"/>
            <w:vAlign w:val="center"/>
          </w:tcPr>
          <w:p w14:paraId="7CA9C235">
            <w:pPr>
              <w:snapToGrid w:val="0"/>
              <w:spacing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投标人应当提供的资格、资信证明文件</w:t>
            </w:r>
          </w:p>
        </w:tc>
        <w:tc>
          <w:tcPr>
            <w:tcW w:w="3866" w:type="pct"/>
            <w:vAlign w:val="center"/>
          </w:tcPr>
          <w:p w14:paraId="43202DD3">
            <w:pPr>
              <w:spacing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（1）资格证明文件：见招标文件第二部分11.1。</w:t>
            </w:r>
          </w:p>
          <w:p w14:paraId="54092617">
            <w:pPr>
              <w:spacing w:line="240" w:lineRule="auto"/>
              <w:jc w:val="left"/>
              <w:rPr>
                <w:rFonts w:hint="eastAsia" w:ascii="仿宋" w:hAnsi="仿宋" w:eastAsia="仿宋" w:cs="仿宋"/>
                <w:snapToGrid w:val="0"/>
                <w:color w:val="auto"/>
                <w:kern w:val="0"/>
                <w:szCs w:val="21"/>
                <w:highlight w:val="none"/>
              </w:rPr>
            </w:pPr>
            <w:r>
              <w:rPr>
                <w:rFonts w:hint="eastAsia" w:ascii="仿宋" w:hAnsi="仿宋" w:eastAsia="仿宋" w:cs="仿宋"/>
                <w:color w:val="auto"/>
                <w:kern w:val="0"/>
                <w:sz w:val="24"/>
                <w:highlight w:val="none"/>
                <w:lang w:val="zh-CN"/>
              </w:rPr>
              <w:t>投标人未提供有效的资格证明文件的，视为投标人不具备招标文件中规定的资格要求，投标无效。</w:t>
            </w:r>
          </w:p>
        </w:tc>
      </w:tr>
      <w:tr w14:paraId="56E2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9" w:hRule="atLeast"/>
          <w:tblHeader/>
        </w:trPr>
        <w:tc>
          <w:tcPr>
            <w:tcW w:w="365" w:type="pct"/>
            <w:vMerge w:val="continue"/>
            <w:vAlign w:val="center"/>
          </w:tcPr>
          <w:p w14:paraId="4ABC0F33">
            <w:pPr>
              <w:snapToGrid w:val="0"/>
              <w:spacing w:line="240" w:lineRule="auto"/>
              <w:jc w:val="center"/>
              <w:rPr>
                <w:rFonts w:hint="eastAsia" w:ascii="仿宋" w:hAnsi="仿宋" w:eastAsia="仿宋" w:cs="仿宋"/>
                <w:color w:val="auto"/>
                <w:sz w:val="24"/>
                <w:highlight w:val="none"/>
              </w:rPr>
            </w:pPr>
          </w:p>
        </w:tc>
        <w:tc>
          <w:tcPr>
            <w:tcW w:w="767" w:type="pct"/>
            <w:vMerge w:val="continue"/>
            <w:vAlign w:val="center"/>
          </w:tcPr>
          <w:p w14:paraId="3422DFB0">
            <w:pPr>
              <w:snapToGrid w:val="0"/>
              <w:spacing w:line="240" w:lineRule="auto"/>
              <w:jc w:val="center"/>
              <w:rPr>
                <w:rFonts w:hint="eastAsia" w:ascii="仿宋" w:hAnsi="仿宋" w:eastAsia="仿宋" w:cs="仿宋"/>
                <w:b/>
                <w:color w:val="auto"/>
                <w:sz w:val="24"/>
                <w:highlight w:val="none"/>
              </w:rPr>
            </w:pPr>
          </w:p>
        </w:tc>
        <w:tc>
          <w:tcPr>
            <w:tcW w:w="3866" w:type="pct"/>
            <w:vAlign w:val="center"/>
          </w:tcPr>
          <w:p w14:paraId="786E436D">
            <w:pPr>
              <w:spacing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（2）资信证明文件：根据招标文件第四部分评标标准提供。</w:t>
            </w:r>
          </w:p>
        </w:tc>
      </w:tr>
      <w:tr w14:paraId="0151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trPr>
        <w:tc>
          <w:tcPr>
            <w:tcW w:w="365" w:type="pct"/>
            <w:vAlign w:val="center"/>
          </w:tcPr>
          <w:p w14:paraId="1565C22E">
            <w:pPr>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767" w:type="pct"/>
            <w:vAlign w:val="center"/>
          </w:tcPr>
          <w:p w14:paraId="1EDE9E9F">
            <w:pPr>
              <w:snapToGrid w:val="0"/>
              <w:spacing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节能产品、环境标志产品</w:t>
            </w:r>
          </w:p>
        </w:tc>
        <w:tc>
          <w:tcPr>
            <w:tcW w:w="3866" w:type="pct"/>
            <w:vAlign w:val="center"/>
          </w:tcPr>
          <w:p w14:paraId="258A90DA">
            <w:pPr>
              <w:pStyle w:val="81"/>
              <w:snapToGrid w:val="0"/>
              <w:spacing w:line="240" w:lineRule="auto"/>
              <w:ind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091E2757">
            <w:pPr>
              <w:pStyle w:val="81"/>
              <w:spacing w:line="240" w:lineRule="auto"/>
              <w:jc w:val="left"/>
              <w:rPr>
                <w:rFonts w:hint="eastAsia" w:ascii="仿宋" w:hAnsi="仿宋" w:eastAsia="仿宋" w:cs="仿宋"/>
                <w:color w:val="auto"/>
                <w:kern w:val="2"/>
                <w:sz w:val="24"/>
                <w:szCs w:val="24"/>
                <w:highlight w:val="none"/>
                <w:lang w:val="en-US" w:eastAsia="zh-CN" w:bidi="ar-SA"/>
              </w:rPr>
            </w:pPr>
            <w:sdt>
              <w:sdtPr>
                <w:rPr>
                  <w:rFonts w:hint="eastAsia" w:ascii="仿宋" w:hAnsi="仿宋" w:eastAsia="仿宋" w:cs="仿宋"/>
                  <w:color w:val="auto"/>
                  <w:kern w:val="2"/>
                  <w:sz w:val="24"/>
                  <w:szCs w:val="24"/>
                  <w:highlight w:val="none"/>
                  <w:lang w:val="en-US" w:eastAsia="zh-CN" w:bidi="ar-SA"/>
                </w:rPr>
                <w:id w:val="147451758"/>
                <w14:checkbox>
                  <w14:checked w14:val="0"/>
                  <w14:checkedState w14:val="00FE" w14:font="Wingdings"/>
                  <w14:uncheckedState w14:val="2610" w14:font="MS Gothic"/>
                </w14:checkbox>
              </w:sdtPr>
              <w:sdtEndPr>
                <w:rPr>
                  <w:rFonts w:hint="eastAsia" w:ascii="仿宋" w:hAnsi="仿宋" w:eastAsia="仿宋" w:cs="仿宋"/>
                  <w:color w:val="auto"/>
                  <w:kern w:val="2"/>
                  <w:sz w:val="24"/>
                  <w:szCs w:val="24"/>
                  <w:highlight w:val="none"/>
                  <w:lang w:val="en-US" w:eastAsia="zh-CN" w:bidi="ar-SA"/>
                </w:rPr>
              </w:sdtEndPr>
              <w:sdtContent>
                <w:r>
                  <w:rPr>
                    <w:rFonts w:hint="eastAsia" w:ascii="仿宋" w:hAnsi="仿宋" w:eastAsia="仿宋" w:cs="仿宋"/>
                    <w:color w:val="auto"/>
                    <w:kern w:val="2"/>
                    <w:sz w:val="24"/>
                    <w:szCs w:val="24"/>
                    <w:highlight w:val="none"/>
                    <w:lang w:val="en-US" w:eastAsia="zh-CN" w:bidi="ar-SA"/>
                  </w:rPr>
                  <w:t>☐</w:t>
                </w:r>
              </w:sdtContent>
            </w:sdt>
            <w:r>
              <w:rPr>
                <w:rFonts w:hint="eastAsia" w:ascii="仿宋" w:hAnsi="仿宋" w:eastAsia="仿宋" w:cs="仿宋"/>
                <w:color w:val="auto"/>
                <w:kern w:val="2"/>
                <w:sz w:val="24"/>
                <w:szCs w:val="24"/>
                <w:highlight w:val="none"/>
                <w:lang w:val="en-US" w:eastAsia="zh-CN" w:bidi="ar-SA"/>
              </w:rPr>
              <w:t>强制采购。产品：</w:t>
            </w:r>
          </w:p>
          <w:p w14:paraId="0E789893">
            <w:pPr>
              <w:pStyle w:val="81"/>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□优先采购节能产品。产品：</w:t>
            </w:r>
          </w:p>
          <w:p w14:paraId="1DD6ECE7">
            <w:pPr>
              <w:pStyle w:val="81"/>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□优先采购环保产品。产品：</w:t>
            </w:r>
          </w:p>
          <w:p w14:paraId="18B9ED6B">
            <w:pPr>
              <w:pStyle w:val="81"/>
              <w:spacing w:line="240" w:lineRule="auto"/>
              <w:jc w:val="left"/>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☑无</w:t>
            </w:r>
          </w:p>
        </w:tc>
      </w:tr>
      <w:tr w14:paraId="4F17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trPr>
        <w:tc>
          <w:tcPr>
            <w:tcW w:w="365" w:type="pct"/>
            <w:vAlign w:val="center"/>
          </w:tcPr>
          <w:p w14:paraId="16275BA7">
            <w:pPr>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767" w:type="pct"/>
            <w:vAlign w:val="center"/>
          </w:tcPr>
          <w:p w14:paraId="4627312B">
            <w:pPr>
              <w:snapToGrid w:val="0"/>
              <w:spacing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报价要求</w:t>
            </w:r>
          </w:p>
        </w:tc>
        <w:tc>
          <w:tcPr>
            <w:tcW w:w="3866" w:type="pct"/>
            <w:vAlign w:val="center"/>
          </w:tcPr>
          <w:p w14:paraId="4142A3B0">
            <w:pPr>
              <w:snapToGrid w:val="0"/>
              <w:spacing w:line="240" w:lineRule="auto"/>
              <w:jc w:val="left"/>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val="zh-CN"/>
              </w:rPr>
              <w:t>有关本项目实施所需的所有费用（含税费）均计入报价。</w:t>
            </w:r>
            <w:r>
              <w:rPr>
                <w:rFonts w:hint="eastAsia" w:ascii="仿宋" w:hAnsi="仿宋" w:eastAsia="仿宋" w:cs="仿宋"/>
                <w:b/>
                <w:bCs/>
                <w:color w:val="auto"/>
                <w:kern w:val="0"/>
                <w:sz w:val="24"/>
                <w:highlight w:val="none"/>
                <w:lang w:val="zh-CN"/>
              </w:rPr>
              <w:t>投标文件</w:t>
            </w:r>
            <w:r>
              <w:rPr>
                <w:rFonts w:hint="eastAsia" w:ascii="仿宋" w:hAnsi="仿宋" w:eastAsia="仿宋" w:cs="仿宋"/>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eastAsia="仿宋" w:cs="仿宋"/>
                <w:color w:val="auto"/>
                <w:kern w:val="0"/>
                <w:sz w:val="24"/>
                <w:highlight w:val="none"/>
                <w:lang w:val="zh-CN"/>
              </w:rPr>
              <w:t>投标文件中价格全部采用人民币报价。招标文件未列明，而投标人认为必需的费用也需列入报价。</w:t>
            </w:r>
            <w:r>
              <w:rPr>
                <w:rFonts w:hint="eastAsia" w:ascii="仿宋" w:hAnsi="仿宋" w:eastAsia="仿宋" w:cs="仿宋"/>
                <w:b/>
                <w:color w:val="auto"/>
                <w:kern w:val="0"/>
                <w:sz w:val="24"/>
                <w:highlight w:val="none"/>
                <w:lang w:val="zh-CN"/>
              </w:rPr>
              <w:t>提醒：验收时检测费用由采购人承担，不包含在投标总价中。</w:t>
            </w:r>
          </w:p>
          <w:p w14:paraId="1853F6B2">
            <w:pPr>
              <w:snapToGrid w:val="0"/>
              <w:spacing w:line="240" w:lineRule="auto"/>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投标报价出现下列情形的，投标无效：</w:t>
            </w:r>
          </w:p>
          <w:p w14:paraId="282A8CBD">
            <w:pPr>
              <w:snapToGrid w:val="0"/>
              <w:spacing w:line="240" w:lineRule="auto"/>
              <w:ind w:firstLine="0" w:firstLineChars="0"/>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en-US" w:eastAsia="zh-CN"/>
              </w:rPr>
              <w:t>1.</w:t>
            </w:r>
            <w:r>
              <w:rPr>
                <w:rFonts w:hint="eastAsia" w:ascii="仿宋" w:hAnsi="仿宋" w:eastAsia="仿宋" w:cs="仿宋"/>
                <w:b/>
                <w:color w:val="auto"/>
                <w:kern w:val="0"/>
                <w:sz w:val="24"/>
                <w:highlight w:val="none"/>
                <w:lang w:val="zh-CN"/>
              </w:rPr>
              <w:t>投标文件出现不是唯一的、有选择性投标报价的；</w:t>
            </w:r>
          </w:p>
          <w:p w14:paraId="143E6334">
            <w:pPr>
              <w:snapToGrid w:val="0"/>
              <w:spacing w:line="240" w:lineRule="auto"/>
              <w:ind w:firstLine="0" w:firstLineChars="0"/>
              <w:jc w:val="left"/>
              <w:rPr>
                <w:rFonts w:hint="eastAsia" w:ascii="仿宋" w:hAnsi="仿宋" w:eastAsia="仿宋" w:cs="仿宋"/>
                <w:color w:val="auto"/>
                <w:kern w:val="0"/>
                <w:sz w:val="24"/>
                <w:highlight w:val="none"/>
                <w:lang w:val="zh-CN"/>
              </w:rPr>
            </w:pPr>
            <w:r>
              <w:rPr>
                <w:rFonts w:hint="eastAsia" w:ascii="仿宋" w:hAnsi="仿宋" w:eastAsia="仿宋" w:cs="仿宋"/>
                <w:b/>
                <w:color w:val="auto"/>
                <w:kern w:val="0"/>
                <w:sz w:val="24"/>
                <w:highlight w:val="none"/>
                <w:lang w:val="en-US" w:eastAsia="zh-CN"/>
              </w:rPr>
              <w:t>2.</w:t>
            </w:r>
            <w:r>
              <w:rPr>
                <w:rFonts w:hint="eastAsia" w:ascii="仿宋" w:hAnsi="仿宋" w:eastAsia="仿宋" w:cs="仿宋"/>
                <w:b/>
                <w:color w:val="auto"/>
                <w:kern w:val="0"/>
                <w:sz w:val="24"/>
                <w:highlight w:val="none"/>
                <w:lang w:val="zh-CN"/>
              </w:rPr>
              <w:t>投标报价超过招标文件中规定的预算金额或者最高限价的；</w:t>
            </w:r>
          </w:p>
          <w:p w14:paraId="7494CFDC">
            <w:pPr>
              <w:spacing w:line="240" w:lineRule="auto"/>
              <w:ind w:firstLine="0" w:firstLineChars="0"/>
              <w:jc w:val="left"/>
              <w:rPr>
                <w:rFonts w:hint="eastAsia" w:ascii="仿宋" w:hAnsi="仿宋" w:eastAsia="仿宋" w:cs="仿宋"/>
                <w:b/>
                <w:color w:val="auto"/>
                <w:sz w:val="24"/>
                <w:highlight w:val="none"/>
              </w:rPr>
            </w:pPr>
            <w:r>
              <w:rPr>
                <w:rFonts w:hint="eastAsia" w:ascii="仿宋" w:hAnsi="仿宋" w:eastAsia="仿宋" w:cs="仿宋"/>
                <w:b/>
                <w:color w:val="auto"/>
                <w:kern w:val="0"/>
                <w:sz w:val="24"/>
                <w:highlight w:val="none"/>
                <w:lang w:val="en-US" w:eastAsia="zh-CN"/>
              </w:rPr>
              <w:t>3.</w:t>
            </w:r>
            <w:r>
              <w:rPr>
                <w:rFonts w:hint="eastAsia" w:ascii="仿宋" w:hAnsi="仿宋" w:eastAsia="仿宋" w:cs="仿宋"/>
                <w:b/>
                <w:color w:val="auto"/>
                <w:kern w:val="0"/>
                <w:sz w:val="24"/>
                <w:highlight w:val="none"/>
              </w:rPr>
              <w:t>报价出现异常低价情形，投标（响应）供应商不能在规定时间内提供书面说明、证明材料，或者提供的书面说明、证明材料不能证明其报价合理性的，评标委员会应当将其作为无效投标（响应）处理；其中投标（响应）报价低于采购项目最高限价</w:t>
            </w:r>
            <w:r>
              <w:rPr>
                <w:rFonts w:hint="eastAsia" w:ascii="仿宋" w:hAnsi="仿宋" w:eastAsia="仿宋" w:cs="仿宋"/>
                <w:b/>
                <w:color w:val="auto"/>
                <w:kern w:val="0"/>
                <w:sz w:val="24"/>
                <w:highlight w:val="none"/>
                <w:lang w:eastAsia="zh-CN"/>
              </w:rPr>
              <w:t>5</w:t>
            </w:r>
            <w:r>
              <w:rPr>
                <w:rFonts w:hint="eastAsia" w:ascii="仿宋" w:hAnsi="仿宋" w:eastAsia="仿宋" w:cs="仿宋"/>
                <w:b/>
                <w:color w:val="auto"/>
                <w:kern w:val="0"/>
                <w:sz w:val="24"/>
                <w:highlight w:val="none"/>
                <w:lang w:val="en-US" w:eastAsia="zh-CN"/>
              </w:rPr>
              <w:t>0</w:t>
            </w:r>
            <w:r>
              <w:rPr>
                <w:rFonts w:hint="eastAsia" w:ascii="仿宋" w:hAnsi="仿宋" w:eastAsia="仿宋" w:cs="仿宋"/>
                <w:b/>
                <w:color w:val="auto"/>
                <w:kern w:val="0"/>
                <w:sz w:val="24"/>
                <w:highlight w:val="none"/>
              </w:rPr>
              <w:t>%的，即投标（响应）报价&lt;采购项目最高限价×</w:t>
            </w:r>
            <w:r>
              <w:rPr>
                <w:rFonts w:hint="eastAsia" w:ascii="仿宋" w:hAnsi="仿宋" w:eastAsia="仿宋" w:cs="仿宋"/>
                <w:b/>
                <w:color w:val="auto"/>
                <w:kern w:val="0"/>
                <w:sz w:val="24"/>
                <w:highlight w:val="none"/>
                <w:lang w:eastAsia="zh-CN"/>
              </w:rPr>
              <w:t>5</w:t>
            </w:r>
            <w:r>
              <w:rPr>
                <w:rFonts w:hint="eastAsia" w:ascii="仿宋" w:hAnsi="仿宋" w:eastAsia="仿宋" w:cs="仿宋"/>
                <w:b/>
                <w:color w:val="auto"/>
                <w:kern w:val="0"/>
                <w:sz w:val="24"/>
                <w:highlight w:val="none"/>
                <w:lang w:val="en-US" w:eastAsia="zh-CN"/>
              </w:rPr>
              <w:t>0</w:t>
            </w:r>
            <w:r>
              <w:rPr>
                <w:rFonts w:hint="eastAsia" w:ascii="仿宋" w:hAnsi="仿宋" w:eastAsia="仿宋" w:cs="仿宋"/>
                <w:b/>
                <w:color w:val="auto"/>
                <w:kern w:val="0"/>
                <w:sz w:val="24"/>
                <w:highlight w:val="none"/>
              </w:rPr>
              <w:t>%，未随投标（响应）文件一并提交相关书面说明及必要的证明材料的，评标委员会应当将其作为无效投标（响应）处理；</w:t>
            </w:r>
          </w:p>
          <w:p w14:paraId="3704625C">
            <w:pPr>
              <w:snapToGrid w:val="0"/>
              <w:spacing w:line="240" w:lineRule="auto"/>
              <w:ind w:firstLine="0" w:firstLineChars="0"/>
              <w:jc w:val="left"/>
              <w:rPr>
                <w:rFonts w:hint="eastAsia"/>
                <w:color w:val="auto"/>
                <w:highlight w:val="none"/>
              </w:rPr>
            </w:pPr>
            <w:r>
              <w:rPr>
                <w:rFonts w:hint="eastAsia" w:ascii="仿宋" w:hAnsi="仿宋" w:eastAsia="仿宋" w:cs="仿宋"/>
                <w:b/>
                <w:color w:val="auto"/>
                <w:kern w:val="0"/>
                <w:sz w:val="24"/>
                <w:highlight w:val="none"/>
                <w:lang w:val="en-US" w:eastAsia="zh-CN"/>
              </w:rPr>
              <w:t>4.</w:t>
            </w:r>
            <w:r>
              <w:rPr>
                <w:rFonts w:hint="eastAsia" w:ascii="仿宋" w:hAnsi="仿宋" w:eastAsia="仿宋" w:cs="仿宋"/>
                <w:b/>
                <w:color w:val="auto"/>
                <w:kern w:val="0"/>
                <w:sz w:val="24"/>
                <w:highlight w:val="none"/>
              </w:rPr>
              <w:t>投标人对根据修正原则修正后的报价不确认的</w:t>
            </w:r>
            <w:r>
              <w:rPr>
                <w:rFonts w:hint="eastAsia" w:ascii="仿宋" w:hAnsi="仿宋" w:eastAsia="仿宋" w:cs="仿宋"/>
                <w:b/>
                <w:color w:val="auto"/>
                <w:sz w:val="24"/>
                <w:highlight w:val="none"/>
              </w:rPr>
              <w:t>。</w:t>
            </w:r>
          </w:p>
        </w:tc>
      </w:tr>
      <w:tr w14:paraId="7F09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88" w:hRule="atLeast"/>
          <w:tblHeader/>
        </w:trPr>
        <w:tc>
          <w:tcPr>
            <w:tcW w:w="365" w:type="pct"/>
            <w:vAlign w:val="center"/>
          </w:tcPr>
          <w:p w14:paraId="3D72C4E9">
            <w:pPr>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767" w:type="pct"/>
            <w:vAlign w:val="center"/>
          </w:tcPr>
          <w:p w14:paraId="1A008EFA">
            <w:pPr>
              <w:snapToGrid w:val="0"/>
              <w:spacing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中小企业信用融资</w:t>
            </w:r>
          </w:p>
        </w:tc>
        <w:tc>
          <w:tcPr>
            <w:tcW w:w="3866" w:type="pct"/>
            <w:vAlign w:val="center"/>
          </w:tcPr>
          <w:p w14:paraId="65F0115F">
            <w:pPr>
              <w:spacing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snapToGrid w:val="0"/>
                <w:color w:val="auto"/>
                <w:kern w:val="28"/>
                <w:sz w:val="24"/>
                <w:highlight w:val="none"/>
              </w:rPr>
              <w:t>供应商中标后也可在“政采云”平台申请政采贷：操作路径：登录政采云平台</w:t>
            </w:r>
            <w:r>
              <w:rPr>
                <w:rFonts w:hint="eastAsia" w:ascii="仿宋" w:hAnsi="仿宋" w:eastAsia="仿宋" w:cs="仿宋"/>
                <w:snapToGrid w:val="0"/>
                <w:color w:val="auto"/>
                <w:kern w:val="28"/>
                <w:sz w:val="24"/>
                <w:highlight w:val="none"/>
                <w:lang w:eastAsia="zh-CN"/>
              </w:rPr>
              <w:t>－</w:t>
            </w:r>
            <w:r>
              <w:rPr>
                <w:rFonts w:hint="eastAsia" w:ascii="仿宋" w:hAnsi="仿宋" w:eastAsia="仿宋" w:cs="仿宋"/>
                <w:snapToGrid w:val="0"/>
                <w:color w:val="auto"/>
                <w:kern w:val="28"/>
                <w:sz w:val="24"/>
                <w:highlight w:val="none"/>
              </w:rPr>
              <w:t>金融服务中心</w:t>
            </w:r>
            <w:r>
              <w:rPr>
                <w:rFonts w:hint="eastAsia" w:ascii="仿宋" w:hAnsi="仿宋" w:eastAsia="仿宋" w:cs="仿宋"/>
                <w:snapToGrid w:val="0"/>
                <w:color w:val="auto"/>
                <w:kern w:val="28"/>
                <w:sz w:val="24"/>
                <w:highlight w:val="none"/>
                <w:lang w:eastAsia="zh-CN"/>
              </w:rPr>
              <w:t>－</w:t>
            </w:r>
            <w:r>
              <w:rPr>
                <w:rFonts w:hint="eastAsia" w:ascii="仿宋" w:hAnsi="仿宋" w:eastAsia="仿宋" w:cs="仿宋"/>
                <w:snapToGrid w:val="0"/>
                <w:color w:val="auto"/>
                <w:kern w:val="28"/>
                <w:sz w:val="24"/>
                <w:highlight w:val="none"/>
              </w:rPr>
              <w:t>【融资服务】，可在热门申请中选择产品直接申请，也可点击云智贷匹配适合产品进行申请，或者在可申请项目中根据该项目进行申请。</w:t>
            </w:r>
          </w:p>
        </w:tc>
      </w:tr>
      <w:tr w14:paraId="3708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88" w:hRule="atLeast"/>
          <w:tblHeader/>
        </w:trPr>
        <w:tc>
          <w:tcPr>
            <w:tcW w:w="365" w:type="pct"/>
            <w:vAlign w:val="center"/>
          </w:tcPr>
          <w:p w14:paraId="3955414A">
            <w:pPr>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767" w:type="pct"/>
            <w:vAlign w:val="center"/>
          </w:tcPr>
          <w:p w14:paraId="2A62CE0E">
            <w:pPr>
              <w:snapToGrid w:val="0"/>
              <w:spacing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备份投标文件送达地点和签收人员</w:t>
            </w:r>
          </w:p>
        </w:tc>
        <w:tc>
          <w:tcPr>
            <w:tcW w:w="3866" w:type="pct"/>
            <w:vAlign w:val="center"/>
          </w:tcPr>
          <w:p w14:paraId="6F994564">
            <w:pPr>
              <w:pStyle w:val="32"/>
              <w:spacing w:line="240" w:lineRule="auto"/>
              <w:jc w:val="left"/>
              <w:rPr>
                <w:rFonts w:hint="eastAsia" w:ascii="仿宋" w:hAnsi="仿宋" w:eastAsia="仿宋" w:cs="仿宋"/>
                <w:color w:val="auto"/>
                <w:kern w:val="28"/>
                <w:sz w:val="24"/>
                <w:highlight w:val="none"/>
              </w:rPr>
            </w:pPr>
            <w:r>
              <w:rPr>
                <w:rFonts w:hint="eastAsia" w:ascii="仿宋" w:hAnsi="仿宋" w:eastAsia="仿宋" w:cs="仿宋"/>
                <w:color w:val="auto"/>
                <w:kern w:val="28"/>
                <w:sz w:val="24"/>
                <w:szCs w:val="24"/>
                <w:highlight w:val="none"/>
              </w:rPr>
              <w:t>备份投标文件送达地点：</w:t>
            </w:r>
            <w:r>
              <w:rPr>
                <w:rFonts w:hint="eastAsia" w:ascii="仿宋" w:hAnsi="仿宋" w:eastAsia="仿宋" w:cs="仿宋"/>
                <w:color w:val="auto"/>
                <w:sz w:val="24"/>
                <w:highlight w:val="none"/>
                <w:u w:val="single"/>
              </w:rPr>
              <w:t>杭州市西湖区天目山路181号天际大厦803室</w:t>
            </w:r>
            <w:r>
              <w:rPr>
                <w:rFonts w:hint="eastAsia" w:ascii="仿宋" w:hAnsi="仿宋" w:eastAsia="仿宋" w:cs="仿宋"/>
                <w:color w:val="auto"/>
                <w:kern w:val="28"/>
                <w:sz w:val="24"/>
                <w:szCs w:val="24"/>
                <w:highlight w:val="none"/>
              </w:rPr>
              <w:t>；备份投标文件签收人员联系电话：</w:t>
            </w:r>
            <w:r>
              <w:rPr>
                <w:rFonts w:hint="eastAsia" w:ascii="仿宋" w:hAnsi="仿宋" w:eastAsia="仿宋" w:cs="仿宋"/>
                <w:color w:val="auto"/>
                <w:sz w:val="24"/>
                <w:highlight w:val="none"/>
                <w:u w:val="single"/>
              </w:rPr>
              <w:t>黄工，19858153552</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采购人、</w:t>
            </w:r>
            <w:r>
              <w:rPr>
                <w:rFonts w:hint="eastAsia" w:ascii="仿宋" w:hAnsi="仿宋" w:eastAsia="仿宋" w:cs="仿宋"/>
                <w:b/>
                <w:color w:val="auto"/>
                <w:sz w:val="24"/>
                <w:szCs w:val="24"/>
                <w:highlight w:val="none"/>
                <w:lang w:eastAsia="zh-CN"/>
              </w:rPr>
              <w:t>采购代理机构</w:t>
            </w:r>
            <w:r>
              <w:rPr>
                <w:rFonts w:hint="eastAsia" w:ascii="仿宋" w:hAnsi="仿宋" w:eastAsia="仿宋" w:cs="仿宋"/>
                <w:b/>
                <w:color w:val="auto"/>
                <w:sz w:val="24"/>
                <w:szCs w:val="24"/>
                <w:highlight w:val="none"/>
              </w:rPr>
              <w:t>不强制或变相强制投标人提交备份投标文件。</w:t>
            </w:r>
          </w:p>
        </w:tc>
      </w:tr>
      <w:tr w14:paraId="061E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365" w:type="pct"/>
            <w:vAlign w:val="center"/>
          </w:tcPr>
          <w:p w14:paraId="1BEE71D3">
            <w:pPr>
              <w:snapToGrid w:val="0"/>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w:t>
            </w:r>
          </w:p>
        </w:tc>
        <w:tc>
          <w:tcPr>
            <w:tcW w:w="767" w:type="pct"/>
            <w:vAlign w:val="center"/>
          </w:tcPr>
          <w:p w14:paraId="56A1477F">
            <w:pPr>
              <w:snapToGrid w:val="0"/>
              <w:spacing w:line="240" w:lineRule="auto"/>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 w:eastAsia="zh-CN"/>
              </w:rPr>
              <w:t>中标候选人数量</w:t>
            </w:r>
          </w:p>
        </w:tc>
        <w:tc>
          <w:tcPr>
            <w:tcW w:w="3866" w:type="pct"/>
            <w:vAlign w:val="center"/>
          </w:tcPr>
          <w:p w14:paraId="5A99F9D0">
            <w:pPr>
              <w:spacing w:line="240" w:lineRule="auto"/>
              <w:jc w:val="left"/>
              <w:rPr>
                <w:rFonts w:hint="eastAsia" w:ascii="仿宋" w:hAnsi="仿宋" w:eastAsia="仿宋" w:cs="仿宋"/>
                <w:color w:val="auto"/>
                <w:kern w:val="0"/>
                <w:sz w:val="24"/>
                <w:highlight w:val="none"/>
                <w:lang w:val="en" w:eastAsia="zh-CN"/>
              </w:rPr>
            </w:pPr>
            <w:r>
              <w:rPr>
                <w:rFonts w:hint="eastAsia" w:ascii="仿宋" w:hAnsi="仿宋" w:eastAsia="仿宋" w:cs="仿宋"/>
                <w:color w:val="auto"/>
                <w:kern w:val="0"/>
                <w:sz w:val="24"/>
                <w:highlight w:val="none"/>
                <w:lang w:val="en" w:eastAsia="zh-CN"/>
              </w:rPr>
              <w:t>本项目推荐的中标候选人数量：</w:t>
            </w:r>
            <w:r>
              <w:rPr>
                <w:rFonts w:hint="eastAsia" w:ascii="仿宋" w:hAnsi="仿宋" w:eastAsia="仿宋" w:cs="仿宋"/>
                <w:color w:val="auto"/>
                <w:kern w:val="0"/>
                <w:sz w:val="24"/>
                <w:highlight w:val="none"/>
                <w:u w:val="single"/>
                <w:lang w:val="en-US" w:eastAsia="zh-CN"/>
              </w:rPr>
              <w:t xml:space="preserve"> 1 </w:t>
            </w:r>
            <w:r>
              <w:rPr>
                <w:rFonts w:hint="eastAsia" w:ascii="仿宋" w:hAnsi="仿宋" w:eastAsia="仿宋" w:cs="仿宋"/>
                <w:color w:val="auto"/>
                <w:kern w:val="0"/>
                <w:sz w:val="24"/>
                <w:highlight w:val="none"/>
                <w:lang w:val="en" w:eastAsia="zh-CN"/>
              </w:rPr>
              <w:t>。</w:t>
            </w:r>
          </w:p>
        </w:tc>
      </w:tr>
      <w:tr w14:paraId="1FF7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365" w:type="pct"/>
            <w:vMerge w:val="restart"/>
            <w:vAlign w:val="center"/>
          </w:tcPr>
          <w:p w14:paraId="1F2D407A">
            <w:pPr>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p>
          <w:p w14:paraId="5764448C">
            <w:pPr>
              <w:pStyle w:val="61"/>
              <w:jc w:val="center"/>
              <w:rPr>
                <w:rFonts w:hint="eastAsia"/>
                <w:color w:val="auto"/>
                <w:highlight w:val="none"/>
              </w:rPr>
            </w:pPr>
          </w:p>
        </w:tc>
        <w:tc>
          <w:tcPr>
            <w:tcW w:w="767" w:type="pct"/>
            <w:vMerge w:val="restart"/>
            <w:vAlign w:val="center"/>
          </w:tcPr>
          <w:p w14:paraId="48763D17">
            <w:pPr>
              <w:snapToGrid w:val="0"/>
              <w:spacing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特别说明</w:t>
            </w:r>
          </w:p>
        </w:tc>
        <w:tc>
          <w:tcPr>
            <w:tcW w:w="3866" w:type="pct"/>
            <w:vAlign w:val="center"/>
          </w:tcPr>
          <w:p w14:paraId="4642DF75">
            <w:pPr>
              <w:spacing w:line="240" w:lineRule="auto"/>
              <w:jc w:val="left"/>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联合体投标的，联合体各方分别提供与联合体协议中规定的分工内容相应的业绩证明材料，业绩数量以提供材料较少的一方为准。</w:t>
            </w:r>
          </w:p>
        </w:tc>
      </w:tr>
      <w:tr w14:paraId="730E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365" w:type="pct"/>
            <w:vMerge w:val="continue"/>
            <w:vAlign w:val="center"/>
          </w:tcPr>
          <w:p w14:paraId="70EB60D7">
            <w:pPr>
              <w:snapToGrid w:val="0"/>
              <w:spacing w:line="240" w:lineRule="auto"/>
              <w:jc w:val="center"/>
              <w:rPr>
                <w:rFonts w:hint="eastAsia" w:ascii="仿宋" w:hAnsi="仿宋" w:eastAsia="仿宋" w:cs="仿宋"/>
                <w:color w:val="auto"/>
                <w:sz w:val="24"/>
                <w:highlight w:val="none"/>
              </w:rPr>
            </w:pPr>
          </w:p>
        </w:tc>
        <w:tc>
          <w:tcPr>
            <w:tcW w:w="767" w:type="pct"/>
            <w:vMerge w:val="continue"/>
            <w:vAlign w:val="center"/>
          </w:tcPr>
          <w:p w14:paraId="701385B6">
            <w:pPr>
              <w:snapToGrid w:val="0"/>
              <w:spacing w:line="240" w:lineRule="auto"/>
              <w:jc w:val="center"/>
              <w:rPr>
                <w:rFonts w:hint="eastAsia" w:ascii="仿宋" w:hAnsi="仿宋" w:eastAsia="仿宋" w:cs="仿宋"/>
                <w:b/>
                <w:color w:val="auto"/>
                <w:sz w:val="24"/>
                <w:highlight w:val="none"/>
              </w:rPr>
            </w:pPr>
          </w:p>
        </w:tc>
        <w:tc>
          <w:tcPr>
            <w:tcW w:w="3866" w:type="pct"/>
            <w:vAlign w:val="center"/>
          </w:tcPr>
          <w:p w14:paraId="2A86E3D7">
            <w:pPr>
              <w:spacing w:line="240" w:lineRule="auto"/>
              <w:jc w:val="left"/>
              <w:rPr>
                <w:rFonts w:hint="eastAsia" w:ascii="仿宋" w:hAnsi="仿宋" w:eastAsia="仿宋" w:cs="仿宋"/>
                <w:snapToGrid w:val="0"/>
                <w:color w:val="auto"/>
                <w:kern w:val="28"/>
                <w:sz w:val="24"/>
                <w:highlight w:val="none"/>
              </w:rPr>
            </w:pPr>
            <w:sdt>
              <w:sdtPr>
                <w:rPr>
                  <w:rFonts w:hint="eastAsia" w:ascii="仿宋" w:hAnsi="仿宋" w:eastAsia="仿宋" w:cs="仿宋"/>
                  <w:color w:val="auto"/>
                  <w:kern w:val="0"/>
                  <w:sz w:val="24"/>
                  <w:highlight w:val="none"/>
                </w:rPr>
                <w:id w:val="147462917"/>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snapToGrid w:val="0"/>
                <w:color w:val="auto"/>
                <w:kern w:val="28"/>
                <w:sz w:val="24"/>
                <w:highlight w:val="none"/>
              </w:rPr>
              <w:t>联合体投标的，联合体各方均需按招标文件第四部分评标标准要求提供资信证明文件，否则视为不符合相关要求。</w:t>
            </w:r>
          </w:p>
          <w:p w14:paraId="012BB704">
            <w:pPr>
              <w:spacing w:line="240" w:lineRule="auto"/>
              <w:jc w:val="left"/>
              <w:rPr>
                <w:rFonts w:hint="eastAsia" w:ascii="仿宋" w:hAnsi="仿宋" w:eastAsia="仿宋" w:cs="仿宋"/>
                <w:snapToGrid w:val="0"/>
                <w:color w:val="auto"/>
                <w:kern w:val="28"/>
                <w:sz w:val="24"/>
                <w:highlight w:val="none"/>
              </w:rPr>
            </w:pPr>
            <w:sdt>
              <w:sdtPr>
                <w:rPr>
                  <w:rFonts w:hint="eastAsia" w:ascii="仿宋" w:hAnsi="仿宋" w:eastAsia="仿宋" w:cs="仿宋"/>
                  <w:color w:val="auto"/>
                  <w:kern w:val="0"/>
                  <w:sz w:val="24"/>
                  <w:highlight w:val="none"/>
                </w:rPr>
                <w:id w:val="147464254"/>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sym w:font="Wingdings" w:char="F0FE"/>
                </w:r>
              </w:sdtContent>
            </w:sdt>
            <w:r>
              <w:rPr>
                <w:rFonts w:hint="eastAsia" w:ascii="仿宋" w:hAnsi="仿宋" w:eastAsia="仿宋" w:cs="仿宋"/>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15BB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10" w:hRule="atLeast"/>
          <w:tblHeader/>
        </w:trPr>
        <w:tc>
          <w:tcPr>
            <w:tcW w:w="365" w:type="pct"/>
            <w:vMerge w:val="continue"/>
            <w:vAlign w:val="center"/>
          </w:tcPr>
          <w:p w14:paraId="28EFB339">
            <w:pPr>
              <w:snapToGrid w:val="0"/>
              <w:spacing w:line="240" w:lineRule="auto"/>
              <w:jc w:val="center"/>
              <w:rPr>
                <w:rFonts w:hint="eastAsia" w:ascii="仿宋" w:hAnsi="仿宋" w:eastAsia="仿宋" w:cs="仿宋"/>
                <w:color w:val="auto"/>
                <w:sz w:val="24"/>
                <w:highlight w:val="none"/>
              </w:rPr>
            </w:pPr>
          </w:p>
        </w:tc>
        <w:tc>
          <w:tcPr>
            <w:tcW w:w="767" w:type="pct"/>
            <w:vMerge w:val="continue"/>
            <w:vAlign w:val="center"/>
          </w:tcPr>
          <w:p w14:paraId="43BA59ED">
            <w:pPr>
              <w:snapToGrid w:val="0"/>
              <w:spacing w:line="240" w:lineRule="auto"/>
              <w:jc w:val="center"/>
              <w:rPr>
                <w:rFonts w:hint="eastAsia" w:ascii="仿宋" w:hAnsi="仿宋" w:eastAsia="仿宋" w:cs="仿宋"/>
                <w:b/>
                <w:color w:val="auto"/>
                <w:sz w:val="24"/>
                <w:highlight w:val="none"/>
              </w:rPr>
            </w:pPr>
          </w:p>
        </w:tc>
        <w:tc>
          <w:tcPr>
            <w:tcW w:w="3866" w:type="pct"/>
            <w:vAlign w:val="center"/>
          </w:tcPr>
          <w:p w14:paraId="53435105">
            <w:pPr>
              <w:spacing w:line="240" w:lineRule="auto"/>
              <w:jc w:val="left"/>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如遇“政府采购云平台”电子化开标或评审程序调整的，按调整后程序执行。</w:t>
            </w:r>
          </w:p>
        </w:tc>
      </w:tr>
      <w:tr w14:paraId="0E4B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365" w:type="pct"/>
            <w:vMerge w:val="continue"/>
            <w:vAlign w:val="center"/>
          </w:tcPr>
          <w:p w14:paraId="1CE47D7A">
            <w:pPr>
              <w:snapToGrid w:val="0"/>
              <w:spacing w:line="240" w:lineRule="auto"/>
              <w:jc w:val="center"/>
              <w:rPr>
                <w:rFonts w:hint="eastAsia" w:ascii="仿宋" w:hAnsi="仿宋" w:eastAsia="仿宋" w:cs="仿宋"/>
                <w:color w:val="auto"/>
                <w:sz w:val="24"/>
                <w:highlight w:val="none"/>
              </w:rPr>
            </w:pPr>
          </w:p>
        </w:tc>
        <w:tc>
          <w:tcPr>
            <w:tcW w:w="767" w:type="pct"/>
            <w:vMerge w:val="continue"/>
            <w:vAlign w:val="center"/>
          </w:tcPr>
          <w:p w14:paraId="3276B925">
            <w:pPr>
              <w:snapToGrid w:val="0"/>
              <w:spacing w:line="240" w:lineRule="auto"/>
              <w:jc w:val="center"/>
              <w:rPr>
                <w:rFonts w:hint="eastAsia" w:ascii="仿宋" w:hAnsi="仿宋" w:eastAsia="仿宋" w:cs="仿宋"/>
                <w:b/>
                <w:color w:val="auto"/>
                <w:sz w:val="24"/>
                <w:highlight w:val="none"/>
              </w:rPr>
            </w:pPr>
          </w:p>
        </w:tc>
        <w:tc>
          <w:tcPr>
            <w:tcW w:w="3866" w:type="pct"/>
            <w:vAlign w:val="center"/>
          </w:tcPr>
          <w:p w14:paraId="2A5E00A2">
            <w:pPr>
              <w:spacing w:line="240" w:lineRule="auto"/>
              <w:jc w:val="left"/>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通过“政府采购云平台”公布开标一览表有关内容后，供应商应通过“政府采购云平台”进行确认，在收到采购人或采购代理机构的通知后仍不予确认的应说明理由，否则视为无异议。</w:t>
            </w:r>
          </w:p>
        </w:tc>
      </w:tr>
      <w:tr w14:paraId="18AB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365" w:type="pct"/>
            <w:vMerge w:val="continue"/>
            <w:vAlign w:val="center"/>
          </w:tcPr>
          <w:p w14:paraId="11BF2295">
            <w:pPr>
              <w:snapToGrid w:val="0"/>
              <w:spacing w:line="240" w:lineRule="auto"/>
              <w:jc w:val="center"/>
              <w:rPr>
                <w:rFonts w:hint="eastAsia" w:ascii="仿宋" w:hAnsi="仿宋" w:eastAsia="仿宋" w:cs="仿宋"/>
                <w:color w:val="auto"/>
                <w:sz w:val="24"/>
                <w:highlight w:val="none"/>
              </w:rPr>
            </w:pPr>
          </w:p>
        </w:tc>
        <w:tc>
          <w:tcPr>
            <w:tcW w:w="767" w:type="pct"/>
            <w:vMerge w:val="continue"/>
            <w:vAlign w:val="center"/>
          </w:tcPr>
          <w:p w14:paraId="3A315010">
            <w:pPr>
              <w:snapToGrid w:val="0"/>
              <w:spacing w:line="240" w:lineRule="auto"/>
              <w:jc w:val="center"/>
              <w:rPr>
                <w:rFonts w:hint="eastAsia" w:ascii="仿宋" w:hAnsi="仿宋" w:eastAsia="仿宋" w:cs="仿宋"/>
                <w:b/>
                <w:color w:val="auto"/>
                <w:sz w:val="24"/>
                <w:highlight w:val="none"/>
              </w:rPr>
            </w:pPr>
          </w:p>
        </w:tc>
        <w:tc>
          <w:tcPr>
            <w:tcW w:w="3866" w:type="pct"/>
            <w:vAlign w:val="center"/>
          </w:tcPr>
          <w:p w14:paraId="7D2C65AF">
            <w:pPr>
              <w:spacing w:line="240" w:lineRule="auto"/>
              <w:jc w:val="left"/>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商务技术文件开启后30分钟内，供应商通过邮件形式将经授权代表签署的《政府采购活动现场确认声明书》（格式见采购</w:t>
            </w:r>
            <w:r>
              <w:rPr>
                <w:rFonts w:hint="eastAsia" w:ascii="仿宋" w:hAnsi="仿宋" w:eastAsia="仿宋" w:cs="仿宋"/>
                <w:snapToGrid w:val="0"/>
                <w:color w:val="auto"/>
                <w:kern w:val="28"/>
                <w:sz w:val="24"/>
                <w:highlight w:val="none"/>
                <w:lang w:val="en-US" w:eastAsia="zh-CN"/>
              </w:rPr>
              <w:t>文件最后一页</w:t>
            </w:r>
            <w:r>
              <w:rPr>
                <w:rFonts w:hint="eastAsia" w:ascii="仿宋" w:hAnsi="仿宋" w:eastAsia="仿宋" w:cs="仿宋"/>
                <w:snapToGrid w:val="0"/>
                <w:color w:val="auto"/>
                <w:kern w:val="28"/>
                <w:sz w:val="24"/>
                <w:highlight w:val="none"/>
              </w:rPr>
              <w:t>）扫描件发至代理机构经办人邮箱（邮箱：</w:t>
            </w:r>
            <w:r>
              <w:rPr>
                <w:rStyle w:val="76"/>
                <w:rFonts w:hint="eastAsia" w:ascii="仿宋" w:hAnsi="仿宋" w:eastAsia="仿宋" w:cs="仿宋"/>
                <w:b/>
                <w:color w:val="auto"/>
                <w:sz w:val="22"/>
                <w:szCs w:val="16"/>
                <w:highlight w:val="none"/>
                <w:u w:val="none"/>
                <w:lang w:val="en-US" w:eastAsia="zh-CN"/>
              </w:rPr>
              <w:t>ZJFYGCZY02@163.com</w:t>
            </w:r>
            <w:r>
              <w:rPr>
                <w:rFonts w:hint="eastAsia" w:ascii="仿宋" w:hAnsi="仿宋" w:eastAsia="仿宋" w:cs="仿宋"/>
                <w:snapToGrid w:val="0"/>
                <w:color w:val="auto"/>
                <w:kern w:val="28"/>
                <w:sz w:val="24"/>
                <w:highlight w:val="none"/>
              </w:rPr>
              <w:t>）。</w:t>
            </w:r>
          </w:p>
          <w:p w14:paraId="20CBE476">
            <w:pPr>
              <w:spacing w:line="240" w:lineRule="auto"/>
              <w:jc w:val="left"/>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说明：不填写或未按规定发出邮件的，视同默认不存在确认声明书中的相关违规情形。</w:t>
            </w:r>
          </w:p>
        </w:tc>
      </w:tr>
      <w:tr w14:paraId="36FA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365" w:type="pct"/>
            <w:vMerge w:val="continue"/>
            <w:vAlign w:val="center"/>
          </w:tcPr>
          <w:p w14:paraId="43D66216">
            <w:pPr>
              <w:snapToGrid w:val="0"/>
              <w:spacing w:line="240" w:lineRule="auto"/>
              <w:jc w:val="center"/>
              <w:rPr>
                <w:rFonts w:hint="eastAsia" w:ascii="仿宋" w:hAnsi="仿宋" w:eastAsia="仿宋" w:cs="仿宋"/>
                <w:color w:val="auto"/>
                <w:sz w:val="24"/>
                <w:highlight w:val="none"/>
              </w:rPr>
            </w:pPr>
          </w:p>
        </w:tc>
        <w:tc>
          <w:tcPr>
            <w:tcW w:w="767" w:type="pct"/>
            <w:vMerge w:val="continue"/>
            <w:vAlign w:val="center"/>
          </w:tcPr>
          <w:p w14:paraId="23569507">
            <w:pPr>
              <w:snapToGrid w:val="0"/>
              <w:spacing w:line="240" w:lineRule="auto"/>
              <w:jc w:val="center"/>
              <w:rPr>
                <w:rFonts w:hint="eastAsia" w:ascii="仿宋" w:hAnsi="仿宋" w:eastAsia="仿宋" w:cs="仿宋"/>
                <w:b/>
                <w:color w:val="auto"/>
                <w:sz w:val="24"/>
                <w:highlight w:val="none"/>
              </w:rPr>
            </w:pPr>
          </w:p>
        </w:tc>
        <w:tc>
          <w:tcPr>
            <w:tcW w:w="3866" w:type="pct"/>
            <w:vAlign w:val="center"/>
          </w:tcPr>
          <w:p w14:paraId="2C77FD05">
            <w:pPr>
              <w:spacing w:line="240" w:lineRule="auto"/>
              <w:jc w:val="left"/>
              <w:rPr>
                <w:rFonts w:hint="eastAsia" w:ascii="仿宋" w:hAnsi="仿宋" w:eastAsia="仿宋" w:cs="仿宋"/>
                <w:snapToGrid w:val="0"/>
                <w:color w:val="auto"/>
                <w:kern w:val="28"/>
                <w:sz w:val="24"/>
                <w:highlight w:val="none"/>
              </w:rPr>
            </w:pPr>
            <w:r>
              <w:rPr>
                <w:rFonts w:hint="eastAsia" w:ascii="仿宋" w:hAnsi="仿宋" w:eastAsia="仿宋" w:cs="仿宋"/>
                <w:b/>
                <w:bCs/>
                <w:snapToGrid w:val="0"/>
                <w:color w:val="auto"/>
                <w:kern w:val="28"/>
                <w:sz w:val="24"/>
                <w:highlight w:val="none"/>
              </w:rPr>
              <w:t>根据浙财采监〔2025〕2号文件，在评审结束后、合同签订前，采购人、采购代理机构将通过网站查询、原件核对等方式对中标（成交）供应商在投标（响应）文件中涉及客观分评审内容的检测报告、认证证书等资料的真实性进行复核，复核情况详细记录，并纳入采购档案。发现供应商提供虚假材料的，书面报告本级财政部门。</w:t>
            </w:r>
          </w:p>
        </w:tc>
      </w:tr>
      <w:tr w14:paraId="7D41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3" w:hRule="atLeast"/>
          <w:tblHeader/>
        </w:trPr>
        <w:tc>
          <w:tcPr>
            <w:tcW w:w="365" w:type="pct"/>
            <w:vMerge w:val="continue"/>
            <w:vAlign w:val="center"/>
          </w:tcPr>
          <w:p w14:paraId="3F07751C">
            <w:pPr>
              <w:snapToGrid w:val="0"/>
              <w:spacing w:line="240" w:lineRule="auto"/>
              <w:jc w:val="center"/>
              <w:rPr>
                <w:rFonts w:hint="eastAsia" w:ascii="仿宋" w:hAnsi="仿宋" w:eastAsia="仿宋" w:cs="仿宋"/>
                <w:color w:val="auto"/>
                <w:sz w:val="24"/>
                <w:highlight w:val="none"/>
              </w:rPr>
            </w:pPr>
          </w:p>
        </w:tc>
        <w:tc>
          <w:tcPr>
            <w:tcW w:w="767" w:type="pct"/>
            <w:vMerge w:val="continue"/>
            <w:vAlign w:val="center"/>
          </w:tcPr>
          <w:p w14:paraId="44444779">
            <w:pPr>
              <w:snapToGrid w:val="0"/>
              <w:spacing w:line="240" w:lineRule="auto"/>
              <w:jc w:val="center"/>
              <w:rPr>
                <w:rFonts w:hint="eastAsia" w:ascii="仿宋" w:hAnsi="仿宋" w:eastAsia="仿宋" w:cs="仿宋"/>
                <w:b/>
                <w:color w:val="auto"/>
                <w:sz w:val="24"/>
                <w:highlight w:val="none"/>
              </w:rPr>
            </w:pPr>
          </w:p>
        </w:tc>
        <w:tc>
          <w:tcPr>
            <w:tcW w:w="3866" w:type="pct"/>
            <w:vAlign w:val="center"/>
          </w:tcPr>
          <w:p w14:paraId="3A963042">
            <w:pPr>
              <w:spacing w:line="240" w:lineRule="auto"/>
              <w:jc w:val="left"/>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评审因素对应的要求视为采购需求的一部分</w:t>
            </w:r>
            <w:r>
              <w:rPr>
                <w:rFonts w:hint="eastAsia" w:ascii="仿宋" w:hAnsi="仿宋" w:eastAsia="仿宋" w:cs="仿宋"/>
                <w:snapToGrid w:val="0"/>
                <w:color w:val="auto"/>
                <w:kern w:val="28"/>
                <w:sz w:val="24"/>
                <w:highlight w:val="none"/>
                <w:lang w:eastAsia="zh-CN"/>
              </w:rPr>
              <w:t>。</w:t>
            </w:r>
          </w:p>
        </w:tc>
      </w:tr>
      <w:tr w14:paraId="73CF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365" w:type="pct"/>
            <w:vMerge w:val="continue"/>
            <w:vAlign w:val="center"/>
          </w:tcPr>
          <w:p w14:paraId="586EEB04">
            <w:pPr>
              <w:snapToGrid w:val="0"/>
              <w:spacing w:line="240" w:lineRule="auto"/>
              <w:jc w:val="center"/>
              <w:rPr>
                <w:rFonts w:hint="eastAsia" w:ascii="仿宋" w:hAnsi="仿宋" w:eastAsia="仿宋" w:cs="仿宋"/>
                <w:color w:val="auto"/>
                <w:sz w:val="24"/>
                <w:highlight w:val="none"/>
              </w:rPr>
            </w:pPr>
          </w:p>
        </w:tc>
        <w:tc>
          <w:tcPr>
            <w:tcW w:w="767" w:type="pct"/>
            <w:vMerge w:val="continue"/>
            <w:vAlign w:val="center"/>
          </w:tcPr>
          <w:p w14:paraId="341665F2">
            <w:pPr>
              <w:snapToGrid w:val="0"/>
              <w:spacing w:line="240" w:lineRule="auto"/>
              <w:jc w:val="center"/>
              <w:rPr>
                <w:rFonts w:hint="eastAsia" w:ascii="仿宋" w:hAnsi="仿宋" w:eastAsia="仿宋" w:cs="仿宋"/>
                <w:b/>
                <w:color w:val="auto"/>
                <w:sz w:val="24"/>
                <w:highlight w:val="none"/>
              </w:rPr>
            </w:pPr>
          </w:p>
        </w:tc>
        <w:tc>
          <w:tcPr>
            <w:tcW w:w="3866" w:type="pct"/>
            <w:vAlign w:val="center"/>
          </w:tcPr>
          <w:p w14:paraId="75E272B9">
            <w:pPr>
              <w:spacing w:line="240" w:lineRule="auto"/>
              <w:jc w:val="left"/>
              <w:rPr>
                <w:rFonts w:hint="eastAsia" w:ascii="仿宋" w:hAnsi="仿宋" w:eastAsia="仿宋" w:cs="仿宋"/>
                <w:snapToGrid w:val="0"/>
                <w:color w:val="auto"/>
                <w:kern w:val="28"/>
                <w:sz w:val="24"/>
                <w:highlight w:val="none"/>
              </w:rPr>
            </w:pPr>
            <w:r>
              <w:rPr>
                <w:rFonts w:hint="eastAsia" w:ascii="仿宋" w:hAnsi="仿宋" w:eastAsia="仿宋" w:cs="仿宋"/>
                <w:color w:val="auto"/>
                <w:sz w:val="24"/>
                <w:highlight w:val="none"/>
                <w:lang w:bidi="ar"/>
              </w:rPr>
              <w:t>中标供应商在领取中标通知书时提供纸质投标文件三份（电子投标文件打印，装订成册，采用胶订或线订；封面再加盖单位公章（物理章）</w:t>
            </w:r>
            <w:r>
              <w:rPr>
                <w:rFonts w:hint="eastAsia" w:ascii="仿宋" w:hAnsi="仿宋" w:eastAsia="仿宋" w:cs="仿宋"/>
                <w:color w:val="auto"/>
                <w:sz w:val="24"/>
                <w:szCs w:val="24"/>
                <w:highlight w:val="none"/>
              </w:rPr>
              <w:t>。</w:t>
            </w:r>
          </w:p>
        </w:tc>
      </w:tr>
      <w:tr w14:paraId="0094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365" w:type="pct"/>
            <w:vMerge w:val="continue"/>
            <w:vAlign w:val="center"/>
          </w:tcPr>
          <w:p w14:paraId="2A5D7CE0">
            <w:pPr>
              <w:snapToGrid w:val="0"/>
              <w:spacing w:line="240" w:lineRule="auto"/>
              <w:jc w:val="center"/>
              <w:rPr>
                <w:rFonts w:hint="eastAsia" w:ascii="仿宋" w:hAnsi="仿宋" w:eastAsia="仿宋" w:cs="仿宋"/>
                <w:color w:val="auto"/>
                <w:sz w:val="24"/>
                <w:highlight w:val="none"/>
              </w:rPr>
            </w:pPr>
          </w:p>
        </w:tc>
        <w:tc>
          <w:tcPr>
            <w:tcW w:w="767" w:type="pct"/>
            <w:vMerge w:val="continue"/>
            <w:vAlign w:val="center"/>
          </w:tcPr>
          <w:p w14:paraId="0C5D11E1">
            <w:pPr>
              <w:snapToGrid w:val="0"/>
              <w:spacing w:line="240" w:lineRule="auto"/>
              <w:jc w:val="center"/>
              <w:rPr>
                <w:rFonts w:hint="eastAsia" w:ascii="仿宋" w:hAnsi="仿宋" w:eastAsia="仿宋" w:cs="仿宋"/>
                <w:b/>
                <w:color w:val="auto"/>
                <w:sz w:val="24"/>
                <w:highlight w:val="none"/>
              </w:rPr>
            </w:pPr>
          </w:p>
        </w:tc>
        <w:tc>
          <w:tcPr>
            <w:tcW w:w="3866" w:type="pct"/>
            <w:vAlign w:val="center"/>
          </w:tcPr>
          <w:p w14:paraId="25E8F04F">
            <w:pPr>
              <w:pStyle w:val="32"/>
              <w:keepNext w:val="0"/>
              <w:keepLines w:val="0"/>
              <w:suppressLineNumbers w:val="0"/>
              <w:wordWrap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投标文件存在下列情况之一的，视为撤回：</w:t>
            </w:r>
          </w:p>
          <w:p w14:paraId="53C950C0">
            <w:pPr>
              <w:pStyle w:val="32"/>
              <w:keepNext w:val="0"/>
              <w:keepLines w:val="0"/>
              <w:suppressLineNumbers w:val="0"/>
              <w:wordWrap w:val="0"/>
              <w:spacing w:before="0" w:beforeAutospacing="0" w:after="0" w:afterAutospacing="0" w:line="240" w:lineRule="auto"/>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（1）电子投标文件（含备份文件）无法解密的；</w:t>
            </w:r>
          </w:p>
          <w:p w14:paraId="610E9096">
            <w:pPr>
              <w:pStyle w:val="32"/>
              <w:keepNext w:val="0"/>
              <w:keepLines w:val="0"/>
              <w:suppressLineNumbers w:val="0"/>
              <w:wordWrap w:val="0"/>
              <w:spacing w:before="0" w:beforeAutospacing="0" w:after="0" w:afterAutospacing="0" w:line="240" w:lineRule="auto"/>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（2）投标文件未按时解密或备份文件无法成功导入的；</w:t>
            </w:r>
          </w:p>
          <w:p w14:paraId="7C1560B3">
            <w:pPr>
              <w:spacing w:line="240" w:lineRule="auto"/>
              <w:jc w:val="left"/>
              <w:rPr>
                <w:rFonts w:hint="eastAsia" w:ascii="仿宋" w:hAnsi="仿宋" w:eastAsia="仿宋" w:cs="仿宋"/>
                <w:snapToGrid w:val="0"/>
                <w:color w:val="auto"/>
                <w:kern w:val="28"/>
                <w:sz w:val="24"/>
                <w:highlight w:val="none"/>
              </w:rPr>
            </w:pPr>
            <w:r>
              <w:rPr>
                <w:rFonts w:hint="eastAsia" w:ascii="仿宋" w:hAnsi="仿宋" w:eastAsia="仿宋" w:cs="仿宋"/>
                <w:color w:val="auto"/>
                <w:sz w:val="24"/>
                <w:highlight w:val="none"/>
              </w:rPr>
              <w:t>（3）投标截止时间前，投标人仅递交了“备份投标文件”而未将“电子加密投标文件”成功上传至“政府采购云平台”的。</w:t>
            </w:r>
          </w:p>
        </w:tc>
      </w:tr>
      <w:tr w14:paraId="525B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365" w:type="pct"/>
            <w:vMerge w:val="continue"/>
            <w:vAlign w:val="center"/>
          </w:tcPr>
          <w:p w14:paraId="7E4163F9">
            <w:pPr>
              <w:pStyle w:val="61"/>
              <w:jc w:val="center"/>
              <w:rPr>
                <w:rFonts w:hint="eastAsia"/>
                <w:color w:val="auto"/>
                <w:highlight w:val="none"/>
              </w:rPr>
            </w:pPr>
          </w:p>
        </w:tc>
        <w:tc>
          <w:tcPr>
            <w:tcW w:w="767" w:type="pct"/>
            <w:vMerge w:val="continue"/>
            <w:vAlign w:val="center"/>
          </w:tcPr>
          <w:p w14:paraId="17B37849">
            <w:pPr>
              <w:snapToGrid w:val="0"/>
              <w:spacing w:line="240" w:lineRule="auto"/>
              <w:jc w:val="center"/>
              <w:rPr>
                <w:rFonts w:hint="eastAsia" w:ascii="仿宋" w:hAnsi="仿宋" w:eastAsia="仿宋" w:cs="仿宋"/>
                <w:b/>
                <w:color w:val="auto"/>
                <w:sz w:val="24"/>
                <w:highlight w:val="none"/>
              </w:rPr>
            </w:pPr>
          </w:p>
        </w:tc>
        <w:tc>
          <w:tcPr>
            <w:tcW w:w="3866" w:type="pct"/>
            <w:vAlign w:val="center"/>
          </w:tcPr>
          <w:p w14:paraId="0009C0CD">
            <w:pPr>
              <w:pStyle w:val="32"/>
              <w:keepNext w:val="0"/>
              <w:keepLines w:val="0"/>
              <w:suppressLineNumbers w:val="0"/>
              <w:wordWrap w:val="0"/>
              <w:spacing w:before="0" w:beforeAutospacing="0" w:after="0" w:afterAutospacing="0" w:line="240" w:lineRule="auto"/>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政采云平台项目采购系统目前获取并在开标（开启）阶段展示投标（响应）供应商投标客户端制作投标（响应）文件的IP、MAC、设备硬件等信息，并对IP、MAC、投标手机号等信息重复的供应商进行标红。</w:t>
            </w:r>
          </w:p>
          <w:p w14:paraId="5FA73E57">
            <w:pPr>
              <w:pStyle w:val="32"/>
              <w:keepNext w:val="0"/>
              <w:keepLines w:val="0"/>
              <w:suppressLineNumbers w:val="0"/>
              <w:wordWrap w:val="0"/>
              <w:spacing w:before="0" w:beforeAutospacing="0" w:after="0" w:afterAutospacing="0" w:line="240" w:lineRule="auto"/>
              <w:ind w:left="0" w:leftChars="0" w:right="0" w:rightChars="0"/>
              <w:jc w:val="left"/>
              <w:rPr>
                <w:rFonts w:hint="eastAsia" w:ascii="仿宋" w:hAnsi="仿宋" w:eastAsia="仿宋" w:cs="仿宋"/>
                <w:snapToGrid w:val="0"/>
                <w:color w:val="auto"/>
                <w:kern w:val="2"/>
                <w:sz w:val="24"/>
                <w:szCs w:val="24"/>
                <w:highlight w:val="none"/>
              </w:rPr>
            </w:pPr>
            <w:r>
              <w:rPr>
                <w:rFonts w:hint="eastAsia" w:ascii="仿宋" w:hAnsi="仿宋" w:eastAsia="仿宋" w:cs="仿宋"/>
                <w:color w:val="auto"/>
                <w:sz w:val="24"/>
                <w:szCs w:val="24"/>
                <w:highlight w:val="none"/>
              </w:rPr>
              <w:t>（注：投标手机号是上传投标文件时的手机号信息。每次上传记录均获取）。</w:t>
            </w:r>
          </w:p>
        </w:tc>
      </w:tr>
      <w:tr w14:paraId="20A2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365" w:type="pct"/>
            <w:vAlign w:val="center"/>
          </w:tcPr>
          <w:p w14:paraId="5EB74C6A">
            <w:pPr>
              <w:snapToGrid w:val="0"/>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w:t>
            </w:r>
          </w:p>
        </w:tc>
        <w:tc>
          <w:tcPr>
            <w:tcW w:w="767" w:type="pct"/>
            <w:vAlign w:val="center"/>
          </w:tcPr>
          <w:p w14:paraId="460BD7F0">
            <w:pPr>
              <w:snapToGrid w:val="0"/>
              <w:spacing w:line="240" w:lineRule="auto"/>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 w:eastAsia="zh-CN"/>
              </w:rPr>
              <w:t>代理费用收取方式及标准</w:t>
            </w:r>
          </w:p>
        </w:tc>
        <w:tc>
          <w:tcPr>
            <w:tcW w:w="3866" w:type="pct"/>
            <w:vAlign w:val="center"/>
          </w:tcPr>
          <w:p w14:paraId="1DABBF16">
            <w:pPr>
              <w:pStyle w:val="32"/>
              <w:spacing w:line="24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val="en-US" w:eastAsia="zh-CN"/>
              </w:rPr>
              <w:t>采购代理服务费：</w:t>
            </w:r>
            <w:r>
              <w:rPr>
                <w:rFonts w:hint="eastAsia" w:ascii="仿宋" w:hAnsi="仿宋" w:eastAsia="仿宋" w:cs="仿宋"/>
                <w:color w:val="auto"/>
                <w:sz w:val="24"/>
                <w:szCs w:val="24"/>
                <w:highlight w:val="none"/>
              </w:rPr>
              <w:t>本项目代理服务费按照下表服务类收费标准</w:t>
            </w:r>
            <w:r>
              <w:rPr>
                <w:rFonts w:hint="eastAsia" w:ascii="仿宋" w:hAnsi="仿宋" w:eastAsia="仿宋" w:cs="仿宋"/>
                <w:color w:val="auto"/>
                <w:sz w:val="24"/>
                <w:szCs w:val="24"/>
                <w:highlight w:val="none"/>
                <w:lang w:val="en-US" w:eastAsia="zh-CN"/>
              </w:rPr>
              <w:t>以</w:t>
            </w:r>
            <w:r>
              <w:rPr>
                <w:rFonts w:hint="eastAsia" w:ascii="仿宋" w:hAnsi="仿宋" w:eastAsia="仿宋" w:cs="仿宋"/>
                <w:color w:val="auto"/>
                <w:sz w:val="24"/>
                <w:szCs w:val="24"/>
                <w:highlight w:val="none"/>
              </w:rPr>
              <w:t>差额定率累进法计算</w:t>
            </w:r>
            <w:r>
              <w:rPr>
                <w:rFonts w:hint="eastAsia" w:ascii="仿宋" w:hAnsi="仿宋" w:eastAsia="仿宋" w:cs="仿宋"/>
                <w:color w:val="auto"/>
                <w:sz w:val="24"/>
                <w:szCs w:val="24"/>
                <w:highlight w:val="none"/>
                <w:lang w:eastAsia="zh-CN"/>
              </w:rPr>
              <w:t>；</w:t>
            </w:r>
            <w:r>
              <w:rPr>
                <w:rFonts w:hint="eastAsia" w:ascii="仿宋" w:hAnsi="仿宋" w:eastAsia="仿宋"/>
                <w:color w:val="auto"/>
                <w:kern w:val="28"/>
                <w:sz w:val="24"/>
                <w:szCs w:val="24"/>
                <w:highlight w:val="none"/>
              </w:rPr>
              <w:t>以上费用，</w:t>
            </w:r>
            <w:r>
              <w:rPr>
                <w:rFonts w:hint="eastAsia" w:ascii="仿宋" w:hAnsi="仿宋" w:eastAsia="仿宋"/>
                <w:color w:val="auto"/>
                <w:kern w:val="28"/>
                <w:sz w:val="24"/>
                <w:szCs w:val="24"/>
                <w:highlight w:val="none"/>
                <w:lang w:val="en-US" w:eastAsia="zh-CN"/>
              </w:rPr>
              <w:t>中</w:t>
            </w:r>
            <w:r>
              <w:rPr>
                <w:rFonts w:hint="eastAsia" w:ascii="仿宋" w:hAnsi="仿宋" w:eastAsia="仿宋"/>
                <w:color w:val="auto"/>
                <w:kern w:val="28"/>
                <w:sz w:val="24"/>
                <w:szCs w:val="24"/>
                <w:highlight w:val="none"/>
              </w:rPr>
              <w:t>标人应当自中标结果公告发布之日起5个工作日内一次性向采购代理机构支付。</w:t>
            </w:r>
          </w:p>
          <w:tbl>
            <w:tblPr>
              <w:tblStyle w:val="62"/>
              <w:tblW w:w="47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078"/>
              <w:gridCol w:w="1042"/>
              <w:gridCol w:w="1042"/>
              <w:gridCol w:w="1030"/>
            </w:tblGrid>
            <w:tr w14:paraId="13E4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5636" w:type="dxa"/>
                  <w:tcBorders>
                    <w:tl2br w:val="nil"/>
                    <w:tr2bl w:val="nil"/>
                  </w:tcBorders>
                  <w:shd w:val="clear" w:color="auto" w:fill="auto"/>
                  <w:noWrap w:val="0"/>
                  <w:vAlign w:val="center"/>
                </w:tcPr>
                <w:p w14:paraId="7B051B3C">
                  <w:pPr>
                    <w:pStyle w:val="32"/>
                    <w:keepNext w:val="0"/>
                    <w:keepLines w:val="0"/>
                    <w:suppressLineNumbers w:val="0"/>
                    <w:wordWrap w:val="0"/>
                    <w:spacing w:before="0" w:beforeAutospacing="0" w:after="0" w:afterAutospacing="0" w:line="240" w:lineRule="auto"/>
                    <w:ind w:left="0" w:leftChars="0" w:right="0" w:righ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服务类型     中标金额（万元）</w:t>
                  </w:r>
                </w:p>
              </w:tc>
              <w:tc>
                <w:tcPr>
                  <w:tcW w:w="1388" w:type="dxa"/>
                  <w:tcBorders>
                    <w:tl2br w:val="nil"/>
                    <w:tr2bl w:val="nil"/>
                  </w:tcBorders>
                  <w:shd w:val="clear" w:color="auto" w:fill="auto"/>
                  <w:noWrap w:val="0"/>
                  <w:vAlign w:val="center"/>
                </w:tcPr>
                <w:p w14:paraId="73DDDAC0">
                  <w:pPr>
                    <w:pStyle w:val="32"/>
                    <w:keepNext w:val="0"/>
                    <w:keepLines w:val="0"/>
                    <w:suppressLineNumbers w:val="0"/>
                    <w:wordWrap w:val="0"/>
                    <w:spacing w:before="0" w:beforeAutospacing="0" w:after="0" w:afterAutospacing="0" w:line="240" w:lineRule="auto"/>
                    <w:ind w:left="0" w:leftChars="0" w:right="0" w:righ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货物招标</w:t>
                  </w:r>
                </w:p>
              </w:tc>
              <w:tc>
                <w:tcPr>
                  <w:tcW w:w="1388" w:type="dxa"/>
                  <w:tcBorders>
                    <w:tl2br w:val="nil"/>
                    <w:tr2bl w:val="nil"/>
                  </w:tcBorders>
                  <w:shd w:val="clear" w:color="auto" w:fill="auto"/>
                  <w:noWrap w:val="0"/>
                  <w:vAlign w:val="center"/>
                </w:tcPr>
                <w:p w14:paraId="0E565497">
                  <w:pPr>
                    <w:pStyle w:val="32"/>
                    <w:keepNext w:val="0"/>
                    <w:keepLines w:val="0"/>
                    <w:suppressLineNumbers w:val="0"/>
                    <w:wordWrap w:val="0"/>
                    <w:spacing w:before="0" w:beforeAutospacing="0" w:after="0" w:afterAutospacing="0" w:line="240" w:lineRule="auto"/>
                    <w:ind w:left="0" w:leftChars="0" w:right="0" w:righ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服务招标</w:t>
                  </w:r>
                </w:p>
              </w:tc>
              <w:tc>
                <w:tcPr>
                  <w:tcW w:w="1371" w:type="dxa"/>
                  <w:tcBorders>
                    <w:tl2br w:val="nil"/>
                    <w:tr2bl w:val="nil"/>
                  </w:tcBorders>
                  <w:shd w:val="clear" w:color="auto" w:fill="auto"/>
                  <w:noWrap w:val="0"/>
                  <w:vAlign w:val="center"/>
                </w:tcPr>
                <w:p w14:paraId="365E74AE">
                  <w:pPr>
                    <w:pStyle w:val="32"/>
                    <w:keepNext w:val="0"/>
                    <w:keepLines w:val="0"/>
                    <w:suppressLineNumbers w:val="0"/>
                    <w:wordWrap w:val="0"/>
                    <w:spacing w:before="0" w:beforeAutospacing="0" w:after="0" w:afterAutospacing="0" w:line="240" w:lineRule="auto"/>
                    <w:ind w:left="0" w:leftChars="0" w:right="0" w:righ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工程招标</w:t>
                  </w:r>
                </w:p>
              </w:tc>
            </w:tr>
            <w:tr w14:paraId="50FE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5636" w:type="dxa"/>
                  <w:tcBorders>
                    <w:tl2br w:val="nil"/>
                    <w:tr2bl w:val="nil"/>
                  </w:tcBorders>
                  <w:shd w:val="clear" w:color="auto" w:fill="auto"/>
                  <w:noWrap w:val="0"/>
                  <w:vAlign w:val="center"/>
                </w:tcPr>
                <w:p w14:paraId="28CFCFFD">
                  <w:pPr>
                    <w:pStyle w:val="32"/>
                    <w:keepNext w:val="0"/>
                    <w:keepLines w:val="0"/>
                    <w:suppressLineNumbers w:val="0"/>
                    <w:wordWrap w:val="0"/>
                    <w:spacing w:before="0" w:beforeAutospacing="0" w:after="0" w:afterAutospacing="0" w:line="240" w:lineRule="auto"/>
                    <w:ind w:left="0" w:leftChars="0" w:right="0" w:righ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100以下</w:t>
                  </w:r>
                </w:p>
              </w:tc>
              <w:tc>
                <w:tcPr>
                  <w:tcW w:w="1388" w:type="dxa"/>
                  <w:tcBorders>
                    <w:tl2br w:val="nil"/>
                    <w:tr2bl w:val="nil"/>
                  </w:tcBorders>
                  <w:shd w:val="clear" w:color="auto" w:fill="auto"/>
                  <w:noWrap w:val="0"/>
                  <w:vAlign w:val="center"/>
                </w:tcPr>
                <w:p w14:paraId="47A934A2">
                  <w:pPr>
                    <w:pStyle w:val="32"/>
                    <w:keepNext w:val="0"/>
                    <w:keepLines w:val="0"/>
                    <w:suppressLineNumbers w:val="0"/>
                    <w:wordWrap w:val="0"/>
                    <w:spacing w:before="0" w:beforeAutospacing="0" w:after="0" w:afterAutospacing="0" w:line="240" w:lineRule="auto"/>
                    <w:ind w:left="0" w:leftChars="0" w:right="0" w:righ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388" w:type="dxa"/>
                  <w:tcBorders>
                    <w:tl2br w:val="nil"/>
                    <w:tr2bl w:val="nil"/>
                  </w:tcBorders>
                  <w:shd w:val="clear" w:color="auto" w:fill="auto"/>
                  <w:noWrap w:val="0"/>
                  <w:vAlign w:val="center"/>
                </w:tcPr>
                <w:p w14:paraId="450BF143">
                  <w:pPr>
                    <w:pStyle w:val="32"/>
                    <w:keepNext w:val="0"/>
                    <w:keepLines w:val="0"/>
                    <w:suppressLineNumbers w:val="0"/>
                    <w:wordWrap w:val="0"/>
                    <w:spacing w:before="0" w:beforeAutospacing="0" w:after="0" w:afterAutospacing="0" w:line="240" w:lineRule="auto"/>
                    <w:ind w:left="0" w:leftChars="0" w:right="0" w:righ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371" w:type="dxa"/>
                  <w:tcBorders>
                    <w:tl2br w:val="nil"/>
                    <w:tr2bl w:val="nil"/>
                  </w:tcBorders>
                  <w:shd w:val="clear" w:color="auto" w:fill="auto"/>
                  <w:noWrap w:val="0"/>
                  <w:vAlign w:val="center"/>
                </w:tcPr>
                <w:p w14:paraId="143A45AA">
                  <w:pPr>
                    <w:pStyle w:val="32"/>
                    <w:keepNext w:val="0"/>
                    <w:keepLines w:val="0"/>
                    <w:suppressLineNumbers w:val="0"/>
                    <w:wordWrap w:val="0"/>
                    <w:spacing w:before="0" w:beforeAutospacing="0" w:after="0" w:afterAutospacing="0" w:line="240" w:lineRule="auto"/>
                    <w:ind w:left="0" w:leftChars="0" w:right="0" w:righ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4CF9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jc w:val="center"/>
              </w:trPr>
              <w:tc>
                <w:tcPr>
                  <w:tcW w:w="5636" w:type="dxa"/>
                  <w:tcBorders>
                    <w:tl2br w:val="nil"/>
                    <w:tr2bl w:val="nil"/>
                  </w:tcBorders>
                  <w:shd w:val="clear" w:color="auto" w:fill="auto"/>
                  <w:noWrap w:val="0"/>
                  <w:vAlign w:val="center"/>
                </w:tcPr>
                <w:p w14:paraId="02590F73">
                  <w:pPr>
                    <w:pStyle w:val="32"/>
                    <w:keepNext w:val="0"/>
                    <w:keepLines w:val="0"/>
                    <w:suppressLineNumbers w:val="0"/>
                    <w:wordWrap w:val="0"/>
                    <w:spacing w:before="0" w:beforeAutospacing="0" w:after="0" w:afterAutospacing="0" w:line="240" w:lineRule="auto"/>
                    <w:ind w:left="0" w:leftChars="0" w:right="0" w:righ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100—500</w:t>
                  </w:r>
                </w:p>
              </w:tc>
              <w:tc>
                <w:tcPr>
                  <w:tcW w:w="1388" w:type="dxa"/>
                  <w:tcBorders>
                    <w:tl2br w:val="nil"/>
                    <w:tr2bl w:val="nil"/>
                  </w:tcBorders>
                  <w:shd w:val="clear" w:color="auto" w:fill="auto"/>
                  <w:noWrap w:val="0"/>
                  <w:vAlign w:val="center"/>
                </w:tcPr>
                <w:p w14:paraId="07B7862F">
                  <w:pPr>
                    <w:pStyle w:val="32"/>
                    <w:keepNext w:val="0"/>
                    <w:keepLines w:val="0"/>
                    <w:suppressLineNumbers w:val="0"/>
                    <w:wordWrap w:val="0"/>
                    <w:spacing w:before="0" w:beforeAutospacing="0" w:after="0" w:afterAutospacing="0" w:line="240" w:lineRule="auto"/>
                    <w:ind w:left="0" w:leftChars="0" w:right="0" w:righ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388" w:type="dxa"/>
                  <w:tcBorders>
                    <w:tl2br w:val="nil"/>
                    <w:tr2bl w:val="nil"/>
                  </w:tcBorders>
                  <w:shd w:val="clear" w:color="auto" w:fill="auto"/>
                  <w:noWrap w:val="0"/>
                  <w:vAlign w:val="center"/>
                </w:tcPr>
                <w:p w14:paraId="44D03F26">
                  <w:pPr>
                    <w:pStyle w:val="32"/>
                    <w:keepNext w:val="0"/>
                    <w:keepLines w:val="0"/>
                    <w:suppressLineNumbers w:val="0"/>
                    <w:wordWrap w:val="0"/>
                    <w:spacing w:before="0" w:beforeAutospacing="0" w:after="0" w:afterAutospacing="0" w:line="240" w:lineRule="auto"/>
                    <w:ind w:left="0" w:leftChars="0" w:right="0" w:righ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0.8%</w:t>
                  </w:r>
                </w:p>
              </w:tc>
              <w:tc>
                <w:tcPr>
                  <w:tcW w:w="1371" w:type="dxa"/>
                  <w:tcBorders>
                    <w:tl2br w:val="nil"/>
                    <w:tr2bl w:val="nil"/>
                  </w:tcBorders>
                  <w:shd w:val="clear" w:color="auto" w:fill="auto"/>
                  <w:noWrap w:val="0"/>
                  <w:vAlign w:val="center"/>
                </w:tcPr>
                <w:p w14:paraId="76601996">
                  <w:pPr>
                    <w:pStyle w:val="32"/>
                    <w:keepNext w:val="0"/>
                    <w:keepLines w:val="0"/>
                    <w:suppressLineNumbers w:val="0"/>
                    <w:wordWrap w:val="0"/>
                    <w:spacing w:before="0" w:beforeAutospacing="0" w:after="0" w:afterAutospacing="0" w:line="240" w:lineRule="auto"/>
                    <w:ind w:left="0" w:leftChars="0" w:right="0" w:righ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0.7%</w:t>
                  </w:r>
                </w:p>
              </w:tc>
            </w:tr>
          </w:tbl>
          <w:p w14:paraId="15632E1C">
            <w:pPr>
              <w:pStyle w:val="32"/>
              <w:wordWrap w:val="0"/>
              <w:spacing w:line="240" w:lineRule="auto"/>
              <w:jc w:val="left"/>
              <w:rPr>
                <w:rFonts w:hint="eastAsia" w:ascii="仿宋" w:hAnsi="仿宋" w:eastAsia="仿宋" w:cs="仿宋"/>
                <w:color w:val="auto"/>
                <w:kern w:val="2"/>
                <w:sz w:val="24"/>
                <w:szCs w:val="24"/>
                <w:highlight w:val="none"/>
                <w:lang w:val="en" w:eastAsia="zh-CN"/>
              </w:rPr>
            </w:pP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b/>
                <w:bCs/>
                <w:color w:val="auto"/>
                <w:sz w:val="24"/>
                <w:szCs w:val="24"/>
                <w:highlight w:val="none"/>
                <w:lang w:val="en"/>
              </w:rPr>
              <w:t>由于中标供应商原因导致重新采购的，应当承担支付代理费和专家评审费等费用在内的赔偿责任</w:t>
            </w:r>
            <w:r>
              <w:rPr>
                <w:rFonts w:hint="eastAsia" w:ascii="仿宋" w:hAnsi="仿宋" w:eastAsia="仿宋" w:cs="仿宋"/>
                <w:b/>
                <w:bCs/>
                <w:color w:val="auto"/>
                <w:sz w:val="24"/>
                <w:szCs w:val="24"/>
                <w:highlight w:val="none"/>
                <w:lang w:val="en-US" w:eastAsia="zh-CN"/>
              </w:rPr>
              <w:t>。</w:t>
            </w:r>
          </w:p>
        </w:tc>
      </w:tr>
    </w:tbl>
    <w:p w14:paraId="7BB1C5F6">
      <w:pPr>
        <w:adjustRightInd/>
        <w:spacing w:line="360" w:lineRule="auto"/>
        <w:ind w:firstLine="3845" w:firstLineChars="1197"/>
        <w:outlineLvl w:val="0"/>
        <w:rPr>
          <w:rFonts w:hint="eastAsia" w:ascii="仿宋" w:hAnsi="仿宋" w:eastAsia="仿宋" w:cs="仿宋"/>
          <w:b/>
          <w:color w:val="auto"/>
          <w:sz w:val="32"/>
          <w:szCs w:val="20"/>
          <w:highlight w:val="none"/>
        </w:rPr>
        <w:sectPr>
          <w:pgSz w:w="11905" w:h="16838"/>
          <w:pgMar w:top="1440" w:right="1083" w:bottom="1440" w:left="1083" w:header="850" w:footer="992" w:gutter="0"/>
          <w:cols w:space="0" w:num="1"/>
          <w:titlePg/>
          <w:rtlGutter w:val="0"/>
          <w:docGrid w:linePitch="312" w:charSpace="0"/>
        </w:sectPr>
      </w:pPr>
    </w:p>
    <w:p w14:paraId="54AE1D3F">
      <w:pPr>
        <w:pStyle w:val="5"/>
        <w:adjustRightInd/>
        <w:ind w:left="0" w:hanging="722" w:hangingChars="257"/>
        <w:outlineLvl w:val="0"/>
        <w:rPr>
          <w:rFonts w:hint="default"/>
          <w:color w:val="auto"/>
          <w:highlight w:val="none"/>
        </w:rPr>
      </w:pPr>
      <w:r>
        <w:rPr>
          <w:rFonts w:hint="default"/>
          <w:color w:val="auto"/>
          <w:highlight w:val="none"/>
        </w:rPr>
        <w:t>一、总则</w:t>
      </w:r>
    </w:p>
    <w:p w14:paraId="266B39F0">
      <w:pPr>
        <w:pStyle w:val="6"/>
        <w:ind w:firstLineChars="100"/>
        <w:rPr>
          <w:rFonts w:hint="default"/>
          <w:color w:val="auto"/>
          <w:highlight w:val="none"/>
        </w:rPr>
      </w:pPr>
      <w:r>
        <w:rPr>
          <w:rFonts w:hint="default"/>
          <w:color w:val="auto"/>
          <w:highlight w:val="none"/>
        </w:rPr>
        <w:t>1.适用范围</w:t>
      </w:r>
    </w:p>
    <w:p w14:paraId="092E9C4F">
      <w:pPr>
        <w:snapToGrid w:val="0"/>
        <w:spacing w:beforeLines="0"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本招标文件适用于该项目的招标、投标、开标、资格审查及信用信息查询、评标、定标、合同、验收等行为（法律、法规另有规定的，从其规定）。</w:t>
      </w:r>
    </w:p>
    <w:p w14:paraId="6725BCDB">
      <w:pPr>
        <w:pStyle w:val="6"/>
        <w:ind w:firstLineChars="100"/>
        <w:rPr>
          <w:rFonts w:hint="default" w:ascii="仿宋" w:hAnsi="仿宋" w:eastAsia="仿宋" w:cs="仿宋"/>
          <w:b/>
          <w:color w:val="auto"/>
          <w:sz w:val="24"/>
          <w:highlight w:val="none"/>
        </w:rPr>
      </w:pPr>
      <w:r>
        <w:rPr>
          <w:rFonts w:hint="default" w:ascii="仿宋" w:hAnsi="仿宋" w:eastAsia="仿宋" w:cs="仿宋"/>
          <w:b/>
          <w:color w:val="auto"/>
          <w:sz w:val="24"/>
          <w:highlight w:val="none"/>
        </w:rPr>
        <w:t>2.定义</w:t>
      </w:r>
    </w:p>
    <w:p w14:paraId="78468B4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2.1“采购人”系指招标公告中载明的本项目的采购人。</w:t>
      </w:r>
    </w:p>
    <w:p w14:paraId="66CFA81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”系指招标公告中载明的本项目的</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w:t>
      </w:r>
    </w:p>
    <w:p w14:paraId="64FADE3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2.3“投标人”“</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”系指是指响应招标、参加投标竞争的法人、其他组织或者自然人。</w:t>
      </w:r>
    </w:p>
    <w:p w14:paraId="30A81F6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2.4“负责人”系指法人企业的法定负责人，或其他组织为法律、行政法规规定代表单位行使职权的主要负责人，或自然人本人。</w:t>
      </w:r>
    </w:p>
    <w:p w14:paraId="2F1BFFA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4740176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2.6“电子交易平台”</w:t>
      </w:r>
      <w:r>
        <w:rPr>
          <w:rFonts w:hint="eastAsia" w:ascii="仿宋" w:hAnsi="仿宋" w:eastAsia="仿宋" w:cs="仿宋"/>
          <w:color w:val="auto"/>
          <w:sz w:val="24"/>
          <w:highlight w:val="none"/>
          <w:lang w:val="en-US" w:eastAsia="zh-CN"/>
        </w:rPr>
        <w:t>系</w:t>
      </w:r>
      <w:r>
        <w:rPr>
          <w:rFonts w:hint="eastAsia" w:ascii="仿宋" w:hAnsi="仿宋" w:eastAsia="仿宋" w:cs="仿宋"/>
          <w:color w:val="auto"/>
          <w:sz w:val="24"/>
          <w:highlight w:val="none"/>
        </w:rPr>
        <w:t>指本项目政府采购活动所依托的政府采购云平台（https://www.zcygov.cn/）。</w:t>
      </w:r>
    </w:p>
    <w:p w14:paraId="340C79B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2.7“▲”系指实质性要求条款，“</w:t>
      </w:r>
      <w:sdt>
        <w:sdtPr>
          <w:rPr>
            <w:rFonts w:hint="eastAsia" w:ascii="仿宋" w:hAnsi="仿宋" w:eastAsia="仿宋" w:cs="仿宋"/>
            <w:color w:val="auto"/>
            <w:kern w:val="0"/>
            <w:sz w:val="24"/>
            <w:highlight w:val="none"/>
          </w:rPr>
          <w:id w:val="147463459"/>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sz w:val="24"/>
          <w:highlight w:val="none"/>
        </w:rPr>
        <w:t>”系指适用本项目的要求，“</w:t>
      </w:r>
      <w:sdt>
        <w:sdtPr>
          <w:rPr>
            <w:rFonts w:hint="eastAsia" w:ascii="仿宋" w:hAnsi="仿宋" w:eastAsia="仿宋" w:cs="仿宋"/>
            <w:color w:val="auto"/>
            <w:kern w:val="0"/>
            <w:sz w:val="24"/>
            <w:highlight w:val="none"/>
          </w:rPr>
          <w:id w:val="147477267"/>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”系指不适用本项目的要求。</w:t>
      </w:r>
    </w:p>
    <w:p w14:paraId="3FAF3C9E">
      <w:pPr>
        <w:pStyle w:val="6"/>
        <w:ind w:firstLineChars="100"/>
        <w:rPr>
          <w:rFonts w:hint="default" w:ascii="仿宋" w:hAnsi="仿宋" w:eastAsia="仿宋" w:cs="仿宋"/>
          <w:b/>
          <w:color w:val="auto"/>
          <w:sz w:val="24"/>
          <w:highlight w:val="none"/>
        </w:rPr>
      </w:pPr>
      <w:r>
        <w:rPr>
          <w:rFonts w:hint="default" w:ascii="仿宋" w:hAnsi="仿宋" w:eastAsia="仿宋" w:cs="仿宋"/>
          <w:b/>
          <w:color w:val="auto"/>
          <w:sz w:val="24"/>
          <w:highlight w:val="none"/>
        </w:rPr>
        <w:t>3.采购项目需要落实的政府采购政策</w:t>
      </w:r>
    </w:p>
    <w:p w14:paraId="5FB4BFD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不会对其加以限制，仍将按照公平竞争原则实施采购）；</w:t>
      </w:r>
      <w:r>
        <w:rPr>
          <w:rFonts w:hint="eastAsia" w:ascii="仿宋" w:hAnsi="仿宋" w:eastAsia="仿宋" w:cs="仿宋"/>
          <w:color w:val="auto"/>
          <w:kern w:val="0"/>
          <w:sz w:val="24"/>
          <w:highlight w:val="none"/>
        </w:rPr>
        <w:t>优先采购向我国企业转让技术、与我国企业签订消化吸收再创新方案的供应商的进口产品</w:t>
      </w:r>
      <w:r>
        <w:rPr>
          <w:rFonts w:hint="eastAsia" w:ascii="仿宋" w:hAnsi="仿宋" w:eastAsia="仿宋" w:cs="仿宋"/>
          <w:color w:val="auto"/>
          <w:sz w:val="24"/>
          <w:highlight w:val="none"/>
        </w:rPr>
        <w:t>。（本项目不适用）</w:t>
      </w:r>
    </w:p>
    <w:p w14:paraId="46529DF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3.2支持绿色发展</w:t>
      </w:r>
    </w:p>
    <w:p w14:paraId="34543001">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 w:hAnsi="仿宋" w:eastAsia="仿宋" w:cs="仿宋"/>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r>
        <w:rPr>
          <w:rFonts w:hint="eastAsia" w:ascii="仿宋" w:hAnsi="仿宋" w:eastAsia="仿宋" w:cs="仿宋"/>
          <w:color w:val="auto"/>
          <w:sz w:val="24"/>
          <w:highlight w:val="none"/>
        </w:rPr>
        <w:t>（本项目不适用）</w:t>
      </w:r>
    </w:p>
    <w:p w14:paraId="11E76FC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3.2.2修缮、装修类项目采购建材的，采购人应将绿色建筑和绿色建材性能、指标等作为实质性条件纳入招标文件和合同。</w:t>
      </w:r>
    </w:p>
    <w:p w14:paraId="5D7F6C9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650D547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3.2.4鼓励供应商在参加政府采购过程中开展绿色设计、选择绿色材料、打造绿色制造工艺、开展绿色运输、做好废弃产品回收处理，实现产品全周期的绿色环保。鼓励采购单位对其提高预付款比例、免收履约保证金。</w:t>
      </w:r>
    </w:p>
    <w:p w14:paraId="72EF4E1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3.3支持中小企业发展</w:t>
      </w:r>
    </w:p>
    <w:p w14:paraId="76F8B78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31E4938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符合中小企业划分标准的个体工商户，在政府采购活动中视同中小企业。</w:t>
      </w:r>
    </w:p>
    <w:p w14:paraId="7DE40344">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bCs w:val="0"/>
          <w:color w:val="auto"/>
          <w:sz w:val="24"/>
          <w:highlight w:val="none"/>
        </w:rPr>
        <w:t>3.3.2</w:t>
      </w:r>
      <w:r>
        <w:rPr>
          <w:rFonts w:hint="eastAsia" w:ascii="仿宋" w:hAnsi="仿宋" w:eastAsia="仿宋" w:cs="仿宋"/>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703C28C5">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以联合体形式参加政府采购活动，联合体各方均为中小企业的，联合体视同中小企业。其中，联合体各方均为小微企业的，联合体视同小微企业。</w:t>
      </w:r>
    </w:p>
    <w:p w14:paraId="13E7FF4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3.3.3对于未预留份额专门面向中小企业的政府采购服务项目，以及预留份额政府采购服务项目中的非预留部分标项，对小型和微型企业的投标报价给予</w:t>
      </w:r>
      <w:r>
        <w:rPr>
          <w:rFonts w:hint="eastAsia" w:ascii="仿宋" w:hAnsi="仿宋" w:eastAsia="仿宋" w:cs="仿宋"/>
          <w:color w:val="auto"/>
          <w:sz w:val="24"/>
          <w:highlight w:val="none"/>
          <w:lang w:eastAsia="zh-CN"/>
        </w:rPr>
        <w:t>10%—20%</w:t>
      </w:r>
      <w:r>
        <w:rPr>
          <w:rFonts w:hint="eastAsia" w:ascii="仿宋" w:hAnsi="仿宋" w:eastAsia="仿宋" w:cs="仿宋"/>
          <w:b/>
          <w:bCs/>
          <w:color w:val="auto"/>
          <w:sz w:val="24"/>
          <w:highlight w:val="none"/>
        </w:rPr>
        <w:t>（招标文件第四部分评标办法明确具体的扣除比例，未明确的，给予10%的扣除）</w:t>
      </w:r>
      <w:r>
        <w:rPr>
          <w:rFonts w:hint="eastAsia" w:ascii="仿宋" w:hAnsi="仿宋" w:eastAsia="仿宋" w:cs="仿宋"/>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仿宋" w:hAnsi="仿宋" w:eastAsia="仿宋" w:cs="仿宋"/>
          <w:color w:val="auto"/>
          <w:sz w:val="24"/>
          <w:highlight w:val="none"/>
          <w:lang w:eastAsia="zh-CN"/>
        </w:rPr>
        <w:t>4%—6%</w:t>
      </w:r>
      <w:r>
        <w:rPr>
          <w:rFonts w:hint="eastAsia" w:ascii="仿宋" w:hAnsi="仿宋" w:eastAsia="仿宋" w:cs="仿宋"/>
          <w:b/>
          <w:bCs/>
          <w:color w:val="auto"/>
          <w:sz w:val="24"/>
          <w:highlight w:val="none"/>
        </w:rPr>
        <w:t>（招标文件第四部分评标办法明确具体的扣除比例，未明确的，给予4%的扣除）</w:t>
      </w:r>
      <w:r>
        <w:rPr>
          <w:rFonts w:hint="eastAsia" w:ascii="仿宋" w:hAnsi="仿宋" w:eastAsia="仿宋" w:cs="仿宋"/>
          <w:color w:val="auto"/>
          <w:sz w:val="24"/>
          <w:highlight w:val="none"/>
        </w:rPr>
        <w:t>的扣除，用扣除后的价格参加评审。组成联合体或者接受分包的小微企业与联合体内其他企业、分包企业之间存在直接控股、管理关系的，不享受价格扣除优惠政策。</w:t>
      </w:r>
    </w:p>
    <w:p w14:paraId="71C532A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3.3.4符合《关于促进残疾人就业政府采购政策的通知》（财库〔2017〕141号）规定的条件并提供《残疾人福利性单位声明函》（附件1）的残疾人福利性单位视同小型、微型企业；</w:t>
      </w:r>
    </w:p>
    <w:p w14:paraId="060EAD4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34C31E9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3.3.6</w:t>
      </w:r>
      <w:r>
        <w:rPr>
          <w:rFonts w:hint="eastAsia" w:ascii="仿宋" w:hAnsi="仿宋" w:eastAsia="仿宋" w:cs="仿宋"/>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仿宋" w:hAnsi="仿宋" w:eastAsia="仿宋" w:cs="仿宋"/>
          <w:color w:val="auto"/>
          <w:sz w:val="24"/>
          <w:highlight w:val="none"/>
        </w:rPr>
        <w:t>。</w:t>
      </w:r>
    </w:p>
    <w:p w14:paraId="504EB60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3.3.7中小企业享受扶持政策获得政府采购合同的，小微企业不得将合同分包给大中型企业，中型企业不得将合同分包给大型企业。</w:t>
      </w:r>
    </w:p>
    <w:p w14:paraId="75D21C1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w:t>
      </w:r>
      <w:r>
        <w:rPr>
          <w:rFonts w:hint="eastAsia" w:ascii="仿宋" w:hAnsi="仿宋" w:eastAsia="仿宋" w:cs="仿宋"/>
          <w:bCs w:val="0"/>
          <w:color w:val="auto"/>
          <w:sz w:val="24"/>
          <w:highlight w:val="none"/>
        </w:rPr>
        <w:t>支持创新发展</w:t>
      </w:r>
    </w:p>
    <w:p w14:paraId="55612CF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3.4.1</w:t>
      </w:r>
      <w:r>
        <w:rPr>
          <w:rFonts w:hint="eastAsia" w:ascii="仿宋" w:hAnsi="仿宋" w:eastAsia="仿宋" w:cs="仿宋"/>
          <w:color w:val="auto"/>
          <w:sz w:val="24"/>
          <w:highlight w:val="none"/>
          <w:lang w:eastAsia="zh-CN"/>
        </w:rPr>
        <w:t>首台套、“制造精品”、“专精特新”等创新产品按规定享受政府采购支持政策</w:t>
      </w:r>
      <w:r>
        <w:rPr>
          <w:rFonts w:hint="eastAsia" w:ascii="仿宋" w:hAnsi="仿宋" w:eastAsia="仿宋" w:cs="仿宋"/>
          <w:color w:val="auto"/>
          <w:sz w:val="24"/>
          <w:highlight w:val="none"/>
        </w:rPr>
        <w:t>。</w:t>
      </w:r>
    </w:p>
    <w:p w14:paraId="253FDEC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3.4.</w:t>
      </w:r>
      <w:r>
        <w:rPr>
          <w:rFonts w:hint="eastAsia" w:ascii="仿宋" w:hAnsi="仿宋" w:eastAsia="仿宋" w:cs="仿宋"/>
          <w:color w:val="auto"/>
          <w:sz w:val="24"/>
          <w:highlight w:val="none"/>
          <w:lang w:val="en-US" w:eastAsia="zh-CN"/>
        </w:rPr>
        <w:t>2采购人应当贯彻落实知识产权保护相关法律法规，</w:t>
      </w:r>
      <w:r>
        <w:rPr>
          <w:rFonts w:hint="eastAsia" w:ascii="仿宋" w:hAnsi="仿宋" w:eastAsia="仿宋" w:cs="仿宋"/>
          <w:color w:val="auto"/>
          <w:sz w:val="24"/>
          <w:highlight w:val="none"/>
          <w:lang w:val="en-US"/>
        </w:rPr>
        <w:t>应当采购使用正版软件。</w:t>
      </w:r>
    </w:p>
    <w:p w14:paraId="76BC74A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3.5平等对待内外资企业和符合条件的破产重整企业</w:t>
      </w:r>
    </w:p>
    <w:p w14:paraId="4B31CB8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平等对待内外资企业和符合条件的破产重整企业，切实保障企业公平竞争，平等维护企业的合法利益。</w:t>
      </w:r>
    </w:p>
    <w:p w14:paraId="3B8DCC45">
      <w:pPr>
        <w:pStyle w:val="6"/>
        <w:ind w:firstLineChars="100"/>
        <w:rPr>
          <w:rFonts w:hint="default" w:ascii="仿宋" w:hAnsi="仿宋" w:eastAsia="仿宋" w:cs="仿宋"/>
          <w:b/>
          <w:color w:val="auto"/>
          <w:sz w:val="24"/>
          <w:highlight w:val="none"/>
          <w:lang w:val="zh-CN"/>
        </w:rPr>
      </w:pPr>
      <w:r>
        <w:rPr>
          <w:rFonts w:hint="default" w:ascii="仿宋" w:hAnsi="仿宋" w:eastAsia="仿宋" w:cs="仿宋"/>
          <w:b/>
          <w:color w:val="auto"/>
          <w:sz w:val="24"/>
          <w:highlight w:val="none"/>
          <w:lang w:val="zh-CN"/>
        </w:rPr>
        <w:t>4.询问、质疑、投诉、补偿救济</w:t>
      </w:r>
    </w:p>
    <w:p w14:paraId="0275A896">
      <w:pPr>
        <w:autoSpaceDE/>
        <w:autoSpaceDN/>
        <w:spacing w:line="360" w:lineRule="auto"/>
        <w:ind w:firstLine="480" w:firstLineChars="200"/>
        <w:jc w:val="left"/>
        <w:rPr>
          <w:rFonts w:hint="eastAsia" w:ascii="仿宋" w:hAnsi="仿宋" w:eastAsia="仿宋" w:cs="仿宋"/>
          <w:color w:val="auto"/>
          <w:kern w:val="2"/>
          <w:sz w:val="24"/>
          <w:highlight w:val="none"/>
          <w:lang w:val="zh-CN"/>
        </w:rPr>
      </w:pPr>
      <w:r>
        <w:rPr>
          <w:rFonts w:hint="eastAsia" w:ascii="仿宋" w:hAnsi="仿宋" w:eastAsia="仿宋" w:cs="仿宋"/>
          <w:color w:val="auto"/>
          <w:kern w:val="2"/>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4D5374F">
      <w:pPr>
        <w:autoSpaceDE/>
        <w:autoSpaceDN/>
        <w:spacing w:line="360" w:lineRule="auto"/>
        <w:ind w:firstLine="480" w:firstLineChars="200"/>
        <w:jc w:val="left"/>
        <w:rPr>
          <w:rFonts w:hint="eastAsia" w:ascii="仿宋" w:hAnsi="仿宋" w:eastAsia="仿宋" w:cs="仿宋"/>
          <w:color w:val="auto"/>
          <w:kern w:val="2"/>
          <w:sz w:val="24"/>
          <w:highlight w:val="none"/>
          <w:lang w:val="zh-CN"/>
        </w:rPr>
      </w:pPr>
      <w:r>
        <w:rPr>
          <w:rFonts w:hint="eastAsia" w:ascii="仿宋" w:hAnsi="仿宋" w:eastAsia="仿宋" w:cs="仿宋"/>
          <w:color w:val="auto"/>
          <w:kern w:val="2"/>
          <w:sz w:val="24"/>
          <w:highlight w:val="none"/>
          <w:lang w:val="zh-CN"/>
        </w:rPr>
        <w:t>4.2供应商询问</w:t>
      </w:r>
    </w:p>
    <w:p w14:paraId="313CF18D">
      <w:pPr>
        <w:autoSpaceDE/>
        <w:autoSpaceDN/>
        <w:spacing w:line="360" w:lineRule="auto"/>
        <w:ind w:firstLine="480" w:firstLineChars="200"/>
        <w:jc w:val="left"/>
        <w:rPr>
          <w:rFonts w:hint="eastAsia" w:ascii="仿宋" w:hAnsi="仿宋" w:eastAsia="仿宋" w:cs="仿宋"/>
          <w:color w:val="auto"/>
          <w:kern w:val="2"/>
          <w:sz w:val="24"/>
          <w:highlight w:val="none"/>
          <w:lang w:val="zh-CN"/>
        </w:rPr>
      </w:pPr>
      <w:r>
        <w:rPr>
          <w:rFonts w:hint="eastAsia" w:ascii="仿宋" w:hAnsi="仿宋" w:eastAsia="仿宋" w:cs="仿宋"/>
          <w:color w:val="auto"/>
          <w:kern w:val="2"/>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2E2C128B">
      <w:pPr>
        <w:autoSpaceDE/>
        <w:autoSpaceDN/>
        <w:spacing w:line="360" w:lineRule="auto"/>
        <w:ind w:firstLine="480" w:firstLineChars="200"/>
        <w:jc w:val="left"/>
        <w:rPr>
          <w:rFonts w:hint="eastAsia" w:ascii="仿宋" w:hAnsi="仿宋" w:eastAsia="仿宋" w:cs="仿宋"/>
          <w:color w:val="auto"/>
          <w:kern w:val="2"/>
          <w:sz w:val="24"/>
          <w:highlight w:val="none"/>
          <w:lang w:val="zh-CN"/>
        </w:rPr>
      </w:pPr>
      <w:r>
        <w:rPr>
          <w:rFonts w:hint="eastAsia" w:ascii="仿宋" w:hAnsi="仿宋" w:eastAsia="仿宋" w:cs="仿宋"/>
          <w:color w:val="auto"/>
          <w:kern w:val="2"/>
          <w:sz w:val="24"/>
          <w:highlight w:val="none"/>
          <w:lang w:val="zh-CN"/>
        </w:rPr>
        <w:t>4.3供应商质疑</w:t>
      </w:r>
    </w:p>
    <w:p w14:paraId="19A5A9C8">
      <w:pPr>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kern w:val="2"/>
          <w:sz w:val="24"/>
          <w:highlight w:val="none"/>
          <w:lang w:val="zh-CN"/>
        </w:rPr>
        <w:t>4.3</w:t>
      </w:r>
      <w:r>
        <w:rPr>
          <w:rFonts w:hint="eastAsia" w:ascii="仿宋" w:hAnsi="仿宋" w:eastAsia="仿宋" w:cs="仿宋"/>
          <w:color w:val="auto"/>
          <w:sz w:val="24"/>
          <w:highlight w:val="none"/>
          <w:lang w:val="zh-CN"/>
        </w:rPr>
        <w:t>.1提出质疑的供应商应当是参与所质疑项目采购活动的供应商。潜在供应商已依法获取其可质疑的招标文件的，可以对该文件提出质疑。</w:t>
      </w:r>
    </w:p>
    <w:p w14:paraId="4D42723F">
      <w:pPr>
        <w:spacing w:line="360" w:lineRule="auto"/>
        <w:ind w:firstLine="535" w:firstLineChars="223"/>
        <w:jc w:val="left"/>
        <w:rPr>
          <w:rFonts w:hint="eastAsia" w:ascii="仿宋" w:hAnsi="仿宋" w:eastAsia="仿宋" w:cs="仿宋"/>
          <w:color w:val="auto"/>
          <w:sz w:val="24"/>
          <w:highlight w:val="none"/>
          <w:lang w:val="zh-CN"/>
        </w:rPr>
      </w:pPr>
      <w:r>
        <w:rPr>
          <w:rFonts w:hint="eastAsia" w:ascii="仿宋" w:hAnsi="仿宋" w:eastAsia="仿宋" w:cs="仿宋"/>
          <w:color w:val="auto"/>
          <w:kern w:val="2"/>
          <w:sz w:val="24"/>
          <w:highlight w:val="none"/>
          <w:lang w:val="zh-CN"/>
        </w:rPr>
        <w:t>4.3</w:t>
      </w:r>
      <w:r>
        <w:rPr>
          <w:rFonts w:hint="eastAsia" w:ascii="仿宋" w:hAnsi="仿宋" w:eastAsia="仿宋" w:cs="仿宋"/>
          <w:color w:val="auto"/>
          <w:sz w:val="24"/>
          <w:highlight w:val="none"/>
          <w:lang w:val="zh-CN"/>
        </w:rPr>
        <w:t>.2供应商认为招标文件、采购过程和中标结果使自己的权益受到损害的，可以在知道或者应知其权益受到损害之日起七个工作日内，以书面形式向采购人或者</w:t>
      </w:r>
      <w:r>
        <w:rPr>
          <w:rFonts w:hint="eastAsia" w:ascii="仿宋" w:hAnsi="仿宋" w:eastAsia="仿宋" w:cs="仿宋"/>
          <w:color w:val="auto"/>
          <w:sz w:val="24"/>
          <w:highlight w:val="none"/>
          <w:lang w:val="zh-CN" w:eastAsia="zh-CN"/>
        </w:rPr>
        <w:t>采购代理机构</w:t>
      </w:r>
      <w:r>
        <w:rPr>
          <w:rFonts w:hint="eastAsia" w:ascii="仿宋" w:hAnsi="仿宋" w:eastAsia="仿宋" w:cs="仿宋"/>
          <w:color w:val="auto"/>
          <w:sz w:val="24"/>
          <w:highlight w:val="none"/>
          <w:lang w:val="zh-CN"/>
        </w:rPr>
        <w:t>提出质疑，否则，采购人或者</w:t>
      </w:r>
      <w:r>
        <w:rPr>
          <w:rFonts w:hint="eastAsia" w:ascii="仿宋" w:hAnsi="仿宋" w:eastAsia="仿宋" w:cs="仿宋"/>
          <w:color w:val="auto"/>
          <w:sz w:val="24"/>
          <w:highlight w:val="none"/>
          <w:lang w:val="zh-CN" w:eastAsia="zh-CN"/>
        </w:rPr>
        <w:t>采购代理机构</w:t>
      </w:r>
      <w:r>
        <w:rPr>
          <w:rFonts w:hint="eastAsia" w:ascii="仿宋" w:hAnsi="仿宋" w:eastAsia="仿宋" w:cs="仿宋"/>
          <w:color w:val="auto"/>
          <w:sz w:val="24"/>
          <w:highlight w:val="none"/>
          <w:lang w:val="zh-CN"/>
        </w:rPr>
        <w:t>不予受理：</w:t>
      </w:r>
    </w:p>
    <w:p w14:paraId="366766BD">
      <w:pPr>
        <w:spacing w:line="360" w:lineRule="auto"/>
        <w:ind w:firstLine="535" w:firstLineChars="223"/>
        <w:jc w:val="left"/>
        <w:rPr>
          <w:rFonts w:hint="eastAsia" w:ascii="仿宋" w:hAnsi="仿宋" w:eastAsia="仿宋" w:cs="仿宋"/>
          <w:snapToGrid/>
          <w:color w:val="auto"/>
          <w:kern w:val="2"/>
          <w:sz w:val="24"/>
          <w:highlight w:val="none"/>
          <w:lang w:val="zh-CN"/>
        </w:rPr>
      </w:pPr>
      <w:r>
        <w:rPr>
          <w:rFonts w:hint="eastAsia" w:ascii="仿宋" w:hAnsi="仿宋" w:eastAsia="仿宋" w:cs="仿宋"/>
          <w:snapToGrid/>
          <w:color w:val="auto"/>
          <w:kern w:val="2"/>
          <w:sz w:val="24"/>
          <w:highlight w:val="none"/>
          <w:lang w:val="zh-CN"/>
        </w:rPr>
        <w:t>4.3.2.1对招标文件提出质疑的，质疑期限为供应商获得招标文件之日或者招标文件公告期限届满之日起计算。</w:t>
      </w:r>
    </w:p>
    <w:p w14:paraId="04CA2CA0">
      <w:pPr>
        <w:spacing w:line="360" w:lineRule="auto"/>
        <w:ind w:left="479" w:leftChars="228"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4.3.2.2对采购过程提出质疑的，质疑期限为各采购程序环节结束之日起计算。</w:t>
      </w:r>
    </w:p>
    <w:p w14:paraId="1F25B6EE">
      <w:pPr>
        <w:spacing w:line="360" w:lineRule="auto"/>
        <w:ind w:left="479" w:leftChars="228"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4.3.2.3对采购结果提出质疑的，质疑期限自采购结果公告期限届满之日起计算。</w:t>
      </w:r>
    </w:p>
    <w:p w14:paraId="19D11465">
      <w:pPr>
        <w:spacing w:line="360" w:lineRule="auto"/>
        <w:ind w:firstLine="535" w:firstLineChars="223"/>
        <w:jc w:val="left"/>
        <w:rPr>
          <w:rFonts w:hint="eastAsia" w:ascii="仿宋" w:hAnsi="仿宋" w:eastAsia="仿宋" w:cs="仿宋"/>
          <w:color w:val="auto"/>
          <w:kern w:val="2"/>
          <w:sz w:val="24"/>
          <w:highlight w:val="none"/>
          <w:lang w:val="zh-CN"/>
        </w:rPr>
      </w:pPr>
      <w:r>
        <w:rPr>
          <w:rFonts w:hint="eastAsia" w:ascii="仿宋" w:hAnsi="仿宋" w:eastAsia="仿宋" w:cs="仿宋"/>
          <w:color w:val="auto"/>
          <w:kern w:val="2"/>
          <w:sz w:val="24"/>
          <w:highlight w:val="none"/>
          <w:lang w:val="zh-CN"/>
        </w:rPr>
        <w:t>4.3.3</w:t>
      </w:r>
      <w:r>
        <w:rPr>
          <w:rFonts w:hint="eastAsia" w:ascii="仿宋" w:hAnsi="仿宋" w:eastAsia="仿宋" w:cs="仿宋"/>
          <w:color w:val="auto"/>
          <w:sz w:val="24"/>
          <w:highlight w:val="none"/>
          <w:lang w:val="zh-CN"/>
        </w:rPr>
        <w:t>供应商提出质疑应当提交质疑函和必要的证明材料。质疑函应当包括下列内容：</w:t>
      </w:r>
    </w:p>
    <w:p w14:paraId="5F1FB1BB">
      <w:pPr>
        <w:spacing w:line="360" w:lineRule="auto"/>
        <w:ind w:firstLine="535" w:firstLineChars="223"/>
        <w:jc w:val="left"/>
        <w:rPr>
          <w:rFonts w:hint="eastAsia" w:ascii="仿宋" w:hAnsi="仿宋" w:eastAsia="仿宋" w:cs="仿宋"/>
          <w:color w:val="auto"/>
          <w:kern w:val="2"/>
          <w:sz w:val="24"/>
          <w:highlight w:val="none"/>
          <w:lang w:val="zh-CN"/>
        </w:rPr>
      </w:pPr>
      <w:r>
        <w:rPr>
          <w:rFonts w:hint="eastAsia" w:ascii="仿宋" w:hAnsi="仿宋" w:eastAsia="仿宋" w:cs="仿宋"/>
          <w:color w:val="auto"/>
          <w:kern w:val="2"/>
          <w:sz w:val="24"/>
          <w:highlight w:val="none"/>
          <w:lang w:val="zh-CN"/>
        </w:rPr>
        <w:t>4.3.3.1供应商的姓名或者名称、地址、邮编、联系人及联系电话；</w:t>
      </w:r>
    </w:p>
    <w:p w14:paraId="39205F34">
      <w:pPr>
        <w:spacing w:line="360" w:lineRule="auto"/>
        <w:ind w:firstLine="535" w:firstLineChars="223"/>
        <w:jc w:val="left"/>
        <w:rPr>
          <w:rFonts w:hint="eastAsia" w:ascii="仿宋" w:hAnsi="仿宋" w:eastAsia="仿宋" w:cs="仿宋"/>
          <w:color w:val="auto"/>
          <w:kern w:val="2"/>
          <w:sz w:val="24"/>
          <w:highlight w:val="none"/>
          <w:lang w:val="zh-CN"/>
        </w:rPr>
      </w:pPr>
      <w:r>
        <w:rPr>
          <w:rFonts w:hint="eastAsia" w:ascii="仿宋" w:hAnsi="仿宋" w:eastAsia="仿宋" w:cs="仿宋"/>
          <w:color w:val="auto"/>
          <w:kern w:val="2"/>
          <w:sz w:val="24"/>
          <w:highlight w:val="none"/>
          <w:lang w:val="zh-CN"/>
        </w:rPr>
        <w:t>4.3.3.2质疑项目的名称、编号；</w:t>
      </w:r>
    </w:p>
    <w:p w14:paraId="0083BE75">
      <w:pPr>
        <w:spacing w:line="360" w:lineRule="auto"/>
        <w:ind w:firstLine="535" w:firstLineChars="223"/>
        <w:jc w:val="left"/>
        <w:rPr>
          <w:rFonts w:hint="eastAsia" w:ascii="仿宋" w:hAnsi="仿宋" w:eastAsia="仿宋" w:cs="仿宋"/>
          <w:color w:val="auto"/>
          <w:kern w:val="2"/>
          <w:sz w:val="24"/>
          <w:highlight w:val="none"/>
          <w:lang w:val="zh-CN"/>
        </w:rPr>
      </w:pPr>
      <w:r>
        <w:rPr>
          <w:rFonts w:hint="eastAsia" w:ascii="仿宋" w:hAnsi="仿宋" w:eastAsia="仿宋" w:cs="仿宋"/>
          <w:color w:val="auto"/>
          <w:kern w:val="2"/>
          <w:sz w:val="24"/>
          <w:highlight w:val="none"/>
          <w:lang w:val="zh-CN"/>
        </w:rPr>
        <w:t>4.3.3.3具体、明确的质疑事项和与质疑事项相关的请求；</w:t>
      </w:r>
    </w:p>
    <w:p w14:paraId="6F253C90">
      <w:pPr>
        <w:spacing w:line="360" w:lineRule="auto"/>
        <w:ind w:firstLine="535" w:firstLineChars="223"/>
        <w:jc w:val="left"/>
        <w:rPr>
          <w:rFonts w:hint="eastAsia" w:ascii="仿宋" w:hAnsi="仿宋" w:eastAsia="仿宋" w:cs="仿宋"/>
          <w:color w:val="auto"/>
          <w:kern w:val="2"/>
          <w:sz w:val="24"/>
          <w:highlight w:val="none"/>
          <w:lang w:val="zh-CN"/>
        </w:rPr>
      </w:pPr>
      <w:r>
        <w:rPr>
          <w:rFonts w:hint="eastAsia" w:ascii="仿宋" w:hAnsi="仿宋" w:eastAsia="仿宋" w:cs="仿宋"/>
          <w:color w:val="auto"/>
          <w:kern w:val="2"/>
          <w:sz w:val="24"/>
          <w:highlight w:val="none"/>
          <w:lang w:val="zh-CN"/>
        </w:rPr>
        <w:t>4.3.3.4事实依据；</w:t>
      </w:r>
    </w:p>
    <w:p w14:paraId="7AC56CB3">
      <w:pPr>
        <w:spacing w:line="360" w:lineRule="auto"/>
        <w:ind w:firstLine="535" w:firstLineChars="223"/>
        <w:jc w:val="left"/>
        <w:rPr>
          <w:rFonts w:hint="eastAsia" w:ascii="仿宋" w:hAnsi="仿宋" w:eastAsia="仿宋" w:cs="仿宋"/>
          <w:color w:val="auto"/>
          <w:kern w:val="2"/>
          <w:sz w:val="24"/>
          <w:highlight w:val="none"/>
          <w:lang w:val="zh-CN"/>
        </w:rPr>
      </w:pPr>
      <w:r>
        <w:rPr>
          <w:rFonts w:hint="eastAsia" w:ascii="仿宋" w:hAnsi="仿宋" w:eastAsia="仿宋" w:cs="仿宋"/>
          <w:color w:val="auto"/>
          <w:kern w:val="2"/>
          <w:sz w:val="24"/>
          <w:highlight w:val="none"/>
          <w:lang w:val="zh-CN"/>
        </w:rPr>
        <w:t>4.3.3.5必要的法律依据；</w:t>
      </w:r>
    </w:p>
    <w:p w14:paraId="3468BFFC">
      <w:pPr>
        <w:spacing w:afterAutospacing="0" w:line="360" w:lineRule="auto"/>
        <w:ind w:firstLine="535" w:firstLineChars="223"/>
        <w:jc w:val="left"/>
        <w:rPr>
          <w:rFonts w:hint="eastAsia" w:ascii="仿宋" w:hAnsi="仿宋" w:eastAsia="仿宋" w:cs="仿宋"/>
          <w:color w:val="auto"/>
          <w:kern w:val="2"/>
          <w:sz w:val="24"/>
          <w:highlight w:val="none"/>
          <w:lang w:val="zh-CN"/>
        </w:rPr>
      </w:pPr>
      <w:r>
        <w:rPr>
          <w:rFonts w:hint="eastAsia" w:ascii="仿宋" w:hAnsi="仿宋" w:eastAsia="仿宋" w:cs="仿宋"/>
          <w:color w:val="auto"/>
          <w:kern w:val="2"/>
          <w:sz w:val="24"/>
          <w:highlight w:val="none"/>
          <w:lang w:val="zh-CN"/>
        </w:rPr>
        <w:t>4.3.3.6提出质疑的日期。</w:t>
      </w:r>
    </w:p>
    <w:p w14:paraId="420C69B2">
      <w:pPr>
        <w:shd w:val="clear" w:color="auto" w:fill="FFFFFF"/>
        <w:snapToGrid w:val="0"/>
        <w:spacing w:before="0" w:beforeAutospacing="0" w:after="240" w:afterAutospacing="0"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供应商提交的质疑函需一式三份。供应商为自然人的，应当由本人签字；供应商为法人或者其他组织的，应当由法定代表人、主要负责人，或者其授权代表签字或者盖章，并加盖公章。</w:t>
      </w:r>
    </w:p>
    <w:p w14:paraId="78901A59">
      <w:pPr>
        <w:shd w:val="clear" w:color="auto" w:fill="FFFFFF"/>
        <w:snapToGrid w:val="0"/>
        <w:spacing w:after="240" w:afterAutospacing="0"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质疑函范本及制作说明详见附件2。</w:t>
      </w:r>
    </w:p>
    <w:p w14:paraId="0918CCC4">
      <w:pPr>
        <w:shd w:val="clear" w:color="auto" w:fill="FFFFFF"/>
        <w:snapToGrid w:val="0"/>
        <w:spacing w:after="240" w:afterAutospacing="0"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4.3.4对同一采购程序环节的质疑，供应商须在法定质疑期内一次性提出。</w:t>
      </w:r>
    </w:p>
    <w:p w14:paraId="509AD09C">
      <w:pPr>
        <w:shd w:val="clear" w:color="auto" w:fill="FFFFFF"/>
        <w:snapToGrid w:val="0"/>
        <w:spacing w:after="240" w:afterAutospacing="0"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4.3</w:t>
      </w:r>
      <w:r>
        <w:rPr>
          <w:rFonts w:hint="eastAsia" w:ascii="仿宋" w:hAnsi="仿宋" w:eastAsia="仿宋" w:cs="仿宋"/>
          <w:color w:val="auto"/>
          <w:sz w:val="24"/>
          <w:highlight w:val="none"/>
        </w:rPr>
        <w:t>.5采购人或者</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在质疑回复后5个工作日内，在浙江政府采购网的“其他公告”栏目公开质疑答复，答复内容应当完整。质疑函作为附件上传。</w:t>
      </w:r>
    </w:p>
    <w:p w14:paraId="3B741C96">
      <w:pPr>
        <w:shd w:val="clear" w:color="auto" w:fill="FFFFFF"/>
        <w:snapToGrid w:val="0"/>
        <w:spacing w:after="240" w:afterAutospacing="0" w:line="360" w:lineRule="auto"/>
        <w:ind w:firstLine="535" w:firstLineChars="223"/>
        <w:contextualSpacing/>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4.3.6询问或者质疑事项可能影响采购结果的，采购人应当暂停签订合同，已经签订合同的，应当中止履行合同。</w:t>
      </w:r>
    </w:p>
    <w:p w14:paraId="35D6A21A">
      <w:pPr>
        <w:shd w:val="clear" w:color="auto" w:fill="FFFFFF"/>
        <w:snapToGrid w:val="0"/>
        <w:spacing w:after="240" w:afterAutospacing="0" w:line="360" w:lineRule="auto"/>
        <w:ind w:firstLine="535" w:firstLineChars="223"/>
        <w:contextualSpacing/>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4.4供应商投诉</w:t>
      </w:r>
    </w:p>
    <w:p w14:paraId="7A582100">
      <w:pPr>
        <w:shd w:val="clear" w:color="auto" w:fill="FFFFFF"/>
        <w:snapToGrid w:val="0"/>
        <w:spacing w:after="240" w:afterAutospacing="0" w:line="360" w:lineRule="auto"/>
        <w:ind w:firstLine="535" w:firstLineChars="223"/>
        <w:contextualSpacing/>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4.4.1质疑供应商对采购人、</w:t>
      </w:r>
      <w:r>
        <w:rPr>
          <w:rFonts w:hint="eastAsia" w:ascii="仿宋" w:hAnsi="仿宋" w:eastAsia="仿宋" w:cs="仿宋"/>
          <w:color w:val="auto"/>
          <w:sz w:val="24"/>
          <w:highlight w:val="none"/>
          <w:lang w:val="zh-CN" w:eastAsia="zh-CN"/>
        </w:rPr>
        <w:t>采购代理机构</w:t>
      </w:r>
      <w:r>
        <w:rPr>
          <w:rFonts w:hint="eastAsia" w:ascii="仿宋" w:hAnsi="仿宋" w:eastAsia="仿宋" w:cs="仿宋"/>
          <w:color w:val="auto"/>
          <w:sz w:val="24"/>
          <w:highlight w:val="none"/>
          <w:lang w:val="zh-CN"/>
        </w:rPr>
        <w:t>的答复不满意或者采购人、</w:t>
      </w:r>
      <w:r>
        <w:rPr>
          <w:rFonts w:hint="eastAsia" w:ascii="仿宋" w:hAnsi="仿宋" w:eastAsia="仿宋" w:cs="仿宋"/>
          <w:color w:val="auto"/>
          <w:sz w:val="24"/>
          <w:highlight w:val="none"/>
          <w:lang w:val="zh-CN" w:eastAsia="zh-CN"/>
        </w:rPr>
        <w:t>采购代理机构</w:t>
      </w:r>
      <w:r>
        <w:rPr>
          <w:rFonts w:hint="eastAsia" w:ascii="仿宋" w:hAnsi="仿宋" w:eastAsia="仿宋" w:cs="仿宋"/>
          <w:color w:val="auto"/>
          <w:sz w:val="24"/>
          <w:highlight w:val="none"/>
          <w:lang w:val="zh-CN"/>
        </w:rPr>
        <w:t>未在规定的时间内作出答复的，可以在答复期满后十五个工作日内向同级政府采购监督管理部门提出投诉。</w:t>
      </w:r>
    </w:p>
    <w:p w14:paraId="5CFEBE1B">
      <w:pPr>
        <w:shd w:val="clear" w:color="auto" w:fill="FFFFFF"/>
        <w:snapToGrid w:val="0"/>
        <w:spacing w:after="240" w:afterAutospacing="0" w:line="360" w:lineRule="auto"/>
        <w:ind w:firstLine="535" w:firstLineChars="223"/>
        <w:contextualSpacing/>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4.4.2供应商投诉的事项不得超出已质疑事项的范围，基于质疑答复内容提出的投诉事项除外。</w:t>
      </w:r>
    </w:p>
    <w:p w14:paraId="2FBEB7B9">
      <w:pPr>
        <w:shd w:val="clear" w:color="auto" w:fill="FFFFFF"/>
        <w:snapToGrid w:val="0"/>
        <w:spacing w:after="240" w:afterAutospacing="0" w:line="360" w:lineRule="auto"/>
        <w:ind w:firstLine="535" w:firstLineChars="223"/>
        <w:contextualSpacing/>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4.4.3供应商投诉应当有明确的请求和必要的证明材料。</w:t>
      </w:r>
    </w:p>
    <w:p w14:paraId="24F31D92">
      <w:pPr>
        <w:shd w:val="clear" w:color="auto" w:fill="FFFFFF"/>
        <w:snapToGrid w:val="0"/>
        <w:spacing w:after="240" w:afterAutospacing="0" w:line="360" w:lineRule="auto"/>
        <w:ind w:firstLine="535" w:firstLineChars="223"/>
        <w:contextualSpacing/>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4.4.4以联合体形式参加政府采购活动的，其投诉应当由组成联合体的所有供应商共同提出。</w:t>
      </w:r>
    </w:p>
    <w:p w14:paraId="0AE247AC">
      <w:pPr>
        <w:shd w:val="clear" w:color="auto" w:fill="FFFFFF"/>
        <w:snapToGrid w:val="0"/>
        <w:spacing w:after="0" w:afterAutospacing="0" w:line="360" w:lineRule="auto"/>
        <w:ind w:firstLine="535" w:firstLineChars="223"/>
        <w:contextualSpacing/>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4.4.5根据政府采购行政裁决省市区三级联动试点工作安排，杭州市本级</w:t>
      </w:r>
      <w:r>
        <w:rPr>
          <w:rFonts w:hint="eastAsia" w:ascii="仿宋" w:hAnsi="仿宋" w:eastAsia="仿宋" w:cs="仿宋"/>
          <w:color w:val="auto"/>
          <w:sz w:val="24"/>
          <w:highlight w:val="none"/>
          <w:lang w:val="zh-CN" w:eastAsia="zh-CN"/>
        </w:rPr>
        <w:t>及各区、县（市）</w:t>
      </w:r>
      <w:r>
        <w:rPr>
          <w:rFonts w:hint="eastAsia" w:ascii="仿宋" w:hAnsi="仿宋" w:eastAsia="仿宋" w:cs="仿宋"/>
          <w:color w:val="auto"/>
          <w:sz w:val="24"/>
          <w:highlight w:val="none"/>
          <w:lang w:val="zh-CN"/>
        </w:rPr>
        <w:t>政府采购项目投诉材料可寄送至浙江省政府采购行政裁决服务中心（杭州），地址：</w:t>
      </w:r>
      <w:r>
        <w:rPr>
          <w:rFonts w:hint="eastAsia" w:ascii="仿宋" w:hAnsi="仿宋" w:eastAsia="仿宋" w:cs="仿宋"/>
          <w:i w:val="0"/>
          <w:caps w:val="0"/>
          <w:color w:val="auto"/>
          <w:spacing w:val="0"/>
          <w:sz w:val="24"/>
          <w:szCs w:val="24"/>
          <w:highlight w:val="none"/>
          <w:lang w:val="zh-CN" w:eastAsia="zh-CN"/>
        </w:rPr>
        <w:t>杭州市上城区清泰街549号城建综合大楼11楼</w:t>
      </w:r>
      <w:r>
        <w:rPr>
          <w:rFonts w:hint="eastAsia" w:ascii="仿宋" w:hAnsi="仿宋" w:eastAsia="仿宋" w:cs="仿宋"/>
          <w:i w:val="0"/>
          <w:caps w:val="0"/>
          <w:color w:val="auto"/>
          <w:spacing w:val="0"/>
          <w:sz w:val="24"/>
          <w:szCs w:val="24"/>
          <w:highlight w:val="none"/>
          <w:lang w:val="zh-CN"/>
        </w:rPr>
        <w:t>（快递仅限ems或顺丰）</w:t>
      </w:r>
      <w:r>
        <w:rPr>
          <w:rFonts w:hint="eastAsia" w:ascii="仿宋" w:hAnsi="仿宋" w:eastAsia="仿宋" w:cs="仿宋"/>
          <w:i w:val="0"/>
          <w:caps w:val="0"/>
          <w:color w:val="auto"/>
          <w:spacing w:val="0"/>
          <w:sz w:val="24"/>
          <w:szCs w:val="24"/>
          <w:highlight w:val="none"/>
          <w:lang w:val="zh-CN" w:eastAsia="zh-CN"/>
        </w:rPr>
        <w:t>，</w:t>
      </w:r>
      <w:r>
        <w:rPr>
          <w:rFonts w:hint="eastAsia" w:ascii="仿宋" w:hAnsi="仿宋" w:eastAsia="仿宋" w:cs="仿宋"/>
          <w:color w:val="auto"/>
          <w:sz w:val="24"/>
          <w:highlight w:val="none"/>
          <w:lang w:val="zh-CN"/>
        </w:rPr>
        <w:t>收件人：朱女士、王女士，电话：0571-</w:t>
      </w:r>
      <w:r>
        <w:rPr>
          <w:rFonts w:hint="eastAsia" w:ascii="仿宋" w:hAnsi="仿宋" w:eastAsia="仿宋" w:cs="仿宋"/>
          <w:i w:val="0"/>
          <w:caps w:val="0"/>
          <w:color w:val="auto"/>
          <w:spacing w:val="0"/>
          <w:sz w:val="24"/>
          <w:szCs w:val="24"/>
          <w:highlight w:val="none"/>
          <w:lang w:val="zh-CN"/>
        </w:rPr>
        <w:t>8</w:t>
      </w:r>
      <w:r>
        <w:rPr>
          <w:rFonts w:hint="eastAsia" w:ascii="仿宋" w:hAnsi="仿宋" w:eastAsia="仿宋" w:cs="仿宋"/>
          <w:i w:val="0"/>
          <w:caps w:val="0"/>
          <w:color w:val="auto"/>
          <w:spacing w:val="0"/>
          <w:sz w:val="24"/>
          <w:szCs w:val="24"/>
          <w:highlight w:val="none"/>
          <w:lang w:val="zh-CN" w:eastAsia="zh-CN"/>
        </w:rPr>
        <w:t>7227671,0571-87800218</w:t>
      </w:r>
      <w:r>
        <w:rPr>
          <w:rFonts w:hint="eastAsia" w:ascii="仿宋" w:hAnsi="仿宋" w:eastAsia="仿宋" w:cs="仿宋"/>
          <w:color w:val="auto"/>
          <w:sz w:val="24"/>
          <w:highlight w:val="none"/>
          <w:lang w:val="zh-CN"/>
        </w:rPr>
        <w:t>。</w:t>
      </w:r>
    </w:p>
    <w:p w14:paraId="3FD917CA">
      <w:pPr>
        <w:adjustRightInd w:val="0"/>
        <w:snapToGrid w:val="0"/>
        <w:spacing w:beforeAutospacing="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4.5补偿救济</w:t>
      </w:r>
    </w:p>
    <w:p w14:paraId="43B4FFBE">
      <w:pPr>
        <w:adjustRightInd w:val="0"/>
        <w:snapToGrid w:val="0"/>
        <w:spacing w:afterAutospacing="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采购人因政策变化、规划调整而不履行政府采购合同的，供应商可依据《杭州市涉企补偿救济实施办法（试行）》向采购人提起补偿申请。</w:t>
      </w:r>
    </w:p>
    <w:p w14:paraId="31A9AD46">
      <w:pPr>
        <w:shd w:val="clear" w:color="auto" w:fill="FFFFFF"/>
        <w:snapToGrid w:val="0"/>
        <w:spacing w:before="0" w:beforeAutospacing="0" w:after="0" w:afterAutospacing="0"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投诉书范本及制作说明详见附件3。</w:t>
      </w:r>
    </w:p>
    <w:p w14:paraId="6C90ECAC">
      <w:pPr>
        <w:pStyle w:val="5"/>
        <w:adjustRightInd/>
        <w:jc w:val="center"/>
        <w:outlineLvl w:val="0"/>
        <w:rPr>
          <w:rFonts w:hint="default" w:ascii="仿宋" w:hAnsi="仿宋" w:eastAsia="仿宋" w:cs="仿宋"/>
          <w:b/>
          <w:color w:val="auto"/>
          <w:sz w:val="28"/>
          <w:szCs w:val="28"/>
          <w:highlight w:val="none"/>
        </w:rPr>
      </w:pPr>
      <w:r>
        <w:rPr>
          <w:rFonts w:hint="default" w:ascii="仿宋" w:hAnsi="仿宋" w:eastAsia="仿宋" w:cs="仿宋"/>
          <w:b/>
          <w:color w:val="auto"/>
          <w:sz w:val="28"/>
          <w:szCs w:val="28"/>
          <w:highlight w:val="none"/>
        </w:rPr>
        <w:t>二、招标文件的构成、澄清、修改</w:t>
      </w:r>
    </w:p>
    <w:p w14:paraId="4F3F34DB">
      <w:pPr>
        <w:pStyle w:val="6"/>
        <w:rPr>
          <w:rFonts w:hint="default" w:ascii="仿宋" w:hAnsi="仿宋" w:eastAsia="仿宋" w:cs="仿宋"/>
          <w:b/>
          <w:color w:val="auto"/>
          <w:sz w:val="24"/>
          <w:szCs w:val="24"/>
          <w:highlight w:val="none"/>
        </w:rPr>
      </w:pPr>
      <w:r>
        <w:rPr>
          <w:rFonts w:hint="default" w:ascii="仿宋" w:hAnsi="仿宋" w:eastAsia="仿宋" w:cs="仿宋"/>
          <w:b/>
          <w:color w:val="auto"/>
          <w:sz w:val="24"/>
          <w:szCs w:val="24"/>
          <w:highlight w:val="none"/>
        </w:rPr>
        <w:t>5</w:t>
      </w:r>
      <w:r>
        <w:rPr>
          <w:rFonts w:hint="eastAsia" w:ascii="仿宋" w:hAnsi="仿宋" w:eastAsia="仿宋" w:cs="仿宋"/>
          <w:b/>
          <w:color w:val="auto"/>
          <w:sz w:val="24"/>
          <w:szCs w:val="24"/>
          <w:highlight w:val="none"/>
        </w:rPr>
        <w:t>.</w:t>
      </w:r>
      <w:r>
        <w:rPr>
          <w:rFonts w:hint="default" w:ascii="仿宋" w:hAnsi="仿宋" w:eastAsia="仿宋" w:cs="仿宋"/>
          <w:b/>
          <w:color w:val="auto"/>
          <w:sz w:val="24"/>
          <w:szCs w:val="24"/>
          <w:highlight w:val="none"/>
        </w:rPr>
        <w:t>招标文件的构成</w:t>
      </w:r>
    </w:p>
    <w:p w14:paraId="0E31914C">
      <w:pPr>
        <w:spacing w:line="360" w:lineRule="auto"/>
        <w:ind w:firstLine="535" w:firstLineChars="223"/>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5.1招标文件包括下列文件及附件：</w:t>
      </w:r>
    </w:p>
    <w:p w14:paraId="25CEA869">
      <w:pPr>
        <w:spacing w:line="360" w:lineRule="auto"/>
        <w:ind w:firstLine="535" w:firstLineChars="223"/>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5.1.1招标公告；</w:t>
      </w:r>
    </w:p>
    <w:p w14:paraId="3A691B65">
      <w:pPr>
        <w:spacing w:line="360" w:lineRule="auto"/>
        <w:ind w:firstLine="535" w:firstLineChars="223"/>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5.1.2投标人须知；</w:t>
      </w:r>
    </w:p>
    <w:p w14:paraId="7FE13B58">
      <w:pPr>
        <w:spacing w:line="360" w:lineRule="auto"/>
        <w:ind w:firstLine="535" w:firstLineChars="223"/>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5.1.3采购需求；</w:t>
      </w:r>
    </w:p>
    <w:p w14:paraId="0434DACC">
      <w:pPr>
        <w:spacing w:line="360" w:lineRule="auto"/>
        <w:ind w:firstLine="535" w:firstLineChars="223"/>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5.1.4评标办法；</w:t>
      </w:r>
    </w:p>
    <w:p w14:paraId="63463972">
      <w:pPr>
        <w:spacing w:line="360" w:lineRule="auto"/>
        <w:ind w:firstLine="535" w:firstLineChars="223"/>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5.1.5拟签订的合同文本；</w:t>
      </w:r>
    </w:p>
    <w:p w14:paraId="0BFB66D1">
      <w:pPr>
        <w:spacing w:line="360" w:lineRule="auto"/>
        <w:ind w:firstLine="535" w:firstLineChars="223"/>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highlight w:val="none"/>
          <w:lang w:val="zh-CN"/>
        </w:rPr>
        <w:t>5.1.6</w:t>
      </w:r>
      <w:r>
        <w:rPr>
          <w:rFonts w:hint="eastAsia" w:ascii="仿宋" w:hAnsi="仿宋" w:eastAsia="仿宋" w:cs="仿宋"/>
          <w:color w:val="auto"/>
          <w:sz w:val="24"/>
          <w:szCs w:val="24"/>
          <w:highlight w:val="none"/>
          <w:lang w:val="zh-CN"/>
        </w:rPr>
        <w:t>应提交的有关格式范例。</w:t>
      </w:r>
    </w:p>
    <w:p w14:paraId="4C7DE1FB">
      <w:pPr>
        <w:spacing w:line="360" w:lineRule="auto"/>
        <w:ind w:firstLine="535" w:firstLineChars="223"/>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5.2与本项目有关的</w:t>
      </w:r>
      <w:r>
        <w:rPr>
          <w:rFonts w:hint="eastAsia" w:ascii="仿宋" w:hAnsi="仿宋" w:eastAsia="仿宋" w:cs="仿宋"/>
          <w:bCs w:val="0"/>
          <w:color w:val="auto"/>
          <w:sz w:val="24"/>
          <w:highlight w:val="none"/>
          <w:lang w:val="zh-CN"/>
        </w:rPr>
        <w:t>澄清或者修改的内容为招标文件的组成部分</w:t>
      </w:r>
      <w:r>
        <w:rPr>
          <w:rFonts w:hint="eastAsia" w:ascii="仿宋" w:hAnsi="仿宋" w:eastAsia="仿宋" w:cs="仿宋"/>
          <w:color w:val="auto"/>
          <w:sz w:val="24"/>
          <w:highlight w:val="none"/>
          <w:lang w:val="zh-CN"/>
        </w:rPr>
        <w:t>。</w:t>
      </w:r>
    </w:p>
    <w:p w14:paraId="04255502">
      <w:pPr>
        <w:pStyle w:val="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6.招标文件的澄清、修改</w:t>
      </w:r>
    </w:p>
    <w:p w14:paraId="0C231D13">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6.1已获取招标文件的潜在投标人，若有问题需要澄清，应于投标截止时</w:t>
      </w:r>
      <w:r>
        <w:rPr>
          <w:rFonts w:hint="eastAsia" w:ascii="仿宋" w:hAnsi="仿宋" w:eastAsia="仿宋" w:cs="仿宋"/>
          <w:color w:val="auto"/>
          <w:highlight w:val="none"/>
          <w:lang w:eastAsia="zh-CN"/>
        </w:rPr>
        <w:t>间之</w:t>
      </w:r>
      <w:r>
        <w:rPr>
          <w:rFonts w:hint="eastAsia" w:ascii="仿宋" w:hAnsi="仿宋" w:eastAsia="仿宋" w:cs="仿宋"/>
          <w:color w:val="auto"/>
          <w:highlight w:val="none"/>
        </w:rPr>
        <w:t>前，以书面形式向</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提出。</w:t>
      </w:r>
    </w:p>
    <w:p w14:paraId="2C8A8BAE">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6.2</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78B40E32">
      <w:pPr>
        <w:pStyle w:val="5"/>
        <w:adjustRightInd/>
        <w:jc w:val="center"/>
        <w:outlineLvl w:val="0"/>
        <w:rPr>
          <w:rFonts w:hint="default" w:ascii="仿宋" w:hAnsi="仿宋" w:eastAsia="仿宋" w:cs="仿宋"/>
          <w:b/>
          <w:color w:val="auto"/>
          <w:sz w:val="28"/>
          <w:szCs w:val="28"/>
          <w:highlight w:val="none"/>
        </w:rPr>
      </w:pPr>
      <w:r>
        <w:rPr>
          <w:rFonts w:hint="default" w:ascii="仿宋" w:hAnsi="仿宋" w:eastAsia="仿宋" w:cs="仿宋"/>
          <w:b/>
          <w:color w:val="auto"/>
          <w:sz w:val="28"/>
          <w:szCs w:val="28"/>
          <w:highlight w:val="none"/>
        </w:rPr>
        <w:t>三、投标</w:t>
      </w:r>
    </w:p>
    <w:p w14:paraId="4C303CBB">
      <w:pPr>
        <w:pStyle w:val="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7.招标文件的获取</w:t>
      </w:r>
    </w:p>
    <w:p w14:paraId="2C994E72">
      <w:pPr>
        <w:spacing w:line="360" w:lineRule="auto"/>
        <w:ind w:firstLine="480" w:firstLineChars="200"/>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详见招标公告中获取招标文件的时间期限、地点、方式及招标文件售价。</w:t>
      </w:r>
    </w:p>
    <w:p w14:paraId="6190C2C5">
      <w:pPr>
        <w:pStyle w:val="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8.开标前答疑会或现场考察</w:t>
      </w:r>
    </w:p>
    <w:p w14:paraId="028204D8">
      <w:pPr>
        <w:pStyle w:val="32"/>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采购人组织潜在投标人现场考察或者召开开标前答疑会的，潜在投标人按第二部分投标人须知前附表的规定参加现场考察或者开标前答疑会。</w:t>
      </w:r>
    </w:p>
    <w:p w14:paraId="0415B67F">
      <w:pPr>
        <w:pStyle w:val="6"/>
        <w:rPr>
          <w:rFonts w:hint="eastAsia" w:ascii="仿宋" w:hAnsi="仿宋" w:eastAsia="仿宋" w:cs="仿宋"/>
          <w:b/>
          <w:color w:val="auto"/>
          <w:szCs w:val="24"/>
          <w:highlight w:val="none"/>
        </w:rPr>
      </w:pPr>
      <w:r>
        <w:rPr>
          <w:rFonts w:hint="eastAsia" w:ascii="仿宋" w:hAnsi="仿宋" w:eastAsia="仿宋" w:cs="仿宋"/>
          <w:b/>
          <w:color w:val="auto"/>
          <w:kern w:val="2"/>
          <w:sz w:val="24"/>
          <w:szCs w:val="24"/>
          <w:highlight w:val="none"/>
        </w:rPr>
        <w:t>9.投标保证金</w:t>
      </w:r>
    </w:p>
    <w:p w14:paraId="29CB09B8">
      <w:pPr>
        <w:pStyle w:val="2"/>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本项目不需缴纳投标保证金。</w:t>
      </w:r>
    </w:p>
    <w:p w14:paraId="6C18C7D9">
      <w:pPr>
        <w:pStyle w:val="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10.投标文件的语言</w:t>
      </w:r>
    </w:p>
    <w:p w14:paraId="66CEF1F8">
      <w:pPr>
        <w:autoSpaceDE w:val="0"/>
        <w:autoSpaceDN w:val="0"/>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投标文件及投标人与采购有关的来往通知、函件和文件均应使用中文。</w:t>
      </w:r>
    </w:p>
    <w:p w14:paraId="57C2DFE6">
      <w:pPr>
        <w:pStyle w:val="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11.投标文件的组成</w:t>
      </w:r>
    </w:p>
    <w:p w14:paraId="71A27FF4">
      <w:pPr>
        <w:snapToGrid/>
        <w:spacing w:afterLines="0"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11.1资格文件：</w:t>
      </w:r>
    </w:p>
    <w:p w14:paraId="0B582FF8">
      <w:pPr>
        <w:pStyle w:val="131"/>
        <w:snapToGrid w:val="0"/>
        <w:spacing w:before="0" w:beforeLines="0" w:afterLines="0"/>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11.1.1符合参加政府采购活动应当具备的一般条件的承诺函；</w:t>
      </w:r>
    </w:p>
    <w:p w14:paraId="78508866">
      <w:pPr>
        <w:pStyle w:val="131"/>
        <w:snapToGrid w:val="0"/>
        <w:spacing w:before="0" w:beforeLines="0" w:afterLines="0"/>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11.1.2</w:t>
      </w:r>
      <w:r>
        <w:rPr>
          <w:rFonts w:hint="eastAsia" w:ascii="仿宋" w:hAnsi="仿宋" w:eastAsia="仿宋" w:cs="仿宋"/>
          <w:snapToGrid/>
          <w:color w:val="auto"/>
          <w:kern w:val="2"/>
          <w:sz w:val="24"/>
          <w:szCs w:val="20"/>
          <w:highlight w:val="none"/>
        </w:rPr>
        <w:t>联合协议（如果有</w:t>
      </w:r>
      <w:r>
        <w:rPr>
          <w:rFonts w:hint="eastAsia" w:ascii="仿宋" w:hAnsi="仿宋" w:eastAsia="仿宋" w:cs="仿宋"/>
          <w:snapToGrid/>
          <w:color w:val="auto"/>
          <w:kern w:val="2"/>
          <w:sz w:val="24"/>
          <w:szCs w:val="20"/>
          <w:highlight w:val="none"/>
          <w:lang w:eastAsia="zh-CN"/>
        </w:rPr>
        <w:t>）</w:t>
      </w:r>
      <w:r>
        <w:rPr>
          <w:rFonts w:hint="eastAsia" w:ascii="仿宋" w:hAnsi="仿宋" w:eastAsia="仿宋" w:cs="仿宋"/>
          <w:snapToGrid/>
          <w:color w:val="auto"/>
          <w:kern w:val="2"/>
          <w:sz w:val="24"/>
          <w:szCs w:val="20"/>
          <w:highlight w:val="none"/>
        </w:rPr>
        <w:t>；</w:t>
      </w:r>
    </w:p>
    <w:p w14:paraId="6570D146">
      <w:pPr>
        <w:pStyle w:val="131"/>
        <w:snapToGrid w:val="0"/>
        <w:spacing w:before="0" w:beforeLines="0" w:afterLines="0"/>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11.1.3落实政府采购政策需满足的资格要求</w:t>
      </w:r>
      <w:r>
        <w:rPr>
          <w:rFonts w:hint="eastAsia" w:ascii="仿宋" w:hAnsi="仿宋" w:eastAsia="仿宋" w:cs="仿宋"/>
          <w:snapToGrid/>
          <w:color w:val="auto"/>
          <w:kern w:val="2"/>
          <w:sz w:val="24"/>
          <w:szCs w:val="20"/>
          <w:highlight w:val="none"/>
        </w:rPr>
        <w:t>（如果有</w:t>
      </w:r>
      <w:r>
        <w:rPr>
          <w:rFonts w:hint="eastAsia" w:ascii="仿宋" w:hAnsi="仿宋" w:eastAsia="仿宋" w:cs="仿宋"/>
          <w:snapToGrid/>
          <w:color w:val="auto"/>
          <w:kern w:val="2"/>
          <w:sz w:val="24"/>
          <w:szCs w:val="20"/>
          <w:highlight w:val="none"/>
          <w:lang w:eastAsia="zh-CN"/>
        </w:rPr>
        <w:t>）</w:t>
      </w:r>
      <w:r>
        <w:rPr>
          <w:rFonts w:hint="eastAsia" w:ascii="仿宋" w:hAnsi="仿宋" w:eastAsia="仿宋" w:cs="仿宋"/>
          <w:color w:val="auto"/>
          <w:sz w:val="24"/>
          <w:highlight w:val="none"/>
        </w:rPr>
        <w:t>；</w:t>
      </w:r>
    </w:p>
    <w:p w14:paraId="72184BD8">
      <w:pPr>
        <w:pStyle w:val="131"/>
        <w:snapToGrid w:val="0"/>
        <w:spacing w:before="0" w:beforeLines="0"/>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11.1.4本项目的特定资格要求</w:t>
      </w:r>
      <w:r>
        <w:rPr>
          <w:rFonts w:hint="eastAsia" w:ascii="仿宋" w:hAnsi="仿宋" w:eastAsia="仿宋" w:cs="仿宋"/>
          <w:snapToGrid/>
          <w:color w:val="auto"/>
          <w:kern w:val="2"/>
          <w:sz w:val="24"/>
          <w:szCs w:val="20"/>
          <w:highlight w:val="none"/>
        </w:rPr>
        <w:t>（如果有</w:t>
      </w:r>
      <w:r>
        <w:rPr>
          <w:rFonts w:hint="eastAsia" w:ascii="仿宋" w:hAnsi="仿宋" w:eastAsia="仿宋" w:cs="仿宋"/>
          <w:snapToGrid/>
          <w:color w:val="auto"/>
          <w:kern w:val="2"/>
          <w:sz w:val="24"/>
          <w:szCs w:val="20"/>
          <w:highlight w:val="none"/>
          <w:lang w:eastAsia="zh-CN"/>
        </w:rPr>
        <w:t>）</w:t>
      </w:r>
      <w:r>
        <w:rPr>
          <w:rFonts w:hint="eastAsia" w:ascii="仿宋" w:hAnsi="仿宋" w:eastAsia="仿宋" w:cs="仿宋"/>
          <w:color w:val="auto"/>
          <w:sz w:val="24"/>
          <w:highlight w:val="none"/>
        </w:rPr>
        <w:t>。</w:t>
      </w:r>
    </w:p>
    <w:p w14:paraId="17ADC75B">
      <w:pPr>
        <w:snapToGrid/>
        <w:spacing w:afterLines="0" w:line="360" w:lineRule="auto"/>
        <w:ind w:firstLine="482" w:firstLineChars="200"/>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11.</w:t>
      </w:r>
      <w:r>
        <w:rPr>
          <w:rFonts w:hint="eastAsia" w:ascii="仿宋" w:hAnsi="仿宋" w:eastAsia="仿宋" w:cs="仿宋"/>
          <w:b/>
          <w:bCs/>
          <w:color w:val="auto"/>
          <w:sz w:val="24"/>
          <w:highlight w:val="none"/>
        </w:rPr>
        <w:t>2商务技术</w:t>
      </w:r>
      <w:r>
        <w:rPr>
          <w:rFonts w:hint="eastAsia" w:ascii="仿宋" w:hAnsi="仿宋" w:eastAsia="仿宋" w:cs="仿宋"/>
          <w:b/>
          <w:bCs/>
          <w:color w:val="auto"/>
          <w:sz w:val="24"/>
          <w:highlight w:val="none"/>
          <w:lang w:val="zh-CN"/>
        </w:rPr>
        <w:t>文件：</w:t>
      </w:r>
    </w:p>
    <w:p w14:paraId="2133DD2F">
      <w:pPr>
        <w:pStyle w:val="131"/>
        <w:snapToGrid w:val="0"/>
        <w:spacing w:before="0" w:beforeLines="0" w:afterLines="0"/>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11.2.1投标函；</w:t>
      </w:r>
    </w:p>
    <w:p w14:paraId="10473F28">
      <w:pPr>
        <w:pStyle w:val="131"/>
        <w:snapToGrid w:val="0"/>
        <w:spacing w:before="0" w:beforeLines="0" w:afterLines="0"/>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11.2.2授权委托书或法定代表人（单位负责人、自然人本人）身份证明；</w:t>
      </w:r>
    </w:p>
    <w:p w14:paraId="1375595A">
      <w:pPr>
        <w:pStyle w:val="131"/>
        <w:snapToGrid w:val="0"/>
        <w:spacing w:before="0" w:beforeLines="0" w:afterLines="0"/>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11.2.3分包意向协议</w:t>
      </w:r>
      <w:r>
        <w:rPr>
          <w:rFonts w:hint="eastAsia" w:ascii="仿宋" w:hAnsi="仿宋" w:eastAsia="仿宋" w:cs="仿宋"/>
          <w:snapToGrid/>
          <w:color w:val="auto"/>
          <w:kern w:val="2"/>
          <w:sz w:val="24"/>
          <w:szCs w:val="20"/>
          <w:highlight w:val="none"/>
        </w:rPr>
        <w:t>（如果有</w:t>
      </w:r>
      <w:r>
        <w:rPr>
          <w:rFonts w:hint="eastAsia" w:ascii="仿宋" w:hAnsi="仿宋" w:eastAsia="仿宋" w:cs="仿宋"/>
          <w:snapToGrid/>
          <w:color w:val="auto"/>
          <w:kern w:val="2"/>
          <w:sz w:val="24"/>
          <w:szCs w:val="20"/>
          <w:highlight w:val="none"/>
          <w:lang w:eastAsia="zh-CN"/>
        </w:rPr>
        <w:t>）</w:t>
      </w:r>
      <w:r>
        <w:rPr>
          <w:rFonts w:hint="eastAsia" w:ascii="仿宋" w:hAnsi="仿宋" w:eastAsia="仿宋" w:cs="仿宋"/>
          <w:color w:val="auto"/>
          <w:sz w:val="24"/>
          <w:highlight w:val="none"/>
        </w:rPr>
        <w:t>；</w:t>
      </w:r>
    </w:p>
    <w:p w14:paraId="41090EAE">
      <w:pPr>
        <w:pStyle w:val="131"/>
        <w:snapToGrid w:val="0"/>
        <w:spacing w:before="0" w:beforeLines="0" w:afterLines="0"/>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11.2.4符合性审查资料；</w:t>
      </w:r>
    </w:p>
    <w:p w14:paraId="7F9D3B78">
      <w:pPr>
        <w:pStyle w:val="131"/>
        <w:snapToGrid w:val="0"/>
        <w:spacing w:before="0" w:beforeLines="0" w:afterLines="0"/>
        <w:ind w:left="420" w:leftChars="20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11.2.5评标标准相应的商务技术资料；</w:t>
      </w:r>
    </w:p>
    <w:p w14:paraId="49A3DBDC">
      <w:pPr>
        <w:pStyle w:val="131"/>
        <w:snapToGrid w:val="0"/>
        <w:spacing w:before="0" w:beforeLines="0" w:afterLines="0"/>
        <w:ind w:left="420" w:leftChars="20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11.2.6投标标的清单；</w:t>
      </w:r>
    </w:p>
    <w:p w14:paraId="795FE148">
      <w:pPr>
        <w:pStyle w:val="131"/>
        <w:snapToGrid w:val="0"/>
        <w:spacing w:before="0" w:beforeLines="0" w:afterLines="0"/>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11.2.7商务技术偏离表；</w:t>
      </w:r>
    </w:p>
    <w:p w14:paraId="43F7629A">
      <w:pPr>
        <w:pStyle w:val="131"/>
        <w:snapToGrid w:val="0"/>
        <w:spacing w:before="0" w:beforeLines="0" w:afterLines="0"/>
        <w:ind w:firstLine="960" w:firstLineChars="4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11.</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zh-CN"/>
        </w:rPr>
        <w:t>政府采购供应商廉洁自律承诺书；</w:t>
      </w:r>
    </w:p>
    <w:p w14:paraId="5901DC07">
      <w:pPr>
        <w:snapToGrid/>
        <w:spacing w:line="360" w:lineRule="auto"/>
        <w:ind w:firstLine="482" w:firstLineChars="200"/>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11.3报价文件：</w:t>
      </w:r>
    </w:p>
    <w:p w14:paraId="5F5EA1FD">
      <w:pPr>
        <w:pStyle w:val="131"/>
        <w:snapToGrid w:val="0"/>
        <w:spacing w:before="0" w:beforeLines="0" w:afterLines="0"/>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11.3.1开标一览表（报价表）；</w:t>
      </w:r>
    </w:p>
    <w:p w14:paraId="7589107C">
      <w:pPr>
        <w:pStyle w:val="131"/>
        <w:snapToGrid w:val="0"/>
        <w:spacing w:before="0" w:beforeLines="0" w:afterLines="0"/>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11.3.</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中小企业声明函。</w:t>
      </w:r>
    </w:p>
    <w:p w14:paraId="2F42161A">
      <w:pPr>
        <w:spacing w:line="360" w:lineRule="auto"/>
        <w:ind w:firstLine="482" w:firstLineChars="200"/>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投标文件含有采购人不能接受的附加条件的，投标无效；</w:t>
      </w:r>
    </w:p>
    <w:p w14:paraId="22B5B4E2">
      <w:pPr>
        <w:spacing w:line="360" w:lineRule="auto"/>
        <w:ind w:firstLine="482" w:firstLineChars="200"/>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投标人提供虚假材料投标的，投标无效。</w:t>
      </w:r>
    </w:p>
    <w:p w14:paraId="7260682D">
      <w:pPr>
        <w:pStyle w:val="131"/>
        <w:spacing w:beforeLines="0" w:afterLines="0"/>
        <w:ind w:firstLine="720" w:firstLineChars="300"/>
        <w:rPr>
          <w:rFonts w:hint="eastAsia" w:ascii="仿宋" w:hAnsi="仿宋" w:eastAsia="仿宋" w:cs="仿宋"/>
          <w:color w:val="auto"/>
          <w:highlight w:val="none"/>
        </w:rPr>
      </w:pPr>
      <w:r>
        <w:rPr>
          <w:rFonts w:hint="eastAsia" w:ascii="仿宋" w:hAnsi="仿宋" w:eastAsia="仿宋" w:cs="仿宋"/>
          <w:color w:val="auto"/>
          <w:sz w:val="24"/>
          <w:szCs w:val="20"/>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76D8412E">
      <w:pPr>
        <w:pStyle w:val="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w:t>
      </w:r>
      <w:r>
        <w:rPr>
          <w:rFonts w:hint="eastAsia" w:ascii="仿宋" w:hAnsi="仿宋" w:eastAsia="仿宋" w:cs="仿宋"/>
          <w:b/>
          <w:color w:val="auto"/>
          <w:sz w:val="24"/>
          <w:szCs w:val="24"/>
          <w:highlight w:val="none"/>
          <w:lang w:val="zh-CN"/>
        </w:rPr>
        <w:t>.</w:t>
      </w:r>
      <w:r>
        <w:rPr>
          <w:rFonts w:hint="eastAsia" w:ascii="仿宋" w:hAnsi="仿宋" w:eastAsia="仿宋" w:cs="仿宋"/>
          <w:b/>
          <w:color w:val="auto"/>
          <w:sz w:val="24"/>
          <w:szCs w:val="24"/>
          <w:highlight w:val="none"/>
        </w:rPr>
        <w:t>投标文件的编制</w:t>
      </w:r>
    </w:p>
    <w:p w14:paraId="420A9B08">
      <w:pPr>
        <w:pStyle w:val="131"/>
        <w:spacing w:before="0" w:beforeLines="0" w:afterLines="0"/>
        <w:ind w:firstLineChars="200"/>
        <w:rPr>
          <w:rFonts w:hint="eastAsia" w:ascii="仿宋" w:hAnsi="仿宋" w:eastAsia="仿宋" w:cs="仿宋"/>
          <w:b w:val="0"/>
          <w:color w:val="auto"/>
          <w:sz w:val="24"/>
          <w:highlight w:val="none"/>
        </w:rPr>
      </w:pPr>
      <w:r>
        <w:rPr>
          <w:rFonts w:hint="eastAsia" w:ascii="仿宋" w:hAnsi="仿宋" w:eastAsia="仿宋" w:cs="仿宋"/>
          <w:color w:val="auto"/>
          <w:kern w:val="2"/>
          <w:sz w:val="24"/>
          <w:highlight w:val="none"/>
          <w:lang w:val="en-US"/>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05EF5C21">
      <w:pPr>
        <w:pStyle w:val="131"/>
        <w:spacing w:before="0" w:beforeLines="0" w:afterLines="0"/>
        <w:ind w:firstLineChars="200"/>
        <w:rPr>
          <w:rFonts w:hint="eastAsia" w:ascii="仿宋" w:hAnsi="仿宋" w:eastAsia="仿宋" w:cs="仿宋"/>
          <w:color w:val="auto"/>
          <w:kern w:val="2"/>
          <w:sz w:val="24"/>
          <w:highlight w:val="none"/>
          <w:lang w:val="en-US"/>
        </w:rPr>
      </w:pPr>
      <w:r>
        <w:rPr>
          <w:rFonts w:hint="eastAsia" w:ascii="仿宋" w:hAnsi="仿宋" w:eastAsia="仿宋" w:cs="仿宋"/>
          <w:color w:val="auto"/>
          <w:kern w:val="2"/>
          <w:sz w:val="24"/>
          <w:highlight w:val="none"/>
          <w:lang w:val="en-US"/>
        </w:rPr>
        <w:t>12.2投标人进行电子投标应安装客户端软件—“政采云电子交易客户端”，并按照招标文件和电子交易平台的要求编制并加密投标文件。投标人未按规定加密的投标文件，电子交易平台将拒收并提示。</w:t>
      </w:r>
    </w:p>
    <w:p w14:paraId="21F9D521">
      <w:pPr>
        <w:pStyle w:val="131"/>
        <w:spacing w:before="0" w:beforeLines="0" w:afterLines="0"/>
        <w:ind w:firstLineChars="200"/>
        <w:rPr>
          <w:rFonts w:hint="eastAsia" w:ascii="仿宋" w:hAnsi="仿宋" w:eastAsia="仿宋" w:cs="仿宋"/>
          <w:color w:val="auto"/>
          <w:kern w:val="2"/>
          <w:sz w:val="24"/>
          <w:highlight w:val="none"/>
          <w:lang w:val="en-US"/>
        </w:rPr>
      </w:pPr>
      <w:r>
        <w:rPr>
          <w:rFonts w:hint="eastAsia" w:ascii="仿宋" w:hAnsi="仿宋" w:eastAsia="仿宋" w:cs="仿宋"/>
          <w:color w:val="auto"/>
          <w:kern w:val="2"/>
          <w:sz w:val="24"/>
          <w:highlight w:val="none"/>
          <w:lang w:val="en-US"/>
        </w:rPr>
        <w:t>12.3使用“政采云电子交易客户端”需要提前申领CA数字证书，申领流程请自行前往“浙江政府采购网-下载专区</w:t>
      </w:r>
      <w:r>
        <w:rPr>
          <w:rFonts w:hint="eastAsia" w:ascii="仿宋" w:hAnsi="仿宋" w:eastAsia="仿宋" w:cs="仿宋"/>
          <w:color w:val="auto"/>
          <w:kern w:val="2"/>
          <w:sz w:val="24"/>
          <w:highlight w:val="none"/>
          <w:lang w:val="en-US" w:eastAsia="zh-CN"/>
        </w:rPr>
        <w:t>－</w:t>
      </w:r>
      <w:r>
        <w:rPr>
          <w:rFonts w:hint="eastAsia" w:ascii="仿宋" w:hAnsi="仿宋" w:eastAsia="仿宋" w:cs="仿宋"/>
          <w:color w:val="auto"/>
          <w:kern w:val="2"/>
          <w:sz w:val="24"/>
          <w:highlight w:val="none"/>
          <w:lang w:val="en-US"/>
        </w:rPr>
        <w:t>电子交易客户端-CA驱动和申领流程”进行查阅。</w:t>
      </w:r>
    </w:p>
    <w:p w14:paraId="66210E1B">
      <w:pPr>
        <w:pStyle w:val="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13.投标文件的签署、盖章</w:t>
      </w:r>
    </w:p>
    <w:p w14:paraId="6A7E7469">
      <w:pPr>
        <w:pStyle w:val="131"/>
        <w:snapToGrid w:val="0"/>
        <w:spacing w:before="0"/>
        <w:ind w:firstLine="480"/>
        <w:rPr>
          <w:rFonts w:hint="eastAsia" w:ascii="仿宋" w:hAnsi="仿宋" w:eastAsia="仿宋" w:cs="仿宋"/>
          <w:b/>
          <w:color w:val="auto"/>
          <w:highlight w:val="none"/>
        </w:rPr>
      </w:pPr>
      <w:r>
        <w:rPr>
          <w:rFonts w:hint="eastAsia" w:ascii="仿宋" w:hAnsi="仿宋" w:eastAsia="仿宋" w:cs="仿宋"/>
          <w:color w:val="auto"/>
          <w:szCs w:val="24"/>
          <w:highlight w:val="none"/>
        </w:rPr>
        <w:t>13.1投标文件按照招标文件第六部分格式要</w:t>
      </w:r>
      <w:r>
        <w:rPr>
          <w:rFonts w:hint="eastAsia" w:ascii="仿宋" w:hAnsi="仿宋" w:eastAsia="仿宋" w:cs="仿宋"/>
          <w:color w:val="auto"/>
          <w:highlight w:val="none"/>
        </w:rPr>
        <w:t>求进行签署、盖章。</w:t>
      </w:r>
      <w:r>
        <w:rPr>
          <w:rFonts w:hint="eastAsia" w:ascii="仿宋" w:hAnsi="仿宋" w:eastAsia="仿宋" w:cs="仿宋"/>
          <w:b/>
          <w:color w:val="auto"/>
          <w:highlight w:val="none"/>
        </w:rPr>
        <w:t>▲投标人的投标文件未按照招标文件要求签署、盖章的，其投标无效</w:t>
      </w:r>
      <w:r>
        <w:rPr>
          <w:rFonts w:hint="eastAsia" w:ascii="仿宋" w:hAnsi="仿宋" w:eastAsia="仿宋" w:cs="仿宋"/>
          <w:color w:val="auto"/>
          <w:szCs w:val="24"/>
          <w:highlight w:val="none"/>
        </w:rPr>
        <w:t>。</w:t>
      </w:r>
    </w:p>
    <w:p w14:paraId="7788890C">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335740D4">
      <w:pPr>
        <w:pStyle w:val="131"/>
        <w:snapToGrid w:val="0"/>
        <w:spacing w:before="0"/>
        <w:ind w:firstLine="480"/>
        <w:rPr>
          <w:rFonts w:hint="eastAsia" w:ascii="仿宋" w:hAnsi="仿宋" w:eastAsia="仿宋" w:cs="仿宋"/>
          <w:color w:val="auto"/>
          <w:szCs w:val="24"/>
          <w:highlight w:val="none"/>
        </w:rPr>
      </w:pPr>
      <w:r>
        <w:rPr>
          <w:rFonts w:hint="eastAsia" w:ascii="仿宋" w:hAnsi="仿宋" w:eastAsia="仿宋" w:cs="仿宋"/>
          <w:color w:val="auto"/>
          <w:highlight w:val="none"/>
        </w:rPr>
        <w:t>13.3招标文件对投标文件签署、盖章的要求适用于电子签名。</w:t>
      </w:r>
    </w:p>
    <w:p w14:paraId="2A1F69B6">
      <w:pPr>
        <w:pStyle w:val="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14.投标文件的提交、补充、修改、撤回</w:t>
      </w:r>
    </w:p>
    <w:p w14:paraId="5AD17C39">
      <w:pPr>
        <w:pStyle w:val="131"/>
        <w:spacing w:before="0" w:beforeAutospacing="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377DC427">
      <w:pPr>
        <w:pStyle w:val="131"/>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14.2电子交易平台收到投标文件，将妥善保存并即时向供应商发出确认回执通知。在投标截止时</w:t>
      </w:r>
      <w:r>
        <w:rPr>
          <w:rFonts w:hint="eastAsia" w:ascii="仿宋" w:hAnsi="仿宋" w:eastAsia="仿宋" w:cs="仿宋"/>
          <w:color w:val="auto"/>
          <w:szCs w:val="24"/>
          <w:highlight w:val="none"/>
          <w:lang w:eastAsia="zh-CN"/>
        </w:rPr>
        <w:t>间之</w:t>
      </w:r>
      <w:r>
        <w:rPr>
          <w:rFonts w:hint="eastAsia" w:ascii="仿宋" w:hAnsi="仿宋" w:eastAsia="仿宋" w:cs="仿宋"/>
          <w:color w:val="auto"/>
          <w:szCs w:val="24"/>
          <w:highlight w:val="none"/>
        </w:rPr>
        <w:t>前，除供应商补充、修改或者撤回投标文件外，任何单位和个人不得解密或提取投标文件。</w:t>
      </w:r>
    </w:p>
    <w:p w14:paraId="45708A4B">
      <w:pPr>
        <w:pStyle w:val="131"/>
        <w:spacing w:before="0"/>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14.3采购人、</w:t>
      </w:r>
      <w:r>
        <w:rPr>
          <w:rFonts w:hint="eastAsia" w:ascii="仿宋" w:hAnsi="仿宋" w:eastAsia="仿宋" w:cs="仿宋"/>
          <w:color w:val="auto"/>
          <w:szCs w:val="24"/>
          <w:highlight w:val="none"/>
          <w:lang w:eastAsia="zh-CN"/>
        </w:rPr>
        <w:t>采购代理机构</w:t>
      </w:r>
      <w:r>
        <w:rPr>
          <w:rFonts w:hint="eastAsia" w:ascii="仿宋" w:hAnsi="仿宋" w:eastAsia="仿宋" w:cs="仿宋"/>
          <w:color w:val="auto"/>
          <w:szCs w:val="24"/>
          <w:highlight w:val="none"/>
        </w:rPr>
        <w:t>可以视情况延长投标文件提交的截止时间。在上述情况下，</w:t>
      </w:r>
      <w:r>
        <w:rPr>
          <w:rFonts w:hint="eastAsia" w:ascii="仿宋" w:hAnsi="仿宋" w:eastAsia="仿宋" w:cs="仿宋"/>
          <w:color w:val="auto"/>
          <w:szCs w:val="24"/>
          <w:highlight w:val="none"/>
          <w:lang w:eastAsia="zh-CN"/>
        </w:rPr>
        <w:t>采购代理机构</w:t>
      </w:r>
      <w:r>
        <w:rPr>
          <w:rFonts w:hint="eastAsia" w:ascii="仿宋" w:hAnsi="仿宋" w:eastAsia="仿宋" w:cs="仿宋"/>
          <w:color w:val="auto"/>
          <w:szCs w:val="24"/>
          <w:highlight w:val="none"/>
        </w:rPr>
        <w:t>与投标人以前在投标截止期方面的全部权利、责任和义务，将适用于延长至新的投标截止期。</w:t>
      </w:r>
    </w:p>
    <w:p w14:paraId="05CE8AE5">
      <w:pPr>
        <w:pStyle w:val="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15.备份投标文件</w:t>
      </w:r>
    </w:p>
    <w:p w14:paraId="4493DD07">
      <w:pPr>
        <w:pStyle w:val="32"/>
        <w:spacing w:line="360" w:lineRule="auto"/>
        <w:ind w:firstLine="360" w:firstLineChars="15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15.1投标人在电子交易平台传输递交投标文件后，还可以在投标截止时间前直接提交或者以邮政快递方式递交备份投标文件1份，</w:t>
      </w:r>
      <w:r>
        <w:rPr>
          <w:rFonts w:hint="eastAsia" w:ascii="仿宋" w:hAnsi="仿宋" w:eastAsia="仿宋" w:cs="仿宋"/>
          <w:b/>
          <w:color w:val="auto"/>
          <w:sz w:val="24"/>
          <w:szCs w:val="24"/>
          <w:highlight w:val="none"/>
        </w:rPr>
        <w:t>但采购人、</w:t>
      </w:r>
      <w:r>
        <w:rPr>
          <w:rFonts w:hint="eastAsia" w:ascii="仿宋" w:hAnsi="仿宋" w:eastAsia="仿宋" w:cs="仿宋"/>
          <w:b/>
          <w:color w:val="auto"/>
          <w:sz w:val="24"/>
          <w:szCs w:val="24"/>
          <w:highlight w:val="none"/>
          <w:lang w:eastAsia="zh-CN"/>
        </w:rPr>
        <w:t>采购代理机构</w:t>
      </w:r>
      <w:r>
        <w:rPr>
          <w:rFonts w:hint="eastAsia" w:ascii="仿宋" w:hAnsi="仿宋" w:eastAsia="仿宋" w:cs="仿宋"/>
          <w:b/>
          <w:color w:val="auto"/>
          <w:sz w:val="24"/>
          <w:szCs w:val="24"/>
          <w:highlight w:val="none"/>
        </w:rPr>
        <w:t>不强制或变相强制投标人提交备份投标文件。</w:t>
      </w:r>
    </w:p>
    <w:p w14:paraId="66032B6D">
      <w:pPr>
        <w:pStyle w:val="32"/>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15.2备份投标文件须在“政采云投标客户端”制作生成，并储存在</w:t>
      </w:r>
      <w:r>
        <w:rPr>
          <w:rFonts w:hint="eastAsia" w:ascii="仿宋" w:hAnsi="仿宋" w:eastAsia="仿宋" w:cs="仿宋"/>
          <w:color w:val="auto"/>
          <w:sz w:val="24"/>
          <w:highlight w:val="none"/>
        </w:rPr>
        <w:t>DVD光盘</w:t>
      </w:r>
      <w:r>
        <w:rPr>
          <w:rFonts w:hint="eastAsia" w:ascii="仿宋" w:hAnsi="仿宋" w:eastAsia="仿宋" w:cs="仿宋"/>
          <w:color w:val="auto"/>
          <w:sz w:val="24"/>
          <w:highlight w:val="none"/>
          <w:lang w:val="en-US" w:eastAsia="zh-CN"/>
        </w:rPr>
        <w:t>等存储介质</w:t>
      </w:r>
      <w:r>
        <w:rPr>
          <w:rFonts w:hint="eastAsia" w:ascii="仿宋" w:hAnsi="仿宋" w:eastAsia="仿宋" w:cs="仿宋"/>
          <w:color w:val="auto"/>
          <w:sz w:val="24"/>
          <w:szCs w:val="24"/>
          <w:highlight w:val="none"/>
        </w:rPr>
        <w:t>中。备份投标文件应当密封包装并在包装上加盖公章并注明投标项目名称，投标人名称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联合体投标的，包装物封面需注明联合体投标，并注明联合体成员各方的名称和联合协议中约定的牵头人的名称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b/>
          <w:color w:val="auto"/>
          <w:sz w:val="24"/>
          <w:highlight w:val="none"/>
        </w:rPr>
        <w:t>不符合上述制作、</w:t>
      </w:r>
      <w:r>
        <w:rPr>
          <w:rFonts w:hint="eastAsia" w:ascii="仿宋" w:hAnsi="仿宋" w:eastAsia="仿宋" w:cs="仿宋"/>
          <w:b/>
          <w:color w:val="auto"/>
          <w:sz w:val="24"/>
          <w:szCs w:val="24"/>
          <w:highlight w:val="none"/>
        </w:rPr>
        <w:t>存储、密封规定的备份投标文件将被视为无效或者被拒绝接收。</w:t>
      </w:r>
    </w:p>
    <w:p w14:paraId="77ADCB67">
      <w:pPr>
        <w:pStyle w:val="32"/>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15.3直接提交备份投标文件的，投标人应于投标截止时间前在招标公告中载明的开标地点将备份投标文件提交给</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将拒绝接受逾期送达的备份投标文件。</w:t>
      </w:r>
    </w:p>
    <w:p w14:paraId="66F4817F">
      <w:pPr>
        <w:pStyle w:val="32"/>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ascii="仿宋" w:hAnsi="仿宋" w:eastAsia="仿宋" w:cs="仿宋"/>
          <w:snapToGrid/>
          <w:color w:val="auto"/>
          <w:sz w:val="24"/>
          <w:szCs w:val="24"/>
          <w:highlight w:val="none"/>
        </w:rPr>
        <w:t>招标文件第二部分投标人须知前附表规定的备份投标文件送达地点；</w:t>
      </w:r>
      <w:r>
        <w:rPr>
          <w:rFonts w:hint="eastAsia" w:ascii="仿宋" w:hAnsi="仿宋" w:eastAsia="仿宋" w:cs="仿宋"/>
          <w:color w:val="auto"/>
          <w:sz w:val="24"/>
          <w:szCs w:val="24"/>
          <w:highlight w:val="none"/>
        </w:rPr>
        <w:t>送达时间以签收人签收时间为准。</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将拒绝接受逾期送达的备份投标文件。邮寄过程中，电子备份投标文件发生泄露、遗失、损坏或延期送达等情况的，由投标人自行负责。</w:t>
      </w:r>
    </w:p>
    <w:p w14:paraId="6A98D8A3">
      <w:pPr>
        <w:pStyle w:val="32"/>
        <w:spacing w:line="360" w:lineRule="auto"/>
        <w:ind w:firstLine="479" w:firstLineChars="19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15.5投标人仅提交备份投标文件，未在电子交易平台传输递交投标文件的，投标无效。</w:t>
      </w:r>
    </w:p>
    <w:p w14:paraId="4767EB5F">
      <w:pPr>
        <w:pStyle w:val="6"/>
        <w:spacing w:before="0"/>
        <w:ind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16.投标文件的无效处理</w:t>
      </w:r>
    </w:p>
    <w:p w14:paraId="252B7B8A">
      <w:pPr>
        <w:pStyle w:val="24"/>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有招标文件第四部分4.2规定的情形之一的，投标无效：</w:t>
      </w:r>
    </w:p>
    <w:p w14:paraId="61E1DEAE">
      <w:pPr>
        <w:pStyle w:val="6"/>
        <w:spacing w:before="0"/>
        <w:ind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17.投标有效期</w:t>
      </w:r>
    </w:p>
    <w:p w14:paraId="25E724D5">
      <w:pPr>
        <w:spacing w:line="360" w:lineRule="auto"/>
        <w:ind w:firstLine="480" w:firstLineChars="200"/>
        <w:rPr>
          <w:rFonts w:hint="eastAsia" w:ascii="仿宋" w:hAnsi="仿宋" w:eastAsia="仿宋" w:cs="仿宋"/>
          <w:b/>
          <w:color w:val="auto"/>
          <w:sz w:val="24"/>
          <w:szCs w:val="21"/>
          <w:highlight w:val="none"/>
        </w:rPr>
      </w:pPr>
      <w:r>
        <w:rPr>
          <w:rFonts w:hint="eastAsia" w:ascii="仿宋" w:hAnsi="仿宋" w:eastAsia="仿宋" w:cs="仿宋"/>
          <w:color w:val="auto"/>
          <w:sz w:val="24"/>
          <w:szCs w:val="20"/>
          <w:highlight w:val="none"/>
        </w:rPr>
        <w:t>17.1投标有效期为从提交投标文件的截止之日起90天。▲</w:t>
      </w:r>
      <w:r>
        <w:rPr>
          <w:rFonts w:hint="eastAsia" w:ascii="仿宋" w:hAnsi="仿宋" w:eastAsia="仿宋" w:cs="仿宋"/>
          <w:b/>
          <w:color w:val="auto"/>
          <w:sz w:val="24"/>
          <w:szCs w:val="20"/>
          <w:highlight w:val="none"/>
        </w:rPr>
        <w:t>投标人的投标文件中承</w:t>
      </w:r>
      <w:r>
        <w:rPr>
          <w:rFonts w:hint="eastAsia" w:ascii="仿宋" w:hAnsi="仿宋" w:eastAsia="仿宋" w:cs="仿宋"/>
          <w:b/>
          <w:color w:val="auto"/>
          <w:sz w:val="24"/>
          <w:szCs w:val="21"/>
          <w:highlight w:val="none"/>
        </w:rPr>
        <w:t>诺的投标有效期少于招标文件中载明的投标有效期的，投标无效。</w:t>
      </w:r>
    </w:p>
    <w:p w14:paraId="27A2346E">
      <w:pPr>
        <w:pStyle w:val="131"/>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17.2投标文件合格投递后，自投标截止日期起，在投标有效期内有效。</w:t>
      </w:r>
    </w:p>
    <w:p w14:paraId="3FDFA08B">
      <w:pPr>
        <w:pStyle w:val="131"/>
        <w:spacing w:before="0"/>
        <w:ind w:firstLine="480"/>
        <w:rPr>
          <w:rFonts w:hint="eastAsia" w:ascii="仿宋" w:hAnsi="仿宋" w:eastAsia="仿宋" w:cs="仿宋"/>
          <w:b/>
          <w:color w:val="auto"/>
          <w:sz w:val="32"/>
          <w:highlight w:val="none"/>
        </w:rPr>
      </w:pPr>
      <w:r>
        <w:rPr>
          <w:rFonts w:hint="eastAsia" w:ascii="仿宋" w:hAnsi="仿宋" w:eastAsia="仿宋" w:cs="仿宋"/>
          <w:color w:val="auto"/>
          <w:highlight w:val="none"/>
        </w:rPr>
        <w:t>17.3在原定投标有效期满之前，如果出现特殊情况，</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可以以书面形式通知投标人延长投标有效期。投标人同意延长的，不得要求或被允许修改其投标文件，投标人拒绝延长的，其投标无效。</w:t>
      </w:r>
    </w:p>
    <w:p w14:paraId="3D883605">
      <w:pPr>
        <w:pStyle w:val="5"/>
        <w:adjustRightInd/>
        <w:jc w:val="center"/>
        <w:outlineLvl w:val="0"/>
        <w:rPr>
          <w:rFonts w:hint="default" w:ascii="仿宋" w:hAnsi="仿宋" w:eastAsia="仿宋" w:cs="仿宋"/>
          <w:b/>
          <w:color w:val="auto"/>
          <w:sz w:val="28"/>
          <w:szCs w:val="28"/>
          <w:highlight w:val="none"/>
        </w:rPr>
      </w:pPr>
      <w:r>
        <w:rPr>
          <w:rFonts w:hint="default" w:ascii="仿宋" w:hAnsi="仿宋" w:eastAsia="仿宋" w:cs="仿宋"/>
          <w:b/>
          <w:color w:val="auto"/>
          <w:sz w:val="28"/>
          <w:szCs w:val="28"/>
          <w:highlight w:val="none"/>
        </w:rPr>
        <w:t>四、开标、资格审查与信用信息查询</w:t>
      </w:r>
    </w:p>
    <w:p w14:paraId="0431FAD8">
      <w:pPr>
        <w:pStyle w:val="6"/>
        <w:spacing w:before="0"/>
        <w:ind w:left="0" w:firstLineChars="100"/>
        <w:contextualSpacing/>
        <w:rPr>
          <w:rFonts w:hint="eastAsia" w:ascii="仿宋" w:hAnsi="仿宋" w:eastAsia="仿宋" w:cs="仿宋"/>
          <w:color w:val="auto"/>
          <w:sz w:val="24"/>
          <w:highlight w:val="none"/>
        </w:rPr>
      </w:pPr>
      <w:r>
        <w:rPr>
          <w:rFonts w:hint="eastAsia" w:ascii="仿宋" w:hAnsi="仿宋" w:eastAsia="仿宋" w:cs="仿宋"/>
          <w:b/>
          <w:color w:val="auto"/>
          <w:sz w:val="24"/>
          <w:szCs w:val="24"/>
          <w:highlight w:val="none"/>
        </w:rPr>
        <w:t>18.开标</w:t>
      </w:r>
    </w:p>
    <w:p w14:paraId="516FFD05">
      <w:pPr>
        <w:pStyle w:val="557"/>
        <w:spacing w:before="0" w:line="360" w:lineRule="auto"/>
        <w:ind w:left="0"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18.1</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按照招标文件规定的时间通过电子交易平台组织开标，所有投标人均应当准时在线参加。投标人不足3家的，不得开标。</w:t>
      </w:r>
    </w:p>
    <w:p w14:paraId="006DDEFD">
      <w:pPr>
        <w:pStyle w:val="557"/>
        <w:spacing w:before="0" w:line="360" w:lineRule="auto"/>
        <w:ind w:left="0"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18.2开标时，电子交易平台按开标时间自动提取所有投标文件。</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依托电子交易平台发起开始解密指令，投标人按照平台提示和招标文件的规定在半小时内完成在线解密。</w:t>
      </w:r>
    </w:p>
    <w:p w14:paraId="37491F2A">
      <w:pPr>
        <w:pStyle w:val="557"/>
        <w:spacing w:before="0" w:line="360" w:lineRule="auto"/>
        <w:ind w:left="0" w:firstLine="482" w:firstLineChars="200"/>
        <w:contextualSpacing/>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18.3投标文件未按时解密，投标人提供了备份投标文件的，以备份投标文件作为依据，否则视为投标文件撤回。投标文件已按时解密的，备份投标文件自动失效。</w:t>
      </w:r>
    </w:p>
    <w:p w14:paraId="7658DF6D">
      <w:pPr>
        <w:pStyle w:val="557"/>
        <w:spacing w:before="0" w:line="360" w:lineRule="auto"/>
        <w:ind w:left="0" w:firstLine="482" w:firstLineChars="200"/>
        <w:contextualSpacing/>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18.4结束解密后30分钟内，供应商应通过邮件形式将经授权代表签署的《政府采购活动现场确认声明书》（格式见采购文件最后一页内容）扫描件发至代理机构经办人邮箱，未发送视为对开标过程及结果无异议。</w:t>
      </w:r>
    </w:p>
    <w:p w14:paraId="6821DA18">
      <w:pPr>
        <w:pStyle w:val="557"/>
        <w:spacing w:before="0" w:line="360" w:lineRule="auto"/>
        <w:ind w:left="0" w:firstLine="482" w:firstLineChars="200"/>
        <w:contextualSpacing/>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18.5采购机构点击【开启报价文件】，开启报价成功后进入报价评审流程。各供应商代表应当在接到系统通知后30分钟内自行完成在线签字确认，逾期未在线签字确认的视为对开标过程及结果无异议。</w:t>
      </w:r>
    </w:p>
    <w:p w14:paraId="10430F69">
      <w:pPr>
        <w:pStyle w:val="6"/>
        <w:widowControl/>
        <w:spacing w:beforeAutospacing="0" w:afterAutospacing="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19.资格审查</w:t>
      </w:r>
    </w:p>
    <w:p w14:paraId="4E6725ED">
      <w:pPr>
        <w:snapToGrid w:val="0"/>
        <w:spacing w:beforeAutospacing="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19.</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sz w:val="24"/>
          <w:highlight w:val="none"/>
        </w:rPr>
        <w:t>采购人或</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依据法律法规和招标文件的规定，对投标人的资格进行审查。</w:t>
      </w:r>
    </w:p>
    <w:p w14:paraId="5B680B44">
      <w:pPr>
        <w:pStyle w:val="131"/>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w:t>
      </w:r>
      <w:r>
        <w:rPr>
          <w:rFonts w:hint="eastAsia" w:ascii="仿宋" w:hAnsi="仿宋" w:eastAsia="仿宋" w:cs="仿宋"/>
          <w:color w:val="auto"/>
          <w:kern w:val="0"/>
          <w:szCs w:val="24"/>
          <w:highlight w:val="none"/>
          <w:lang w:val="en-US" w:eastAsia="zh-CN"/>
        </w:rPr>
        <w:t>2</w:t>
      </w:r>
      <w:r>
        <w:rPr>
          <w:rFonts w:hint="eastAsia" w:ascii="仿宋" w:hAnsi="仿宋" w:eastAsia="仿宋" w:cs="仿宋"/>
          <w:color w:val="auto"/>
          <w:kern w:val="0"/>
          <w:szCs w:val="24"/>
          <w:highlight w:val="none"/>
        </w:rPr>
        <w:t>投标人未按照招标文件要求提供与</w:t>
      </w:r>
      <w:r>
        <w:rPr>
          <w:rFonts w:hint="eastAsia" w:ascii="仿宋" w:hAnsi="仿宋" w:eastAsia="仿宋" w:cs="仿宋"/>
          <w:color w:val="auto"/>
          <w:highlight w:val="none"/>
        </w:rPr>
        <w:t>资格条件相应的</w:t>
      </w:r>
      <w:r>
        <w:rPr>
          <w:rFonts w:hint="eastAsia" w:ascii="仿宋" w:hAnsi="仿宋" w:eastAsia="仿宋" w:cs="仿宋"/>
          <w:color w:val="auto"/>
          <w:kern w:val="0"/>
          <w:szCs w:val="24"/>
          <w:highlight w:val="none"/>
        </w:rPr>
        <w:t>有效资格证明材料的，视为</w:t>
      </w:r>
      <w:r>
        <w:rPr>
          <w:rFonts w:hint="eastAsia" w:ascii="仿宋" w:hAnsi="仿宋" w:eastAsia="仿宋" w:cs="仿宋"/>
          <w:color w:val="auto"/>
          <w:highlight w:val="none"/>
        </w:rPr>
        <w:t>投标人不具备招标文件中规定的资格要求，其投标无效。</w:t>
      </w:r>
    </w:p>
    <w:p w14:paraId="74C6AD79">
      <w:pPr>
        <w:pStyle w:val="131"/>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对未通过资格审查的投标人，采购人或</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告知其未通过的原因。</w:t>
      </w:r>
    </w:p>
    <w:p w14:paraId="66D6F669">
      <w:pPr>
        <w:pStyle w:val="131"/>
        <w:spacing w:before="0"/>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合格投标人不足3家的，不再评标。</w:t>
      </w:r>
    </w:p>
    <w:p w14:paraId="55A5ED66">
      <w:pPr>
        <w:pStyle w:val="6"/>
        <w:spacing w:before="0"/>
        <w:ind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20</w:t>
      </w:r>
      <w:r>
        <w:rPr>
          <w:rFonts w:hint="eastAsia" w:ascii="仿宋" w:hAnsi="仿宋" w:eastAsia="仿宋" w:cs="仿宋"/>
          <w:b/>
          <w:color w:val="auto"/>
          <w:sz w:val="24"/>
          <w:szCs w:val="24"/>
          <w:highlight w:val="none"/>
        </w:rPr>
        <w:t>.</w:t>
      </w:r>
      <w:r>
        <w:rPr>
          <w:rFonts w:hint="eastAsia" w:ascii="仿宋" w:hAnsi="仿宋" w:eastAsia="仿宋" w:cs="仿宋"/>
          <w:b/>
          <w:color w:val="auto"/>
          <w:szCs w:val="24"/>
          <w:highlight w:val="none"/>
        </w:rPr>
        <w:t>信用信息查询</w:t>
      </w:r>
    </w:p>
    <w:p w14:paraId="06E2E442">
      <w:pPr>
        <w:pStyle w:val="131"/>
        <w:spacing w:before="0"/>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20.1信用信息查询渠道及截止时间：</w:t>
      </w:r>
      <w:r>
        <w:rPr>
          <w:rFonts w:hint="eastAsia" w:ascii="仿宋" w:hAnsi="仿宋" w:eastAsia="仿宋" w:cs="仿宋"/>
          <w:color w:val="auto"/>
          <w:kern w:val="0"/>
          <w:szCs w:val="24"/>
          <w:highlight w:val="none"/>
          <w:lang w:eastAsia="zh-CN"/>
        </w:rPr>
        <w:t>采购代理机构</w:t>
      </w:r>
      <w:r>
        <w:rPr>
          <w:rFonts w:hint="eastAsia" w:ascii="仿宋" w:hAnsi="仿宋" w:eastAsia="仿宋" w:cs="仿宋"/>
          <w:color w:val="auto"/>
          <w:kern w:val="0"/>
          <w:szCs w:val="24"/>
          <w:highlight w:val="none"/>
        </w:rPr>
        <w:t>将在资格审查时通过“信用中国”网站</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www.creditchina.gov.cn</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、中国政府采购网</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www.ccgp.gov.cn</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渠道查询投标人接受资格时的信用记录。</w:t>
      </w:r>
    </w:p>
    <w:p w14:paraId="78873FD8">
      <w:pPr>
        <w:pStyle w:val="131"/>
        <w:spacing w:before="0"/>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20.2信用信息查询记录和证据留存的具体方式：现场查询的投标人的信用记录、查询结果经确认后将与采购文件一起存档。</w:t>
      </w:r>
    </w:p>
    <w:p w14:paraId="16D7AA02">
      <w:pPr>
        <w:pStyle w:val="131"/>
        <w:spacing w:before="0"/>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20.3信用信息的使用规则：经查询列入失信被执行人名单、</w:t>
      </w:r>
      <w:r>
        <w:rPr>
          <w:rFonts w:hint="eastAsia" w:ascii="仿宋" w:hAnsi="仿宋" w:eastAsia="仿宋" w:cs="仿宋"/>
          <w:color w:val="auto"/>
          <w:kern w:val="0"/>
          <w:szCs w:val="24"/>
          <w:highlight w:val="none"/>
          <w:lang w:eastAsia="zh-CN"/>
        </w:rPr>
        <w:t>重大税收违法失信主体</w:t>
      </w:r>
      <w:r>
        <w:rPr>
          <w:rFonts w:hint="eastAsia" w:ascii="仿宋" w:hAnsi="仿宋" w:eastAsia="仿宋" w:cs="仿宋"/>
          <w:color w:val="auto"/>
          <w:kern w:val="0"/>
          <w:szCs w:val="24"/>
          <w:highlight w:val="none"/>
        </w:rPr>
        <w:t>、政府采购严重违法失信行为记录名单的投标人将被拒绝参与政府采购活动。</w:t>
      </w:r>
    </w:p>
    <w:p w14:paraId="0D9F4383">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
          <w:color w:val="auto"/>
          <w:highlight w:val="none"/>
        </w:rPr>
        <w:t>。</w:t>
      </w:r>
    </w:p>
    <w:p w14:paraId="35683E5C">
      <w:pPr>
        <w:pStyle w:val="5"/>
        <w:adjustRightInd/>
        <w:jc w:val="center"/>
        <w:outlineLvl w:val="0"/>
        <w:rPr>
          <w:rFonts w:hint="default" w:ascii="仿宋" w:hAnsi="仿宋" w:eastAsia="仿宋" w:cs="仿宋"/>
          <w:b/>
          <w:color w:val="auto"/>
          <w:sz w:val="28"/>
          <w:szCs w:val="28"/>
          <w:highlight w:val="none"/>
        </w:rPr>
      </w:pPr>
      <w:r>
        <w:rPr>
          <w:rFonts w:hint="default" w:ascii="仿宋" w:hAnsi="仿宋" w:eastAsia="仿宋" w:cs="仿宋"/>
          <w:b/>
          <w:color w:val="auto"/>
          <w:sz w:val="28"/>
          <w:szCs w:val="28"/>
          <w:highlight w:val="none"/>
        </w:rPr>
        <w:t>五、评标</w:t>
      </w:r>
    </w:p>
    <w:p w14:paraId="4E8718E2">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w:t>
      </w:r>
      <w:r>
        <w:rPr>
          <w:rFonts w:hint="eastAsia" w:ascii="仿宋" w:hAnsi="仿宋" w:eastAsia="仿宋" w:cs="仿宋"/>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eastAsia="仿宋" w:cs="仿宋"/>
          <w:b/>
          <w:color w:val="auto"/>
          <w:sz w:val="24"/>
          <w:highlight w:val="none"/>
        </w:rPr>
        <w:t>详见招标文件第四部分评标办法。</w:t>
      </w:r>
    </w:p>
    <w:p w14:paraId="262BA16C">
      <w:pPr>
        <w:pStyle w:val="5"/>
        <w:adjustRightInd/>
        <w:jc w:val="center"/>
        <w:outlineLvl w:val="0"/>
        <w:rPr>
          <w:rFonts w:hint="default" w:ascii="仿宋" w:hAnsi="仿宋" w:eastAsia="仿宋" w:cs="仿宋"/>
          <w:b/>
          <w:color w:val="auto"/>
          <w:sz w:val="28"/>
          <w:szCs w:val="28"/>
          <w:highlight w:val="none"/>
        </w:rPr>
      </w:pPr>
      <w:r>
        <w:rPr>
          <w:rFonts w:hint="default" w:ascii="仿宋" w:hAnsi="仿宋" w:eastAsia="仿宋" w:cs="仿宋"/>
          <w:b/>
          <w:color w:val="auto"/>
          <w:sz w:val="28"/>
          <w:szCs w:val="28"/>
          <w:highlight w:val="none"/>
        </w:rPr>
        <w:t>六、定标</w:t>
      </w:r>
    </w:p>
    <w:p w14:paraId="71DE4E35">
      <w:pPr>
        <w:pStyle w:val="6"/>
        <w:ind w:left="479" w:hangingChars="199"/>
        <w:rPr>
          <w:rFonts w:hint="eastAsia" w:ascii="仿宋" w:hAnsi="仿宋" w:eastAsia="仿宋" w:cs="仿宋"/>
          <w:b/>
          <w:color w:val="auto"/>
          <w:highlight w:val="none"/>
        </w:rPr>
      </w:pPr>
      <w:r>
        <w:rPr>
          <w:rFonts w:hint="eastAsia" w:ascii="仿宋" w:hAnsi="仿宋" w:eastAsia="仿宋" w:cs="仿宋"/>
          <w:b/>
          <w:color w:val="auto"/>
          <w:highlight w:val="none"/>
        </w:rPr>
        <w:t>22.确定中标供应商</w:t>
      </w:r>
    </w:p>
    <w:p w14:paraId="443B8854">
      <w:pPr>
        <w:pStyle w:val="131"/>
        <w:snapToGrid w:val="0"/>
        <w:spacing w:before="0"/>
        <w:ind w:firstLine="480"/>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仿宋" w:hAnsi="仿宋" w:eastAsia="仿宋" w:cs="仿宋"/>
          <w:color w:val="auto"/>
          <w:szCs w:val="24"/>
          <w:highlight w:val="none"/>
          <w:lang w:val="en-US" w:eastAsia="zh-CN"/>
        </w:rPr>
        <w:t>鼓励</w:t>
      </w:r>
      <w:r>
        <w:rPr>
          <w:rFonts w:hint="eastAsia" w:ascii="仿宋" w:hAnsi="仿宋" w:eastAsia="仿宋" w:cs="仿宋"/>
          <w:color w:val="auto"/>
          <w:szCs w:val="24"/>
          <w:highlight w:val="none"/>
        </w:rPr>
        <w:t>在收到评审报告当天</w:t>
      </w:r>
      <w:r>
        <w:rPr>
          <w:rFonts w:hint="eastAsia" w:ascii="仿宋" w:hAnsi="仿宋" w:eastAsia="仿宋" w:cs="仿宋"/>
          <w:color w:val="auto"/>
          <w:szCs w:val="24"/>
          <w:highlight w:val="none"/>
          <w:lang w:val="en-US" w:eastAsia="zh-CN"/>
        </w:rPr>
        <w:t>在线</w:t>
      </w:r>
      <w:r>
        <w:rPr>
          <w:rFonts w:hint="eastAsia" w:ascii="仿宋" w:hAnsi="仿宋" w:eastAsia="仿宋" w:cs="仿宋"/>
          <w:color w:val="auto"/>
          <w:szCs w:val="24"/>
          <w:highlight w:val="none"/>
        </w:rPr>
        <w:t>确定中标或者成交供应商。中标、成交通知书和中标、成交结果公告应当在规定时间内同时发出。</w:t>
      </w:r>
    </w:p>
    <w:p w14:paraId="4AD928CE">
      <w:pPr>
        <w:pStyle w:val="6"/>
        <w:snapToGrid w:val="0"/>
        <w:spacing w:before="0"/>
        <w:ind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23.中标通知与中标结果公告</w:t>
      </w:r>
    </w:p>
    <w:p w14:paraId="5453065F">
      <w:pPr>
        <w:widowControl/>
        <w:shd w:val="clear" w:color="auto" w:fill="FFFFFF"/>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23.1自中标人确定之日起2个工作日内，</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通过电子交易平台向中标人发出中标通知书，同时编制发布采购结果公告。</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也可以以纸质形式进行中标通知。</w:t>
      </w:r>
    </w:p>
    <w:p w14:paraId="23AD9BD2">
      <w:pPr>
        <w:widowControl/>
        <w:shd w:val="clear" w:color="auto" w:fill="FFFFFF"/>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23.2中标结果公告内容包括采购人及其委托的</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58F06BED">
      <w:pPr>
        <w:widowControl/>
        <w:shd w:val="clear" w:color="auto" w:fill="FFFFFF"/>
        <w:snapToGrid/>
        <w:spacing w:line="36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23.3公告期限为1个工作日。</w:t>
      </w:r>
    </w:p>
    <w:p w14:paraId="310B704C">
      <w:pPr>
        <w:widowControl/>
        <w:shd w:val="clear" w:color="auto" w:fill="FFFFFF"/>
        <w:adjustRightInd w:val="0"/>
        <w:snapToGrid/>
        <w:spacing w:before="0" w:line="360" w:lineRule="auto"/>
        <w:ind w:firstLine="480" w:firstLineChars="200"/>
        <w:jc w:val="left"/>
        <w:rPr>
          <w:rFonts w:hint="eastAsia" w:ascii="仿宋" w:hAnsi="仿宋" w:eastAsia="仿宋" w:cs="仿宋"/>
          <w:b w:val="0"/>
          <w:color w:val="auto"/>
          <w:sz w:val="24"/>
          <w:highlight w:val="none"/>
        </w:rPr>
      </w:pPr>
      <w:r>
        <w:rPr>
          <w:rFonts w:hint="eastAsia" w:ascii="仿宋" w:hAnsi="仿宋" w:eastAsia="仿宋" w:cs="仿宋"/>
          <w:b w:val="0"/>
          <w:color w:val="auto"/>
          <w:sz w:val="24"/>
          <w:szCs w:val="24"/>
          <w:highlight w:val="none"/>
          <w:lang w:val="en-US" w:eastAsia="zh-CN"/>
        </w:rPr>
        <w:t>23.4</w:t>
      </w:r>
      <w:r>
        <w:rPr>
          <w:rFonts w:hint="eastAsia" w:ascii="仿宋" w:hAnsi="仿宋" w:eastAsia="仿宋" w:cs="仿宋"/>
          <w:b w:val="0"/>
          <w:bCs w:val="0"/>
          <w:color w:val="auto"/>
          <w:sz w:val="24"/>
          <w:szCs w:val="24"/>
          <w:highlight w:val="none"/>
        </w:rPr>
        <w:t>由于</w:t>
      </w:r>
      <w:r>
        <w:rPr>
          <w:rFonts w:hint="eastAsia" w:ascii="仿宋" w:hAnsi="仿宋" w:eastAsia="仿宋" w:cs="仿宋"/>
          <w:bCs w:val="0"/>
          <w:color w:val="auto"/>
          <w:sz w:val="24"/>
          <w:szCs w:val="24"/>
          <w:highlight w:val="none"/>
        </w:rPr>
        <w:t>中标、成交供应商原因导致重新采购的，应当承担支付代理费和专家评审费等费用在内的赔偿责任。</w:t>
      </w:r>
    </w:p>
    <w:p w14:paraId="30C38625">
      <w:pPr>
        <w:pStyle w:val="5"/>
        <w:adjustRightInd/>
        <w:jc w:val="center"/>
        <w:outlineLvl w:val="0"/>
        <w:rPr>
          <w:rFonts w:hint="default" w:ascii="仿宋" w:hAnsi="仿宋" w:eastAsia="仿宋" w:cs="仿宋"/>
          <w:b/>
          <w:color w:val="auto"/>
          <w:sz w:val="28"/>
          <w:szCs w:val="28"/>
          <w:highlight w:val="none"/>
        </w:rPr>
      </w:pPr>
      <w:r>
        <w:rPr>
          <w:rFonts w:hint="default" w:ascii="仿宋" w:hAnsi="仿宋" w:eastAsia="仿宋" w:cs="仿宋"/>
          <w:b/>
          <w:color w:val="auto"/>
          <w:sz w:val="28"/>
          <w:szCs w:val="28"/>
          <w:highlight w:val="none"/>
        </w:rPr>
        <w:t>七、合同授予</w:t>
      </w:r>
    </w:p>
    <w:p w14:paraId="02A9CC40">
      <w:pPr>
        <w:pStyle w:val="6"/>
        <w:ind w:left="479" w:hangingChars="199"/>
        <w:rPr>
          <w:rFonts w:hint="eastAsia" w:ascii="仿宋" w:hAnsi="仿宋" w:eastAsia="仿宋" w:cs="仿宋"/>
          <w:b/>
          <w:color w:val="auto"/>
          <w:highlight w:val="none"/>
        </w:rPr>
      </w:pPr>
      <w:r>
        <w:rPr>
          <w:rFonts w:hint="eastAsia" w:ascii="仿宋" w:hAnsi="仿宋" w:eastAsia="仿宋" w:cs="仿宋"/>
          <w:b/>
          <w:color w:val="auto"/>
          <w:highlight w:val="none"/>
        </w:rPr>
        <w:t>24.</w:t>
      </w:r>
      <w:r>
        <w:rPr>
          <w:rFonts w:hint="eastAsia" w:ascii="仿宋" w:hAnsi="仿宋" w:eastAsia="仿宋" w:cs="仿宋"/>
          <w:color w:val="auto"/>
          <w:highlight w:val="none"/>
        </w:rPr>
        <w:t>合同主要条款详见第五部分拟签订的合同文本。</w:t>
      </w:r>
    </w:p>
    <w:p w14:paraId="69FF3C43">
      <w:pPr>
        <w:pStyle w:val="6"/>
        <w:ind w:left="479" w:hangingChars="199"/>
        <w:rPr>
          <w:rFonts w:hint="eastAsia" w:ascii="仿宋" w:hAnsi="仿宋" w:eastAsia="仿宋" w:cs="仿宋"/>
          <w:b/>
          <w:color w:val="auto"/>
          <w:highlight w:val="none"/>
        </w:rPr>
      </w:pPr>
      <w:r>
        <w:rPr>
          <w:rFonts w:hint="eastAsia" w:ascii="仿宋" w:hAnsi="仿宋" w:eastAsia="仿宋" w:cs="仿宋"/>
          <w:b/>
          <w:color w:val="auto"/>
          <w:highlight w:val="none"/>
        </w:rPr>
        <w:t>25.合同的签订</w:t>
      </w:r>
    </w:p>
    <w:p w14:paraId="18986544">
      <w:pPr>
        <w:widowControl/>
        <w:shd w:val="clear" w:color="auto" w:fill="FFFFFF"/>
        <w:spacing w:line="360" w:lineRule="auto"/>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25.1</w:t>
      </w:r>
      <w:r>
        <w:rPr>
          <w:rFonts w:hint="eastAsia" w:ascii="仿宋" w:hAnsi="仿宋" w:eastAsia="仿宋" w:cs="仿宋"/>
          <w:color w:val="auto"/>
          <w:kern w:val="0"/>
          <w:sz w:val="24"/>
          <w:highlight w:val="none"/>
        </w:rPr>
        <w:t>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7BB478ED">
      <w:pPr>
        <w:pStyle w:val="131"/>
        <w:snapToGrid w:val="0"/>
        <w:spacing w:before="0"/>
        <w:ind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2BFC9389">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25.3如签订合同并生效后，供应商无故拒绝或延期，除按照合同条款处理外，列入不良行为记录一次，并给予通报。</w:t>
      </w:r>
    </w:p>
    <w:p w14:paraId="28FD2509">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25.4中标供应商拒绝与采购人签订合同的，采购人可以按照评审报告推荐的中标或者成交候选人名单排序，确定下一候选人为中标供应商，也可以重新开展政府采购活动。</w:t>
      </w:r>
    </w:p>
    <w:p w14:paraId="3791687B">
      <w:pPr>
        <w:pStyle w:val="131"/>
        <w:snapToGrid w:val="0"/>
        <w:spacing w:before="0" w:afterAutospacing="0"/>
        <w:ind w:firstLine="480"/>
        <w:rPr>
          <w:rFonts w:hint="eastAsia" w:ascii="仿宋" w:hAnsi="仿宋" w:eastAsia="仿宋" w:cs="仿宋"/>
          <w:color w:val="auto"/>
          <w:highlight w:val="none"/>
        </w:rPr>
      </w:pPr>
      <w:r>
        <w:rPr>
          <w:rFonts w:hint="eastAsia" w:ascii="仿宋" w:hAnsi="仿宋" w:eastAsia="仿宋" w:cs="仿宋"/>
          <w:color w:val="auto"/>
          <w:highlight w:val="none"/>
        </w:rPr>
        <w:t>25.5采购合同由采购人与中标供应商根据招标文件、投标文件等内容通过政府采购电子交易平台在线签订，自动备案。</w:t>
      </w:r>
    </w:p>
    <w:p w14:paraId="12F72AB0">
      <w:pPr>
        <w:pStyle w:val="6"/>
        <w:spacing w:beforeAutospacing="0"/>
        <w:ind w:left="479" w:hangingChars="199"/>
        <w:rPr>
          <w:rFonts w:hint="eastAsia" w:ascii="仿宋" w:hAnsi="仿宋" w:eastAsia="仿宋" w:cs="仿宋"/>
          <w:b/>
          <w:color w:val="auto"/>
          <w:highlight w:val="none"/>
        </w:rPr>
      </w:pPr>
      <w:r>
        <w:rPr>
          <w:rFonts w:hint="eastAsia" w:ascii="仿宋" w:hAnsi="仿宋" w:eastAsia="仿宋" w:cs="仿宋"/>
          <w:b/>
          <w:color w:val="auto"/>
          <w:highlight w:val="none"/>
        </w:rPr>
        <w:t>26.履约保证金</w:t>
      </w:r>
    </w:p>
    <w:p w14:paraId="711ABEA6">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拟签订的合同文本要求中标供应商提交履约保证金的，供应商应当以支票、汇票、本票或者金融机构、担保机构出具的保函等非现金形式提交。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62FE3DE1">
      <w:pPr>
        <w:pStyle w:val="131"/>
        <w:snapToGrid w:val="0"/>
        <w:spacing w:before="0"/>
        <w:ind w:firstLine="48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4E165557">
      <w:pPr>
        <w:pStyle w:val="6"/>
        <w:spacing w:beforeAutospacing="0"/>
        <w:ind w:left="479" w:hangingChars="199"/>
        <w:rPr>
          <w:rFonts w:hint="eastAsia" w:ascii="仿宋" w:hAnsi="仿宋" w:eastAsia="仿宋" w:cs="仿宋"/>
          <w:b/>
          <w:color w:val="auto"/>
          <w:highlight w:val="none"/>
        </w:rPr>
      </w:pPr>
      <w:r>
        <w:rPr>
          <w:rFonts w:hint="eastAsia" w:ascii="仿宋" w:hAnsi="仿宋" w:eastAsia="仿宋" w:cs="仿宋"/>
          <w:b/>
          <w:color w:val="auto"/>
          <w:highlight w:val="none"/>
          <w:lang w:val="en-US"/>
        </w:rPr>
        <w:t>27.预付款</w:t>
      </w:r>
    </w:p>
    <w:p w14:paraId="00E99667">
      <w:pPr>
        <w:adjustRightInd/>
        <w:spacing w:line="360" w:lineRule="auto"/>
        <w:ind w:firstLine="480" w:firstLineChars="200"/>
        <w:rPr>
          <w:rFonts w:hint="eastAsia" w:ascii="仿宋" w:hAnsi="仿宋" w:eastAsia="仿宋" w:cs="仿宋"/>
          <w:b/>
          <w:color w:val="auto"/>
          <w:sz w:val="32"/>
          <w:highlight w:val="none"/>
        </w:rPr>
      </w:pPr>
      <w:r>
        <w:rPr>
          <w:rFonts w:hint="eastAsia" w:ascii="仿宋" w:hAnsi="仿宋" w:eastAsia="仿宋" w:cs="仿宋"/>
          <w:color w:val="auto"/>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【保函保险服务】出具预付款保函，具体步骤：选择产品—填写供应商信息—选择中标项目—确认信息—等待保险/保函受理—确认保单—支付保费—成功出单。政采云金融专线</w:t>
      </w:r>
      <w:r>
        <w:rPr>
          <w:rFonts w:hint="eastAsia" w:ascii="仿宋" w:hAnsi="仿宋" w:eastAsia="仿宋" w:cs="仿宋"/>
          <w:color w:val="auto"/>
          <w:sz w:val="24"/>
          <w:highlight w:val="none"/>
          <w:lang w:val="en-US" w:eastAsia="zh-CN"/>
        </w:rPr>
        <w:t>95763</w:t>
      </w:r>
      <w:r>
        <w:rPr>
          <w:rFonts w:hint="eastAsia" w:ascii="仿宋" w:hAnsi="仿宋" w:eastAsia="仿宋" w:cs="仿宋"/>
          <w:color w:val="auto"/>
          <w:sz w:val="24"/>
          <w:highlight w:val="none"/>
        </w:rPr>
        <w:t>。</w:t>
      </w:r>
    </w:p>
    <w:p w14:paraId="1910863B">
      <w:pPr>
        <w:pStyle w:val="5"/>
        <w:adjustRightInd/>
        <w:jc w:val="center"/>
        <w:outlineLvl w:val="0"/>
        <w:rPr>
          <w:rFonts w:hint="default" w:ascii="仿宋" w:hAnsi="仿宋" w:eastAsia="仿宋" w:cs="仿宋"/>
          <w:b/>
          <w:color w:val="auto"/>
          <w:sz w:val="28"/>
          <w:szCs w:val="28"/>
          <w:highlight w:val="none"/>
        </w:rPr>
      </w:pPr>
      <w:r>
        <w:rPr>
          <w:rFonts w:hint="default" w:ascii="仿宋" w:hAnsi="仿宋" w:eastAsia="仿宋" w:cs="仿宋"/>
          <w:b/>
          <w:color w:val="auto"/>
          <w:sz w:val="28"/>
          <w:szCs w:val="28"/>
          <w:highlight w:val="none"/>
        </w:rPr>
        <w:t>八、电子交易活动的中止</w:t>
      </w:r>
    </w:p>
    <w:p w14:paraId="2922EFF5">
      <w:pPr>
        <w:pStyle w:val="131"/>
        <w:snapToGrid w:val="0"/>
        <w:spacing w:before="0"/>
        <w:ind w:firstLine="0" w:firstLineChars="0"/>
        <w:rPr>
          <w:rFonts w:hint="eastAsia" w:ascii="仿宋" w:hAnsi="仿宋" w:eastAsia="仿宋" w:cs="仿宋"/>
          <w:color w:val="auto"/>
          <w:highlight w:val="none"/>
        </w:rPr>
      </w:pPr>
      <w:r>
        <w:rPr>
          <w:rFonts w:hint="eastAsia" w:ascii="仿宋" w:hAnsi="仿宋" w:eastAsia="仿宋" w:cs="仿宋"/>
          <w:b/>
          <w:bCs/>
          <w:color w:val="auto"/>
          <w:sz w:val="24"/>
          <w:szCs w:val="20"/>
          <w:highlight w:val="none"/>
        </w:rPr>
        <w:t>2</w:t>
      </w:r>
      <w:r>
        <w:rPr>
          <w:rFonts w:hint="eastAsia" w:ascii="仿宋" w:hAnsi="仿宋" w:eastAsia="仿宋" w:cs="仿宋"/>
          <w:b/>
          <w:bCs/>
          <w:color w:val="auto"/>
          <w:sz w:val="24"/>
          <w:szCs w:val="24"/>
          <w:highlight w:val="none"/>
        </w:rPr>
        <w:t>8</w:t>
      </w:r>
      <w:r>
        <w:rPr>
          <w:rFonts w:hint="eastAsia" w:ascii="仿宋" w:hAnsi="仿宋" w:eastAsia="仿宋" w:cs="仿宋"/>
          <w:b/>
          <w:color w:val="auto"/>
          <w:szCs w:val="24"/>
          <w:highlight w:val="none"/>
        </w:rPr>
        <w:t>.电子交易活动的中止。</w:t>
      </w:r>
      <w:r>
        <w:rPr>
          <w:rFonts w:hint="eastAsia" w:ascii="仿宋" w:hAnsi="仿宋" w:eastAsia="仿宋" w:cs="仿宋"/>
          <w:color w:val="auto"/>
          <w:highlight w:val="none"/>
        </w:rPr>
        <w:t>采购过程中出现以下情形，导致电子交易平台无法正常运行，或者无法保证电子交易的公平、公正和安全时，</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可中止电子交易活动：</w:t>
      </w:r>
    </w:p>
    <w:p w14:paraId="2B2D9296">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28.1电子交易平台发生故障而无法登录访问的；</w:t>
      </w:r>
    </w:p>
    <w:p w14:paraId="6D59F5BE">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28.2电子交易平台应用或数据库出现错误，不能进行正常操作的；</w:t>
      </w:r>
    </w:p>
    <w:p w14:paraId="6B09A661">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28.3电子交易平台发现严重安全漏洞，有潜在泄密危险的；</w:t>
      </w:r>
    </w:p>
    <w:p w14:paraId="26C7E5B3">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28.4病毒发作导致不能进行正常操作的；</w:t>
      </w:r>
    </w:p>
    <w:p w14:paraId="293B5C8C">
      <w:pPr>
        <w:pStyle w:val="131"/>
        <w:snapToGrid w:val="0"/>
        <w:spacing w:before="0"/>
        <w:ind w:firstLine="480"/>
        <w:rPr>
          <w:rFonts w:hint="eastAsia" w:ascii="仿宋" w:hAnsi="仿宋" w:eastAsia="仿宋" w:cs="仿宋"/>
          <w:color w:val="auto"/>
          <w:highlight w:val="none"/>
        </w:rPr>
      </w:pPr>
      <w:r>
        <w:rPr>
          <w:rFonts w:hint="eastAsia" w:ascii="仿宋" w:hAnsi="仿宋" w:eastAsia="仿宋" w:cs="仿宋"/>
          <w:color w:val="auto"/>
          <w:highlight w:val="none"/>
        </w:rPr>
        <w:t>28.5其他无法保证电子交易的公平、公正和安全的情况。</w:t>
      </w:r>
    </w:p>
    <w:p w14:paraId="368971A3">
      <w:pPr>
        <w:pStyle w:val="131"/>
        <w:snapToGrid w:val="0"/>
        <w:spacing w:before="0"/>
        <w:ind w:firstLine="0" w:firstLineChars="0"/>
        <w:rPr>
          <w:rFonts w:hint="eastAsia" w:ascii="仿宋" w:hAnsi="仿宋" w:eastAsia="仿宋" w:cs="仿宋"/>
          <w:color w:val="auto"/>
          <w:sz w:val="24"/>
          <w:highlight w:val="none"/>
        </w:rPr>
      </w:pPr>
      <w:r>
        <w:rPr>
          <w:rFonts w:hint="eastAsia" w:ascii="仿宋" w:hAnsi="仿宋" w:eastAsia="仿宋" w:cs="仿宋"/>
          <w:color w:val="auto"/>
          <w:highlight w:val="none"/>
        </w:rPr>
        <w:t>29.出现以上情形，不影响采购公平、公正性的，采购组织机构可以待上述情形消除后继续组织电子交易活动，也可以决定某些环节以纸质形式进行；影响或可能影响采购公平、公正性的，应当重新采购。</w:t>
      </w:r>
    </w:p>
    <w:p w14:paraId="7A36769C">
      <w:pPr>
        <w:pStyle w:val="5"/>
        <w:adjustRightInd/>
        <w:jc w:val="center"/>
        <w:outlineLvl w:val="0"/>
        <w:rPr>
          <w:rFonts w:hint="default" w:ascii="仿宋" w:hAnsi="仿宋" w:eastAsia="仿宋" w:cs="仿宋"/>
          <w:b/>
          <w:color w:val="auto"/>
          <w:sz w:val="28"/>
          <w:szCs w:val="28"/>
          <w:highlight w:val="none"/>
        </w:rPr>
      </w:pPr>
      <w:r>
        <w:rPr>
          <w:rFonts w:hint="default" w:ascii="仿宋" w:hAnsi="仿宋" w:eastAsia="仿宋" w:cs="仿宋"/>
          <w:b/>
          <w:color w:val="auto"/>
          <w:sz w:val="28"/>
          <w:szCs w:val="28"/>
          <w:highlight w:val="none"/>
        </w:rPr>
        <w:t>九、验收</w:t>
      </w:r>
    </w:p>
    <w:p w14:paraId="552CAB9E">
      <w:pPr>
        <w:pStyle w:val="6"/>
        <w:ind w:firstLineChars="0"/>
        <w:rPr>
          <w:rFonts w:hint="eastAsia" w:ascii="仿宋" w:hAnsi="仿宋" w:eastAsia="仿宋" w:cs="仿宋"/>
          <w:b/>
          <w:color w:val="auto"/>
          <w:highlight w:val="none"/>
          <w:lang w:val="en-US"/>
        </w:rPr>
      </w:pPr>
      <w:r>
        <w:rPr>
          <w:rFonts w:hint="eastAsia" w:ascii="仿宋" w:hAnsi="仿宋" w:eastAsia="仿宋" w:cs="仿宋"/>
          <w:b/>
          <w:color w:val="auto"/>
          <w:highlight w:val="none"/>
          <w:lang w:val="en-US"/>
        </w:rPr>
        <w:t>30.验收</w:t>
      </w:r>
    </w:p>
    <w:p w14:paraId="26EC2146">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D273522">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30.2采购人可以邀请参加本项目的其他投标人或者第三方机构参与验收。参与验收的投标人或者第三方机构的意见作为验收书的参考资料一并存档。</w:t>
      </w:r>
    </w:p>
    <w:p w14:paraId="432422A6">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A1DCC53">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290E872">
      <w:pPr>
        <w:tabs>
          <w:tab w:val="left" w:pos="0"/>
        </w:tabs>
        <w:spacing w:line="360" w:lineRule="auto"/>
        <w:ind w:firstLine="480"/>
        <w:rPr>
          <w:rFonts w:hint="eastAsia" w:ascii="仿宋" w:hAnsi="仿宋" w:eastAsia="仿宋" w:cs="仿宋"/>
          <w:color w:val="auto"/>
          <w:highlight w:val="none"/>
        </w:rPr>
      </w:pPr>
      <w:r>
        <w:rPr>
          <w:rFonts w:hint="eastAsia" w:ascii="仿宋" w:hAnsi="仿宋" w:eastAsia="仿宋" w:cs="仿宋"/>
          <w:color w:val="auto"/>
          <w:kern w:val="0"/>
          <w:sz w:val="24"/>
          <w:highlight w:val="none"/>
          <w:lang w:val="en-US" w:eastAsia="zh-CN"/>
        </w:rPr>
        <w:t>30.5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57832D56">
      <w:pPr>
        <w:tabs>
          <w:tab w:val="left" w:pos="0"/>
        </w:tabs>
        <w:spacing w:line="360" w:lineRule="auto"/>
        <w:ind w:firstLine="480"/>
        <w:rPr>
          <w:rFonts w:hint="eastAsia" w:ascii="仿宋" w:hAnsi="仿宋" w:eastAsia="仿宋" w:cs="仿宋"/>
          <w:color w:val="auto"/>
          <w:kern w:val="0"/>
          <w:sz w:val="24"/>
          <w:highlight w:val="none"/>
        </w:rPr>
        <w:sectPr>
          <w:pgSz w:w="11905" w:h="16838"/>
          <w:pgMar w:top="1440" w:right="1083" w:bottom="1440" w:left="1083" w:header="850" w:footer="992" w:gutter="0"/>
          <w:cols w:space="0" w:num="1"/>
          <w:titlePg/>
          <w:rtlGutter w:val="0"/>
          <w:docGrid w:linePitch="312" w:charSpace="0"/>
        </w:sectPr>
      </w:pPr>
    </w:p>
    <w:p w14:paraId="713350FF">
      <w:pPr>
        <w:pStyle w:val="3"/>
        <w:adjustRightInd/>
        <w:spacing w:beforeLines="0" w:afterLines="0"/>
        <w:jc w:val="center"/>
        <w:outlineLvl w:val="0"/>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第三部分 采购需求</w:t>
      </w:r>
    </w:p>
    <w:p w14:paraId="39DAC49D">
      <w:pPr>
        <w:pStyle w:val="4"/>
        <w:pageBreakBefore w:val="0"/>
        <w:kinsoku/>
        <w:wordWrap/>
        <w:overflowPunct/>
        <w:topLinePunct w:val="0"/>
        <w:bidi w:val="0"/>
        <w:textAlignment w:val="auto"/>
        <w:rPr>
          <w:rFonts w:ascii="仿宋" w:hAnsi="仿宋" w:eastAsia="仿宋" w:cs="仿宋"/>
          <w:b/>
          <w:color w:val="auto"/>
          <w:sz w:val="28"/>
          <w:highlight w:val="none"/>
        </w:rPr>
      </w:pPr>
      <w:r>
        <w:rPr>
          <w:rFonts w:hint="default" w:ascii="仿宋" w:hAnsi="仿宋" w:eastAsia="仿宋" w:cs="仿宋"/>
          <w:b/>
          <w:color w:val="auto"/>
          <w:sz w:val="28"/>
          <w:highlight w:val="none"/>
        </w:rPr>
        <w:t>一、项目概况</w:t>
      </w:r>
    </w:p>
    <w:p w14:paraId="24F46E06">
      <w:pPr>
        <w:spacing w:line="360" w:lineRule="auto"/>
        <w:ind w:firstLine="420"/>
        <w:rPr>
          <w:rFonts w:hint="eastAsia" w:ascii="仿宋" w:hAnsi="仿宋" w:eastAsia="仿宋" w:cs="宋体"/>
          <w:snapToGrid w:val="0"/>
          <w:color w:val="auto"/>
          <w:kern w:val="0"/>
          <w:sz w:val="24"/>
          <w:highlight w:val="none"/>
        </w:rPr>
      </w:pPr>
      <w:r>
        <w:rPr>
          <w:rFonts w:hint="eastAsia" w:ascii="仿宋" w:hAnsi="仿宋" w:eastAsia="仿宋" w:cs="仿宋"/>
          <w:color w:val="auto"/>
          <w:sz w:val="24"/>
          <w:highlight w:val="none"/>
          <w:lang w:eastAsia="zh-CN"/>
        </w:rPr>
        <w:t>2026年九堡街道企业退休人员自管小组文体活动项目</w:t>
      </w:r>
      <w:r>
        <w:rPr>
          <w:rFonts w:hint="eastAsia" w:ascii="仿宋" w:hAnsi="仿宋" w:eastAsia="仿宋" w:cs="仿宋"/>
          <w:bCs/>
          <w:snapToGrid/>
          <w:color w:val="auto"/>
          <w:kern w:val="2"/>
          <w:sz w:val="24"/>
          <w:szCs w:val="24"/>
          <w:highlight w:val="none"/>
        </w:rPr>
        <w:t>目标为满足企退人员的文体活动，人数暂定为</w:t>
      </w:r>
      <w:r>
        <w:rPr>
          <w:rFonts w:hint="eastAsia" w:ascii="仿宋" w:hAnsi="仿宋" w:eastAsia="仿宋" w:cs="仿宋"/>
          <w:bCs/>
          <w:snapToGrid/>
          <w:color w:val="auto"/>
          <w:kern w:val="2"/>
          <w:sz w:val="24"/>
          <w:szCs w:val="24"/>
          <w:highlight w:val="none"/>
          <w:lang w:val="en-US" w:eastAsia="zh-CN"/>
        </w:rPr>
        <w:t>17770</w:t>
      </w:r>
      <w:r>
        <w:rPr>
          <w:rFonts w:hint="eastAsia" w:ascii="仿宋" w:hAnsi="仿宋" w:eastAsia="仿宋" w:cs="仿宋"/>
          <w:bCs/>
          <w:snapToGrid/>
          <w:color w:val="auto"/>
          <w:kern w:val="2"/>
          <w:sz w:val="24"/>
          <w:szCs w:val="24"/>
          <w:highlight w:val="none"/>
        </w:rPr>
        <w:t>人，最终按实际人数结算</w:t>
      </w:r>
      <w:r>
        <w:rPr>
          <w:rFonts w:hint="eastAsia" w:ascii="仿宋" w:hAnsi="仿宋" w:eastAsia="仿宋" w:cs="仿宋"/>
          <w:bCs/>
          <w:snapToGrid/>
          <w:color w:val="auto"/>
          <w:kern w:val="2"/>
          <w:sz w:val="24"/>
          <w:szCs w:val="24"/>
          <w:highlight w:val="none"/>
          <w:lang w:eastAsia="zh-CN"/>
        </w:rPr>
        <w:t>；</w:t>
      </w:r>
      <w:r>
        <w:rPr>
          <w:rFonts w:hint="eastAsia" w:ascii="仿宋" w:hAnsi="仿宋" w:eastAsia="仿宋" w:cs="仿宋"/>
          <w:bCs/>
          <w:snapToGrid/>
          <w:color w:val="auto"/>
          <w:kern w:val="2"/>
          <w:sz w:val="24"/>
          <w:szCs w:val="24"/>
          <w:highlight w:val="none"/>
        </w:rPr>
        <w:t>活动要求负责活动策划、组织、实施等全部内容</w:t>
      </w:r>
      <w:r>
        <w:rPr>
          <w:rFonts w:hint="eastAsia" w:ascii="仿宋" w:hAnsi="仿宋" w:eastAsia="仿宋" w:cs="仿宋"/>
          <w:bCs/>
          <w:snapToGrid/>
          <w:color w:val="auto"/>
          <w:kern w:val="2"/>
          <w:sz w:val="24"/>
          <w:szCs w:val="24"/>
          <w:highlight w:val="none"/>
          <w:lang w:eastAsia="zh-CN"/>
        </w:rPr>
        <w:t>；</w:t>
      </w:r>
      <w:r>
        <w:rPr>
          <w:rFonts w:hint="eastAsia" w:ascii="仿宋" w:hAnsi="仿宋" w:eastAsia="仿宋" w:cs="仿宋"/>
          <w:bCs/>
          <w:snapToGrid/>
          <w:color w:val="auto"/>
          <w:kern w:val="2"/>
          <w:sz w:val="24"/>
          <w:szCs w:val="24"/>
          <w:highlight w:val="none"/>
        </w:rPr>
        <w:t>以“小型、多样、就近、安全”为原则，开展适合各类企退人群参加的形式多样的外出旅游活动或文娱活动，对于高龄及行动不便的企退人员采取上门</w:t>
      </w:r>
      <w:r>
        <w:rPr>
          <w:rFonts w:hint="eastAsia" w:ascii="仿宋" w:hAnsi="仿宋" w:eastAsia="仿宋" w:cs="仿宋"/>
          <w:bCs/>
          <w:snapToGrid/>
          <w:color w:val="auto"/>
          <w:kern w:val="2"/>
          <w:sz w:val="24"/>
          <w:szCs w:val="24"/>
          <w:highlight w:val="none"/>
          <w:lang w:val="en-US" w:eastAsia="zh-CN"/>
        </w:rPr>
        <w:t>慰问</w:t>
      </w:r>
      <w:r>
        <w:rPr>
          <w:rFonts w:hint="eastAsia" w:ascii="仿宋" w:hAnsi="仿宋" w:eastAsia="仿宋" w:cs="仿宋"/>
          <w:bCs/>
          <w:snapToGrid/>
          <w:color w:val="auto"/>
          <w:kern w:val="2"/>
          <w:sz w:val="24"/>
          <w:szCs w:val="24"/>
          <w:highlight w:val="none"/>
        </w:rPr>
        <w:t>的方式。</w:t>
      </w:r>
    </w:p>
    <w:p w14:paraId="71E05617">
      <w:pPr>
        <w:pStyle w:val="4"/>
        <w:pageBreakBefore w:val="0"/>
        <w:kinsoku/>
        <w:wordWrap/>
        <w:overflowPunct/>
        <w:topLinePunct w:val="0"/>
        <w:bidi w:val="0"/>
        <w:adjustRightInd/>
        <w:textAlignment w:val="auto"/>
        <w:rPr>
          <w:rFonts w:ascii="仿宋" w:hAnsi="仿宋" w:eastAsia="仿宋" w:cs="仿宋"/>
          <w:color w:val="auto"/>
          <w:sz w:val="28"/>
          <w:highlight w:val="none"/>
        </w:rPr>
      </w:pPr>
      <w:r>
        <w:rPr>
          <w:rFonts w:hint="eastAsia" w:cs="仿宋"/>
          <w:b/>
          <w:color w:val="auto"/>
          <w:sz w:val="28"/>
          <w:highlight w:val="none"/>
          <w:lang w:val="en-US" w:eastAsia="zh-CN"/>
        </w:rPr>
        <w:t>二、</w:t>
      </w:r>
      <w:r>
        <w:rPr>
          <w:rFonts w:hint="default" w:ascii="仿宋" w:hAnsi="仿宋" w:eastAsia="仿宋" w:cs="仿宋"/>
          <w:b/>
          <w:color w:val="auto"/>
          <w:sz w:val="28"/>
          <w:highlight w:val="none"/>
        </w:rPr>
        <w:t>项目采购内容</w:t>
      </w:r>
    </w:p>
    <w:p w14:paraId="4DCDEDA8">
      <w:pPr>
        <w:pageBreakBefore w:val="0"/>
        <w:kinsoku/>
        <w:wordWrap/>
        <w:overflowPunct/>
        <w:topLinePunct w:val="0"/>
        <w:bidi w:val="0"/>
        <w:snapToGrid/>
        <w:spacing w:line="360" w:lineRule="auto"/>
        <w:ind w:firstLine="480" w:firstLineChars="200"/>
        <w:jc w:val="left"/>
        <w:textAlignment w:val="auto"/>
        <w:rPr>
          <w:rFonts w:ascii="仿宋" w:hAnsi="仿宋" w:eastAsia="仿宋" w:cs="宋体"/>
          <w:snapToGrid w:val="0"/>
          <w:color w:val="auto"/>
          <w:kern w:val="0"/>
          <w:sz w:val="24"/>
          <w:highlight w:val="none"/>
        </w:rPr>
      </w:pPr>
      <w:r>
        <w:rPr>
          <w:rFonts w:hint="eastAsia" w:ascii="仿宋" w:hAnsi="仿宋" w:eastAsia="仿宋" w:cs="宋体"/>
          <w:snapToGrid w:val="0"/>
          <w:color w:val="auto"/>
          <w:kern w:val="0"/>
          <w:sz w:val="24"/>
          <w:highlight w:val="none"/>
        </w:rPr>
        <w:t>1.活动对象：</w:t>
      </w:r>
      <w:r>
        <w:rPr>
          <w:rFonts w:hint="eastAsia" w:ascii="仿宋" w:hAnsi="仿宋" w:eastAsia="仿宋" w:cs="宋体"/>
          <w:snapToGrid w:val="0"/>
          <w:color w:val="auto"/>
          <w:kern w:val="0"/>
          <w:sz w:val="24"/>
          <w:highlight w:val="none"/>
          <w:lang w:val="en-US" w:eastAsia="zh-CN"/>
        </w:rPr>
        <w:t>九堡</w:t>
      </w:r>
      <w:r>
        <w:rPr>
          <w:rFonts w:hint="eastAsia" w:ascii="仿宋" w:hAnsi="仿宋" w:eastAsia="仿宋" w:cs="宋体"/>
          <w:snapToGrid w:val="0"/>
          <w:color w:val="auto"/>
          <w:kern w:val="0"/>
          <w:sz w:val="24"/>
          <w:highlight w:val="none"/>
        </w:rPr>
        <w:t>街道范围内企业退休人员。</w:t>
      </w:r>
    </w:p>
    <w:p w14:paraId="65956B14">
      <w:pPr>
        <w:pageBreakBefore w:val="0"/>
        <w:kinsoku/>
        <w:wordWrap/>
        <w:overflowPunct/>
        <w:topLinePunct w:val="0"/>
        <w:bidi w:val="0"/>
        <w:snapToGrid/>
        <w:spacing w:line="360" w:lineRule="auto"/>
        <w:ind w:firstLine="480" w:firstLineChars="200"/>
        <w:jc w:val="left"/>
        <w:textAlignment w:val="auto"/>
        <w:rPr>
          <w:rFonts w:ascii="仿宋" w:hAnsi="仿宋" w:eastAsia="仿宋" w:cs="宋体"/>
          <w:snapToGrid w:val="0"/>
          <w:color w:val="auto"/>
          <w:kern w:val="0"/>
          <w:sz w:val="24"/>
          <w:highlight w:val="none"/>
        </w:rPr>
      </w:pPr>
      <w:r>
        <w:rPr>
          <w:rFonts w:hint="eastAsia" w:ascii="仿宋" w:hAnsi="仿宋" w:eastAsia="仿宋" w:cs="宋体"/>
          <w:snapToGrid w:val="0"/>
          <w:color w:val="auto"/>
          <w:kern w:val="0"/>
          <w:sz w:val="24"/>
          <w:highlight w:val="none"/>
          <w:lang w:val="en-US" w:eastAsia="zh-CN"/>
        </w:rPr>
        <w:t>2</w:t>
      </w:r>
      <w:r>
        <w:rPr>
          <w:rFonts w:hint="eastAsia" w:ascii="仿宋" w:hAnsi="仿宋" w:eastAsia="仿宋" w:cs="宋体"/>
          <w:snapToGrid w:val="0"/>
          <w:color w:val="auto"/>
          <w:kern w:val="0"/>
          <w:sz w:val="24"/>
          <w:highlight w:val="none"/>
        </w:rPr>
        <w:t>.活动人数：约</w:t>
      </w:r>
      <w:r>
        <w:rPr>
          <w:rFonts w:hint="eastAsia" w:ascii="仿宋" w:hAnsi="仿宋" w:eastAsia="仿宋" w:cs="仿宋"/>
          <w:bCs/>
          <w:snapToGrid/>
          <w:color w:val="auto"/>
          <w:kern w:val="2"/>
          <w:sz w:val="24"/>
          <w:szCs w:val="24"/>
          <w:highlight w:val="none"/>
          <w:lang w:val="en-US" w:eastAsia="zh-CN"/>
        </w:rPr>
        <w:t>17770</w:t>
      </w:r>
      <w:r>
        <w:rPr>
          <w:rFonts w:hint="eastAsia" w:ascii="仿宋" w:hAnsi="仿宋" w:eastAsia="仿宋" w:cs="仿宋"/>
          <w:bCs/>
          <w:snapToGrid/>
          <w:color w:val="auto"/>
          <w:kern w:val="2"/>
          <w:sz w:val="24"/>
          <w:szCs w:val="24"/>
          <w:highlight w:val="none"/>
        </w:rPr>
        <w:t>人</w:t>
      </w:r>
      <w:r>
        <w:rPr>
          <w:rFonts w:hint="eastAsia" w:ascii="仿宋" w:hAnsi="仿宋" w:eastAsia="仿宋" w:cs="宋体"/>
          <w:snapToGrid w:val="0"/>
          <w:color w:val="auto"/>
          <w:kern w:val="0"/>
          <w:sz w:val="24"/>
          <w:highlight w:val="none"/>
        </w:rPr>
        <w:t>，由采购人提供具体人员名单。</w:t>
      </w:r>
    </w:p>
    <w:p w14:paraId="6AAA4923">
      <w:pPr>
        <w:pageBreakBefore w:val="0"/>
        <w:kinsoku/>
        <w:wordWrap/>
        <w:overflowPunct/>
        <w:topLinePunct w:val="0"/>
        <w:bidi w:val="0"/>
        <w:snapToGrid/>
        <w:spacing w:line="360" w:lineRule="auto"/>
        <w:ind w:firstLine="480" w:firstLineChars="200"/>
        <w:jc w:val="left"/>
        <w:textAlignment w:val="auto"/>
        <w:rPr>
          <w:rFonts w:ascii="仿宋" w:hAnsi="仿宋" w:eastAsia="仿宋" w:cs="宋体"/>
          <w:snapToGrid w:val="0"/>
          <w:color w:val="auto"/>
          <w:kern w:val="0"/>
          <w:sz w:val="24"/>
          <w:highlight w:val="none"/>
        </w:rPr>
      </w:pPr>
      <w:r>
        <w:rPr>
          <w:rFonts w:hint="eastAsia" w:ascii="仿宋" w:hAnsi="仿宋" w:eastAsia="仿宋" w:cs="宋体"/>
          <w:snapToGrid w:val="0"/>
          <w:color w:val="auto"/>
          <w:kern w:val="0"/>
          <w:sz w:val="24"/>
          <w:highlight w:val="none"/>
          <w:lang w:val="en-US" w:eastAsia="zh-CN"/>
        </w:rPr>
        <w:t>3</w:t>
      </w:r>
      <w:r>
        <w:rPr>
          <w:rFonts w:hint="eastAsia" w:ascii="仿宋" w:hAnsi="仿宋" w:eastAsia="仿宋" w:cs="宋体"/>
          <w:snapToGrid w:val="0"/>
          <w:color w:val="auto"/>
          <w:kern w:val="0"/>
          <w:sz w:val="24"/>
          <w:highlight w:val="none"/>
        </w:rPr>
        <w:t>.活动时间：具体时间由</w:t>
      </w:r>
      <w:r>
        <w:rPr>
          <w:rFonts w:hint="eastAsia" w:ascii="仿宋" w:hAnsi="仿宋" w:eastAsia="仿宋" w:cs="宋体"/>
          <w:snapToGrid w:val="0"/>
          <w:color w:val="auto"/>
          <w:kern w:val="0"/>
          <w:sz w:val="24"/>
          <w:highlight w:val="none"/>
          <w:lang w:val="en-US" w:eastAsia="zh-CN"/>
        </w:rPr>
        <w:t>九堡</w:t>
      </w:r>
      <w:r>
        <w:rPr>
          <w:rFonts w:hint="eastAsia" w:ascii="仿宋" w:hAnsi="仿宋" w:eastAsia="仿宋" w:cs="宋体"/>
          <w:snapToGrid w:val="0"/>
          <w:color w:val="auto"/>
          <w:kern w:val="0"/>
          <w:sz w:val="24"/>
          <w:highlight w:val="none"/>
        </w:rPr>
        <w:t>街道各社区根据企业退休人员报名情况及天气情况与中标供应商协商确定。</w:t>
      </w:r>
    </w:p>
    <w:p w14:paraId="3AB26678">
      <w:pPr>
        <w:pageBreakBefore w:val="0"/>
        <w:kinsoku/>
        <w:wordWrap/>
        <w:overflowPunct/>
        <w:topLinePunct w:val="0"/>
        <w:bidi w:val="0"/>
        <w:snapToGrid/>
        <w:spacing w:line="360" w:lineRule="auto"/>
        <w:ind w:firstLine="480" w:firstLineChars="200"/>
        <w:jc w:val="left"/>
        <w:textAlignment w:val="auto"/>
        <w:rPr>
          <w:rFonts w:ascii="仿宋" w:hAnsi="仿宋" w:eastAsia="仿宋" w:cs="宋体"/>
          <w:snapToGrid w:val="0"/>
          <w:color w:val="auto"/>
          <w:kern w:val="0"/>
          <w:sz w:val="24"/>
          <w:highlight w:val="none"/>
        </w:rPr>
      </w:pPr>
      <w:r>
        <w:rPr>
          <w:rFonts w:hint="eastAsia" w:ascii="仿宋" w:hAnsi="仿宋" w:eastAsia="仿宋" w:cs="宋体"/>
          <w:snapToGrid w:val="0"/>
          <w:color w:val="auto"/>
          <w:kern w:val="0"/>
          <w:sz w:val="24"/>
          <w:highlight w:val="none"/>
          <w:lang w:val="en-US" w:eastAsia="zh-CN"/>
        </w:rPr>
        <w:t>4</w:t>
      </w:r>
      <w:r>
        <w:rPr>
          <w:rFonts w:hint="eastAsia" w:ascii="仿宋" w:hAnsi="仿宋" w:eastAsia="仿宋" w:cs="宋体"/>
          <w:snapToGrid w:val="0"/>
          <w:color w:val="auto"/>
          <w:kern w:val="0"/>
          <w:sz w:val="24"/>
          <w:highlight w:val="none"/>
        </w:rPr>
        <w:t>.活动特点：适合企业退休人员年龄段的活动形式。</w:t>
      </w:r>
    </w:p>
    <w:p w14:paraId="23C71401">
      <w:pPr>
        <w:pageBreakBefore w:val="0"/>
        <w:kinsoku/>
        <w:wordWrap/>
        <w:overflowPunct/>
        <w:topLinePunct w:val="0"/>
        <w:bidi w:val="0"/>
        <w:snapToGrid/>
        <w:spacing w:line="360" w:lineRule="auto"/>
        <w:ind w:firstLine="480" w:firstLineChars="200"/>
        <w:jc w:val="left"/>
        <w:textAlignment w:val="auto"/>
        <w:rPr>
          <w:rFonts w:hint="eastAsia" w:ascii="仿宋" w:hAnsi="仿宋" w:eastAsia="仿宋" w:cs="宋体"/>
          <w:snapToGrid w:val="0"/>
          <w:color w:val="auto"/>
          <w:kern w:val="0"/>
          <w:sz w:val="24"/>
          <w:highlight w:val="none"/>
        </w:rPr>
      </w:pPr>
      <w:r>
        <w:rPr>
          <w:rFonts w:hint="eastAsia" w:ascii="仿宋" w:hAnsi="仿宋" w:eastAsia="仿宋" w:cs="宋体"/>
          <w:snapToGrid w:val="0"/>
          <w:color w:val="auto"/>
          <w:kern w:val="0"/>
          <w:sz w:val="24"/>
          <w:highlight w:val="none"/>
        </w:rPr>
        <w:t>▲</w:t>
      </w:r>
      <w:r>
        <w:rPr>
          <w:rFonts w:hint="eastAsia" w:ascii="仿宋" w:hAnsi="仿宋" w:eastAsia="仿宋" w:cs="宋体"/>
          <w:snapToGrid w:val="0"/>
          <w:color w:val="auto"/>
          <w:kern w:val="0"/>
          <w:sz w:val="24"/>
          <w:highlight w:val="none"/>
          <w:lang w:val="en-US" w:eastAsia="zh-CN"/>
        </w:rPr>
        <w:t>5</w:t>
      </w:r>
      <w:r>
        <w:rPr>
          <w:rFonts w:hint="eastAsia" w:ascii="仿宋" w:hAnsi="仿宋" w:eastAsia="仿宋" w:cs="宋体"/>
          <w:snapToGrid w:val="0"/>
          <w:color w:val="auto"/>
          <w:kern w:val="0"/>
          <w:sz w:val="24"/>
          <w:highlight w:val="none"/>
        </w:rPr>
        <w:t>.个人活动标准：</w:t>
      </w:r>
      <w:r>
        <w:rPr>
          <w:rFonts w:hint="eastAsia" w:ascii="仿宋" w:hAnsi="仿宋" w:eastAsia="仿宋" w:cs="宋体"/>
          <w:snapToGrid w:val="0"/>
          <w:color w:val="auto"/>
          <w:kern w:val="0"/>
          <w:sz w:val="24"/>
          <w:highlight w:val="none"/>
          <w:lang w:val="en-US" w:eastAsia="zh-CN"/>
        </w:rPr>
        <w:t>最高限价为130</w:t>
      </w:r>
      <w:r>
        <w:rPr>
          <w:rFonts w:hint="eastAsia" w:ascii="仿宋" w:hAnsi="仿宋" w:eastAsia="仿宋" w:cs="宋体"/>
          <w:snapToGrid w:val="0"/>
          <w:color w:val="auto"/>
          <w:kern w:val="0"/>
          <w:sz w:val="24"/>
          <w:highlight w:val="none"/>
        </w:rPr>
        <w:t>元/人次。</w:t>
      </w:r>
      <w:r>
        <w:rPr>
          <w:rFonts w:hint="eastAsia" w:ascii="仿宋" w:hAnsi="仿宋" w:eastAsia="仿宋" w:cs="宋体"/>
          <w:b/>
          <w:bCs/>
          <w:snapToGrid w:val="0"/>
          <w:color w:val="auto"/>
          <w:kern w:val="0"/>
          <w:sz w:val="24"/>
          <w:highlight w:val="none"/>
        </w:rPr>
        <w:t>包含组织活动过程中产生的一切费用。</w:t>
      </w:r>
      <w:r>
        <w:rPr>
          <w:rFonts w:hint="eastAsia" w:ascii="仿宋" w:hAnsi="仿宋" w:eastAsia="仿宋" w:cs="宋体"/>
          <w:b/>
          <w:bCs/>
          <w:snapToGrid w:val="0"/>
          <w:color w:val="auto"/>
          <w:kern w:val="0"/>
          <w:sz w:val="24"/>
          <w:highlight w:val="none"/>
          <w:lang w:val="en-US" w:eastAsia="zh-CN"/>
        </w:rPr>
        <w:t>该项费用不竞争，</w:t>
      </w:r>
      <w:r>
        <w:rPr>
          <w:rFonts w:hint="eastAsia" w:ascii="仿宋" w:hAnsi="仿宋" w:eastAsia="仿宋" w:cs="宋体"/>
          <w:b/>
          <w:bCs/>
          <w:snapToGrid w:val="0"/>
          <w:color w:val="auto"/>
          <w:kern w:val="0"/>
          <w:sz w:val="24"/>
          <w:highlight w:val="none"/>
        </w:rPr>
        <w:t>承办单位须根据采购人调配安排参与人员活动形式，具体结算按实际使用人数进行结算。后续不得增加相应费用。</w:t>
      </w:r>
    </w:p>
    <w:p w14:paraId="4C5161E9">
      <w:pPr>
        <w:pageBreakBefore w:val="0"/>
        <w:kinsoku/>
        <w:wordWrap/>
        <w:overflowPunct/>
        <w:topLinePunct w:val="0"/>
        <w:bidi w:val="0"/>
        <w:snapToGrid/>
        <w:spacing w:line="360" w:lineRule="auto"/>
        <w:ind w:firstLine="480" w:firstLineChars="200"/>
        <w:jc w:val="left"/>
        <w:textAlignment w:val="auto"/>
        <w:rPr>
          <w:rFonts w:hint="eastAsia" w:ascii="仿宋" w:hAnsi="仿宋" w:eastAsia="仿宋" w:cs="宋体"/>
          <w:snapToGrid w:val="0"/>
          <w:color w:val="auto"/>
          <w:kern w:val="0"/>
          <w:sz w:val="24"/>
          <w:highlight w:val="none"/>
          <w:lang w:val="en-US" w:eastAsia="zh-CN"/>
        </w:rPr>
      </w:pPr>
      <w:r>
        <w:rPr>
          <w:rFonts w:hint="eastAsia" w:ascii="仿宋" w:hAnsi="仿宋" w:eastAsia="仿宋" w:cs="宋体"/>
          <w:snapToGrid w:val="0"/>
          <w:color w:val="auto"/>
          <w:kern w:val="0"/>
          <w:sz w:val="24"/>
          <w:highlight w:val="none"/>
          <w:lang w:val="en-US" w:eastAsia="zh-CN"/>
        </w:rPr>
        <w:t>6.</w:t>
      </w:r>
      <w:r>
        <w:rPr>
          <w:rFonts w:hint="eastAsia" w:ascii="仿宋" w:hAnsi="仿宋" w:eastAsia="仿宋" w:cs="宋体"/>
          <w:snapToGrid w:val="0"/>
          <w:color w:val="auto"/>
          <w:kern w:val="0"/>
          <w:sz w:val="24"/>
          <w:highlight w:val="none"/>
        </w:rPr>
        <w:t>服务期限：自合同签订之日起至2026年12月31日</w:t>
      </w:r>
      <w:r>
        <w:rPr>
          <w:rFonts w:hint="eastAsia" w:ascii="仿宋" w:hAnsi="仿宋" w:eastAsia="仿宋" w:cs="宋体"/>
          <w:snapToGrid w:val="0"/>
          <w:color w:val="auto"/>
          <w:kern w:val="0"/>
          <w:sz w:val="24"/>
          <w:highlight w:val="none"/>
          <w:lang w:val="en-US" w:eastAsia="zh-CN"/>
        </w:rPr>
        <w:t>。</w:t>
      </w:r>
    </w:p>
    <w:p w14:paraId="03D039FE">
      <w:pPr>
        <w:pStyle w:val="4"/>
        <w:pageBreakBefore w:val="0"/>
        <w:kinsoku/>
        <w:wordWrap/>
        <w:overflowPunct/>
        <w:topLinePunct w:val="0"/>
        <w:bidi w:val="0"/>
        <w:adjustRightInd/>
        <w:textAlignment w:val="auto"/>
        <w:rPr>
          <w:rFonts w:hint="eastAsia" w:ascii="仿宋" w:hAnsi="仿宋" w:eastAsia="仿宋" w:cs="仿宋"/>
          <w:b/>
          <w:color w:val="auto"/>
          <w:sz w:val="28"/>
          <w:highlight w:val="none"/>
          <w:lang w:val="en-US"/>
        </w:rPr>
      </w:pPr>
      <w:r>
        <w:rPr>
          <w:rFonts w:hint="eastAsia" w:cs="仿宋"/>
          <w:b/>
          <w:color w:val="auto"/>
          <w:sz w:val="28"/>
          <w:highlight w:val="none"/>
          <w:lang w:val="en-US" w:eastAsia="zh-CN"/>
        </w:rPr>
        <w:t>三、</w:t>
      </w:r>
      <w:r>
        <w:rPr>
          <w:rFonts w:hint="eastAsia" w:ascii="仿宋" w:hAnsi="仿宋" w:eastAsia="仿宋" w:cs="仿宋"/>
          <w:b/>
          <w:color w:val="auto"/>
          <w:sz w:val="28"/>
          <w:highlight w:val="none"/>
          <w:lang w:val="en-US"/>
        </w:rPr>
        <w:t>服务形式</w:t>
      </w:r>
    </w:p>
    <w:p w14:paraId="78CD6090">
      <w:pPr>
        <w:pageBreakBefore w:val="0"/>
        <w:kinsoku/>
        <w:wordWrap/>
        <w:overflowPunct/>
        <w:topLinePunct w:val="0"/>
        <w:bidi w:val="0"/>
        <w:snapToGrid w:val="0"/>
        <w:spacing w:line="360" w:lineRule="auto"/>
        <w:ind w:firstLine="482" w:firstLineChars="200"/>
        <w:jc w:val="left"/>
        <w:textAlignment w:val="auto"/>
        <w:rPr>
          <w:rFonts w:hint="eastAsia" w:ascii="仿宋" w:hAnsi="仿宋" w:eastAsia="仿宋" w:cs="宋体"/>
          <w:snapToGrid w:val="0"/>
          <w:color w:val="auto"/>
          <w:kern w:val="0"/>
          <w:sz w:val="24"/>
          <w:highlight w:val="none"/>
          <w:lang w:val="en-US" w:eastAsia="zh-CN"/>
        </w:rPr>
      </w:pPr>
      <w:r>
        <w:rPr>
          <w:rFonts w:hint="eastAsia" w:ascii="仿宋" w:hAnsi="仿宋" w:eastAsia="仿宋" w:cs="宋体"/>
          <w:b/>
          <w:bCs/>
          <w:snapToGrid w:val="0"/>
          <w:color w:val="auto"/>
          <w:kern w:val="0"/>
          <w:sz w:val="24"/>
          <w:highlight w:val="none"/>
        </w:rPr>
        <w:t>1.组织社区活动（举办</w:t>
      </w:r>
      <w:r>
        <w:rPr>
          <w:rFonts w:hint="eastAsia" w:ascii="仿宋" w:hAnsi="仿宋" w:eastAsia="仿宋" w:cs="宋体"/>
          <w:b/>
          <w:bCs/>
          <w:snapToGrid w:val="0"/>
          <w:color w:val="auto"/>
          <w:kern w:val="0"/>
          <w:sz w:val="24"/>
          <w:highlight w:val="none"/>
          <w:lang w:val="en-US" w:eastAsia="zh-CN"/>
        </w:rPr>
        <w:t>策划</w:t>
      </w:r>
      <w:r>
        <w:rPr>
          <w:rFonts w:hint="eastAsia" w:ascii="仿宋" w:hAnsi="仿宋" w:eastAsia="仿宋" w:cs="宋体"/>
          <w:b/>
          <w:bCs/>
          <w:snapToGrid w:val="0"/>
          <w:color w:val="auto"/>
          <w:kern w:val="0"/>
          <w:sz w:val="24"/>
          <w:highlight w:val="none"/>
        </w:rPr>
        <w:t>小型多样活动和探望行动不便、高龄企退人员，发放</w:t>
      </w:r>
      <w:r>
        <w:rPr>
          <w:rFonts w:hint="eastAsia" w:ascii="仿宋" w:hAnsi="仿宋" w:eastAsia="仿宋" w:cs="宋体"/>
          <w:b/>
          <w:bCs/>
          <w:snapToGrid w:val="0"/>
          <w:color w:val="auto"/>
          <w:kern w:val="0"/>
          <w:sz w:val="24"/>
          <w:highlight w:val="none"/>
          <w:lang w:eastAsia="zh-CN"/>
        </w:rPr>
        <w:t>活动用品</w:t>
      </w:r>
      <w:r>
        <w:rPr>
          <w:rFonts w:hint="eastAsia" w:ascii="仿宋" w:hAnsi="仿宋" w:eastAsia="仿宋" w:cs="宋体"/>
          <w:b/>
          <w:bCs/>
          <w:snapToGrid w:val="0"/>
          <w:color w:val="auto"/>
          <w:kern w:val="0"/>
          <w:sz w:val="24"/>
          <w:highlight w:val="none"/>
        </w:rPr>
        <w:t>等）。</w:t>
      </w:r>
      <w:r>
        <w:rPr>
          <w:rFonts w:hint="eastAsia" w:ascii="仿宋" w:hAnsi="仿宋" w:eastAsia="仿宋" w:cs="宋体"/>
          <w:snapToGrid w:val="0"/>
          <w:color w:val="auto"/>
          <w:kern w:val="0"/>
          <w:sz w:val="24"/>
          <w:highlight w:val="none"/>
        </w:rPr>
        <w:t>小型多样活动的组织应充分考虑企退</w:t>
      </w:r>
      <w:r>
        <w:rPr>
          <w:rFonts w:hint="eastAsia" w:ascii="仿宋" w:hAnsi="仿宋" w:eastAsia="仿宋" w:cs="宋体"/>
          <w:snapToGrid w:val="0"/>
          <w:color w:val="auto"/>
          <w:kern w:val="0"/>
          <w:sz w:val="24"/>
          <w:highlight w:val="none"/>
          <w:lang w:eastAsia="zh-CN"/>
        </w:rPr>
        <w:t>人员</w:t>
      </w:r>
      <w:r>
        <w:rPr>
          <w:rFonts w:hint="eastAsia" w:ascii="仿宋" w:hAnsi="仿宋" w:eastAsia="仿宋" w:cs="宋体"/>
          <w:snapToGrid w:val="0"/>
          <w:color w:val="auto"/>
          <w:kern w:val="0"/>
          <w:sz w:val="24"/>
          <w:highlight w:val="none"/>
        </w:rPr>
        <w:t>参与的便捷、安全。</w:t>
      </w:r>
      <w:r>
        <w:rPr>
          <w:rFonts w:hint="eastAsia" w:ascii="仿宋" w:hAnsi="仿宋" w:eastAsia="仿宋" w:cs="宋体"/>
          <w:snapToGrid w:val="0"/>
          <w:color w:val="auto"/>
          <w:kern w:val="0"/>
          <w:sz w:val="24"/>
          <w:highlight w:val="none"/>
          <w:lang w:val="en-US" w:eastAsia="zh-CN"/>
        </w:rPr>
        <w:t>活动后须发放相应的活动用品；</w:t>
      </w:r>
      <w:r>
        <w:rPr>
          <w:rFonts w:hint="eastAsia" w:ascii="仿宋" w:hAnsi="仿宋" w:eastAsia="仿宋" w:cs="宋体"/>
          <w:snapToGrid w:val="0"/>
          <w:color w:val="auto"/>
          <w:kern w:val="0"/>
          <w:sz w:val="24"/>
          <w:highlight w:val="none"/>
        </w:rPr>
        <w:t>对于高龄及行动不便的企退人员采取上门慰问的方式</w:t>
      </w:r>
      <w:r>
        <w:rPr>
          <w:rFonts w:hint="eastAsia" w:ascii="仿宋" w:hAnsi="仿宋" w:eastAsia="仿宋" w:cs="宋体"/>
          <w:snapToGrid w:val="0"/>
          <w:color w:val="auto"/>
          <w:kern w:val="0"/>
          <w:sz w:val="24"/>
          <w:highlight w:val="none"/>
          <w:lang w:eastAsia="zh-CN"/>
        </w:rPr>
        <w:t>，</w:t>
      </w:r>
      <w:r>
        <w:rPr>
          <w:rFonts w:hint="eastAsia" w:ascii="仿宋" w:hAnsi="仿宋" w:eastAsia="仿宋" w:cs="宋体"/>
          <w:snapToGrid w:val="0"/>
          <w:color w:val="auto"/>
          <w:kern w:val="0"/>
          <w:sz w:val="24"/>
          <w:highlight w:val="none"/>
        </w:rPr>
        <w:t>探望行动不便、高龄企退人员</w:t>
      </w:r>
      <w:r>
        <w:rPr>
          <w:rFonts w:hint="eastAsia" w:ascii="仿宋" w:hAnsi="仿宋" w:eastAsia="仿宋" w:cs="宋体"/>
          <w:snapToGrid w:val="0"/>
          <w:color w:val="auto"/>
          <w:kern w:val="0"/>
          <w:sz w:val="24"/>
          <w:highlight w:val="none"/>
          <w:lang w:val="en-US" w:eastAsia="zh-CN"/>
        </w:rPr>
        <w:t>时携带慰问品。活动用品</w:t>
      </w:r>
      <w:r>
        <w:rPr>
          <w:rFonts w:hint="eastAsia" w:ascii="仿宋" w:hAnsi="仿宋" w:eastAsia="仿宋" w:cs="宋体"/>
          <w:snapToGrid w:val="0"/>
          <w:color w:val="auto"/>
          <w:kern w:val="0"/>
          <w:sz w:val="24"/>
          <w:highlight w:val="none"/>
        </w:rPr>
        <w:t>价值总价不低于人均1</w:t>
      </w:r>
      <w:r>
        <w:rPr>
          <w:rFonts w:hint="eastAsia" w:ascii="仿宋" w:hAnsi="仿宋" w:eastAsia="仿宋" w:cs="宋体"/>
          <w:snapToGrid w:val="0"/>
          <w:color w:val="auto"/>
          <w:kern w:val="0"/>
          <w:sz w:val="24"/>
          <w:highlight w:val="none"/>
          <w:lang w:val="en-US" w:eastAsia="zh-CN"/>
        </w:rPr>
        <w:t>30</w:t>
      </w:r>
      <w:r>
        <w:rPr>
          <w:rFonts w:hint="eastAsia" w:ascii="仿宋" w:hAnsi="仿宋" w:eastAsia="仿宋" w:cs="宋体"/>
          <w:snapToGrid w:val="0"/>
          <w:color w:val="auto"/>
          <w:kern w:val="0"/>
          <w:sz w:val="24"/>
          <w:highlight w:val="none"/>
        </w:rPr>
        <w:t>元，不</w:t>
      </w:r>
      <w:r>
        <w:rPr>
          <w:rFonts w:hint="eastAsia" w:ascii="仿宋" w:hAnsi="仿宋" w:eastAsia="仿宋" w:cs="宋体"/>
          <w:snapToGrid w:val="0"/>
          <w:color w:val="auto"/>
          <w:kern w:val="0"/>
          <w:sz w:val="24"/>
          <w:highlight w:val="none"/>
          <w:lang w:eastAsia="zh-CN"/>
        </w:rPr>
        <w:t>能</w:t>
      </w:r>
      <w:r>
        <w:rPr>
          <w:rFonts w:hint="eastAsia" w:ascii="仿宋" w:hAnsi="仿宋" w:eastAsia="仿宋" w:cs="宋体"/>
          <w:snapToGrid w:val="0"/>
          <w:color w:val="auto"/>
          <w:kern w:val="0"/>
          <w:sz w:val="24"/>
          <w:highlight w:val="none"/>
        </w:rPr>
        <w:t>以</w:t>
      </w:r>
      <w:r>
        <w:rPr>
          <w:rFonts w:hint="eastAsia" w:ascii="仿宋" w:hAnsi="仿宋" w:eastAsia="仿宋" w:cs="宋体"/>
          <w:snapToGrid w:val="0"/>
          <w:color w:val="auto"/>
          <w:kern w:val="0"/>
          <w:sz w:val="24"/>
          <w:highlight w:val="none"/>
          <w:lang w:eastAsia="zh-CN"/>
        </w:rPr>
        <w:t>现金或购物卡等</w:t>
      </w:r>
      <w:r>
        <w:rPr>
          <w:rFonts w:hint="eastAsia" w:ascii="仿宋" w:hAnsi="仿宋" w:eastAsia="仿宋" w:cs="宋体"/>
          <w:snapToGrid w:val="0"/>
          <w:color w:val="auto"/>
          <w:kern w:val="0"/>
          <w:sz w:val="24"/>
          <w:highlight w:val="none"/>
        </w:rPr>
        <w:t>代金</w:t>
      </w:r>
      <w:r>
        <w:rPr>
          <w:rFonts w:hint="eastAsia" w:ascii="仿宋" w:hAnsi="仿宋" w:eastAsia="仿宋" w:cs="宋体"/>
          <w:snapToGrid w:val="0"/>
          <w:color w:val="auto"/>
          <w:kern w:val="0"/>
          <w:sz w:val="24"/>
          <w:highlight w:val="none"/>
          <w:lang w:eastAsia="zh-CN"/>
        </w:rPr>
        <w:t>卡（</w:t>
      </w:r>
      <w:r>
        <w:rPr>
          <w:rFonts w:hint="eastAsia" w:ascii="仿宋" w:hAnsi="仿宋" w:eastAsia="仿宋" w:cs="宋体"/>
          <w:snapToGrid w:val="0"/>
          <w:color w:val="auto"/>
          <w:kern w:val="0"/>
          <w:sz w:val="24"/>
          <w:highlight w:val="none"/>
        </w:rPr>
        <w:t>券</w:t>
      </w:r>
      <w:r>
        <w:rPr>
          <w:rFonts w:hint="eastAsia" w:ascii="仿宋" w:hAnsi="仿宋" w:eastAsia="仿宋" w:cs="宋体"/>
          <w:snapToGrid w:val="0"/>
          <w:color w:val="auto"/>
          <w:kern w:val="0"/>
          <w:sz w:val="24"/>
          <w:highlight w:val="none"/>
          <w:lang w:eastAsia="zh-CN"/>
        </w:rPr>
        <w:t>）</w:t>
      </w:r>
      <w:r>
        <w:rPr>
          <w:rFonts w:hint="eastAsia" w:ascii="仿宋" w:hAnsi="仿宋" w:eastAsia="仿宋" w:cs="宋体"/>
          <w:snapToGrid w:val="0"/>
          <w:color w:val="auto"/>
          <w:kern w:val="0"/>
          <w:sz w:val="24"/>
          <w:highlight w:val="none"/>
        </w:rPr>
        <w:t>的形式发放</w:t>
      </w:r>
      <w:r>
        <w:rPr>
          <w:rFonts w:hint="eastAsia" w:ascii="仿宋" w:hAnsi="仿宋" w:eastAsia="仿宋" w:cs="宋体"/>
          <w:snapToGrid w:val="0"/>
          <w:color w:val="auto"/>
          <w:kern w:val="0"/>
          <w:sz w:val="24"/>
          <w:highlight w:val="none"/>
          <w:lang w:val="en-US" w:eastAsia="zh-CN"/>
        </w:rPr>
        <w:t>。</w:t>
      </w:r>
      <w:r>
        <w:rPr>
          <w:rFonts w:hint="eastAsia" w:ascii="仿宋" w:hAnsi="仿宋" w:eastAsia="仿宋" w:cs="宋体"/>
          <w:snapToGrid w:val="0"/>
          <w:color w:val="auto"/>
          <w:kern w:val="0"/>
          <w:sz w:val="24"/>
          <w:highlight w:val="none"/>
        </w:rPr>
        <w:t>中标供应商可根据</w:t>
      </w:r>
      <w:r>
        <w:rPr>
          <w:rFonts w:hint="eastAsia" w:ascii="仿宋" w:hAnsi="仿宋" w:eastAsia="仿宋" w:cs="宋体"/>
          <w:snapToGrid w:val="0"/>
          <w:color w:val="auto"/>
          <w:kern w:val="0"/>
          <w:sz w:val="24"/>
          <w:highlight w:val="none"/>
          <w:lang w:eastAsia="zh-CN"/>
        </w:rPr>
        <w:t>活动用品</w:t>
      </w:r>
      <w:r>
        <w:rPr>
          <w:rFonts w:hint="eastAsia" w:ascii="仿宋" w:hAnsi="仿宋" w:eastAsia="仿宋" w:cs="宋体"/>
          <w:snapToGrid w:val="0"/>
          <w:color w:val="auto"/>
          <w:kern w:val="0"/>
          <w:sz w:val="24"/>
          <w:highlight w:val="none"/>
        </w:rPr>
        <w:t>价值在附表1中自行选择</w:t>
      </w:r>
      <w:r>
        <w:rPr>
          <w:rFonts w:hint="eastAsia" w:ascii="仿宋" w:hAnsi="仿宋" w:eastAsia="仿宋" w:cs="宋体"/>
          <w:snapToGrid w:val="0"/>
          <w:color w:val="auto"/>
          <w:kern w:val="0"/>
          <w:sz w:val="24"/>
          <w:highlight w:val="none"/>
          <w:lang w:eastAsia="zh-CN"/>
        </w:rPr>
        <w:t>，</w:t>
      </w:r>
      <w:r>
        <w:rPr>
          <w:rFonts w:hint="eastAsia" w:ascii="仿宋" w:hAnsi="仿宋" w:eastAsia="仿宋" w:cs="宋体"/>
          <w:snapToGrid w:val="0"/>
          <w:color w:val="auto"/>
          <w:kern w:val="0"/>
          <w:sz w:val="24"/>
          <w:highlight w:val="none"/>
        </w:rPr>
        <w:t>也可</w:t>
      </w:r>
      <w:r>
        <w:rPr>
          <w:rFonts w:hint="eastAsia" w:ascii="仿宋" w:hAnsi="仿宋" w:eastAsia="仿宋" w:cs="宋体"/>
          <w:snapToGrid w:val="0"/>
          <w:color w:val="auto"/>
          <w:kern w:val="0"/>
          <w:sz w:val="24"/>
          <w:highlight w:val="none"/>
          <w:lang w:val="en-US" w:eastAsia="zh-CN"/>
        </w:rPr>
        <w:t>按不低于表格中活动用品的品牌及档次</w:t>
      </w:r>
      <w:r>
        <w:rPr>
          <w:rFonts w:hint="eastAsia" w:ascii="仿宋" w:hAnsi="仿宋" w:eastAsia="仿宋" w:cs="宋体"/>
          <w:snapToGrid w:val="0"/>
          <w:color w:val="auto"/>
          <w:kern w:val="0"/>
          <w:sz w:val="24"/>
          <w:highlight w:val="none"/>
        </w:rPr>
        <w:t>自行搭配，人均不得低于</w:t>
      </w:r>
      <w:r>
        <w:rPr>
          <w:rFonts w:hint="eastAsia" w:ascii="仿宋" w:hAnsi="仿宋" w:eastAsia="仿宋" w:cs="宋体"/>
          <w:snapToGrid w:val="0"/>
          <w:color w:val="auto"/>
          <w:kern w:val="0"/>
          <w:sz w:val="24"/>
          <w:highlight w:val="none"/>
          <w:lang w:val="en-US" w:eastAsia="zh-CN"/>
        </w:rPr>
        <w:t>130</w:t>
      </w:r>
      <w:r>
        <w:rPr>
          <w:rFonts w:hint="eastAsia" w:ascii="仿宋" w:hAnsi="仿宋" w:eastAsia="仿宋" w:cs="宋体"/>
          <w:snapToGrid w:val="0"/>
          <w:color w:val="auto"/>
          <w:kern w:val="0"/>
          <w:sz w:val="24"/>
          <w:highlight w:val="none"/>
        </w:rPr>
        <w:t>元。</w:t>
      </w:r>
    </w:p>
    <w:p w14:paraId="2E8B85F4">
      <w:pPr>
        <w:pageBreakBefore w:val="0"/>
        <w:kinsoku/>
        <w:wordWrap/>
        <w:overflowPunct/>
        <w:topLinePunct w:val="0"/>
        <w:bidi w:val="0"/>
        <w:snapToGrid w:val="0"/>
        <w:spacing w:line="360" w:lineRule="auto"/>
        <w:ind w:firstLine="482" w:firstLineChars="200"/>
        <w:jc w:val="left"/>
        <w:textAlignment w:val="auto"/>
        <w:rPr>
          <w:rFonts w:hint="eastAsia" w:ascii="仿宋" w:hAnsi="仿宋" w:eastAsia="仿宋" w:cs="宋体"/>
          <w:snapToGrid w:val="0"/>
          <w:color w:val="auto"/>
          <w:kern w:val="0"/>
          <w:sz w:val="24"/>
          <w:highlight w:val="none"/>
        </w:rPr>
      </w:pPr>
      <w:r>
        <w:rPr>
          <w:rFonts w:hint="eastAsia" w:ascii="仿宋" w:hAnsi="仿宋" w:eastAsia="仿宋" w:cs="宋体"/>
          <w:b/>
          <w:bCs/>
          <w:snapToGrid w:val="0"/>
          <w:color w:val="auto"/>
          <w:kern w:val="0"/>
          <w:sz w:val="24"/>
          <w:highlight w:val="none"/>
        </w:rPr>
        <w:t>2.外出游览策划与安排</w:t>
      </w:r>
      <w:r>
        <w:rPr>
          <w:rFonts w:hint="eastAsia" w:ascii="仿宋" w:hAnsi="仿宋" w:eastAsia="仿宋" w:cs="宋体"/>
          <w:b/>
          <w:bCs/>
          <w:snapToGrid w:val="0"/>
          <w:color w:val="auto"/>
          <w:kern w:val="0"/>
          <w:sz w:val="24"/>
          <w:highlight w:val="none"/>
          <w:lang w:eastAsia="zh-CN"/>
        </w:rPr>
        <w:t>。</w:t>
      </w:r>
      <w:r>
        <w:rPr>
          <w:rFonts w:hint="eastAsia" w:ascii="仿宋" w:hAnsi="仿宋" w:eastAsia="仿宋" w:cs="宋体"/>
          <w:snapToGrid w:val="0"/>
          <w:color w:val="auto"/>
          <w:kern w:val="0"/>
          <w:sz w:val="24"/>
          <w:highlight w:val="none"/>
          <w:lang w:val="en-US" w:eastAsia="zh-CN"/>
        </w:rPr>
        <w:t>外出游览时间为1天，</w:t>
      </w:r>
      <w:r>
        <w:rPr>
          <w:rFonts w:hint="eastAsia" w:ascii="仿宋" w:hAnsi="仿宋" w:eastAsia="仿宋" w:cs="宋体"/>
          <w:snapToGrid w:val="0"/>
          <w:color w:val="auto"/>
          <w:kern w:val="0"/>
          <w:sz w:val="24"/>
          <w:highlight w:val="none"/>
        </w:rPr>
        <w:t>策划适合企退人员的外出游览活动，确保活动安全、有趣、有教育意义。</w:t>
      </w:r>
    </w:p>
    <w:p w14:paraId="30C934EF">
      <w:pPr>
        <w:pageBreakBefore w:val="0"/>
        <w:kinsoku/>
        <w:wordWrap/>
        <w:overflowPunct/>
        <w:topLinePunct w:val="0"/>
        <w:bidi w:val="0"/>
        <w:snapToGrid w:val="0"/>
        <w:spacing w:line="360" w:lineRule="auto"/>
        <w:ind w:firstLine="480" w:firstLineChars="200"/>
        <w:jc w:val="left"/>
        <w:textAlignment w:val="auto"/>
        <w:rPr>
          <w:rFonts w:hint="eastAsia" w:ascii="仿宋" w:hAnsi="仿宋" w:eastAsia="仿宋" w:cs="宋体"/>
          <w:snapToGrid w:val="0"/>
          <w:color w:val="auto"/>
          <w:kern w:val="0"/>
          <w:sz w:val="24"/>
          <w:highlight w:val="none"/>
          <w:lang w:val="en-US" w:eastAsia="zh-CN"/>
        </w:rPr>
      </w:pPr>
      <w:r>
        <w:rPr>
          <w:rFonts w:hint="eastAsia" w:ascii="仿宋" w:hAnsi="仿宋" w:eastAsia="仿宋" w:cs="宋体"/>
          <w:snapToGrid w:val="0"/>
          <w:color w:val="auto"/>
          <w:kern w:val="0"/>
          <w:sz w:val="24"/>
          <w:highlight w:val="none"/>
          <w:lang w:val="en-US" w:eastAsia="zh-CN"/>
        </w:rPr>
        <w:t>2.1暂定旅游活动地点：（参与人数以实际人数为准，实际路线以采购人最终确认为准）</w:t>
      </w:r>
    </w:p>
    <w:tbl>
      <w:tblPr>
        <w:tblStyle w:val="6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7"/>
        <w:gridCol w:w="3320"/>
        <w:gridCol w:w="1544"/>
        <w:gridCol w:w="3434"/>
      </w:tblGrid>
      <w:tr w14:paraId="67AE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vAlign w:val="center"/>
          </w:tcPr>
          <w:p w14:paraId="761F5C6A">
            <w:pPr>
              <w:pageBreakBefore w:val="0"/>
              <w:kinsoku/>
              <w:wordWrap/>
              <w:overflowPunct/>
              <w:topLinePunct w:val="0"/>
              <w:bidi w:val="0"/>
              <w:snapToGrid w:val="0"/>
              <w:spacing w:line="240" w:lineRule="auto"/>
              <w:jc w:val="center"/>
              <w:textAlignment w:val="auto"/>
              <w:rPr>
                <w:rFonts w:hint="default" w:ascii="仿宋" w:hAnsi="仿宋" w:eastAsia="仿宋" w:cs="宋体"/>
                <w:b/>
                <w:bCs/>
                <w:snapToGrid w:val="0"/>
                <w:color w:val="auto"/>
                <w:kern w:val="0"/>
                <w:sz w:val="24"/>
                <w:highlight w:val="none"/>
                <w:vertAlign w:val="baseline"/>
                <w:lang w:val="en-US" w:eastAsia="zh-CN"/>
              </w:rPr>
            </w:pPr>
            <w:r>
              <w:rPr>
                <w:rFonts w:hint="eastAsia" w:ascii="仿宋" w:hAnsi="仿宋" w:eastAsia="仿宋" w:cs="宋体"/>
                <w:b/>
                <w:bCs/>
                <w:snapToGrid w:val="0"/>
                <w:color w:val="auto"/>
                <w:kern w:val="0"/>
                <w:sz w:val="24"/>
                <w:highlight w:val="none"/>
                <w:vertAlign w:val="baseline"/>
                <w:lang w:val="en-US" w:eastAsia="zh-CN"/>
              </w:rPr>
              <w:t>序号</w:t>
            </w:r>
          </w:p>
        </w:tc>
        <w:tc>
          <w:tcPr>
            <w:tcW w:w="1667" w:type="pct"/>
            <w:vAlign w:val="center"/>
          </w:tcPr>
          <w:p w14:paraId="665C1704">
            <w:pPr>
              <w:pageBreakBefore w:val="0"/>
              <w:kinsoku/>
              <w:wordWrap/>
              <w:overflowPunct/>
              <w:topLinePunct w:val="0"/>
              <w:bidi w:val="0"/>
              <w:snapToGrid w:val="0"/>
              <w:spacing w:line="240" w:lineRule="auto"/>
              <w:jc w:val="center"/>
              <w:textAlignment w:val="auto"/>
              <w:rPr>
                <w:rFonts w:hint="default" w:ascii="仿宋" w:hAnsi="仿宋" w:eastAsia="仿宋" w:cs="宋体"/>
                <w:b/>
                <w:bCs/>
                <w:snapToGrid w:val="0"/>
                <w:color w:val="auto"/>
                <w:kern w:val="0"/>
                <w:sz w:val="24"/>
                <w:highlight w:val="none"/>
                <w:vertAlign w:val="baseline"/>
                <w:lang w:val="en-US" w:eastAsia="zh-CN"/>
              </w:rPr>
            </w:pPr>
            <w:r>
              <w:rPr>
                <w:rFonts w:hint="eastAsia" w:ascii="仿宋" w:hAnsi="仿宋" w:eastAsia="仿宋" w:cs="宋体"/>
                <w:b/>
                <w:bCs/>
                <w:snapToGrid w:val="0"/>
                <w:color w:val="auto"/>
                <w:kern w:val="0"/>
                <w:sz w:val="24"/>
                <w:highlight w:val="none"/>
                <w:vertAlign w:val="baseline"/>
                <w:lang w:val="en-US" w:eastAsia="zh-CN"/>
              </w:rPr>
              <w:t>地点</w:t>
            </w:r>
          </w:p>
        </w:tc>
        <w:tc>
          <w:tcPr>
            <w:tcW w:w="775" w:type="pct"/>
            <w:vAlign w:val="center"/>
          </w:tcPr>
          <w:p w14:paraId="65E9B443">
            <w:pPr>
              <w:pageBreakBefore w:val="0"/>
              <w:kinsoku/>
              <w:wordWrap/>
              <w:overflowPunct/>
              <w:topLinePunct w:val="0"/>
              <w:bidi w:val="0"/>
              <w:snapToGrid w:val="0"/>
              <w:spacing w:line="240" w:lineRule="auto"/>
              <w:jc w:val="center"/>
              <w:textAlignment w:val="auto"/>
              <w:rPr>
                <w:rFonts w:hint="default" w:ascii="仿宋" w:hAnsi="仿宋" w:eastAsia="仿宋" w:cs="宋体"/>
                <w:b/>
                <w:bCs/>
                <w:snapToGrid w:val="0"/>
                <w:color w:val="auto"/>
                <w:kern w:val="0"/>
                <w:sz w:val="24"/>
                <w:highlight w:val="none"/>
                <w:vertAlign w:val="baseline"/>
                <w:lang w:val="en-US" w:eastAsia="zh-CN"/>
              </w:rPr>
            </w:pPr>
            <w:r>
              <w:rPr>
                <w:rFonts w:hint="eastAsia" w:ascii="仿宋" w:hAnsi="仿宋" w:eastAsia="仿宋" w:cs="宋体"/>
                <w:b/>
                <w:bCs/>
                <w:snapToGrid w:val="0"/>
                <w:color w:val="auto"/>
                <w:kern w:val="0"/>
                <w:sz w:val="24"/>
                <w:highlight w:val="none"/>
                <w:vertAlign w:val="baseline"/>
                <w:lang w:val="en-US" w:eastAsia="zh-CN"/>
              </w:rPr>
              <w:t>序号</w:t>
            </w:r>
          </w:p>
        </w:tc>
        <w:tc>
          <w:tcPr>
            <w:tcW w:w="1724" w:type="pct"/>
            <w:vAlign w:val="center"/>
          </w:tcPr>
          <w:p w14:paraId="2D454C24">
            <w:pPr>
              <w:pageBreakBefore w:val="0"/>
              <w:kinsoku/>
              <w:wordWrap/>
              <w:overflowPunct/>
              <w:topLinePunct w:val="0"/>
              <w:bidi w:val="0"/>
              <w:snapToGrid w:val="0"/>
              <w:spacing w:line="240" w:lineRule="auto"/>
              <w:jc w:val="center"/>
              <w:textAlignment w:val="auto"/>
              <w:rPr>
                <w:rFonts w:hint="default" w:ascii="仿宋" w:hAnsi="仿宋" w:eastAsia="仿宋" w:cs="宋体"/>
                <w:b/>
                <w:bCs/>
                <w:snapToGrid w:val="0"/>
                <w:color w:val="auto"/>
                <w:kern w:val="0"/>
                <w:sz w:val="24"/>
                <w:highlight w:val="none"/>
                <w:vertAlign w:val="baseline"/>
                <w:lang w:val="en-US" w:eastAsia="zh-CN"/>
              </w:rPr>
            </w:pPr>
            <w:r>
              <w:rPr>
                <w:rFonts w:hint="eastAsia" w:ascii="仿宋" w:hAnsi="仿宋" w:eastAsia="仿宋" w:cs="宋体"/>
                <w:b/>
                <w:bCs/>
                <w:snapToGrid w:val="0"/>
                <w:color w:val="auto"/>
                <w:kern w:val="0"/>
                <w:sz w:val="24"/>
                <w:highlight w:val="none"/>
                <w:vertAlign w:val="baseline"/>
                <w:lang w:val="en-US" w:eastAsia="zh-CN"/>
              </w:rPr>
              <w:t>地点</w:t>
            </w:r>
          </w:p>
        </w:tc>
      </w:tr>
      <w:tr w14:paraId="4A2F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vAlign w:val="center"/>
          </w:tcPr>
          <w:p w14:paraId="3CCAB78A">
            <w:pPr>
              <w:pageBreakBefore w:val="0"/>
              <w:kinsoku/>
              <w:wordWrap/>
              <w:overflowPunct/>
              <w:topLinePunct w:val="0"/>
              <w:bidi w:val="0"/>
              <w:snapToGrid w:val="0"/>
              <w:spacing w:line="240" w:lineRule="auto"/>
              <w:jc w:val="center"/>
              <w:textAlignment w:val="auto"/>
              <w:rPr>
                <w:rFonts w:hint="default" w:ascii="仿宋" w:hAnsi="仿宋" w:eastAsia="仿宋" w:cs="宋体"/>
                <w:snapToGrid w:val="0"/>
                <w:color w:val="auto"/>
                <w:kern w:val="0"/>
                <w:sz w:val="24"/>
                <w:highlight w:val="none"/>
                <w:vertAlign w:val="baseline"/>
                <w:lang w:val="en-US" w:eastAsia="zh-CN"/>
              </w:rPr>
            </w:pPr>
            <w:r>
              <w:rPr>
                <w:rFonts w:hint="eastAsia" w:ascii="仿宋" w:hAnsi="仿宋" w:eastAsia="仿宋" w:cs="宋体"/>
                <w:snapToGrid w:val="0"/>
                <w:color w:val="auto"/>
                <w:kern w:val="0"/>
                <w:sz w:val="24"/>
                <w:highlight w:val="none"/>
                <w:vertAlign w:val="baseline"/>
                <w:lang w:val="en-US" w:eastAsia="zh-CN"/>
              </w:rPr>
              <w:t>1</w:t>
            </w:r>
          </w:p>
        </w:tc>
        <w:tc>
          <w:tcPr>
            <w:tcW w:w="1667" w:type="pct"/>
            <w:vAlign w:val="center"/>
          </w:tcPr>
          <w:p w14:paraId="310608A2">
            <w:pPr>
              <w:pageBreakBefore w:val="0"/>
              <w:kinsoku/>
              <w:wordWrap/>
              <w:overflowPunct/>
              <w:topLinePunct w:val="0"/>
              <w:bidi w:val="0"/>
              <w:snapToGrid w:val="0"/>
              <w:spacing w:line="240" w:lineRule="auto"/>
              <w:jc w:val="center"/>
              <w:textAlignment w:val="auto"/>
              <w:rPr>
                <w:rFonts w:hint="eastAsia" w:ascii="仿宋" w:hAnsi="仿宋" w:eastAsia="仿宋" w:cs="宋体"/>
                <w:snapToGrid w:val="0"/>
                <w:color w:val="auto"/>
                <w:kern w:val="0"/>
                <w:sz w:val="24"/>
                <w:highlight w:val="none"/>
                <w:vertAlign w:val="baseline"/>
                <w:lang w:val="en-US" w:eastAsia="zh-CN"/>
              </w:rPr>
            </w:pPr>
            <w:r>
              <w:rPr>
                <w:rFonts w:hint="eastAsia" w:ascii="仿宋" w:hAnsi="仿宋" w:eastAsia="仿宋" w:cs="宋体"/>
                <w:snapToGrid w:val="0"/>
                <w:color w:val="auto"/>
                <w:kern w:val="0"/>
                <w:sz w:val="24"/>
                <w:highlight w:val="none"/>
                <w:lang w:val="en-US" w:eastAsia="zh-CN"/>
              </w:rPr>
              <w:t>绍兴</w:t>
            </w:r>
          </w:p>
        </w:tc>
        <w:tc>
          <w:tcPr>
            <w:tcW w:w="775" w:type="pct"/>
            <w:vAlign w:val="center"/>
          </w:tcPr>
          <w:p w14:paraId="280F0D17">
            <w:pPr>
              <w:pageBreakBefore w:val="0"/>
              <w:kinsoku/>
              <w:wordWrap/>
              <w:overflowPunct/>
              <w:topLinePunct w:val="0"/>
              <w:bidi w:val="0"/>
              <w:snapToGrid w:val="0"/>
              <w:spacing w:line="240" w:lineRule="auto"/>
              <w:jc w:val="center"/>
              <w:textAlignment w:val="auto"/>
              <w:rPr>
                <w:rFonts w:hint="default" w:ascii="仿宋" w:hAnsi="仿宋" w:eastAsia="仿宋" w:cs="宋体"/>
                <w:snapToGrid w:val="0"/>
                <w:color w:val="auto"/>
                <w:kern w:val="0"/>
                <w:sz w:val="24"/>
                <w:highlight w:val="none"/>
                <w:vertAlign w:val="baseline"/>
                <w:lang w:val="en-US" w:eastAsia="zh-CN"/>
              </w:rPr>
            </w:pPr>
            <w:r>
              <w:rPr>
                <w:rFonts w:hint="eastAsia" w:ascii="仿宋" w:hAnsi="仿宋" w:eastAsia="仿宋" w:cs="宋体"/>
                <w:snapToGrid w:val="0"/>
                <w:color w:val="auto"/>
                <w:kern w:val="0"/>
                <w:sz w:val="24"/>
                <w:highlight w:val="none"/>
                <w:vertAlign w:val="baseline"/>
                <w:lang w:val="en-US" w:eastAsia="zh-CN"/>
              </w:rPr>
              <w:t>6</w:t>
            </w:r>
          </w:p>
        </w:tc>
        <w:tc>
          <w:tcPr>
            <w:tcW w:w="1724" w:type="pct"/>
            <w:vAlign w:val="center"/>
          </w:tcPr>
          <w:p w14:paraId="23E76864">
            <w:pPr>
              <w:pageBreakBefore w:val="0"/>
              <w:kinsoku/>
              <w:wordWrap/>
              <w:overflowPunct/>
              <w:topLinePunct w:val="0"/>
              <w:bidi w:val="0"/>
              <w:snapToGrid w:val="0"/>
              <w:spacing w:line="240" w:lineRule="auto"/>
              <w:jc w:val="center"/>
              <w:textAlignment w:val="auto"/>
              <w:rPr>
                <w:rFonts w:hint="eastAsia" w:ascii="仿宋" w:hAnsi="仿宋" w:eastAsia="仿宋" w:cs="宋体"/>
                <w:snapToGrid w:val="0"/>
                <w:color w:val="auto"/>
                <w:kern w:val="0"/>
                <w:sz w:val="24"/>
                <w:highlight w:val="none"/>
                <w:vertAlign w:val="baseline"/>
                <w:lang w:val="en-US" w:eastAsia="zh-CN"/>
              </w:rPr>
            </w:pPr>
            <w:r>
              <w:rPr>
                <w:rFonts w:hint="eastAsia" w:ascii="仿宋" w:hAnsi="仿宋" w:eastAsia="仿宋" w:cs="宋体"/>
                <w:snapToGrid w:val="0"/>
                <w:color w:val="auto"/>
                <w:kern w:val="0"/>
                <w:sz w:val="24"/>
                <w:highlight w:val="none"/>
                <w:lang w:val="en-US" w:eastAsia="zh-CN"/>
              </w:rPr>
              <w:t>余杭</w:t>
            </w:r>
          </w:p>
        </w:tc>
      </w:tr>
      <w:tr w14:paraId="4E64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vAlign w:val="center"/>
          </w:tcPr>
          <w:p w14:paraId="2E279E7C">
            <w:pPr>
              <w:pageBreakBefore w:val="0"/>
              <w:kinsoku/>
              <w:wordWrap/>
              <w:overflowPunct/>
              <w:topLinePunct w:val="0"/>
              <w:bidi w:val="0"/>
              <w:snapToGrid w:val="0"/>
              <w:spacing w:line="240" w:lineRule="auto"/>
              <w:jc w:val="center"/>
              <w:textAlignment w:val="auto"/>
              <w:rPr>
                <w:rFonts w:hint="default" w:ascii="仿宋" w:hAnsi="仿宋" w:eastAsia="仿宋" w:cs="宋体"/>
                <w:snapToGrid w:val="0"/>
                <w:color w:val="auto"/>
                <w:kern w:val="0"/>
                <w:sz w:val="24"/>
                <w:highlight w:val="none"/>
                <w:vertAlign w:val="baseline"/>
                <w:lang w:val="en-US" w:eastAsia="zh-CN"/>
              </w:rPr>
            </w:pPr>
            <w:r>
              <w:rPr>
                <w:rFonts w:hint="eastAsia" w:ascii="仿宋" w:hAnsi="仿宋" w:eastAsia="仿宋" w:cs="宋体"/>
                <w:snapToGrid w:val="0"/>
                <w:color w:val="auto"/>
                <w:kern w:val="0"/>
                <w:sz w:val="24"/>
                <w:highlight w:val="none"/>
                <w:vertAlign w:val="baseline"/>
                <w:lang w:val="en-US" w:eastAsia="zh-CN"/>
              </w:rPr>
              <w:t>2</w:t>
            </w:r>
          </w:p>
        </w:tc>
        <w:tc>
          <w:tcPr>
            <w:tcW w:w="1667" w:type="pct"/>
            <w:vAlign w:val="center"/>
          </w:tcPr>
          <w:p w14:paraId="72C3B327">
            <w:pPr>
              <w:pageBreakBefore w:val="0"/>
              <w:kinsoku/>
              <w:wordWrap/>
              <w:overflowPunct/>
              <w:topLinePunct w:val="0"/>
              <w:bidi w:val="0"/>
              <w:snapToGrid w:val="0"/>
              <w:spacing w:line="240" w:lineRule="auto"/>
              <w:jc w:val="center"/>
              <w:textAlignment w:val="auto"/>
              <w:rPr>
                <w:rFonts w:hint="eastAsia" w:ascii="仿宋" w:hAnsi="仿宋" w:eastAsia="仿宋" w:cs="宋体"/>
                <w:snapToGrid w:val="0"/>
                <w:color w:val="auto"/>
                <w:kern w:val="0"/>
                <w:sz w:val="24"/>
                <w:highlight w:val="none"/>
                <w:lang w:val="en-US" w:eastAsia="zh-CN"/>
              </w:rPr>
            </w:pPr>
            <w:r>
              <w:rPr>
                <w:rFonts w:hint="eastAsia" w:ascii="仿宋" w:hAnsi="仿宋" w:eastAsia="仿宋" w:cs="宋体"/>
                <w:snapToGrid w:val="0"/>
                <w:color w:val="auto"/>
                <w:kern w:val="0"/>
                <w:sz w:val="24"/>
                <w:highlight w:val="none"/>
                <w:lang w:val="en-US" w:eastAsia="zh-CN"/>
              </w:rPr>
              <w:t>湖州</w:t>
            </w:r>
          </w:p>
        </w:tc>
        <w:tc>
          <w:tcPr>
            <w:tcW w:w="775" w:type="pct"/>
            <w:vAlign w:val="center"/>
          </w:tcPr>
          <w:p w14:paraId="7AB195DC">
            <w:pPr>
              <w:pageBreakBefore w:val="0"/>
              <w:kinsoku/>
              <w:wordWrap/>
              <w:overflowPunct/>
              <w:topLinePunct w:val="0"/>
              <w:bidi w:val="0"/>
              <w:snapToGrid w:val="0"/>
              <w:spacing w:line="240" w:lineRule="auto"/>
              <w:jc w:val="center"/>
              <w:textAlignment w:val="auto"/>
              <w:rPr>
                <w:rFonts w:hint="default" w:ascii="仿宋" w:hAnsi="仿宋" w:eastAsia="仿宋" w:cs="宋体"/>
                <w:snapToGrid w:val="0"/>
                <w:color w:val="auto"/>
                <w:kern w:val="0"/>
                <w:sz w:val="24"/>
                <w:highlight w:val="none"/>
                <w:vertAlign w:val="baseline"/>
                <w:lang w:val="en-US" w:eastAsia="zh-CN"/>
              </w:rPr>
            </w:pPr>
            <w:r>
              <w:rPr>
                <w:rFonts w:hint="eastAsia" w:ascii="仿宋" w:hAnsi="仿宋" w:eastAsia="仿宋" w:cs="宋体"/>
                <w:snapToGrid w:val="0"/>
                <w:color w:val="auto"/>
                <w:kern w:val="0"/>
                <w:sz w:val="24"/>
                <w:highlight w:val="none"/>
                <w:vertAlign w:val="baseline"/>
                <w:lang w:val="en-US" w:eastAsia="zh-CN"/>
              </w:rPr>
              <w:t>7</w:t>
            </w:r>
          </w:p>
        </w:tc>
        <w:tc>
          <w:tcPr>
            <w:tcW w:w="1724" w:type="pct"/>
            <w:vAlign w:val="center"/>
          </w:tcPr>
          <w:p w14:paraId="53E9B9C6">
            <w:pPr>
              <w:pageBreakBefore w:val="0"/>
              <w:kinsoku/>
              <w:wordWrap/>
              <w:overflowPunct/>
              <w:topLinePunct w:val="0"/>
              <w:bidi w:val="0"/>
              <w:snapToGrid w:val="0"/>
              <w:spacing w:line="240" w:lineRule="auto"/>
              <w:jc w:val="center"/>
              <w:textAlignment w:val="auto"/>
              <w:rPr>
                <w:rFonts w:hint="eastAsia" w:ascii="仿宋" w:hAnsi="仿宋" w:eastAsia="仿宋" w:cs="宋体"/>
                <w:snapToGrid w:val="0"/>
                <w:color w:val="auto"/>
                <w:kern w:val="0"/>
                <w:sz w:val="24"/>
                <w:highlight w:val="none"/>
                <w:vertAlign w:val="baseline"/>
                <w:lang w:val="en-US" w:eastAsia="zh-CN"/>
              </w:rPr>
            </w:pPr>
            <w:r>
              <w:rPr>
                <w:rFonts w:hint="eastAsia" w:ascii="仿宋" w:hAnsi="仿宋" w:eastAsia="仿宋" w:cs="宋体"/>
                <w:snapToGrid w:val="0"/>
                <w:color w:val="auto"/>
                <w:kern w:val="0"/>
                <w:sz w:val="24"/>
                <w:highlight w:val="none"/>
                <w:lang w:val="en-US" w:eastAsia="zh-CN"/>
              </w:rPr>
              <w:t>宋城</w:t>
            </w:r>
          </w:p>
        </w:tc>
      </w:tr>
      <w:tr w14:paraId="2D59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vAlign w:val="center"/>
          </w:tcPr>
          <w:p w14:paraId="7D2AD841">
            <w:pPr>
              <w:pageBreakBefore w:val="0"/>
              <w:kinsoku/>
              <w:wordWrap/>
              <w:overflowPunct/>
              <w:topLinePunct w:val="0"/>
              <w:bidi w:val="0"/>
              <w:snapToGrid w:val="0"/>
              <w:spacing w:line="240" w:lineRule="auto"/>
              <w:jc w:val="center"/>
              <w:textAlignment w:val="auto"/>
              <w:rPr>
                <w:rFonts w:hint="default" w:ascii="仿宋" w:hAnsi="仿宋" w:eastAsia="仿宋" w:cs="宋体"/>
                <w:snapToGrid w:val="0"/>
                <w:color w:val="auto"/>
                <w:kern w:val="0"/>
                <w:sz w:val="24"/>
                <w:highlight w:val="none"/>
                <w:vertAlign w:val="baseline"/>
                <w:lang w:val="en-US" w:eastAsia="zh-CN"/>
              </w:rPr>
            </w:pPr>
            <w:r>
              <w:rPr>
                <w:rFonts w:hint="eastAsia" w:ascii="仿宋" w:hAnsi="仿宋" w:eastAsia="仿宋" w:cs="宋体"/>
                <w:snapToGrid w:val="0"/>
                <w:color w:val="auto"/>
                <w:kern w:val="0"/>
                <w:sz w:val="24"/>
                <w:highlight w:val="none"/>
                <w:vertAlign w:val="baseline"/>
                <w:lang w:val="en-US" w:eastAsia="zh-CN"/>
              </w:rPr>
              <w:t>3</w:t>
            </w:r>
          </w:p>
        </w:tc>
        <w:tc>
          <w:tcPr>
            <w:tcW w:w="1667" w:type="pct"/>
            <w:vAlign w:val="center"/>
          </w:tcPr>
          <w:p w14:paraId="2AE17181">
            <w:pPr>
              <w:pageBreakBefore w:val="0"/>
              <w:kinsoku/>
              <w:wordWrap/>
              <w:overflowPunct/>
              <w:topLinePunct w:val="0"/>
              <w:bidi w:val="0"/>
              <w:snapToGrid w:val="0"/>
              <w:spacing w:line="240" w:lineRule="auto"/>
              <w:jc w:val="center"/>
              <w:textAlignment w:val="auto"/>
              <w:rPr>
                <w:rFonts w:hint="eastAsia" w:ascii="仿宋" w:hAnsi="仿宋" w:eastAsia="仿宋" w:cs="宋体"/>
                <w:snapToGrid w:val="0"/>
                <w:color w:val="auto"/>
                <w:kern w:val="0"/>
                <w:sz w:val="24"/>
                <w:highlight w:val="none"/>
                <w:lang w:val="en-US" w:eastAsia="zh-CN"/>
              </w:rPr>
            </w:pPr>
            <w:r>
              <w:rPr>
                <w:rFonts w:hint="eastAsia" w:ascii="仿宋" w:hAnsi="仿宋" w:eastAsia="仿宋" w:cs="宋体"/>
                <w:snapToGrid w:val="0"/>
                <w:color w:val="auto"/>
                <w:kern w:val="0"/>
                <w:sz w:val="24"/>
                <w:highlight w:val="none"/>
                <w:lang w:val="en-US" w:eastAsia="zh-CN"/>
              </w:rPr>
              <w:t>嘉兴</w:t>
            </w:r>
          </w:p>
        </w:tc>
        <w:tc>
          <w:tcPr>
            <w:tcW w:w="775" w:type="pct"/>
            <w:vAlign w:val="center"/>
          </w:tcPr>
          <w:p w14:paraId="2F3E235C">
            <w:pPr>
              <w:pageBreakBefore w:val="0"/>
              <w:kinsoku/>
              <w:wordWrap/>
              <w:overflowPunct/>
              <w:topLinePunct w:val="0"/>
              <w:bidi w:val="0"/>
              <w:snapToGrid w:val="0"/>
              <w:spacing w:line="240" w:lineRule="auto"/>
              <w:jc w:val="center"/>
              <w:textAlignment w:val="auto"/>
              <w:rPr>
                <w:rFonts w:hint="default" w:ascii="仿宋" w:hAnsi="仿宋" w:eastAsia="仿宋" w:cs="宋体"/>
                <w:snapToGrid w:val="0"/>
                <w:color w:val="auto"/>
                <w:kern w:val="0"/>
                <w:sz w:val="24"/>
                <w:highlight w:val="none"/>
                <w:vertAlign w:val="baseline"/>
                <w:lang w:val="en-US" w:eastAsia="zh-CN"/>
              </w:rPr>
            </w:pPr>
            <w:r>
              <w:rPr>
                <w:rFonts w:hint="eastAsia" w:ascii="仿宋" w:hAnsi="仿宋" w:eastAsia="仿宋" w:cs="宋体"/>
                <w:snapToGrid w:val="0"/>
                <w:color w:val="auto"/>
                <w:kern w:val="0"/>
                <w:sz w:val="24"/>
                <w:highlight w:val="none"/>
                <w:vertAlign w:val="baseline"/>
                <w:lang w:val="en-US" w:eastAsia="zh-CN"/>
              </w:rPr>
              <w:t>8</w:t>
            </w:r>
          </w:p>
        </w:tc>
        <w:tc>
          <w:tcPr>
            <w:tcW w:w="1724" w:type="pct"/>
            <w:vAlign w:val="center"/>
          </w:tcPr>
          <w:p w14:paraId="1B39883F">
            <w:pPr>
              <w:pageBreakBefore w:val="0"/>
              <w:kinsoku/>
              <w:wordWrap/>
              <w:overflowPunct/>
              <w:topLinePunct w:val="0"/>
              <w:bidi w:val="0"/>
              <w:snapToGrid w:val="0"/>
              <w:spacing w:line="240" w:lineRule="auto"/>
              <w:jc w:val="center"/>
              <w:textAlignment w:val="auto"/>
              <w:rPr>
                <w:rFonts w:hint="eastAsia" w:ascii="仿宋" w:hAnsi="仿宋" w:eastAsia="仿宋" w:cs="宋体"/>
                <w:snapToGrid w:val="0"/>
                <w:color w:val="auto"/>
                <w:kern w:val="0"/>
                <w:sz w:val="24"/>
                <w:highlight w:val="none"/>
                <w:vertAlign w:val="baseline"/>
                <w:lang w:val="en-US" w:eastAsia="zh-CN"/>
              </w:rPr>
            </w:pPr>
            <w:r>
              <w:rPr>
                <w:rFonts w:hint="eastAsia" w:ascii="仿宋" w:hAnsi="仿宋" w:eastAsia="仿宋" w:cs="宋体"/>
                <w:snapToGrid w:val="0"/>
                <w:color w:val="auto"/>
                <w:kern w:val="0"/>
                <w:sz w:val="24"/>
                <w:highlight w:val="none"/>
                <w:lang w:val="en-US" w:eastAsia="zh-CN"/>
              </w:rPr>
              <w:t>西溪湿地</w:t>
            </w:r>
          </w:p>
        </w:tc>
      </w:tr>
      <w:tr w14:paraId="686E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vAlign w:val="center"/>
          </w:tcPr>
          <w:p w14:paraId="40CD05EE">
            <w:pPr>
              <w:pageBreakBefore w:val="0"/>
              <w:kinsoku/>
              <w:wordWrap/>
              <w:overflowPunct/>
              <w:topLinePunct w:val="0"/>
              <w:bidi w:val="0"/>
              <w:snapToGrid w:val="0"/>
              <w:spacing w:line="240" w:lineRule="auto"/>
              <w:jc w:val="center"/>
              <w:textAlignment w:val="auto"/>
              <w:rPr>
                <w:rFonts w:hint="default" w:ascii="仿宋" w:hAnsi="仿宋" w:eastAsia="仿宋" w:cs="宋体"/>
                <w:snapToGrid w:val="0"/>
                <w:color w:val="auto"/>
                <w:kern w:val="0"/>
                <w:sz w:val="24"/>
                <w:highlight w:val="none"/>
                <w:vertAlign w:val="baseline"/>
                <w:lang w:val="en-US" w:eastAsia="zh-CN"/>
              </w:rPr>
            </w:pPr>
            <w:r>
              <w:rPr>
                <w:rFonts w:hint="eastAsia" w:ascii="仿宋" w:hAnsi="仿宋" w:eastAsia="仿宋" w:cs="宋体"/>
                <w:snapToGrid w:val="0"/>
                <w:color w:val="auto"/>
                <w:kern w:val="0"/>
                <w:sz w:val="24"/>
                <w:highlight w:val="none"/>
                <w:vertAlign w:val="baseline"/>
                <w:lang w:val="en-US" w:eastAsia="zh-CN"/>
              </w:rPr>
              <w:t>4</w:t>
            </w:r>
          </w:p>
        </w:tc>
        <w:tc>
          <w:tcPr>
            <w:tcW w:w="1667" w:type="pct"/>
            <w:vAlign w:val="center"/>
          </w:tcPr>
          <w:p w14:paraId="2BC79C5A">
            <w:pPr>
              <w:pageBreakBefore w:val="0"/>
              <w:kinsoku/>
              <w:wordWrap/>
              <w:overflowPunct/>
              <w:topLinePunct w:val="0"/>
              <w:bidi w:val="0"/>
              <w:snapToGrid w:val="0"/>
              <w:spacing w:line="240" w:lineRule="auto"/>
              <w:jc w:val="center"/>
              <w:textAlignment w:val="auto"/>
              <w:rPr>
                <w:rFonts w:hint="eastAsia" w:ascii="仿宋" w:hAnsi="仿宋" w:eastAsia="仿宋" w:cs="宋体"/>
                <w:snapToGrid w:val="0"/>
                <w:color w:val="auto"/>
                <w:kern w:val="0"/>
                <w:sz w:val="24"/>
                <w:highlight w:val="none"/>
                <w:lang w:val="en-US" w:eastAsia="zh-CN"/>
              </w:rPr>
            </w:pPr>
            <w:r>
              <w:rPr>
                <w:rFonts w:hint="eastAsia" w:ascii="仿宋" w:hAnsi="仿宋" w:eastAsia="仿宋" w:cs="宋体"/>
                <w:snapToGrid w:val="0"/>
                <w:color w:val="auto"/>
                <w:kern w:val="0"/>
                <w:sz w:val="24"/>
                <w:highlight w:val="none"/>
                <w:lang w:val="en-US" w:eastAsia="zh-CN"/>
              </w:rPr>
              <w:t>富阳</w:t>
            </w:r>
          </w:p>
        </w:tc>
        <w:tc>
          <w:tcPr>
            <w:tcW w:w="775" w:type="pct"/>
            <w:vAlign w:val="center"/>
          </w:tcPr>
          <w:p w14:paraId="4B87A02B">
            <w:pPr>
              <w:pageBreakBefore w:val="0"/>
              <w:kinsoku/>
              <w:wordWrap/>
              <w:overflowPunct/>
              <w:topLinePunct w:val="0"/>
              <w:bidi w:val="0"/>
              <w:snapToGrid w:val="0"/>
              <w:spacing w:line="240" w:lineRule="auto"/>
              <w:jc w:val="center"/>
              <w:textAlignment w:val="auto"/>
              <w:rPr>
                <w:rFonts w:hint="default" w:ascii="仿宋" w:hAnsi="仿宋" w:eastAsia="仿宋" w:cs="宋体"/>
                <w:snapToGrid w:val="0"/>
                <w:color w:val="auto"/>
                <w:kern w:val="0"/>
                <w:sz w:val="24"/>
                <w:highlight w:val="none"/>
                <w:vertAlign w:val="baseline"/>
                <w:lang w:val="en-US" w:eastAsia="zh-CN"/>
              </w:rPr>
            </w:pPr>
            <w:r>
              <w:rPr>
                <w:rFonts w:hint="eastAsia" w:ascii="仿宋" w:hAnsi="仿宋" w:eastAsia="仿宋" w:cs="宋体"/>
                <w:snapToGrid w:val="0"/>
                <w:color w:val="auto"/>
                <w:kern w:val="0"/>
                <w:sz w:val="24"/>
                <w:highlight w:val="none"/>
                <w:vertAlign w:val="baseline"/>
                <w:lang w:val="en-US" w:eastAsia="zh-CN"/>
              </w:rPr>
              <w:t>9</w:t>
            </w:r>
          </w:p>
        </w:tc>
        <w:tc>
          <w:tcPr>
            <w:tcW w:w="1724" w:type="pct"/>
            <w:vAlign w:val="center"/>
          </w:tcPr>
          <w:p w14:paraId="7C918283">
            <w:pPr>
              <w:pageBreakBefore w:val="0"/>
              <w:kinsoku/>
              <w:wordWrap/>
              <w:overflowPunct/>
              <w:topLinePunct w:val="0"/>
              <w:bidi w:val="0"/>
              <w:snapToGrid w:val="0"/>
              <w:spacing w:line="240" w:lineRule="auto"/>
              <w:jc w:val="center"/>
              <w:textAlignment w:val="auto"/>
              <w:rPr>
                <w:rFonts w:hint="eastAsia" w:ascii="仿宋" w:hAnsi="仿宋" w:eastAsia="仿宋" w:cs="宋体"/>
                <w:snapToGrid w:val="0"/>
                <w:color w:val="auto"/>
                <w:kern w:val="0"/>
                <w:sz w:val="24"/>
                <w:highlight w:val="none"/>
                <w:vertAlign w:val="baseline"/>
                <w:lang w:val="en-US" w:eastAsia="zh-CN"/>
              </w:rPr>
            </w:pPr>
            <w:r>
              <w:rPr>
                <w:rFonts w:hint="eastAsia" w:ascii="仿宋" w:hAnsi="仿宋" w:eastAsia="仿宋" w:cs="宋体"/>
                <w:snapToGrid w:val="0"/>
                <w:color w:val="auto"/>
                <w:kern w:val="0"/>
                <w:sz w:val="24"/>
                <w:highlight w:val="none"/>
                <w:lang w:val="en-US" w:eastAsia="zh-CN"/>
              </w:rPr>
              <w:t>湘湖</w:t>
            </w:r>
          </w:p>
        </w:tc>
      </w:tr>
      <w:tr w14:paraId="48AD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32" w:type="pct"/>
            <w:vAlign w:val="center"/>
          </w:tcPr>
          <w:p w14:paraId="50CC6FE7">
            <w:pPr>
              <w:pageBreakBefore w:val="0"/>
              <w:kinsoku/>
              <w:wordWrap/>
              <w:overflowPunct/>
              <w:topLinePunct w:val="0"/>
              <w:bidi w:val="0"/>
              <w:snapToGrid w:val="0"/>
              <w:spacing w:line="240" w:lineRule="auto"/>
              <w:jc w:val="center"/>
              <w:textAlignment w:val="auto"/>
              <w:rPr>
                <w:rFonts w:hint="default" w:ascii="仿宋" w:hAnsi="仿宋" w:eastAsia="仿宋" w:cs="宋体"/>
                <w:snapToGrid w:val="0"/>
                <w:color w:val="auto"/>
                <w:kern w:val="0"/>
                <w:sz w:val="24"/>
                <w:highlight w:val="none"/>
                <w:vertAlign w:val="baseline"/>
                <w:lang w:val="en-US" w:eastAsia="zh-CN"/>
              </w:rPr>
            </w:pPr>
            <w:r>
              <w:rPr>
                <w:rFonts w:hint="eastAsia" w:ascii="仿宋" w:hAnsi="仿宋" w:eastAsia="仿宋" w:cs="宋体"/>
                <w:snapToGrid w:val="0"/>
                <w:color w:val="auto"/>
                <w:kern w:val="0"/>
                <w:sz w:val="24"/>
                <w:highlight w:val="none"/>
                <w:vertAlign w:val="baseline"/>
                <w:lang w:val="en-US" w:eastAsia="zh-CN"/>
              </w:rPr>
              <w:t>5</w:t>
            </w:r>
          </w:p>
        </w:tc>
        <w:tc>
          <w:tcPr>
            <w:tcW w:w="1667" w:type="pct"/>
            <w:vAlign w:val="center"/>
          </w:tcPr>
          <w:p w14:paraId="14FBA048">
            <w:pPr>
              <w:pageBreakBefore w:val="0"/>
              <w:kinsoku/>
              <w:wordWrap/>
              <w:overflowPunct/>
              <w:topLinePunct w:val="0"/>
              <w:bidi w:val="0"/>
              <w:snapToGrid w:val="0"/>
              <w:spacing w:line="240" w:lineRule="auto"/>
              <w:jc w:val="center"/>
              <w:textAlignment w:val="auto"/>
              <w:rPr>
                <w:rFonts w:hint="eastAsia" w:ascii="仿宋" w:hAnsi="仿宋" w:eastAsia="仿宋" w:cs="宋体"/>
                <w:snapToGrid w:val="0"/>
                <w:color w:val="auto"/>
                <w:kern w:val="0"/>
                <w:sz w:val="24"/>
                <w:highlight w:val="none"/>
                <w:lang w:val="en-US" w:eastAsia="zh-CN"/>
              </w:rPr>
            </w:pPr>
            <w:r>
              <w:rPr>
                <w:rFonts w:hint="eastAsia" w:ascii="仿宋" w:hAnsi="仿宋" w:eastAsia="仿宋" w:cs="宋体"/>
                <w:snapToGrid w:val="0"/>
                <w:color w:val="auto"/>
                <w:kern w:val="0"/>
                <w:sz w:val="24"/>
                <w:highlight w:val="none"/>
                <w:lang w:val="en-US" w:eastAsia="zh-CN"/>
              </w:rPr>
              <w:t>建德</w:t>
            </w:r>
          </w:p>
        </w:tc>
        <w:tc>
          <w:tcPr>
            <w:tcW w:w="775" w:type="pct"/>
            <w:vAlign w:val="center"/>
          </w:tcPr>
          <w:p w14:paraId="07DCC979">
            <w:pPr>
              <w:pageBreakBefore w:val="0"/>
              <w:kinsoku/>
              <w:wordWrap/>
              <w:overflowPunct/>
              <w:topLinePunct w:val="0"/>
              <w:bidi w:val="0"/>
              <w:snapToGrid w:val="0"/>
              <w:spacing w:line="240" w:lineRule="auto"/>
              <w:jc w:val="center"/>
              <w:textAlignment w:val="auto"/>
              <w:rPr>
                <w:rFonts w:hint="eastAsia" w:ascii="仿宋" w:hAnsi="仿宋" w:eastAsia="仿宋" w:cs="宋体"/>
                <w:snapToGrid w:val="0"/>
                <w:color w:val="auto"/>
                <w:kern w:val="0"/>
                <w:sz w:val="24"/>
                <w:highlight w:val="none"/>
                <w:vertAlign w:val="baseline"/>
                <w:lang w:val="en-US" w:eastAsia="zh-CN"/>
              </w:rPr>
            </w:pPr>
          </w:p>
        </w:tc>
        <w:tc>
          <w:tcPr>
            <w:tcW w:w="1724" w:type="pct"/>
            <w:vAlign w:val="center"/>
          </w:tcPr>
          <w:p w14:paraId="50DF22CA">
            <w:pPr>
              <w:pageBreakBefore w:val="0"/>
              <w:kinsoku/>
              <w:wordWrap/>
              <w:overflowPunct/>
              <w:topLinePunct w:val="0"/>
              <w:bidi w:val="0"/>
              <w:snapToGrid w:val="0"/>
              <w:spacing w:line="240" w:lineRule="auto"/>
              <w:jc w:val="center"/>
              <w:textAlignment w:val="auto"/>
              <w:rPr>
                <w:rFonts w:hint="eastAsia" w:ascii="仿宋" w:hAnsi="仿宋" w:eastAsia="仿宋" w:cs="宋体"/>
                <w:snapToGrid w:val="0"/>
                <w:color w:val="auto"/>
                <w:kern w:val="0"/>
                <w:sz w:val="24"/>
                <w:highlight w:val="none"/>
                <w:vertAlign w:val="baseline"/>
                <w:lang w:val="en-US" w:eastAsia="zh-CN"/>
              </w:rPr>
            </w:pPr>
          </w:p>
        </w:tc>
      </w:tr>
    </w:tbl>
    <w:p w14:paraId="0D432E22">
      <w:pPr>
        <w:pageBreakBefore w:val="0"/>
        <w:kinsoku/>
        <w:wordWrap/>
        <w:overflowPunct/>
        <w:topLinePunct w:val="0"/>
        <w:bidi w:val="0"/>
        <w:snapToGrid w:val="0"/>
        <w:spacing w:line="360" w:lineRule="auto"/>
        <w:ind w:firstLine="480" w:firstLineChars="200"/>
        <w:jc w:val="left"/>
        <w:textAlignment w:val="auto"/>
        <w:rPr>
          <w:rFonts w:hint="eastAsia" w:ascii="仿宋" w:hAnsi="仿宋" w:eastAsia="仿宋" w:cs="宋体"/>
          <w:snapToGrid w:val="0"/>
          <w:color w:val="auto"/>
          <w:kern w:val="0"/>
          <w:sz w:val="24"/>
          <w:highlight w:val="none"/>
          <w:lang w:val="en-US" w:eastAsia="zh-CN"/>
        </w:rPr>
      </w:pPr>
      <w:r>
        <w:rPr>
          <w:rFonts w:hint="eastAsia" w:ascii="仿宋" w:hAnsi="仿宋" w:eastAsia="仿宋" w:cs="宋体"/>
          <w:snapToGrid w:val="0"/>
          <w:color w:val="auto"/>
          <w:kern w:val="0"/>
          <w:sz w:val="24"/>
          <w:highlight w:val="none"/>
          <w:lang w:val="en-US" w:eastAsia="zh-CN"/>
        </w:rPr>
        <w:t>2.2活动要求</w:t>
      </w:r>
    </w:p>
    <w:p w14:paraId="1920FB58">
      <w:pPr>
        <w:pageBreakBefore w:val="0"/>
        <w:kinsoku/>
        <w:wordWrap/>
        <w:overflowPunct/>
        <w:topLinePunct w:val="0"/>
        <w:bidi w:val="0"/>
        <w:snapToGrid w:val="0"/>
        <w:spacing w:line="360" w:lineRule="auto"/>
        <w:ind w:firstLine="480" w:firstLineChars="200"/>
        <w:jc w:val="left"/>
        <w:textAlignment w:val="auto"/>
        <w:rPr>
          <w:rFonts w:hint="eastAsia" w:ascii="仿宋" w:hAnsi="仿宋" w:eastAsia="仿宋" w:cs="宋体"/>
          <w:snapToGrid w:val="0"/>
          <w:color w:val="auto"/>
          <w:kern w:val="0"/>
          <w:sz w:val="24"/>
          <w:highlight w:val="none"/>
        </w:rPr>
      </w:pPr>
      <w:r>
        <w:rPr>
          <w:rFonts w:hint="eastAsia" w:ascii="仿宋" w:hAnsi="仿宋" w:eastAsia="仿宋" w:cs="宋体"/>
          <w:snapToGrid w:val="0"/>
          <w:color w:val="auto"/>
          <w:kern w:val="0"/>
          <w:sz w:val="24"/>
          <w:highlight w:val="none"/>
          <w:lang w:val="en-US" w:eastAsia="zh-CN"/>
        </w:rPr>
        <w:t>2.2.1</w:t>
      </w:r>
      <w:r>
        <w:rPr>
          <w:rFonts w:hint="eastAsia" w:ascii="仿宋" w:hAnsi="仿宋" w:eastAsia="仿宋" w:cs="宋体"/>
          <w:snapToGrid w:val="0"/>
          <w:color w:val="auto"/>
          <w:kern w:val="0"/>
          <w:sz w:val="24"/>
          <w:highlight w:val="none"/>
        </w:rPr>
        <w:t>安排合理的游览线路，考虑交通便利性、景点特色及成员体力状况。</w:t>
      </w:r>
    </w:p>
    <w:p w14:paraId="3A63337D">
      <w:pPr>
        <w:pageBreakBefore w:val="0"/>
        <w:kinsoku/>
        <w:wordWrap/>
        <w:overflowPunct/>
        <w:topLinePunct w:val="0"/>
        <w:bidi w:val="0"/>
        <w:snapToGrid w:val="0"/>
        <w:spacing w:line="360" w:lineRule="auto"/>
        <w:ind w:firstLine="480" w:firstLineChars="200"/>
        <w:jc w:val="left"/>
        <w:textAlignment w:val="auto"/>
        <w:rPr>
          <w:rFonts w:hint="eastAsia" w:ascii="仿宋" w:hAnsi="仿宋" w:eastAsia="仿宋" w:cs="宋体"/>
          <w:snapToGrid w:val="0"/>
          <w:color w:val="auto"/>
          <w:kern w:val="0"/>
          <w:sz w:val="24"/>
          <w:highlight w:val="none"/>
        </w:rPr>
      </w:pPr>
      <w:r>
        <w:rPr>
          <w:rFonts w:hint="eastAsia" w:ascii="仿宋" w:hAnsi="仿宋" w:eastAsia="仿宋" w:cs="宋体"/>
          <w:snapToGrid w:val="0"/>
          <w:color w:val="auto"/>
          <w:kern w:val="0"/>
          <w:sz w:val="24"/>
          <w:highlight w:val="none"/>
          <w:lang w:val="en-US" w:eastAsia="zh-CN"/>
        </w:rPr>
        <w:t>2.2.2</w:t>
      </w:r>
      <w:r>
        <w:rPr>
          <w:rFonts w:hint="eastAsia" w:ascii="仿宋" w:hAnsi="仿宋" w:eastAsia="仿宋" w:cs="宋体"/>
          <w:snapToGrid w:val="0"/>
          <w:color w:val="auto"/>
          <w:kern w:val="0"/>
          <w:sz w:val="24"/>
          <w:highlight w:val="none"/>
        </w:rPr>
        <w:t>提供全程服务保障，包括交通、餐饮、住宿、保险</w:t>
      </w:r>
      <w:r>
        <w:rPr>
          <w:rFonts w:hint="eastAsia" w:ascii="仿宋" w:hAnsi="仿宋" w:eastAsia="仿宋" w:cs="宋体"/>
          <w:snapToGrid w:val="0"/>
          <w:color w:val="auto"/>
          <w:kern w:val="0"/>
          <w:sz w:val="24"/>
          <w:highlight w:val="none"/>
          <w:lang w:eastAsia="zh-CN"/>
        </w:rPr>
        <w:t>、医护人员</w:t>
      </w:r>
      <w:r>
        <w:rPr>
          <w:rFonts w:hint="eastAsia" w:ascii="仿宋" w:hAnsi="仿宋" w:eastAsia="仿宋" w:cs="宋体"/>
          <w:snapToGrid w:val="0"/>
          <w:color w:val="auto"/>
          <w:kern w:val="0"/>
          <w:sz w:val="24"/>
          <w:highlight w:val="none"/>
        </w:rPr>
        <w:t>等。</w:t>
      </w:r>
    </w:p>
    <w:p w14:paraId="34FF1B07">
      <w:pPr>
        <w:pageBreakBefore w:val="0"/>
        <w:kinsoku/>
        <w:wordWrap/>
        <w:overflowPunct/>
        <w:topLinePunct w:val="0"/>
        <w:bidi w:val="0"/>
        <w:snapToGrid w:val="0"/>
        <w:spacing w:line="360" w:lineRule="auto"/>
        <w:ind w:firstLine="480" w:firstLineChars="200"/>
        <w:jc w:val="left"/>
        <w:textAlignment w:val="auto"/>
        <w:rPr>
          <w:rFonts w:hint="eastAsia" w:ascii="仿宋" w:hAnsi="仿宋" w:eastAsia="仿宋" w:cs="宋体"/>
          <w:snapToGrid w:val="0"/>
          <w:color w:val="auto"/>
          <w:kern w:val="0"/>
          <w:sz w:val="24"/>
          <w:highlight w:val="none"/>
        </w:rPr>
      </w:pPr>
      <w:r>
        <w:rPr>
          <w:rFonts w:hint="eastAsia" w:ascii="仿宋" w:hAnsi="仿宋" w:eastAsia="仿宋" w:cs="宋体"/>
          <w:snapToGrid w:val="0"/>
          <w:color w:val="auto"/>
          <w:kern w:val="0"/>
          <w:sz w:val="24"/>
          <w:highlight w:val="none"/>
          <w:lang w:val="en-US" w:eastAsia="zh-CN"/>
        </w:rPr>
        <w:t>2.2.3</w:t>
      </w:r>
      <w:r>
        <w:rPr>
          <w:rFonts w:hint="eastAsia" w:ascii="仿宋" w:hAnsi="仿宋" w:eastAsia="仿宋" w:cs="宋体"/>
          <w:snapToGrid w:val="0"/>
          <w:color w:val="auto"/>
          <w:kern w:val="0"/>
          <w:sz w:val="24"/>
          <w:highlight w:val="none"/>
        </w:rPr>
        <w:t>严格控制活动费用，确保在预算范围内</w:t>
      </w:r>
      <w:r>
        <w:rPr>
          <w:rFonts w:hint="eastAsia" w:ascii="仿宋" w:hAnsi="仿宋" w:eastAsia="仿宋" w:cs="宋体"/>
          <w:snapToGrid w:val="0"/>
          <w:color w:val="auto"/>
          <w:kern w:val="0"/>
          <w:sz w:val="24"/>
          <w:highlight w:val="none"/>
          <w:lang w:eastAsia="zh-CN"/>
        </w:rPr>
        <w:t>，</w:t>
      </w:r>
      <w:r>
        <w:rPr>
          <w:rFonts w:hint="eastAsia" w:ascii="仿宋" w:hAnsi="仿宋" w:eastAsia="仿宋" w:cs="宋体"/>
          <w:snapToGrid w:val="0"/>
          <w:color w:val="auto"/>
          <w:kern w:val="0"/>
          <w:sz w:val="24"/>
          <w:highlight w:val="none"/>
          <w:lang w:val="en-US" w:eastAsia="zh-CN"/>
        </w:rPr>
        <w:t>出发日期、出行人数及路线均为暂定，后期以采购人实际需求为准，日期人数及路线的调整均不调整投标报价</w:t>
      </w:r>
      <w:r>
        <w:rPr>
          <w:rFonts w:hint="eastAsia" w:ascii="仿宋" w:hAnsi="仿宋" w:eastAsia="仿宋" w:cs="宋体"/>
          <w:snapToGrid w:val="0"/>
          <w:color w:val="auto"/>
          <w:kern w:val="0"/>
          <w:sz w:val="24"/>
          <w:highlight w:val="none"/>
        </w:rPr>
        <w:t>。</w:t>
      </w:r>
    </w:p>
    <w:p w14:paraId="36539E54">
      <w:pPr>
        <w:pageBreakBefore w:val="0"/>
        <w:kinsoku/>
        <w:wordWrap/>
        <w:overflowPunct/>
        <w:topLinePunct w:val="0"/>
        <w:bidi w:val="0"/>
        <w:snapToGrid w:val="0"/>
        <w:spacing w:line="360" w:lineRule="auto"/>
        <w:ind w:firstLine="482" w:firstLineChars="200"/>
        <w:jc w:val="left"/>
        <w:textAlignment w:val="auto"/>
        <w:rPr>
          <w:rFonts w:hint="eastAsia" w:ascii="仿宋" w:hAnsi="仿宋" w:eastAsia="仿宋" w:cs="宋体"/>
          <w:b/>
          <w:bCs/>
          <w:snapToGrid w:val="0"/>
          <w:color w:val="auto"/>
          <w:kern w:val="0"/>
          <w:sz w:val="24"/>
          <w:highlight w:val="none"/>
          <w:lang w:val="en-US" w:eastAsia="zh-CN"/>
        </w:rPr>
      </w:pPr>
      <w:r>
        <w:rPr>
          <w:rFonts w:hint="eastAsia" w:ascii="仿宋" w:hAnsi="仿宋" w:eastAsia="仿宋" w:cs="宋体"/>
          <w:b/>
          <w:bCs/>
          <w:snapToGrid w:val="0"/>
          <w:color w:val="auto"/>
          <w:kern w:val="0"/>
          <w:sz w:val="24"/>
          <w:highlight w:val="none"/>
          <w:lang w:val="en-US" w:eastAsia="zh-CN"/>
        </w:rPr>
        <w:t>注：</w:t>
      </w:r>
      <w:r>
        <w:rPr>
          <w:rFonts w:hint="eastAsia" w:ascii="仿宋" w:hAnsi="仿宋" w:eastAsia="仿宋" w:cs="宋体"/>
          <w:b/>
          <w:bCs/>
          <w:snapToGrid w:val="0"/>
          <w:color w:val="auto"/>
          <w:kern w:val="0"/>
          <w:sz w:val="24"/>
          <w:highlight w:val="none"/>
        </w:rPr>
        <w:t>以上</w:t>
      </w:r>
      <w:r>
        <w:rPr>
          <w:rFonts w:hint="eastAsia" w:ascii="仿宋" w:hAnsi="仿宋" w:eastAsia="仿宋" w:cs="宋体"/>
          <w:b/>
          <w:bCs/>
          <w:snapToGrid w:val="0"/>
          <w:color w:val="auto"/>
          <w:kern w:val="0"/>
          <w:sz w:val="24"/>
          <w:highlight w:val="none"/>
          <w:lang w:val="en-US" w:eastAsia="zh-CN"/>
        </w:rPr>
        <w:t>两种形式</w:t>
      </w:r>
      <w:r>
        <w:rPr>
          <w:rFonts w:hint="eastAsia" w:ascii="仿宋" w:hAnsi="仿宋" w:eastAsia="仿宋" w:cs="宋体"/>
          <w:b/>
          <w:bCs/>
          <w:snapToGrid w:val="0"/>
          <w:color w:val="auto"/>
          <w:kern w:val="0"/>
          <w:sz w:val="24"/>
          <w:highlight w:val="none"/>
        </w:rPr>
        <w:t>活动供企退人员自行选择。</w:t>
      </w:r>
      <w:r>
        <w:rPr>
          <w:rFonts w:hint="eastAsia" w:ascii="仿宋" w:hAnsi="仿宋" w:eastAsia="仿宋" w:cs="宋体"/>
          <w:b/>
          <w:bCs/>
          <w:snapToGrid w:val="0"/>
          <w:color w:val="auto"/>
          <w:kern w:val="0"/>
          <w:sz w:val="24"/>
          <w:highlight w:val="none"/>
          <w:lang w:val="en-US" w:eastAsia="zh-CN"/>
        </w:rPr>
        <w:t>最终按实际参与的人员进行结算。</w:t>
      </w:r>
    </w:p>
    <w:p w14:paraId="54473746">
      <w:pPr>
        <w:pageBreakBefore w:val="0"/>
        <w:kinsoku/>
        <w:wordWrap/>
        <w:overflowPunct/>
        <w:topLinePunct w:val="0"/>
        <w:bidi w:val="0"/>
        <w:snapToGrid w:val="0"/>
        <w:spacing w:line="360" w:lineRule="auto"/>
        <w:ind w:firstLine="482" w:firstLineChars="200"/>
        <w:jc w:val="left"/>
        <w:textAlignment w:val="auto"/>
        <w:rPr>
          <w:rFonts w:hint="eastAsia" w:ascii="仿宋" w:hAnsi="仿宋" w:eastAsia="仿宋" w:cs="宋体"/>
          <w:b/>
          <w:bCs/>
          <w:snapToGrid w:val="0"/>
          <w:color w:val="auto"/>
          <w:kern w:val="0"/>
          <w:sz w:val="24"/>
          <w:highlight w:val="none"/>
        </w:rPr>
      </w:pPr>
      <w:r>
        <w:rPr>
          <w:rFonts w:hint="eastAsia" w:ascii="仿宋" w:hAnsi="仿宋" w:eastAsia="仿宋" w:cs="宋体"/>
          <w:b/>
          <w:bCs/>
          <w:snapToGrid w:val="0"/>
          <w:color w:val="auto"/>
          <w:kern w:val="0"/>
          <w:sz w:val="24"/>
          <w:highlight w:val="none"/>
        </w:rPr>
        <w:t>3.服务团队的要求：</w:t>
      </w:r>
    </w:p>
    <w:p w14:paraId="5B067E36">
      <w:pPr>
        <w:pageBreakBefore w:val="0"/>
        <w:kinsoku/>
        <w:wordWrap/>
        <w:overflowPunct/>
        <w:topLinePunct w:val="0"/>
        <w:bidi w:val="0"/>
        <w:snapToGrid w:val="0"/>
        <w:spacing w:line="360" w:lineRule="auto"/>
        <w:ind w:firstLine="480" w:firstLineChars="200"/>
        <w:jc w:val="left"/>
        <w:textAlignment w:val="auto"/>
        <w:rPr>
          <w:rFonts w:hint="eastAsia" w:ascii="仿宋" w:hAnsi="仿宋" w:eastAsia="仿宋" w:cs="宋体"/>
          <w:snapToGrid w:val="0"/>
          <w:color w:val="auto"/>
          <w:kern w:val="0"/>
          <w:sz w:val="24"/>
          <w:highlight w:val="none"/>
        </w:rPr>
      </w:pPr>
      <w:r>
        <w:rPr>
          <w:rFonts w:hint="eastAsia" w:ascii="仿宋" w:hAnsi="仿宋" w:eastAsia="仿宋" w:cs="宋体"/>
          <w:snapToGrid w:val="0"/>
          <w:color w:val="auto"/>
          <w:kern w:val="0"/>
          <w:sz w:val="24"/>
          <w:highlight w:val="none"/>
        </w:rPr>
        <w:t>3.1人员要求：</w:t>
      </w:r>
      <w:r>
        <w:rPr>
          <w:rFonts w:hint="eastAsia" w:ascii="仿宋" w:hAnsi="仿宋" w:eastAsia="仿宋" w:cs="宋体"/>
          <w:snapToGrid w:val="0"/>
          <w:color w:val="auto"/>
          <w:kern w:val="0"/>
          <w:sz w:val="24"/>
          <w:highlight w:val="none"/>
          <w:lang w:val="en-US" w:eastAsia="zh-CN"/>
        </w:rPr>
        <w:t>项目负责人1人</w:t>
      </w:r>
      <w:r>
        <w:rPr>
          <w:rFonts w:hint="eastAsia" w:ascii="仿宋" w:hAnsi="仿宋" w:eastAsia="仿宋" w:cs="宋体"/>
          <w:snapToGrid w:val="0"/>
          <w:color w:val="auto"/>
          <w:kern w:val="0"/>
          <w:sz w:val="24"/>
          <w:highlight w:val="none"/>
        </w:rPr>
        <w:t>，团队总人数不低于</w:t>
      </w:r>
      <w:r>
        <w:rPr>
          <w:rFonts w:hint="eastAsia" w:ascii="仿宋" w:hAnsi="仿宋" w:eastAsia="仿宋" w:cs="宋体"/>
          <w:snapToGrid w:val="0"/>
          <w:color w:val="auto"/>
          <w:kern w:val="0"/>
          <w:sz w:val="24"/>
          <w:highlight w:val="none"/>
          <w:lang w:val="en-US" w:eastAsia="zh-CN"/>
        </w:rPr>
        <w:t>10</w:t>
      </w:r>
      <w:r>
        <w:rPr>
          <w:rFonts w:hint="eastAsia" w:ascii="仿宋" w:hAnsi="仿宋" w:eastAsia="仿宋" w:cs="宋体"/>
          <w:snapToGrid w:val="0"/>
          <w:color w:val="auto"/>
          <w:kern w:val="0"/>
          <w:sz w:val="24"/>
          <w:highlight w:val="none"/>
        </w:rPr>
        <w:t>人，考虑到参与活动的企退人员人数较多，部分人员年龄较大，为方便人员活动和预防可能出现的突发事件，其中男性服务人数不得低于2人。</w:t>
      </w:r>
    </w:p>
    <w:p w14:paraId="742DB870">
      <w:pPr>
        <w:pageBreakBefore w:val="0"/>
        <w:kinsoku/>
        <w:wordWrap/>
        <w:overflowPunct/>
        <w:topLinePunct w:val="0"/>
        <w:bidi w:val="0"/>
        <w:snapToGrid w:val="0"/>
        <w:spacing w:line="360" w:lineRule="auto"/>
        <w:ind w:firstLine="480" w:firstLineChars="200"/>
        <w:jc w:val="left"/>
        <w:textAlignment w:val="auto"/>
        <w:rPr>
          <w:rFonts w:hint="eastAsia" w:ascii="仿宋" w:hAnsi="仿宋" w:eastAsia="仿宋" w:cs="宋体"/>
          <w:snapToGrid w:val="0"/>
          <w:color w:val="auto"/>
          <w:kern w:val="0"/>
          <w:sz w:val="24"/>
          <w:highlight w:val="none"/>
        </w:rPr>
      </w:pPr>
      <w:r>
        <w:rPr>
          <w:rFonts w:hint="eastAsia" w:ascii="仿宋" w:hAnsi="仿宋" w:eastAsia="仿宋" w:cs="宋体"/>
          <w:snapToGrid w:val="0"/>
          <w:color w:val="auto"/>
          <w:kern w:val="0"/>
          <w:sz w:val="24"/>
          <w:highlight w:val="none"/>
        </w:rPr>
        <w:t>3.</w:t>
      </w:r>
      <w:r>
        <w:rPr>
          <w:rFonts w:hint="eastAsia" w:ascii="仿宋" w:hAnsi="仿宋" w:eastAsia="仿宋" w:cs="宋体"/>
          <w:snapToGrid w:val="0"/>
          <w:color w:val="auto"/>
          <w:kern w:val="0"/>
          <w:sz w:val="24"/>
          <w:highlight w:val="none"/>
          <w:lang w:val="en-US" w:eastAsia="zh-CN"/>
        </w:rPr>
        <w:t>2</w:t>
      </w:r>
      <w:r>
        <w:rPr>
          <w:rFonts w:hint="eastAsia" w:ascii="仿宋" w:hAnsi="仿宋" w:eastAsia="仿宋" w:cs="宋体"/>
          <w:snapToGrid w:val="0"/>
          <w:color w:val="auto"/>
          <w:kern w:val="0"/>
          <w:sz w:val="24"/>
          <w:highlight w:val="none"/>
        </w:rPr>
        <w:t>所有相关人员均需配工作证并持证上岗，且统一着装。</w:t>
      </w:r>
    </w:p>
    <w:p w14:paraId="19CCE850">
      <w:pPr>
        <w:pageBreakBefore w:val="0"/>
        <w:kinsoku/>
        <w:wordWrap/>
        <w:overflowPunct/>
        <w:topLinePunct w:val="0"/>
        <w:bidi w:val="0"/>
        <w:snapToGrid w:val="0"/>
        <w:spacing w:line="360" w:lineRule="auto"/>
        <w:ind w:firstLine="480" w:firstLineChars="200"/>
        <w:jc w:val="left"/>
        <w:textAlignment w:val="auto"/>
        <w:rPr>
          <w:rFonts w:hint="eastAsia" w:ascii="仿宋" w:hAnsi="仿宋" w:eastAsia="仿宋" w:cs="宋体"/>
          <w:snapToGrid w:val="0"/>
          <w:color w:val="auto"/>
          <w:kern w:val="0"/>
          <w:sz w:val="24"/>
          <w:highlight w:val="none"/>
        </w:rPr>
      </w:pPr>
      <w:r>
        <w:rPr>
          <w:rFonts w:hint="eastAsia" w:ascii="仿宋" w:hAnsi="仿宋" w:eastAsia="仿宋" w:cs="宋体"/>
          <w:snapToGrid w:val="0"/>
          <w:color w:val="auto"/>
          <w:kern w:val="0"/>
          <w:sz w:val="24"/>
          <w:highlight w:val="none"/>
        </w:rPr>
        <w:t>3.</w:t>
      </w:r>
      <w:r>
        <w:rPr>
          <w:rFonts w:hint="eastAsia" w:ascii="仿宋" w:hAnsi="仿宋" w:eastAsia="仿宋" w:cs="宋体"/>
          <w:snapToGrid w:val="0"/>
          <w:color w:val="auto"/>
          <w:kern w:val="0"/>
          <w:sz w:val="24"/>
          <w:highlight w:val="none"/>
          <w:lang w:val="en-US" w:eastAsia="zh-CN"/>
        </w:rPr>
        <w:t>3</w:t>
      </w:r>
      <w:r>
        <w:rPr>
          <w:rFonts w:hint="eastAsia" w:ascii="仿宋" w:hAnsi="仿宋" w:eastAsia="仿宋" w:cs="宋体"/>
          <w:snapToGrid w:val="0"/>
          <w:color w:val="auto"/>
          <w:kern w:val="0"/>
          <w:sz w:val="24"/>
          <w:highlight w:val="none"/>
        </w:rPr>
        <w:t>为提高服务水平，所有服务人员还需进行礼仪的培训。</w:t>
      </w:r>
    </w:p>
    <w:p w14:paraId="044A3B1D">
      <w:pPr>
        <w:pageBreakBefore w:val="0"/>
        <w:kinsoku/>
        <w:wordWrap/>
        <w:overflowPunct/>
        <w:topLinePunct w:val="0"/>
        <w:bidi w:val="0"/>
        <w:snapToGrid w:val="0"/>
        <w:spacing w:line="360" w:lineRule="auto"/>
        <w:ind w:firstLine="480" w:firstLineChars="200"/>
        <w:jc w:val="left"/>
        <w:textAlignment w:val="auto"/>
        <w:rPr>
          <w:rFonts w:hint="default" w:ascii="仿宋" w:hAnsi="仿宋" w:eastAsia="仿宋" w:cs="宋体"/>
          <w:snapToGrid w:val="0"/>
          <w:color w:val="auto"/>
          <w:kern w:val="0"/>
          <w:sz w:val="24"/>
          <w:highlight w:val="none"/>
          <w:lang w:val="en-US" w:eastAsia="zh-CN"/>
        </w:rPr>
      </w:pPr>
      <w:r>
        <w:rPr>
          <w:rFonts w:hint="eastAsia" w:ascii="仿宋" w:hAnsi="仿宋" w:eastAsia="仿宋" w:cs="宋体"/>
          <w:snapToGrid w:val="0"/>
          <w:color w:val="auto"/>
          <w:kern w:val="0"/>
          <w:sz w:val="24"/>
          <w:highlight w:val="none"/>
          <w:lang w:val="en-US" w:eastAsia="zh-CN"/>
        </w:rPr>
        <w:t>3.4至少安排一名人员按照社区要求发放活动用品到户。</w:t>
      </w:r>
    </w:p>
    <w:p w14:paraId="637D7552">
      <w:pPr>
        <w:snapToGrid w:val="0"/>
        <w:spacing w:line="360" w:lineRule="auto"/>
        <w:ind w:firstLine="482" w:firstLineChars="200"/>
        <w:rPr>
          <w:rFonts w:hint="eastAsia" w:ascii="仿宋" w:hAnsi="仿宋" w:eastAsia="仿宋" w:cs="宋体"/>
          <w:b/>
          <w:bCs/>
          <w:snapToGrid w:val="0"/>
          <w:color w:val="auto"/>
          <w:kern w:val="0"/>
          <w:sz w:val="24"/>
          <w:highlight w:val="none"/>
        </w:rPr>
      </w:pPr>
      <w:r>
        <w:rPr>
          <w:rFonts w:hint="eastAsia" w:ascii="仿宋" w:hAnsi="仿宋" w:eastAsia="仿宋" w:cs="宋体"/>
          <w:b/>
          <w:bCs/>
          <w:snapToGrid w:val="0"/>
          <w:color w:val="auto"/>
          <w:kern w:val="0"/>
          <w:sz w:val="24"/>
          <w:highlight w:val="none"/>
        </w:rPr>
        <w:t>附表1：</w:t>
      </w:r>
      <w:r>
        <w:rPr>
          <w:rFonts w:hint="eastAsia" w:ascii="仿宋" w:hAnsi="仿宋" w:eastAsia="仿宋" w:cs="宋体"/>
          <w:b/>
          <w:bCs/>
          <w:snapToGrid w:val="0"/>
          <w:color w:val="auto"/>
          <w:kern w:val="0"/>
          <w:sz w:val="24"/>
          <w:highlight w:val="none"/>
          <w:lang w:val="en-US" w:eastAsia="zh-CN"/>
        </w:rPr>
        <w:t>不得提供</w:t>
      </w:r>
      <w:r>
        <w:rPr>
          <w:rFonts w:hint="eastAsia" w:ascii="仿宋" w:hAnsi="仿宋" w:eastAsia="仿宋" w:cs="宋体"/>
          <w:b/>
          <w:bCs/>
          <w:snapToGrid w:val="0"/>
          <w:color w:val="auto"/>
          <w:kern w:val="0"/>
          <w:sz w:val="24"/>
          <w:highlight w:val="none"/>
        </w:rPr>
        <w:t>进口产品</w:t>
      </w:r>
    </w:p>
    <w:tbl>
      <w:tblPr>
        <w:tblStyle w:val="6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2221"/>
        <w:gridCol w:w="6936"/>
      </w:tblGrid>
      <w:tr w14:paraId="489D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396" w:type="pct"/>
            <w:vAlign w:val="center"/>
          </w:tcPr>
          <w:p w14:paraId="610C309D">
            <w:pPr>
              <w:pageBreakBefore w:val="0"/>
              <w:kinsoku/>
              <w:wordWrap/>
              <w:overflowPunct/>
              <w:topLinePunct w:val="0"/>
              <w:bidi w:val="0"/>
              <w:snapToGrid w:val="0"/>
              <w:spacing w:line="240" w:lineRule="auto"/>
              <w:ind w:firstLine="0" w:firstLineChars="0"/>
              <w:jc w:val="center"/>
              <w:textAlignment w:val="auto"/>
              <w:rPr>
                <w:rFonts w:hint="eastAsia" w:ascii="仿宋" w:hAnsi="仿宋" w:eastAsia="仿宋" w:cs="宋体"/>
                <w:b/>
                <w:bCs/>
                <w:snapToGrid w:val="0"/>
                <w:color w:val="auto"/>
                <w:kern w:val="0"/>
                <w:sz w:val="24"/>
                <w:highlight w:val="none"/>
              </w:rPr>
            </w:pPr>
            <w:r>
              <w:rPr>
                <w:rFonts w:hint="eastAsia" w:ascii="仿宋" w:hAnsi="仿宋" w:eastAsia="仿宋" w:cs="宋体"/>
                <w:b/>
                <w:bCs/>
                <w:snapToGrid w:val="0"/>
                <w:color w:val="auto"/>
                <w:kern w:val="0"/>
                <w:sz w:val="24"/>
                <w:highlight w:val="none"/>
              </w:rPr>
              <w:t>序号</w:t>
            </w:r>
          </w:p>
        </w:tc>
        <w:tc>
          <w:tcPr>
            <w:tcW w:w="1116" w:type="pct"/>
            <w:vAlign w:val="center"/>
          </w:tcPr>
          <w:p w14:paraId="31766469">
            <w:pPr>
              <w:pageBreakBefore w:val="0"/>
              <w:kinsoku/>
              <w:wordWrap/>
              <w:overflowPunct/>
              <w:topLinePunct w:val="0"/>
              <w:bidi w:val="0"/>
              <w:snapToGrid w:val="0"/>
              <w:spacing w:line="240" w:lineRule="auto"/>
              <w:ind w:firstLine="0" w:firstLineChars="0"/>
              <w:jc w:val="center"/>
              <w:textAlignment w:val="auto"/>
              <w:rPr>
                <w:rFonts w:hint="eastAsia" w:ascii="仿宋" w:hAnsi="仿宋" w:eastAsia="仿宋" w:cs="宋体"/>
                <w:b/>
                <w:bCs/>
                <w:snapToGrid w:val="0"/>
                <w:color w:val="auto"/>
                <w:kern w:val="0"/>
                <w:sz w:val="24"/>
                <w:highlight w:val="none"/>
              </w:rPr>
            </w:pPr>
            <w:r>
              <w:rPr>
                <w:rFonts w:hint="eastAsia" w:ascii="仿宋" w:hAnsi="仿宋" w:eastAsia="仿宋" w:cs="宋体"/>
                <w:b/>
                <w:bCs/>
                <w:snapToGrid w:val="0"/>
                <w:color w:val="auto"/>
                <w:kern w:val="0"/>
                <w:sz w:val="24"/>
                <w:highlight w:val="none"/>
              </w:rPr>
              <w:t>名称</w:t>
            </w:r>
          </w:p>
        </w:tc>
        <w:tc>
          <w:tcPr>
            <w:tcW w:w="3486" w:type="pct"/>
            <w:vAlign w:val="center"/>
          </w:tcPr>
          <w:p w14:paraId="25ADDD4C">
            <w:pPr>
              <w:pageBreakBefore w:val="0"/>
              <w:kinsoku/>
              <w:wordWrap/>
              <w:overflowPunct/>
              <w:topLinePunct w:val="0"/>
              <w:bidi w:val="0"/>
              <w:snapToGrid w:val="0"/>
              <w:spacing w:line="240" w:lineRule="auto"/>
              <w:ind w:firstLine="0" w:firstLineChars="0"/>
              <w:jc w:val="center"/>
              <w:textAlignment w:val="auto"/>
              <w:rPr>
                <w:rFonts w:hint="eastAsia" w:ascii="仿宋" w:hAnsi="仿宋" w:eastAsia="仿宋" w:cs="宋体"/>
                <w:b/>
                <w:bCs/>
                <w:snapToGrid w:val="0"/>
                <w:color w:val="auto"/>
                <w:kern w:val="0"/>
                <w:sz w:val="24"/>
                <w:highlight w:val="none"/>
                <w:lang w:val="en-US" w:eastAsia="zh-CN"/>
              </w:rPr>
            </w:pPr>
            <w:r>
              <w:rPr>
                <w:rFonts w:hint="eastAsia" w:ascii="仿宋" w:hAnsi="仿宋" w:eastAsia="仿宋" w:cs="宋体"/>
                <w:b/>
                <w:bCs/>
                <w:snapToGrid w:val="0"/>
                <w:color w:val="auto"/>
                <w:kern w:val="0"/>
                <w:sz w:val="24"/>
                <w:highlight w:val="none"/>
                <w:lang w:val="en-US" w:eastAsia="zh-CN"/>
              </w:rPr>
              <w:t>参数要求</w:t>
            </w:r>
          </w:p>
        </w:tc>
      </w:tr>
      <w:tr w14:paraId="4B8E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396" w:type="pct"/>
            <w:vAlign w:val="center"/>
          </w:tcPr>
          <w:p w14:paraId="2F469443">
            <w:pPr>
              <w:pageBreakBefore w:val="0"/>
              <w:kinsoku/>
              <w:wordWrap/>
              <w:overflowPunct/>
              <w:topLinePunct w:val="0"/>
              <w:bidi w:val="0"/>
              <w:snapToGrid w:val="0"/>
              <w:spacing w:line="240" w:lineRule="auto"/>
              <w:ind w:firstLine="0" w:firstLineChars="0"/>
              <w:jc w:val="center"/>
              <w:textAlignment w:val="auto"/>
              <w:rPr>
                <w:rFonts w:hint="eastAsia" w:ascii="仿宋" w:hAnsi="仿宋" w:eastAsia="仿宋" w:cs="宋体"/>
                <w:b w:val="0"/>
                <w:bCs w:val="0"/>
                <w:snapToGrid w:val="0"/>
                <w:color w:val="auto"/>
                <w:kern w:val="0"/>
                <w:sz w:val="24"/>
                <w:highlight w:val="none"/>
              </w:rPr>
            </w:pPr>
            <w:r>
              <w:rPr>
                <w:rFonts w:hint="eastAsia" w:ascii="仿宋" w:hAnsi="仿宋" w:eastAsia="仿宋" w:cs="宋体"/>
                <w:b w:val="0"/>
                <w:bCs w:val="0"/>
                <w:snapToGrid w:val="0"/>
                <w:color w:val="auto"/>
                <w:kern w:val="0"/>
                <w:sz w:val="24"/>
                <w:highlight w:val="none"/>
              </w:rPr>
              <w:t>1</w:t>
            </w:r>
          </w:p>
        </w:tc>
        <w:tc>
          <w:tcPr>
            <w:tcW w:w="1116" w:type="pct"/>
            <w:vAlign w:val="center"/>
          </w:tcPr>
          <w:p w14:paraId="03B1C34F">
            <w:pPr>
              <w:pageBreakBefore w:val="0"/>
              <w:kinsoku/>
              <w:wordWrap/>
              <w:overflowPunct/>
              <w:topLinePunct w:val="0"/>
              <w:bidi w:val="0"/>
              <w:snapToGrid w:val="0"/>
              <w:spacing w:line="240" w:lineRule="auto"/>
              <w:jc w:val="center"/>
              <w:textAlignment w:val="auto"/>
              <w:rPr>
                <w:rFonts w:hint="eastAsia" w:ascii="仿宋" w:hAnsi="仿宋" w:eastAsia="仿宋" w:cs="宋体"/>
                <w:b w:val="0"/>
                <w:bCs w:val="0"/>
                <w:snapToGrid w:val="0"/>
                <w:color w:val="auto"/>
                <w:kern w:val="0"/>
                <w:sz w:val="24"/>
                <w:highlight w:val="none"/>
              </w:rPr>
            </w:pPr>
            <w:r>
              <w:rPr>
                <w:rFonts w:hint="eastAsia" w:ascii="仿宋" w:hAnsi="仿宋" w:eastAsia="仿宋" w:cs="宋体"/>
                <w:b w:val="0"/>
                <w:bCs w:val="0"/>
                <w:snapToGrid w:val="0"/>
                <w:color w:val="auto"/>
                <w:kern w:val="0"/>
                <w:sz w:val="24"/>
                <w:highlight w:val="none"/>
              </w:rPr>
              <w:t>粮油套餐</w:t>
            </w:r>
          </w:p>
        </w:tc>
        <w:tc>
          <w:tcPr>
            <w:tcW w:w="3486" w:type="pct"/>
            <w:vAlign w:val="center"/>
          </w:tcPr>
          <w:p w14:paraId="35A34BD3">
            <w:pPr>
              <w:pageBreakBefore w:val="0"/>
              <w:kinsoku/>
              <w:wordWrap/>
              <w:overflowPunct/>
              <w:topLinePunct w:val="0"/>
              <w:bidi w:val="0"/>
              <w:snapToGrid w:val="0"/>
              <w:spacing w:line="240" w:lineRule="auto"/>
              <w:jc w:val="left"/>
              <w:textAlignment w:val="auto"/>
              <w:rPr>
                <w:rFonts w:hint="eastAsia" w:ascii="仿宋" w:hAnsi="仿宋" w:eastAsia="仿宋" w:cs="宋体"/>
                <w:b w:val="0"/>
                <w:bCs w:val="0"/>
                <w:snapToGrid w:val="0"/>
                <w:color w:val="auto"/>
                <w:kern w:val="0"/>
                <w:sz w:val="24"/>
                <w:highlight w:val="none"/>
                <w:lang w:eastAsia="zh-CN"/>
              </w:rPr>
            </w:pPr>
            <w:r>
              <w:rPr>
                <w:rFonts w:hint="eastAsia" w:ascii="仿宋" w:hAnsi="仿宋" w:eastAsia="仿宋" w:cs="宋体"/>
                <w:b w:val="0"/>
                <w:bCs w:val="0"/>
                <w:snapToGrid w:val="0"/>
                <w:color w:val="auto"/>
                <w:kern w:val="0"/>
                <w:sz w:val="24"/>
                <w:highlight w:val="none"/>
                <w:lang w:val="en-US" w:eastAsia="zh-CN"/>
              </w:rPr>
              <w:t>粮≥5kg：</w:t>
            </w:r>
            <w:r>
              <w:rPr>
                <w:rFonts w:hint="eastAsia" w:ascii="仿宋" w:hAnsi="仿宋" w:eastAsia="仿宋" w:cs="宋体"/>
                <w:b w:val="0"/>
                <w:bCs w:val="0"/>
                <w:snapToGrid w:val="0"/>
                <w:color w:val="auto"/>
                <w:kern w:val="0"/>
                <w:sz w:val="24"/>
                <w:highlight w:val="none"/>
                <w:lang w:eastAsia="zh-CN"/>
              </w:rPr>
              <w:fldChar w:fldCharType="begin"/>
            </w:r>
            <w:r>
              <w:rPr>
                <w:rFonts w:hint="eastAsia" w:ascii="仿宋" w:hAnsi="仿宋" w:eastAsia="仿宋" w:cs="宋体"/>
                <w:b w:val="0"/>
                <w:bCs w:val="0"/>
                <w:snapToGrid w:val="0"/>
                <w:color w:val="auto"/>
                <w:kern w:val="0"/>
                <w:sz w:val="24"/>
                <w:highlight w:val="none"/>
                <w:lang w:eastAsia="zh-CN"/>
              </w:rPr>
              <w:instrText xml:space="preserve"> HYPERLINK "https://s.taobao.com/search?q=%E5%A4%A7%E7%B1%B35kg&amp;suggest=0_2&amp;commend=all&amp;ssid=s5-e&amp;search_type=item&amp;sourceId=tb.index&amp;spm=a21bo.jianhua.201856-taobao-item.2&amp;ie=utf8&amp;initiative_id=tbindexz_20170306&amp;_input_charset=utf-8&amp;wq=%E5%A4%A7%E7%B1%B3&amp;suggest_query=%E5%A4%A7%E7%B1%B3&amp;source=suggest&amp;filter=reserve_price%5b50,70%5d" \o "五常大米" </w:instrText>
            </w:r>
            <w:r>
              <w:rPr>
                <w:rFonts w:hint="eastAsia" w:ascii="仿宋" w:hAnsi="仿宋" w:eastAsia="仿宋" w:cs="宋体"/>
                <w:b w:val="0"/>
                <w:bCs w:val="0"/>
                <w:snapToGrid w:val="0"/>
                <w:color w:val="auto"/>
                <w:kern w:val="0"/>
                <w:sz w:val="24"/>
                <w:highlight w:val="none"/>
                <w:lang w:eastAsia="zh-CN"/>
              </w:rPr>
              <w:fldChar w:fldCharType="separate"/>
            </w:r>
            <w:r>
              <w:rPr>
                <w:rFonts w:hint="eastAsia" w:ascii="仿宋" w:hAnsi="仿宋" w:eastAsia="仿宋" w:cs="宋体"/>
                <w:b w:val="0"/>
                <w:bCs w:val="0"/>
                <w:snapToGrid w:val="0"/>
                <w:color w:val="auto"/>
                <w:kern w:val="0"/>
                <w:sz w:val="24"/>
                <w:highlight w:val="none"/>
                <w:lang w:eastAsia="zh-CN"/>
              </w:rPr>
              <w:t>五常大米</w:t>
            </w:r>
            <w:r>
              <w:rPr>
                <w:rFonts w:hint="eastAsia" w:ascii="仿宋" w:hAnsi="仿宋" w:eastAsia="仿宋" w:cs="宋体"/>
                <w:b w:val="0"/>
                <w:bCs w:val="0"/>
                <w:snapToGrid w:val="0"/>
                <w:color w:val="auto"/>
                <w:kern w:val="0"/>
                <w:sz w:val="24"/>
                <w:highlight w:val="none"/>
                <w:lang w:eastAsia="zh-CN"/>
              </w:rPr>
              <w:fldChar w:fldCharType="end"/>
            </w:r>
            <w:r>
              <w:rPr>
                <w:rFonts w:hint="eastAsia" w:ascii="仿宋" w:hAnsi="仿宋" w:eastAsia="仿宋" w:cs="宋体"/>
                <w:b w:val="0"/>
                <w:bCs w:val="0"/>
                <w:snapToGrid w:val="0"/>
                <w:color w:val="auto"/>
                <w:kern w:val="0"/>
                <w:sz w:val="24"/>
                <w:highlight w:val="none"/>
                <w:lang w:eastAsia="zh-CN"/>
              </w:rPr>
              <w:t>、</w:t>
            </w:r>
            <w:r>
              <w:rPr>
                <w:rFonts w:hint="eastAsia" w:ascii="仿宋" w:hAnsi="仿宋" w:eastAsia="仿宋" w:cs="宋体"/>
                <w:b w:val="0"/>
                <w:bCs w:val="0"/>
                <w:snapToGrid w:val="0"/>
                <w:color w:val="auto"/>
                <w:kern w:val="0"/>
                <w:sz w:val="24"/>
                <w:highlight w:val="none"/>
                <w:lang w:eastAsia="zh-CN"/>
              </w:rPr>
              <w:fldChar w:fldCharType="begin"/>
            </w:r>
            <w:r>
              <w:rPr>
                <w:rFonts w:hint="eastAsia" w:ascii="仿宋" w:hAnsi="仿宋" w:eastAsia="仿宋" w:cs="宋体"/>
                <w:b w:val="0"/>
                <w:bCs w:val="0"/>
                <w:snapToGrid w:val="0"/>
                <w:color w:val="auto"/>
                <w:kern w:val="0"/>
                <w:sz w:val="24"/>
                <w:highlight w:val="none"/>
                <w:lang w:eastAsia="zh-CN"/>
              </w:rPr>
              <w:instrText xml:space="preserve"> HYPERLINK "https://s.taobao.com/search?q=%E5%A4%A7%E7%B1%B35kg&amp;suggest=0_2&amp;commend=all&amp;ssid=s5-e&amp;search_type=item&amp;sourceId=tb.index&amp;spm=a21bo.jianhua.201856-taobao-item.2&amp;ie=utf8&amp;initiative_id=tbindexz_20170306&amp;_input_charset=utf-8&amp;wq=%E5%A4%A7%E7%B1%B3&amp;suggest_query=%E5%A4%A7%E7%B1%B3&amp;source=suggest&amp;filter=reserve_price%5b50,70%5d" \o "稻花香" </w:instrText>
            </w:r>
            <w:r>
              <w:rPr>
                <w:rFonts w:hint="eastAsia" w:ascii="仿宋" w:hAnsi="仿宋" w:eastAsia="仿宋" w:cs="宋体"/>
                <w:b w:val="0"/>
                <w:bCs w:val="0"/>
                <w:snapToGrid w:val="0"/>
                <w:color w:val="auto"/>
                <w:kern w:val="0"/>
                <w:sz w:val="24"/>
                <w:highlight w:val="none"/>
                <w:lang w:eastAsia="zh-CN"/>
              </w:rPr>
              <w:fldChar w:fldCharType="separate"/>
            </w:r>
            <w:r>
              <w:rPr>
                <w:rFonts w:hint="eastAsia" w:ascii="仿宋" w:hAnsi="仿宋" w:eastAsia="仿宋" w:cs="宋体"/>
                <w:b w:val="0"/>
                <w:bCs w:val="0"/>
                <w:snapToGrid w:val="0"/>
                <w:color w:val="auto"/>
                <w:kern w:val="0"/>
                <w:sz w:val="24"/>
                <w:highlight w:val="none"/>
                <w:lang w:eastAsia="zh-CN"/>
              </w:rPr>
              <w:t>稻花香</w:t>
            </w:r>
            <w:r>
              <w:rPr>
                <w:rFonts w:hint="eastAsia" w:ascii="仿宋" w:hAnsi="仿宋" w:eastAsia="仿宋" w:cs="宋体"/>
                <w:b w:val="0"/>
                <w:bCs w:val="0"/>
                <w:snapToGrid w:val="0"/>
                <w:color w:val="auto"/>
                <w:kern w:val="0"/>
                <w:sz w:val="24"/>
                <w:highlight w:val="none"/>
                <w:lang w:eastAsia="zh-CN"/>
              </w:rPr>
              <w:fldChar w:fldCharType="end"/>
            </w:r>
            <w:r>
              <w:rPr>
                <w:rFonts w:hint="eastAsia" w:ascii="仿宋" w:hAnsi="仿宋" w:eastAsia="仿宋" w:cs="宋体"/>
                <w:b w:val="0"/>
                <w:bCs w:val="0"/>
                <w:snapToGrid w:val="0"/>
                <w:color w:val="auto"/>
                <w:kern w:val="0"/>
                <w:sz w:val="24"/>
                <w:highlight w:val="none"/>
                <w:lang w:eastAsia="zh-CN"/>
              </w:rPr>
              <w:t>、</w:t>
            </w:r>
            <w:r>
              <w:rPr>
                <w:rFonts w:hint="eastAsia" w:ascii="仿宋" w:hAnsi="仿宋" w:eastAsia="仿宋" w:cs="宋体"/>
                <w:b w:val="0"/>
                <w:bCs w:val="0"/>
                <w:snapToGrid w:val="0"/>
                <w:color w:val="auto"/>
                <w:kern w:val="0"/>
                <w:sz w:val="24"/>
                <w:highlight w:val="none"/>
                <w:lang w:eastAsia="zh-CN"/>
              </w:rPr>
              <w:fldChar w:fldCharType="begin"/>
            </w:r>
            <w:r>
              <w:rPr>
                <w:rFonts w:hint="eastAsia" w:ascii="仿宋" w:hAnsi="仿宋" w:eastAsia="仿宋" w:cs="宋体"/>
                <w:b w:val="0"/>
                <w:bCs w:val="0"/>
                <w:snapToGrid w:val="0"/>
                <w:color w:val="auto"/>
                <w:kern w:val="0"/>
                <w:sz w:val="24"/>
                <w:highlight w:val="none"/>
                <w:lang w:eastAsia="zh-CN"/>
              </w:rPr>
              <w:instrText xml:space="preserve"> HYPERLINK "https://s.taobao.com/search?q=%E5%A4%A7%E7%B1%B35kg&amp;suggest=0_2&amp;commend=all&amp;ssid=s5-e&amp;search_type=item&amp;sourceId=tb.index&amp;spm=a21bo.jianhua.201856-taobao-item.2&amp;ie=utf8&amp;initiative_id=tbindexz_20170306&amp;_input_charset=utf-8&amp;wq=%E5%A4%A7%E7%B1%B3&amp;suggest_query=%E5%A4%A7%E7%B1%B3&amp;source=suggest&amp;filter=reserve_price%5b50,70%5d" \o "金龙鱼" </w:instrText>
            </w:r>
            <w:r>
              <w:rPr>
                <w:rFonts w:hint="eastAsia" w:ascii="仿宋" w:hAnsi="仿宋" w:eastAsia="仿宋" w:cs="宋体"/>
                <w:b w:val="0"/>
                <w:bCs w:val="0"/>
                <w:snapToGrid w:val="0"/>
                <w:color w:val="auto"/>
                <w:kern w:val="0"/>
                <w:sz w:val="24"/>
                <w:highlight w:val="none"/>
                <w:lang w:eastAsia="zh-CN"/>
              </w:rPr>
              <w:fldChar w:fldCharType="separate"/>
            </w:r>
            <w:r>
              <w:rPr>
                <w:rFonts w:hint="eastAsia" w:ascii="仿宋" w:hAnsi="仿宋" w:eastAsia="仿宋" w:cs="宋体"/>
                <w:b w:val="0"/>
                <w:bCs w:val="0"/>
                <w:snapToGrid w:val="0"/>
                <w:color w:val="auto"/>
                <w:kern w:val="0"/>
                <w:sz w:val="24"/>
                <w:highlight w:val="none"/>
                <w:lang w:eastAsia="zh-CN"/>
              </w:rPr>
              <w:t>金龙鱼</w:t>
            </w:r>
            <w:r>
              <w:rPr>
                <w:rFonts w:hint="eastAsia" w:ascii="仿宋" w:hAnsi="仿宋" w:eastAsia="仿宋" w:cs="宋体"/>
                <w:b w:val="0"/>
                <w:bCs w:val="0"/>
                <w:snapToGrid w:val="0"/>
                <w:color w:val="auto"/>
                <w:kern w:val="0"/>
                <w:sz w:val="24"/>
                <w:highlight w:val="none"/>
                <w:lang w:eastAsia="zh-CN"/>
              </w:rPr>
              <w:fldChar w:fldCharType="end"/>
            </w:r>
            <w:r>
              <w:rPr>
                <w:rFonts w:hint="eastAsia" w:ascii="仿宋" w:hAnsi="仿宋" w:eastAsia="仿宋" w:cs="宋体"/>
                <w:snapToGrid w:val="0"/>
                <w:color w:val="auto"/>
                <w:kern w:val="0"/>
                <w:sz w:val="24"/>
                <w:highlight w:val="none"/>
              </w:rPr>
              <w:t>、福临门</w:t>
            </w:r>
            <w:r>
              <w:rPr>
                <w:rFonts w:hint="eastAsia" w:ascii="仿宋" w:hAnsi="仿宋" w:eastAsia="仿宋" w:cs="宋体"/>
                <w:b w:val="0"/>
                <w:bCs w:val="0"/>
                <w:snapToGrid w:val="0"/>
                <w:color w:val="auto"/>
                <w:kern w:val="0"/>
                <w:sz w:val="24"/>
                <w:highlight w:val="none"/>
                <w:lang w:eastAsia="zh-CN"/>
              </w:rPr>
              <w:t>等同档次同品质品牌或更高档次及品牌；</w:t>
            </w:r>
          </w:p>
          <w:p w14:paraId="5CF31A05">
            <w:pPr>
              <w:pageBreakBefore w:val="0"/>
              <w:kinsoku/>
              <w:wordWrap/>
              <w:overflowPunct/>
              <w:topLinePunct w:val="0"/>
              <w:bidi w:val="0"/>
              <w:snapToGrid w:val="0"/>
              <w:spacing w:line="240" w:lineRule="auto"/>
              <w:jc w:val="left"/>
              <w:textAlignment w:val="auto"/>
              <w:rPr>
                <w:rFonts w:hint="eastAsia" w:ascii="仿宋" w:hAnsi="仿宋" w:eastAsia="仿宋" w:cs="宋体"/>
                <w:b w:val="0"/>
                <w:bCs w:val="0"/>
                <w:snapToGrid w:val="0"/>
                <w:color w:val="auto"/>
                <w:kern w:val="0"/>
                <w:sz w:val="24"/>
                <w:highlight w:val="none"/>
                <w:lang w:eastAsia="zh-CN"/>
              </w:rPr>
            </w:pPr>
            <w:r>
              <w:rPr>
                <w:rFonts w:hint="eastAsia" w:ascii="仿宋" w:hAnsi="仿宋" w:eastAsia="仿宋" w:cs="宋体"/>
                <w:b w:val="0"/>
                <w:bCs w:val="0"/>
                <w:snapToGrid w:val="0"/>
                <w:color w:val="auto"/>
                <w:kern w:val="0"/>
                <w:sz w:val="24"/>
                <w:highlight w:val="none"/>
                <w:lang w:val="en-US" w:eastAsia="zh-CN"/>
              </w:rPr>
              <w:t>油≥4L：</w:t>
            </w:r>
            <w:r>
              <w:rPr>
                <w:rFonts w:hint="eastAsia" w:ascii="仿宋" w:hAnsi="仿宋" w:eastAsia="仿宋" w:cs="宋体"/>
                <w:b w:val="0"/>
                <w:bCs w:val="0"/>
                <w:snapToGrid w:val="0"/>
                <w:color w:val="auto"/>
                <w:kern w:val="0"/>
                <w:sz w:val="24"/>
                <w:highlight w:val="none"/>
                <w:lang w:eastAsia="zh-CN"/>
              </w:rPr>
              <w:fldChar w:fldCharType="begin"/>
            </w:r>
            <w:r>
              <w:rPr>
                <w:rFonts w:hint="eastAsia" w:ascii="仿宋" w:hAnsi="仿宋" w:eastAsia="仿宋" w:cs="宋体"/>
                <w:b w:val="0"/>
                <w:bCs w:val="0"/>
                <w:snapToGrid w:val="0"/>
                <w:color w:val="auto"/>
                <w:kern w:val="0"/>
                <w:sz w:val="24"/>
                <w:highlight w:val="none"/>
                <w:lang w:eastAsia="zh-CN"/>
              </w:rPr>
              <w:instrText xml:space="preserve"> HYPERLINK "https://s.taobao.com/search?q=%E7%B1%B3%E7%B3%A0%E6%B2%B9&amp;imgfile=&amp;js=1&amp;stats_click=search_radio_all:1&amp;initiative_id=staobaoz_20220702&amp;ie=utf8" \o "得乐康" </w:instrText>
            </w:r>
            <w:r>
              <w:rPr>
                <w:rFonts w:hint="eastAsia" w:ascii="仿宋" w:hAnsi="仿宋" w:eastAsia="仿宋" w:cs="宋体"/>
                <w:b w:val="0"/>
                <w:bCs w:val="0"/>
                <w:snapToGrid w:val="0"/>
                <w:color w:val="auto"/>
                <w:kern w:val="0"/>
                <w:sz w:val="24"/>
                <w:highlight w:val="none"/>
                <w:lang w:eastAsia="zh-CN"/>
              </w:rPr>
              <w:fldChar w:fldCharType="separate"/>
            </w:r>
            <w:r>
              <w:rPr>
                <w:rFonts w:hint="eastAsia" w:ascii="仿宋" w:hAnsi="仿宋" w:eastAsia="仿宋" w:cs="宋体"/>
                <w:b w:val="0"/>
                <w:bCs w:val="0"/>
                <w:snapToGrid w:val="0"/>
                <w:color w:val="auto"/>
                <w:kern w:val="0"/>
                <w:sz w:val="24"/>
                <w:highlight w:val="none"/>
                <w:lang w:eastAsia="zh-CN"/>
              </w:rPr>
              <w:t>得乐康</w:t>
            </w:r>
            <w:r>
              <w:rPr>
                <w:rFonts w:hint="eastAsia" w:ascii="仿宋" w:hAnsi="仿宋" w:eastAsia="仿宋" w:cs="宋体"/>
                <w:b w:val="0"/>
                <w:bCs w:val="0"/>
                <w:snapToGrid w:val="0"/>
                <w:color w:val="auto"/>
                <w:kern w:val="0"/>
                <w:sz w:val="24"/>
                <w:highlight w:val="none"/>
                <w:lang w:eastAsia="zh-CN"/>
              </w:rPr>
              <w:fldChar w:fldCharType="end"/>
            </w:r>
            <w:r>
              <w:rPr>
                <w:rFonts w:hint="eastAsia" w:ascii="仿宋" w:hAnsi="仿宋" w:eastAsia="仿宋" w:cs="宋体"/>
                <w:b w:val="0"/>
                <w:bCs w:val="0"/>
                <w:snapToGrid w:val="0"/>
                <w:color w:val="auto"/>
                <w:kern w:val="0"/>
                <w:sz w:val="24"/>
                <w:highlight w:val="none"/>
                <w:lang w:eastAsia="zh-CN"/>
              </w:rPr>
              <w:t>、</w:t>
            </w:r>
            <w:r>
              <w:rPr>
                <w:rFonts w:hint="eastAsia" w:ascii="仿宋" w:hAnsi="仿宋" w:eastAsia="仿宋" w:cs="宋体"/>
                <w:b w:val="0"/>
                <w:bCs w:val="0"/>
                <w:snapToGrid w:val="0"/>
                <w:color w:val="auto"/>
                <w:kern w:val="0"/>
                <w:sz w:val="24"/>
                <w:highlight w:val="none"/>
                <w:lang w:eastAsia="zh-CN"/>
              </w:rPr>
              <w:fldChar w:fldCharType="begin"/>
            </w:r>
            <w:r>
              <w:rPr>
                <w:rFonts w:hint="eastAsia" w:ascii="仿宋" w:hAnsi="仿宋" w:eastAsia="仿宋" w:cs="宋体"/>
                <w:b w:val="0"/>
                <w:bCs w:val="0"/>
                <w:snapToGrid w:val="0"/>
                <w:color w:val="auto"/>
                <w:kern w:val="0"/>
                <w:sz w:val="24"/>
                <w:highlight w:val="none"/>
                <w:lang w:eastAsia="zh-CN"/>
              </w:rPr>
              <w:instrText xml:space="preserve"> HYPERLINK "https://s.taobao.com/search?q=%E7%B1%B3%E7%B3%A0%E6%B2%B9&amp;imgfile=&amp;js=1&amp;stats_click=search_radio_all:1&amp;initiative_id=staobaoz_20220702&amp;ie=utf8" \o "金龙鱼" </w:instrText>
            </w:r>
            <w:r>
              <w:rPr>
                <w:rFonts w:hint="eastAsia" w:ascii="仿宋" w:hAnsi="仿宋" w:eastAsia="仿宋" w:cs="宋体"/>
                <w:b w:val="0"/>
                <w:bCs w:val="0"/>
                <w:snapToGrid w:val="0"/>
                <w:color w:val="auto"/>
                <w:kern w:val="0"/>
                <w:sz w:val="24"/>
                <w:highlight w:val="none"/>
                <w:lang w:eastAsia="zh-CN"/>
              </w:rPr>
              <w:fldChar w:fldCharType="separate"/>
            </w:r>
            <w:r>
              <w:rPr>
                <w:rFonts w:hint="eastAsia" w:ascii="仿宋" w:hAnsi="仿宋" w:eastAsia="仿宋" w:cs="宋体"/>
                <w:b w:val="0"/>
                <w:bCs w:val="0"/>
                <w:snapToGrid w:val="0"/>
                <w:color w:val="auto"/>
                <w:kern w:val="0"/>
                <w:sz w:val="24"/>
                <w:highlight w:val="none"/>
                <w:lang w:eastAsia="zh-CN"/>
              </w:rPr>
              <w:t>金龙鱼</w:t>
            </w:r>
            <w:r>
              <w:rPr>
                <w:rFonts w:hint="eastAsia" w:ascii="仿宋" w:hAnsi="仿宋" w:eastAsia="仿宋" w:cs="宋体"/>
                <w:b w:val="0"/>
                <w:bCs w:val="0"/>
                <w:snapToGrid w:val="0"/>
                <w:color w:val="auto"/>
                <w:kern w:val="0"/>
                <w:sz w:val="24"/>
                <w:highlight w:val="none"/>
                <w:lang w:eastAsia="zh-CN"/>
              </w:rPr>
              <w:fldChar w:fldCharType="end"/>
            </w:r>
            <w:r>
              <w:rPr>
                <w:rFonts w:hint="eastAsia" w:ascii="仿宋" w:hAnsi="仿宋" w:eastAsia="仿宋" w:cs="宋体"/>
                <w:b w:val="0"/>
                <w:bCs w:val="0"/>
                <w:snapToGrid w:val="0"/>
                <w:color w:val="auto"/>
                <w:kern w:val="0"/>
                <w:sz w:val="24"/>
                <w:highlight w:val="none"/>
                <w:lang w:eastAsia="zh-CN"/>
              </w:rPr>
              <w:t>、</w:t>
            </w:r>
            <w:r>
              <w:rPr>
                <w:rFonts w:hint="eastAsia" w:ascii="仿宋" w:hAnsi="仿宋" w:eastAsia="仿宋" w:cs="宋体"/>
                <w:b w:val="0"/>
                <w:bCs w:val="0"/>
                <w:snapToGrid w:val="0"/>
                <w:color w:val="auto"/>
                <w:kern w:val="0"/>
                <w:sz w:val="24"/>
                <w:highlight w:val="none"/>
                <w:lang w:val="en-US" w:eastAsia="zh-CN"/>
              </w:rPr>
              <w:t>鲁花</w:t>
            </w:r>
            <w:r>
              <w:rPr>
                <w:rFonts w:hint="eastAsia" w:ascii="仿宋" w:hAnsi="仿宋" w:eastAsia="仿宋" w:cs="宋体"/>
                <w:b w:val="0"/>
                <w:bCs w:val="0"/>
                <w:snapToGrid w:val="0"/>
                <w:color w:val="auto"/>
                <w:kern w:val="0"/>
                <w:sz w:val="24"/>
                <w:highlight w:val="none"/>
                <w:lang w:eastAsia="zh-CN"/>
              </w:rPr>
              <w:t>等同档次同品质品牌或更高档次及品牌</w:t>
            </w:r>
          </w:p>
        </w:tc>
      </w:tr>
      <w:tr w14:paraId="3D25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396" w:type="pct"/>
            <w:vAlign w:val="center"/>
          </w:tcPr>
          <w:p w14:paraId="46D64175">
            <w:pPr>
              <w:pageBreakBefore w:val="0"/>
              <w:kinsoku/>
              <w:wordWrap/>
              <w:overflowPunct/>
              <w:topLinePunct w:val="0"/>
              <w:bidi w:val="0"/>
              <w:snapToGrid w:val="0"/>
              <w:spacing w:line="240" w:lineRule="auto"/>
              <w:ind w:firstLine="0" w:firstLineChars="0"/>
              <w:jc w:val="center"/>
              <w:textAlignment w:val="auto"/>
              <w:rPr>
                <w:rFonts w:hint="eastAsia" w:ascii="仿宋" w:hAnsi="仿宋" w:eastAsia="仿宋" w:cs="宋体"/>
                <w:b w:val="0"/>
                <w:bCs w:val="0"/>
                <w:snapToGrid w:val="0"/>
                <w:color w:val="auto"/>
                <w:kern w:val="0"/>
                <w:sz w:val="24"/>
                <w:highlight w:val="none"/>
              </w:rPr>
            </w:pPr>
            <w:r>
              <w:rPr>
                <w:rFonts w:hint="eastAsia" w:ascii="仿宋" w:hAnsi="仿宋" w:eastAsia="仿宋" w:cs="宋体"/>
                <w:b w:val="0"/>
                <w:bCs w:val="0"/>
                <w:snapToGrid w:val="0"/>
                <w:color w:val="auto"/>
                <w:kern w:val="0"/>
                <w:sz w:val="24"/>
                <w:highlight w:val="none"/>
              </w:rPr>
              <w:t>2</w:t>
            </w:r>
          </w:p>
        </w:tc>
        <w:tc>
          <w:tcPr>
            <w:tcW w:w="1116" w:type="pct"/>
            <w:vAlign w:val="center"/>
          </w:tcPr>
          <w:p w14:paraId="5763296E">
            <w:pPr>
              <w:pageBreakBefore w:val="0"/>
              <w:kinsoku/>
              <w:wordWrap/>
              <w:overflowPunct/>
              <w:topLinePunct w:val="0"/>
              <w:bidi w:val="0"/>
              <w:snapToGrid w:val="0"/>
              <w:spacing w:line="240" w:lineRule="auto"/>
              <w:jc w:val="center"/>
              <w:textAlignment w:val="auto"/>
              <w:rPr>
                <w:rFonts w:hint="eastAsia" w:ascii="仿宋" w:hAnsi="仿宋" w:eastAsia="仿宋" w:cs="宋体"/>
                <w:b w:val="0"/>
                <w:bCs w:val="0"/>
                <w:snapToGrid w:val="0"/>
                <w:color w:val="auto"/>
                <w:kern w:val="0"/>
                <w:sz w:val="24"/>
                <w:highlight w:val="none"/>
                <w:lang w:val="en-US" w:eastAsia="zh-CN"/>
              </w:rPr>
            </w:pPr>
            <w:r>
              <w:rPr>
                <w:rFonts w:hint="eastAsia" w:ascii="仿宋" w:hAnsi="仿宋" w:eastAsia="仿宋" w:cs="宋体"/>
                <w:b w:val="0"/>
                <w:bCs w:val="0"/>
                <w:snapToGrid w:val="0"/>
                <w:color w:val="auto"/>
                <w:kern w:val="0"/>
                <w:sz w:val="24"/>
                <w:highlight w:val="none"/>
                <w:lang w:val="en-US" w:eastAsia="zh-CN"/>
              </w:rPr>
              <w:t>橄榄油/山茶油套餐</w:t>
            </w:r>
          </w:p>
        </w:tc>
        <w:tc>
          <w:tcPr>
            <w:tcW w:w="3486" w:type="pct"/>
            <w:vAlign w:val="center"/>
          </w:tcPr>
          <w:p w14:paraId="5E2D780B">
            <w:pPr>
              <w:pageBreakBefore w:val="0"/>
              <w:kinsoku/>
              <w:wordWrap/>
              <w:overflowPunct/>
              <w:topLinePunct w:val="0"/>
              <w:bidi w:val="0"/>
              <w:snapToGrid w:val="0"/>
              <w:spacing w:line="240" w:lineRule="auto"/>
              <w:jc w:val="left"/>
              <w:textAlignment w:val="auto"/>
              <w:rPr>
                <w:rFonts w:hint="eastAsia" w:ascii="仿宋" w:hAnsi="仿宋" w:eastAsia="仿宋" w:cs="宋体"/>
                <w:b w:val="0"/>
                <w:bCs w:val="0"/>
                <w:snapToGrid w:val="0"/>
                <w:color w:val="auto"/>
                <w:kern w:val="0"/>
                <w:sz w:val="24"/>
                <w:highlight w:val="none"/>
              </w:rPr>
            </w:pPr>
            <w:r>
              <w:rPr>
                <w:rFonts w:hint="eastAsia" w:ascii="仿宋" w:hAnsi="仿宋" w:eastAsia="仿宋" w:cs="宋体"/>
                <w:b w:val="0"/>
                <w:bCs w:val="0"/>
                <w:snapToGrid w:val="0"/>
                <w:color w:val="auto"/>
                <w:kern w:val="0"/>
                <w:sz w:val="24"/>
                <w:highlight w:val="none"/>
                <w:lang w:eastAsia="zh-CN"/>
              </w:rPr>
              <w:t>欧丽薇兰、</w:t>
            </w:r>
            <w:r>
              <w:rPr>
                <w:rFonts w:hint="eastAsia" w:ascii="仿宋" w:hAnsi="仿宋" w:eastAsia="仿宋" w:cs="宋体"/>
                <w:b w:val="0"/>
                <w:bCs w:val="0"/>
                <w:snapToGrid w:val="0"/>
                <w:color w:val="auto"/>
                <w:kern w:val="0"/>
                <w:sz w:val="24"/>
                <w:highlight w:val="none"/>
                <w:lang w:val="en-US" w:eastAsia="zh-CN"/>
              </w:rPr>
              <w:t>姚记、</w:t>
            </w:r>
            <w:r>
              <w:rPr>
                <w:rFonts w:hint="eastAsia" w:ascii="仿宋" w:hAnsi="仿宋" w:eastAsia="仿宋" w:cs="宋体"/>
                <w:b w:val="0"/>
                <w:bCs w:val="0"/>
                <w:snapToGrid w:val="0"/>
                <w:color w:val="auto"/>
                <w:kern w:val="0"/>
                <w:sz w:val="24"/>
                <w:highlight w:val="none"/>
                <w:lang w:eastAsia="zh-CN"/>
              </w:rPr>
              <w:fldChar w:fldCharType="begin"/>
            </w:r>
            <w:r>
              <w:rPr>
                <w:rFonts w:hint="eastAsia" w:ascii="仿宋" w:hAnsi="仿宋" w:eastAsia="仿宋" w:cs="宋体"/>
                <w:b w:val="0"/>
                <w:bCs w:val="0"/>
                <w:snapToGrid w:val="0"/>
                <w:color w:val="auto"/>
                <w:kern w:val="0"/>
                <w:sz w:val="24"/>
                <w:highlight w:val="none"/>
                <w:lang w:eastAsia="zh-CN"/>
              </w:rPr>
              <w:instrText xml:space="preserve"> HYPERLINK "https://s.taobao.com/search?q=%E7%B1%B3%E7%B3%A0%E6%B2%B9&amp;imgfile=&amp;js=1&amp;stats_click=search_radio_all:1&amp;initiative_id=staobaoz_20220702&amp;ie=utf8" \o "得乐康" </w:instrText>
            </w:r>
            <w:r>
              <w:rPr>
                <w:rFonts w:hint="eastAsia" w:ascii="仿宋" w:hAnsi="仿宋" w:eastAsia="仿宋" w:cs="宋体"/>
                <w:b w:val="0"/>
                <w:bCs w:val="0"/>
                <w:snapToGrid w:val="0"/>
                <w:color w:val="auto"/>
                <w:kern w:val="0"/>
                <w:sz w:val="24"/>
                <w:highlight w:val="none"/>
                <w:lang w:eastAsia="zh-CN"/>
              </w:rPr>
              <w:fldChar w:fldCharType="separate"/>
            </w:r>
            <w:r>
              <w:rPr>
                <w:rFonts w:hint="eastAsia" w:ascii="仿宋" w:hAnsi="仿宋" w:eastAsia="仿宋" w:cs="宋体"/>
                <w:b w:val="0"/>
                <w:bCs w:val="0"/>
                <w:snapToGrid w:val="0"/>
                <w:color w:val="auto"/>
                <w:kern w:val="0"/>
                <w:sz w:val="24"/>
                <w:highlight w:val="none"/>
                <w:lang w:eastAsia="zh-CN"/>
              </w:rPr>
              <w:t>得乐康</w:t>
            </w:r>
            <w:r>
              <w:rPr>
                <w:rFonts w:hint="eastAsia" w:ascii="仿宋" w:hAnsi="仿宋" w:eastAsia="仿宋" w:cs="宋体"/>
                <w:b w:val="0"/>
                <w:bCs w:val="0"/>
                <w:snapToGrid w:val="0"/>
                <w:color w:val="auto"/>
                <w:kern w:val="0"/>
                <w:sz w:val="24"/>
                <w:highlight w:val="none"/>
                <w:lang w:eastAsia="zh-CN"/>
              </w:rPr>
              <w:fldChar w:fldCharType="end"/>
            </w:r>
            <w:r>
              <w:rPr>
                <w:rFonts w:hint="eastAsia" w:ascii="仿宋" w:hAnsi="仿宋" w:eastAsia="仿宋" w:cs="宋体"/>
                <w:b w:val="0"/>
                <w:bCs w:val="0"/>
                <w:snapToGrid w:val="0"/>
                <w:color w:val="auto"/>
                <w:kern w:val="0"/>
                <w:sz w:val="24"/>
                <w:highlight w:val="none"/>
                <w:lang w:eastAsia="zh-CN"/>
              </w:rPr>
              <w:t>、</w:t>
            </w:r>
            <w:r>
              <w:rPr>
                <w:rFonts w:hint="eastAsia" w:ascii="仿宋" w:hAnsi="仿宋" w:eastAsia="仿宋" w:cs="宋体"/>
                <w:b w:val="0"/>
                <w:bCs w:val="0"/>
                <w:snapToGrid w:val="0"/>
                <w:color w:val="auto"/>
                <w:kern w:val="0"/>
                <w:sz w:val="24"/>
                <w:highlight w:val="none"/>
                <w:lang w:eastAsia="zh-CN"/>
              </w:rPr>
              <w:fldChar w:fldCharType="begin"/>
            </w:r>
            <w:r>
              <w:rPr>
                <w:rFonts w:hint="eastAsia" w:ascii="仿宋" w:hAnsi="仿宋" w:eastAsia="仿宋" w:cs="宋体"/>
                <w:b w:val="0"/>
                <w:bCs w:val="0"/>
                <w:snapToGrid w:val="0"/>
                <w:color w:val="auto"/>
                <w:kern w:val="0"/>
                <w:sz w:val="24"/>
                <w:highlight w:val="none"/>
                <w:lang w:eastAsia="zh-CN"/>
              </w:rPr>
              <w:instrText xml:space="preserve"> HYPERLINK "https://s.taobao.com/search?q=%E7%B1%B3%E7%B3%A0%E6%B2%B9&amp;imgfile=&amp;js=1&amp;stats_click=search_radio_all:1&amp;initiative_id=staobaoz_20220702&amp;ie=utf8" \o "金龙鱼" </w:instrText>
            </w:r>
            <w:r>
              <w:rPr>
                <w:rFonts w:hint="eastAsia" w:ascii="仿宋" w:hAnsi="仿宋" w:eastAsia="仿宋" w:cs="宋体"/>
                <w:b w:val="0"/>
                <w:bCs w:val="0"/>
                <w:snapToGrid w:val="0"/>
                <w:color w:val="auto"/>
                <w:kern w:val="0"/>
                <w:sz w:val="24"/>
                <w:highlight w:val="none"/>
                <w:lang w:eastAsia="zh-CN"/>
              </w:rPr>
              <w:fldChar w:fldCharType="separate"/>
            </w:r>
            <w:r>
              <w:rPr>
                <w:rFonts w:hint="eastAsia" w:ascii="仿宋" w:hAnsi="仿宋" w:eastAsia="仿宋" w:cs="宋体"/>
                <w:b w:val="0"/>
                <w:bCs w:val="0"/>
                <w:snapToGrid w:val="0"/>
                <w:color w:val="auto"/>
                <w:kern w:val="0"/>
                <w:sz w:val="24"/>
                <w:highlight w:val="none"/>
                <w:lang w:eastAsia="zh-CN"/>
              </w:rPr>
              <w:t>金龙鱼</w:t>
            </w:r>
            <w:r>
              <w:rPr>
                <w:rFonts w:hint="eastAsia" w:ascii="仿宋" w:hAnsi="仿宋" w:eastAsia="仿宋" w:cs="宋体"/>
                <w:b w:val="0"/>
                <w:bCs w:val="0"/>
                <w:snapToGrid w:val="0"/>
                <w:color w:val="auto"/>
                <w:kern w:val="0"/>
                <w:sz w:val="24"/>
                <w:highlight w:val="none"/>
                <w:lang w:eastAsia="zh-CN"/>
              </w:rPr>
              <w:fldChar w:fldCharType="end"/>
            </w:r>
            <w:r>
              <w:rPr>
                <w:rFonts w:hint="eastAsia" w:ascii="仿宋" w:hAnsi="仿宋" w:eastAsia="仿宋" w:cs="宋体"/>
                <w:b w:val="0"/>
                <w:bCs w:val="0"/>
                <w:snapToGrid w:val="0"/>
                <w:color w:val="auto"/>
                <w:kern w:val="0"/>
                <w:sz w:val="24"/>
                <w:highlight w:val="none"/>
                <w:lang w:eastAsia="zh-CN"/>
              </w:rPr>
              <w:t>、</w:t>
            </w:r>
            <w:r>
              <w:rPr>
                <w:rFonts w:hint="eastAsia" w:ascii="仿宋" w:hAnsi="仿宋" w:eastAsia="仿宋" w:cs="宋体"/>
                <w:b w:val="0"/>
                <w:bCs w:val="0"/>
                <w:snapToGrid w:val="0"/>
                <w:color w:val="auto"/>
                <w:kern w:val="0"/>
                <w:sz w:val="24"/>
                <w:highlight w:val="none"/>
                <w:lang w:val="en-US" w:eastAsia="zh-CN"/>
              </w:rPr>
              <w:t>鲁花</w:t>
            </w:r>
            <w:r>
              <w:rPr>
                <w:rFonts w:hint="eastAsia" w:ascii="仿宋" w:hAnsi="仿宋" w:eastAsia="仿宋" w:cs="宋体"/>
                <w:b w:val="0"/>
                <w:bCs w:val="0"/>
                <w:snapToGrid w:val="0"/>
                <w:color w:val="auto"/>
                <w:kern w:val="0"/>
                <w:sz w:val="24"/>
                <w:highlight w:val="none"/>
                <w:lang w:eastAsia="zh-CN"/>
              </w:rPr>
              <w:t>等同档次同品质品牌或更高档次及品牌</w:t>
            </w:r>
          </w:p>
        </w:tc>
      </w:tr>
      <w:tr w14:paraId="42CB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396" w:type="pct"/>
            <w:vAlign w:val="center"/>
          </w:tcPr>
          <w:p w14:paraId="5E720E82">
            <w:pPr>
              <w:pageBreakBefore w:val="0"/>
              <w:kinsoku/>
              <w:wordWrap/>
              <w:overflowPunct/>
              <w:topLinePunct w:val="0"/>
              <w:bidi w:val="0"/>
              <w:snapToGrid w:val="0"/>
              <w:spacing w:line="240" w:lineRule="auto"/>
              <w:ind w:firstLine="0" w:firstLineChars="0"/>
              <w:jc w:val="center"/>
              <w:textAlignment w:val="auto"/>
              <w:rPr>
                <w:rFonts w:hint="eastAsia" w:ascii="仿宋" w:hAnsi="仿宋" w:eastAsia="仿宋" w:cs="宋体"/>
                <w:b w:val="0"/>
                <w:bCs w:val="0"/>
                <w:snapToGrid w:val="0"/>
                <w:color w:val="auto"/>
                <w:kern w:val="0"/>
                <w:sz w:val="24"/>
                <w:highlight w:val="none"/>
              </w:rPr>
            </w:pPr>
            <w:r>
              <w:rPr>
                <w:rFonts w:hint="eastAsia" w:ascii="仿宋" w:hAnsi="仿宋" w:eastAsia="仿宋" w:cs="宋体"/>
                <w:b w:val="0"/>
                <w:bCs w:val="0"/>
                <w:snapToGrid w:val="0"/>
                <w:color w:val="auto"/>
                <w:kern w:val="0"/>
                <w:sz w:val="24"/>
                <w:highlight w:val="none"/>
              </w:rPr>
              <w:t>3</w:t>
            </w:r>
          </w:p>
        </w:tc>
        <w:tc>
          <w:tcPr>
            <w:tcW w:w="1116" w:type="pct"/>
            <w:vAlign w:val="center"/>
          </w:tcPr>
          <w:p w14:paraId="5EAD0F48">
            <w:pPr>
              <w:pageBreakBefore w:val="0"/>
              <w:kinsoku/>
              <w:wordWrap/>
              <w:overflowPunct/>
              <w:topLinePunct w:val="0"/>
              <w:bidi w:val="0"/>
              <w:snapToGrid w:val="0"/>
              <w:spacing w:line="240" w:lineRule="auto"/>
              <w:jc w:val="center"/>
              <w:textAlignment w:val="auto"/>
              <w:rPr>
                <w:rFonts w:hint="eastAsia" w:ascii="仿宋" w:hAnsi="仿宋" w:eastAsia="仿宋" w:cs="宋体"/>
                <w:b w:val="0"/>
                <w:bCs w:val="0"/>
                <w:snapToGrid w:val="0"/>
                <w:color w:val="auto"/>
                <w:kern w:val="0"/>
                <w:sz w:val="24"/>
                <w:highlight w:val="none"/>
                <w:lang w:val="en-US" w:eastAsia="zh-CN"/>
              </w:rPr>
            </w:pPr>
            <w:r>
              <w:rPr>
                <w:rFonts w:hint="eastAsia" w:ascii="仿宋" w:hAnsi="仿宋" w:eastAsia="仿宋" w:cs="宋体"/>
                <w:b w:val="0"/>
                <w:bCs w:val="0"/>
                <w:snapToGrid w:val="0"/>
                <w:color w:val="auto"/>
                <w:kern w:val="0"/>
                <w:sz w:val="24"/>
                <w:highlight w:val="none"/>
                <w:lang w:val="en-US" w:eastAsia="zh-CN"/>
              </w:rPr>
              <w:t>日用品套餐</w:t>
            </w:r>
          </w:p>
        </w:tc>
        <w:tc>
          <w:tcPr>
            <w:tcW w:w="3486" w:type="pct"/>
            <w:vAlign w:val="center"/>
          </w:tcPr>
          <w:p w14:paraId="2CF803FD">
            <w:pPr>
              <w:pageBreakBefore w:val="0"/>
              <w:kinsoku/>
              <w:wordWrap/>
              <w:overflowPunct/>
              <w:topLinePunct w:val="0"/>
              <w:bidi w:val="0"/>
              <w:snapToGrid w:val="0"/>
              <w:spacing w:line="240" w:lineRule="auto"/>
              <w:jc w:val="left"/>
              <w:textAlignment w:val="auto"/>
              <w:rPr>
                <w:rFonts w:hint="eastAsia" w:ascii="仿宋" w:hAnsi="仿宋" w:eastAsia="仿宋" w:cs="宋体"/>
                <w:b w:val="0"/>
                <w:bCs w:val="0"/>
                <w:snapToGrid w:val="0"/>
                <w:color w:val="auto"/>
                <w:kern w:val="0"/>
                <w:sz w:val="24"/>
                <w:highlight w:val="none"/>
                <w:lang w:val="en-US" w:eastAsia="zh-CN"/>
              </w:rPr>
            </w:pPr>
            <w:r>
              <w:rPr>
                <w:rFonts w:hint="eastAsia" w:ascii="仿宋" w:hAnsi="仿宋" w:eastAsia="仿宋" w:cs="宋体"/>
                <w:b w:val="0"/>
                <w:bCs w:val="0"/>
                <w:snapToGrid w:val="0"/>
                <w:color w:val="auto"/>
                <w:kern w:val="0"/>
                <w:sz w:val="24"/>
                <w:highlight w:val="none"/>
                <w:lang w:val="en-US" w:eastAsia="zh-CN"/>
              </w:rPr>
              <w:t>资生堂、潘婷、海飞丝、舒肤佳、多芬、力士等</w:t>
            </w:r>
            <w:r>
              <w:rPr>
                <w:rFonts w:hint="eastAsia" w:ascii="仿宋" w:hAnsi="仿宋" w:eastAsia="仿宋" w:cs="宋体"/>
                <w:b w:val="0"/>
                <w:bCs w:val="0"/>
                <w:snapToGrid w:val="0"/>
                <w:color w:val="auto"/>
                <w:kern w:val="0"/>
                <w:sz w:val="24"/>
                <w:highlight w:val="none"/>
                <w:lang w:eastAsia="zh-CN"/>
              </w:rPr>
              <w:t>同档次同品质品牌或更高档次及品牌</w:t>
            </w:r>
            <w:r>
              <w:rPr>
                <w:rFonts w:hint="eastAsia" w:ascii="仿宋" w:hAnsi="仿宋" w:eastAsia="仿宋" w:cs="宋体"/>
                <w:b w:val="0"/>
                <w:bCs w:val="0"/>
                <w:snapToGrid w:val="0"/>
                <w:color w:val="auto"/>
                <w:kern w:val="0"/>
                <w:sz w:val="24"/>
                <w:highlight w:val="none"/>
                <w:lang w:val="en-US" w:eastAsia="zh-CN"/>
              </w:rPr>
              <w:t>，自行组合</w:t>
            </w:r>
          </w:p>
        </w:tc>
      </w:tr>
      <w:tr w14:paraId="1674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396" w:type="pct"/>
            <w:vAlign w:val="center"/>
          </w:tcPr>
          <w:p w14:paraId="10BE4DDA">
            <w:pPr>
              <w:pageBreakBefore w:val="0"/>
              <w:kinsoku/>
              <w:wordWrap/>
              <w:overflowPunct/>
              <w:topLinePunct w:val="0"/>
              <w:bidi w:val="0"/>
              <w:snapToGrid w:val="0"/>
              <w:spacing w:line="240" w:lineRule="auto"/>
              <w:ind w:firstLine="0" w:firstLineChars="0"/>
              <w:jc w:val="center"/>
              <w:textAlignment w:val="auto"/>
              <w:rPr>
                <w:rFonts w:hint="eastAsia" w:ascii="仿宋" w:hAnsi="仿宋" w:eastAsia="仿宋" w:cs="宋体"/>
                <w:b w:val="0"/>
                <w:bCs w:val="0"/>
                <w:snapToGrid w:val="0"/>
                <w:color w:val="auto"/>
                <w:kern w:val="0"/>
                <w:sz w:val="24"/>
                <w:highlight w:val="none"/>
              </w:rPr>
            </w:pPr>
            <w:r>
              <w:rPr>
                <w:rFonts w:hint="eastAsia" w:ascii="仿宋" w:hAnsi="仿宋" w:eastAsia="仿宋" w:cs="宋体"/>
                <w:b w:val="0"/>
                <w:bCs w:val="0"/>
                <w:snapToGrid w:val="0"/>
                <w:color w:val="auto"/>
                <w:kern w:val="0"/>
                <w:sz w:val="24"/>
                <w:highlight w:val="none"/>
              </w:rPr>
              <w:t>4</w:t>
            </w:r>
          </w:p>
        </w:tc>
        <w:tc>
          <w:tcPr>
            <w:tcW w:w="1116" w:type="pct"/>
            <w:vAlign w:val="center"/>
          </w:tcPr>
          <w:p w14:paraId="35114F17">
            <w:pPr>
              <w:pageBreakBefore w:val="0"/>
              <w:kinsoku/>
              <w:wordWrap/>
              <w:overflowPunct/>
              <w:topLinePunct w:val="0"/>
              <w:bidi w:val="0"/>
              <w:snapToGrid w:val="0"/>
              <w:spacing w:line="240" w:lineRule="auto"/>
              <w:jc w:val="center"/>
              <w:textAlignment w:val="auto"/>
              <w:rPr>
                <w:rFonts w:hint="eastAsia" w:ascii="仿宋" w:hAnsi="仿宋" w:eastAsia="仿宋" w:cs="宋体"/>
                <w:b w:val="0"/>
                <w:bCs w:val="0"/>
                <w:snapToGrid w:val="0"/>
                <w:color w:val="auto"/>
                <w:kern w:val="0"/>
                <w:sz w:val="24"/>
                <w:highlight w:val="none"/>
                <w:lang w:val="en-US" w:eastAsia="zh-CN"/>
              </w:rPr>
            </w:pPr>
            <w:r>
              <w:rPr>
                <w:rFonts w:hint="eastAsia" w:ascii="仿宋" w:hAnsi="仿宋" w:eastAsia="仿宋" w:cs="宋体"/>
                <w:b w:val="0"/>
                <w:bCs w:val="0"/>
                <w:snapToGrid w:val="0"/>
                <w:color w:val="auto"/>
                <w:kern w:val="0"/>
                <w:sz w:val="24"/>
                <w:highlight w:val="none"/>
                <w:lang w:val="en-US" w:eastAsia="zh-CN"/>
              </w:rPr>
              <w:t>毛巾、牙膏、肥皂、洗浴用品套餐</w:t>
            </w:r>
          </w:p>
        </w:tc>
        <w:tc>
          <w:tcPr>
            <w:tcW w:w="3486" w:type="pct"/>
            <w:vAlign w:val="center"/>
          </w:tcPr>
          <w:p w14:paraId="187C3095">
            <w:pPr>
              <w:pageBreakBefore w:val="0"/>
              <w:kinsoku/>
              <w:wordWrap/>
              <w:overflowPunct/>
              <w:topLinePunct w:val="0"/>
              <w:bidi w:val="0"/>
              <w:snapToGrid w:val="0"/>
              <w:spacing w:line="240" w:lineRule="auto"/>
              <w:jc w:val="left"/>
              <w:textAlignment w:val="auto"/>
              <w:rPr>
                <w:rFonts w:hint="eastAsia" w:ascii="仿宋" w:hAnsi="仿宋" w:eastAsia="仿宋" w:cs="宋体"/>
                <w:b w:val="0"/>
                <w:bCs w:val="0"/>
                <w:snapToGrid w:val="0"/>
                <w:color w:val="auto"/>
                <w:kern w:val="0"/>
                <w:sz w:val="24"/>
                <w:highlight w:val="none"/>
                <w:lang w:val="en-US" w:eastAsia="zh-CN"/>
              </w:rPr>
            </w:pPr>
            <w:r>
              <w:rPr>
                <w:rFonts w:hint="eastAsia" w:ascii="仿宋" w:hAnsi="仿宋" w:eastAsia="仿宋" w:cs="宋体"/>
                <w:b w:val="0"/>
                <w:bCs w:val="0"/>
                <w:snapToGrid w:val="0"/>
                <w:color w:val="auto"/>
                <w:kern w:val="0"/>
                <w:sz w:val="24"/>
                <w:highlight w:val="none"/>
                <w:lang w:val="en-US" w:eastAsia="zh-CN"/>
              </w:rPr>
              <w:t>毛巾：洁丽雅、三利、金号</w:t>
            </w:r>
            <w:r>
              <w:rPr>
                <w:rFonts w:hint="eastAsia" w:ascii="仿宋" w:hAnsi="仿宋" w:eastAsia="仿宋" w:cs="宋体"/>
                <w:b w:val="0"/>
                <w:bCs w:val="0"/>
                <w:snapToGrid w:val="0"/>
                <w:color w:val="auto"/>
                <w:kern w:val="0"/>
                <w:sz w:val="24"/>
                <w:highlight w:val="none"/>
                <w:lang w:eastAsia="zh-CN"/>
              </w:rPr>
              <w:t>等同档次同品质品牌或更高档次及品牌</w:t>
            </w:r>
          </w:p>
          <w:p w14:paraId="38C9DB92">
            <w:pPr>
              <w:pageBreakBefore w:val="0"/>
              <w:kinsoku/>
              <w:wordWrap/>
              <w:overflowPunct/>
              <w:topLinePunct w:val="0"/>
              <w:bidi w:val="0"/>
              <w:snapToGrid w:val="0"/>
              <w:spacing w:line="240" w:lineRule="auto"/>
              <w:jc w:val="left"/>
              <w:textAlignment w:val="auto"/>
              <w:rPr>
                <w:rFonts w:hint="eastAsia" w:ascii="仿宋" w:hAnsi="仿宋" w:eastAsia="仿宋" w:cs="宋体"/>
                <w:b w:val="0"/>
                <w:bCs w:val="0"/>
                <w:snapToGrid w:val="0"/>
                <w:color w:val="auto"/>
                <w:kern w:val="0"/>
                <w:sz w:val="24"/>
                <w:highlight w:val="none"/>
                <w:lang w:val="en-US" w:eastAsia="zh-CN"/>
              </w:rPr>
            </w:pPr>
            <w:r>
              <w:rPr>
                <w:rFonts w:hint="eastAsia" w:ascii="仿宋" w:hAnsi="仿宋" w:eastAsia="仿宋" w:cs="宋体"/>
                <w:b w:val="0"/>
                <w:bCs w:val="0"/>
                <w:snapToGrid w:val="0"/>
                <w:color w:val="auto"/>
                <w:kern w:val="0"/>
                <w:sz w:val="24"/>
                <w:highlight w:val="none"/>
                <w:lang w:val="en-US" w:eastAsia="zh-CN"/>
              </w:rPr>
              <w:t>牙膏：云南白药、佳洁士、黑人、高露洁</w:t>
            </w:r>
            <w:r>
              <w:rPr>
                <w:rFonts w:hint="eastAsia" w:ascii="仿宋" w:hAnsi="仿宋" w:eastAsia="仿宋" w:cs="宋体"/>
                <w:b w:val="0"/>
                <w:bCs w:val="0"/>
                <w:snapToGrid w:val="0"/>
                <w:color w:val="auto"/>
                <w:kern w:val="0"/>
                <w:sz w:val="24"/>
                <w:highlight w:val="none"/>
                <w:lang w:eastAsia="zh-CN"/>
              </w:rPr>
              <w:t>等同档次同品质品牌或更高档次及品牌</w:t>
            </w:r>
          </w:p>
          <w:p w14:paraId="6C881D58">
            <w:pPr>
              <w:pageBreakBefore w:val="0"/>
              <w:kinsoku/>
              <w:wordWrap/>
              <w:overflowPunct/>
              <w:topLinePunct w:val="0"/>
              <w:bidi w:val="0"/>
              <w:snapToGrid w:val="0"/>
              <w:spacing w:line="240" w:lineRule="auto"/>
              <w:jc w:val="left"/>
              <w:textAlignment w:val="auto"/>
              <w:rPr>
                <w:rFonts w:hint="eastAsia" w:ascii="仿宋" w:hAnsi="仿宋" w:eastAsia="仿宋" w:cs="宋体"/>
                <w:b w:val="0"/>
                <w:bCs w:val="0"/>
                <w:snapToGrid w:val="0"/>
                <w:color w:val="auto"/>
                <w:kern w:val="0"/>
                <w:sz w:val="24"/>
                <w:highlight w:val="none"/>
                <w:lang w:val="en-US" w:eastAsia="zh-CN"/>
              </w:rPr>
            </w:pPr>
            <w:r>
              <w:rPr>
                <w:rFonts w:hint="eastAsia" w:ascii="仿宋" w:hAnsi="仿宋" w:eastAsia="仿宋" w:cs="宋体"/>
                <w:b w:val="0"/>
                <w:bCs w:val="0"/>
                <w:snapToGrid w:val="0"/>
                <w:color w:val="auto"/>
                <w:kern w:val="0"/>
                <w:sz w:val="24"/>
                <w:highlight w:val="none"/>
                <w:lang w:val="en-US" w:eastAsia="zh-CN"/>
              </w:rPr>
              <w:t>肥皂：雕牌、立白、超能</w:t>
            </w:r>
            <w:r>
              <w:rPr>
                <w:rFonts w:hint="eastAsia" w:ascii="仿宋" w:hAnsi="仿宋" w:eastAsia="仿宋" w:cs="宋体"/>
                <w:b w:val="0"/>
                <w:bCs w:val="0"/>
                <w:snapToGrid w:val="0"/>
                <w:color w:val="auto"/>
                <w:kern w:val="0"/>
                <w:sz w:val="24"/>
                <w:highlight w:val="none"/>
                <w:lang w:eastAsia="zh-CN"/>
              </w:rPr>
              <w:t>等同档次同品质品牌或更高档次及品牌</w:t>
            </w:r>
          </w:p>
          <w:p w14:paraId="78EC40F2">
            <w:pPr>
              <w:pageBreakBefore w:val="0"/>
              <w:kinsoku/>
              <w:wordWrap/>
              <w:overflowPunct/>
              <w:topLinePunct w:val="0"/>
              <w:bidi w:val="0"/>
              <w:snapToGrid w:val="0"/>
              <w:spacing w:line="240" w:lineRule="auto"/>
              <w:jc w:val="left"/>
              <w:textAlignment w:val="auto"/>
              <w:rPr>
                <w:rFonts w:hint="eastAsia" w:ascii="仿宋" w:hAnsi="仿宋" w:eastAsia="仿宋" w:cs="宋体"/>
                <w:b w:val="0"/>
                <w:bCs w:val="0"/>
                <w:snapToGrid w:val="0"/>
                <w:color w:val="auto"/>
                <w:kern w:val="0"/>
                <w:sz w:val="24"/>
                <w:highlight w:val="none"/>
                <w:lang w:val="en-US" w:eastAsia="zh-CN"/>
              </w:rPr>
            </w:pPr>
            <w:r>
              <w:rPr>
                <w:rFonts w:hint="eastAsia" w:ascii="仿宋" w:hAnsi="仿宋" w:eastAsia="仿宋" w:cs="宋体"/>
                <w:b w:val="0"/>
                <w:bCs w:val="0"/>
                <w:snapToGrid w:val="0"/>
                <w:color w:val="auto"/>
                <w:kern w:val="0"/>
                <w:sz w:val="24"/>
                <w:highlight w:val="none"/>
                <w:lang w:val="en-US" w:eastAsia="zh-CN"/>
              </w:rPr>
              <w:t>洗浴用品：资生堂、潘婷、海飞丝、舒肤佳、多芬、力士等</w:t>
            </w:r>
            <w:r>
              <w:rPr>
                <w:rFonts w:hint="eastAsia" w:ascii="仿宋" w:hAnsi="仿宋" w:eastAsia="仿宋" w:cs="宋体"/>
                <w:b w:val="0"/>
                <w:bCs w:val="0"/>
                <w:snapToGrid w:val="0"/>
                <w:color w:val="auto"/>
                <w:kern w:val="0"/>
                <w:sz w:val="24"/>
                <w:highlight w:val="none"/>
                <w:lang w:eastAsia="zh-CN"/>
              </w:rPr>
              <w:t>同档次同品质品牌或更高档次及品牌</w:t>
            </w:r>
          </w:p>
        </w:tc>
      </w:tr>
      <w:tr w14:paraId="5BC1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396" w:type="pct"/>
            <w:vAlign w:val="center"/>
          </w:tcPr>
          <w:p w14:paraId="668770B7">
            <w:pPr>
              <w:pageBreakBefore w:val="0"/>
              <w:kinsoku/>
              <w:wordWrap/>
              <w:overflowPunct/>
              <w:topLinePunct w:val="0"/>
              <w:bidi w:val="0"/>
              <w:snapToGrid w:val="0"/>
              <w:spacing w:line="240" w:lineRule="auto"/>
              <w:ind w:firstLine="0" w:firstLineChars="0"/>
              <w:jc w:val="center"/>
              <w:textAlignment w:val="auto"/>
              <w:rPr>
                <w:rFonts w:hint="eastAsia" w:ascii="仿宋" w:hAnsi="仿宋" w:eastAsia="仿宋" w:cs="宋体"/>
                <w:b w:val="0"/>
                <w:bCs w:val="0"/>
                <w:snapToGrid w:val="0"/>
                <w:color w:val="auto"/>
                <w:kern w:val="0"/>
                <w:sz w:val="24"/>
                <w:highlight w:val="none"/>
                <w:lang w:val="en-US" w:eastAsia="zh-CN"/>
              </w:rPr>
            </w:pPr>
            <w:r>
              <w:rPr>
                <w:rFonts w:hint="eastAsia" w:ascii="仿宋" w:hAnsi="仿宋" w:eastAsia="仿宋" w:cs="宋体"/>
                <w:b w:val="0"/>
                <w:bCs w:val="0"/>
                <w:snapToGrid w:val="0"/>
                <w:color w:val="auto"/>
                <w:kern w:val="0"/>
                <w:sz w:val="24"/>
                <w:highlight w:val="none"/>
                <w:lang w:val="en-US" w:eastAsia="zh-CN"/>
              </w:rPr>
              <w:t>5</w:t>
            </w:r>
          </w:p>
        </w:tc>
        <w:tc>
          <w:tcPr>
            <w:tcW w:w="1116" w:type="pct"/>
            <w:vAlign w:val="center"/>
          </w:tcPr>
          <w:p w14:paraId="361D539B">
            <w:pPr>
              <w:pageBreakBefore w:val="0"/>
              <w:kinsoku/>
              <w:wordWrap/>
              <w:overflowPunct/>
              <w:topLinePunct w:val="0"/>
              <w:bidi w:val="0"/>
              <w:snapToGrid w:val="0"/>
              <w:spacing w:line="240" w:lineRule="auto"/>
              <w:jc w:val="center"/>
              <w:textAlignment w:val="auto"/>
              <w:rPr>
                <w:rFonts w:hint="eastAsia" w:ascii="仿宋" w:hAnsi="仿宋" w:eastAsia="仿宋" w:cs="宋体"/>
                <w:b w:val="0"/>
                <w:bCs w:val="0"/>
                <w:snapToGrid w:val="0"/>
                <w:color w:val="auto"/>
                <w:kern w:val="0"/>
                <w:sz w:val="24"/>
                <w:highlight w:val="none"/>
                <w:lang w:val="en-US" w:eastAsia="zh-CN"/>
              </w:rPr>
            </w:pPr>
            <w:r>
              <w:rPr>
                <w:rFonts w:hint="eastAsia" w:ascii="仿宋" w:hAnsi="仿宋" w:eastAsia="仿宋" w:cs="宋体"/>
                <w:b w:val="0"/>
                <w:bCs w:val="0"/>
                <w:snapToGrid w:val="0"/>
                <w:color w:val="auto"/>
                <w:kern w:val="0"/>
                <w:sz w:val="24"/>
                <w:highlight w:val="none"/>
              </w:rPr>
              <w:t>杂粮套餐</w:t>
            </w:r>
          </w:p>
        </w:tc>
        <w:tc>
          <w:tcPr>
            <w:tcW w:w="3486" w:type="pct"/>
            <w:vAlign w:val="center"/>
          </w:tcPr>
          <w:p w14:paraId="4EA77890">
            <w:pPr>
              <w:pageBreakBefore w:val="0"/>
              <w:kinsoku/>
              <w:wordWrap/>
              <w:overflowPunct/>
              <w:topLinePunct w:val="0"/>
              <w:bidi w:val="0"/>
              <w:snapToGrid w:val="0"/>
              <w:spacing w:line="240" w:lineRule="auto"/>
              <w:jc w:val="left"/>
              <w:textAlignment w:val="auto"/>
              <w:rPr>
                <w:rFonts w:hint="eastAsia" w:ascii="仿宋" w:hAnsi="仿宋" w:eastAsia="仿宋" w:cs="宋体"/>
                <w:b w:val="0"/>
                <w:bCs w:val="0"/>
                <w:snapToGrid w:val="0"/>
                <w:color w:val="auto"/>
                <w:kern w:val="0"/>
                <w:sz w:val="24"/>
                <w:highlight w:val="none"/>
                <w:lang w:val="en-US" w:eastAsia="zh-CN"/>
              </w:rPr>
            </w:pPr>
            <w:r>
              <w:rPr>
                <w:rFonts w:hint="eastAsia" w:ascii="仿宋" w:hAnsi="仿宋" w:eastAsia="仿宋" w:cs="宋体"/>
                <w:b w:val="0"/>
                <w:bCs w:val="0"/>
                <w:snapToGrid w:val="0"/>
                <w:color w:val="auto"/>
                <w:kern w:val="0"/>
                <w:sz w:val="24"/>
                <w:highlight w:val="none"/>
                <w:lang w:val="en-US" w:eastAsia="zh-CN"/>
              </w:rPr>
              <w:t>燕之坊、北大荒、塞翁福等</w:t>
            </w:r>
            <w:r>
              <w:rPr>
                <w:rFonts w:hint="eastAsia" w:ascii="仿宋" w:hAnsi="仿宋" w:eastAsia="仿宋" w:cs="宋体"/>
                <w:b w:val="0"/>
                <w:bCs w:val="0"/>
                <w:snapToGrid w:val="0"/>
                <w:color w:val="auto"/>
                <w:kern w:val="0"/>
                <w:sz w:val="24"/>
                <w:highlight w:val="none"/>
                <w:lang w:eastAsia="zh-CN"/>
              </w:rPr>
              <w:t>同档次同品质品牌或更高档次及品牌</w:t>
            </w:r>
          </w:p>
        </w:tc>
      </w:tr>
      <w:tr w14:paraId="70F2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396" w:type="pct"/>
            <w:vAlign w:val="center"/>
          </w:tcPr>
          <w:p w14:paraId="6F96BFCB">
            <w:pPr>
              <w:pageBreakBefore w:val="0"/>
              <w:kinsoku/>
              <w:wordWrap/>
              <w:overflowPunct/>
              <w:topLinePunct w:val="0"/>
              <w:bidi w:val="0"/>
              <w:snapToGrid w:val="0"/>
              <w:spacing w:line="240" w:lineRule="auto"/>
              <w:ind w:firstLine="0" w:firstLineChars="0"/>
              <w:jc w:val="center"/>
              <w:textAlignment w:val="auto"/>
              <w:rPr>
                <w:rFonts w:hint="eastAsia" w:ascii="仿宋" w:hAnsi="仿宋" w:eastAsia="仿宋" w:cs="宋体"/>
                <w:b w:val="0"/>
                <w:bCs w:val="0"/>
                <w:snapToGrid w:val="0"/>
                <w:color w:val="auto"/>
                <w:kern w:val="0"/>
                <w:sz w:val="24"/>
                <w:highlight w:val="none"/>
                <w:lang w:val="en-US" w:eastAsia="zh-CN"/>
              </w:rPr>
            </w:pPr>
            <w:r>
              <w:rPr>
                <w:rFonts w:hint="eastAsia" w:ascii="仿宋" w:hAnsi="仿宋" w:eastAsia="仿宋" w:cs="宋体"/>
                <w:b w:val="0"/>
                <w:bCs w:val="0"/>
                <w:snapToGrid w:val="0"/>
                <w:color w:val="auto"/>
                <w:kern w:val="0"/>
                <w:sz w:val="24"/>
                <w:highlight w:val="none"/>
                <w:lang w:val="en-US" w:eastAsia="zh-CN"/>
              </w:rPr>
              <w:t>6</w:t>
            </w:r>
          </w:p>
        </w:tc>
        <w:tc>
          <w:tcPr>
            <w:tcW w:w="1116" w:type="pct"/>
            <w:vAlign w:val="center"/>
          </w:tcPr>
          <w:p w14:paraId="4D084477">
            <w:pPr>
              <w:pageBreakBefore w:val="0"/>
              <w:kinsoku/>
              <w:wordWrap/>
              <w:overflowPunct/>
              <w:topLinePunct w:val="0"/>
              <w:bidi w:val="0"/>
              <w:snapToGrid w:val="0"/>
              <w:spacing w:line="240" w:lineRule="auto"/>
              <w:jc w:val="center"/>
              <w:textAlignment w:val="auto"/>
              <w:rPr>
                <w:rFonts w:hint="eastAsia" w:ascii="仿宋" w:hAnsi="仿宋" w:eastAsia="仿宋" w:cs="宋体"/>
                <w:b w:val="0"/>
                <w:bCs w:val="0"/>
                <w:snapToGrid w:val="0"/>
                <w:color w:val="auto"/>
                <w:kern w:val="0"/>
                <w:sz w:val="24"/>
                <w:highlight w:val="none"/>
              </w:rPr>
            </w:pPr>
            <w:r>
              <w:rPr>
                <w:rFonts w:hint="eastAsia" w:ascii="仿宋" w:hAnsi="仿宋" w:eastAsia="仿宋" w:cs="宋体"/>
                <w:b w:val="0"/>
                <w:bCs w:val="0"/>
                <w:snapToGrid w:val="0"/>
                <w:color w:val="auto"/>
                <w:kern w:val="0"/>
                <w:sz w:val="24"/>
                <w:highlight w:val="none"/>
              </w:rPr>
              <w:t>油+日化用品的套餐</w:t>
            </w:r>
          </w:p>
        </w:tc>
        <w:tc>
          <w:tcPr>
            <w:tcW w:w="3486" w:type="pct"/>
            <w:vAlign w:val="center"/>
          </w:tcPr>
          <w:p w14:paraId="71ED7E30">
            <w:pPr>
              <w:pageBreakBefore w:val="0"/>
              <w:kinsoku/>
              <w:wordWrap/>
              <w:overflowPunct/>
              <w:topLinePunct w:val="0"/>
              <w:bidi w:val="0"/>
              <w:snapToGrid w:val="0"/>
              <w:spacing w:line="240" w:lineRule="auto"/>
              <w:jc w:val="left"/>
              <w:textAlignment w:val="auto"/>
              <w:rPr>
                <w:rFonts w:hint="eastAsia" w:ascii="仿宋" w:hAnsi="仿宋" w:eastAsia="仿宋" w:cs="宋体"/>
                <w:b w:val="0"/>
                <w:bCs w:val="0"/>
                <w:snapToGrid w:val="0"/>
                <w:color w:val="auto"/>
                <w:kern w:val="0"/>
                <w:sz w:val="24"/>
                <w:highlight w:val="none"/>
                <w:lang w:eastAsia="zh-CN"/>
              </w:rPr>
            </w:pPr>
            <w:r>
              <w:rPr>
                <w:rFonts w:hint="eastAsia" w:ascii="仿宋" w:hAnsi="仿宋" w:eastAsia="仿宋" w:cs="宋体"/>
                <w:b w:val="0"/>
                <w:bCs w:val="0"/>
                <w:snapToGrid w:val="0"/>
                <w:color w:val="auto"/>
                <w:kern w:val="0"/>
                <w:sz w:val="24"/>
                <w:highlight w:val="none"/>
                <w:lang w:val="en-US" w:eastAsia="zh-CN"/>
              </w:rPr>
              <w:t>油：</w:t>
            </w:r>
            <w:r>
              <w:rPr>
                <w:rFonts w:hint="eastAsia" w:ascii="仿宋" w:hAnsi="仿宋" w:eastAsia="仿宋" w:cs="宋体"/>
                <w:b w:val="0"/>
                <w:bCs w:val="0"/>
                <w:snapToGrid w:val="0"/>
                <w:color w:val="auto"/>
                <w:kern w:val="0"/>
                <w:sz w:val="24"/>
                <w:highlight w:val="none"/>
                <w:lang w:eastAsia="zh-CN"/>
              </w:rPr>
              <w:fldChar w:fldCharType="begin"/>
            </w:r>
            <w:r>
              <w:rPr>
                <w:rFonts w:hint="eastAsia" w:ascii="仿宋" w:hAnsi="仿宋" w:eastAsia="仿宋" w:cs="宋体"/>
                <w:b w:val="0"/>
                <w:bCs w:val="0"/>
                <w:snapToGrid w:val="0"/>
                <w:color w:val="auto"/>
                <w:kern w:val="0"/>
                <w:sz w:val="24"/>
                <w:highlight w:val="none"/>
                <w:lang w:eastAsia="zh-CN"/>
              </w:rPr>
              <w:instrText xml:space="preserve"> HYPERLINK "https://s.taobao.com/search?q=%E7%B1%B3%E7%B3%A0%E6%B2%B9&amp;imgfile=&amp;js=1&amp;stats_click=search_radio_all:1&amp;initiative_id=staobaoz_20220702&amp;ie=utf8" \o "得乐康" </w:instrText>
            </w:r>
            <w:r>
              <w:rPr>
                <w:rFonts w:hint="eastAsia" w:ascii="仿宋" w:hAnsi="仿宋" w:eastAsia="仿宋" w:cs="宋体"/>
                <w:b w:val="0"/>
                <w:bCs w:val="0"/>
                <w:snapToGrid w:val="0"/>
                <w:color w:val="auto"/>
                <w:kern w:val="0"/>
                <w:sz w:val="24"/>
                <w:highlight w:val="none"/>
                <w:lang w:eastAsia="zh-CN"/>
              </w:rPr>
              <w:fldChar w:fldCharType="separate"/>
            </w:r>
            <w:r>
              <w:rPr>
                <w:rFonts w:hint="eastAsia" w:ascii="仿宋" w:hAnsi="仿宋" w:eastAsia="仿宋" w:cs="宋体"/>
                <w:b w:val="0"/>
                <w:bCs w:val="0"/>
                <w:snapToGrid w:val="0"/>
                <w:color w:val="auto"/>
                <w:kern w:val="0"/>
                <w:sz w:val="24"/>
                <w:highlight w:val="none"/>
                <w:lang w:eastAsia="zh-CN"/>
              </w:rPr>
              <w:t>得乐康</w:t>
            </w:r>
            <w:r>
              <w:rPr>
                <w:rFonts w:hint="eastAsia" w:ascii="仿宋" w:hAnsi="仿宋" w:eastAsia="仿宋" w:cs="宋体"/>
                <w:b w:val="0"/>
                <w:bCs w:val="0"/>
                <w:snapToGrid w:val="0"/>
                <w:color w:val="auto"/>
                <w:kern w:val="0"/>
                <w:sz w:val="24"/>
                <w:highlight w:val="none"/>
                <w:lang w:eastAsia="zh-CN"/>
              </w:rPr>
              <w:fldChar w:fldCharType="end"/>
            </w:r>
            <w:r>
              <w:rPr>
                <w:rFonts w:hint="eastAsia" w:ascii="仿宋" w:hAnsi="仿宋" w:eastAsia="仿宋" w:cs="宋体"/>
                <w:b w:val="0"/>
                <w:bCs w:val="0"/>
                <w:snapToGrid w:val="0"/>
                <w:color w:val="auto"/>
                <w:kern w:val="0"/>
                <w:sz w:val="24"/>
                <w:highlight w:val="none"/>
                <w:lang w:eastAsia="zh-CN"/>
              </w:rPr>
              <w:t>、</w:t>
            </w:r>
            <w:r>
              <w:rPr>
                <w:rFonts w:hint="eastAsia" w:ascii="仿宋" w:hAnsi="仿宋" w:eastAsia="仿宋" w:cs="宋体"/>
                <w:b w:val="0"/>
                <w:bCs w:val="0"/>
                <w:snapToGrid w:val="0"/>
                <w:color w:val="auto"/>
                <w:kern w:val="0"/>
                <w:sz w:val="24"/>
                <w:highlight w:val="none"/>
                <w:lang w:eastAsia="zh-CN"/>
              </w:rPr>
              <w:fldChar w:fldCharType="begin"/>
            </w:r>
            <w:r>
              <w:rPr>
                <w:rFonts w:hint="eastAsia" w:ascii="仿宋" w:hAnsi="仿宋" w:eastAsia="仿宋" w:cs="宋体"/>
                <w:b w:val="0"/>
                <w:bCs w:val="0"/>
                <w:snapToGrid w:val="0"/>
                <w:color w:val="auto"/>
                <w:kern w:val="0"/>
                <w:sz w:val="24"/>
                <w:highlight w:val="none"/>
                <w:lang w:eastAsia="zh-CN"/>
              </w:rPr>
              <w:instrText xml:space="preserve"> HYPERLINK "https://s.taobao.com/search?q=%E7%B1%B3%E7%B3%A0%E6%B2%B9&amp;imgfile=&amp;js=1&amp;stats_click=search_radio_all:1&amp;initiative_id=staobaoz_20220702&amp;ie=utf8" \o "金龙鱼" </w:instrText>
            </w:r>
            <w:r>
              <w:rPr>
                <w:rFonts w:hint="eastAsia" w:ascii="仿宋" w:hAnsi="仿宋" w:eastAsia="仿宋" w:cs="宋体"/>
                <w:b w:val="0"/>
                <w:bCs w:val="0"/>
                <w:snapToGrid w:val="0"/>
                <w:color w:val="auto"/>
                <w:kern w:val="0"/>
                <w:sz w:val="24"/>
                <w:highlight w:val="none"/>
                <w:lang w:eastAsia="zh-CN"/>
              </w:rPr>
              <w:fldChar w:fldCharType="separate"/>
            </w:r>
            <w:r>
              <w:rPr>
                <w:rFonts w:hint="eastAsia" w:ascii="仿宋" w:hAnsi="仿宋" w:eastAsia="仿宋" w:cs="宋体"/>
                <w:b w:val="0"/>
                <w:bCs w:val="0"/>
                <w:snapToGrid w:val="0"/>
                <w:color w:val="auto"/>
                <w:kern w:val="0"/>
                <w:sz w:val="24"/>
                <w:highlight w:val="none"/>
                <w:lang w:eastAsia="zh-CN"/>
              </w:rPr>
              <w:t>金龙鱼</w:t>
            </w:r>
            <w:r>
              <w:rPr>
                <w:rFonts w:hint="eastAsia" w:ascii="仿宋" w:hAnsi="仿宋" w:eastAsia="仿宋" w:cs="宋体"/>
                <w:b w:val="0"/>
                <w:bCs w:val="0"/>
                <w:snapToGrid w:val="0"/>
                <w:color w:val="auto"/>
                <w:kern w:val="0"/>
                <w:sz w:val="24"/>
                <w:highlight w:val="none"/>
                <w:lang w:eastAsia="zh-CN"/>
              </w:rPr>
              <w:fldChar w:fldCharType="end"/>
            </w:r>
            <w:r>
              <w:rPr>
                <w:rFonts w:hint="eastAsia" w:ascii="仿宋" w:hAnsi="仿宋" w:eastAsia="仿宋" w:cs="宋体"/>
                <w:b w:val="0"/>
                <w:bCs w:val="0"/>
                <w:snapToGrid w:val="0"/>
                <w:color w:val="auto"/>
                <w:kern w:val="0"/>
                <w:sz w:val="24"/>
                <w:highlight w:val="none"/>
                <w:lang w:eastAsia="zh-CN"/>
              </w:rPr>
              <w:t>、</w:t>
            </w:r>
            <w:r>
              <w:rPr>
                <w:rFonts w:hint="eastAsia" w:ascii="仿宋" w:hAnsi="仿宋" w:eastAsia="仿宋" w:cs="宋体"/>
                <w:b w:val="0"/>
                <w:bCs w:val="0"/>
                <w:snapToGrid w:val="0"/>
                <w:color w:val="auto"/>
                <w:kern w:val="0"/>
                <w:sz w:val="24"/>
                <w:highlight w:val="none"/>
                <w:lang w:val="en-US" w:eastAsia="zh-CN"/>
              </w:rPr>
              <w:t>鲁花</w:t>
            </w:r>
            <w:r>
              <w:rPr>
                <w:rFonts w:hint="eastAsia" w:ascii="仿宋" w:hAnsi="仿宋" w:eastAsia="仿宋" w:cs="宋体"/>
                <w:b w:val="0"/>
                <w:bCs w:val="0"/>
                <w:snapToGrid w:val="0"/>
                <w:color w:val="auto"/>
                <w:kern w:val="0"/>
                <w:sz w:val="24"/>
                <w:highlight w:val="none"/>
                <w:lang w:eastAsia="zh-CN"/>
              </w:rPr>
              <w:t>等同档次同品质品牌或更高档次及品牌</w:t>
            </w:r>
          </w:p>
          <w:p w14:paraId="797F3BCA">
            <w:pPr>
              <w:pageBreakBefore w:val="0"/>
              <w:kinsoku/>
              <w:wordWrap/>
              <w:overflowPunct/>
              <w:topLinePunct w:val="0"/>
              <w:bidi w:val="0"/>
              <w:snapToGrid w:val="0"/>
              <w:spacing w:line="240" w:lineRule="auto"/>
              <w:jc w:val="left"/>
              <w:textAlignment w:val="auto"/>
              <w:rPr>
                <w:rFonts w:hint="eastAsia" w:ascii="仿宋" w:hAnsi="仿宋" w:eastAsia="仿宋" w:cs="宋体"/>
                <w:b w:val="0"/>
                <w:bCs w:val="0"/>
                <w:snapToGrid w:val="0"/>
                <w:color w:val="auto"/>
                <w:kern w:val="0"/>
                <w:sz w:val="24"/>
                <w:highlight w:val="none"/>
                <w:lang w:val="en-US" w:eastAsia="zh-CN"/>
              </w:rPr>
            </w:pPr>
            <w:r>
              <w:rPr>
                <w:rFonts w:hint="eastAsia" w:ascii="仿宋" w:hAnsi="仿宋" w:eastAsia="仿宋" w:cs="宋体"/>
                <w:b w:val="0"/>
                <w:bCs w:val="0"/>
                <w:snapToGrid w:val="0"/>
                <w:color w:val="auto"/>
                <w:kern w:val="0"/>
                <w:sz w:val="24"/>
                <w:highlight w:val="none"/>
                <w:lang w:val="en-US" w:eastAsia="zh-CN"/>
              </w:rPr>
              <w:t>日化用品：资生堂、潘婷、海飞丝、舒肤佳、多芬、力士等</w:t>
            </w:r>
            <w:r>
              <w:rPr>
                <w:rFonts w:hint="eastAsia" w:ascii="仿宋" w:hAnsi="仿宋" w:eastAsia="仿宋" w:cs="宋体"/>
                <w:b w:val="0"/>
                <w:bCs w:val="0"/>
                <w:snapToGrid w:val="0"/>
                <w:color w:val="auto"/>
                <w:kern w:val="0"/>
                <w:sz w:val="24"/>
                <w:highlight w:val="none"/>
                <w:lang w:eastAsia="zh-CN"/>
              </w:rPr>
              <w:t>同档次同品质品牌或更高档次及品牌</w:t>
            </w:r>
          </w:p>
        </w:tc>
      </w:tr>
      <w:tr w14:paraId="2D98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396" w:type="pct"/>
            <w:vAlign w:val="center"/>
          </w:tcPr>
          <w:p w14:paraId="60C4AF9D">
            <w:pPr>
              <w:pageBreakBefore w:val="0"/>
              <w:kinsoku/>
              <w:wordWrap/>
              <w:overflowPunct/>
              <w:topLinePunct w:val="0"/>
              <w:bidi w:val="0"/>
              <w:snapToGrid w:val="0"/>
              <w:spacing w:line="240" w:lineRule="auto"/>
              <w:ind w:firstLine="0" w:firstLineChars="0"/>
              <w:jc w:val="center"/>
              <w:textAlignment w:val="auto"/>
              <w:rPr>
                <w:rFonts w:hint="eastAsia" w:ascii="仿宋" w:hAnsi="仿宋" w:eastAsia="仿宋" w:cs="宋体"/>
                <w:b w:val="0"/>
                <w:bCs w:val="0"/>
                <w:snapToGrid w:val="0"/>
                <w:color w:val="auto"/>
                <w:kern w:val="0"/>
                <w:sz w:val="24"/>
                <w:highlight w:val="none"/>
                <w:lang w:val="en-US" w:eastAsia="zh-CN"/>
              </w:rPr>
            </w:pPr>
            <w:r>
              <w:rPr>
                <w:rFonts w:hint="eastAsia" w:ascii="仿宋" w:hAnsi="仿宋" w:eastAsia="仿宋" w:cs="宋体"/>
                <w:b w:val="0"/>
                <w:bCs w:val="0"/>
                <w:snapToGrid w:val="0"/>
                <w:color w:val="auto"/>
                <w:kern w:val="0"/>
                <w:sz w:val="24"/>
                <w:highlight w:val="none"/>
                <w:lang w:val="en-US" w:eastAsia="zh-CN"/>
              </w:rPr>
              <w:t>7</w:t>
            </w:r>
          </w:p>
        </w:tc>
        <w:tc>
          <w:tcPr>
            <w:tcW w:w="1116" w:type="pct"/>
            <w:vAlign w:val="center"/>
          </w:tcPr>
          <w:p w14:paraId="5FEA11B0">
            <w:pPr>
              <w:pageBreakBefore w:val="0"/>
              <w:kinsoku/>
              <w:wordWrap/>
              <w:overflowPunct/>
              <w:topLinePunct w:val="0"/>
              <w:bidi w:val="0"/>
              <w:snapToGrid w:val="0"/>
              <w:spacing w:line="240" w:lineRule="auto"/>
              <w:jc w:val="center"/>
              <w:textAlignment w:val="auto"/>
              <w:rPr>
                <w:rFonts w:hint="eastAsia" w:ascii="仿宋" w:hAnsi="仿宋" w:eastAsia="仿宋" w:cs="宋体"/>
                <w:b w:val="0"/>
                <w:bCs w:val="0"/>
                <w:snapToGrid w:val="0"/>
                <w:color w:val="auto"/>
                <w:kern w:val="0"/>
                <w:sz w:val="24"/>
                <w:highlight w:val="none"/>
              </w:rPr>
            </w:pPr>
            <w:r>
              <w:rPr>
                <w:rFonts w:hint="eastAsia" w:ascii="仿宋" w:hAnsi="仿宋" w:eastAsia="仿宋" w:cs="宋体"/>
                <w:b w:val="0"/>
                <w:bCs w:val="0"/>
                <w:snapToGrid w:val="0"/>
                <w:color w:val="auto"/>
                <w:kern w:val="0"/>
                <w:sz w:val="24"/>
                <w:highlight w:val="none"/>
              </w:rPr>
              <w:t>米+日化用品的套餐</w:t>
            </w:r>
          </w:p>
        </w:tc>
        <w:tc>
          <w:tcPr>
            <w:tcW w:w="3486" w:type="pct"/>
            <w:vAlign w:val="center"/>
          </w:tcPr>
          <w:p w14:paraId="07A6CC89">
            <w:pPr>
              <w:pageBreakBefore w:val="0"/>
              <w:kinsoku/>
              <w:wordWrap/>
              <w:overflowPunct/>
              <w:topLinePunct w:val="0"/>
              <w:bidi w:val="0"/>
              <w:snapToGrid w:val="0"/>
              <w:spacing w:line="240" w:lineRule="auto"/>
              <w:jc w:val="left"/>
              <w:textAlignment w:val="auto"/>
              <w:rPr>
                <w:rFonts w:hint="eastAsia" w:ascii="仿宋" w:hAnsi="仿宋" w:eastAsia="仿宋" w:cs="宋体"/>
                <w:b w:val="0"/>
                <w:bCs w:val="0"/>
                <w:snapToGrid w:val="0"/>
                <w:color w:val="auto"/>
                <w:kern w:val="0"/>
                <w:sz w:val="24"/>
                <w:highlight w:val="none"/>
                <w:lang w:eastAsia="zh-CN"/>
              </w:rPr>
            </w:pPr>
            <w:r>
              <w:rPr>
                <w:rFonts w:hint="eastAsia" w:ascii="仿宋" w:hAnsi="仿宋" w:eastAsia="仿宋" w:cs="宋体"/>
                <w:b w:val="0"/>
                <w:bCs w:val="0"/>
                <w:snapToGrid w:val="0"/>
                <w:color w:val="auto"/>
                <w:kern w:val="0"/>
                <w:sz w:val="24"/>
                <w:highlight w:val="none"/>
                <w:lang w:val="en-US" w:eastAsia="zh-CN"/>
              </w:rPr>
              <w:t>米：</w:t>
            </w:r>
            <w:r>
              <w:rPr>
                <w:rFonts w:hint="eastAsia" w:ascii="仿宋" w:hAnsi="仿宋" w:eastAsia="仿宋" w:cs="宋体"/>
                <w:b w:val="0"/>
                <w:bCs w:val="0"/>
                <w:snapToGrid w:val="0"/>
                <w:color w:val="auto"/>
                <w:kern w:val="0"/>
                <w:sz w:val="24"/>
                <w:highlight w:val="none"/>
                <w:lang w:eastAsia="zh-CN"/>
              </w:rPr>
              <w:fldChar w:fldCharType="begin"/>
            </w:r>
            <w:r>
              <w:rPr>
                <w:rFonts w:hint="eastAsia" w:ascii="仿宋" w:hAnsi="仿宋" w:eastAsia="仿宋" w:cs="宋体"/>
                <w:b w:val="0"/>
                <w:bCs w:val="0"/>
                <w:snapToGrid w:val="0"/>
                <w:color w:val="auto"/>
                <w:kern w:val="0"/>
                <w:sz w:val="24"/>
                <w:highlight w:val="none"/>
                <w:lang w:eastAsia="zh-CN"/>
              </w:rPr>
              <w:instrText xml:space="preserve"> HYPERLINK "https://s.taobao.com/search?q=%E5%A4%A7%E7%B1%B35kg&amp;suggest=0_2&amp;commend=all&amp;ssid=s5-e&amp;search_type=item&amp;sourceId=tb.index&amp;spm=a21bo.jianhua.201856-taobao-item.2&amp;ie=utf8&amp;initiative_id=tbindexz_20170306&amp;_input_charset=utf-8&amp;wq=%E5%A4%A7%E7%B1%B3&amp;suggest_query=%E5%A4%A7%E7%B1%B3&amp;source=suggest&amp;filter=reserve_price%5b50,70%5d" \o "五常大米" </w:instrText>
            </w:r>
            <w:r>
              <w:rPr>
                <w:rFonts w:hint="eastAsia" w:ascii="仿宋" w:hAnsi="仿宋" w:eastAsia="仿宋" w:cs="宋体"/>
                <w:b w:val="0"/>
                <w:bCs w:val="0"/>
                <w:snapToGrid w:val="0"/>
                <w:color w:val="auto"/>
                <w:kern w:val="0"/>
                <w:sz w:val="24"/>
                <w:highlight w:val="none"/>
                <w:lang w:eastAsia="zh-CN"/>
              </w:rPr>
              <w:fldChar w:fldCharType="separate"/>
            </w:r>
            <w:r>
              <w:rPr>
                <w:rFonts w:hint="eastAsia" w:ascii="仿宋" w:hAnsi="仿宋" w:eastAsia="仿宋" w:cs="宋体"/>
                <w:b w:val="0"/>
                <w:bCs w:val="0"/>
                <w:snapToGrid w:val="0"/>
                <w:color w:val="auto"/>
                <w:kern w:val="0"/>
                <w:sz w:val="24"/>
                <w:highlight w:val="none"/>
                <w:lang w:eastAsia="zh-CN"/>
              </w:rPr>
              <w:t>五常大米</w:t>
            </w:r>
            <w:r>
              <w:rPr>
                <w:rFonts w:hint="eastAsia" w:ascii="仿宋" w:hAnsi="仿宋" w:eastAsia="仿宋" w:cs="宋体"/>
                <w:b w:val="0"/>
                <w:bCs w:val="0"/>
                <w:snapToGrid w:val="0"/>
                <w:color w:val="auto"/>
                <w:kern w:val="0"/>
                <w:sz w:val="24"/>
                <w:highlight w:val="none"/>
                <w:lang w:eastAsia="zh-CN"/>
              </w:rPr>
              <w:fldChar w:fldCharType="end"/>
            </w:r>
            <w:r>
              <w:rPr>
                <w:rFonts w:hint="eastAsia" w:ascii="仿宋" w:hAnsi="仿宋" w:eastAsia="仿宋" w:cs="宋体"/>
                <w:b w:val="0"/>
                <w:bCs w:val="0"/>
                <w:snapToGrid w:val="0"/>
                <w:color w:val="auto"/>
                <w:kern w:val="0"/>
                <w:sz w:val="24"/>
                <w:highlight w:val="none"/>
                <w:lang w:eastAsia="zh-CN"/>
              </w:rPr>
              <w:t>、</w:t>
            </w:r>
            <w:r>
              <w:rPr>
                <w:rFonts w:hint="eastAsia" w:ascii="仿宋" w:hAnsi="仿宋" w:eastAsia="仿宋" w:cs="宋体"/>
                <w:b w:val="0"/>
                <w:bCs w:val="0"/>
                <w:snapToGrid w:val="0"/>
                <w:color w:val="auto"/>
                <w:kern w:val="0"/>
                <w:sz w:val="24"/>
                <w:highlight w:val="none"/>
                <w:lang w:eastAsia="zh-CN"/>
              </w:rPr>
              <w:fldChar w:fldCharType="begin"/>
            </w:r>
            <w:r>
              <w:rPr>
                <w:rFonts w:hint="eastAsia" w:ascii="仿宋" w:hAnsi="仿宋" w:eastAsia="仿宋" w:cs="宋体"/>
                <w:b w:val="0"/>
                <w:bCs w:val="0"/>
                <w:snapToGrid w:val="0"/>
                <w:color w:val="auto"/>
                <w:kern w:val="0"/>
                <w:sz w:val="24"/>
                <w:highlight w:val="none"/>
                <w:lang w:eastAsia="zh-CN"/>
              </w:rPr>
              <w:instrText xml:space="preserve"> HYPERLINK "https://s.taobao.com/search?q=%E5%A4%A7%E7%B1%B35kg&amp;suggest=0_2&amp;commend=all&amp;ssid=s5-e&amp;search_type=item&amp;sourceId=tb.index&amp;spm=a21bo.jianhua.201856-taobao-item.2&amp;ie=utf8&amp;initiative_id=tbindexz_20170306&amp;_input_charset=utf-8&amp;wq=%E5%A4%A7%E7%B1%B3&amp;suggest_query=%E5%A4%A7%E7%B1%B3&amp;source=suggest&amp;filter=reserve_price%5b50,70%5d" \o "稻花香" </w:instrText>
            </w:r>
            <w:r>
              <w:rPr>
                <w:rFonts w:hint="eastAsia" w:ascii="仿宋" w:hAnsi="仿宋" w:eastAsia="仿宋" w:cs="宋体"/>
                <w:b w:val="0"/>
                <w:bCs w:val="0"/>
                <w:snapToGrid w:val="0"/>
                <w:color w:val="auto"/>
                <w:kern w:val="0"/>
                <w:sz w:val="24"/>
                <w:highlight w:val="none"/>
                <w:lang w:eastAsia="zh-CN"/>
              </w:rPr>
              <w:fldChar w:fldCharType="separate"/>
            </w:r>
            <w:r>
              <w:rPr>
                <w:rFonts w:hint="eastAsia" w:ascii="仿宋" w:hAnsi="仿宋" w:eastAsia="仿宋" w:cs="宋体"/>
                <w:b w:val="0"/>
                <w:bCs w:val="0"/>
                <w:snapToGrid w:val="0"/>
                <w:color w:val="auto"/>
                <w:kern w:val="0"/>
                <w:sz w:val="24"/>
                <w:highlight w:val="none"/>
                <w:lang w:eastAsia="zh-CN"/>
              </w:rPr>
              <w:t>稻花香</w:t>
            </w:r>
            <w:r>
              <w:rPr>
                <w:rFonts w:hint="eastAsia" w:ascii="仿宋" w:hAnsi="仿宋" w:eastAsia="仿宋" w:cs="宋体"/>
                <w:b w:val="0"/>
                <w:bCs w:val="0"/>
                <w:snapToGrid w:val="0"/>
                <w:color w:val="auto"/>
                <w:kern w:val="0"/>
                <w:sz w:val="24"/>
                <w:highlight w:val="none"/>
                <w:lang w:eastAsia="zh-CN"/>
              </w:rPr>
              <w:fldChar w:fldCharType="end"/>
            </w:r>
            <w:r>
              <w:rPr>
                <w:rFonts w:hint="eastAsia" w:ascii="仿宋" w:hAnsi="仿宋" w:eastAsia="仿宋" w:cs="宋体"/>
                <w:b w:val="0"/>
                <w:bCs w:val="0"/>
                <w:snapToGrid w:val="0"/>
                <w:color w:val="auto"/>
                <w:kern w:val="0"/>
                <w:sz w:val="24"/>
                <w:highlight w:val="none"/>
                <w:lang w:eastAsia="zh-CN"/>
              </w:rPr>
              <w:t>、</w:t>
            </w:r>
            <w:r>
              <w:rPr>
                <w:rFonts w:hint="eastAsia" w:ascii="仿宋" w:hAnsi="仿宋" w:eastAsia="仿宋" w:cs="宋体"/>
                <w:b w:val="0"/>
                <w:bCs w:val="0"/>
                <w:snapToGrid w:val="0"/>
                <w:color w:val="auto"/>
                <w:kern w:val="0"/>
                <w:sz w:val="24"/>
                <w:highlight w:val="none"/>
                <w:lang w:eastAsia="zh-CN"/>
              </w:rPr>
              <w:fldChar w:fldCharType="begin"/>
            </w:r>
            <w:r>
              <w:rPr>
                <w:rFonts w:hint="eastAsia" w:ascii="仿宋" w:hAnsi="仿宋" w:eastAsia="仿宋" w:cs="宋体"/>
                <w:b w:val="0"/>
                <w:bCs w:val="0"/>
                <w:snapToGrid w:val="0"/>
                <w:color w:val="auto"/>
                <w:kern w:val="0"/>
                <w:sz w:val="24"/>
                <w:highlight w:val="none"/>
                <w:lang w:eastAsia="zh-CN"/>
              </w:rPr>
              <w:instrText xml:space="preserve"> HYPERLINK "https://s.taobao.com/search?q=%E5%A4%A7%E7%B1%B35kg&amp;suggest=0_2&amp;commend=all&amp;ssid=s5-e&amp;search_type=item&amp;sourceId=tb.index&amp;spm=a21bo.jianhua.201856-taobao-item.2&amp;ie=utf8&amp;initiative_id=tbindexz_20170306&amp;_input_charset=utf-8&amp;wq=%E5%A4%A7%E7%B1%B3&amp;suggest_query=%E5%A4%A7%E7%B1%B3&amp;source=suggest&amp;filter=reserve_price%5b50,70%5d" \o "金龙鱼" </w:instrText>
            </w:r>
            <w:r>
              <w:rPr>
                <w:rFonts w:hint="eastAsia" w:ascii="仿宋" w:hAnsi="仿宋" w:eastAsia="仿宋" w:cs="宋体"/>
                <w:b w:val="0"/>
                <w:bCs w:val="0"/>
                <w:snapToGrid w:val="0"/>
                <w:color w:val="auto"/>
                <w:kern w:val="0"/>
                <w:sz w:val="24"/>
                <w:highlight w:val="none"/>
                <w:lang w:eastAsia="zh-CN"/>
              </w:rPr>
              <w:fldChar w:fldCharType="separate"/>
            </w:r>
            <w:r>
              <w:rPr>
                <w:rFonts w:hint="eastAsia" w:ascii="仿宋" w:hAnsi="仿宋" w:eastAsia="仿宋" w:cs="宋体"/>
                <w:b w:val="0"/>
                <w:bCs w:val="0"/>
                <w:snapToGrid w:val="0"/>
                <w:color w:val="auto"/>
                <w:kern w:val="0"/>
                <w:sz w:val="24"/>
                <w:highlight w:val="none"/>
                <w:lang w:eastAsia="zh-CN"/>
              </w:rPr>
              <w:t>金龙鱼</w:t>
            </w:r>
            <w:r>
              <w:rPr>
                <w:rFonts w:hint="eastAsia" w:ascii="仿宋" w:hAnsi="仿宋" w:eastAsia="仿宋" w:cs="宋体"/>
                <w:b w:val="0"/>
                <w:bCs w:val="0"/>
                <w:snapToGrid w:val="0"/>
                <w:color w:val="auto"/>
                <w:kern w:val="0"/>
                <w:sz w:val="24"/>
                <w:highlight w:val="none"/>
                <w:lang w:eastAsia="zh-CN"/>
              </w:rPr>
              <w:fldChar w:fldCharType="end"/>
            </w:r>
            <w:r>
              <w:rPr>
                <w:rFonts w:hint="eastAsia" w:ascii="仿宋" w:hAnsi="仿宋" w:eastAsia="仿宋" w:cs="宋体"/>
                <w:b w:val="0"/>
                <w:bCs w:val="0"/>
                <w:snapToGrid w:val="0"/>
                <w:color w:val="auto"/>
                <w:kern w:val="0"/>
                <w:sz w:val="24"/>
                <w:highlight w:val="none"/>
                <w:lang w:eastAsia="zh-CN"/>
              </w:rPr>
              <w:t>等同档次同品质品牌或更高档次及品牌；</w:t>
            </w:r>
          </w:p>
          <w:p w14:paraId="5CA242F6">
            <w:pPr>
              <w:pageBreakBefore w:val="0"/>
              <w:kinsoku/>
              <w:wordWrap/>
              <w:overflowPunct/>
              <w:topLinePunct w:val="0"/>
              <w:bidi w:val="0"/>
              <w:snapToGrid w:val="0"/>
              <w:spacing w:line="240" w:lineRule="auto"/>
              <w:jc w:val="left"/>
              <w:textAlignment w:val="auto"/>
              <w:rPr>
                <w:rFonts w:hint="eastAsia" w:ascii="仿宋" w:hAnsi="仿宋" w:eastAsia="仿宋" w:cs="宋体"/>
                <w:b w:val="0"/>
                <w:bCs w:val="0"/>
                <w:snapToGrid w:val="0"/>
                <w:color w:val="auto"/>
                <w:kern w:val="0"/>
                <w:sz w:val="24"/>
                <w:highlight w:val="none"/>
                <w:lang w:val="en-US" w:eastAsia="zh-CN"/>
              </w:rPr>
            </w:pPr>
            <w:r>
              <w:rPr>
                <w:rFonts w:hint="eastAsia" w:ascii="仿宋" w:hAnsi="仿宋" w:eastAsia="仿宋" w:cs="宋体"/>
                <w:b w:val="0"/>
                <w:bCs w:val="0"/>
                <w:snapToGrid w:val="0"/>
                <w:color w:val="auto"/>
                <w:kern w:val="0"/>
                <w:sz w:val="24"/>
                <w:highlight w:val="none"/>
                <w:lang w:val="en-US" w:eastAsia="zh-CN"/>
              </w:rPr>
              <w:t>日化用品：资生堂、潘婷、海飞丝、舒肤佳、多芬、力士等同档次同品质品牌或更高档次及品牌</w:t>
            </w:r>
          </w:p>
        </w:tc>
      </w:tr>
      <w:tr w14:paraId="6D17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396" w:type="pct"/>
            <w:vAlign w:val="center"/>
          </w:tcPr>
          <w:p w14:paraId="6A478E3A">
            <w:pPr>
              <w:pageBreakBefore w:val="0"/>
              <w:kinsoku/>
              <w:wordWrap/>
              <w:overflowPunct/>
              <w:topLinePunct w:val="0"/>
              <w:bidi w:val="0"/>
              <w:snapToGrid w:val="0"/>
              <w:spacing w:line="240" w:lineRule="auto"/>
              <w:ind w:firstLine="0" w:firstLineChars="0"/>
              <w:jc w:val="center"/>
              <w:textAlignment w:val="auto"/>
              <w:rPr>
                <w:rFonts w:hint="eastAsia" w:ascii="仿宋" w:hAnsi="仿宋" w:eastAsia="仿宋" w:cs="宋体"/>
                <w:b w:val="0"/>
                <w:bCs w:val="0"/>
                <w:snapToGrid w:val="0"/>
                <w:color w:val="auto"/>
                <w:kern w:val="0"/>
                <w:sz w:val="24"/>
                <w:highlight w:val="none"/>
                <w:lang w:val="en-US" w:eastAsia="zh-CN"/>
              </w:rPr>
            </w:pPr>
            <w:r>
              <w:rPr>
                <w:rFonts w:hint="eastAsia" w:ascii="仿宋" w:hAnsi="仿宋" w:eastAsia="仿宋" w:cs="宋体"/>
                <w:b w:val="0"/>
                <w:bCs w:val="0"/>
                <w:snapToGrid w:val="0"/>
                <w:color w:val="auto"/>
                <w:kern w:val="0"/>
                <w:sz w:val="24"/>
                <w:highlight w:val="none"/>
                <w:lang w:val="en-US" w:eastAsia="zh-CN"/>
              </w:rPr>
              <w:t>8</w:t>
            </w:r>
          </w:p>
        </w:tc>
        <w:tc>
          <w:tcPr>
            <w:tcW w:w="1116" w:type="pct"/>
            <w:vAlign w:val="center"/>
          </w:tcPr>
          <w:p w14:paraId="2EC402EE">
            <w:pPr>
              <w:pageBreakBefore w:val="0"/>
              <w:kinsoku/>
              <w:wordWrap/>
              <w:overflowPunct/>
              <w:topLinePunct w:val="0"/>
              <w:bidi w:val="0"/>
              <w:snapToGrid w:val="0"/>
              <w:spacing w:line="240" w:lineRule="auto"/>
              <w:jc w:val="center"/>
              <w:textAlignment w:val="auto"/>
              <w:rPr>
                <w:rFonts w:hint="eastAsia" w:ascii="仿宋" w:hAnsi="仿宋" w:eastAsia="仿宋" w:cs="宋体"/>
                <w:b w:val="0"/>
                <w:bCs w:val="0"/>
                <w:snapToGrid w:val="0"/>
                <w:color w:val="auto"/>
                <w:kern w:val="0"/>
                <w:sz w:val="24"/>
                <w:highlight w:val="none"/>
              </w:rPr>
            </w:pPr>
            <w:r>
              <w:rPr>
                <w:rFonts w:hint="eastAsia" w:ascii="仿宋" w:hAnsi="仿宋" w:eastAsia="仿宋" w:cs="宋体"/>
                <w:b w:val="0"/>
                <w:bCs w:val="0"/>
                <w:snapToGrid w:val="0"/>
                <w:color w:val="auto"/>
                <w:kern w:val="0"/>
                <w:sz w:val="24"/>
                <w:highlight w:val="none"/>
              </w:rPr>
              <w:t>米+洗浴用品套餐</w:t>
            </w:r>
          </w:p>
        </w:tc>
        <w:tc>
          <w:tcPr>
            <w:tcW w:w="3486" w:type="pct"/>
            <w:vAlign w:val="center"/>
          </w:tcPr>
          <w:p w14:paraId="729FDDD3">
            <w:pPr>
              <w:pageBreakBefore w:val="0"/>
              <w:kinsoku/>
              <w:wordWrap/>
              <w:overflowPunct/>
              <w:topLinePunct w:val="0"/>
              <w:bidi w:val="0"/>
              <w:snapToGrid w:val="0"/>
              <w:spacing w:line="240" w:lineRule="auto"/>
              <w:jc w:val="left"/>
              <w:textAlignment w:val="auto"/>
              <w:rPr>
                <w:rFonts w:hint="eastAsia" w:ascii="仿宋" w:hAnsi="仿宋" w:eastAsia="仿宋" w:cs="宋体"/>
                <w:b w:val="0"/>
                <w:bCs w:val="0"/>
                <w:snapToGrid w:val="0"/>
                <w:color w:val="auto"/>
                <w:kern w:val="0"/>
                <w:sz w:val="24"/>
                <w:highlight w:val="none"/>
                <w:lang w:eastAsia="zh-CN"/>
              </w:rPr>
            </w:pPr>
            <w:r>
              <w:rPr>
                <w:rFonts w:hint="eastAsia" w:ascii="仿宋" w:hAnsi="仿宋" w:eastAsia="仿宋" w:cs="宋体"/>
                <w:b w:val="0"/>
                <w:bCs w:val="0"/>
                <w:snapToGrid w:val="0"/>
                <w:color w:val="auto"/>
                <w:kern w:val="0"/>
                <w:sz w:val="24"/>
                <w:highlight w:val="none"/>
                <w:lang w:val="en-US" w:eastAsia="zh-CN"/>
              </w:rPr>
              <w:t>米：</w:t>
            </w:r>
            <w:r>
              <w:rPr>
                <w:rFonts w:hint="eastAsia" w:ascii="仿宋" w:hAnsi="仿宋" w:eastAsia="仿宋" w:cs="宋体"/>
                <w:b w:val="0"/>
                <w:bCs w:val="0"/>
                <w:snapToGrid w:val="0"/>
                <w:color w:val="auto"/>
                <w:kern w:val="0"/>
                <w:sz w:val="24"/>
                <w:highlight w:val="none"/>
                <w:lang w:eastAsia="zh-CN"/>
              </w:rPr>
              <w:fldChar w:fldCharType="begin"/>
            </w:r>
            <w:r>
              <w:rPr>
                <w:rFonts w:hint="eastAsia" w:ascii="仿宋" w:hAnsi="仿宋" w:eastAsia="仿宋" w:cs="宋体"/>
                <w:b w:val="0"/>
                <w:bCs w:val="0"/>
                <w:snapToGrid w:val="0"/>
                <w:color w:val="auto"/>
                <w:kern w:val="0"/>
                <w:sz w:val="24"/>
                <w:highlight w:val="none"/>
                <w:lang w:eastAsia="zh-CN"/>
              </w:rPr>
              <w:instrText xml:space="preserve"> HYPERLINK "https://s.taobao.com/search?q=%E5%A4%A7%E7%B1%B35kg&amp;suggest=0_2&amp;commend=all&amp;ssid=s5-e&amp;search_type=item&amp;sourceId=tb.index&amp;spm=a21bo.jianhua.201856-taobao-item.2&amp;ie=utf8&amp;initiative_id=tbindexz_20170306&amp;_input_charset=utf-8&amp;wq=%E5%A4%A7%E7%B1%B3&amp;suggest_query=%E5%A4%A7%E7%B1%B3&amp;source=suggest&amp;filter=reserve_price%5b50,70%5d" \o "五常大米" </w:instrText>
            </w:r>
            <w:r>
              <w:rPr>
                <w:rFonts w:hint="eastAsia" w:ascii="仿宋" w:hAnsi="仿宋" w:eastAsia="仿宋" w:cs="宋体"/>
                <w:b w:val="0"/>
                <w:bCs w:val="0"/>
                <w:snapToGrid w:val="0"/>
                <w:color w:val="auto"/>
                <w:kern w:val="0"/>
                <w:sz w:val="24"/>
                <w:highlight w:val="none"/>
                <w:lang w:eastAsia="zh-CN"/>
              </w:rPr>
              <w:fldChar w:fldCharType="separate"/>
            </w:r>
            <w:r>
              <w:rPr>
                <w:rFonts w:hint="eastAsia" w:ascii="仿宋" w:hAnsi="仿宋" w:eastAsia="仿宋" w:cs="宋体"/>
                <w:b w:val="0"/>
                <w:bCs w:val="0"/>
                <w:snapToGrid w:val="0"/>
                <w:color w:val="auto"/>
                <w:kern w:val="0"/>
                <w:sz w:val="24"/>
                <w:highlight w:val="none"/>
                <w:lang w:eastAsia="zh-CN"/>
              </w:rPr>
              <w:t>五常大米</w:t>
            </w:r>
            <w:r>
              <w:rPr>
                <w:rFonts w:hint="eastAsia" w:ascii="仿宋" w:hAnsi="仿宋" w:eastAsia="仿宋" w:cs="宋体"/>
                <w:b w:val="0"/>
                <w:bCs w:val="0"/>
                <w:snapToGrid w:val="0"/>
                <w:color w:val="auto"/>
                <w:kern w:val="0"/>
                <w:sz w:val="24"/>
                <w:highlight w:val="none"/>
                <w:lang w:eastAsia="zh-CN"/>
              </w:rPr>
              <w:fldChar w:fldCharType="end"/>
            </w:r>
            <w:r>
              <w:rPr>
                <w:rFonts w:hint="eastAsia" w:ascii="仿宋" w:hAnsi="仿宋" w:eastAsia="仿宋" w:cs="宋体"/>
                <w:b w:val="0"/>
                <w:bCs w:val="0"/>
                <w:snapToGrid w:val="0"/>
                <w:color w:val="auto"/>
                <w:kern w:val="0"/>
                <w:sz w:val="24"/>
                <w:highlight w:val="none"/>
                <w:lang w:eastAsia="zh-CN"/>
              </w:rPr>
              <w:t>、</w:t>
            </w:r>
            <w:r>
              <w:rPr>
                <w:rFonts w:hint="eastAsia" w:ascii="仿宋" w:hAnsi="仿宋" w:eastAsia="仿宋" w:cs="宋体"/>
                <w:b w:val="0"/>
                <w:bCs w:val="0"/>
                <w:snapToGrid w:val="0"/>
                <w:color w:val="auto"/>
                <w:kern w:val="0"/>
                <w:sz w:val="24"/>
                <w:highlight w:val="none"/>
                <w:lang w:eastAsia="zh-CN"/>
              </w:rPr>
              <w:fldChar w:fldCharType="begin"/>
            </w:r>
            <w:r>
              <w:rPr>
                <w:rFonts w:hint="eastAsia" w:ascii="仿宋" w:hAnsi="仿宋" w:eastAsia="仿宋" w:cs="宋体"/>
                <w:b w:val="0"/>
                <w:bCs w:val="0"/>
                <w:snapToGrid w:val="0"/>
                <w:color w:val="auto"/>
                <w:kern w:val="0"/>
                <w:sz w:val="24"/>
                <w:highlight w:val="none"/>
                <w:lang w:eastAsia="zh-CN"/>
              </w:rPr>
              <w:instrText xml:space="preserve"> HYPERLINK "https://s.taobao.com/search?q=%E5%A4%A7%E7%B1%B35kg&amp;suggest=0_2&amp;commend=all&amp;ssid=s5-e&amp;search_type=item&amp;sourceId=tb.index&amp;spm=a21bo.jianhua.201856-taobao-item.2&amp;ie=utf8&amp;initiative_id=tbindexz_20170306&amp;_input_charset=utf-8&amp;wq=%E5%A4%A7%E7%B1%B3&amp;suggest_query=%E5%A4%A7%E7%B1%B3&amp;source=suggest&amp;filter=reserve_price%5b50,70%5d" \o "稻花香" </w:instrText>
            </w:r>
            <w:r>
              <w:rPr>
                <w:rFonts w:hint="eastAsia" w:ascii="仿宋" w:hAnsi="仿宋" w:eastAsia="仿宋" w:cs="宋体"/>
                <w:b w:val="0"/>
                <w:bCs w:val="0"/>
                <w:snapToGrid w:val="0"/>
                <w:color w:val="auto"/>
                <w:kern w:val="0"/>
                <w:sz w:val="24"/>
                <w:highlight w:val="none"/>
                <w:lang w:eastAsia="zh-CN"/>
              </w:rPr>
              <w:fldChar w:fldCharType="separate"/>
            </w:r>
            <w:r>
              <w:rPr>
                <w:rFonts w:hint="eastAsia" w:ascii="仿宋" w:hAnsi="仿宋" w:eastAsia="仿宋" w:cs="宋体"/>
                <w:b w:val="0"/>
                <w:bCs w:val="0"/>
                <w:snapToGrid w:val="0"/>
                <w:color w:val="auto"/>
                <w:kern w:val="0"/>
                <w:sz w:val="24"/>
                <w:highlight w:val="none"/>
                <w:lang w:eastAsia="zh-CN"/>
              </w:rPr>
              <w:t>稻花香</w:t>
            </w:r>
            <w:r>
              <w:rPr>
                <w:rFonts w:hint="eastAsia" w:ascii="仿宋" w:hAnsi="仿宋" w:eastAsia="仿宋" w:cs="宋体"/>
                <w:b w:val="0"/>
                <w:bCs w:val="0"/>
                <w:snapToGrid w:val="0"/>
                <w:color w:val="auto"/>
                <w:kern w:val="0"/>
                <w:sz w:val="24"/>
                <w:highlight w:val="none"/>
                <w:lang w:eastAsia="zh-CN"/>
              </w:rPr>
              <w:fldChar w:fldCharType="end"/>
            </w:r>
            <w:r>
              <w:rPr>
                <w:rFonts w:hint="eastAsia" w:ascii="仿宋" w:hAnsi="仿宋" w:eastAsia="仿宋" w:cs="宋体"/>
                <w:b w:val="0"/>
                <w:bCs w:val="0"/>
                <w:snapToGrid w:val="0"/>
                <w:color w:val="auto"/>
                <w:kern w:val="0"/>
                <w:sz w:val="24"/>
                <w:highlight w:val="none"/>
                <w:lang w:eastAsia="zh-CN"/>
              </w:rPr>
              <w:t>、</w:t>
            </w:r>
            <w:r>
              <w:rPr>
                <w:rFonts w:hint="eastAsia" w:ascii="仿宋" w:hAnsi="仿宋" w:eastAsia="仿宋" w:cs="宋体"/>
                <w:b w:val="0"/>
                <w:bCs w:val="0"/>
                <w:snapToGrid w:val="0"/>
                <w:color w:val="auto"/>
                <w:kern w:val="0"/>
                <w:sz w:val="24"/>
                <w:highlight w:val="none"/>
                <w:lang w:eastAsia="zh-CN"/>
              </w:rPr>
              <w:fldChar w:fldCharType="begin"/>
            </w:r>
            <w:r>
              <w:rPr>
                <w:rFonts w:hint="eastAsia" w:ascii="仿宋" w:hAnsi="仿宋" w:eastAsia="仿宋" w:cs="宋体"/>
                <w:b w:val="0"/>
                <w:bCs w:val="0"/>
                <w:snapToGrid w:val="0"/>
                <w:color w:val="auto"/>
                <w:kern w:val="0"/>
                <w:sz w:val="24"/>
                <w:highlight w:val="none"/>
                <w:lang w:eastAsia="zh-CN"/>
              </w:rPr>
              <w:instrText xml:space="preserve"> HYPERLINK "https://s.taobao.com/search?q=%E5%A4%A7%E7%B1%B35kg&amp;suggest=0_2&amp;commend=all&amp;ssid=s5-e&amp;search_type=item&amp;sourceId=tb.index&amp;spm=a21bo.jianhua.201856-taobao-item.2&amp;ie=utf8&amp;initiative_id=tbindexz_20170306&amp;_input_charset=utf-8&amp;wq=%E5%A4%A7%E7%B1%B3&amp;suggest_query=%E5%A4%A7%E7%B1%B3&amp;source=suggest&amp;filter=reserve_price%5b50,70%5d" \o "金龙鱼" </w:instrText>
            </w:r>
            <w:r>
              <w:rPr>
                <w:rFonts w:hint="eastAsia" w:ascii="仿宋" w:hAnsi="仿宋" w:eastAsia="仿宋" w:cs="宋体"/>
                <w:b w:val="0"/>
                <w:bCs w:val="0"/>
                <w:snapToGrid w:val="0"/>
                <w:color w:val="auto"/>
                <w:kern w:val="0"/>
                <w:sz w:val="24"/>
                <w:highlight w:val="none"/>
                <w:lang w:eastAsia="zh-CN"/>
              </w:rPr>
              <w:fldChar w:fldCharType="separate"/>
            </w:r>
            <w:r>
              <w:rPr>
                <w:rFonts w:hint="eastAsia" w:ascii="仿宋" w:hAnsi="仿宋" w:eastAsia="仿宋" w:cs="宋体"/>
                <w:b w:val="0"/>
                <w:bCs w:val="0"/>
                <w:snapToGrid w:val="0"/>
                <w:color w:val="auto"/>
                <w:kern w:val="0"/>
                <w:sz w:val="24"/>
                <w:highlight w:val="none"/>
                <w:lang w:eastAsia="zh-CN"/>
              </w:rPr>
              <w:t>金龙鱼</w:t>
            </w:r>
            <w:r>
              <w:rPr>
                <w:rFonts w:hint="eastAsia" w:ascii="仿宋" w:hAnsi="仿宋" w:eastAsia="仿宋" w:cs="宋体"/>
                <w:b w:val="0"/>
                <w:bCs w:val="0"/>
                <w:snapToGrid w:val="0"/>
                <w:color w:val="auto"/>
                <w:kern w:val="0"/>
                <w:sz w:val="24"/>
                <w:highlight w:val="none"/>
                <w:lang w:eastAsia="zh-CN"/>
              </w:rPr>
              <w:fldChar w:fldCharType="end"/>
            </w:r>
            <w:r>
              <w:rPr>
                <w:rFonts w:hint="eastAsia" w:ascii="仿宋" w:hAnsi="仿宋" w:eastAsia="仿宋" w:cs="宋体"/>
                <w:b w:val="0"/>
                <w:bCs w:val="0"/>
                <w:snapToGrid w:val="0"/>
                <w:color w:val="auto"/>
                <w:kern w:val="0"/>
                <w:sz w:val="24"/>
                <w:highlight w:val="none"/>
                <w:lang w:eastAsia="zh-CN"/>
              </w:rPr>
              <w:t>等同档次同品质品牌或更高档次及品牌；</w:t>
            </w:r>
          </w:p>
          <w:p w14:paraId="0B3DD653">
            <w:pPr>
              <w:pageBreakBefore w:val="0"/>
              <w:kinsoku/>
              <w:wordWrap/>
              <w:overflowPunct/>
              <w:topLinePunct w:val="0"/>
              <w:bidi w:val="0"/>
              <w:snapToGrid w:val="0"/>
              <w:spacing w:line="240" w:lineRule="auto"/>
              <w:jc w:val="left"/>
              <w:textAlignment w:val="auto"/>
              <w:rPr>
                <w:rFonts w:hint="eastAsia" w:ascii="仿宋" w:hAnsi="仿宋" w:eastAsia="仿宋" w:cs="宋体"/>
                <w:b w:val="0"/>
                <w:bCs w:val="0"/>
                <w:snapToGrid w:val="0"/>
                <w:color w:val="auto"/>
                <w:kern w:val="0"/>
                <w:sz w:val="24"/>
                <w:highlight w:val="none"/>
                <w:lang w:val="en-US" w:eastAsia="zh-CN"/>
              </w:rPr>
            </w:pPr>
            <w:r>
              <w:rPr>
                <w:rFonts w:hint="eastAsia" w:ascii="仿宋" w:hAnsi="仿宋" w:eastAsia="仿宋" w:cs="宋体"/>
                <w:b w:val="0"/>
                <w:bCs w:val="0"/>
                <w:snapToGrid w:val="0"/>
                <w:color w:val="auto"/>
                <w:kern w:val="0"/>
                <w:sz w:val="24"/>
                <w:highlight w:val="none"/>
                <w:lang w:val="en-US" w:eastAsia="zh-CN"/>
              </w:rPr>
              <w:t>洗浴用品：资生堂、潘婷、海飞丝、舒肤佳、多芬、力士等同档次同品质品牌或更高档次及品牌</w:t>
            </w:r>
          </w:p>
        </w:tc>
      </w:tr>
    </w:tbl>
    <w:p w14:paraId="35D473EA">
      <w:pPr>
        <w:pageBreakBefore w:val="0"/>
        <w:numPr>
          <w:ilvl w:val="-1"/>
          <w:numId w:val="0"/>
        </w:numPr>
        <w:kinsoku/>
        <w:wordWrap/>
        <w:overflowPunct/>
        <w:topLinePunct w:val="0"/>
        <w:bidi w:val="0"/>
        <w:adjustRightInd/>
        <w:snapToGrid w:val="0"/>
        <w:spacing w:line="360" w:lineRule="auto"/>
        <w:ind w:left="0" w:leftChars="0" w:firstLine="482" w:firstLineChars="200"/>
        <w:jc w:val="left"/>
        <w:textAlignment w:val="auto"/>
        <w:outlineLvl w:val="9"/>
        <w:rPr>
          <w:rFonts w:hint="eastAsia" w:ascii="仿宋" w:hAnsi="仿宋" w:eastAsia="仿宋" w:cs="宋体"/>
          <w:b/>
          <w:bCs/>
          <w:i w:val="0"/>
          <w:iCs w:val="0"/>
          <w:caps w:val="0"/>
          <w:snapToGrid w:val="0"/>
          <w:color w:val="auto"/>
          <w:spacing w:val="0"/>
          <w:kern w:val="0"/>
          <w:sz w:val="24"/>
          <w:szCs w:val="24"/>
          <w:highlight w:val="none"/>
          <w:shd w:val="clear"/>
        </w:rPr>
      </w:pPr>
      <w:r>
        <w:rPr>
          <w:rStyle w:val="69"/>
          <w:rFonts w:hint="eastAsia" w:ascii="仿宋" w:hAnsi="仿宋" w:eastAsia="仿宋" w:cs="宋体"/>
          <w:b/>
          <w:bCs/>
          <w:i w:val="0"/>
          <w:iCs w:val="0"/>
          <w:caps w:val="0"/>
          <w:snapToGrid w:val="0"/>
          <w:color w:val="auto"/>
          <w:spacing w:val="0"/>
          <w:kern w:val="0"/>
          <w:sz w:val="24"/>
          <w:szCs w:val="24"/>
          <w:highlight w:val="none"/>
          <w:shd w:val="clear" w:fill="FFFFFF"/>
        </w:rPr>
        <w:t>注：1.本表格中所列品牌仅供投标人参考，并非指定。投标人可提供同档次、同品质的其他品牌产品。</w:t>
      </w:r>
    </w:p>
    <w:p w14:paraId="2FD6B826">
      <w:pPr>
        <w:pageBreakBefore w:val="0"/>
        <w:numPr>
          <w:ilvl w:val="-1"/>
          <w:numId w:val="0"/>
        </w:numPr>
        <w:kinsoku/>
        <w:wordWrap/>
        <w:overflowPunct/>
        <w:topLinePunct w:val="0"/>
        <w:bidi w:val="0"/>
        <w:adjustRightInd/>
        <w:snapToGrid w:val="0"/>
        <w:spacing w:line="360" w:lineRule="auto"/>
        <w:ind w:left="0" w:leftChars="0" w:firstLine="480" w:firstLineChars="200"/>
        <w:jc w:val="left"/>
        <w:textAlignment w:val="auto"/>
        <w:outlineLvl w:val="9"/>
        <w:rPr>
          <w:rFonts w:hint="eastAsia" w:ascii="仿宋" w:hAnsi="仿宋" w:eastAsia="仿宋" w:cs="宋体"/>
          <w:b/>
          <w:bCs/>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w:t>
      </w:r>
      <w:r>
        <w:rPr>
          <w:rStyle w:val="69"/>
          <w:rFonts w:hint="eastAsia" w:ascii="仿宋" w:hAnsi="仿宋" w:eastAsia="仿宋" w:cs="宋体"/>
          <w:b/>
          <w:bCs/>
          <w:i w:val="0"/>
          <w:iCs w:val="0"/>
          <w:caps w:val="0"/>
          <w:snapToGrid w:val="0"/>
          <w:color w:val="auto"/>
          <w:spacing w:val="0"/>
          <w:kern w:val="0"/>
          <w:sz w:val="24"/>
          <w:szCs w:val="24"/>
          <w:highlight w:val="none"/>
          <w:shd w:val="clear" w:fill="FFFFFF"/>
        </w:rPr>
        <w:t>2.所有产品（包括表格中提及的国内外品牌）均须为在中国境内生产（即非进口产品）。投标人须在投标文件中承诺所提供的产品产地为中国大陆，并在供货时提供相关证明材料（如产品合格证、生产许可证等）。</w:t>
      </w:r>
    </w:p>
    <w:p w14:paraId="52F17B12">
      <w:pPr>
        <w:pStyle w:val="4"/>
        <w:pageBreakBefore w:val="0"/>
        <w:kinsoku/>
        <w:wordWrap/>
        <w:overflowPunct/>
        <w:topLinePunct w:val="0"/>
        <w:bidi w:val="0"/>
        <w:adjustRightInd/>
        <w:snapToGrid w:val="0"/>
        <w:ind w:left="0" w:leftChars="0" w:firstLineChars="200"/>
        <w:jc w:val="left"/>
        <w:textAlignment w:val="auto"/>
        <w:outlineLvl w:val="9"/>
        <w:rPr>
          <w:rFonts w:hint="eastAsia"/>
          <w:color w:val="auto"/>
          <w:highlight w:val="none"/>
          <w:lang w:val="en-US"/>
        </w:rPr>
      </w:pPr>
      <w:r>
        <w:rPr>
          <w:rFonts w:hint="eastAsia" w:ascii="仿宋" w:hAnsi="仿宋" w:eastAsia="仿宋" w:cs="仿宋"/>
          <w:b/>
          <w:color w:val="auto"/>
          <w:sz w:val="28"/>
          <w:highlight w:val="none"/>
          <w:lang w:val="en-US" w:eastAsia="zh-CN"/>
        </w:rPr>
        <w:t>四、</w:t>
      </w:r>
      <w:r>
        <w:rPr>
          <w:rFonts w:hint="eastAsia" w:ascii="仿宋" w:hAnsi="仿宋" w:eastAsia="仿宋" w:cs="仿宋"/>
          <w:b/>
          <w:color w:val="auto"/>
          <w:sz w:val="28"/>
          <w:highlight w:val="none"/>
          <w:lang w:val="en-US"/>
        </w:rPr>
        <w:t>商务条款</w:t>
      </w:r>
    </w:p>
    <w:p w14:paraId="58186821">
      <w:pPr>
        <w:pageBreakBefore w:val="0"/>
        <w:widowControl/>
        <w:kinsoku/>
        <w:wordWrap/>
        <w:overflowPunct/>
        <w:topLinePunct w:val="0"/>
        <w:bidi w:val="0"/>
        <w:spacing w:line="360" w:lineRule="auto"/>
        <w:ind w:firstLine="480" w:firstLineChars="200"/>
        <w:textAlignment w:val="auto"/>
        <w:rPr>
          <w:rFonts w:hint="eastAsia" w:ascii="仿宋" w:hAnsi="仿宋" w:eastAsia="仿宋" w:cs="宋体"/>
          <w:color w:val="auto"/>
          <w:sz w:val="24"/>
          <w:highlight w:val="none"/>
          <w:lang w:bidi="ar"/>
        </w:rPr>
      </w:pPr>
      <w:r>
        <w:rPr>
          <w:rFonts w:hint="eastAsia" w:ascii="宋体" w:hAnsi="宋体" w:eastAsia="宋体" w:cs="宋体"/>
          <w:snapToGrid w:val="0"/>
          <w:color w:val="auto"/>
          <w:kern w:val="0"/>
          <w:sz w:val="24"/>
          <w:highlight w:val="none"/>
          <w:lang w:val="en-US" w:eastAsia="zh-CN"/>
        </w:rPr>
        <w:t>▲</w:t>
      </w:r>
      <w:r>
        <w:rPr>
          <w:rFonts w:hint="eastAsia" w:ascii="仿宋" w:hAnsi="仿宋" w:eastAsia="仿宋" w:cs="宋体"/>
          <w:snapToGrid w:val="0"/>
          <w:color w:val="auto"/>
          <w:kern w:val="0"/>
          <w:sz w:val="24"/>
          <w:highlight w:val="none"/>
          <w:lang w:val="en-US" w:eastAsia="zh-CN"/>
        </w:rPr>
        <w:t>1.投标报价：</w:t>
      </w:r>
      <w:r>
        <w:rPr>
          <w:rFonts w:hint="eastAsia" w:ascii="仿宋" w:hAnsi="仿宋" w:eastAsia="仿宋" w:cs="宋体"/>
          <w:color w:val="auto"/>
          <w:sz w:val="24"/>
          <w:highlight w:val="none"/>
          <w:lang w:val="en-US" w:eastAsia="zh-CN" w:bidi="ar"/>
        </w:rPr>
        <w:t>本项目为固定单价合同，最高单价限价（130元/人/次），</w:t>
      </w:r>
      <w:r>
        <w:rPr>
          <w:rFonts w:hint="eastAsia" w:ascii="仿宋" w:hAnsi="仿宋" w:eastAsia="仿宋" w:cs="宋体"/>
          <w:color w:val="auto"/>
          <w:sz w:val="24"/>
          <w:highlight w:val="none"/>
          <w:lang w:bidi="ar"/>
        </w:rPr>
        <w:t>供应商报价超过最高限价的为无效标。</w:t>
      </w:r>
      <w:r>
        <w:rPr>
          <w:rFonts w:hint="eastAsia" w:ascii="仿宋" w:hAnsi="仿宋" w:eastAsia="仿宋" w:cs="宋体"/>
          <w:color w:val="auto"/>
          <w:sz w:val="24"/>
          <w:highlight w:val="none"/>
          <w:lang w:val="en-US" w:eastAsia="zh-CN" w:bidi="ar"/>
        </w:rPr>
        <w:t>人数暂按</w:t>
      </w:r>
      <w:r>
        <w:rPr>
          <w:rFonts w:hint="eastAsia" w:ascii="仿宋" w:hAnsi="仿宋" w:eastAsia="仿宋" w:cs="宋体"/>
          <w:snapToGrid w:val="0"/>
          <w:color w:val="auto"/>
          <w:kern w:val="0"/>
          <w:sz w:val="24"/>
          <w:highlight w:val="none"/>
          <w:lang w:val="en-US" w:eastAsia="zh-CN"/>
        </w:rPr>
        <w:t>17770</w:t>
      </w:r>
      <w:r>
        <w:rPr>
          <w:rFonts w:hint="eastAsia" w:ascii="仿宋" w:hAnsi="仿宋" w:eastAsia="仿宋" w:cs="宋体"/>
          <w:color w:val="auto"/>
          <w:sz w:val="24"/>
          <w:highlight w:val="none"/>
          <w:lang w:val="en-US" w:eastAsia="zh-CN" w:bidi="ar"/>
        </w:rPr>
        <w:t>人计算，最终以实际参加活动人数计算（最终结算总金额追加服务的采购金额不超过原合同采购金额10%）。投标单价是履行合同的最终价格，该价格包括一切人员费用、物品费用、交通、设备及工具、管理费用、税费、利润、投标费用、采购代理费及其他伴随服务等完成合同所需的一切本身和不可或缺的所有工作开支、政策性文件规定及合同包含的所有风险、责任。</w:t>
      </w:r>
    </w:p>
    <w:p w14:paraId="302417D8">
      <w:pPr>
        <w:pageBreakBefore w:val="0"/>
        <w:widowControl/>
        <w:kinsoku/>
        <w:wordWrap/>
        <w:overflowPunct/>
        <w:topLinePunct w:val="0"/>
        <w:bidi w:val="0"/>
        <w:spacing w:line="360" w:lineRule="auto"/>
        <w:ind w:firstLine="480" w:firstLineChars="200"/>
        <w:textAlignment w:val="auto"/>
        <w:rPr>
          <w:rFonts w:hint="eastAsia" w:ascii="仿宋" w:hAnsi="仿宋" w:eastAsia="仿宋" w:cs="宋体"/>
          <w:color w:val="auto"/>
          <w:sz w:val="24"/>
          <w:highlight w:val="none"/>
          <w:lang w:bidi="ar"/>
        </w:rPr>
      </w:pPr>
      <w:r>
        <w:rPr>
          <w:rFonts w:hint="eastAsia" w:ascii="仿宋" w:hAnsi="仿宋" w:eastAsia="仿宋" w:cs="宋体"/>
          <w:color w:val="auto"/>
          <w:sz w:val="24"/>
          <w:highlight w:val="none"/>
          <w:lang w:bidi="ar"/>
        </w:rPr>
        <w:t>▲</w:t>
      </w:r>
      <w:r>
        <w:rPr>
          <w:rFonts w:hint="eastAsia" w:ascii="仿宋" w:hAnsi="仿宋" w:eastAsia="仿宋" w:cs="宋体"/>
          <w:color w:val="auto"/>
          <w:sz w:val="24"/>
          <w:highlight w:val="none"/>
          <w:lang w:val="en-US" w:eastAsia="zh-CN" w:bidi="ar"/>
        </w:rPr>
        <w:t>2</w:t>
      </w:r>
      <w:r>
        <w:rPr>
          <w:rFonts w:hint="eastAsia" w:ascii="仿宋" w:hAnsi="仿宋" w:eastAsia="仿宋" w:cs="宋体"/>
          <w:color w:val="auto"/>
          <w:sz w:val="24"/>
          <w:highlight w:val="none"/>
          <w:lang w:bidi="ar"/>
        </w:rPr>
        <w:t>.付款方式</w:t>
      </w:r>
    </w:p>
    <w:p w14:paraId="0170353B">
      <w:pPr>
        <w:pageBreakBefore w:val="0"/>
        <w:widowControl/>
        <w:kinsoku/>
        <w:wordWrap/>
        <w:overflowPunct/>
        <w:topLinePunct w:val="0"/>
        <w:bidi w:val="0"/>
        <w:spacing w:line="360" w:lineRule="auto"/>
        <w:ind w:firstLine="480" w:firstLineChars="200"/>
        <w:textAlignment w:val="auto"/>
        <w:rPr>
          <w:rFonts w:hint="eastAsia" w:ascii="仿宋" w:hAnsi="仿宋" w:eastAsia="仿宋" w:cs="宋体"/>
          <w:color w:val="auto"/>
          <w:sz w:val="24"/>
          <w:highlight w:val="none"/>
          <w:lang w:val="en-US" w:eastAsia="zh-CN" w:bidi="ar"/>
        </w:rPr>
      </w:pPr>
      <w:r>
        <w:rPr>
          <w:rFonts w:hint="eastAsia" w:ascii="仿宋" w:hAnsi="仿宋" w:eastAsia="仿宋" w:cs="宋体"/>
          <w:color w:val="auto"/>
          <w:sz w:val="24"/>
          <w:highlight w:val="none"/>
          <w:lang w:val="en-US" w:eastAsia="zh-CN" w:bidi="ar"/>
        </w:rPr>
        <w:t>2.1合同生效以及具备实施条件后5个工作日内预付合同总价的40%；</w:t>
      </w:r>
    </w:p>
    <w:p w14:paraId="065EAD3E">
      <w:pPr>
        <w:pageBreakBefore w:val="0"/>
        <w:widowControl/>
        <w:kinsoku/>
        <w:wordWrap/>
        <w:overflowPunct/>
        <w:topLinePunct w:val="0"/>
        <w:bidi w:val="0"/>
        <w:spacing w:line="360" w:lineRule="auto"/>
        <w:ind w:firstLine="480" w:firstLineChars="200"/>
        <w:textAlignment w:val="auto"/>
        <w:rPr>
          <w:rFonts w:hint="eastAsia" w:ascii="仿宋" w:hAnsi="仿宋" w:eastAsia="仿宋" w:cs="宋体"/>
          <w:color w:val="auto"/>
          <w:sz w:val="24"/>
          <w:highlight w:val="none"/>
          <w:lang w:val="en-US" w:eastAsia="zh-CN" w:bidi="ar"/>
        </w:rPr>
      </w:pPr>
      <w:r>
        <w:rPr>
          <w:rFonts w:hint="eastAsia" w:ascii="仿宋" w:hAnsi="仿宋" w:eastAsia="仿宋" w:cs="宋体"/>
          <w:color w:val="auto"/>
          <w:sz w:val="24"/>
          <w:highlight w:val="none"/>
          <w:lang w:val="en-US" w:eastAsia="zh-CN" w:bidi="ar"/>
        </w:rPr>
        <w:t>2.2采购人向中标供应商提供参与活动的人员名单，中标供应商与采购人核准人数后落实活动开展。中标供应商根据实际参与活动人数，按照杭州市企业退休人员专项经费规定，向采购人开具正规发票，采购人审核无异议后向中标供应商支付合同总价的40%，剩余费用至约定的活动截止时间时，中标供应商向采购人提供本年度参与活动的实际人数统计，采购人按实结算给供应商（对于高龄及行动不便的企退人员采取上门慰问的方式进行）。</w:t>
      </w:r>
    </w:p>
    <w:p w14:paraId="04ACFEF4">
      <w:pPr>
        <w:pageBreakBefore w:val="0"/>
        <w:widowControl/>
        <w:kinsoku/>
        <w:wordWrap/>
        <w:overflowPunct/>
        <w:topLinePunct w:val="0"/>
        <w:bidi w:val="0"/>
        <w:spacing w:line="360" w:lineRule="auto"/>
        <w:ind w:firstLine="480" w:firstLineChars="200"/>
        <w:textAlignment w:val="auto"/>
        <w:rPr>
          <w:rFonts w:hint="eastAsia" w:ascii="仿宋" w:hAnsi="仿宋" w:eastAsia="仿宋" w:cs="宋体"/>
          <w:color w:val="auto"/>
          <w:sz w:val="24"/>
          <w:highlight w:val="none"/>
          <w:lang w:val="en-US" w:eastAsia="zh-CN" w:bidi="ar"/>
        </w:rPr>
      </w:pPr>
      <w:r>
        <w:rPr>
          <w:rFonts w:hint="eastAsia" w:ascii="仿宋" w:hAnsi="仿宋" w:eastAsia="仿宋" w:cs="宋体"/>
          <w:color w:val="auto"/>
          <w:sz w:val="24"/>
          <w:highlight w:val="none"/>
          <w:lang w:val="en-US" w:eastAsia="zh-CN" w:bidi="ar"/>
        </w:rPr>
        <w:t>2.3签订合同时，成交供应商明确表示无需预付款或者主动要求降低预付款比例的，采购人可不适用前述规定。若成交供应商无需预付款的，按下述规定执行：</w:t>
      </w:r>
    </w:p>
    <w:p w14:paraId="16BA37AD">
      <w:pPr>
        <w:pageBreakBefore w:val="0"/>
        <w:kinsoku/>
        <w:wordWrap/>
        <w:overflowPunct/>
        <w:topLinePunct w:val="0"/>
        <w:bidi w:val="0"/>
        <w:snapToGrid w:val="0"/>
        <w:spacing w:line="360" w:lineRule="auto"/>
        <w:ind w:firstLine="480" w:firstLineChars="200"/>
        <w:jc w:val="left"/>
        <w:textAlignment w:val="auto"/>
        <w:rPr>
          <w:rFonts w:hint="eastAsia" w:ascii="仿宋" w:hAnsi="仿宋" w:eastAsia="仿宋" w:cs="宋体"/>
          <w:color w:val="auto"/>
          <w:sz w:val="24"/>
          <w:highlight w:val="none"/>
          <w:lang w:val="en-US" w:eastAsia="zh-CN" w:bidi="ar"/>
        </w:rPr>
      </w:pPr>
      <w:r>
        <w:rPr>
          <w:rFonts w:hint="eastAsia" w:ascii="仿宋" w:hAnsi="仿宋" w:eastAsia="仿宋" w:cs="宋体"/>
          <w:color w:val="auto"/>
          <w:sz w:val="24"/>
          <w:highlight w:val="none"/>
          <w:lang w:val="en-US" w:eastAsia="zh-CN" w:bidi="ar"/>
        </w:rPr>
        <w:t>采购人向中标供应商提供参与活动的人员名单，中标供应商与采购人核准人数后落实活动开展。中标供应商根据实际参与活动人数，按照杭州市企业退休人员专项经费规定验收通过后向采购人开具正规发票，采购人审核无异议后于活动组织次月按实向中标供应商支付活动费用（对于高龄及行动不便的企退人员采取上门慰问的方式进行）</w:t>
      </w:r>
    </w:p>
    <w:p w14:paraId="51EA5127">
      <w:pPr>
        <w:pageBreakBefore w:val="0"/>
        <w:kinsoku/>
        <w:wordWrap/>
        <w:overflowPunct/>
        <w:topLinePunct w:val="0"/>
        <w:bidi w:val="0"/>
        <w:snapToGrid w:val="0"/>
        <w:spacing w:line="360" w:lineRule="auto"/>
        <w:ind w:firstLine="482" w:firstLineChars="200"/>
        <w:jc w:val="left"/>
        <w:textAlignment w:val="auto"/>
        <w:rPr>
          <w:rFonts w:ascii="仿宋" w:hAnsi="仿宋" w:eastAsia="仿宋" w:cs="宋体"/>
          <w:b/>
          <w:bCs/>
          <w:snapToGrid w:val="0"/>
          <w:color w:val="auto"/>
          <w:kern w:val="0"/>
          <w:sz w:val="24"/>
          <w:highlight w:val="none"/>
        </w:rPr>
      </w:pPr>
      <w:r>
        <w:rPr>
          <w:rFonts w:hint="eastAsia" w:ascii="仿宋" w:hAnsi="仿宋" w:eastAsia="仿宋" w:cs="宋体"/>
          <w:b/>
          <w:bCs/>
          <w:snapToGrid w:val="0"/>
          <w:color w:val="auto"/>
          <w:kern w:val="0"/>
          <w:sz w:val="24"/>
          <w:highlight w:val="none"/>
          <w:lang w:val="en-US" w:eastAsia="zh-CN"/>
        </w:rPr>
        <w:t>3</w:t>
      </w:r>
      <w:r>
        <w:rPr>
          <w:rFonts w:hint="eastAsia" w:ascii="仿宋" w:hAnsi="仿宋" w:eastAsia="仿宋" w:cs="宋体"/>
          <w:b/>
          <w:bCs/>
          <w:snapToGrid w:val="0"/>
          <w:color w:val="auto"/>
          <w:kern w:val="0"/>
          <w:sz w:val="24"/>
          <w:highlight w:val="none"/>
        </w:rPr>
        <w:t>.供应商应当遵循下列相关规范：</w:t>
      </w:r>
    </w:p>
    <w:p w14:paraId="03CFDBD0">
      <w:pPr>
        <w:pageBreakBefore w:val="0"/>
        <w:kinsoku/>
        <w:wordWrap/>
        <w:overflowPunct/>
        <w:topLinePunct w:val="0"/>
        <w:bidi w:val="0"/>
        <w:snapToGrid w:val="0"/>
        <w:spacing w:line="360" w:lineRule="auto"/>
        <w:ind w:firstLine="480" w:firstLineChars="200"/>
        <w:jc w:val="left"/>
        <w:textAlignment w:val="auto"/>
        <w:rPr>
          <w:rFonts w:ascii="仿宋" w:hAnsi="仿宋" w:eastAsia="仿宋" w:cs="宋体"/>
          <w:snapToGrid w:val="0"/>
          <w:color w:val="auto"/>
          <w:kern w:val="0"/>
          <w:sz w:val="24"/>
          <w:highlight w:val="none"/>
        </w:rPr>
      </w:pPr>
      <w:r>
        <w:rPr>
          <w:rFonts w:hint="eastAsia" w:ascii="仿宋" w:hAnsi="仿宋" w:eastAsia="仿宋" w:cs="宋体"/>
          <w:snapToGrid w:val="0"/>
          <w:color w:val="auto"/>
          <w:kern w:val="0"/>
          <w:sz w:val="24"/>
          <w:highlight w:val="none"/>
          <w:lang w:val="en-US" w:eastAsia="zh-CN"/>
        </w:rPr>
        <w:t>3</w:t>
      </w:r>
      <w:r>
        <w:rPr>
          <w:rFonts w:hint="eastAsia" w:ascii="仿宋" w:hAnsi="仿宋" w:eastAsia="仿宋" w:cs="宋体"/>
          <w:snapToGrid w:val="0"/>
          <w:color w:val="auto"/>
          <w:kern w:val="0"/>
          <w:sz w:val="24"/>
          <w:highlight w:val="none"/>
        </w:rPr>
        <w:t>.1供应商应设有相对独立的服务热线电话和服务质量投诉电话，指定专人负责本项目的业务。</w:t>
      </w:r>
    </w:p>
    <w:p w14:paraId="318BF9B4">
      <w:pPr>
        <w:pageBreakBefore w:val="0"/>
        <w:kinsoku/>
        <w:wordWrap/>
        <w:overflowPunct/>
        <w:topLinePunct w:val="0"/>
        <w:bidi w:val="0"/>
        <w:snapToGrid w:val="0"/>
        <w:spacing w:line="360" w:lineRule="auto"/>
        <w:ind w:firstLine="480" w:firstLineChars="200"/>
        <w:jc w:val="left"/>
        <w:textAlignment w:val="auto"/>
        <w:rPr>
          <w:rFonts w:ascii="仿宋" w:hAnsi="仿宋" w:eastAsia="仿宋" w:cs="宋体"/>
          <w:snapToGrid w:val="0"/>
          <w:color w:val="auto"/>
          <w:kern w:val="0"/>
          <w:sz w:val="24"/>
          <w:highlight w:val="none"/>
        </w:rPr>
      </w:pPr>
      <w:r>
        <w:rPr>
          <w:rFonts w:hint="eastAsia" w:ascii="仿宋" w:hAnsi="仿宋" w:eastAsia="仿宋" w:cs="宋体"/>
          <w:snapToGrid w:val="0"/>
          <w:color w:val="auto"/>
          <w:kern w:val="0"/>
          <w:sz w:val="24"/>
          <w:highlight w:val="none"/>
          <w:lang w:val="en-US" w:eastAsia="zh-CN"/>
        </w:rPr>
        <w:t>3</w:t>
      </w:r>
      <w:r>
        <w:rPr>
          <w:rFonts w:hint="eastAsia" w:ascii="仿宋" w:hAnsi="仿宋" w:eastAsia="仿宋" w:cs="宋体"/>
          <w:snapToGrid w:val="0"/>
          <w:color w:val="auto"/>
          <w:kern w:val="0"/>
          <w:sz w:val="24"/>
          <w:highlight w:val="none"/>
        </w:rPr>
        <w:t>.2供应商应诚实信用，严格遵守中标的价格和服务承诺，提供价格公道、优质高效的服务。</w:t>
      </w:r>
    </w:p>
    <w:p w14:paraId="0EFCF35B">
      <w:pPr>
        <w:pageBreakBefore w:val="0"/>
        <w:kinsoku/>
        <w:wordWrap/>
        <w:overflowPunct/>
        <w:topLinePunct w:val="0"/>
        <w:bidi w:val="0"/>
        <w:snapToGrid w:val="0"/>
        <w:spacing w:line="360" w:lineRule="auto"/>
        <w:ind w:firstLine="480" w:firstLineChars="200"/>
        <w:jc w:val="left"/>
        <w:textAlignment w:val="auto"/>
        <w:rPr>
          <w:rFonts w:ascii="仿宋" w:hAnsi="仿宋" w:eastAsia="仿宋" w:cs="宋体"/>
          <w:snapToGrid w:val="0"/>
          <w:color w:val="auto"/>
          <w:kern w:val="0"/>
          <w:sz w:val="24"/>
          <w:highlight w:val="none"/>
        </w:rPr>
      </w:pPr>
      <w:r>
        <w:rPr>
          <w:rFonts w:hint="eastAsia" w:ascii="仿宋" w:hAnsi="仿宋" w:eastAsia="仿宋" w:cs="宋体"/>
          <w:snapToGrid w:val="0"/>
          <w:color w:val="auto"/>
          <w:kern w:val="0"/>
          <w:sz w:val="24"/>
          <w:highlight w:val="none"/>
          <w:lang w:val="en-US" w:eastAsia="zh-CN"/>
        </w:rPr>
        <w:t>3</w:t>
      </w:r>
      <w:r>
        <w:rPr>
          <w:rFonts w:hint="eastAsia" w:ascii="仿宋" w:hAnsi="仿宋" w:eastAsia="仿宋" w:cs="宋体"/>
          <w:snapToGrid w:val="0"/>
          <w:color w:val="auto"/>
          <w:kern w:val="0"/>
          <w:sz w:val="24"/>
          <w:highlight w:val="none"/>
        </w:rPr>
        <w:t>.3供应商未按合同标准提供相关服务的，给参与者造成损失的，承担违约责任，依法赔偿。</w:t>
      </w:r>
    </w:p>
    <w:p w14:paraId="63E44745">
      <w:pPr>
        <w:pageBreakBefore w:val="0"/>
        <w:kinsoku/>
        <w:wordWrap/>
        <w:overflowPunct/>
        <w:topLinePunct w:val="0"/>
        <w:bidi w:val="0"/>
        <w:snapToGrid w:val="0"/>
        <w:spacing w:line="360" w:lineRule="auto"/>
        <w:ind w:firstLine="480" w:firstLineChars="200"/>
        <w:jc w:val="left"/>
        <w:textAlignment w:val="auto"/>
        <w:rPr>
          <w:rFonts w:hint="eastAsia" w:ascii="仿宋" w:hAnsi="仿宋" w:eastAsia="仿宋" w:cs="宋体"/>
          <w:snapToGrid w:val="0"/>
          <w:color w:val="auto"/>
          <w:kern w:val="0"/>
          <w:sz w:val="24"/>
          <w:highlight w:val="none"/>
        </w:rPr>
      </w:pPr>
      <w:r>
        <w:rPr>
          <w:rFonts w:hint="eastAsia" w:ascii="仿宋" w:hAnsi="仿宋" w:eastAsia="仿宋" w:cs="宋体"/>
          <w:snapToGrid w:val="0"/>
          <w:color w:val="auto"/>
          <w:kern w:val="0"/>
          <w:sz w:val="24"/>
          <w:highlight w:val="none"/>
          <w:lang w:val="en-US" w:eastAsia="zh-CN"/>
        </w:rPr>
        <w:t>3</w:t>
      </w:r>
      <w:r>
        <w:rPr>
          <w:rFonts w:hint="eastAsia" w:ascii="仿宋" w:hAnsi="仿宋" w:eastAsia="仿宋" w:cs="宋体"/>
          <w:snapToGrid w:val="0"/>
          <w:color w:val="auto"/>
          <w:kern w:val="0"/>
          <w:sz w:val="24"/>
          <w:highlight w:val="none"/>
        </w:rPr>
        <w:t>.4国家及地方主管部门制定的相关规范。</w:t>
      </w:r>
    </w:p>
    <w:p w14:paraId="6C9AEE71">
      <w:pPr>
        <w:pStyle w:val="4"/>
        <w:pageBreakBefore w:val="0"/>
        <w:kinsoku/>
        <w:wordWrap/>
        <w:overflowPunct/>
        <w:topLinePunct w:val="0"/>
        <w:bidi w:val="0"/>
        <w:textAlignment w:val="auto"/>
        <w:rPr>
          <w:rFonts w:hint="eastAsia" w:ascii="仿宋" w:hAnsi="仿宋" w:eastAsia="仿宋" w:cs="仿宋"/>
          <w:b/>
          <w:bCs/>
          <w:snapToGrid/>
          <w:color w:val="auto"/>
          <w:kern w:val="2"/>
          <w:sz w:val="28"/>
          <w:highlight w:val="none"/>
          <w:lang w:val="en-US" w:eastAsia="zh-CN"/>
        </w:rPr>
      </w:pPr>
      <w:r>
        <w:rPr>
          <w:rFonts w:hint="eastAsia" w:ascii="仿宋" w:hAnsi="仿宋" w:eastAsia="仿宋" w:cs="仿宋"/>
          <w:b/>
          <w:bCs/>
          <w:snapToGrid/>
          <w:color w:val="auto"/>
          <w:kern w:val="2"/>
          <w:sz w:val="28"/>
          <w:highlight w:val="none"/>
          <w:lang w:val="en-US" w:eastAsia="zh-CN"/>
        </w:rPr>
        <w:t>五</w:t>
      </w:r>
      <w:r>
        <w:rPr>
          <w:rFonts w:hint="eastAsia" w:ascii="仿宋" w:hAnsi="仿宋" w:eastAsia="仿宋" w:cs="仿宋"/>
          <w:b/>
          <w:bCs/>
          <w:snapToGrid/>
          <w:color w:val="auto"/>
          <w:kern w:val="2"/>
          <w:sz w:val="28"/>
          <w:highlight w:val="none"/>
          <w:lang w:val="en-US"/>
        </w:rPr>
        <w:t>、验收标准</w:t>
      </w:r>
    </w:p>
    <w:p w14:paraId="10771743">
      <w:pPr>
        <w:pageBreakBefore w:val="0"/>
        <w:kinsoku/>
        <w:wordWrap/>
        <w:overflowPunct/>
        <w:topLinePunct w:val="0"/>
        <w:bidi w:val="0"/>
        <w:snapToGrid w:val="0"/>
        <w:spacing w:line="360" w:lineRule="auto"/>
        <w:ind w:firstLine="480" w:firstLineChars="200"/>
        <w:jc w:val="left"/>
        <w:textAlignment w:val="auto"/>
        <w:rPr>
          <w:rFonts w:ascii="仿宋" w:hAnsi="仿宋" w:eastAsia="仿宋" w:cs="宋体"/>
          <w:snapToGrid w:val="0"/>
          <w:color w:val="auto"/>
          <w:kern w:val="0"/>
          <w:sz w:val="24"/>
          <w:highlight w:val="none"/>
        </w:rPr>
      </w:pPr>
      <w:r>
        <w:rPr>
          <w:rFonts w:hint="eastAsia" w:ascii="仿宋" w:hAnsi="仿宋" w:eastAsia="仿宋" w:cs="宋体"/>
          <w:color w:val="auto"/>
          <w:kern w:val="0"/>
          <w:sz w:val="24"/>
          <w:highlight w:val="none"/>
        </w:rPr>
        <w:t>1.采购人应委托第三方进行满意度调查，调查费用由中标供应商承担，费</w:t>
      </w:r>
      <w:r>
        <w:rPr>
          <w:rFonts w:hint="eastAsia" w:ascii="仿宋" w:hAnsi="仿宋" w:eastAsia="仿宋" w:cs="宋体"/>
          <w:snapToGrid w:val="0"/>
          <w:color w:val="auto"/>
          <w:kern w:val="0"/>
          <w:sz w:val="24"/>
          <w:highlight w:val="none"/>
        </w:rPr>
        <w:t>用含在投标报价中。</w:t>
      </w:r>
    </w:p>
    <w:p w14:paraId="4B4DB5B2">
      <w:pPr>
        <w:pageBreakBefore w:val="0"/>
        <w:kinsoku/>
        <w:wordWrap/>
        <w:overflowPunct/>
        <w:topLinePunct w:val="0"/>
        <w:bidi w:val="0"/>
        <w:snapToGrid w:val="0"/>
        <w:spacing w:line="360" w:lineRule="auto"/>
        <w:ind w:firstLine="480" w:firstLineChars="200"/>
        <w:jc w:val="left"/>
        <w:textAlignment w:val="auto"/>
        <w:rPr>
          <w:rFonts w:ascii="仿宋" w:hAnsi="仿宋" w:eastAsia="仿宋" w:cs="宋体"/>
          <w:snapToGrid w:val="0"/>
          <w:color w:val="auto"/>
          <w:kern w:val="0"/>
          <w:sz w:val="24"/>
          <w:highlight w:val="none"/>
        </w:rPr>
      </w:pPr>
      <w:r>
        <w:rPr>
          <w:rFonts w:hint="eastAsia" w:ascii="仿宋" w:hAnsi="仿宋" w:eastAsia="仿宋" w:cs="宋体"/>
          <w:snapToGrid w:val="0"/>
          <w:color w:val="auto"/>
          <w:kern w:val="0"/>
          <w:sz w:val="24"/>
          <w:highlight w:val="none"/>
        </w:rPr>
        <w:t>2.验收标准</w:t>
      </w:r>
    </w:p>
    <w:p w14:paraId="5FD6306E">
      <w:pPr>
        <w:pageBreakBefore w:val="0"/>
        <w:kinsoku/>
        <w:wordWrap/>
        <w:overflowPunct/>
        <w:topLinePunct w:val="0"/>
        <w:bidi w:val="0"/>
        <w:snapToGrid w:val="0"/>
        <w:spacing w:line="360" w:lineRule="auto"/>
        <w:ind w:firstLine="480" w:firstLineChars="200"/>
        <w:jc w:val="left"/>
        <w:textAlignment w:val="auto"/>
        <w:rPr>
          <w:rFonts w:ascii="仿宋" w:hAnsi="仿宋" w:eastAsia="仿宋" w:cs="宋体"/>
          <w:snapToGrid w:val="0"/>
          <w:color w:val="auto"/>
          <w:kern w:val="0"/>
          <w:sz w:val="24"/>
          <w:highlight w:val="none"/>
        </w:rPr>
      </w:pPr>
      <w:r>
        <w:rPr>
          <w:rFonts w:hint="eastAsia" w:ascii="仿宋" w:hAnsi="仿宋" w:eastAsia="仿宋" w:cs="宋体"/>
          <w:snapToGrid w:val="0"/>
          <w:color w:val="auto"/>
          <w:kern w:val="0"/>
          <w:sz w:val="24"/>
          <w:highlight w:val="none"/>
        </w:rPr>
        <w:t>（1）服务记录合格率≥90%；</w:t>
      </w:r>
    </w:p>
    <w:p w14:paraId="010FCDD5">
      <w:pPr>
        <w:pageBreakBefore w:val="0"/>
        <w:kinsoku/>
        <w:wordWrap/>
        <w:overflowPunct/>
        <w:topLinePunct w:val="0"/>
        <w:bidi w:val="0"/>
        <w:snapToGrid w:val="0"/>
        <w:spacing w:line="360" w:lineRule="auto"/>
        <w:ind w:firstLine="480" w:firstLineChars="200"/>
        <w:jc w:val="left"/>
        <w:textAlignment w:val="auto"/>
        <w:rPr>
          <w:rFonts w:ascii="仿宋" w:hAnsi="仿宋" w:eastAsia="仿宋" w:cs="宋体"/>
          <w:snapToGrid w:val="0"/>
          <w:color w:val="auto"/>
          <w:kern w:val="0"/>
          <w:sz w:val="24"/>
          <w:highlight w:val="none"/>
        </w:rPr>
      </w:pPr>
      <w:r>
        <w:rPr>
          <w:rFonts w:hint="eastAsia" w:ascii="仿宋" w:hAnsi="仿宋" w:eastAsia="仿宋" w:cs="宋体"/>
          <w:snapToGrid w:val="0"/>
          <w:color w:val="auto"/>
          <w:kern w:val="0"/>
          <w:sz w:val="24"/>
          <w:highlight w:val="none"/>
        </w:rPr>
        <w:t>（2）服务满意率85%以上（含85%）；</w:t>
      </w:r>
    </w:p>
    <w:p w14:paraId="620EBD37">
      <w:pPr>
        <w:pageBreakBefore w:val="0"/>
        <w:kinsoku/>
        <w:wordWrap/>
        <w:overflowPunct/>
        <w:topLinePunct w:val="0"/>
        <w:bidi w:val="0"/>
        <w:snapToGrid w:val="0"/>
        <w:spacing w:line="360" w:lineRule="auto"/>
        <w:ind w:firstLine="480" w:firstLineChars="200"/>
        <w:jc w:val="left"/>
        <w:textAlignment w:val="auto"/>
        <w:rPr>
          <w:rFonts w:ascii="仿宋" w:hAnsi="仿宋" w:eastAsia="仿宋" w:cs="宋体"/>
          <w:snapToGrid w:val="0"/>
          <w:color w:val="auto"/>
          <w:kern w:val="0"/>
          <w:sz w:val="24"/>
          <w:highlight w:val="none"/>
        </w:rPr>
      </w:pPr>
      <w:r>
        <w:rPr>
          <w:rFonts w:hint="eastAsia" w:ascii="仿宋" w:hAnsi="仿宋" w:eastAsia="仿宋" w:cs="宋体"/>
          <w:snapToGrid w:val="0"/>
          <w:color w:val="auto"/>
          <w:kern w:val="0"/>
          <w:sz w:val="24"/>
          <w:highlight w:val="none"/>
        </w:rPr>
        <w:t>（3）服务安全100%。</w:t>
      </w:r>
    </w:p>
    <w:p w14:paraId="14D879BC">
      <w:pPr>
        <w:pStyle w:val="23"/>
        <w:pageBreakBefore w:val="0"/>
        <w:kinsoku/>
        <w:wordWrap/>
        <w:overflowPunct/>
        <w:topLinePunct w:val="0"/>
        <w:bidi w:val="0"/>
        <w:spacing w:line="360" w:lineRule="auto"/>
        <w:ind w:firstLine="480" w:firstLineChars="200"/>
        <w:textAlignment w:val="auto"/>
        <w:rPr>
          <w:rFonts w:hint="eastAsia" w:ascii="仿宋" w:hAnsi="仿宋" w:eastAsia="仿宋" w:cs="宋体"/>
          <w:color w:val="auto"/>
          <w:kern w:val="0"/>
          <w:szCs w:val="24"/>
          <w:highlight w:val="none"/>
        </w:rPr>
      </w:pPr>
      <w:r>
        <w:rPr>
          <w:rFonts w:hint="eastAsia" w:ascii="仿宋" w:hAnsi="仿宋" w:eastAsia="仿宋" w:cs="宋体"/>
          <w:color w:val="auto"/>
          <w:szCs w:val="24"/>
          <w:highlight w:val="none"/>
          <w:lang w:val="en-US"/>
        </w:rPr>
        <w:t>3.</w:t>
      </w:r>
      <w:r>
        <w:rPr>
          <w:rFonts w:hint="eastAsia" w:ascii="仿宋" w:hAnsi="仿宋" w:eastAsia="仿宋" w:cs="宋体"/>
          <w:color w:val="auto"/>
          <w:szCs w:val="24"/>
          <w:highlight w:val="none"/>
        </w:rPr>
        <w:t>首次满意度调查低于85%，第三方应及时通知</w:t>
      </w:r>
      <w:r>
        <w:rPr>
          <w:rFonts w:hint="eastAsia" w:ascii="仿宋" w:hAnsi="仿宋" w:eastAsia="仿宋" w:cs="宋体"/>
          <w:color w:val="auto"/>
          <w:szCs w:val="24"/>
          <w:highlight w:val="none"/>
          <w:lang w:val="en-US"/>
        </w:rPr>
        <w:t>中标供应商</w:t>
      </w:r>
      <w:r>
        <w:rPr>
          <w:rFonts w:hint="eastAsia" w:ascii="仿宋" w:hAnsi="仿宋" w:eastAsia="仿宋" w:cs="宋体"/>
          <w:color w:val="auto"/>
          <w:szCs w:val="24"/>
          <w:highlight w:val="none"/>
        </w:rPr>
        <w:t>进行整改，</w:t>
      </w:r>
      <w:r>
        <w:rPr>
          <w:rFonts w:hint="eastAsia" w:ascii="仿宋" w:hAnsi="仿宋" w:eastAsia="仿宋" w:cs="宋体"/>
          <w:color w:val="auto"/>
          <w:szCs w:val="24"/>
          <w:highlight w:val="none"/>
          <w:lang w:val="en-US"/>
        </w:rPr>
        <w:t>中标供应商</w:t>
      </w:r>
      <w:r>
        <w:rPr>
          <w:rFonts w:hint="eastAsia" w:ascii="仿宋" w:hAnsi="仿宋" w:eastAsia="仿宋" w:cs="宋体"/>
          <w:color w:val="auto"/>
          <w:szCs w:val="24"/>
          <w:highlight w:val="none"/>
        </w:rPr>
        <w:t>二次或多次低于85%，</w:t>
      </w:r>
      <w:r>
        <w:rPr>
          <w:rFonts w:hint="eastAsia" w:ascii="仿宋" w:hAnsi="仿宋" w:eastAsia="仿宋" w:cs="宋体"/>
          <w:color w:val="auto"/>
          <w:szCs w:val="24"/>
          <w:highlight w:val="none"/>
          <w:lang w:val="en-US"/>
        </w:rPr>
        <w:t>采购人</w:t>
      </w:r>
      <w:r>
        <w:rPr>
          <w:rFonts w:hint="eastAsia" w:ascii="仿宋" w:hAnsi="仿宋" w:eastAsia="仿宋" w:cs="宋体"/>
          <w:color w:val="auto"/>
          <w:szCs w:val="24"/>
          <w:highlight w:val="none"/>
        </w:rPr>
        <w:t>有权单方面终止本协议。</w:t>
      </w:r>
      <w:r>
        <w:rPr>
          <w:rFonts w:hint="eastAsia" w:ascii="仿宋" w:hAnsi="仿宋" w:eastAsia="仿宋" w:cs="宋体"/>
          <w:color w:val="auto"/>
          <w:kern w:val="0"/>
          <w:szCs w:val="24"/>
          <w:highlight w:val="none"/>
        </w:rPr>
        <w:t>如有因</w:t>
      </w:r>
      <w:r>
        <w:rPr>
          <w:rFonts w:hint="eastAsia" w:ascii="仿宋" w:hAnsi="仿宋" w:eastAsia="仿宋" w:cs="宋体"/>
          <w:color w:val="auto"/>
          <w:szCs w:val="24"/>
          <w:highlight w:val="none"/>
          <w:lang w:val="en-US"/>
        </w:rPr>
        <w:t>中标供应商</w:t>
      </w:r>
      <w:r>
        <w:rPr>
          <w:rFonts w:hint="eastAsia" w:ascii="仿宋" w:hAnsi="仿宋" w:eastAsia="仿宋" w:cs="宋体"/>
          <w:color w:val="auto"/>
          <w:kern w:val="0"/>
          <w:szCs w:val="24"/>
          <w:highlight w:val="none"/>
        </w:rPr>
        <w:t>服务不到位，或发生差错事故和意外事件，遭投诉引起纠纷索赔者，由</w:t>
      </w:r>
      <w:r>
        <w:rPr>
          <w:rFonts w:hint="eastAsia" w:ascii="仿宋" w:hAnsi="仿宋" w:eastAsia="仿宋" w:cs="宋体"/>
          <w:color w:val="auto"/>
          <w:szCs w:val="24"/>
          <w:highlight w:val="none"/>
          <w:lang w:val="en-US"/>
        </w:rPr>
        <w:t>中标供应商</w:t>
      </w:r>
      <w:r>
        <w:rPr>
          <w:rFonts w:hint="eastAsia" w:ascii="仿宋" w:hAnsi="仿宋" w:eastAsia="仿宋" w:cs="宋体"/>
          <w:color w:val="auto"/>
          <w:kern w:val="0"/>
          <w:szCs w:val="24"/>
          <w:highlight w:val="none"/>
        </w:rPr>
        <w:t>自行负责，相关费用</w:t>
      </w:r>
      <w:r>
        <w:rPr>
          <w:rFonts w:hint="eastAsia" w:ascii="仿宋" w:hAnsi="仿宋" w:eastAsia="仿宋" w:cs="宋体"/>
          <w:color w:val="auto"/>
          <w:szCs w:val="24"/>
          <w:highlight w:val="none"/>
          <w:lang w:val="en-US"/>
        </w:rPr>
        <w:t>中标供应商</w:t>
      </w:r>
      <w:r>
        <w:rPr>
          <w:rFonts w:hint="eastAsia" w:ascii="仿宋" w:hAnsi="仿宋" w:eastAsia="仿宋" w:cs="宋体"/>
          <w:color w:val="auto"/>
          <w:kern w:val="0"/>
          <w:szCs w:val="24"/>
          <w:highlight w:val="none"/>
        </w:rPr>
        <w:t>自行承担，采购</w:t>
      </w:r>
      <w:r>
        <w:rPr>
          <w:rFonts w:hint="eastAsia" w:ascii="仿宋" w:hAnsi="仿宋" w:eastAsia="仿宋" w:cs="宋体"/>
          <w:color w:val="auto"/>
          <w:kern w:val="0"/>
          <w:szCs w:val="24"/>
          <w:highlight w:val="none"/>
          <w:lang w:val="en-US"/>
        </w:rPr>
        <w:t>人</w:t>
      </w:r>
      <w:r>
        <w:rPr>
          <w:rFonts w:hint="eastAsia" w:ascii="仿宋" w:hAnsi="仿宋" w:eastAsia="仿宋" w:cs="宋体"/>
          <w:color w:val="auto"/>
          <w:kern w:val="0"/>
          <w:szCs w:val="24"/>
          <w:highlight w:val="none"/>
        </w:rPr>
        <w:t>在被服务的企退人员索赔时不承担任何责任。</w:t>
      </w:r>
    </w:p>
    <w:p w14:paraId="231232CC">
      <w:pPr>
        <w:pStyle w:val="4"/>
        <w:rPr>
          <w:rFonts w:hint="eastAsia" w:ascii="仿宋" w:hAnsi="仿宋" w:eastAsia="仿宋" w:cs="仿宋"/>
          <w:b/>
          <w:bCs/>
          <w:snapToGrid/>
          <w:color w:val="auto"/>
          <w:kern w:val="2"/>
          <w:sz w:val="28"/>
          <w:highlight w:val="none"/>
          <w:lang w:val="en-US" w:eastAsia="zh-CN"/>
        </w:rPr>
      </w:pPr>
      <w:r>
        <w:rPr>
          <w:rFonts w:hint="eastAsia" w:ascii="仿宋" w:hAnsi="仿宋" w:eastAsia="仿宋" w:cs="仿宋"/>
          <w:b/>
          <w:bCs/>
          <w:snapToGrid/>
          <w:color w:val="auto"/>
          <w:kern w:val="2"/>
          <w:sz w:val="28"/>
          <w:szCs w:val="28"/>
          <w:highlight w:val="none"/>
          <w:lang w:val="en-US"/>
        </w:rPr>
        <w:t>六、</w:t>
      </w:r>
      <w:r>
        <w:rPr>
          <w:rFonts w:hint="eastAsia" w:ascii="仿宋" w:hAnsi="仿宋" w:eastAsia="仿宋" w:cs="仿宋"/>
          <w:b/>
          <w:bCs/>
          <w:snapToGrid/>
          <w:color w:val="auto"/>
          <w:kern w:val="2"/>
          <w:sz w:val="28"/>
          <w:highlight w:val="none"/>
          <w:lang w:val="en-US" w:eastAsia="zh-CN"/>
        </w:rPr>
        <w:t>特别提示</w:t>
      </w:r>
    </w:p>
    <w:p w14:paraId="68EEBABF">
      <w:pPr>
        <w:pStyle w:val="23"/>
        <w:ind w:firstLine="480" w:firstLineChars="200"/>
        <w:jc w:val="left"/>
        <w:outlineLvl w:val="0"/>
        <w:rPr>
          <w:rFonts w:hint="eastAsia" w:ascii="仿宋" w:hAnsi="仿宋" w:eastAsia="仿宋" w:cs="仿宋"/>
          <w:b/>
          <w:color w:val="auto"/>
          <w:sz w:val="44"/>
          <w:szCs w:val="44"/>
          <w:highlight w:val="none"/>
        </w:rPr>
        <w:sectPr>
          <w:pgSz w:w="11905" w:h="16838"/>
          <w:pgMar w:top="1440" w:right="1083" w:bottom="1440" w:left="1083" w:header="850" w:footer="992" w:gutter="0"/>
          <w:cols w:space="0" w:num="1"/>
          <w:titlePg/>
          <w:rtlGutter w:val="0"/>
          <w:docGrid w:linePitch="0" w:charSpace="0"/>
        </w:sectPr>
      </w:pPr>
      <w:r>
        <w:rPr>
          <w:rFonts w:hint="eastAsia" w:ascii="仿宋" w:hAnsi="仿宋" w:eastAsia="仿宋" w:cs="宋体"/>
          <w:color w:val="auto"/>
          <w:kern w:val="2"/>
          <w:sz w:val="24"/>
          <w:szCs w:val="24"/>
          <w:highlight w:val="none"/>
          <w:lang w:val="en-US" w:eastAsia="zh-CN"/>
        </w:rPr>
        <w:t>如采购文件中遗漏了必须具备的内容或服务，请投标人在投标文件中补充，并提出解决方案供采购人参考；中标人有义务保证采购人采购项目的完整性。</w:t>
      </w:r>
    </w:p>
    <w:p w14:paraId="77897395">
      <w:pPr>
        <w:pStyle w:val="3"/>
        <w:adjustRightInd/>
        <w:spacing w:beforeLines="0" w:afterLines="0"/>
        <w:jc w:val="center"/>
        <w:outlineLvl w:val="0"/>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第四部分 评标办法</w:t>
      </w:r>
    </w:p>
    <w:p w14:paraId="61690442">
      <w:pPr>
        <w:snapToGrid w:val="0"/>
        <w:spacing w:line="360" w:lineRule="auto"/>
        <w:jc w:val="center"/>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评标办法前附表</w:t>
      </w:r>
    </w:p>
    <w:tbl>
      <w:tblPr>
        <w:tblStyle w:val="6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6676"/>
        <w:gridCol w:w="597"/>
        <w:gridCol w:w="911"/>
        <w:gridCol w:w="1047"/>
      </w:tblGrid>
      <w:tr w14:paraId="39C9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2235C27D">
            <w:pPr>
              <w:snapToGrid w:val="0"/>
              <w:spacing w:line="24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355" w:type="pct"/>
            <w:vAlign w:val="center"/>
          </w:tcPr>
          <w:p w14:paraId="675E8689">
            <w:pPr>
              <w:snapToGrid w:val="0"/>
              <w:spacing w:line="24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评标标准</w:t>
            </w:r>
          </w:p>
        </w:tc>
        <w:tc>
          <w:tcPr>
            <w:tcW w:w="300" w:type="pct"/>
            <w:vAlign w:val="center"/>
          </w:tcPr>
          <w:p w14:paraId="78E1FA54">
            <w:pPr>
              <w:snapToGrid w:val="0"/>
              <w:spacing w:line="24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权重</w:t>
            </w:r>
          </w:p>
        </w:tc>
        <w:tc>
          <w:tcPr>
            <w:tcW w:w="458" w:type="pct"/>
            <w:vAlign w:val="center"/>
          </w:tcPr>
          <w:p w14:paraId="6F89934B">
            <w:pPr>
              <w:snapToGrid w:val="0"/>
              <w:spacing w:line="24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主观分/客观分属性</w:t>
            </w:r>
          </w:p>
        </w:tc>
        <w:tc>
          <w:tcPr>
            <w:tcW w:w="526" w:type="pct"/>
            <w:vAlign w:val="center"/>
          </w:tcPr>
          <w:p w14:paraId="404EEDBB">
            <w:pPr>
              <w:snapToGrid w:val="0"/>
              <w:spacing w:line="24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投标文件中评标标准相应的商务技术资料目录*</w:t>
            </w:r>
          </w:p>
        </w:tc>
      </w:tr>
      <w:tr w14:paraId="4369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29A6404A">
            <w:pPr>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355" w:type="pct"/>
            <w:vAlign w:val="center"/>
          </w:tcPr>
          <w:p w14:paraId="6E5D73B8">
            <w:pPr>
              <w:snapToGrid w:val="0"/>
              <w:spacing w:line="240" w:lineRule="auto"/>
              <w:jc w:val="both"/>
              <w:rPr>
                <w:rFonts w:hint="eastAsia" w:ascii="仿宋" w:hAnsi="仿宋" w:eastAsia="仿宋" w:cs="仿宋"/>
                <w:color w:val="auto"/>
                <w:sz w:val="24"/>
                <w:highlight w:val="none"/>
              </w:rPr>
            </w:pPr>
            <w:r>
              <w:rPr>
                <w:rFonts w:hint="eastAsia" w:ascii="仿宋" w:hAnsi="仿宋" w:eastAsia="仿宋" w:cs="仿宋"/>
                <w:snapToGrid w:val="0"/>
                <w:color w:val="auto"/>
                <w:kern w:val="0"/>
                <w:sz w:val="24"/>
                <w:highlight w:val="none"/>
                <w:lang w:val="en-US" w:eastAsia="zh-CN"/>
              </w:rPr>
              <w:t>供应商</w:t>
            </w:r>
            <w:r>
              <w:rPr>
                <w:rFonts w:hint="eastAsia" w:ascii="仿宋" w:hAnsi="仿宋" w:eastAsia="仿宋" w:cs="仿宋"/>
                <w:color w:val="auto"/>
                <w:sz w:val="24"/>
                <w:highlight w:val="none"/>
              </w:rPr>
              <w:t>具有质量管理体系认证证书、环境管理体系认证证书、职业健康安全管理体系认证证书，每个得1分，最高得3分，不提供不得分。</w:t>
            </w:r>
          </w:p>
          <w:p w14:paraId="2DE789BD">
            <w:pPr>
              <w:snapToGrid w:val="0"/>
              <w:spacing w:line="24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证明材料：须提供有效证书复印件</w:t>
            </w:r>
            <w:r>
              <w:rPr>
                <w:rFonts w:hint="eastAsia" w:ascii="仿宋" w:hAnsi="仿宋" w:eastAsia="仿宋" w:cs="仿宋"/>
                <w:b/>
                <w:bCs/>
                <w:color w:val="auto"/>
                <w:sz w:val="24"/>
                <w:highlight w:val="none"/>
                <w:lang w:val="en-US" w:eastAsia="zh-CN"/>
              </w:rPr>
              <w:t>及</w:t>
            </w:r>
            <w:r>
              <w:rPr>
                <w:rFonts w:hint="eastAsia" w:ascii="仿宋" w:hAnsi="仿宋" w:eastAsia="仿宋" w:cs="仿宋"/>
                <w:b/>
                <w:bCs/>
                <w:color w:val="auto"/>
                <w:sz w:val="24"/>
                <w:highlight w:val="none"/>
              </w:rPr>
              <w:t>国家市场监督管理总局全国认证认可信息公共服务平台查询截图（http://cx.cnca.cn/）并加盖单位公章。</w:t>
            </w:r>
            <w:r>
              <w:rPr>
                <w:rFonts w:hint="eastAsia" w:ascii="仿宋" w:hAnsi="仿宋" w:eastAsia="仿宋" w:cs="仿宋"/>
                <w:color w:val="auto"/>
                <w:sz w:val="24"/>
                <w:highlight w:val="none"/>
              </w:rPr>
              <w:t>】</w:t>
            </w:r>
          </w:p>
          <w:p w14:paraId="7157B639">
            <w:pPr>
              <w:snapToGrid w:val="0"/>
              <w:spacing w:line="240" w:lineRule="auto"/>
              <w:jc w:val="both"/>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注：证书由评标委员会现场通过在全国认证认可信息公共服务平台上（http://cx.cnca.cn/）查询确认，未提供或无法在上述平台查询为有效的不得分。</w:t>
            </w:r>
          </w:p>
        </w:tc>
        <w:tc>
          <w:tcPr>
            <w:tcW w:w="300" w:type="pct"/>
            <w:vAlign w:val="center"/>
          </w:tcPr>
          <w:p w14:paraId="7339D60B">
            <w:pPr>
              <w:snapToGrid w:val="0"/>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458" w:type="pct"/>
            <w:vAlign w:val="center"/>
          </w:tcPr>
          <w:p w14:paraId="3753CC31">
            <w:pPr>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rPr>
              <w:t>客观</w:t>
            </w:r>
          </w:p>
        </w:tc>
        <w:tc>
          <w:tcPr>
            <w:tcW w:w="526" w:type="pct"/>
            <w:vAlign w:val="center"/>
          </w:tcPr>
          <w:p w14:paraId="2C159FDE">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体系认证</w:t>
            </w:r>
          </w:p>
        </w:tc>
      </w:tr>
      <w:tr w14:paraId="0BAF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2FFD3BBB">
            <w:pPr>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355" w:type="pct"/>
            <w:vAlign w:val="center"/>
          </w:tcPr>
          <w:p w14:paraId="173FA2FA">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highlight w:val="none"/>
              </w:rPr>
            </w:pPr>
            <w:r>
              <w:rPr>
                <w:rFonts w:hint="eastAsia" w:ascii="仿宋" w:hAnsi="仿宋" w:eastAsia="仿宋" w:cs="仿宋"/>
                <w:snapToGrid w:val="0"/>
                <w:color w:val="auto"/>
                <w:kern w:val="0"/>
                <w:sz w:val="24"/>
                <w:highlight w:val="none"/>
                <w:lang w:val="en-US" w:eastAsia="zh-CN"/>
              </w:rPr>
              <w:t>2023年1月1日至今（以合同签订时间为准）类似活动情况：每提供一个得0.5分，最高1分。</w:t>
            </w:r>
            <w:r>
              <w:rPr>
                <w:rFonts w:hint="eastAsia" w:ascii="仿宋" w:hAnsi="仿宋" w:eastAsia="仿宋" w:cs="仿宋"/>
                <w:b/>
                <w:bCs/>
                <w:color w:val="auto"/>
                <w:sz w:val="24"/>
                <w:highlight w:val="none"/>
              </w:rPr>
              <w:t>【</w:t>
            </w:r>
            <w:r>
              <w:rPr>
                <w:rFonts w:hint="eastAsia" w:ascii="仿宋" w:hAnsi="仿宋" w:eastAsia="仿宋" w:cs="仿宋"/>
                <w:b/>
                <w:bCs/>
                <w:snapToGrid w:val="0"/>
                <w:color w:val="auto"/>
                <w:kern w:val="0"/>
                <w:sz w:val="24"/>
                <w:highlight w:val="none"/>
                <w:lang w:val="en-US" w:eastAsia="zh-CN"/>
              </w:rPr>
              <w:t>证明材料：提供合同复印件</w:t>
            </w:r>
            <w:r>
              <w:rPr>
                <w:rFonts w:hint="eastAsia" w:ascii="仿宋" w:hAnsi="仿宋" w:eastAsia="仿宋" w:cs="仿宋"/>
                <w:b/>
                <w:bCs/>
                <w:color w:val="auto"/>
                <w:sz w:val="24"/>
                <w:highlight w:val="none"/>
              </w:rPr>
              <w:t>。】</w:t>
            </w:r>
          </w:p>
        </w:tc>
        <w:tc>
          <w:tcPr>
            <w:tcW w:w="300" w:type="pct"/>
            <w:shd w:val="clear" w:color="auto" w:fill="auto"/>
            <w:vAlign w:val="center"/>
          </w:tcPr>
          <w:p w14:paraId="4884D60C">
            <w:pPr>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1</w:t>
            </w:r>
          </w:p>
        </w:tc>
        <w:tc>
          <w:tcPr>
            <w:tcW w:w="458" w:type="pct"/>
            <w:shd w:val="clear" w:color="auto" w:fill="auto"/>
            <w:vAlign w:val="center"/>
          </w:tcPr>
          <w:p w14:paraId="68E0A287">
            <w:pPr>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highlight w:val="none"/>
                <w:lang w:val="en-US" w:eastAsia="zh-CN"/>
              </w:rPr>
              <w:t>客观</w:t>
            </w:r>
          </w:p>
        </w:tc>
        <w:tc>
          <w:tcPr>
            <w:tcW w:w="526" w:type="pct"/>
            <w:vAlign w:val="center"/>
          </w:tcPr>
          <w:p w14:paraId="404016A8">
            <w:pPr>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业绩</w:t>
            </w:r>
          </w:p>
        </w:tc>
      </w:tr>
      <w:tr w14:paraId="1C39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11BC5AD0">
            <w:pPr>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355" w:type="pct"/>
            <w:vAlign w:val="center"/>
          </w:tcPr>
          <w:p w14:paraId="396C3074">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highlight w:val="none"/>
              </w:rPr>
            </w:pPr>
            <w:r>
              <w:rPr>
                <w:rFonts w:hint="eastAsia" w:ascii="仿宋" w:hAnsi="仿宋" w:eastAsia="仿宋" w:cs="仿宋"/>
                <w:snapToGrid w:val="0"/>
                <w:color w:val="auto"/>
                <w:kern w:val="0"/>
                <w:sz w:val="24"/>
                <w:highlight w:val="none"/>
                <w:lang w:val="en-US" w:eastAsia="zh-CN"/>
              </w:rPr>
              <w:t>供应商需承诺随时向采购人提供完整的所有活动参与人员的实时动态数据（含实时动态结算数据），承诺的得2分，不承诺不得分。</w:t>
            </w:r>
            <w:r>
              <w:rPr>
                <w:rFonts w:hint="eastAsia" w:ascii="仿宋" w:hAnsi="仿宋" w:eastAsia="仿宋" w:cs="仿宋"/>
                <w:b/>
                <w:bCs/>
                <w:color w:val="auto"/>
                <w:sz w:val="24"/>
                <w:highlight w:val="none"/>
              </w:rPr>
              <w:t>【</w:t>
            </w:r>
            <w:r>
              <w:rPr>
                <w:rFonts w:hint="eastAsia" w:ascii="仿宋" w:hAnsi="仿宋" w:eastAsia="仿宋" w:cs="仿宋"/>
                <w:b/>
                <w:bCs/>
                <w:snapToGrid w:val="0"/>
                <w:color w:val="auto"/>
                <w:kern w:val="0"/>
                <w:sz w:val="24"/>
                <w:highlight w:val="none"/>
                <w:lang w:val="en-US" w:eastAsia="zh-CN"/>
              </w:rPr>
              <w:t>证明材料：提供承诺书，格式自拟</w:t>
            </w:r>
            <w:r>
              <w:rPr>
                <w:rFonts w:hint="eastAsia" w:ascii="仿宋" w:hAnsi="仿宋" w:eastAsia="仿宋" w:cs="仿宋"/>
                <w:b/>
                <w:bCs/>
                <w:color w:val="auto"/>
                <w:sz w:val="24"/>
                <w:highlight w:val="none"/>
              </w:rPr>
              <w:t>。】</w:t>
            </w:r>
          </w:p>
        </w:tc>
        <w:tc>
          <w:tcPr>
            <w:tcW w:w="300" w:type="pct"/>
            <w:vAlign w:val="center"/>
          </w:tcPr>
          <w:p w14:paraId="7CBAE5E9">
            <w:pPr>
              <w:snapToGrid w:val="0"/>
              <w:spacing w:line="240" w:lineRule="auto"/>
              <w:jc w:val="center"/>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lang w:val="en-US" w:eastAsia="zh-CN"/>
              </w:rPr>
              <w:t>2</w:t>
            </w:r>
          </w:p>
        </w:tc>
        <w:tc>
          <w:tcPr>
            <w:tcW w:w="458" w:type="pct"/>
            <w:vAlign w:val="center"/>
          </w:tcPr>
          <w:p w14:paraId="55FBE4D1">
            <w:pPr>
              <w:snapToGrid w:val="0"/>
              <w:spacing w:line="24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客观</w:t>
            </w:r>
          </w:p>
        </w:tc>
        <w:tc>
          <w:tcPr>
            <w:tcW w:w="526" w:type="pct"/>
            <w:vAlign w:val="center"/>
          </w:tcPr>
          <w:p w14:paraId="3C4F7AD2">
            <w:pPr>
              <w:snapToGrid w:val="0"/>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snapToGrid w:val="0"/>
                <w:color w:val="auto"/>
                <w:kern w:val="0"/>
                <w:sz w:val="24"/>
                <w:highlight w:val="none"/>
                <w:lang w:val="en-US" w:eastAsia="zh-CN"/>
              </w:rPr>
              <w:t>动态数据</w:t>
            </w:r>
          </w:p>
        </w:tc>
      </w:tr>
      <w:tr w14:paraId="1DB3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68588FCD">
            <w:pPr>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355" w:type="pct"/>
            <w:vAlign w:val="center"/>
          </w:tcPr>
          <w:p w14:paraId="20572400">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highlight w:val="none"/>
              </w:rPr>
            </w:pPr>
            <w:r>
              <w:rPr>
                <w:rFonts w:hint="eastAsia" w:ascii="仿宋" w:hAnsi="仿宋" w:eastAsia="仿宋" w:cs="仿宋"/>
                <w:snapToGrid w:val="0"/>
                <w:color w:val="auto"/>
                <w:kern w:val="0"/>
                <w:sz w:val="24"/>
                <w:highlight w:val="none"/>
                <w:lang w:val="en-US" w:eastAsia="zh-CN"/>
              </w:rPr>
              <w:t>供应商具有有效的《旅行社业务经营许可证》得2分。</w:t>
            </w:r>
            <w:r>
              <w:rPr>
                <w:rFonts w:hint="eastAsia" w:ascii="仿宋" w:hAnsi="仿宋" w:eastAsia="仿宋" w:cs="仿宋"/>
                <w:b/>
                <w:bCs/>
                <w:color w:val="auto"/>
                <w:sz w:val="24"/>
                <w:highlight w:val="none"/>
              </w:rPr>
              <w:t>【</w:t>
            </w:r>
            <w:r>
              <w:rPr>
                <w:rFonts w:hint="eastAsia" w:ascii="仿宋" w:hAnsi="仿宋" w:eastAsia="仿宋" w:cs="仿宋"/>
                <w:b/>
                <w:bCs/>
                <w:snapToGrid w:val="0"/>
                <w:color w:val="auto"/>
                <w:kern w:val="0"/>
                <w:sz w:val="24"/>
                <w:highlight w:val="none"/>
                <w:lang w:val="en-US" w:eastAsia="zh-CN"/>
              </w:rPr>
              <w:t>证明材料：提供证书扫描件</w:t>
            </w:r>
            <w:r>
              <w:rPr>
                <w:rFonts w:hint="eastAsia" w:ascii="仿宋" w:hAnsi="仿宋" w:eastAsia="仿宋" w:cs="仿宋"/>
                <w:b/>
                <w:bCs/>
                <w:color w:val="auto"/>
                <w:sz w:val="24"/>
                <w:highlight w:val="none"/>
              </w:rPr>
              <w:t>。】</w:t>
            </w:r>
          </w:p>
        </w:tc>
        <w:tc>
          <w:tcPr>
            <w:tcW w:w="300" w:type="pct"/>
            <w:shd w:val="clear" w:color="auto" w:fill="auto"/>
            <w:vAlign w:val="center"/>
          </w:tcPr>
          <w:p w14:paraId="7450C272">
            <w:pPr>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2</w:t>
            </w:r>
          </w:p>
        </w:tc>
        <w:tc>
          <w:tcPr>
            <w:tcW w:w="458" w:type="pct"/>
            <w:shd w:val="clear" w:color="auto" w:fill="auto"/>
            <w:vAlign w:val="center"/>
          </w:tcPr>
          <w:p w14:paraId="03F94C9B">
            <w:pPr>
              <w:snapToGrid w:val="0"/>
              <w:spacing w:line="24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lang w:val="en-US" w:eastAsia="zh-CN"/>
              </w:rPr>
              <w:t>客观</w:t>
            </w:r>
          </w:p>
        </w:tc>
        <w:tc>
          <w:tcPr>
            <w:tcW w:w="526" w:type="pct"/>
            <w:shd w:val="clear" w:color="auto" w:fill="auto"/>
            <w:vAlign w:val="center"/>
          </w:tcPr>
          <w:p w14:paraId="3937244E">
            <w:pPr>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企业资质</w:t>
            </w:r>
          </w:p>
        </w:tc>
      </w:tr>
      <w:tr w14:paraId="7441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3018C039">
            <w:pPr>
              <w:snapToGrid w:val="0"/>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3355" w:type="pct"/>
            <w:vAlign w:val="center"/>
          </w:tcPr>
          <w:p w14:paraId="747BBF76">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根据供应商提供的</w:t>
            </w:r>
            <w:r>
              <w:rPr>
                <w:rFonts w:hint="eastAsia" w:ascii="仿宋" w:hAnsi="仿宋" w:eastAsia="仿宋" w:cs="仿宋"/>
                <w:snapToGrid w:val="0"/>
                <w:color w:val="auto"/>
                <w:kern w:val="0"/>
                <w:sz w:val="24"/>
                <w:highlight w:val="none"/>
              </w:rPr>
              <w:t>小型多样活动</w:t>
            </w:r>
            <w:r>
              <w:rPr>
                <w:rFonts w:hint="eastAsia" w:ascii="仿宋" w:hAnsi="仿宋" w:eastAsia="仿宋" w:cs="仿宋"/>
                <w:snapToGrid w:val="0"/>
                <w:color w:val="auto"/>
                <w:kern w:val="0"/>
                <w:sz w:val="24"/>
                <w:highlight w:val="none"/>
                <w:lang w:val="en-US" w:eastAsia="zh-CN"/>
              </w:rPr>
              <w:t>整体活动策划方案打分：</w:t>
            </w:r>
            <w:r>
              <w:rPr>
                <w:rFonts w:hint="eastAsia" w:ascii="仿宋" w:hAnsi="仿宋" w:eastAsia="仿宋" w:cs="仿宋"/>
                <w:snapToGrid w:val="0"/>
                <w:color w:val="auto"/>
                <w:sz w:val="24"/>
                <w:highlight w:val="none"/>
              </w:rPr>
              <w:t>活动策划方案对“文体活动”主题的挖掘非常深入，活动形式极具创新性，方案完全可实施，且针对企退人员特点设计了特色环节的，得5分。活动策划方案对“文体活动”主题的挖掘较为深入，活动形式有创新性，方案可实施，且针对企退人员特点设计了特色环节的，得4分。活动策划方案对“文体活动”主题的挖掘有一定深度，活动形式有一定新意，方案基本可实施，且针对企退人员特点设计了特色环节的，得3分。活动策划方案仅包含常规活动内容，未体现针对性设计，但方案完整的，得2分。活动策划方案内容不完整或存在明显缺陷的，得1分。未提供方案的，得0分。</w:t>
            </w:r>
          </w:p>
        </w:tc>
        <w:tc>
          <w:tcPr>
            <w:tcW w:w="300" w:type="pct"/>
            <w:shd w:val="clear" w:color="auto" w:fill="auto"/>
            <w:vAlign w:val="center"/>
          </w:tcPr>
          <w:p w14:paraId="2BF1C2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snapToGrid/>
                <w:color w:val="auto"/>
                <w:kern w:val="2"/>
                <w:sz w:val="24"/>
                <w:highlight w:val="none"/>
                <w:lang w:val="en-US" w:eastAsia="zh-CN"/>
              </w:rPr>
              <w:t>5</w:t>
            </w:r>
          </w:p>
        </w:tc>
        <w:tc>
          <w:tcPr>
            <w:tcW w:w="458" w:type="pct"/>
            <w:shd w:val="clear" w:color="auto" w:fill="auto"/>
            <w:vAlign w:val="center"/>
          </w:tcPr>
          <w:p w14:paraId="3C98CF4C">
            <w:pPr>
              <w:keepNext w:val="0"/>
              <w:keepLines w:val="0"/>
              <w:pageBreakBefore w:val="0"/>
              <w:widowControl w:val="0"/>
              <w:kinsoku/>
              <w:wordWrap/>
              <w:overflowPunct/>
              <w:topLinePunct w:val="0"/>
              <w:autoSpaceDE/>
              <w:autoSpaceDN/>
              <w:bidi w:val="0"/>
              <w:adjustRightInd/>
              <w:snapToGrid w:val="0"/>
              <w:spacing w:line="240" w:lineRule="auto"/>
              <w:ind w:right="-111" w:rightChars="-53"/>
              <w:jc w:val="center"/>
              <w:textAlignment w:val="auto"/>
              <w:rPr>
                <w:rFonts w:hint="eastAsia" w:ascii="仿宋" w:hAnsi="仿宋" w:eastAsia="仿宋" w:cs="仿宋"/>
                <w:bCs w:val="0"/>
                <w:color w:val="auto"/>
                <w:sz w:val="24"/>
                <w:highlight w:val="none"/>
                <w:lang w:val="en-US" w:eastAsia="zh-CN"/>
              </w:rPr>
            </w:pPr>
            <w:r>
              <w:rPr>
                <w:rFonts w:hint="eastAsia" w:ascii="仿宋" w:hAnsi="仿宋" w:eastAsia="仿宋" w:cs="仿宋"/>
                <w:snapToGrid/>
                <w:color w:val="auto"/>
                <w:kern w:val="2"/>
                <w:sz w:val="24"/>
                <w:highlight w:val="none"/>
                <w:lang w:val="en-US" w:eastAsia="zh-CN"/>
              </w:rPr>
              <w:t>主观</w:t>
            </w:r>
          </w:p>
        </w:tc>
        <w:tc>
          <w:tcPr>
            <w:tcW w:w="526" w:type="pct"/>
            <w:shd w:val="clear" w:color="auto" w:fill="auto"/>
            <w:vAlign w:val="center"/>
          </w:tcPr>
          <w:p w14:paraId="372F9B8B">
            <w:pPr>
              <w:snapToGrid w:val="0"/>
              <w:spacing w:line="240" w:lineRule="auto"/>
              <w:jc w:val="center"/>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策划方案</w:t>
            </w:r>
          </w:p>
        </w:tc>
      </w:tr>
      <w:tr w14:paraId="4650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360" w:type="pct"/>
            <w:vAlign w:val="center"/>
          </w:tcPr>
          <w:p w14:paraId="0D4E2B85">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3355" w:type="pct"/>
            <w:vAlign w:val="center"/>
          </w:tcPr>
          <w:p w14:paraId="53E2AD69">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highlight w:val="none"/>
              </w:rPr>
            </w:pPr>
            <w:r>
              <w:rPr>
                <w:rFonts w:hint="eastAsia" w:ascii="仿宋" w:hAnsi="仿宋" w:eastAsia="仿宋" w:cs="仿宋"/>
                <w:snapToGrid w:val="0"/>
                <w:color w:val="auto"/>
                <w:kern w:val="0"/>
                <w:sz w:val="24"/>
                <w:highlight w:val="none"/>
                <w:lang w:val="en-US" w:eastAsia="zh-CN"/>
              </w:rPr>
              <w:t>根据供应商提供的</w:t>
            </w:r>
            <w:r>
              <w:rPr>
                <w:rFonts w:hint="eastAsia" w:ascii="仿宋" w:hAnsi="仿宋" w:eastAsia="仿宋" w:cs="仿宋"/>
                <w:snapToGrid w:val="0"/>
                <w:color w:val="auto"/>
                <w:kern w:val="0"/>
                <w:sz w:val="24"/>
                <w:highlight w:val="none"/>
              </w:rPr>
              <w:t>小型多样活动</w:t>
            </w:r>
            <w:r>
              <w:rPr>
                <w:rFonts w:hint="eastAsia" w:ascii="仿宋" w:hAnsi="仿宋" w:eastAsia="仿宋" w:cs="仿宋"/>
                <w:snapToGrid w:val="0"/>
                <w:color w:val="auto"/>
                <w:kern w:val="0"/>
                <w:sz w:val="24"/>
                <w:highlight w:val="none"/>
                <w:lang w:val="en-US" w:eastAsia="zh-CN"/>
              </w:rPr>
              <w:t>的活动场地、活动设施设备落实的具体方案进行打分：场地明确，有备选场地且活动设施设备完整并均与活动方案相匹配的得5分。场地明确且活动设施设备与活动方案相匹配的得4分。场地明确，活动设施设备基本完整，与活动方案相匹配的得3分。场地描述模糊，活动设施设备不完整，但与活动方案部分匹配的得2分。场地不明确，活动设施设备基本缺失，与活动方案匹配度非常一般的得1分。</w:t>
            </w:r>
            <w:r>
              <w:rPr>
                <w:rFonts w:hint="eastAsia" w:ascii="仿宋" w:hAnsi="仿宋" w:eastAsia="仿宋" w:cs="仿宋"/>
                <w:snapToGrid w:val="0"/>
                <w:color w:val="auto"/>
                <w:sz w:val="24"/>
                <w:highlight w:val="none"/>
              </w:rPr>
              <w:t>未提供方案的，得0分。</w:t>
            </w:r>
          </w:p>
        </w:tc>
        <w:tc>
          <w:tcPr>
            <w:tcW w:w="300" w:type="pct"/>
            <w:vAlign w:val="center"/>
          </w:tcPr>
          <w:p w14:paraId="3623DB60">
            <w:pPr>
              <w:snapToGrid w:val="0"/>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458" w:type="pct"/>
            <w:vAlign w:val="center"/>
          </w:tcPr>
          <w:p w14:paraId="181BAAE5">
            <w:pPr>
              <w:snapToGrid w:val="0"/>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主观</w:t>
            </w:r>
          </w:p>
        </w:tc>
        <w:tc>
          <w:tcPr>
            <w:tcW w:w="526" w:type="pct"/>
            <w:vAlign w:val="center"/>
          </w:tcPr>
          <w:p w14:paraId="316F99E5">
            <w:pPr>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snapToGrid w:val="0"/>
                <w:color w:val="auto"/>
                <w:kern w:val="0"/>
                <w:sz w:val="24"/>
                <w:highlight w:val="none"/>
                <w:lang w:val="en-US" w:eastAsia="zh-CN"/>
              </w:rPr>
              <w:t>活动场地、活动设施设备落实</w:t>
            </w:r>
          </w:p>
        </w:tc>
      </w:tr>
      <w:tr w14:paraId="04A5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5B197FC0">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p>
        </w:tc>
        <w:tc>
          <w:tcPr>
            <w:tcW w:w="3355" w:type="pct"/>
            <w:vAlign w:val="center"/>
          </w:tcPr>
          <w:p w14:paraId="69342528">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highlight w:val="none"/>
              </w:rPr>
            </w:pPr>
            <w:r>
              <w:rPr>
                <w:rFonts w:hint="eastAsia" w:ascii="仿宋" w:hAnsi="仿宋" w:eastAsia="仿宋" w:cs="仿宋"/>
                <w:snapToGrid w:val="0"/>
                <w:color w:val="auto"/>
                <w:kern w:val="0"/>
                <w:sz w:val="24"/>
                <w:highlight w:val="none"/>
                <w:lang w:val="en-US" w:eastAsia="zh-CN"/>
              </w:rPr>
              <w:t>根据供应商提供的为采购人提供活动宣传素材的方案进行打分：宣传标语、宣传方案内容与活动主题</w:t>
            </w:r>
            <w:r>
              <w:rPr>
                <w:rFonts w:hint="eastAsia" w:ascii="仿宋" w:hAnsi="仿宋" w:eastAsia="仿宋" w:cs="仿宋"/>
                <w:snapToGrid w:val="0"/>
                <w:color w:val="auto"/>
                <w:sz w:val="24"/>
                <w:highlight w:val="none"/>
              </w:rPr>
              <w:t>高度契合</w:t>
            </w:r>
            <w:r>
              <w:rPr>
                <w:rFonts w:hint="eastAsia" w:ascii="仿宋" w:hAnsi="仿宋" w:eastAsia="仿宋" w:cs="仿宋"/>
                <w:snapToGrid w:val="0"/>
                <w:color w:val="auto"/>
                <w:kern w:val="0"/>
                <w:sz w:val="24"/>
                <w:highlight w:val="none"/>
                <w:lang w:val="en-US" w:eastAsia="zh-CN"/>
              </w:rPr>
              <w:t>得4分。宣传标语、宣传方案内容与活动主题较为</w:t>
            </w:r>
            <w:r>
              <w:rPr>
                <w:rFonts w:hint="eastAsia" w:ascii="仿宋" w:hAnsi="仿宋" w:eastAsia="仿宋" w:cs="仿宋"/>
                <w:snapToGrid w:val="0"/>
                <w:color w:val="auto"/>
                <w:sz w:val="24"/>
                <w:highlight w:val="none"/>
              </w:rPr>
              <w:t>契合</w:t>
            </w:r>
            <w:r>
              <w:rPr>
                <w:rFonts w:hint="eastAsia" w:ascii="仿宋" w:hAnsi="仿宋" w:eastAsia="仿宋" w:cs="仿宋"/>
                <w:snapToGrid w:val="0"/>
                <w:color w:val="auto"/>
                <w:kern w:val="0"/>
                <w:sz w:val="24"/>
                <w:highlight w:val="none"/>
                <w:lang w:val="en-US" w:eastAsia="zh-CN"/>
              </w:rPr>
              <w:t>得3分。宣传标语、宣传方案内容完整与活动主题基本</w:t>
            </w:r>
            <w:r>
              <w:rPr>
                <w:rFonts w:hint="eastAsia" w:ascii="仿宋" w:hAnsi="仿宋" w:eastAsia="仿宋" w:cs="仿宋"/>
                <w:snapToGrid w:val="0"/>
                <w:color w:val="auto"/>
                <w:sz w:val="24"/>
                <w:highlight w:val="none"/>
              </w:rPr>
              <w:t>契合</w:t>
            </w:r>
            <w:r>
              <w:rPr>
                <w:rFonts w:hint="eastAsia" w:ascii="仿宋" w:hAnsi="仿宋" w:eastAsia="仿宋" w:cs="仿宋"/>
                <w:snapToGrid w:val="0"/>
                <w:color w:val="auto"/>
                <w:kern w:val="0"/>
                <w:sz w:val="24"/>
                <w:highlight w:val="none"/>
                <w:lang w:val="en-US" w:eastAsia="zh-CN"/>
              </w:rPr>
              <w:t>得2分。宣传标语、宣传方案内容一般或活动主题</w:t>
            </w:r>
            <w:r>
              <w:rPr>
                <w:rFonts w:hint="eastAsia" w:ascii="仿宋" w:hAnsi="仿宋" w:eastAsia="仿宋" w:cs="仿宋"/>
                <w:snapToGrid w:val="0"/>
                <w:color w:val="auto"/>
                <w:sz w:val="24"/>
                <w:highlight w:val="none"/>
                <w:lang w:val="en-US" w:eastAsia="zh-CN"/>
              </w:rPr>
              <w:t>不完整</w:t>
            </w:r>
            <w:r>
              <w:rPr>
                <w:rFonts w:hint="eastAsia" w:ascii="仿宋" w:hAnsi="仿宋" w:eastAsia="仿宋" w:cs="仿宋"/>
                <w:snapToGrid w:val="0"/>
                <w:color w:val="auto"/>
                <w:kern w:val="0"/>
                <w:sz w:val="24"/>
                <w:highlight w:val="none"/>
                <w:lang w:val="en-US" w:eastAsia="zh-CN"/>
              </w:rPr>
              <w:t>得1分。</w:t>
            </w:r>
            <w:r>
              <w:rPr>
                <w:rFonts w:hint="eastAsia" w:ascii="仿宋" w:hAnsi="仿宋" w:eastAsia="仿宋" w:cs="仿宋"/>
                <w:snapToGrid w:val="0"/>
                <w:color w:val="auto"/>
                <w:sz w:val="24"/>
                <w:highlight w:val="none"/>
              </w:rPr>
              <w:t>未提供方案的，得0分。</w:t>
            </w:r>
          </w:p>
        </w:tc>
        <w:tc>
          <w:tcPr>
            <w:tcW w:w="300" w:type="pct"/>
            <w:vAlign w:val="center"/>
          </w:tcPr>
          <w:p w14:paraId="6D0BCF73">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458" w:type="pct"/>
            <w:vAlign w:val="center"/>
          </w:tcPr>
          <w:p w14:paraId="6FC63D7B">
            <w:pPr>
              <w:snapToGrid w:val="0"/>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主观</w:t>
            </w:r>
          </w:p>
        </w:tc>
        <w:tc>
          <w:tcPr>
            <w:tcW w:w="526" w:type="pct"/>
            <w:vAlign w:val="center"/>
          </w:tcPr>
          <w:p w14:paraId="6C6D1917">
            <w:pPr>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snapToGrid w:val="0"/>
                <w:color w:val="auto"/>
                <w:kern w:val="0"/>
                <w:sz w:val="24"/>
                <w:highlight w:val="none"/>
                <w:lang w:val="en-US" w:eastAsia="zh-CN"/>
              </w:rPr>
              <w:t>宣传标语、宣传方案</w:t>
            </w:r>
          </w:p>
        </w:tc>
      </w:tr>
      <w:tr w14:paraId="0575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061BE0B8">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3355" w:type="pct"/>
            <w:vAlign w:val="center"/>
          </w:tcPr>
          <w:p w14:paraId="46E3D594">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highlight w:val="none"/>
              </w:rPr>
            </w:pPr>
            <w:r>
              <w:rPr>
                <w:rFonts w:hint="eastAsia" w:ascii="仿宋" w:hAnsi="仿宋" w:eastAsia="仿宋" w:cs="仿宋"/>
                <w:snapToGrid w:val="0"/>
                <w:color w:val="auto"/>
                <w:kern w:val="0"/>
                <w:sz w:val="24"/>
                <w:highlight w:val="none"/>
                <w:lang w:val="en-US" w:eastAsia="zh-CN"/>
              </w:rPr>
              <w:t>根据供应商提供的外出游览线路安排方案进行打分：</w:t>
            </w:r>
            <w:r>
              <w:rPr>
                <w:rFonts w:hint="eastAsia" w:ascii="仿宋" w:hAnsi="仿宋" w:eastAsia="仿宋" w:cs="仿宋"/>
                <w:snapToGrid w:val="0"/>
                <w:color w:val="auto"/>
                <w:sz w:val="24"/>
                <w:highlight w:val="none"/>
                <w:lang w:val="zh-TW"/>
              </w:rPr>
              <w:t>针对招标文件列出的全部9个地点分别设计了详细、可行的游览线路，每条线路均包含</w:t>
            </w:r>
            <w:r>
              <w:rPr>
                <w:rFonts w:hint="eastAsia" w:ascii="仿宋" w:hAnsi="仿宋" w:eastAsia="仿宋" w:cs="仿宋"/>
                <w:snapToGrid w:val="0"/>
                <w:color w:val="auto"/>
                <w:sz w:val="24"/>
                <w:highlight w:val="none"/>
                <w:lang w:val="en-US" w:eastAsia="zh-CN"/>
              </w:rPr>
              <w:t>较全面的</w:t>
            </w:r>
            <w:r>
              <w:rPr>
                <w:rFonts w:hint="eastAsia" w:ascii="仿宋" w:hAnsi="仿宋" w:eastAsia="仿宋" w:cs="仿宋"/>
                <w:snapToGrid w:val="0"/>
                <w:color w:val="auto"/>
                <w:sz w:val="24"/>
                <w:highlight w:val="none"/>
                <w:lang w:val="zh-TW"/>
              </w:rPr>
              <w:t>信息，得5分。针对不少于7个地点设计了较为详细的游览线路，包含主要时间节点和景点安排，得4分。针对不少于5个地点设计了基本完整的游览线路，得3分。针对不少于3个地点设计了简单的游览线路，得2分。线路内容严重缺失，得1分。未提供线路安排的，得0分。</w:t>
            </w:r>
          </w:p>
        </w:tc>
        <w:tc>
          <w:tcPr>
            <w:tcW w:w="300" w:type="pct"/>
            <w:vAlign w:val="center"/>
          </w:tcPr>
          <w:p w14:paraId="6B3AA009">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458" w:type="pct"/>
            <w:vAlign w:val="center"/>
          </w:tcPr>
          <w:p w14:paraId="08E38AC2">
            <w:pPr>
              <w:snapToGrid w:val="0"/>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主观</w:t>
            </w:r>
          </w:p>
        </w:tc>
        <w:tc>
          <w:tcPr>
            <w:tcW w:w="526" w:type="pct"/>
            <w:vAlign w:val="center"/>
          </w:tcPr>
          <w:p w14:paraId="6EE03767">
            <w:pPr>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snapToGrid w:val="0"/>
                <w:color w:val="auto"/>
                <w:kern w:val="0"/>
                <w:sz w:val="24"/>
                <w:highlight w:val="none"/>
                <w:lang w:val="en-US" w:eastAsia="zh-CN"/>
              </w:rPr>
              <w:t>外出游览路线</w:t>
            </w:r>
          </w:p>
        </w:tc>
      </w:tr>
      <w:tr w14:paraId="2C3F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20FBA73F">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p>
        </w:tc>
        <w:tc>
          <w:tcPr>
            <w:tcW w:w="3355" w:type="pct"/>
            <w:vAlign w:val="center"/>
          </w:tcPr>
          <w:p w14:paraId="6FE65C61">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highlight w:val="none"/>
                <w:lang w:eastAsia="zh-CN"/>
              </w:rPr>
            </w:pPr>
            <w:r>
              <w:rPr>
                <w:rFonts w:hint="eastAsia" w:ascii="仿宋" w:hAnsi="仿宋" w:eastAsia="仿宋" w:cs="仿宋"/>
                <w:snapToGrid w:val="0"/>
                <w:color w:val="auto"/>
                <w:kern w:val="0"/>
                <w:sz w:val="24"/>
                <w:highlight w:val="none"/>
                <w:lang w:val="en-US" w:eastAsia="zh-CN"/>
              </w:rPr>
              <w:t>根据供应商提供的外出游览餐饮安排进行打分：</w:t>
            </w:r>
            <w:r>
              <w:rPr>
                <w:rFonts w:hint="eastAsia" w:ascii="仿宋" w:hAnsi="仿宋" w:eastAsia="仿宋" w:cs="仿宋"/>
                <w:snapToGrid w:val="0"/>
                <w:color w:val="auto"/>
                <w:sz w:val="24"/>
                <w:highlight w:val="none"/>
                <w:lang w:val="zh-TW"/>
              </w:rPr>
              <w:t>针对招标文件列出的全部9个地点</w:t>
            </w:r>
            <w:r>
              <w:rPr>
                <w:rFonts w:hint="eastAsia" w:ascii="仿宋" w:hAnsi="仿宋" w:eastAsia="仿宋" w:cs="仿宋"/>
                <w:snapToGrid w:val="0"/>
                <w:color w:val="auto"/>
                <w:sz w:val="24"/>
                <w:highlight w:val="none"/>
                <w:lang w:val="en-US" w:eastAsia="zh-CN"/>
              </w:rPr>
              <w:t>分别有</w:t>
            </w:r>
            <w:r>
              <w:rPr>
                <w:rFonts w:hint="eastAsia" w:ascii="仿宋" w:hAnsi="仿宋" w:eastAsia="仿宋" w:cs="仿宋"/>
                <w:snapToGrid w:val="0"/>
                <w:color w:val="auto"/>
                <w:kern w:val="0"/>
                <w:sz w:val="24"/>
                <w:highlight w:val="none"/>
                <w:lang w:val="en-US" w:eastAsia="zh-CN"/>
              </w:rPr>
              <w:t>餐饮安排，内容合理具体，具有当地特色、菜肴搭配丰富均衡、综合评价非常好的社会餐厅得5分。</w:t>
            </w:r>
            <w:r>
              <w:rPr>
                <w:rFonts w:hint="eastAsia" w:ascii="仿宋" w:hAnsi="仿宋" w:eastAsia="仿宋" w:cs="仿宋"/>
                <w:snapToGrid w:val="0"/>
                <w:color w:val="auto"/>
                <w:sz w:val="24"/>
                <w:highlight w:val="none"/>
              </w:rPr>
              <w:t>针对大部分旅游地点</w:t>
            </w:r>
            <w:r>
              <w:rPr>
                <w:rFonts w:hint="eastAsia" w:ascii="仿宋" w:hAnsi="仿宋" w:eastAsia="仿宋" w:cs="仿宋"/>
                <w:snapToGrid w:val="0"/>
                <w:color w:val="auto"/>
                <w:sz w:val="24"/>
                <w:highlight w:val="none"/>
                <w:lang w:val="en-US" w:eastAsia="zh-CN"/>
              </w:rPr>
              <w:t>提供了餐饮安排，</w:t>
            </w:r>
            <w:r>
              <w:rPr>
                <w:rFonts w:hint="eastAsia" w:ascii="仿宋" w:hAnsi="仿宋" w:eastAsia="仿宋" w:cs="仿宋"/>
                <w:snapToGrid w:val="0"/>
                <w:color w:val="auto"/>
                <w:kern w:val="0"/>
                <w:sz w:val="24"/>
                <w:highlight w:val="none"/>
                <w:lang w:val="en-US" w:eastAsia="zh-CN"/>
              </w:rPr>
              <w:t>具有当地特色、菜肴搭配较为丰富均衡、评价较好的社会餐厅得4分。</w:t>
            </w:r>
            <w:r>
              <w:rPr>
                <w:rFonts w:hint="eastAsia" w:ascii="仿宋" w:hAnsi="仿宋" w:eastAsia="仿宋" w:cs="仿宋"/>
                <w:snapToGrid w:val="0"/>
                <w:color w:val="auto"/>
                <w:sz w:val="24"/>
                <w:highlight w:val="none"/>
              </w:rPr>
              <w:t>针对</w:t>
            </w:r>
            <w:r>
              <w:rPr>
                <w:rFonts w:hint="eastAsia" w:ascii="仿宋" w:hAnsi="仿宋" w:eastAsia="仿宋" w:cs="仿宋"/>
                <w:snapToGrid w:val="0"/>
                <w:color w:val="auto"/>
                <w:sz w:val="24"/>
                <w:highlight w:val="none"/>
                <w:lang w:val="en-US" w:eastAsia="zh-CN"/>
              </w:rPr>
              <w:t>小</w:t>
            </w:r>
            <w:r>
              <w:rPr>
                <w:rFonts w:hint="eastAsia" w:ascii="仿宋" w:hAnsi="仿宋" w:eastAsia="仿宋" w:cs="仿宋"/>
                <w:snapToGrid w:val="0"/>
                <w:color w:val="auto"/>
                <w:sz w:val="24"/>
                <w:highlight w:val="none"/>
              </w:rPr>
              <w:t>部分旅游地点</w:t>
            </w:r>
            <w:r>
              <w:rPr>
                <w:rFonts w:hint="eastAsia" w:ascii="仿宋" w:hAnsi="仿宋" w:eastAsia="仿宋" w:cs="仿宋"/>
                <w:snapToGrid w:val="0"/>
                <w:color w:val="auto"/>
                <w:sz w:val="24"/>
                <w:highlight w:val="none"/>
                <w:lang w:val="en-US" w:eastAsia="zh-CN"/>
              </w:rPr>
              <w:t>提供了餐饮安排，</w:t>
            </w:r>
            <w:r>
              <w:rPr>
                <w:rFonts w:hint="eastAsia" w:ascii="仿宋" w:hAnsi="仿宋" w:eastAsia="仿宋" w:cs="仿宋"/>
                <w:snapToGrid w:val="0"/>
                <w:color w:val="auto"/>
                <w:kern w:val="0"/>
                <w:sz w:val="24"/>
                <w:highlight w:val="none"/>
                <w:lang w:val="en-US" w:eastAsia="zh-CN"/>
              </w:rPr>
              <w:t>菜肴搭配基本均衡、评价较好的社会餐厅得3分。</w:t>
            </w:r>
            <w:r>
              <w:rPr>
                <w:rFonts w:hint="eastAsia" w:ascii="仿宋" w:hAnsi="仿宋" w:eastAsia="仿宋" w:cs="仿宋"/>
                <w:snapToGrid w:val="0"/>
                <w:color w:val="auto"/>
                <w:sz w:val="24"/>
                <w:highlight w:val="none"/>
              </w:rPr>
              <w:t>仅笼统说明提供餐饮，无具体</w:t>
            </w:r>
            <w:r>
              <w:rPr>
                <w:rFonts w:hint="eastAsia" w:ascii="仿宋" w:hAnsi="仿宋" w:eastAsia="仿宋" w:cs="仿宋"/>
                <w:snapToGrid w:val="0"/>
                <w:color w:val="auto"/>
                <w:kern w:val="0"/>
                <w:sz w:val="24"/>
                <w:highlight w:val="none"/>
                <w:lang w:val="en-US" w:eastAsia="zh-CN"/>
              </w:rPr>
              <w:t>方案或信息得2分。菜肴搭配不足、无当地特色、评价较差的社会餐厅得1分。</w:t>
            </w:r>
            <w:r>
              <w:rPr>
                <w:rFonts w:hint="eastAsia" w:ascii="仿宋" w:hAnsi="仿宋" w:eastAsia="仿宋" w:cs="仿宋"/>
                <w:snapToGrid w:val="0"/>
                <w:color w:val="auto"/>
                <w:sz w:val="24"/>
                <w:highlight w:val="none"/>
              </w:rPr>
              <w:t>未提供餐饮安排的，得0分。</w:t>
            </w:r>
          </w:p>
        </w:tc>
        <w:tc>
          <w:tcPr>
            <w:tcW w:w="300" w:type="pct"/>
            <w:vAlign w:val="center"/>
          </w:tcPr>
          <w:p w14:paraId="0ED1924C">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458" w:type="pct"/>
            <w:vAlign w:val="center"/>
          </w:tcPr>
          <w:p w14:paraId="7FC960B6">
            <w:pPr>
              <w:snapToGrid w:val="0"/>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主观</w:t>
            </w:r>
          </w:p>
        </w:tc>
        <w:tc>
          <w:tcPr>
            <w:tcW w:w="526" w:type="pct"/>
            <w:vAlign w:val="center"/>
          </w:tcPr>
          <w:p w14:paraId="7C3111B1">
            <w:pPr>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snapToGrid w:val="0"/>
                <w:color w:val="auto"/>
                <w:kern w:val="0"/>
                <w:sz w:val="24"/>
                <w:highlight w:val="none"/>
                <w:lang w:val="en-US" w:eastAsia="zh-CN"/>
              </w:rPr>
              <w:t>外出游览餐饮</w:t>
            </w:r>
          </w:p>
        </w:tc>
      </w:tr>
      <w:tr w14:paraId="5FFF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398B3417">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3355" w:type="pct"/>
            <w:vAlign w:val="center"/>
          </w:tcPr>
          <w:p w14:paraId="764DA8E3">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sz w:val="24"/>
                <w:highlight w:val="none"/>
                <w:lang w:val="zh-TW"/>
              </w:rPr>
            </w:pPr>
            <w:r>
              <w:rPr>
                <w:rFonts w:hint="eastAsia" w:ascii="仿宋" w:hAnsi="仿宋" w:eastAsia="仿宋" w:cs="仿宋"/>
                <w:snapToGrid w:val="0"/>
                <w:color w:val="auto"/>
                <w:sz w:val="24"/>
                <w:highlight w:val="none"/>
                <w:lang w:val="zh-TW"/>
              </w:rPr>
              <w:t>车辆储备情况</w:t>
            </w:r>
            <w:r>
              <w:rPr>
                <w:rFonts w:hint="eastAsia" w:ascii="仿宋" w:hAnsi="仿宋" w:eastAsia="仿宋" w:cs="仿宋"/>
                <w:snapToGrid w:val="0"/>
                <w:color w:val="auto"/>
                <w:sz w:val="24"/>
                <w:highlight w:val="none"/>
                <w:lang w:val="zh-TW" w:eastAsia="zh-CN"/>
              </w:rPr>
              <w:t>：</w:t>
            </w:r>
          </w:p>
          <w:p w14:paraId="2F7EDE23">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kern w:val="0"/>
                <w:sz w:val="24"/>
                <w:highlight w:val="none"/>
                <w:lang w:val="zh-TW" w:eastAsia="zh-CN"/>
              </w:rPr>
            </w:pPr>
            <w:r>
              <w:rPr>
                <w:rFonts w:hint="eastAsia" w:ascii="仿宋" w:hAnsi="仿宋" w:eastAsia="仿宋" w:cs="仿宋"/>
                <w:snapToGrid w:val="0"/>
                <w:color w:val="auto"/>
                <w:kern w:val="0"/>
                <w:sz w:val="24"/>
                <w:highlight w:val="none"/>
                <w:lang w:val="en-US" w:eastAsia="zh-CN"/>
              </w:rPr>
              <w:t>投标人交通工具储备多</w:t>
            </w:r>
            <w:r>
              <w:rPr>
                <w:rFonts w:hint="eastAsia" w:ascii="仿宋" w:hAnsi="仿宋" w:eastAsia="仿宋" w:cs="仿宋"/>
                <w:snapToGrid w:val="0"/>
                <w:color w:val="auto"/>
                <w:kern w:val="0"/>
                <w:sz w:val="24"/>
                <w:highlight w:val="none"/>
                <w:lang w:val="zh-TW" w:eastAsia="zh-CN"/>
              </w:rPr>
              <w:t>，满足项目人员出行及安全保障条件，旅游大巴车型多样化，</w:t>
            </w:r>
            <w:r>
              <w:rPr>
                <w:rFonts w:hint="eastAsia" w:ascii="仿宋" w:hAnsi="仿宋" w:eastAsia="仿宋" w:cs="仿宋"/>
                <w:snapToGrid w:val="0"/>
                <w:color w:val="auto"/>
                <w:sz w:val="24"/>
                <w:highlight w:val="none"/>
                <w:lang w:val="zh-TW"/>
              </w:rPr>
              <w:t>能够满足不同规模出行需求，得3分。</w:t>
            </w:r>
            <w:r>
              <w:rPr>
                <w:rFonts w:hint="eastAsia" w:ascii="仿宋" w:hAnsi="仿宋" w:eastAsia="仿宋" w:cs="仿宋"/>
                <w:snapToGrid w:val="0"/>
                <w:color w:val="auto"/>
                <w:kern w:val="0"/>
                <w:sz w:val="24"/>
                <w:highlight w:val="none"/>
                <w:lang w:val="en-US" w:eastAsia="zh-CN"/>
              </w:rPr>
              <w:t>投标人交通工具储备一般</w:t>
            </w:r>
            <w:r>
              <w:rPr>
                <w:rFonts w:hint="eastAsia" w:ascii="仿宋" w:hAnsi="仿宋" w:eastAsia="仿宋" w:cs="仿宋"/>
                <w:snapToGrid w:val="0"/>
                <w:color w:val="auto"/>
                <w:kern w:val="0"/>
                <w:sz w:val="24"/>
                <w:highlight w:val="none"/>
                <w:lang w:val="zh-TW" w:eastAsia="zh-CN"/>
              </w:rPr>
              <w:t>，满足项目人员出行及安全保障条件，旅游大巴车型</w:t>
            </w:r>
            <w:r>
              <w:rPr>
                <w:rFonts w:hint="eastAsia" w:ascii="仿宋" w:hAnsi="仿宋" w:eastAsia="仿宋" w:cs="仿宋"/>
                <w:snapToGrid w:val="0"/>
                <w:color w:val="auto"/>
                <w:sz w:val="24"/>
                <w:highlight w:val="none"/>
                <w:lang w:val="zh-TW"/>
              </w:rPr>
              <w:t>能够满足不同规模出行需求，得</w:t>
            </w:r>
            <w:r>
              <w:rPr>
                <w:rFonts w:hint="eastAsia" w:ascii="仿宋" w:hAnsi="仿宋" w:eastAsia="仿宋" w:cs="仿宋"/>
                <w:snapToGrid w:val="0"/>
                <w:color w:val="auto"/>
                <w:sz w:val="24"/>
                <w:highlight w:val="none"/>
                <w:lang w:val="en-US" w:eastAsia="zh-CN"/>
              </w:rPr>
              <w:t>2</w:t>
            </w:r>
            <w:r>
              <w:rPr>
                <w:rFonts w:hint="eastAsia" w:ascii="仿宋" w:hAnsi="仿宋" w:eastAsia="仿宋" w:cs="仿宋"/>
                <w:snapToGrid w:val="0"/>
                <w:color w:val="auto"/>
                <w:sz w:val="24"/>
                <w:highlight w:val="none"/>
                <w:lang w:val="zh-TW"/>
              </w:rPr>
              <w:t>分。</w:t>
            </w:r>
            <w:r>
              <w:rPr>
                <w:rFonts w:hint="eastAsia" w:ascii="仿宋" w:hAnsi="仿宋" w:eastAsia="仿宋" w:cs="仿宋"/>
                <w:snapToGrid w:val="0"/>
                <w:color w:val="auto"/>
                <w:kern w:val="0"/>
                <w:sz w:val="24"/>
                <w:highlight w:val="none"/>
                <w:lang w:val="en-US" w:eastAsia="zh-CN"/>
              </w:rPr>
              <w:t>投标人交通工具储备一般</w:t>
            </w:r>
            <w:r>
              <w:rPr>
                <w:rFonts w:hint="eastAsia" w:ascii="仿宋" w:hAnsi="仿宋" w:eastAsia="仿宋" w:cs="仿宋"/>
                <w:snapToGrid w:val="0"/>
                <w:color w:val="auto"/>
                <w:kern w:val="0"/>
                <w:sz w:val="24"/>
                <w:highlight w:val="none"/>
                <w:lang w:val="zh-TW" w:eastAsia="zh-CN"/>
              </w:rPr>
              <w:t>，旅游大巴车型</w:t>
            </w:r>
            <w:r>
              <w:rPr>
                <w:rFonts w:hint="eastAsia" w:ascii="仿宋" w:hAnsi="仿宋" w:eastAsia="仿宋" w:cs="仿宋"/>
                <w:snapToGrid w:val="0"/>
                <w:color w:val="auto"/>
                <w:kern w:val="0"/>
                <w:sz w:val="24"/>
                <w:highlight w:val="none"/>
                <w:lang w:val="en-US" w:eastAsia="zh-CN"/>
              </w:rPr>
              <w:t>单一得1分。</w:t>
            </w:r>
            <w:r>
              <w:rPr>
                <w:rFonts w:hint="eastAsia" w:ascii="仿宋" w:hAnsi="仿宋" w:eastAsia="仿宋" w:cs="仿宋"/>
                <w:snapToGrid w:val="0"/>
                <w:color w:val="auto"/>
                <w:sz w:val="24"/>
                <w:highlight w:val="none"/>
              </w:rPr>
              <w:t>未提供方案的，得0分。</w:t>
            </w:r>
          </w:p>
        </w:tc>
        <w:tc>
          <w:tcPr>
            <w:tcW w:w="300" w:type="pct"/>
            <w:vAlign w:val="center"/>
          </w:tcPr>
          <w:p w14:paraId="6981F7BE">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458" w:type="pct"/>
            <w:vAlign w:val="center"/>
          </w:tcPr>
          <w:p w14:paraId="4A7DC12E">
            <w:pPr>
              <w:snapToGrid w:val="0"/>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主观</w:t>
            </w:r>
          </w:p>
        </w:tc>
        <w:tc>
          <w:tcPr>
            <w:tcW w:w="526" w:type="pct"/>
            <w:vMerge w:val="restart"/>
            <w:vAlign w:val="center"/>
          </w:tcPr>
          <w:p w14:paraId="25D51D53">
            <w:pPr>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snapToGrid w:val="0"/>
                <w:color w:val="auto"/>
                <w:kern w:val="0"/>
                <w:sz w:val="24"/>
                <w:highlight w:val="none"/>
                <w:lang w:val="en-US" w:eastAsia="zh-CN"/>
              </w:rPr>
              <w:t>外出游览出行交通</w:t>
            </w:r>
          </w:p>
        </w:tc>
      </w:tr>
      <w:tr w14:paraId="6A41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60" w:type="pct"/>
            <w:vAlign w:val="center"/>
          </w:tcPr>
          <w:p w14:paraId="7A8A4648">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w:t>
            </w:r>
          </w:p>
        </w:tc>
        <w:tc>
          <w:tcPr>
            <w:tcW w:w="3355" w:type="pct"/>
            <w:vAlign w:val="center"/>
          </w:tcPr>
          <w:p w14:paraId="7BC8743E">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sz w:val="24"/>
                <w:highlight w:val="none"/>
                <w:lang w:val="zh-TW" w:eastAsia="zh-CN"/>
              </w:rPr>
            </w:pPr>
            <w:r>
              <w:rPr>
                <w:rFonts w:hint="eastAsia" w:ascii="仿宋" w:hAnsi="仿宋" w:eastAsia="仿宋" w:cs="仿宋"/>
                <w:snapToGrid w:val="0"/>
                <w:color w:val="auto"/>
                <w:sz w:val="24"/>
                <w:highlight w:val="none"/>
                <w:lang w:val="zh-TW"/>
              </w:rPr>
              <w:t>车辆车况要求</w:t>
            </w:r>
            <w:r>
              <w:rPr>
                <w:rFonts w:hint="eastAsia" w:ascii="仿宋" w:hAnsi="仿宋" w:eastAsia="仿宋" w:cs="仿宋"/>
                <w:snapToGrid w:val="0"/>
                <w:color w:val="auto"/>
                <w:sz w:val="24"/>
                <w:highlight w:val="none"/>
                <w:lang w:val="zh-TW" w:eastAsia="zh-CN"/>
              </w:rPr>
              <w:t>：</w:t>
            </w:r>
          </w:p>
          <w:p w14:paraId="09A136D9">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sz w:val="24"/>
                <w:highlight w:val="none"/>
                <w:lang w:val="zh-TW"/>
              </w:rPr>
            </w:pPr>
            <w:r>
              <w:rPr>
                <w:rFonts w:hint="eastAsia" w:ascii="仿宋" w:hAnsi="仿宋" w:eastAsia="仿宋" w:cs="仿宋"/>
                <w:snapToGrid w:val="0"/>
                <w:color w:val="auto"/>
                <w:sz w:val="24"/>
                <w:highlight w:val="none"/>
                <w:lang w:val="zh-TW"/>
              </w:rPr>
              <w:t>拟投入车辆全部为2年以内</w:t>
            </w:r>
            <w:r>
              <w:rPr>
                <w:rFonts w:hint="eastAsia" w:ascii="仿宋" w:hAnsi="仿宋" w:eastAsia="仿宋" w:cs="仿宋"/>
                <w:snapToGrid w:val="0"/>
                <w:color w:val="auto"/>
                <w:sz w:val="24"/>
                <w:highlight w:val="none"/>
                <w:lang w:val="zh-TW" w:eastAsia="zh-CN"/>
              </w:rPr>
              <w:t>（</w:t>
            </w:r>
            <w:r>
              <w:rPr>
                <w:rFonts w:hint="eastAsia" w:ascii="仿宋" w:hAnsi="仿宋" w:eastAsia="仿宋" w:cs="仿宋"/>
                <w:snapToGrid w:val="0"/>
                <w:color w:val="auto"/>
                <w:sz w:val="24"/>
                <w:highlight w:val="none"/>
                <w:lang w:val="en-US" w:eastAsia="zh-CN"/>
              </w:rPr>
              <w:t>不含）</w:t>
            </w:r>
            <w:r>
              <w:rPr>
                <w:rFonts w:hint="eastAsia" w:ascii="仿宋" w:hAnsi="仿宋" w:eastAsia="仿宋" w:cs="仿宋"/>
                <w:snapToGrid w:val="0"/>
                <w:color w:val="auto"/>
                <w:sz w:val="24"/>
                <w:highlight w:val="none"/>
                <w:lang w:val="zh-TW"/>
              </w:rPr>
              <w:t>的新车，提供行驶证复印件证明，得3分。拟投入车辆2</w:t>
            </w:r>
            <w:r>
              <w:rPr>
                <w:rFonts w:hint="eastAsia" w:ascii="仿宋" w:hAnsi="仿宋" w:eastAsia="仿宋" w:cs="仿宋"/>
                <w:snapToGrid w:val="0"/>
                <w:color w:val="auto"/>
                <w:sz w:val="24"/>
                <w:highlight w:val="none"/>
                <w:lang w:val="zh-TW" w:eastAsia="zh-CN"/>
              </w:rPr>
              <w:t>（</w:t>
            </w:r>
            <w:r>
              <w:rPr>
                <w:rFonts w:hint="eastAsia" w:ascii="仿宋" w:hAnsi="仿宋" w:eastAsia="仿宋" w:cs="仿宋"/>
                <w:snapToGrid w:val="0"/>
                <w:color w:val="auto"/>
                <w:sz w:val="24"/>
                <w:highlight w:val="none"/>
                <w:lang w:val="en-US" w:eastAsia="zh-CN"/>
              </w:rPr>
              <w:t>含）</w:t>
            </w:r>
            <w:r>
              <w:rPr>
                <w:rFonts w:hint="eastAsia" w:ascii="仿宋" w:hAnsi="仿宋" w:eastAsia="仿宋" w:cs="仿宋"/>
                <w:snapToGrid w:val="0"/>
                <w:color w:val="auto"/>
                <w:sz w:val="24"/>
                <w:highlight w:val="none"/>
                <w:lang w:val="zh-TW"/>
              </w:rPr>
              <w:t>-4</w:t>
            </w:r>
            <w:r>
              <w:rPr>
                <w:rFonts w:hint="eastAsia" w:ascii="仿宋" w:hAnsi="仿宋" w:eastAsia="仿宋" w:cs="仿宋"/>
                <w:snapToGrid w:val="0"/>
                <w:color w:val="auto"/>
                <w:sz w:val="24"/>
                <w:highlight w:val="none"/>
                <w:lang w:val="zh-TW" w:eastAsia="zh-CN"/>
              </w:rPr>
              <w:t>（</w:t>
            </w:r>
            <w:r>
              <w:rPr>
                <w:rFonts w:hint="eastAsia" w:ascii="仿宋" w:hAnsi="仿宋" w:eastAsia="仿宋" w:cs="仿宋"/>
                <w:snapToGrid w:val="0"/>
                <w:color w:val="auto"/>
                <w:sz w:val="24"/>
                <w:highlight w:val="none"/>
                <w:lang w:val="en-US" w:eastAsia="zh-CN"/>
              </w:rPr>
              <w:t>不含）</w:t>
            </w:r>
            <w:r>
              <w:rPr>
                <w:rFonts w:hint="eastAsia" w:ascii="仿宋" w:hAnsi="仿宋" w:eastAsia="仿宋" w:cs="仿宋"/>
                <w:snapToGrid w:val="0"/>
                <w:color w:val="auto"/>
                <w:sz w:val="24"/>
                <w:highlight w:val="none"/>
                <w:lang w:val="zh-TW"/>
              </w:rPr>
              <w:t>年车龄，提供行驶证复印件证明，得2分。拟投入车辆4</w:t>
            </w:r>
            <w:r>
              <w:rPr>
                <w:rFonts w:hint="eastAsia" w:ascii="仿宋" w:hAnsi="仿宋" w:eastAsia="仿宋" w:cs="仿宋"/>
                <w:snapToGrid w:val="0"/>
                <w:color w:val="auto"/>
                <w:sz w:val="24"/>
                <w:highlight w:val="none"/>
                <w:lang w:val="zh-TW" w:eastAsia="zh-CN"/>
              </w:rPr>
              <w:t>（</w:t>
            </w:r>
            <w:r>
              <w:rPr>
                <w:rFonts w:hint="eastAsia" w:ascii="仿宋" w:hAnsi="仿宋" w:eastAsia="仿宋" w:cs="仿宋"/>
                <w:snapToGrid w:val="0"/>
                <w:color w:val="auto"/>
                <w:sz w:val="24"/>
                <w:highlight w:val="none"/>
                <w:lang w:val="en-US" w:eastAsia="zh-CN"/>
              </w:rPr>
              <w:t>含）</w:t>
            </w:r>
            <w:r>
              <w:rPr>
                <w:rFonts w:hint="eastAsia" w:ascii="仿宋" w:hAnsi="仿宋" w:eastAsia="仿宋" w:cs="仿宋"/>
                <w:snapToGrid w:val="0"/>
                <w:color w:val="auto"/>
                <w:sz w:val="24"/>
                <w:highlight w:val="none"/>
                <w:lang w:val="zh-TW"/>
              </w:rPr>
              <w:t>-6</w:t>
            </w:r>
            <w:r>
              <w:rPr>
                <w:rFonts w:hint="eastAsia" w:ascii="仿宋" w:hAnsi="仿宋" w:eastAsia="仿宋" w:cs="仿宋"/>
                <w:snapToGrid w:val="0"/>
                <w:color w:val="auto"/>
                <w:sz w:val="24"/>
                <w:highlight w:val="none"/>
                <w:lang w:val="zh-TW" w:eastAsia="zh-CN"/>
              </w:rPr>
              <w:t>（</w:t>
            </w:r>
            <w:r>
              <w:rPr>
                <w:rFonts w:hint="eastAsia" w:ascii="仿宋" w:hAnsi="仿宋" w:eastAsia="仿宋" w:cs="仿宋"/>
                <w:snapToGrid w:val="0"/>
                <w:color w:val="auto"/>
                <w:sz w:val="24"/>
                <w:highlight w:val="none"/>
                <w:lang w:val="en-US" w:eastAsia="zh-CN"/>
              </w:rPr>
              <w:t>不含）</w:t>
            </w:r>
            <w:r>
              <w:rPr>
                <w:rFonts w:hint="eastAsia" w:ascii="仿宋" w:hAnsi="仿宋" w:eastAsia="仿宋" w:cs="仿宋"/>
                <w:snapToGrid w:val="0"/>
                <w:color w:val="auto"/>
                <w:sz w:val="24"/>
                <w:highlight w:val="none"/>
                <w:lang w:val="zh-TW"/>
              </w:rPr>
              <w:t>年车龄，得1分。拟投入车辆6年</w:t>
            </w:r>
            <w:r>
              <w:rPr>
                <w:rFonts w:hint="eastAsia" w:ascii="仿宋" w:hAnsi="仿宋" w:eastAsia="仿宋" w:cs="仿宋"/>
                <w:snapToGrid w:val="0"/>
                <w:color w:val="auto"/>
                <w:sz w:val="24"/>
                <w:highlight w:val="none"/>
                <w:lang w:val="en-US" w:eastAsia="zh-CN"/>
              </w:rPr>
              <w:t>及</w:t>
            </w:r>
            <w:r>
              <w:rPr>
                <w:rFonts w:hint="eastAsia" w:ascii="仿宋" w:hAnsi="仿宋" w:eastAsia="仿宋" w:cs="仿宋"/>
                <w:snapToGrid w:val="0"/>
                <w:color w:val="auto"/>
                <w:sz w:val="24"/>
                <w:highlight w:val="none"/>
                <w:lang w:val="zh-TW"/>
              </w:rPr>
              <w:t>以上或未提供行驶证的，得0分。</w:t>
            </w:r>
          </w:p>
        </w:tc>
        <w:tc>
          <w:tcPr>
            <w:tcW w:w="300" w:type="pct"/>
            <w:vAlign w:val="center"/>
          </w:tcPr>
          <w:p w14:paraId="3F53F68D">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458" w:type="pct"/>
            <w:vAlign w:val="center"/>
          </w:tcPr>
          <w:p w14:paraId="20C61E77">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客观</w:t>
            </w:r>
          </w:p>
        </w:tc>
        <w:tc>
          <w:tcPr>
            <w:tcW w:w="526" w:type="pct"/>
            <w:vMerge w:val="continue"/>
            <w:vAlign w:val="center"/>
          </w:tcPr>
          <w:p w14:paraId="5A827DD5">
            <w:pPr>
              <w:snapToGrid w:val="0"/>
              <w:spacing w:line="240" w:lineRule="auto"/>
              <w:jc w:val="center"/>
              <w:rPr>
                <w:rFonts w:hint="eastAsia" w:ascii="仿宋" w:hAnsi="仿宋" w:eastAsia="仿宋" w:cs="仿宋"/>
                <w:snapToGrid w:val="0"/>
                <w:color w:val="auto"/>
                <w:kern w:val="0"/>
                <w:sz w:val="24"/>
                <w:highlight w:val="none"/>
                <w:lang w:val="en-US" w:eastAsia="zh-CN"/>
              </w:rPr>
            </w:pPr>
          </w:p>
        </w:tc>
      </w:tr>
      <w:tr w14:paraId="1128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69F49748">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w:t>
            </w:r>
          </w:p>
        </w:tc>
        <w:tc>
          <w:tcPr>
            <w:tcW w:w="3355" w:type="pct"/>
            <w:vAlign w:val="center"/>
          </w:tcPr>
          <w:p w14:paraId="485EA8B3">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kern w:val="0"/>
                <w:sz w:val="24"/>
                <w:highlight w:val="none"/>
                <w:lang w:val="zh-TW" w:eastAsia="zh-CN"/>
              </w:rPr>
            </w:pPr>
            <w:r>
              <w:rPr>
                <w:rFonts w:hint="eastAsia" w:ascii="仿宋" w:hAnsi="仿宋" w:eastAsia="仿宋" w:cs="仿宋"/>
                <w:snapToGrid w:val="0"/>
                <w:color w:val="auto"/>
                <w:kern w:val="0"/>
                <w:sz w:val="24"/>
                <w:highlight w:val="none"/>
                <w:lang w:val="en-US" w:eastAsia="zh-CN"/>
              </w:rPr>
              <w:t>根据供应商提供的整体</w:t>
            </w:r>
            <w:r>
              <w:rPr>
                <w:rFonts w:hint="eastAsia" w:ascii="仿宋" w:hAnsi="仿宋" w:eastAsia="仿宋" w:cs="仿宋"/>
                <w:snapToGrid w:val="0"/>
                <w:color w:val="auto"/>
                <w:kern w:val="0"/>
                <w:sz w:val="24"/>
                <w:highlight w:val="none"/>
                <w:lang w:val="zh-TW" w:eastAsia="zh-CN"/>
              </w:rPr>
              <w:t>工作程序和步骤、管理和协调方法</w:t>
            </w:r>
            <w:r>
              <w:rPr>
                <w:rFonts w:hint="eastAsia" w:ascii="仿宋" w:hAnsi="仿宋" w:eastAsia="仿宋" w:cs="仿宋"/>
                <w:snapToGrid w:val="0"/>
                <w:color w:val="auto"/>
                <w:kern w:val="0"/>
                <w:sz w:val="24"/>
                <w:highlight w:val="none"/>
                <w:lang w:val="en-US" w:eastAsia="zh-CN"/>
              </w:rPr>
              <w:t>进行打分：</w:t>
            </w:r>
            <w:r>
              <w:rPr>
                <w:rFonts w:hint="eastAsia" w:ascii="仿宋" w:hAnsi="仿宋" w:eastAsia="仿宋" w:cs="仿宋"/>
                <w:snapToGrid w:val="0"/>
                <w:color w:val="auto"/>
                <w:sz w:val="24"/>
                <w:highlight w:val="none"/>
                <w:lang w:val="zh-TW"/>
              </w:rPr>
              <w:t>提供了完整的全流程工作程序（含行程前、行程中、行程后），包含与采购人沟通的具体机制，关键步骤明确到小时，得5分。提供了较完整的工作程序，包含沟通机制，关键步骤明确到天，得4分。提供了基本的工作程序，有沟通机制但不够具体，得3分。工作程序过于简单，缺少关键环节，得2分。工作程序混乱或难以执行，得1分。未提供的，得0分。</w:t>
            </w:r>
          </w:p>
        </w:tc>
        <w:tc>
          <w:tcPr>
            <w:tcW w:w="300" w:type="pct"/>
            <w:vAlign w:val="center"/>
          </w:tcPr>
          <w:p w14:paraId="3F9720C3">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458" w:type="pct"/>
            <w:vAlign w:val="center"/>
          </w:tcPr>
          <w:p w14:paraId="053B59A9">
            <w:pPr>
              <w:snapToGrid w:val="0"/>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主观</w:t>
            </w:r>
          </w:p>
        </w:tc>
        <w:tc>
          <w:tcPr>
            <w:tcW w:w="526" w:type="pct"/>
            <w:vAlign w:val="center"/>
          </w:tcPr>
          <w:p w14:paraId="6C92BABB">
            <w:pPr>
              <w:snapToGrid w:val="0"/>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snapToGrid w:val="0"/>
                <w:color w:val="auto"/>
                <w:kern w:val="0"/>
                <w:sz w:val="24"/>
                <w:highlight w:val="none"/>
                <w:lang w:val="en-US" w:eastAsia="zh-CN"/>
              </w:rPr>
              <w:t>整体</w:t>
            </w:r>
            <w:r>
              <w:rPr>
                <w:rFonts w:hint="eastAsia" w:ascii="仿宋" w:hAnsi="仿宋" w:eastAsia="仿宋" w:cs="仿宋"/>
                <w:snapToGrid w:val="0"/>
                <w:color w:val="auto"/>
                <w:kern w:val="0"/>
                <w:sz w:val="24"/>
                <w:highlight w:val="none"/>
                <w:lang w:val="zh-TW" w:eastAsia="zh-CN"/>
              </w:rPr>
              <w:t>工作程序</w:t>
            </w:r>
          </w:p>
        </w:tc>
      </w:tr>
      <w:tr w14:paraId="4743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14:paraId="61F60913">
            <w:pPr>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13</w:t>
            </w:r>
          </w:p>
        </w:tc>
        <w:tc>
          <w:tcPr>
            <w:tcW w:w="3355" w:type="pct"/>
            <w:vAlign w:val="center"/>
          </w:tcPr>
          <w:p w14:paraId="7C1DC713">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kern w:val="0"/>
                <w:sz w:val="24"/>
                <w:highlight w:val="none"/>
                <w:lang w:val="zh-TW" w:eastAsia="zh-CN"/>
              </w:rPr>
            </w:pPr>
            <w:r>
              <w:rPr>
                <w:rFonts w:hint="eastAsia" w:ascii="仿宋" w:hAnsi="仿宋" w:eastAsia="仿宋" w:cs="仿宋"/>
                <w:snapToGrid w:val="0"/>
                <w:color w:val="auto"/>
                <w:kern w:val="0"/>
                <w:sz w:val="24"/>
                <w:highlight w:val="none"/>
                <w:lang w:val="en-US" w:eastAsia="zh-CN"/>
              </w:rPr>
              <w:t>根据供应商提供的安全管理方案进行打分：</w:t>
            </w:r>
            <w:r>
              <w:rPr>
                <w:rFonts w:hint="eastAsia" w:ascii="仿宋" w:hAnsi="仿宋" w:eastAsia="仿宋" w:cs="仿宋"/>
                <w:snapToGrid w:val="0"/>
                <w:color w:val="auto"/>
                <w:kern w:val="0"/>
                <w:sz w:val="24"/>
                <w:highlight w:val="none"/>
                <w:lang w:val="zh-TW" w:eastAsia="zh-CN"/>
              </w:rPr>
              <w:t>安全管理（应急预案应考虑医院与活动场地的距离）措施到位，充分考虑安全管理的各方面因素，如人员受伤、食物中毒、身体不适等因素得5分。安全管理方案较为周全、措施较到位得4分。安全管理方案</w:t>
            </w:r>
            <w:r>
              <w:rPr>
                <w:rFonts w:hint="eastAsia" w:ascii="仿宋" w:hAnsi="仿宋" w:eastAsia="仿宋" w:cs="仿宋"/>
                <w:snapToGrid w:val="0"/>
                <w:color w:val="auto"/>
                <w:kern w:val="0"/>
                <w:sz w:val="24"/>
                <w:highlight w:val="none"/>
                <w:lang w:val="en-US" w:eastAsia="zh-CN"/>
              </w:rPr>
              <w:t>覆盖场景不够全面，明确的医院信息等内容不够全面</w:t>
            </w:r>
            <w:r>
              <w:rPr>
                <w:rFonts w:hint="eastAsia" w:ascii="仿宋" w:hAnsi="仿宋" w:eastAsia="仿宋" w:cs="仿宋"/>
                <w:snapToGrid w:val="0"/>
                <w:color w:val="auto"/>
                <w:kern w:val="0"/>
                <w:sz w:val="24"/>
                <w:highlight w:val="none"/>
                <w:lang w:val="zh-TW" w:eastAsia="zh-CN"/>
              </w:rPr>
              <w:t>得3分。安全管理方案</w:t>
            </w:r>
            <w:r>
              <w:rPr>
                <w:rFonts w:hint="eastAsia" w:ascii="仿宋" w:hAnsi="仿宋" w:eastAsia="仿宋" w:cs="仿宋"/>
                <w:snapToGrid w:val="0"/>
                <w:color w:val="auto"/>
                <w:kern w:val="0"/>
                <w:sz w:val="24"/>
                <w:highlight w:val="none"/>
                <w:lang w:val="en-US" w:eastAsia="zh-CN"/>
              </w:rPr>
              <w:t>覆盖场景</w:t>
            </w:r>
            <w:r>
              <w:rPr>
                <w:rFonts w:hint="eastAsia" w:ascii="仿宋" w:hAnsi="仿宋" w:eastAsia="仿宋" w:cs="仿宋"/>
                <w:snapToGrid w:val="0"/>
                <w:color w:val="auto"/>
                <w:kern w:val="0"/>
                <w:sz w:val="24"/>
                <w:highlight w:val="none"/>
                <w:lang w:val="zh-TW" w:eastAsia="zh-CN"/>
              </w:rPr>
              <w:t>基本周全</w:t>
            </w:r>
            <w:r>
              <w:rPr>
                <w:rFonts w:hint="eastAsia" w:ascii="仿宋" w:hAnsi="仿宋" w:eastAsia="仿宋" w:cs="仿宋"/>
                <w:snapToGrid w:val="0"/>
                <w:color w:val="auto"/>
                <w:kern w:val="0"/>
                <w:sz w:val="24"/>
                <w:highlight w:val="none"/>
                <w:lang w:val="en-US" w:eastAsia="zh-CN"/>
              </w:rPr>
              <w:t>但医院信息缺失</w:t>
            </w:r>
            <w:r>
              <w:rPr>
                <w:rFonts w:hint="eastAsia" w:ascii="仿宋" w:hAnsi="仿宋" w:eastAsia="仿宋" w:cs="仿宋"/>
                <w:snapToGrid w:val="0"/>
                <w:color w:val="auto"/>
                <w:kern w:val="0"/>
                <w:sz w:val="24"/>
                <w:highlight w:val="none"/>
                <w:lang w:val="zh-TW" w:eastAsia="zh-CN"/>
              </w:rPr>
              <w:t>得2分。</w:t>
            </w:r>
            <w:r>
              <w:rPr>
                <w:rFonts w:hint="eastAsia" w:ascii="仿宋" w:hAnsi="仿宋" w:eastAsia="仿宋" w:cs="仿宋"/>
                <w:snapToGrid w:val="0"/>
                <w:color w:val="auto"/>
                <w:sz w:val="24"/>
                <w:highlight w:val="none"/>
                <w:lang w:val="zh-TW"/>
              </w:rPr>
              <w:t>仅笼统说明“做好安全措施”，无具体预案，得1分。</w:t>
            </w:r>
            <w:r>
              <w:rPr>
                <w:rFonts w:hint="eastAsia" w:ascii="仿宋" w:hAnsi="仿宋" w:eastAsia="仿宋" w:cs="仿宋"/>
                <w:snapToGrid w:val="0"/>
                <w:color w:val="auto"/>
                <w:kern w:val="0"/>
                <w:sz w:val="24"/>
                <w:highlight w:val="none"/>
                <w:lang w:val="zh-TW" w:eastAsia="zh-CN"/>
              </w:rPr>
              <w:t>未提供</w:t>
            </w:r>
            <w:r>
              <w:rPr>
                <w:rFonts w:hint="eastAsia" w:ascii="仿宋" w:hAnsi="仿宋" w:eastAsia="仿宋" w:cs="仿宋"/>
                <w:snapToGrid w:val="0"/>
                <w:color w:val="auto"/>
                <w:sz w:val="24"/>
                <w:highlight w:val="none"/>
                <w:lang w:val="zh-TW"/>
              </w:rPr>
              <w:t>的，得0分。</w:t>
            </w:r>
          </w:p>
        </w:tc>
        <w:tc>
          <w:tcPr>
            <w:tcW w:w="300" w:type="pct"/>
            <w:vAlign w:val="center"/>
          </w:tcPr>
          <w:p w14:paraId="63473D04">
            <w:pPr>
              <w:pStyle w:val="78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napToGrid w:val="0"/>
                <w:color w:val="auto"/>
                <w:sz w:val="24"/>
                <w:highlight w:val="none"/>
                <w:lang w:val="zh-TW" w:eastAsia="zh-CN"/>
              </w:rPr>
            </w:pPr>
            <w:r>
              <w:rPr>
                <w:rFonts w:hint="eastAsia" w:ascii="仿宋" w:hAnsi="仿宋" w:eastAsia="仿宋" w:cs="仿宋"/>
                <w:snapToGrid w:val="0"/>
                <w:color w:val="auto"/>
                <w:kern w:val="0"/>
                <w:sz w:val="24"/>
                <w:highlight w:val="none"/>
                <w:lang w:val="zh-TW" w:eastAsia="zh-CN"/>
              </w:rPr>
              <w:t>5</w:t>
            </w:r>
          </w:p>
        </w:tc>
        <w:tc>
          <w:tcPr>
            <w:tcW w:w="458" w:type="pct"/>
            <w:vAlign w:val="center"/>
          </w:tcPr>
          <w:p w14:paraId="60D48840">
            <w:pPr>
              <w:pStyle w:val="784"/>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snapToGrid w:val="0"/>
                <w:color w:val="auto"/>
                <w:sz w:val="24"/>
                <w:highlight w:val="none"/>
                <w:lang w:val="zh-TW"/>
              </w:rPr>
            </w:pPr>
            <w:r>
              <w:rPr>
                <w:rFonts w:hint="eastAsia" w:ascii="仿宋" w:hAnsi="仿宋" w:eastAsia="仿宋" w:cs="仿宋"/>
                <w:snapToGrid w:val="0"/>
                <w:color w:val="auto"/>
                <w:kern w:val="0"/>
                <w:sz w:val="24"/>
                <w:highlight w:val="none"/>
                <w:lang w:val="zh-TW" w:eastAsia="zh-CN"/>
              </w:rPr>
              <w:t>主观</w:t>
            </w:r>
          </w:p>
        </w:tc>
        <w:tc>
          <w:tcPr>
            <w:tcW w:w="526" w:type="pct"/>
            <w:vAlign w:val="center"/>
          </w:tcPr>
          <w:p w14:paraId="25D78D16">
            <w:pPr>
              <w:pStyle w:val="784"/>
              <w:adjustRightInd/>
              <w:snapToGrid/>
              <w:spacing w:line="240" w:lineRule="auto"/>
              <w:jc w:val="center"/>
              <w:rPr>
                <w:rFonts w:hint="eastAsia" w:ascii="仿宋" w:hAnsi="仿宋" w:eastAsia="仿宋" w:cs="仿宋"/>
                <w:snapToGrid w:val="0"/>
                <w:color w:val="auto"/>
                <w:sz w:val="24"/>
                <w:highlight w:val="none"/>
                <w:lang w:val="zh-TW" w:eastAsia="zh-CN"/>
              </w:rPr>
            </w:pPr>
            <w:r>
              <w:rPr>
                <w:rFonts w:hint="eastAsia" w:ascii="仿宋" w:hAnsi="仿宋" w:eastAsia="仿宋" w:cs="仿宋"/>
                <w:snapToGrid w:val="0"/>
                <w:color w:val="auto"/>
                <w:sz w:val="24"/>
                <w:highlight w:val="none"/>
                <w:lang w:val="zh-TW" w:eastAsia="zh-CN"/>
              </w:rPr>
              <w:t>安全管理</w:t>
            </w:r>
          </w:p>
        </w:tc>
      </w:tr>
      <w:tr w14:paraId="6353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14:paraId="63485F9F">
            <w:pPr>
              <w:snapToGrid w:val="0"/>
              <w:spacing w:line="24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14</w:t>
            </w:r>
          </w:p>
        </w:tc>
        <w:tc>
          <w:tcPr>
            <w:tcW w:w="3355" w:type="pct"/>
            <w:vAlign w:val="center"/>
          </w:tcPr>
          <w:p w14:paraId="409A2D45">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根据供应商提供的加强服务舒适度保障的相关措施进行打分：整体措施方案实用性强、考虑周全的得4分。有舒适度保障相关措施，整体措施较为实用、考虑较周全得3分。有舒适度保障相关措施，</w:t>
            </w:r>
            <w:r>
              <w:rPr>
                <w:rFonts w:hint="eastAsia" w:ascii="仿宋" w:hAnsi="仿宋" w:eastAsia="仿宋" w:cs="仿宋"/>
                <w:snapToGrid w:val="0"/>
                <w:color w:val="auto"/>
                <w:sz w:val="24"/>
                <w:highlight w:val="none"/>
              </w:rPr>
              <w:t>措施基本合理</w:t>
            </w:r>
            <w:r>
              <w:rPr>
                <w:rFonts w:hint="eastAsia" w:ascii="仿宋" w:hAnsi="仿宋" w:eastAsia="仿宋" w:cs="仿宋"/>
                <w:snapToGrid w:val="0"/>
                <w:color w:val="auto"/>
                <w:kern w:val="0"/>
                <w:sz w:val="24"/>
                <w:highlight w:val="none"/>
                <w:lang w:val="en-US" w:eastAsia="zh-CN"/>
              </w:rPr>
              <w:t>、考虑基本周全得2分。</w:t>
            </w:r>
            <w:r>
              <w:rPr>
                <w:rFonts w:hint="eastAsia" w:ascii="仿宋" w:hAnsi="仿宋" w:eastAsia="仿宋" w:cs="仿宋"/>
                <w:snapToGrid w:val="0"/>
                <w:color w:val="auto"/>
                <w:sz w:val="24"/>
                <w:highlight w:val="none"/>
              </w:rPr>
              <w:t>措施过于笼统（如“尽量让老人舒适”）</w:t>
            </w:r>
            <w:r>
              <w:rPr>
                <w:rFonts w:hint="eastAsia" w:ascii="仿宋" w:hAnsi="仿宋" w:eastAsia="仿宋" w:cs="仿宋"/>
                <w:snapToGrid w:val="0"/>
                <w:color w:val="auto"/>
                <w:kern w:val="0"/>
                <w:sz w:val="24"/>
                <w:highlight w:val="none"/>
                <w:lang w:val="en-US" w:eastAsia="zh-CN"/>
              </w:rPr>
              <w:t>得1分。</w:t>
            </w:r>
            <w:r>
              <w:rPr>
                <w:rFonts w:hint="eastAsia" w:ascii="仿宋" w:hAnsi="仿宋" w:eastAsia="仿宋" w:cs="仿宋"/>
                <w:snapToGrid w:val="0"/>
                <w:color w:val="auto"/>
                <w:kern w:val="0"/>
                <w:sz w:val="24"/>
                <w:highlight w:val="none"/>
                <w:lang w:val="zh-TW" w:eastAsia="zh-CN"/>
              </w:rPr>
              <w:t>未提供</w:t>
            </w:r>
            <w:r>
              <w:rPr>
                <w:rFonts w:hint="eastAsia" w:ascii="仿宋" w:hAnsi="仿宋" w:eastAsia="仿宋" w:cs="仿宋"/>
                <w:snapToGrid w:val="0"/>
                <w:color w:val="auto"/>
                <w:sz w:val="24"/>
                <w:highlight w:val="none"/>
                <w:lang w:val="zh-TW"/>
              </w:rPr>
              <w:t>的，得0分。</w:t>
            </w:r>
          </w:p>
        </w:tc>
        <w:tc>
          <w:tcPr>
            <w:tcW w:w="300" w:type="pct"/>
            <w:vAlign w:val="center"/>
          </w:tcPr>
          <w:p w14:paraId="31D371A8">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458" w:type="pct"/>
            <w:vAlign w:val="center"/>
          </w:tcPr>
          <w:p w14:paraId="48FE4AB0">
            <w:pPr>
              <w:snapToGrid w:val="0"/>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主观</w:t>
            </w:r>
          </w:p>
        </w:tc>
        <w:tc>
          <w:tcPr>
            <w:tcW w:w="526" w:type="pct"/>
            <w:vAlign w:val="center"/>
          </w:tcPr>
          <w:p w14:paraId="37E353E4">
            <w:pPr>
              <w:snapToGrid w:val="0"/>
              <w:spacing w:line="240" w:lineRule="auto"/>
              <w:jc w:val="center"/>
              <w:rPr>
                <w:rFonts w:hint="default" w:ascii="仿宋" w:hAnsi="仿宋" w:eastAsia="仿宋" w:cs="仿宋"/>
                <w:color w:val="auto"/>
                <w:sz w:val="24"/>
                <w:highlight w:val="none"/>
                <w:lang w:val="en-US"/>
              </w:rPr>
            </w:pPr>
            <w:r>
              <w:rPr>
                <w:rFonts w:hint="eastAsia" w:ascii="仿宋" w:hAnsi="仿宋" w:eastAsia="仿宋" w:cs="仿宋"/>
                <w:snapToGrid w:val="0"/>
                <w:color w:val="auto"/>
                <w:kern w:val="0"/>
                <w:sz w:val="24"/>
                <w:highlight w:val="none"/>
                <w:lang w:val="en-US" w:eastAsia="zh-CN"/>
              </w:rPr>
              <w:t>舒适度保障措施</w:t>
            </w:r>
          </w:p>
        </w:tc>
      </w:tr>
      <w:tr w14:paraId="3385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shd w:val="clear" w:color="auto" w:fill="auto"/>
            <w:vAlign w:val="center"/>
          </w:tcPr>
          <w:p w14:paraId="775CB33D">
            <w:pPr>
              <w:snapToGrid w:val="0"/>
              <w:spacing w:line="24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15</w:t>
            </w:r>
          </w:p>
        </w:tc>
        <w:tc>
          <w:tcPr>
            <w:tcW w:w="3355" w:type="pct"/>
            <w:vAlign w:val="center"/>
          </w:tcPr>
          <w:p w14:paraId="729F85A8">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kern w:val="0"/>
                <w:sz w:val="24"/>
                <w:highlight w:val="none"/>
                <w:lang w:val="zh-TW" w:eastAsia="zh-CN"/>
              </w:rPr>
            </w:pPr>
            <w:r>
              <w:rPr>
                <w:rFonts w:hint="eastAsia" w:ascii="仿宋" w:hAnsi="仿宋" w:eastAsia="仿宋" w:cs="仿宋"/>
                <w:snapToGrid w:val="0"/>
                <w:color w:val="auto"/>
                <w:kern w:val="0"/>
                <w:sz w:val="24"/>
                <w:highlight w:val="none"/>
                <w:lang w:val="en-US" w:eastAsia="zh-CN"/>
              </w:rPr>
              <w:t>根据供应商提供的供应商内部</w:t>
            </w:r>
            <w:r>
              <w:rPr>
                <w:rFonts w:hint="eastAsia" w:ascii="仿宋" w:hAnsi="仿宋" w:eastAsia="仿宋" w:cs="仿宋"/>
                <w:snapToGrid w:val="0"/>
                <w:color w:val="auto"/>
                <w:kern w:val="0"/>
                <w:sz w:val="24"/>
                <w:highlight w:val="none"/>
                <w:lang w:val="zh-TW" w:eastAsia="zh-CN"/>
              </w:rPr>
              <w:t>管理制度</w:t>
            </w:r>
            <w:r>
              <w:rPr>
                <w:rFonts w:hint="eastAsia" w:ascii="仿宋" w:hAnsi="仿宋" w:eastAsia="仿宋" w:cs="仿宋"/>
                <w:snapToGrid w:val="0"/>
                <w:color w:val="auto"/>
                <w:kern w:val="0"/>
                <w:sz w:val="24"/>
                <w:highlight w:val="none"/>
                <w:lang w:val="en-US" w:eastAsia="zh-CN"/>
              </w:rPr>
              <w:t>进行打分：</w:t>
            </w:r>
            <w:r>
              <w:rPr>
                <w:rFonts w:hint="eastAsia" w:ascii="仿宋" w:hAnsi="仿宋" w:eastAsia="仿宋" w:cs="仿宋"/>
                <w:snapToGrid w:val="0"/>
                <w:color w:val="auto"/>
                <w:kern w:val="0"/>
                <w:sz w:val="24"/>
                <w:highlight w:val="none"/>
                <w:lang w:val="zh-TW" w:eastAsia="zh-CN"/>
              </w:rPr>
              <w:t>管理制度健全，能有效保障本次服务，对服务人员有效管控得</w:t>
            </w: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lang w:val="zh-TW" w:eastAsia="zh-CN"/>
              </w:rPr>
              <w:t>分。管理制度较健全，对服务人员管控较为有效得</w:t>
            </w: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lang w:val="zh-TW" w:eastAsia="zh-CN"/>
              </w:rPr>
              <w:t>分。投标人管理制度基本健全，对服务人员管控基本有效得</w:t>
            </w:r>
            <w:r>
              <w:rPr>
                <w:rFonts w:hint="eastAsia" w:ascii="仿宋" w:hAnsi="仿宋" w:eastAsia="仿宋" w:cs="仿宋"/>
                <w:snapToGrid w:val="0"/>
                <w:color w:val="auto"/>
                <w:kern w:val="0"/>
                <w:sz w:val="24"/>
                <w:highlight w:val="none"/>
                <w:lang w:val="en-US" w:eastAsia="zh-CN"/>
              </w:rPr>
              <w:t>2</w:t>
            </w:r>
            <w:r>
              <w:rPr>
                <w:rFonts w:hint="eastAsia" w:ascii="仿宋" w:hAnsi="仿宋" w:eastAsia="仿宋" w:cs="仿宋"/>
                <w:snapToGrid w:val="0"/>
                <w:color w:val="auto"/>
                <w:kern w:val="0"/>
                <w:sz w:val="24"/>
                <w:highlight w:val="none"/>
                <w:lang w:val="zh-TW" w:eastAsia="zh-CN"/>
              </w:rPr>
              <w:t>分</w:t>
            </w:r>
            <w:r>
              <w:rPr>
                <w:rFonts w:hint="eastAsia" w:ascii="仿宋" w:hAnsi="仿宋" w:eastAsia="仿宋" w:cs="仿宋"/>
                <w:snapToGrid w:val="0"/>
                <w:color w:val="auto"/>
                <w:kern w:val="0"/>
                <w:sz w:val="24"/>
                <w:highlight w:val="none"/>
                <w:lang w:val="en-US" w:eastAsia="zh-CN"/>
              </w:rPr>
              <w:t>。</w:t>
            </w:r>
            <w:r>
              <w:rPr>
                <w:rFonts w:hint="eastAsia" w:ascii="仿宋" w:hAnsi="仿宋" w:eastAsia="仿宋" w:cs="仿宋"/>
                <w:snapToGrid w:val="0"/>
                <w:color w:val="auto"/>
                <w:kern w:val="0"/>
                <w:sz w:val="24"/>
                <w:highlight w:val="none"/>
                <w:lang w:val="zh-TW" w:eastAsia="zh-CN"/>
              </w:rPr>
              <w:t>未提供</w:t>
            </w:r>
            <w:r>
              <w:rPr>
                <w:rFonts w:hint="eastAsia" w:ascii="仿宋" w:hAnsi="仿宋" w:eastAsia="仿宋" w:cs="仿宋"/>
                <w:snapToGrid w:val="0"/>
                <w:color w:val="auto"/>
                <w:sz w:val="24"/>
                <w:highlight w:val="none"/>
                <w:lang w:val="zh-TW"/>
              </w:rPr>
              <w:t>的，得0分。</w:t>
            </w:r>
          </w:p>
        </w:tc>
        <w:tc>
          <w:tcPr>
            <w:tcW w:w="300" w:type="pct"/>
            <w:vAlign w:val="center"/>
          </w:tcPr>
          <w:p w14:paraId="09820EF3">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458" w:type="pct"/>
            <w:vAlign w:val="center"/>
          </w:tcPr>
          <w:p w14:paraId="291061F2">
            <w:pPr>
              <w:snapToGrid w:val="0"/>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主观</w:t>
            </w:r>
          </w:p>
        </w:tc>
        <w:tc>
          <w:tcPr>
            <w:tcW w:w="526" w:type="pct"/>
            <w:vAlign w:val="center"/>
          </w:tcPr>
          <w:p w14:paraId="19EC8A5B">
            <w:pPr>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snapToGrid w:val="0"/>
                <w:color w:val="auto"/>
                <w:kern w:val="0"/>
                <w:sz w:val="24"/>
                <w:highlight w:val="none"/>
                <w:lang w:val="zh-TW" w:eastAsia="zh-CN"/>
              </w:rPr>
              <w:t>管理制度</w:t>
            </w:r>
          </w:p>
        </w:tc>
      </w:tr>
      <w:tr w14:paraId="3745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546167CA">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16</w:t>
            </w:r>
          </w:p>
        </w:tc>
        <w:tc>
          <w:tcPr>
            <w:tcW w:w="3355" w:type="pct"/>
            <w:vAlign w:val="center"/>
          </w:tcPr>
          <w:p w14:paraId="4A7A9826">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（1）本项目服务人员不少于10人（含项目负责人），</w:t>
            </w:r>
            <w:r>
              <w:rPr>
                <w:rFonts w:hint="eastAsia" w:ascii="仿宋" w:hAnsi="仿宋" w:eastAsia="仿宋" w:cs="宋体"/>
                <w:snapToGrid w:val="0"/>
                <w:color w:val="auto"/>
                <w:kern w:val="0"/>
                <w:sz w:val="24"/>
                <w:highlight w:val="none"/>
              </w:rPr>
              <w:t>其中男性服务人数不得低于2人</w:t>
            </w:r>
            <w:r>
              <w:rPr>
                <w:rFonts w:hint="eastAsia" w:ascii="仿宋" w:hAnsi="仿宋" w:eastAsia="仿宋" w:cs="宋体"/>
                <w:snapToGrid w:val="0"/>
                <w:color w:val="auto"/>
                <w:kern w:val="0"/>
                <w:sz w:val="24"/>
                <w:highlight w:val="none"/>
                <w:lang w:val="en-US" w:eastAsia="zh-CN"/>
              </w:rPr>
              <w:t>的</w:t>
            </w:r>
            <w:r>
              <w:rPr>
                <w:rFonts w:hint="eastAsia" w:ascii="仿宋" w:hAnsi="仿宋" w:eastAsia="仿宋" w:cs="仿宋"/>
                <w:snapToGrid w:val="0"/>
                <w:color w:val="auto"/>
                <w:kern w:val="0"/>
                <w:sz w:val="24"/>
                <w:highlight w:val="none"/>
                <w:lang w:val="en-US" w:eastAsia="zh-CN"/>
              </w:rPr>
              <w:t>得2分，不满足人数要求不得分。</w:t>
            </w:r>
          </w:p>
          <w:p w14:paraId="47B68E66">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snapToGrid w:val="0"/>
                <w:color w:val="auto"/>
                <w:kern w:val="0"/>
                <w:sz w:val="24"/>
                <w:highlight w:val="none"/>
                <w:lang w:val="en-US" w:eastAsia="zh-CN"/>
              </w:rPr>
            </w:pPr>
            <w:r>
              <w:rPr>
                <w:rFonts w:hint="eastAsia" w:ascii="仿宋" w:hAnsi="仿宋" w:eastAsia="仿宋" w:cs="仿宋"/>
                <w:b/>
                <w:bCs/>
                <w:snapToGrid w:val="0"/>
                <w:color w:val="auto"/>
                <w:kern w:val="0"/>
                <w:sz w:val="24"/>
                <w:highlight w:val="none"/>
                <w:lang w:val="en-US" w:eastAsia="zh-CN"/>
              </w:rPr>
              <w:t>证明材料：整体服务团队人员（含项目负责人）需提供人员清单。</w:t>
            </w:r>
          </w:p>
          <w:p w14:paraId="3F10EB8C">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（2）服务团队中具有导游资格证的每人得0.5分，最高得2分。</w:t>
            </w:r>
          </w:p>
          <w:p w14:paraId="1F295AEF">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b/>
                <w:bCs/>
                <w:snapToGrid w:val="0"/>
                <w:color w:val="auto"/>
                <w:kern w:val="0"/>
                <w:sz w:val="24"/>
                <w:highlight w:val="none"/>
                <w:lang w:val="en-US" w:eastAsia="zh-CN"/>
              </w:rPr>
              <w:t>证明材料：需提供电子导游证、导游资格证书，提供不全或不能证明则不得分。</w:t>
            </w:r>
          </w:p>
          <w:p w14:paraId="43BED671">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（3）服务团队中具有中级及以上职称导游每个得1分，最多得2分，不提供则不得分。</w:t>
            </w:r>
          </w:p>
          <w:p w14:paraId="6A411D65">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highlight w:val="none"/>
              </w:rPr>
            </w:pPr>
            <w:r>
              <w:rPr>
                <w:rFonts w:hint="eastAsia" w:ascii="仿宋" w:hAnsi="仿宋" w:eastAsia="仿宋" w:cs="仿宋"/>
                <w:b/>
                <w:bCs/>
                <w:snapToGrid w:val="0"/>
                <w:color w:val="auto"/>
                <w:kern w:val="0"/>
                <w:sz w:val="24"/>
                <w:highlight w:val="none"/>
                <w:lang w:val="en-US" w:eastAsia="zh-CN"/>
              </w:rPr>
              <w:t>证明材料：需提供导游职称证书，提供不全或不能证明则不得分。</w:t>
            </w:r>
          </w:p>
        </w:tc>
        <w:tc>
          <w:tcPr>
            <w:tcW w:w="300" w:type="pct"/>
            <w:vAlign w:val="center"/>
          </w:tcPr>
          <w:p w14:paraId="73183589">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458" w:type="pct"/>
            <w:vAlign w:val="center"/>
          </w:tcPr>
          <w:p w14:paraId="252EF0E0">
            <w:pPr>
              <w:snapToGrid w:val="0"/>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客观</w:t>
            </w:r>
          </w:p>
        </w:tc>
        <w:tc>
          <w:tcPr>
            <w:tcW w:w="526" w:type="pct"/>
            <w:vAlign w:val="center"/>
          </w:tcPr>
          <w:p w14:paraId="7B01B3B1">
            <w:pPr>
              <w:snapToGrid w:val="0"/>
              <w:spacing w:line="240" w:lineRule="auto"/>
              <w:jc w:val="center"/>
              <w:rPr>
                <w:rFonts w:hint="eastAsia" w:ascii="仿宋" w:hAnsi="仿宋" w:eastAsia="仿宋" w:cs="仿宋"/>
                <w:color w:val="auto"/>
                <w:sz w:val="24"/>
                <w:highlight w:val="none"/>
              </w:rPr>
            </w:pPr>
            <w:r>
              <w:rPr>
                <w:rFonts w:hint="eastAsia" w:ascii="仿宋" w:hAnsi="仿宋" w:eastAsia="仿宋" w:cs="仿宋"/>
                <w:snapToGrid w:val="0"/>
                <w:color w:val="auto"/>
                <w:kern w:val="0"/>
                <w:sz w:val="24"/>
                <w:highlight w:val="none"/>
                <w:lang w:val="zh-TW" w:eastAsia="zh-CN"/>
              </w:rPr>
              <w:t>服务团队成员</w:t>
            </w:r>
          </w:p>
        </w:tc>
      </w:tr>
      <w:tr w14:paraId="2D0B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42299720">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17</w:t>
            </w:r>
          </w:p>
        </w:tc>
        <w:tc>
          <w:tcPr>
            <w:tcW w:w="3355" w:type="pct"/>
            <w:vAlign w:val="center"/>
          </w:tcPr>
          <w:p w14:paraId="2B53270D">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根据供应商提供的重难点分析进行打分：</w:t>
            </w:r>
          </w:p>
          <w:p w14:paraId="272E499F">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sz w:val="24"/>
                <w:highlight w:val="none"/>
                <w:lang w:val="zh-TW"/>
              </w:rPr>
            </w:pPr>
            <w:r>
              <w:rPr>
                <w:rFonts w:hint="eastAsia" w:ascii="仿宋" w:hAnsi="仿宋" w:eastAsia="仿宋" w:cs="仿宋"/>
                <w:snapToGrid w:val="0"/>
                <w:color w:val="auto"/>
                <w:kern w:val="0"/>
                <w:sz w:val="24"/>
                <w:highlight w:val="none"/>
                <w:lang w:val="zh-TW" w:eastAsia="zh-CN"/>
              </w:rPr>
              <w:t>根据实际情况，分析出本项目的服务重点、难点，且根据分析出的重点难点，提出具有针对性的解决方案，解决方案切合实际，能有效解决服务中的问题得</w:t>
            </w:r>
            <w:r>
              <w:rPr>
                <w:rFonts w:hint="eastAsia" w:ascii="仿宋" w:hAnsi="仿宋" w:eastAsia="仿宋" w:cs="仿宋"/>
                <w:snapToGrid w:val="0"/>
                <w:color w:val="auto"/>
                <w:kern w:val="0"/>
                <w:sz w:val="24"/>
                <w:highlight w:val="none"/>
                <w:lang w:val="en-US" w:eastAsia="zh-CN"/>
              </w:rPr>
              <w:t>5</w:t>
            </w:r>
            <w:r>
              <w:rPr>
                <w:rFonts w:hint="eastAsia" w:ascii="仿宋" w:hAnsi="仿宋" w:eastAsia="仿宋" w:cs="仿宋"/>
                <w:snapToGrid w:val="0"/>
                <w:color w:val="auto"/>
                <w:kern w:val="0"/>
                <w:sz w:val="24"/>
                <w:highlight w:val="none"/>
                <w:lang w:val="zh-TW" w:eastAsia="zh-CN"/>
              </w:rPr>
              <w:t>分。</w:t>
            </w:r>
            <w:r>
              <w:rPr>
                <w:rFonts w:hint="eastAsia" w:ascii="仿宋" w:hAnsi="仿宋" w:eastAsia="仿宋" w:cs="仿宋"/>
                <w:snapToGrid w:val="0"/>
                <w:color w:val="auto"/>
                <w:kern w:val="0"/>
                <w:sz w:val="24"/>
                <w:highlight w:val="none"/>
                <w:lang w:val="en-US" w:eastAsia="zh-CN"/>
              </w:rPr>
              <w:t>分析的重难点较少，但能提出较具体解决方案得4分。</w:t>
            </w:r>
            <w:r>
              <w:rPr>
                <w:rFonts w:hint="eastAsia" w:ascii="仿宋" w:hAnsi="仿宋" w:eastAsia="仿宋" w:cs="仿宋"/>
                <w:snapToGrid w:val="0"/>
                <w:color w:val="auto"/>
                <w:kern w:val="0"/>
                <w:sz w:val="24"/>
                <w:highlight w:val="none"/>
                <w:lang w:val="zh-TW" w:eastAsia="zh-CN"/>
              </w:rPr>
              <w:t>有重难点分析，且提出了</w:t>
            </w:r>
            <w:r>
              <w:rPr>
                <w:rFonts w:hint="eastAsia" w:ascii="仿宋" w:hAnsi="仿宋" w:eastAsia="仿宋" w:cs="仿宋"/>
                <w:snapToGrid w:val="0"/>
                <w:color w:val="auto"/>
                <w:sz w:val="24"/>
                <w:highlight w:val="none"/>
                <w:lang w:val="zh-TW"/>
              </w:rPr>
              <w:t>基本合理的解决方案</w:t>
            </w:r>
            <w:r>
              <w:rPr>
                <w:rFonts w:hint="eastAsia" w:ascii="仿宋" w:hAnsi="仿宋" w:eastAsia="仿宋" w:cs="仿宋"/>
                <w:snapToGrid w:val="0"/>
                <w:color w:val="auto"/>
                <w:kern w:val="0"/>
                <w:sz w:val="24"/>
                <w:highlight w:val="none"/>
                <w:lang w:val="zh-TW" w:eastAsia="zh-CN"/>
              </w:rPr>
              <w:t>得</w:t>
            </w: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lang w:val="zh-TW" w:eastAsia="zh-CN"/>
              </w:rPr>
              <w:t>分。有重难点分析，</w:t>
            </w:r>
            <w:r>
              <w:rPr>
                <w:rFonts w:hint="eastAsia" w:ascii="仿宋" w:hAnsi="仿宋" w:eastAsia="仿宋" w:cs="仿宋"/>
                <w:snapToGrid w:val="0"/>
                <w:color w:val="auto"/>
                <w:sz w:val="24"/>
                <w:highlight w:val="none"/>
                <w:lang w:val="zh-TW"/>
              </w:rPr>
              <w:t>解决方案可行性一般</w:t>
            </w:r>
            <w:r>
              <w:rPr>
                <w:rFonts w:hint="eastAsia" w:ascii="仿宋" w:hAnsi="仿宋" w:eastAsia="仿宋" w:cs="仿宋"/>
                <w:snapToGrid w:val="0"/>
                <w:color w:val="auto"/>
                <w:sz w:val="24"/>
                <w:highlight w:val="none"/>
                <w:lang w:val="en-US" w:eastAsia="zh-CN"/>
              </w:rPr>
              <w:t>得2分。</w:t>
            </w:r>
            <w:r>
              <w:rPr>
                <w:rFonts w:hint="eastAsia" w:ascii="仿宋" w:hAnsi="仿宋" w:eastAsia="仿宋" w:cs="仿宋"/>
                <w:snapToGrid w:val="0"/>
                <w:color w:val="auto"/>
                <w:sz w:val="24"/>
                <w:highlight w:val="none"/>
                <w:lang w:val="zh-TW"/>
              </w:rPr>
              <w:t>重难点识别不准确或解决方案不切实际，得1分。</w:t>
            </w:r>
          </w:p>
          <w:p w14:paraId="1919F012">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kern w:val="0"/>
                <w:sz w:val="24"/>
                <w:highlight w:val="none"/>
                <w:lang w:val="zh-TW" w:eastAsia="zh-CN"/>
              </w:rPr>
            </w:pPr>
            <w:r>
              <w:rPr>
                <w:rFonts w:hint="eastAsia" w:ascii="仿宋" w:hAnsi="仿宋" w:eastAsia="仿宋" w:cs="仿宋"/>
                <w:snapToGrid w:val="0"/>
                <w:color w:val="auto"/>
                <w:sz w:val="24"/>
                <w:highlight w:val="none"/>
                <w:lang w:val="zh-TW"/>
              </w:rPr>
              <w:t>未提供的，得0分。</w:t>
            </w:r>
          </w:p>
        </w:tc>
        <w:tc>
          <w:tcPr>
            <w:tcW w:w="300" w:type="pct"/>
            <w:vAlign w:val="center"/>
          </w:tcPr>
          <w:p w14:paraId="3ED49A48">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458" w:type="pct"/>
            <w:vAlign w:val="center"/>
          </w:tcPr>
          <w:p w14:paraId="0F56F192">
            <w:pPr>
              <w:snapToGrid w:val="0"/>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主观</w:t>
            </w:r>
          </w:p>
        </w:tc>
        <w:tc>
          <w:tcPr>
            <w:tcW w:w="526" w:type="pct"/>
            <w:vAlign w:val="center"/>
          </w:tcPr>
          <w:p w14:paraId="72BBCB97">
            <w:pPr>
              <w:pStyle w:val="784"/>
              <w:adjustRightInd/>
              <w:snapToGrid/>
              <w:spacing w:line="240" w:lineRule="auto"/>
              <w:jc w:val="center"/>
              <w:rPr>
                <w:rFonts w:hint="eastAsia" w:ascii="仿宋" w:hAnsi="仿宋" w:eastAsia="仿宋" w:cs="仿宋"/>
                <w:color w:val="auto"/>
                <w:sz w:val="24"/>
                <w:highlight w:val="none"/>
              </w:rPr>
            </w:pPr>
            <w:r>
              <w:rPr>
                <w:rFonts w:hint="eastAsia" w:ascii="仿宋" w:hAnsi="仿宋" w:eastAsia="仿宋" w:cs="仿宋"/>
                <w:snapToGrid w:val="0"/>
                <w:color w:val="auto"/>
                <w:kern w:val="0"/>
                <w:sz w:val="24"/>
                <w:highlight w:val="none"/>
                <w:lang w:val="en-US" w:eastAsia="zh-CN"/>
              </w:rPr>
              <w:t>重难点分析</w:t>
            </w:r>
          </w:p>
        </w:tc>
      </w:tr>
      <w:tr w14:paraId="397C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79A3AD4B">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w:t>
            </w:r>
          </w:p>
        </w:tc>
        <w:tc>
          <w:tcPr>
            <w:tcW w:w="3355" w:type="pct"/>
            <w:vAlign w:val="center"/>
          </w:tcPr>
          <w:p w14:paraId="51475FDD">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kern w:val="0"/>
                <w:sz w:val="24"/>
                <w:highlight w:val="none"/>
                <w:lang w:val="zh-TW" w:eastAsia="zh-CN"/>
              </w:rPr>
            </w:pPr>
            <w:r>
              <w:rPr>
                <w:rFonts w:hint="eastAsia" w:ascii="仿宋" w:hAnsi="仿宋" w:eastAsia="仿宋" w:cs="仿宋"/>
                <w:snapToGrid w:val="0"/>
                <w:color w:val="auto"/>
                <w:kern w:val="0"/>
                <w:sz w:val="24"/>
                <w:highlight w:val="none"/>
                <w:lang w:val="en-US" w:eastAsia="zh-CN"/>
              </w:rPr>
              <w:t>（1）</w:t>
            </w:r>
            <w:r>
              <w:rPr>
                <w:rFonts w:hint="eastAsia" w:ascii="仿宋" w:hAnsi="仿宋" w:eastAsia="仿宋" w:cs="仿宋"/>
                <w:snapToGrid w:val="0"/>
                <w:color w:val="auto"/>
                <w:kern w:val="0"/>
                <w:sz w:val="24"/>
                <w:highlight w:val="none"/>
                <w:lang w:val="zh-TW" w:eastAsia="zh-CN"/>
              </w:rPr>
              <w:t>供应商的企业责任保险保额达到1000万及以上的得</w:t>
            </w: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lang w:val="zh-TW" w:eastAsia="zh-CN"/>
              </w:rPr>
              <w:t>分，500万（含）-1000万（不含）的得</w:t>
            </w:r>
            <w:r>
              <w:rPr>
                <w:rFonts w:hint="eastAsia" w:ascii="仿宋" w:hAnsi="仿宋" w:eastAsia="仿宋" w:cs="仿宋"/>
                <w:snapToGrid w:val="0"/>
                <w:color w:val="auto"/>
                <w:kern w:val="0"/>
                <w:sz w:val="24"/>
                <w:highlight w:val="none"/>
                <w:lang w:val="en-US" w:eastAsia="zh-CN"/>
              </w:rPr>
              <w:t>2</w:t>
            </w:r>
            <w:r>
              <w:rPr>
                <w:rFonts w:hint="eastAsia" w:ascii="仿宋" w:hAnsi="仿宋" w:eastAsia="仿宋" w:cs="仿宋"/>
                <w:snapToGrid w:val="0"/>
                <w:color w:val="auto"/>
                <w:kern w:val="0"/>
                <w:sz w:val="24"/>
                <w:highlight w:val="none"/>
                <w:lang w:val="zh-TW" w:eastAsia="zh-CN"/>
              </w:rPr>
              <w:t>分，500万（不含）以下的不得分</w:t>
            </w:r>
            <w:r>
              <w:rPr>
                <w:rFonts w:hint="eastAsia" w:ascii="仿宋" w:hAnsi="仿宋" w:eastAsia="仿宋" w:cs="仿宋"/>
                <w:b w:val="0"/>
                <w:bCs w:val="0"/>
                <w:snapToGrid w:val="0"/>
                <w:color w:val="auto"/>
                <w:kern w:val="0"/>
                <w:sz w:val="24"/>
                <w:highlight w:val="none"/>
                <w:lang w:val="zh-TW" w:eastAsia="zh-CN"/>
              </w:rPr>
              <w:t>；</w:t>
            </w:r>
            <w:r>
              <w:rPr>
                <w:rFonts w:hint="eastAsia" w:ascii="仿宋" w:hAnsi="仿宋" w:eastAsia="仿宋" w:cs="仿宋"/>
                <w:b/>
                <w:bCs/>
                <w:snapToGrid w:val="0"/>
                <w:color w:val="auto"/>
                <w:kern w:val="0"/>
                <w:sz w:val="24"/>
                <w:highlight w:val="none"/>
                <w:lang w:val="zh-TW" w:eastAsia="zh-CN"/>
              </w:rPr>
              <w:t>（</w:t>
            </w:r>
            <w:r>
              <w:rPr>
                <w:rFonts w:hint="eastAsia" w:ascii="仿宋" w:hAnsi="仿宋" w:eastAsia="仿宋" w:cs="仿宋"/>
                <w:b/>
                <w:bCs/>
                <w:snapToGrid w:val="0"/>
                <w:color w:val="auto"/>
                <w:kern w:val="0"/>
                <w:sz w:val="24"/>
                <w:highlight w:val="none"/>
                <w:lang w:val="en-US" w:eastAsia="zh-CN"/>
              </w:rPr>
              <w:t>证明材料：</w:t>
            </w:r>
            <w:r>
              <w:rPr>
                <w:rFonts w:hint="eastAsia" w:ascii="仿宋" w:hAnsi="仿宋" w:eastAsia="仿宋" w:cs="仿宋"/>
                <w:b/>
                <w:bCs/>
                <w:snapToGrid w:val="0"/>
                <w:color w:val="auto"/>
                <w:kern w:val="0"/>
                <w:sz w:val="24"/>
                <w:highlight w:val="none"/>
                <w:lang w:val="zh-TW" w:eastAsia="zh-CN"/>
              </w:rPr>
              <w:t>提供保单复印件加盖公章）</w:t>
            </w:r>
          </w:p>
          <w:p w14:paraId="4501AEAA">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highlight w:val="none"/>
              </w:rPr>
            </w:pPr>
            <w:r>
              <w:rPr>
                <w:rFonts w:hint="eastAsia" w:ascii="仿宋" w:hAnsi="仿宋" w:eastAsia="仿宋" w:cs="仿宋"/>
                <w:snapToGrid w:val="0"/>
                <w:color w:val="auto"/>
                <w:kern w:val="0"/>
                <w:sz w:val="24"/>
                <w:highlight w:val="none"/>
                <w:lang w:val="en-US" w:eastAsia="zh-CN"/>
              </w:rPr>
              <w:t>（2）个人旅游人身意外险（人身意外险包括意外伤害、突发性疾病、伤害医疗、突发性医疗等）保额达到30万及以上的得2分，30万以下的不得分。（</w:t>
            </w:r>
            <w:r>
              <w:rPr>
                <w:rFonts w:hint="eastAsia" w:ascii="仿宋" w:hAnsi="仿宋" w:eastAsia="仿宋" w:cs="仿宋"/>
                <w:b/>
                <w:bCs/>
                <w:snapToGrid w:val="0"/>
                <w:color w:val="auto"/>
                <w:kern w:val="0"/>
                <w:sz w:val="24"/>
                <w:highlight w:val="none"/>
                <w:lang w:val="en-US" w:eastAsia="zh-CN"/>
              </w:rPr>
              <w:t>证明材料：提供承诺函，格式自拟）</w:t>
            </w:r>
          </w:p>
        </w:tc>
        <w:tc>
          <w:tcPr>
            <w:tcW w:w="300" w:type="pct"/>
            <w:vAlign w:val="center"/>
          </w:tcPr>
          <w:p w14:paraId="041F11CF">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458" w:type="pct"/>
            <w:vAlign w:val="center"/>
          </w:tcPr>
          <w:p w14:paraId="391A5E57">
            <w:pPr>
              <w:snapToGrid w:val="0"/>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客观</w:t>
            </w:r>
          </w:p>
        </w:tc>
        <w:tc>
          <w:tcPr>
            <w:tcW w:w="526" w:type="pct"/>
            <w:vAlign w:val="center"/>
          </w:tcPr>
          <w:p w14:paraId="396A0DD8">
            <w:pPr>
              <w:snapToGrid w:val="0"/>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保险</w:t>
            </w:r>
          </w:p>
        </w:tc>
      </w:tr>
      <w:tr w14:paraId="03BB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6AB40FE8">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19</w:t>
            </w:r>
          </w:p>
        </w:tc>
        <w:tc>
          <w:tcPr>
            <w:tcW w:w="3355" w:type="pct"/>
            <w:vAlign w:val="center"/>
          </w:tcPr>
          <w:p w14:paraId="61A213EC">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highlight w:val="none"/>
              </w:rPr>
            </w:pPr>
            <w:r>
              <w:rPr>
                <w:rFonts w:hint="eastAsia" w:ascii="仿宋" w:hAnsi="仿宋" w:eastAsia="仿宋" w:cs="仿宋"/>
                <w:snapToGrid w:val="0"/>
                <w:color w:val="auto"/>
                <w:kern w:val="0"/>
                <w:sz w:val="24"/>
                <w:highlight w:val="none"/>
                <w:lang w:val="en-US" w:eastAsia="zh-CN"/>
              </w:rPr>
              <w:t>投标人承诺提供小额赔款（5000元及以下）先行赔付的得2分，不提供则不得分。（</w:t>
            </w:r>
            <w:r>
              <w:rPr>
                <w:rFonts w:hint="eastAsia" w:ascii="仿宋" w:hAnsi="仿宋" w:eastAsia="仿宋" w:cs="仿宋"/>
                <w:b/>
                <w:bCs/>
                <w:snapToGrid w:val="0"/>
                <w:color w:val="auto"/>
                <w:kern w:val="0"/>
                <w:sz w:val="24"/>
                <w:highlight w:val="none"/>
                <w:lang w:val="en-US" w:eastAsia="zh-CN"/>
              </w:rPr>
              <w:t>证明材料：提供承诺函，格式自拟）</w:t>
            </w:r>
          </w:p>
        </w:tc>
        <w:tc>
          <w:tcPr>
            <w:tcW w:w="300" w:type="pct"/>
            <w:vAlign w:val="center"/>
          </w:tcPr>
          <w:p w14:paraId="7EBBC87F">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458" w:type="pct"/>
            <w:vAlign w:val="center"/>
          </w:tcPr>
          <w:p w14:paraId="2A90624A">
            <w:pPr>
              <w:snapToGrid w:val="0"/>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客观</w:t>
            </w:r>
          </w:p>
        </w:tc>
        <w:tc>
          <w:tcPr>
            <w:tcW w:w="526" w:type="pct"/>
            <w:vAlign w:val="center"/>
          </w:tcPr>
          <w:p w14:paraId="73C3242F">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小额赔款</w:t>
            </w:r>
          </w:p>
        </w:tc>
      </w:tr>
      <w:tr w14:paraId="5266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38F7FE76">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w:t>
            </w:r>
          </w:p>
        </w:tc>
        <w:tc>
          <w:tcPr>
            <w:tcW w:w="3355" w:type="pct"/>
            <w:vAlign w:val="center"/>
          </w:tcPr>
          <w:p w14:paraId="595ED376">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highlight w:val="none"/>
              </w:rPr>
            </w:pPr>
            <w:r>
              <w:rPr>
                <w:rFonts w:hint="eastAsia" w:ascii="仿宋" w:hAnsi="仿宋" w:eastAsia="仿宋" w:cs="仿宋"/>
                <w:snapToGrid w:val="0"/>
                <w:color w:val="auto"/>
                <w:kern w:val="0"/>
                <w:sz w:val="24"/>
                <w:highlight w:val="none"/>
                <w:lang w:val="zh-TW" w:eastAsia="zh-CN"/>
              </w:rPr>
              <w:t>投标人承诺全程不进购物点、无商业广告及各类产品推销和介绍、无自费景点或活动得</w:t>
            </w:r>
            <w:r>
              <w:rPr>
                <w:rFonts w:hint="eastAsia" w:ascii="仿宋" w:hAnsi="仿宋" w:eastAsia="仿宋" w:cs="仿宋"/>
                <w:snapToGrid w:val="0"/>
                <w:color w:val="auto"/>
                <w:kern w:val="0"/>
                <w:sz w:val="24"/>
                <w:highlight w:val="none"/>
                <w:lang w:val="en-US" w:eastAsia="zh-CN"/>
              </w:rPr>
              <w:t>1</w:t>
            </w:r>
            <w:r>
              <w:rPr>
                <w:rFonts w:hint="eastAsia" w:ascii="仿宋" w:hAnsi="仿宋" w:eastAsia="仿宋" w:cs="仿宋"/>
                <w:snapToGrid w:val="0"/>
                <w:color w:val="auto"/>
                <w:kern w:val="0"/>
                <w:sz w:val="24"/>
                <w:highlight w:val="none"/>
                <w:lang w:val="zh-TW" w:eastAsia="zh-CN"/>
              </w:rPr>
              <w:t>分，不提供则不得分。</w:t>
            </w:r>
            <w:r>
              <w:rPr>
                <w:rFonts w:hint="eastAsia" w:ascii="仿宋" w:hAnsi="仿宋" w:eastAsia="仿宋" w:cs="仿宋"/>
                <w:b/>
                <w:bCs/>
                <w:snapToGrid w:val="0"/>
                <w:color w:val="auto"/>
                <w:kern w:val="0"/>
                <w:sz w:val="24"/>
                <w:highlight w:val="none"/>
                <w:lang w:val="zh-TW" w:eastAsia="zh-CN"/>
              </w:rPr>
              <w:t>（</w:t>
            </w:r>
            <w:r>
              <w:rPr>
                <w:rFonts w:hint="eastAsia" w:ascii="仿宋" w:hAnsi="仿宋" w:eastAsia="仿宋" w:cs="仿宋"/>
                <w:b/>
                <w:bCs/>
                <w:snapToGrid w:val="0"/>
                <w:color w:val="auto"/>
                <w:kern w:val="0"/>
                <w:sz w:val="24"/>
                <w:highlight w:val="none"/>
                <w:lang w:val="en-US" w:eastAsia="zh-CN"/>
              </w:rPr>
              <w:t>证明材料：</w:t>
            </w:r>
            <w:r>
              <w:rPr>
                <w:rFonts w:hint="eastAsia" w:ascii="仿宋" w:hAnsi="仿宋" w:eastAsia="仿宋" w:cs="仿宋"/>
                <w:b/>
                <w:bCs/>
                <w:snapToGrid w:val="0"/>
                <w:color w:val="auto"/>
                <w:kern w:val="0"/>
                <w:sz w:val="24"/>
                <w:highlight w:val="none"/>
                <w:lang w:val="zh-TW" w:eastAsia="zh-CN"/>
              </w:rPr>
              <w:t>提供承诺函，格式自拟）</w:t>
            </w:r>
          </w:p>
        </w:tc>
        <w:tc>
          <w:tcPr>
            <w:tcW w:w="300" w:type="pct"/>
            <w:vAlign w:val="center"/>
          </w:tcPr>
          <w:p w14:paraId="6D733274">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458" w:type="pct"/>
            <w:vAlign w:val="center"/>
          </w:tcPr>
          <w:p w14:paraId="1E76B1C8">
            <w:pPr>
              <w:snapToGrid w:val="0"/>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客观</w:t>
            </w:r>
          </w:p>
        </w:tc>
        <w:tc>
          <w:tcPr>
            <w:tcW w:w="526" w:type="pct"/>
            <w:vAlign w:val="center"/>
          </w:tcPr>
          <w:p w14:paraId="7A816B7B">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承诺</w:t>
            </w:r>
          </w:p>
        </w:tc>
      </w:tr>
      <w:tr w14:paraId="73B3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5F51753E">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21</w:t>
            </w:r>
          </w:p>
        </w:tc>
        <w:tc>
          <w:tcPr>
            <w:tcW w:w="3355" w:type="pct"/>
            <w:vAlign w:val="center"/>
          </w:tcPr>
          <w:p w14:paraId="561EF62E">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根据供应商提供的回访服务</w:t>
            </w:r>
            <w:r>
              <w:rPr>
                <w:rFonts w:hint="eastAsia" w:ascii="仿宋" w:hAnsi="仿宋" w:eastAsia="仿宋" w:cs="仿宋"/>
                <w:snapToGrid w:val="0"/>
                <w:color w:val="auto"/>
                <w:kern w:val="0"/>
                <w:sz w:val="24"/>
                <w:highlight w:val="none"/>
                <w:lang w:val="zh-TW" w:eastAsia="zh-CN"/>
              </w:rPr>
              <w:t>及总结方案</w:t>
            </w:r>
            <w:r>
              <w:rPr>
                <w:rFonts w:hint="eastAsia" w:ascii="仿宋" w:hAnsi="仿宋" w:eastAsia="仿宋" w:cs="仿宋"/>
                <w:snapToGrid w:val="0"/>
                <w:color w:val="auto"/>
                <w:kern w:val="0"/>
                <w:sz w:val="24"/>
                <w:highlight w:val="none"/>
                <w:lang w:val="en-US" w:eastAsia="zh-CN"/>
              </w:rPr>
              <w:t>进行打分：</w:t>
            </w:r>
          </w:p>
          <w:p w14:paraId="0314D334">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zh-TW" w:eastAsia="zh-CN"/>
              </w:rPr>
              <w:t>回访服务及总结方案，方案考虑周全、实用性强的得</w:t>
            </w:r>
            <w:r>
              <w:rPr>
                <w:rFonts w:hint="eastAsia" w:ascii="仿宋" w:hAnsi="仿宋" w:eastAsia="仿宋" w:cs="仿宋"/>
                <w:snapToGrid w:val="0"/>
                <w:color w:val="auto"/>
                <w:kern w:val="0"/>
                <w:sz w:val="24"/>
                <w:highlight w:val="none"/>
                <w:lang w:val="en-US" w:eastAsia="zh-CN"/>
              </w:rPr>
              <w:t>5</w:t>
            </w:r>
            <w:r>
              <w:rPr>
                <w:rFonts w:hint="eastAsia" w:ascii="仿宋" w:hAnsi="仿宋" w:eastAsia="仿宋" w:cs="仿宋"/>
                <w:snapToGrid w:val="0"/>
                <w:color w:val="auto"/>
                <w:kern w:val="0"/>
                <w:sz w:val="24"/>
                <w:highlight w:val="none"/>
                <w:lang w:val="zh-TW" w:eastAsia="zh-CN"/>
              </w:rPr>
              <w:t>分。方案考虑较为周全、实用性较强的得</w:t>
            </w: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lang w:val="zh-TW" w:eastAsia="zh-CN"/>
              </w:rPr>
              <w:t>分。方案考虑周全</w:t>
            </w:r>
            <w:r>
              <w:rPr>
                <w:rFonts w:hint="eastAsia" w:ascii="仿宋" w:hAnsi="仿宋" w:eastAsia="仿宋" w:cs="仿宋"/>
                <w:snapToGrid w:val="0"/>
                <w:color w:val="auto"/>
                <w:kern w:val="0"/>
                <w:sz w:val="24"/>
                <w:highlight w:val="none"/>
                <w:lang w:val="en-US" w:eastAsia="zh-CN"/>
              </w:rPr>
              <w:t>但</w:t>
            </w:r>
            <w:r>
              <w:rPr>
                <w:rFonts w:hint="eastAsia" w:ascii="仿宋" w:hAnsi="仿宋" w:eastAsia="仿宋" w:cs="仿宋"/>
                <w:snapToGrid w:val="0"/>
                <w:color w:val="auto"/>
                <w:kern w:val="0"/>
                <w:sz w:val="24"/>
                <w:highlight w:val="none"/>
                <w:lang w:val="zh-TW" w:eastAsia="zh-CN"/>
              </w:rPr>
              <w:t>实用性较强的得</w:t>
            </w: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lang w:val="zh-TW" w:eastAsia="zh-CN"/>
              </w:rPr>
              <w:t>分。方案考虑较为周全、实用性</w:t>
            </w:r>
            <w:r>
              <w:rPr>
                <w:rFonts w:hint="eastAsia" w:ascii="仿宋" w:hAnsi="仿宋" w:eastAsia="仿宋" w:cs="仿宋"/>
                <w:snapToGrid w:val="0"/>
                <w:color w:val="auto"/>
                <w:kern w:val="0"/>
                <w:sz w:val="24"/>
                <w:highlight w:val="none"/>
                <w:lang w:val="en-US" w:eastAsia="zh-CN"/>
              </w:rPr>
              <w:t>一般</w:t>
            </w:r>
            <w:r>
              <w:rPr>
                <w:rFonts w:hint="eastAsia" w:ascii="仿宋" w:hAnsi="仿宋" w:eastAsia="仿宋" w:cs="仿宋"/>
                <w:snapToGrid w:val="0"/>
                <w:color w:val="auto"/>
                <w:kern w:val="0"/>
                <w:sz w:val="24"/>
                <w:highlight w:val="none"/>
                <w:lang w:val="zh-TW" w:eastAsia="zh-CN"/>
              </w:rPr>
              <w:t>的得</w:t>
            </w:r>
            <w:r>
              <w:rPr>
                <w:rFonts w:hint="eastAsia" w:ascii="仿宋" w:hAnsi="仿宋" w:eastAsia="仿宋" w:cs="仿宋"/>
                <w:snapToGrid w:val="0"/>
                <w:color w:val="auto"/>
                <w:kern w:val="0"/>
                <w:sz w:val="24"/>
                <w:highlight w:val="none"/>
                <w:lang w:val="en-US" w:eastAsia="zh-CN"/>
              </w:rPr>
              <w:t>2</w:t>
            </w:r>
            <w:r>
              <w:rPr>
                <w:rFonts w:hint="eastAsia" w:ascii="仿宋" w:hAnsi="仿宋" w:eastAsia="仿宋" w:cs="仿宋"/>
                <w:snapToGrid w:val="0"/>
                <w:color w:val="auto"/>
                <w:kern w:val="0"/>
                <w:sz w:val="24"/>
                <w:highlight w:val="none"/>
                <w:lang w:val="zh-TW" w:eastAsia="zh-CN"/>
              </w:rPr>
              <w:t>分。方案尚有不足的得1分。</w:t>
            </w:r>
            <w:r>
              <w:rPr>
                <w:rFonts w:hint="default" w:ascii="仿宋" w:hAnsi="仿宋" w:eastAsia="仿宋" w:cs="仿宋"/>
                <w:snapToGrid w:val="0"/>
                <w:color w:val="auto"/>
                <w:sz w:val="24"/>
                <w:highlight w:val="none"/>
              </w:rPr>
              <w:t>未提供的，得0分。</w:t>
            </w:r>
          </w:p>
        </w:tc>
        <w:tc>
          <w:tcPr>
            <w:tcW w:w="300" w:type="pct"/>
            <w:vAlign w:val="center"/>
          </w:tcPr>
          <w:p w14:paraId="6A6C430F">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458" w:type="pct"/>
            <w:vAlign w:val="center"/>
          </w:tcPr>
          <w:p w14:paraId="2B5CE9C2">
            <w:pPr>
              <w:snapToGrid w:val="0"/>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主观</w:t>
            </w:r>
          </w:p>
        </w:tc>
        <w:tc>
          <w:tcPr>
            <w:tcW w:w="526" w:type="pct"/>
            <w:vAlign w:val="center"/>
          </w:tcPr>
          <w:p w14:paraId="2547B05B">
            <w:pPr>
              <w:pStyle w:val="784"/>
              <w:adjustRightInd/>
              <w:snapToGrid/>
              <w:spacing w:line="240" w:lineRule="auto"/>
              <w:jc w:val="center"/>
              <w:rPr>
                <w:rFonts w:hint="eastAsia" w:ascii="仿宋" w:hAnsi="仿宋" w:eastAsia="仿宋" w:cs="仿宋"/>
                <w:color w:val="auto"/>
                <w:sz w:val="24"/>
                <w:highlight w:val="none"/>
              </w:rPr>
            </w:pPr>
            <w:r>
              <w:rPr>
                <w:rFonts w:hint="eastAsia" w:ascii="仿宋" w:hAnsi="仿宋" w:eastAsia="仿宋" w:cs="仿宋"/>
                <w:snapToGrid w:val="0"/>
                <w:color w:val="auto"/>
                <w:kern w:val="0"/>
                <w:sz w:val="24"/>
                <w:highlight w:val="none"/>
                <w:lang w:val="en-US" w:eastAsia="zh-CN"/>
              </w:rPr>
              <w:t>回访服务</w:t>
            </w:r>
          </w:p>
        </w:tc>
      </w:tr>
      <w:tr w14:paraId="16D7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7410B09C">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22</w:t>
            </w:r>
          </w:p>
        </w:tc>
        <w:tc>
          <w:tcPr>
            <w:tcW w:w="3355" w:type="pct"/>
            <w:vAlign w:val="center"/>
          </w:tcPr>
          <w:p w14:paraId="38825221">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根据供应商提供的服务质量</w:t>
            </w:r>
            <w:r>
              <w:rPr>
                <w:rFonts w:hint="eastAsia" w:ascii="仿宋" w:hAnsi="仿宋" w:eastAsia="仿宋" w:cs="仿宋"/>
                <w:snapToGrid w:val="0"/>
                <w:color w:val="auto"/>
                <w:kern w:val="0"/>
                <w:sz w:val="24"/>
                <w:highlight w:val="none"/>
                <w:lang w:val="zh-TW" w:eastAsia="zh-CN"/>
              </w:rPr>
              <w:t>方案</w:t>
            </w:r>
            <w:r>
              <w:rPr>
                <w:rFonts w:hint="eastAsia" w:ascii="仿宋" w:hAnsi="仿宋" w:eastAsia="仿宋" w:cs="仿宋"/>
                <w:snapToGrid w:val="0"/>
                <w:color w:val="auto"/>
                <w:kern w:val="0"/>
                <w:sz w:val="24"/>
                <w:highlight w:val="none"/>
                <w:lang w:val="en-US" w:eastAsia="zh-CN"/>
              </w:rPr>
              <w:t>进行打分：</w:t>
            </w:r>
          </w:p>
          <w:p w14:paraId="3D01EDAC">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zh-TW" w:eastAsia="zh-CN"/>
              </w:rPr>
              <w:t>服务质量标准严谨、详细、操作性强得</w:t>
            </w:r>
            <w:r>
              <w:rPr>
                <w:rFonts w:hint="eastAsia" w:ascii="仿宋" w:hAnsi="仿宋" w:eastAsia="仿宋" w:cs="仿宋"/>
                <w:snapToGrid w:val="0"/>
                <w:color w:val="auto"/>
                <w:kern w:val="0"/>
                <w:sz w:val="24"/>
                <w:highlight w:val="none"/>
                <w:lang w:val="en-US" w:eastAsia="zh-CN"/>
              </w:rPr>
              <w:t>5</w:t>
            </w:r>
            <w:r>
              <w:rPr>
                <w:rFonts w:hint="eastAsia" w:ascii="仿宋" w:hAnsi="仿宋" w:eastAsia="仿宋" w:cs="仿宋"/>
                <w:snapToGrid w:val="0"/>
                <w:color w:val="auto"/>
                <w:kern w:val="0"/>
                <w:sz w:val="24"/>
                <w:highlight w:val="none"/>
                <w:lang w:val="zh-TW" w:eastAsia="zh-CN"/>
              </w:rPr>
              <w:t>分。服务质量标准较严谨、较详细、操作性较强得</w:t>
            </w: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lang w:val="zh-TW" w:eastAsia="zh-CN"/>
              </w:rPr>
              <w:t>分。服务质量标准内容完整度、操作性一般得</w:t>
            </w: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lang w:val="zh-TW" w:eastAsia="zh-CN"/>
              </w:rPr>
              <w:t>分。服务质量标准内容完整度、操作性</w:t>
            </w:r>
            <w:r>
              <w:rPr>
                <w:rFonts w:hint="eastAsia" w:ascii="仿宋" w:hAnsi="仿宋" w:eastAsia="仿宋" w:cs="仿宋"/>
                <w:snapToGrid w:val="0"/>
                <w:color w:val="auto"/>
                <w:kern w:val="0"/>
                <w:sz w:val="24"/>
                <w:highlight w:val="none"/>
                <w:lang w:val="en-US" w:eastAsia="zh-CN"/>
              </w:rPr>
              <w:t>不足得2</w:t>
            </w:r>
            <w:r>
              <w:rPr>
                <w:rFonts w:hint="eastAsia" w:ascii="仿宋" w:hAnsi="仿宋" w:eastAsia="仿宋" w:cs="仿宋"/>
                <w:snapToGrid w:val="0"/>
                <w:color w:val="auto"/>
                <w:kern w:val="0"/>
                <w:sz w:val="24"/>
                <w:highlight w:val="none"/>
                <w:lang w:val="zh-TW" w:eastAsia="zh-CN"/>
              </w:rPr>
              <w:t>分。</w:t>
            </w:r>
            <w:r>
              <w:rPr>
                <w:rFonts w:hint="default" w:ascii="仿宋" w:hAnsi="仿宋" w:eastAsia="仿宋" w:cs="仿宋"/>
                <w:snapToGrid w:val="0"/>
                <w:color w:val="auto"/>
                <w:sz w:val="24"/>
                <w:highlight w:val="none"/>
              </w:rPr>
              <w:t>标准模糊不清或无法考核，得1分。未提供的，得0分。</w:t>
            </w:r>
          </w:p>
        </w:tc>
        <w:tc>
          <w:tcPr>
            <w:tcW w:w="300" w:type="pct"/>
            <w:vAlign w:val="center"/>
          </w:tcPr>
          <w:p w14:paraId="40A0285D">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458" w:type="pct"/>
            <w:vAlign w:val="center"/>
          </w:tcPr>
          <w:p w14:paraId="5254D1A0">
            <w:pPr>
              <w:snapToGrid w:val="0"/>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主观</w:t>
            </w:r>
          </w:p>
        </w:tc>
        <w:tc>
          <w:tcPr>
            <w:tcW w:w="526" w:type="pct"/>
            <w:vAlign w:val="center"/>
          </w:tcPr>
          <w:p w14:paraId="778F49A4">
            <w:pPr>
              <w:pStyle w:val="784"/>
              <w:adjustRightInd/>
              <w:snapToGrid/>
              <w:spacing w:line="240" w:lineRule="auto"/>
              <w:jc w:val="center"/>
              <w:rPr>
                <w:rFonts w:hint="eastAsia" w:ascii="仿宋" w:hAnsi="仿宋" w:eastAsia="仿宋" w:cs="仿宋"/>
                <w:color w:val="auto"/>
                <w:sz w:val="24"/>
                <w:highlight w:val="none"/>
              </w:rPr>
            </w:pPr>
            <w:r>
              <w:rPr>
                <w:rFonts w:hint="eastAsia" w:ascii="仿宋" w:hAnsi="仿宋" w:eastAsia="仿宋" w:cs="仿宋"/>
                <w:snapToGrid w:val="0"/>
                <w:color w:val="auto"/>
                <w:kern w:val="0"/>
                <w:sz w:val="24"/>
                <w:highlight w:val="none"/>
                <w:lang w:val="en-US" w:eastAsia="zh-CN"/>
              </w:rPr>
              <w:t>服务质量</w:t>
            </w:r>
          </w:p>
        </w:tc>
      </w:tr>
      <w:tr w14:paraId="11C2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trPr>
        <w:tc>
          <w:tcPr>
            <w:tcW w:w="360" w:type="pct"/>
            <w:vAlign w:val="center"/>
          </w:tcPr>
          <w:p w14:paraId="3760CF99">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w:t>
            </w:r>
          </w:p>
        </w:tc>
        <w:tc>
          <w:tcPr>
            <w:tcW w:w="3355" w:type="pct"/>
            <w:vAlign w:val="center"/>
          </w:tcPr>
          <w:p w14:paraId="53D5906C">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lang w:val="en-US" w:eastAsia="zh-CN"/>
              </w:rPr>
              <w:t>根据供应商提供的合理化建议进行打分：</w:t>
            </w:r>
          </w:p>
          <w:p w14:paraId="7BC46423">
            <w:pPr>
              <w:pStyle w:val="78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napToGrid w:val="0"/>
                <w:color w:val="auto"/>
                <w:kern w:val="0"/>
                <w:sz w:val="24"/>
                <w:highlight w:val="none"/>
                <w:lang w:val="zh-TW" w:eastAsia="zh-CN"/>
              </w:rPr>
            </w:pPr>
            <w:r>
              <w:rPr>
                <w:rFonts w:hint="eastAsia" w:ascii="仿宋" w:hAnsi="仿宋" w:eastAsia="仿宋" w:cs="仿宋"/>
                <w:snapToGrid w:val="0"/>
                <w:color w:val="auto"/>
                <w:kern w:val="0"/>
                <w:sz w:val="24"/>
                <w:highlight w:val="none"/>
                <w:lang w:val="zh-TW" w:eastAsia="zh-CN"/>
              </w:rPr>
              <w:t>针对本项目的合理化建议，在符合招标文件规定的线路标准的基础上，根据招标人文娱活动目的地及服务对象等方面，提出合理化建议，增加文娱活动体验感提高满意度。内容</w:t>
            </w:r>
            <w:r>
              <w:rPr>
                <w:rFonts w:hint="eastAsia" w:ascii="仿宋" w:hAnsi="仿宋" w:eastAsia="仿宋" w:cs="仿宋"/>
                <w:snapToGrid w:val="0"/>
                <w:color w:val="auto"/>
                <w:kern w:val="0"/>
                <w:sz w:val="24"/>
                <w:highlight w:val="none"/>
                <w:lang w:val="en-US" w:eastAsia="zh-CN"/>
              </w:rPr>
              <w:t>有</w:t>
            </w:r>
            <w:r>
              <w:rPr>
                <w:rFonts w:hint="eastAsia" w:ascii="仿宋" w:hAnsi="仿宋" w:eastAsia="仿宋" w:cs="仿宋"/>
                <w:snapToGrid w:val="0"/>
                <w:color w:val="auto"/>
                <w:sz w:val="24"/>
                <w:highlight w:val="none"/>
                <w:lang w:val="zh-TW"/>
              </w:rPr>
              <w:t>详细说明实施方法、预期效果、成本估算</w:t>
            </w:r>
            <w:r>
              <w:rPr>
                <w:rFonts w:hint="eastAsia" w:ascii="仿宋" w:hAnsi="仿宋" w:eastAsia="仿宋" w:cs="仿宋"/>
                <w:snapToGrid w:val="0"/>
                <w:color w:val="auto"/>
                <w:sz w:val="24"/>
                <w:highlight w:val="none"/>
                <w:lang w:val="en-US" w:eastAsia="zh-CN"/>
              </w:rPr>
              <w:t>且</w:t>
            </w:r>
            <w:r>
              <w:rPr>
                <w:rFonts w:hint="eastAsia" w:ascii="仿宋" w:hAnsi="仿宋" w:eastAsia="仿宋" w:cs="仿宋"/>
                <w:snapToGrid w:val="0"/>
                <w:color w:val="auto"/>
                <w:kern w:val="0"/>
                <w:sz w:val="24"/>
                <w:highlight w:val="none"/>
                <w:lang w:val="zh-TW" w:eastAsia="zh-CN"/>
              </w:rPr>
              <w:t>合理、详细、针对性强得</w:t>
            </w:r>
            <w:r>
              <w:rPr>
                <w:rFonts w:hint="eastAsia" w:ascii="仿宋" w:hAnsi="仿宋" w:eastAsia="仿宋" w:cs="仿宋"/>
                <w:snapToGrid w:val="0"/>
                <w:color w:val="auto"/>
                <w:kern w:val="0"/>
                <w:sz w:val="24"/>
                <w:highlight w:val="none"/>
                <w:lang w:val="en-US" w:eastAsia="zh-CN"/>
              </w:rPr>
              <w:t>5</w:t>
            </w:r>
            <w:r>
              <w:rPr>
                <w:rFonts w:hint="eastAsia" w:ascii="仿宋" w:hAnsi="仿宋" w:eastAsia="仿宋" w:cs="仿宋"/>
                <w:snapToGrid w:val="0"/>
                <w:color w:val="auto"/>
                <w:kern w:val="0"/>
                <w:sz w:val="24"/>
                <w:highlight w:val="none"/>
                <w:lang w:val="zh-TW" w:eastAsia="zh-CN"/>
              </w:rPr>
              <w:t>分。内容较合理，</w:t>
            </w:r>
            <w:r>
              <w:rPr>
                <w:rFonts w:hint="eastAsia" w:ascii="仿宋" w:hAnsi="仿宋" w:eastAsia="仿宋" w:cs="仿宋"/>
                <w:snapToGrid w:val="0"/>
                <w:color w:val="auto"/>
                <w:sz w:val="24"/>
                <w:highlight w:val="none"/>
                <w:lang w:val="zh-TW"/>
              </w:rPr>
              <w:t>有实施方法和预期效果</w:t>
            </w:r>
            <w:r>
              <w:rPr>
                <w:rFonts w:hint="eastAsia" w:ascii="仿宋" w:hAnsi="仿宋" w:eastAsia="仿宋" w:cs="仿宋"/>
                <w:snapToGrid w:val="0"/>
                <w:color w:val="auto"/>
                <w:kern w:val="0"/>
                <w:sz w:val="24"/>
                <w:highlight w:val="none"/>
                <w:lang w:val="zh-TW" w:eastAsia="zh-CN"/>
              </w:rPr>
              <w:t>得</w:t>
            </w: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lang w:val="zh-TW" w:eastAsia="zh-CN"/>
              </w:rPr>
              <w:t>分。内容较合理，</w:t>
            </w:r>
            <w:r>
              <w:rPr>
                <w:rFonts w:hint="eastAsia" w:ascii="仿宋" w:hAnsi="仿宋" w:eastAsia="仿宋" w:cs="仿宋"/>
                <w:snapToGrid w:val="0"/>
                <w:color w:val="auto"/>
                <w:kern w:val="0"/>
                <w:sz w:val="24"/>
                <w:highlight w:val="none"/>
                <w:lang w:val="en-US" w:eastAsia="zh-CN"/>
              </w:rPr>
              <w:t>基本</w:t>
            </w:r>
            <w:r>
              <w:rPr>
                <w:rFonts w:hint="eastAsia" w:ascii="仿宋" w:hAnsi="仿宋" w:eastAsia="仿宋" w:cs="仿宋"/>
                <w:snapToGrid w:val="0"/>
                <w:color w:val="auto"/>
                <w:kern w:val="0"/>
                <w:sz w:val="24"/>
                <w:highlight w:val="none"/>
                <w:lang w:val="zh-TW" w:eastAsia="zh-CN"/>
              </w:rPr>
              <w:t>详细得</w:t>
            </w: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lang w:val="zh-TW" w:eastAsia="zh-CN"/>
              </w:rPr>
              <w:t>分。内容</w:t>
            </w:r>
            <w:r>
              <w:rPr>
                <w:rFonts w:hint="eastAsia" w:ascii="仿宋" w:hAnsi="仿宋" w:eastAsia="仿宋" w:cs="仿宋"/>
                <w:snapToGrid w:val="0"/>
                <w:color w:val="auto"/>
                <w:kern w:val="0"/>
                <w:sz w:val="24"/>
                <w:highlight w:val="none"/>
                <w:lang w:val="en-US" w:eastAsia="zh-CN"/>
              </w:rPr>
              <w:t>简单</w:t>
            </w:r>
            <w:r>
              <w:rPr>
                <w:rFonts w:hint="eastAsia" w:ascii="仿宋" w:hAnsi="仿宋" w:eastAsia="仿宋" w:cs="仿宋"/>
                <w:snapToGrid w:val="0"/>
                <w:color w:val="auto"/>
                <w:kern w:val="0"/>
                <w:sz w:val="24"/>
                <w:highlight w:val="none"/>
                <w:lang w:val="zh-TW" w:eastAsia="zh-CN"/>
              </w:rPr>
              <w:t>得</w:t>
            </w:r>
            <w:r>
              <w:rPr>
                <w:rFonts w:hint="eastAsia" w:ascii="仿宋" w:hAnsi="仿宋" w:eastAsia="仿宋" w:cs="仿宋"/>
                <w:snapToGrid w:val="0"/>
                <w:color w:val="auto"/>
                <w:kern w:val="0"/>
                <w:sz w:val="24"/>
                <w:highlight w:val="none"/>
                <w:lang w:val="en-US" w:eastAsia="zh-CN"/>
              </w:rPr>
              <w:t>2</w:t>
            </w:r>
            <w:r>
              <w:rPr>
                <w:rFonts w:hint="eastAsia" w:ascii="仿宋" w:hAnsi="仿宋" w:eastAsia="仿宋" w:cs="仿宋"/>
                <w:snapToGrid w:val="0"/>
                <w:color w:val="auto"/>
                <w:kern w:val="0"/>
                <w:sz w:val="24"/>
                <w:highlight w:val="none"/>
                <w:lang w:val="zh-TW" w:eastAsia="zh-CN"/>
              </w:rPr>
              <w:t>分。</w:t>
            </w:r>
            <w:r>
              <w:rPr>
                <w:rFonts w:hint="eastAsia" w:ascii="仿宋" w:hAnsi="仿宋" w:eastAsia="仿宋" w:cs="仿宋"/>
                <w:snapToGrid w:val="0"/>
                <w:color w:val="auto"/>
                <w:sz w:val="24"/>
                <w:highlight w:val="none"/>
                <w:lang w:val="zh-TW"/>
              </w:rPr>
              <w:t>建议与项目无关或不可行，得1分。未提供的，得0分。</w:t>
            </w:r>
          </w:p>
        </w:tc>
        <w:tc>
          <w:tcPr>
            <w:tcW w:w="300" w:type="pct"/>
            <w:vAlign w:val="center"/>
          </w:tcPr>
          <w:p w14:paraId="0651021E">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458" w:type="pct"/>
            <w:vAlign w:val="center"/>
          </w:tcPr>
          <w:p w14:paraId="7EE8E1D4">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主观</w:t>
            </w:r>
          </w:p>
        </w:tc>
        <w:tc>
          <w:tcPr>
            <w:tcW w:w="526" w:type="pct"/>
            <w:vAlign w:val="center"/>
          </w:tcPr>
          <w:p w14:paraId="1959332C">
            <w:pPr>
              <w:pStyle w:val="784"/>
              <w:adjustRightInd/>
              <w:snapToGrid/>
              <w:spacing w:line="240" w:lineRule="auto"/>
              <w:jc w:val="center"/>
              <w:rPr>
                <w:rFonts w:hint="eastAsia" w:ascii="仿宋" w:hAnsi="仿宋" w:eastAsia="仿宋" w:cs="仿宋"/>
                <w:color w:val="auto"/>
                <w:sz w:val="24"/>
                <w:highlight w:val="none"/>
              </w:rPr>
            </w:pPr>
            <w:r>
              <w:rPr>
                <w:rFonts w:hint="eastAsia" w:ascii="仿宋" w:hAnsi="仿宋" w:eastAsia="仿宋" w:cs="仿宋"/>
                <w:snapToGrid w:val="0"/>
                <w:color w:val="auto"/>
                <w:kern w:val="0"/>
                <w:sz w:val="24"/>
                <w:highlight w:val="none"/>
                <w:lang w:val="en-US" w:eastAsia="zh-CN"/>
              </w:rPr>
              <w:t>合理化建议</w:t>
            </w:r>
          </w:p>
        </w:tc>
      </w:tr>
      <w:tr w14:paraId="23AE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14:paraId="6F079F88">
            <w:pPr>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24</w:t>
            </w:r>
          </w:p>
        </w:tc>
        <w:tc>
          <w:tcPr>
            <w:tcW w:w="3355" w:type="pct"/>
            <w:vAlign w:val="center"/>
          </w:tcPr>
          <w:p w14:paraId="5CAC6190">
            <w:pPr>
              <w:spacing w:line="240" w:lineRule="auto"/>
              <w:jc w:val="both"/>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有效投标报价的最低价作为评标基准价，其最低报价为满分；按［投标报价得分=（评标基准价/投标报价）*</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］的计算公式计算。</w:t>
            </w:r>
          </w:p>
          <w:p w14:paraId="447AA610">
            <w:pPr>
              <w:widowControl/>
              <w:shd w:val="clear" w:color="auto" w:fill="FFFFFF"/>
              <w:adjustRightInd/>
              <w:spacing w:after="225" w:line="240" w:lineRule="auto"/>
              <w:ind w:firstLine="42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评标过程中，不得去掉报价中的最高报价和最低报价。</w:t>
            </w:r>
          </w:p>
        </w:tc>
        <w:tc>
          <w:tcPr>
            <w:tcW w:w="300" w:type="pct"/>
            <w:vAlign w:val="center"/>
          </w:tcPr>
          <w:p w14:paraId="7C7E323A">
            <w:pPr>
              <w:spacing w:line="240" w:lineRule="auto"/>
              <w:jc w:val="center"/>
              <w:outlineLvl w:val="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458" w:type="pct"/>
            <w:vAlign w:val="center"/>
          </w:tcPr>
          <w:p w14:paraId="46F3B248">
            <w:pPr>
              <w:spacing w:line="240" w:lineRule="auto"/>
              <w:jc w:val="center"/>
              <w:outlineLvl w:val="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c>
          <w:tcPr>
            <w:tcW w:w="526" w:type="pct"/>
            <w:vAlign w:val="center"/>
          </w:tcPr>
          <w:p w14:paraId="6ACF1130">
            <w:pPr>
              <w:spacing w:line="240" w:lineRule="auto"/>
              <w:jc w:val="center"/>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bl>
    <w:p w14:paraId="3F8B1A35">
      <w:pPr>
        <w:snapToGrid w:val="0"/>
        <w:spacing w:line="360" w:lineRule="auto"/>
        <w:rPr>
          <w:rFonts w:hint="eastAsia" w:ascii="仿宋" w:hAnsi="仿宋" w:eastAsia="仿宋" w:cs="仿宋"/>
          <w:b/>
          <w:color w:val="auto"/>
          <w:sz w:val="24"/>
          <w:highlight w:val="none"/>
        </w:rPr>
      </w:pPr>
      <w:r>
        <w:rPr>
          <w:rFonts w:hint="eastAsia" w:ascii="仿宋" w:hAnsi="仿宋" w:eastAsia="仿宋" w:cs="仿宋"/>
          <w:color w:val="auto"/>
          <w:sz w:val="20"/>
          <w:szCs w:val="20"/>
          <w:highlight w:val="none"/>
          <w:shd w:val="clear" w:color="auto" w:fill="FFFFFF"/>
        </w:rPr>
        <w:t>*</w:t>
      </w:r>
      <w:r>
        <w:rPr>
          <w:rFonts w:hint="eastAsia" w:ascii="仿宋" w:hAnsi="仿宋" w:eastAsia="仿宋" w:cs="仿宋"/>
          <w:b/>
          <w:color w:val="auto"/>
          <w:sz w:val="24"/>
          <w:highlight w:val="none"/>
        </w:rPr>
        <w:t>备注：</w:t>
      </w:r>
      <w:r>
        <w:rPr>
          <w:rFonts w:hint="eastAsia" w:ascii="仿宋" w:hAnsi="仿宋" w:eastAsia="仿宋" w:cs="仿宋"/>
          <w:color w:val="auto"/>
          <w:sz w:val="24"/>
          <w:highlight w:val="none"/>
        </w:rPr>
        <w:t>投标人编制投标文件（商务技术文件部分）时，建议按此目录（序号和内容）提供评标标准相应的商务技术资料。</w:t>
      </w:r>
    </w:p>
    <w:p w14:paraId="3D5BE094">
      <w:pPr>
        <w:snapToGrid/>
        <w:spacing w:line="360" w:lineRule="auto"/>
        <w:ind w:firstLine="472" w:firstLineChars="196"/>
        <w:rPr>
          <w:rFonts w:hint="default" w:ascii="仿宋" w:hAnsi="仿宋" w:eastAsia="仿宋" w:cs="仿宋"/>
          <w:b/>
          <w:color w:val="auto"/>
          <w:sz w:val="24"/>
          <w:szCs w:val="24"/>
          <w:highlight w:val="none"/>
        </w:rPr>
      </w:pPr>
      <w:r>
        <w:rPr>
          <w:rFonts w:hint="eastAsia" w:ascii="仿宋" w:hAnsi="仿宋" w:eastAsia="仿宋" w:cs="仿宋"/>
          <w:b/>
          <w:color w:val="auto"/>
          <w:sz w:val="24"/>
          <w:highlight w:val="none"/>
          <w:lang w:val="en-US" w:eastAsia="zh-CN"/>
        </w:rPr>
        <w:t>1.</w:t>
      </w:r>
      <w:r>
        <w:rPr>
          <w:rFonts w:hint="default" w:ascii="仿宋" w:hAnsi="仿宋" w:eastAsia="仿宋" w:cs="仿宋"/>
          <w:b/>
          <w:color w:val="auto"/>
          <w:sz w:val="24"/>
          <w:highlight w:val="none"/>
        </w:rPr>
        <w:t>评标方法</w:t>
      </w:r>
    </w:p>
    <w:p w14:paraId="661EC427">
      <w:pPr>
        <w:adjustRightInd/>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1.</w:t>
      </w:r>
      <w:r>
        <w:rPr>
          <w:rFonts w:hint="eastAsia" w:ascii="仿宋" w:hAnsi="仿宋" w:eastAsia="仿宋" w:cs="仿宋"/>
          <w:b/>
          <w:color w:val="auto"/>
          <w:kern w:val="0"/>
          <w:sz w:val="24"/>
          <w:highlight w:val="none"/>
          <w:lang w:val="en-US" w:eastAsia="zh-CN"/>
        </w:rPr>
        <w:t>1</w:t>
      </w:r>
      <w:r>
        <w:rPr>
          <w:rFonts w:hint="eastAsia" w:ascii="仿宋" w:hAnsi="仿宋" w:eastAsia="仿宋" w:cs="仿宋"/>
          <w:b/>
          <w:color w:val="auto"/>
          <w:kern w:val="0"/>
          <w:sz w:val="24"/>
          <w:highlight w:val="none"/>
        </w:rPr>
        <w:t>本项目采用综合评分法。</w:t>
      </w:r>
      <w:r>
        <w:rPr>
          <w:rFonts w:hint="eastAsia" w:ascii="仿宋" w:hAnsi="仿宋" w:eastAsia="仿宋" w:cs="仿宋"/>
          <w:color w:val="auto"/>
          <w:kern w:val="0"/>
          <w:sz w:val="24"/>
          <w:highlight w:val="none"/>
        </w:rPr>
        <w:t>综合评分法，是指投标文件满足招标文件全部实质性要求，且按照评审因素的量化指标评审得分最高的投标人为中标候选人的评标方法。</w:t>
      </w:r>
    </w:p>
    <w:p w14:paraId="52406F92">
      <w:pPr>
        <w:spacing w:line="360" w:lineRule="auto"/>
        <w:ind w:firstLine="472" w:firstLineChars="196"/>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2.评标标准：</w:t>
      </w:r>
      <w:r>
        <w:rPr>
          <w:rFonts w:hint="eastAsia" w:ascii="仿宋" w:hAnsi="仿宋" w:eastAsia="仿宋" w:cs="仿宋"/>
          <w:color w:val="auto"/>
          <w:kern w:val="0"/>
          <w:sz w:val="24"/>
          <w:highlight w:val="none"/>
        </w:rPr>
        <w:t>见评标办法前附表。</w:t>
      </w:r>
    </w:p>
    <w:p w14:paraId="20032E6F">
      <w:pPr>
        <w:snapToGrid/>
        <w:spacing w:line="360" w:lineRule="auto"/>
        <w:ind w:firstLine="472" w:firstLineChars="196"/>
        <w:rPr>
          <w:rFonts w:hint="default" w:ascii="仿宋" w:hAnsi="仿宋" w:eastAsia="仿宋" w:cs="仿宋"/>
          <w:b/>
          <w:color w:val="auto"/>
          <w:sz w:val="24"/>
          <w:highlight w:val="none"/>
        </w:rPr>
      </w:pPr>
      <w:r>
        <w:rPr>
          <w:rFonts w:hint="eastAsia" w:ascii="仿宋" w:hAnsi="仿宋" w:eastAsia="仿宋" w:cs="仿宋"/>
          <w:b/>
          <w:color w:val="auto"/>
          <w:sz w:val="24"/>
          <w:highlight w:val="none"/>
          <w:lang w:eastAsia="zh-CN"/>
        </w:rPr>
        <w:t>3</w:t>
      </w:r>
      <w:r>
        <w:rPr>
          <w:rFonts w:hint="eastAsia" w:ascii="仿宋" w:hAnsi="仿宋" w:eastAsia="仿宋" w:cs="仿宋"/>
          <w:b/>
          <w:color w:val="auto"/>
          <w:sz w:val="24"/>
          <w:highlight w:val="none"/>
          <w:lang w:val="en-US" w:eastAsia="zh-CN"/>
        </w:rPr>
        <w:t>.</w:t>
      </w:r>
      <w:r>
        <w:rPr>
          <w:rFonts w:hint="default" w:ascii="仿宋" w:hAnsi="仿宋" w:eastAsia="仿宋" w:cs="仿宋"/>
          <w:b/>
          <w:color w:val="auto"/>
          <w:sz w:val="24"/>
          <w:highlight w:val="none"/>
        </w:rPr>
        <w:t>评标程序</w:t>
      </w:r>
    </w:p>
    <w:p w14:paraId="154C92F3">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3.1符合性审查。</w:t>
      </w:r>
      <w:r>
        <w:rPr>
          <w:rFonts w:hint="eastAsia" w:ascii="仿宋" w:hAnsi="仿宋" w:eastAsia="仿宋" w:cs="仿宋"/>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446E9865">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3.2比较与评价。</w:t>
      </w:r>
      <w:r>
        <w:rPr>
          <w:rFonts w:hint="eastAsia" w:ascii="仿宋" w:hAnsi="仿宋" w:eastAsia="仿宋" w:cs="仿宋"/>
          <w:color w:val="auto"/>
          <w:kern w:val="0"/>
          <w:sz w:val="24"/>
          <w:highlight w:val="none"/>
        </w:rPr>
        <w:t>评标委员会应当按照招标文件中规定的评标方法和标准，对符合性审查合格的投标文件进行商务和技术评估，综合比较与评价。</w:t>
      </w:r>
    </w:p>
    <w:p w14:paraId="20957248">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3.3汇总商务技术得分。</w:t>
      </w:r>
      <w:r>
        <w:rPr>
          <w:rFonts w:hint="eastAsia" w:ascii="仿宋" w:hAnsi="仿宋" w:eastAsia="仿宋" w:cs="仿宋"/>
          <w:color w:val="auto"/>
          <w:kern w:val="0"/>
          <w:sz w:val="24"/>
          <w:highlight w:val="none"/>
        </w:rPr>
        <w:t>评标委员会各成员应当独立对每个投标人的商务和技术文件进行评价，并汇总商务技术得分情况。</w:t>
      </w:r>
    </w:p>
    <w:p w14:paraId="6E9C0F5B">
      <w:pPr>
        <w:spacing w:line="360" w:lineRule="auto"/>
        <w:ind w:firstLine="472" w:firstLineChars="196"/>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3.4报价评审。</w:t>
      </w:r>
    </w:p>
    <w:p w14:paraId="156A2F29">
      <w:pPr>
        <w:pStyle w:val="131"/>
        <w:spacing w:before="0"/>
        <w:ind w:firstLine="508" w:firstLineChars="212"/>
        <w:rPr>
          <w:rFonts w:hint="eastAsia" w:ascii="仿宋" w:hAnsi="仿宋" w:eastAsia="仿宋" w:cs="仿宋"/>
          <w:color w:val="auto"/>
          <w:kern w:val="0"/>
          <w:highlight w:val="none"/>
        </w:rPr>
      </w:pPr>
      <w:r>
        <w:rPr>
          <w:rFonts w:hint="eastAsia" w:ascii="仿宋" w:hAnsi="仿宋" w:eastAsia="仿宋" w:cs="仿宋"/>
          <w:color w:val="auto"/>
          <w:kern w:val="0"/>
          <w:highlight w:val="none"/>
        </w:rPr>
        <w:t>3.4.1报价文件开启后，如发现开标结果与报价文件不一致者，以报价文件为准。由评标委员会根据报价文件内容进行修正。</w:t>
      </w:r>
    </w:p>
    <w:p w14:paraId="5CECC5A3">
      <w:pPr>
        <w:pStyle w:val="131"/>
        <w:spacing w:before="0"/>
        <w:ind w:firstLine="508" w:firstLineChars="212"/>
        <w:rPr>
          <w:rFonts w:hint="eastAsia" w:ascii="仿宋" w:hAnsi="仿宋" w:eastAsia="仿宋" w:cs="仿宋"/>
          <w:color w:val="auto"/>
          <w:kern w:val="0"/>
          <w:highlight w:val="none"/>
        </w:rPr>
      </w:pPr>
      <w:r>
        <w:rPr>
          <w:rFonts w:hint="eastAsia" w:ascii="仿宋" w:hAnsi="仿宋" w:eastAsia="仿宋" w:cs="仿宋"/>
          <w:color w:val="auto"/>
          <w:kern w:val="0"/>
          <w:highlight w:val="none"/>
        </w:rPr>
        <w:t>3.4.</w:t>
      </w:r>
      <w:r>
        <w:rPr>
          <w:rFonts w:hint="eastAsia" w:ascii="仿宋" w:hAnsi="仿宋" w:eastAsia="仿宋" w:cs="仿宋"/>
          <w:color w:val="auto"/>
          <w:kern w:val="0"/>
          <w:highlight w:val="none"/>
          <w:lang w:val="en-US" w:eastAsia="zh-CN"/>
        </w:rPr>
        <w:t>2</w:t>
      </w:r>
      <w:r>
        <w:rPr>
          <w:rFonts w:hint="eastAsia" w:ascii="仿宋" w:hAnsi="仿宋" w:eastAsia="仿宋" w:cs="仿宋"/>
          <w:color w:val="auto"/>
          <w:kern w:val="0"/>
          <w:highlight w:val="none"/>
        </w:rPr>
        <w:t>投标文件报价出现前后不一致的，按照下列规定修正：</w:t>
      </w:r>
    </w:p>
    <w:p w14:paraId="39935D18">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w:t>
      </w:r>
      <w:r>
        <w:rPr>
          <w:rFonts w:hint="eastAsia" w:ascii="仿宋" w:hAnsi="仿宋" w:eastAsia="仿宋" w:cs="仿宋"/>
          <w:color w:val="auto"/>
          <w:kern w:val="0"/>
          <w:szCs w:val="24"/>
          <w:highlight w:val="none"/>
          <w:lang w:val="en-US" w:eastAsia="zh-CN"/>
        </w:rPr>
        <w:t>2</w:t>
      </w:r>
      <w:r>
        <w:rPr>
          <w:rFonts w:hint="eastAsia" w:ascii="仿宋" w:hAnsi="仿宋" w:eastAsia="仿宋" w:cs="仿宋"/>
          <w:color w:val="auto"/>
          <w:kern w:val="0"/>
          <w:szCs w:val="24"/>
          <w:highlight w:val="none"/>
        </w:rPr>
        <w:t>.1投标文件中开标一览表</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报价表</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内容与投标文件中相应内容不一致的，以开标一览表</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报价表</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为准</w:t>
      </w:r>
      <w:r>
        <w:rPr>
          <w:rFonts w:hint="eastAsia" w:ascii="仿宋" w:hAnsi="仿宋" w:eastAsia="仿宋" w:cs="仿宋"/>
          <w:color w:val="auto"/>
          <w:kern w:val="0"/>
          <w:szCs w:val="24"/>
          <w:highlight w:val="none"/>
          <w:lang w:eastAsia="zh-CN"/>
        </w:rPr>
        <w:t>；</w:t>
      </w:r>
    </w:p>
    <w:p w14:paraId="5CE785B1">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w:t>
      </w:r>
      <w:r>
        <w:rPr>
          <w:rFonts w:hint="eastAsia" w:ascii="仿宋" w:hAnsi="仿宋" w:eastAsia="仿宋" w:cs="仿宋"/>
          <w:color w:val="auto"/>
          <w:kern w:val="0"/>
          <w:szCs w:val="24"/>
          <w:highlight w:val="none"/>
          <w:lang w:val="en-US" w:eastAsia="zh-CN"/>
        </w:rPr>
        <w:t>2</w:t>
      </w:r>
      <w:r>
        <w:rPr>
          <w:rFonts w:hint="eastAsia" w:ascii="仿宋" w:hAnsi="仿宋" w:eastAsia="仿宋" w:cs="仿宋"/>
          <w:color w:val="auto"/>
          <w:kern w:val="0"/>
          <w:szCs w:val="24"/>
          <w:highlight w:val="none"/>
        </w:rPr>
        <w:t>.2大写金额和小写金额不一致的，以大写金额为准</w:t>
      </w:r>
      <w:r>
        <w:rPr>
          <w:rFonts w:hint="eastAsia" w:ascii="仿宋" w:hAnsi="仿宋" w:eastAsia="仿宋" w:cs="仿宋"/>
          <w:color w:val="auto"/>
          <w:kern w:val="0"/>
          <w:szCs w:val="24"/>
          <w:highlight w:val="none"/>
          <w:lang w:eastAsia="zh-CN"/>
        </w:rPr>
        <w:t>；</w:t>
      </w:r>
    </w:p>
    <w:p w14:paraId="003EC7C7">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w:t>
      </w:r>
      <w:r>
        <w:rPr>
          <w:rFonts w:hint="eastAsia" w:ascii="仿宋" w:hAnsi="仿宋" w:eastAsia="仿宋" w:cs="仿宋"/>
          <w:color w:val="auto"/>
          <w:kern w:val="0"/>
          <w:szCs w:val="24"/>
          <w:highlight w:val="none"/>
          <w:lang w:val="en-US" w:eastAsia="zh-CN"/>
        </w:rPr>
        <w:t>2</w:t>
      </w:r>
      <w:r>
        <w:rPr>
          <w:rFonts w:hint="eastAsia" w:ascii="仿宋" w:hAnsi="仿宋" w:eastAsia="仿宋" w:cs="仿宋"/>
          <w:color w:val="auto"/>
          <w:kern w:val="0"/>
          <w:szCs w:val="24"/>
          <w:highlight w:val="none"/>
        </w:rPr>
        <w:t>.3单价金额小数点或者百分比有明显错位的，以开标一览表的总价为准，并修改单价</w:t>
      </w:r>
      <w:r>
        <w:rPr>
          <w:rFonts w:hint="eastAsia" w:ascii="仿宋" w:hAnsi="仿宋" w:eastAsia="仿宋" w:cs="仿宋"/>
          <w:color w:val="auto"/>
          <w:kern w:val="0"/>
          <w:szCs w:val="24"/>
          <w:highlight w:val="none"/>
          <w:lang w:eastAsia="zh-CN"/>
        </w:rPr>
        <w:t>；</w:t>
      </w:r>
    </w:p>
    <w:p w14:paraId="52F57CF3">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w:t>
      </w:r>
      <w:r>
        <w:rPr>
          <w:rFonts w:hint="eastAsia" w:ascii="仿宋" w:hAnsi="仿宋" w:eastAsia="仿宋" w:cs="仿宋"/>
          <w:color w:val="auto"/>
          <w:kern w:val="0"/>
          <w:szCs w:val="24"/>
          <w:highlight w:val="none"/>
          <w:lang w:val="en-US" w:eastAsia="zh-CN"/>
        </w:rPr>
        <w:t>2</w:t>
      </w:r>
      <w:r>
        <w:rPr>
          <w:rFonts w:hint="eastAsia" w:ascii="仿宋" w:hAnsi="仿宋" w:eastAsia="仿宋" w:cs="仿宋"/>
          <w:color w:val="auto"/>
          <w:kern w:val="0"/>
          <w:szCs w:val="24"/>
          <w:highlight w:val="none"/>
        </w:rPr>
        <w:t>.4总价金额与按单价汇总金额不一致的，以单价金额计算结果为准。</w:t>
      </w:r>
    </w:p>
    <w:p w14:paraId="26217F65">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w:t>
      </w:r>
      <w:r>
        <w:rPr>
          <w:rFonts w:hint="eastAsia" w:ascii="仿宋" w:hAnsi="仿宋" w:eastAsia="仿宋" w:cs="仿宋"/>
          <w:color w:val="auto"/>
          <w:kern w:val="0"/>
          <w:szCs w:val="24"/>
          <w:highlight w:val="none"/>
          <w:lang w:val="en-US" w:eastAsia="zh-CN"/>
        </w:rPr>
        <w:t>2</w:t>
      </w:r>
      <w:r>
        <w:rPr>
          <w:rFonts w:hint="eastAsia" w:ascii="仿宋" w:hAnsi="仿宋" w:eastAsia="仿宋" w:cs="仿宋"/>
          <w:color w:val="auto"/>
          <w:kern w:val="0"/>
          <w:szCs w:val="24"/>
          <w:highlight w:val="none"/>
        </w:rPr>
        <w:t>.5同时出现两种以上不一致的，按照3.4.1规定的顺序修正。修正后的报价按照财政部第87号令《政府采购货物和服务招标投标管理办法》第五十一条第二款的规定经投标人确认后产生约束力。</w:t>
      </w:r>
    </w:p>
    <w:p w14:paraId="50870711">
      <w:pPr>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投标文件出现不是唯一的、有选择性投标报价的，投标无效。</w:t>
      </w:r>
    </w:p>
    <w:p w14:paraId="670E5DCB">
      <w:pPr>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投标报价超过招标文件中规定的预算金额或者最高限价的，投标无效。</w:t>
      </w:r>
    </w:p>
    <w:p w14:paraId="418776BB">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3.4.5异常低价审查</w:t>
      </w:r>
    </w:p>
    <w:p w14:paraId="3A732CE5">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3.4.5.1出现下列情形之一的，评审委员会应当启动异常低价投标（响应）审查程序：</w:t>
      </w:r>
    </w:p>
    <w:p w14:paraId="4671D383">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（1）投标（响应）报价低于全部通过符合性审查供应商投标（响应）报价平均值50%的，即投标（响应）报价&lt;全部通过符合性审查供应商投标（响应）报价平均值×50%；</w:t>
      </w:r>
    </w:p>
    <w:p w14:paraId="37908893">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（2）投标（响应）报价低于通过符合性审查的次低报价供应商投标（响应）报价50%的，即投标（响应）报价&lt;通过符合性审查的次低报价供应商投标（响应）报价×50%；</w:t>
      </w:r>
    </w:p>
    <w:p w14:paraId="417AFBC1">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（3）投标（响应）报价低于采购项目最高限价</w:t>
      </w:r>
      <w:r>
        <w:rPr>
          <w:rFonts w:hint="eastAsia" w:ascii="仿宋" w:hAnsi="仿宋" w:eastAsia="仿宋" w:cs="仿宋"/>
          <w:color w:val="auto"/>
          <w:kern w:val="0"/>
          <w:szCs w:val="24"/>
          <w:highlight w:val="none"/>
          <w:lang w:val="en-US" w:eastAsia="zh-CN"/>
        </w:rPr>
        <w:t>50</w:t>
      </w:r>
      <w:r>
        <w:rPr>
          <w:rFonts w:hint="eastAsia" w:ascii="仿宋" w:hAnsi="仿宋" w:eastAsia="仿宋" w:cs="仿宋"/>
          <w:color w:val="auto"/>
          <w:kern w:val="0"/>
          <w:szCs w:val="24"/>
          <w:highlight w:val="none"/>
        </w:rPr>
        <w:t>%的，即投标（响应）报价&lt;采购项目最高限价×</w:t>
      </w:r>
      <w:r>
        <w:rPr>
          <w:rFonts w:hint="eastAsia" w:ascii="仿宋" w:hAnsi="仿宋" w:eastAsia="仿宋" w:cs="仿宋"/>
          <w:color w:val="auto"/>
          <w:kern w:val="0"/>
          <w:szCs w:val="24"/>
          <w:highlight w:val="none"/>
          <w:lang w:val="en-US" w:eastAsia="zh-CN"/>
        </w:rPr>
        <w:t>50</w:t>
      </w:r>
      <w:r>
        <w:rPr>
          <w:rFonts w:hint="eastAsia" w:ascii="仿宋" w:hAnsi="仿宋" w:eastAsia="仿宋" w:cs="仿宋"/>
          <w:color w:val="auto"/>
          <w:kern w:val="0"/>
          <w:szCs w:val="24"/>
          <w:highlight w:val="none"/>
        </w:rPr>
        <w:t>%；</w:t>
      </w:r>
    </w:p>
    <w:p w14:paraId="6AC0FD94">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（4）评审委员会基于专业判断，认为供应商报价过低，有可能影响产品质量或者不能诚信履约的其他情形。</w:t>
      </w:r>
    </w:p>
    <w:p w14:paraId="3E240EE8">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3.4.5.2异常低价投标（响应）审查程序：</w:t>
      </w:r>
    </w:p>
    <w:p w14:paraId="13B76658">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属于前述第（1）项至第（4）项情形的，应当要求相关供应商在评审现场合理的时间内对投标（响应）价格作出解释，提供项目具体成本测算等与报价合理性相关的书面说明及必要的证明材料，包括但不限于人工成本、机具设备采购或租赁成本、养护耗材成本等，给予相关供应商的合理时间一般不少于30分钟。</w:t>
      </w:r>
      <w:r>
        <w:rPr>
          <w:rFonts w:hint="eastAsia" w:ascii="仿宋" w:hAnsi="仿宋" w:eastAsia="仿宋" w:cs="仿宋"/>
          <w:b/>
          <w:bCs/>
          <w:color w:val="auto"/>
          <w:kern w:val="0"/>
          <w:szCs w:val="24"/>
          <w:highlight w:val="none"/>
        </w:rPr>
        <w:t>其中，属于第（3）项情形，供应商应随投标（响应）文件一并提交相关书面说明及必要的证明材料，未提交的否决其响应文件，材料不充分的，评标委员会可要求进一步补充。</w:t>
      </w:r>
    </w:p>
    <w:p w14:paraId="4404C925">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评审委员会依据专业经验，参考同类项目中标（成交）价格、类似产品市场价格水平、行业人工费用标准、国家有关部门指导行业协会发布的行业平均成本等情况，对报价合理性进行判断。投标（响应）供应商不能在规定时间内提供书面说明、证明材料，或者提供的书面说明、证明材料不能证明其报价合理性的，评审委员会应当将其作为无效投标（响应）处理。</w:t>
      </w:r>
    </w:p>
    <w:p w14:paraId="6A3122B3">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评审委员会借助互联网等渠道查询同类项目中标（成交）价格、类似产品市场价格水平、行业人工费用标准、国家有关部门指导行业协会发布的行业平均成本等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7F868EE5">
      <w:pPr>
        <w:pStyle w:val="131"/>
        <w:spacing w:before="0"/>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w:t>
      </w:r>
      <w:r>
        <w:rPr>
          <w:rFonts w:hint="eastAsia" w:ascii="仿宋" w:hAnsi="仿宋" w:eastAsia="仿宋" w:cs="仿宋"/>
          <w:color w:val="auto"/>
          <w:kern w:val="0"/>
          <w:szCs w:val="24"/>
          <w:highlight w:val="none"/>
          <w:lang w:val="en-US" w:eastAsia="zh-CN"/>
        </w:rPr>
        <w:t>6</w:t>
      </w:r>
      <w:r>
        <w:rPr>
          <w:rFonts w:hint="eastAsia" w:ascii="仿宋" w:hAnsi="仿宋" w:eastAsia="仿宋" w:cs="仿宋"/>
          <w:color w:val="auto"/>
          <w:kern w:val="0"/>
          <w:szCs w:val="24"/>
          <w:highlight w:val="none"/>
        </w:rPr>
        <w:t>对于未预留份额专门面向中小企业的政府采购服务项目，以及预留份额政府采购服务项目中的非预留部分标项，对小型和微型企业的投标报价给予</w:t>
      </w:r>
      <w:r>
        <w:rPr>
          <w:rFonts w:hint="eastAsia" w:ascii="仿宋" w:hAnsi="仿宋" w:eastAsia="仿宋" w:cs="仿宋"/>
          <w:color w:val="auto"/>
          <w:kern w:val="0"/>
          <w:szCs w:val="24"/>
          <w:highlight w:val="none"/>
          <w:lang w:eastAsia="zh-CN"/>
        </w:rPr>
        <w:t>10%—20%</w:t>
      </w:r>
      <w:r>
        <w:rPr>
          <w:rFonts w:hint="eastAsia" w:ascii="仿宋" w:hAnsi="仿宋" w:eastAsia="仿宋" w:cs="仿宋"/>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仿宋" w:hAnsi="仿宋" w:eastAsia="仿宋" w:cs="仿宋"/>
          <w:color w:val="auto"/>
          <w:kern w:val="0"/>
          <w:szCs w:val="24"/>
          <w:highlight w:val="none"/>
          <w:lang w:eastAsia="zh-CN"/>
        </w:rPr>
        <w:t>4%—6%</w:t>
      </w:r>
      <w:r>
        <w:rPr>
          <w:rFonts w:hint="eastAsia" w:ascii="仿宋" w:hAnsi="仿宋" w:eastAsia="仿宋" w:cs="仿宋"/>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532FE74D">
      <w:pPr>
        <w:spacing w:line="360" w:lineRule="auto"/>
        <w:ind w:firstLine="482" w:firstLineChars="200"/>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3.5排序与推荐。</w:t>
      </w:r>
      <w:r>
        <w:rPr>
          <w:rFonts w:hint="eastAsia" w:ascii="仿宋" w:hAnsi="仿宋" w:eastAsia="仿宋" w:cs="仿宋"/>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仿宋" w:hAnsi="仿宋" w:eastAsia="仿宋" w:cs="仿宋"/>
          <w:color w:val="auto"/>
          <w:kern w:val="0"/>
          <w:sz w:val="24"/>
          <w:highlight w:val="none"/>
          <w:lang w:val="en" w:eastAsia="zh-CN"/>
        </w:rPr>
        <w:t>本项目推荐的中标候选人数量：</w:t>
      </w:r>
      <w:r>
        <w:rPr>
          <w:rFonts w:hint="eastAsia" w:ascii="仿宋" w:hAnsi="仿宋" w:eastAsia="仿宋" w:cs="仿宋"/>
          <w:color w:val="auto"/>
          <w:kern w:val="0"/>
          <w:sz w:val="24"/>
          <w:highlight w:val="none"/>
          <w:u w:val="single"/>
          <w:lang w:val="en-US" w:eastAsia="zh-CN"/>
        </w:rPr>
        <w:t>1</w:t>
      </w:r>
      <w:r>
        <w:rPr>
          <w:rFonts w:hint="eastAsia" w:ascii="仿宋" w:hAnsi="仿宋" w:eastAsia="仿宋" w:cs="仿宋"/>
          <w:color w:val="auto"/>
          <w:kern w:val="0"/>
          <w:sz w:val="24"/>
          <w:highlight w:val="none"/>
          <w:lang w:val="en" w:eastAsia="zh-CN"/>
        </w:rPr>
        <w:t>。</w:t>
      </w:r>
    </w:p>
    <w:p w14:paraId="32ADA3FE">
      <w:pPr>
        <w:spacing w:line="360" w:lineRule="auto"/>
        <w:ind w:firstLine="480" w:firstLineChars="200"/>
        <w:rPr>
          <w:rFonts w:hint="eastAsia" w:ascii="仿宋" w:hAnsi="仿宋" w:eastAsia="仿宋" w:cs="仿宋"/>
          <w:b/>
          <w:color w:val="auto"/>
          <w:kern w:val="0"/>
          <w:sz w:val="24"/>
          <w:highlight w:val="none"/>
        </w:rPr>
      </w:pPr>
      <w:r>
        <w:rPr>
          <w:rFonts w:hint="eastAsia" w:ascii="仿宋" w:hAnsi="仿宋" w:eastAsia="仿宋" w:cs="仿宋"/>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6DAE946F">
      <w:pPr>
        <w:spacing w:line="36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3.6编写评标报告。</w:t>
      </w:r>
      <w:r>
        <w:rPr>
          <w:rFonts w:hint="eastAsia" w:ascii="仿宋" w:hAnsi="仿宋" w:eastAsia="仿宋" w:cs="仿宋"/>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FD09E20">
      <w:pPr>
        <w:snapToGrid/>
        <w:spacing w:line="360" w:lineRule="auto"/>
        <w:ind w:firstLine="413" w:firstLineChars="196"/>
        <w:rPr>
          <w:rFonts w:hint="default" w:ascii="仿宋" w:hAnsi="仿宋" w:eastAsia="仿宋" w:cs="仿宋"/>
          <w:b/>
          <w:color w:val="auto"/>
          <w:sz w:val="24"/>
          <w:highlight w:val="none"/>
        </w:rPr>
      </w:pPr>
      <w:r>
        <w:rPr>
          <w:rFonts w:hint="eastAsia" w:ascii="仿宋" w:hAnsi="仿宋" w:eastAsia="仿宋" w:cs="仿宋"/>
          <w:b/>
          <w:color w:val="auto"/>
          <w:kern w:val="0"/>
          <w:szCs w:val="24"/>
          <w:highlight w:val="none"/>
        </w:rPr>
        <w:t>4.</w:t>
      </w:r>
      <w:r>
        <w:rPr>
          <w:rFonts w:hint="default" w:ascii="仿宋" w:hAnsi="仿宋" w:eastAsia="仿宋" w:cs="仿宋"/>
          <w:b/>
          <w:color w:val="auto"/>
          <w:sz w:val="24"/>
          <w:highlight w:val="none"/>
        </w:rPr>
        <w:t>评标中的其他事项</w:t>
      </w:r>
    </w:p>
    <w:p w14:paraId="308794A5">
      <w:pPr>
        <w:pStyle w:val="131"/>
        <w:spacing w:before="0"/>
        <w:ind w:firstLine="472" w:firstLineChars="196"/>
        <w:rPr>
          <w:rFonts w:hint="eastAsia" w:ascii="仿宋" w:hAnsi="仿宋" w:eastAsia="仿宋" w:cs="仿宋"/>
          <w:color w:val="auto"/>
          <w:kern w:val="0"/>
          <w:szCs w:val="24"/>
          <w:highlight w:val="none"/>
        </w:rPr>
      </w:pPr>
      <w:r>
        <w:rPr>
          <w:rFonts w:hint="eastAsia" w:ascii="仿宋" w:hAnsi="仿宋" w:eastAsia="仿宋" w:cs="仿宋"/>
          <w:b/>
          <w:color w:val="auto"/>
          <w:kern w:val="0"/>
          <w:szCs w:val="24"/>
          <w:highlight w:val="none"/>
        </w:rPr>
        <w:t>4.1投标人澄清、说明或者补正。</w:t>
      </w:r>
      <w:r>
        <w:rPr>
          <w:rFonts w:hint="eastAsia" w:ascii="仿宋" w:hAnsi="仿宋" w:eastAsia="仿宋" w:cs="仿宋"/>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44311D7B">
      <w:pPr>
        <w:pStyle w:val="24"/>
        <w:spacing w:line="360" w:lineRule="auto"/>
        <w:ind w:left="954" w:leftChars="226" w:hanging="479" w:firstLineChars="0"/>
        <w:rPr>
          <w:rFonts w:hint="eastAsia" w:ascii="仿宋" w:hAnsi="仿宋" w:eastAsia="仿宋" w:cs="仿宋"/>
          <w:color w:val="auto"/>
          <w:szCs w:val="21"/>
          <w:highlight w:val="none"/>
        </w:rPr>
      </w:pPr>
      <w:r>
        <w:rPr>
          <w:rFonts w:hint="eastAsia" w:ascii="仿宋" w:hAnsi="仿宋" w:eastAsia="仿宋" w:cs="仿宋"/>
          <w:b/>
          <w:color w:val="auto"/>
          <w:kern w:val="0"/>
          <w:highlight w:val="none"/>
        </w:rPr>
        <w:t>4.2投标无效。</w:t>
      </w:r>
      <w:r>
        <w:rPr>
          <w:rFonts w:hint="eastAsia" w:ascii="仿宋" w:hAnsi="仿宋" w:eastAsia="仿宋" w:cs="仿宋"/>
          <w:color w:val="auto"/>
          <w:szCs w:val="21"/>
          <w:highlight w:val="none"/>
        </w:rPr>
        <w:t>有下列情形之一的，投标无效：</w:t>
      </w:r>
    </w:p>
    <w:p w14:paraId="379190C7">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4.2.1投标人不具备招标文件中规定的资格要求的（投标人未提供有效的资格文件的，视为投标人不具备招标文件中规定的资格要求）；</w:t>
      </w:r>
    </w:p>
    <w:p w14:paraId="2D30D205">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4.2.2投标文件未按照招标文件要求签署、盖章的；</w:t>
      </w:r>
    </w:p>
    <w:p w14:paraId="23B03731">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71566A64">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4.2.4投标文件含有采购人不能接受的附加条件的；</w:t>
      </w:r>
    </w:p>
    <w:p w14:paraId="37D60ADC">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4.2.5投标文件中承诺的投标有效期少于招标文件中载明的投标有效期的；</w:t>
      </w:r>
    </w:p>
    <w:p w14:paraId="0BDD5914">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4.2.6投标文件出现不是唯一的、有选择性投标报价的</w:t>
      </w:r>
      <w:r>
        <w:rPr>
          <w:rFonts w:hint="eastAsia" w:ascii="仿宋" w:hAnsi="仿宋" w:eastAsia="仿宋" w:cs="仿宋"/>
          <w:color w:val="auto"/>
          <w:kern w:val="0"/>
          <w:sz w:val="24"/>
          <w:highlight w:val="none"/>
          <w:lang w:eastAsia="zh-CN"/>
        </w:rPr>
        <w:t>；</w:t>
      </w:r>
    </w:p>
    <w:p w14:paraId="15B45CC5">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4.2.7投标报价超过招标文件中规定的预算金额或者最高限价的</w:t>
      </w:r>
      <w:r>
        <w:rPr>
          <w:rFonts w:hint="eastAsia" w:ascii="仿宋" w:hAnsi="仿宋" w:eastAsia="仿宋" w:cs="仿宋"/>
          <w:color w:val="auto"/>
          <w:kern w:val="0"/>
          <w:sz w:val="24"/>
          <w:highlight w:val="none"/>
          <w:lang w:eastAsia="zh-CN"/>
        </w:rPr>
        <w:t>；</w:t>
      </w:r>
    </w:p>
    <w:p w14:paraId="6F37CFB3">
      <w:pPr>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4.2.</w:t>
      </w:r>
      <w:r>
        <w:rPr>
          <w:rFonts w:hint="eastAsia" w:ascii="仿宋" w:hAnsi="仿宋" w:eastAsia="仿宋" w:cs="仿宋"/>
          <w:color w:val="auto"/>
          <w:kern w:val="0"/>
          <w:sz w:val="24"/>
          <w:highlight w:val="none"/>
          <w:lang w:val="en-US" w:eastAsia="zh-CN"/>
        </w:rPr>
        <w:t>8报价出现异常低价情形，投标（响应）供应商不能在规定时间内提供书面说明、证明材料，或者提供的书面说明、证明材料不能证明其报价合理性的，评标委员会应当将其作为无效投标（响应）处理；投标（响应）报价低于采购项目最高限价50%的，即投标（响应）报价&lt;采购项目最高限价×50%，未随投标（响应）文件一并提交相关书面说明及必要的证明材料的，评标委员会应当将其作为无效投标（响应）处理；</w:t>
      </w:r>
    </w:p>
    <w:p w14:paraId="5E456D3B">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投标人对根据修正原则修正后的报价不确认的；</w:t>
      </w:r>
    </w:p>
    <w:p w14:paraId="181669D9">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w:t>
      </w:r>
      <w:r>
        <w:rPr>
          <w:rFonts w:hint="eastAsia" w:ascii="仿宋" w:hAnsi="仿宋" w:eastAsia="仿宋" w:cs="仿宋"/>
          <w:color w:val="auto"/>
          <w:kern w:val="0"/>
          <w:sz w:val="24"/>
          <w:highlight w:val="none"/>
          <w:lang w:val="en-US" w:eastAsia="zh-CN"/>
        </w:rPr>
        <w:t>0</w:t>
      </w:r>
      <w:r>
        <w:rPr>
          <w:rFonts w:hint="eastAsia" w:ascii="仿宋" w:hAnsi="仿宋" w:eastAsia="仿宋" w:cs="仿宋"/>
          <w:color w:val="auto"/>
          <w:kern w:val="0"/>
          <w:sz w:val="24"/>
          <w:highlight w:val="none"/>
        </w:rPr>
        <w:t>投标人提供虚假材料投标的；</w:t>
      </w:r>
    </w:p>
    <w:p w14:paraId="43511E89">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投标人有恶意串通、妨碍其他投标人的竞争行为、损害采购人或者其他投标人的合法权益情形的；</w:t>
      </w:r>
    </w:p>
    <w:p w14:paraId="4D71AE66">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4.2.12投标文件组成严重漏项、内容严重不全的；</w:t>
      </w:r>
    </w:p>
    <w:p w14:paraId="120CAEAF">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4.2.13未按规定的格式编制影响实质内容的；</w:t>
      </w:r>
    </w:p>
    <w:p w14:paraId="1730759B">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4.2.14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443FF59C">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投标人仅提交备份投标文件，未在电子交易平台传输递交投标文件的，投标无效；</w:t>
      </w:r>
    </w:p>
    <w:p w14:paraId="220BA794">
      <w:pPr>
        <w:spacing w:line="360" w:lineRule="auto"/>
        <w:ind w:firstLine="480" w:firstLineChars="200"/>
        <w:rPr>
          <w:rFonts w:hint="eastAsia" w:ascii="仿宋" w:hAnsi="仿宋" w:eastAsia="仿宋" w:cs="仿宋"/>
          <w:color w:val="auto"/>
          <w:kern w:val="0"/>
          <w:sz w:val="24"/>
          <w:highlight w:val="none"/>
          <w:lang w:val="en-US"/>
        </w:rPr>
      </w:pPr>
      <w:r>
        <w:rPr>
          <w:rFonts w:hint="eastAsia" w:ascii="仿宋" w:hAnsi="仿宋" w:eastAsia="仿宋" w:cs="仿宋"/>
          <w:color w:val="auto"/>
          <w:kern w:val="0"/>
          <w:sz w:val="24"/>
          <w:highlight w:val="none"/>
          <w:lang w:val="en-US"/>
        </w:rPr>
        <w:t>4.2.1</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lang w:val="en-US"/>
        </w:rPr>
        <w:t>投标文件不满足招标文件的其它实质性要求的；</w:t>
      </w:r>
    </w:p>
    <w:p w14:paraId="1041E7CA">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w:t>
      </w:r>
      <w:r>
        <w:rPr>
          <w:rFonts w:hint="eastAsia" w:ascii="仿宋" w:hAnsi="仿宋" w:eastAsia="仿宋" w:cs="仿宋"/>
          <w:color w:val="auto"/>
          <w:kern w:val="0"/>
          <w:sz w:val="24"/>
          <w:highlight w:val="none"/>
          <w:lang w:val="en-US" w:eastAsia="zh-CN"/>
        </w:rPr>
        <w:t>7</w:t>
      </w:r>
      <w:r>
        <w:rPr>
          <w:rFonts w:hint="eastAsia" w:ascii="仿宋" w:hAnsi="仿宋" w:eastAsia="仿宋" w:cs="仿宋"/>
          <w:color w:val="auto"/>
          <w:kern w:val="0"/>
          <w:sz w:val="24"/>
          <w:highlight w:val="none"/>
        </w:rPr>
        <w:t>法律、法规、规章（适用本市的）及省级以上规范性文件（适用本市的）规定的其他无效情形。</w:t>
      </w:r>
    </w:p>
    <w:p w14:paraId="5FD96E63">
      <w:pPr>
        <w:pStyle w:val="24"/>
        <w:snapToGrid w:val="0"/>
        <w:spacing w:line="360" w:lineRule="auto"/>
        <w:ind w:firstLine="472" w:firstLineChars="196"/>
        <w:rPr>
          <w:rFonts w:hint="eastAsia" w:ascii="仿宋" w:hAnsi="仿宋" w:eastAsia="仿宋" w:cs="仿宋"/>
          <w:color w:val="auto"/>
          <w:highlight w:val="none"/>
        </w:rPr>
      </w:pPr>
      <w:r>
        <w:rPr>
          <w:rFonts w:hint="eastAsia" w:ascii="仿宋" w:hAnsi="仿宋" w:eastAsia="仿宋" w:cs="仿宋"/>
          <w:b/>
          <w:color w:val="auto"/>
          <w:highlight w:val="none"/>
        </w:rPr>
        <w:t>5.废标。</w:t>
      </w:r>
      <w:r>
        <w:rPr>
          <w:rFonts w:hint="eastAsia" w:ascii="仿宋" w:hAnsi="仿宋" w:eastAsia="仿宋" w:cs="仿宋"/>
          <w:color w:val="auto"/>
          <w:highlight w:val="none"/>
        </w:rPr>
        <w:t>根据《中华人民共和国政府采购法》第三十六条之规定，在采购中，出现下列情形之一的，应予废标：</w:t>
      </w:r>
    </w:p>
    <w:p w14:paraId="45026260">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5.1符合专业条件的供应商或者对招标文件作实质响应的供应商不足3家的；</w:t>
      </w:r>
    </w:p>
    <w:p w14:paraId="258914B1">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5.2出现影响采购公正的违法、违规行为的；</w:t>
      </w:r>
    </w:p>
    <w:p w14:paraId="4D1D19EF">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5.3投标人的报价均超过了采购预算，采购人不能支付的；</w:t>
      </w:r>
    </w:p>
    <w:p w14:paraId="7543AE15">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5.4因重大变故，采购任务取消的。</w:t>
      </w:r>
    </w:p>
    <w:p w14:paraId="40246D4A">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废标后，</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应当将废标理由通知所有投标人。</w:t>
      </w:r>
    </w:p>
    <w:p w14:paraId="78FBC98E">
      <w:pPr>
        <w:pStyle w:val="24"/>
        <w:snapToGrid w:val="0"/>
        <w:spacing w:line="360" w:lineRule="auto"/>
        <w:ind w:firstLine="590" w:firstLineChars="245"/>
        <w:rPr>
          <w:rFonts w:hint="eastAsia" w:ascii="仿宋" w:hAnsi="仿宋" w:eastAsia="仿宋" w:cs="仿宋"/>
          <w:color w:val="auto"/>
          <w:highlight w:val="none"/>
        </w:rPr>
      </w:pPr>
      <w:r>
        <w:rPr>
          <w:rFonts w:hint="eastAsia" w:ascii="仿宋" w:hAnsi="仿宋" w:eastAsia="仿宋" w:cs="仿宋"/>
          <w:b/>
          <w:color w:val="auto"/>
          <w:highlight w:val="none"/>
        </w:rPr>
        <w:t>6.修改招标文件，重新组织采购活动。</w:t>
      </w:r>
      <w:r>
        <w:rPr>
          <w:rFonts w:hint="eastAsia" w:ascii="仿宋" w:hAnsi="仿宋" w:eastAsia="仿宋" w:cs="仿宋"/>
          <w:color w:val="auto"/>
          <w:highlight w:val="none"/>
        </w:rPr>
        <w:t>评标委员会发现招标文件存在歧义、重大缺陷导致评标工作无法进行，或者招标文件内容违反国家有关强制性规定的，将停止评标工作，并与采购人、</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沟通并作书面记录。采购人、</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确认后，将修改招标文件，重新组织采购活动。</w:t>
      </w:r>
    </w:p>
    <w:p w14:paraId="5D559336">
      <w:pPr>
        <w:pStyle w:val="24"/>
        <w:snapToGrid w:val="0"/>
        <w:spacing w:line="360" w:lineRule="auto"/>
        <w:ind w:firstLine="482"/>
        <w:rPr>
          <w:rFonts w:hint="eastAsia" w:ascii="仿宋" w:hAnsi="仿宋" w:eastAsia="仿宋" w:cs="仿宋"/>
          <w:color w:val="auto"/>
          <w:highlight w:val="none"/>
        </w:rPr>
      </w:pPr>
      <w:r>
        <w:rPr>
          <w:rFonts w:hint="eastAsia" w:ascii="仿宋" w:hAnsi="仿宋" w:eastAsia="仿宋" w:cs="仿宋"/>
          <w:b/>
          <w:color w:val="auto"/>
          <w:kern w:val="0"/>
          <w:highlight w:val="none"/>
        </w:rPr>
        <w:t>7.重新开展采购。</w:t>
      </w:r>
      <w:r>
        <w:rPr>
          <w:rFonts w:hint="eastAsia" w:ascii="仿宋" w:hAnsi="仿宋" w:eastAsia="仿宋" w:cs="仿宋"/>
          <w:color w:val="auto"/>
          <w:highlight w:val="none"/>
        </w:rPr>
        <w:t>有政府采购法第七十一条、第七十二条规定的违法行为之一，影响或者可能影响中标结果的，依照下列规定处理：</w:t>
      </w:r>
    </w:p>
    <w:p w14:paraId="28740C8D">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7.1未确定中标供应商的，终止本次政府采购活动，重新开展政府采购活动。</w:t>
      </w:r>
    </w:p>
    <w:p w14:paraId="6B8775E9">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7.2已确定中标供应商但尚未签订政府采购合同的，中标结果无效，从合格的中标候选人中另行确定中标供应商；没有合格的中标候选人的，重新开展政府采购活动。</w:t>
      </w:r>
    </w:p>
    <w:p w14:paraId="0F02D3A5">
      <w:pPr>
        <w:pStyle w:val="24"/>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7.3政府采购合同已签订但尚未履行的，撤销合同，从合格的中标候选人中另行确定中标供应商；没有合格的中标候选人的，重新开展政府采购活动。</w:t>
      </w:r>
    </w:p>
    <w:p w14:paraId="5F8D49D5">
      <w:pPr>
        <w:pStyle w:val="24"/>
        <w:snapToGrid w:val="0"/>
        <w:spacing w:line="360" w:lineRule="auto"/>
        <w:ind w:firstLineChars="0"/>
        <w:rPr>
          <w:rFonts w:hint="eastAsia" w:ascii="仿宋" w:hAnsi="仿宋" w:eastAsia="仿宋" w:cs="仿宋"/>
          <w:color w:val="auto"/>
          <w:highlight w:val="none"/>
        </w:rPr>
      </w:pPr>
      <w:r>
        <w:rPr>
          <w:rFonts w:hint="eastAsia" w:ascii="仿宋" w:hAnsi="仿宋" w:eastAsia="仿宋" w:cs="仿宋"/>
          <w:color w:val="auto"/>
          <w:highlight w:val="none"/>
        </w:rPr>
        <w:t>7.4政府采购合同已经履行，给采购人、供应商造成损失的，由责任人承担赔偿责任。</w:t>
      </w:r>
    </w:p>
    <w:p w14:paraId="105749DE">
      <w:pPr>
        <w:pStyle w:val="24"/>
        <w:widowControl/>
        <w:adjustRightInd/>
        <w:snapToGrid w:val="0"/>
        <w:spacing w:line="360" w:lineRule="auto"/>
        <w:ind w:firstLineChars="0"/>
        <w:jc w:val="left"/>
        <w:rPr>
          <w:rFonts w:hint="eastAsia" w:ascii="仿宋" w:hAnsi="仿宋" w:eastAsia="仿宋" w:cs="仿宋"/>
          <w:b/>
          <w:color w:val="auto"/>
          <w:sz w:val="36"/>
          <w:szCs w:val="36"/>
          <w:highlight w:val="none"/>
        </w:rPr>
      </w:pPr>
      <w:r>
        <w:rPr>
          <w:rFonts w:hint="eastAsia" w:ascii="仿宋" w:hAnsi="仿宋" w:eastAsia="仿宋" w:cs="仿宋"/>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r>
        <w:rPr>
          <w:rFonts w:hint="eastAsia" w:ascii="仿宋" w:hAnsi="仿宋" w:eastAsia="仿宋" w:cs="仿宋"/>
          <w:b/>
          <w:color w:val="auto"/>
          <w:sz w:val="36"/>
          <w:szCs w:val="36"/>
          <w:highlight w:val="none"/>
        </w:rPr>
        <w:br w:type="page"/>
      </w:r>
    </w:p>
    <w:p w14:paraId="3CEA968D">
      <w:pPr>
        <w:pStyle w:val="3"/>
        <w:adjustRightInd/>
        <w:spacing w:beforeLines="0" w:afterLines="0"/>
        <w:jc w:val="center"/>
        <w:outlineLvl w:val="0"/>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第五部分 拟签订的合同文本</w:t>
      </w:r>
    </w:p>
    <w:p w14:paraId="3816F2F6">
      <w:pPr>
        <w:pageBreakBefore w:val="0"/>
        <w:kinsoku/>
        <w:wordWrap/>
        <w:overflowPunct/>
        <w:topLinePunct w:val="0"/>
        <w:bidi w:val="0"/>
        <w:spacing w:line="360" w:lineRule="auto"/>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u w:val="single"/>
        </w:rPr>
        <w:t xml:space="preserve">           </w:t>
      </w:r>
    </w:p>
    <w:p w14:paraId="570272BE">
      <w:pPr>
        <w:pageBreakBefore w:val="0"/>
        <w:kinsoku/>
        <w:wordWrap/>
        <w:overflowPunct/>
        <w:topLinePunct w:val="0"/>
        <w:bidi w:val="0"/>
        <w:spacing w:line="360" w:lineRule="auto"/>
        <w:jc w:val="center"/>
        <w:textAlignment w:val="auto"/>
        <w:rPr>
          <w:rFonts w:hint="eastAsia" w:ascii="仿宋" w:hAnsi="仿宋" w:eastAsia="仿宋" w:cs="仿宋"/>
          <w:b/>
          <w:color w:val="auto"/>
          <w:sz w:val="28"/>
          <w:szCs w:val="28"/>
          <w:highlight w:val="none"/>
        </w:rPr>
      </w:pPr>
    </w:p>
    <w:p w14:paraId="4C9E886F">
      <w:pPr>
        <w:pageBreakBefore w:val="0"/>
        <w:kinsoku/>
        <w:wordWrap/>
        <w:overflowPunct/>
        <w:topLinePunct w:val="0"/>
        <w:bidi w:val="0"/>
        <w:spacing w:line="360" w:lineRule="auto"/>
        <w:jc w:val="center"/>
        <w:textAlignment w:val="auto"/>
        <w:rPr>
          <w:rFonts w:hint="eastAsia" w:ascii="仿宋" w:hAnsi="仿宋" w:eastAsia="仿宋" w:cs="仿宋"/>
          <w:b/>
          <w:color w:val="auto"/>
          <w:sz w:val="24"/>
          <w:highlight w:val="none"/>
        </w:rPr>
      </w:pPr>
    </w:p>
    <w:p w14:paraId="6A210C03">
      <w:pPr>
        <w:pageBreakBefore w:val="0"/>
        <w:kinsoku/>
        <w:wordWrap/>
        <w:overflowPunct/>
        <w:topLinePunct w:val="0"/>
        <w:bidi w:val="0"/>
        <w:spacing w:line="360" w:lineRule="auto"/>
        <w:jc w:val="center"/>
        <w:textAlignment w:val="auto"/>
        <w:rPr>
          <w:rFonts w:hint="eastAsia" w:ascii="仿宋" w:hAnsi="仿宋" w:eastAsia="仿宋" w:cs="仿宋"/>
          <w:b/>
          <w:color w:val="auto"/>
          <w:sz w:val="24"/>
          <w:highlight w:val="none"/>
        </w:rPr>
      </w:pPr>
    </w:p>
    <w:p w14:paraId="391DF66D">
      <w:pPr>
        <w:pageBreakBefore w:val="0"/>
        <w:kinsoku/>
        <w:wordWrap/>
        <w:overflowPunct/>
        <w:topLinePunct w:val="0"/>
        <w:bidi w:val="0"/>
        <w:spacing w:line="360" w:lineRule="auto"/>
        <w:jc w:val="center"/>
        <w:textAlignment w:val="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政府采购合同参考范本</w:t>
      </w:r>
    </w:p>
    <w:p w14:paraId="511C89FD">
      <w:pPr>
        <w:pageBreakBefore w:val="0"/>
        <w:kinsoku/>
        <w:wordWrap/>
        <w:overflowPunct/>
        <w:topLinePunct w:val="0"/>
        <w:bidi w:val="0"/>
        <w:spacing w:line="360" w:lineRule="auto"/>
        <w:jc w:val="center"/>
        <w:textAlignment w:val="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（服务类）</w:t>
      </w:r>
    </w:p>
    <w:p w14:paraId="4419379D">
      <w:pPr>
        <w:pStyle w:val="702"/>
        <w:pageBreakBefore w:val="0"/>
        <w:kinsoku/>
        <w:wordWrap/>
        <w:overflowPunct/>
        <w:topLinePunct w:val="0"/>
        <w:bidi w:val="0"/>
        <w:snapToGrid/>
        <w:spacing w:after="0" w:afterAutospacing="0" w:line="360" w:lineRule="auto"/>
        <w:ind w:left="422" w:leftChars="0" w:hanging="422" w:hangingChars="175"/>
        <w:jc w:val="center"/>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第一部分 合同书</w:t>
      </w:r>
    </w:p>
    <w:p w14:paraId="111642AA">
      <w:pPr>
        <w:pageBreakBefore w:val="0"/>
        <w:kinsoku/>
        <w:wordWrap/>
        <w:overflowPunct/>
        <w:topLinePunct w:val="0"/>
        <w:bidi w:val="0"/>
        <w:spacing w:beforeAutospacing="0" w:line="360" w:lineRule="auto"/>
        <w:textAlignment w:val="auto"/>
        <w:rPr>
          <w:rFonts w:hint="eastAsia" w:ascii="仿宋" w:hAnsi="仿宋" w:eastAsia="仿宋" w:cs="仿宋"/>
          <w:color w:val="auto"/>
          <w:sz w:val="24"/>
          <w:highlight w:val="none"/>
        </w:rPr>
      </w:pPr>
    </w:p>
    <w:p w14:paraId="4EB107E0">
      <w:pPr>
        <w:pageBreakBefore w:val="0"/>
        <w:kinsoku/>
        <w:wordWrap/>
        <w:overflowPunct/>
        <w:topLinePunct w:val="0"/>
        <w:bidi w:val="0"/>
        <w:spacing w:before="120" w:line="360" w:lineRule="auto"/>
        <w:textAlignment w:val="auto"/>
        <w:rPr>
          <w:rFonts w:hint="eastAsia" w:ascii="仿宋" w:hAnsi="仿宋" w:eastAsia="仿宋" w:cs="仿宋"/>
          <w:color w:val="auto"/>
          <w:sz w:val="24"/>
          <w:highlight w:val="none"/>
        </w:rPr>
      </w:pPr>
    </w:p>
    <w:p w14:paraId="52C5A054">
      <w:pPr>
        <w:pageBreakBefore w:val="0"/>
        <w:kinsoku/>
        <w:wordWrap/>
        <w:overflowPunct/>
        <w:topLinePunct w:val="0"/>
        <w:bidi w:val="0"/>
        <w:spacing w:before="120" w:line="360" w:lineRule="auto"/>
        <w:ind w:left="96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lang w:eastAsia="zh-CN"/>
        </w:rPr>
        <w:t>2026年九堡街道企业退休人员自管小组文体活动项目</w:t>
      </w:r>
    </w:p>
    <w:p w14:paraId="6B902B2C">
      <w:pPr>
        <w:pStyle w:val="599"/>
        <w:pageBreakBefore w:val="0"/>
        <w:kinsoku/>
        <w:wordWrap/>
        <w:overflowPunct/>
        <w:topLinePunct w:val="0"/>
        <w:bidi w:val="0"/>
        <w:spacing w:before="120" w:line="360" w:lineRule="auto"/>
        <w:textAlignment w:val="auto"/>
        <w:rPr>
          <w:rFonts w:hint="eastAsia" w:ascii="仿宋" w:hAnsi="仿宋" w:eastAsia="仿宋" w:cs="仿宋"/>
          <w:color w:val="auto"/>
          <w:szCs w:val="24"/>
          <w:highlight w:val="none"/>
        </w:rPr>
      </w:pPr>
    </w:p>
    <w:p w14:paraId="5912128F">
      <w:pPr>
        <w:pStyle w:val="599"/>
        <w:pageBreakBefore w:val="0"/>
        <w:kinsoku/>
        <w:wordWrap/>
        <w:overflowPunct/>
        <w:topLinePunct w:val="0"/>
        <w:bidi w:val="0"/>
        <w:spacing w:before="120" w:line="360" w:lineRule="auto"/>
        <w:textAlignment w:val="auto"/>
        <w:rPr>
          <w:rFonts w:hint="eastAsia" w:ascii="仿宋" w:hAnsi="仿宋" w:eastAsia="仿宋" w:cs="仿宋"/>
          <w:color w:val="auto"/>
          <w:szCs w:val="24"/>
          <w:highlight w:val="none"/>
        </w:rPr>
      </w:pPr>
    </w:p>
    <w:p w14:paraId="5FE0C9E3">
      <w:pPr>
        <w:pageBreakBefore w:val="0"/>
        <w:kinsoku/>
        <w:wordWrap/>
        <w:overflowPunct/>
        <w:topLinePunct w:val="0"/>
        <w:bidi w:val="0"/>
        <w:spacing w:line="360" w:lineRule="auto"/>
        <w:textAlignment w:val="auto"/>
        <w:rPr>
          <w:rFonts w:hint="eastAsia" w:ascii="仿宋" w:hAnsi="仿宋" w:eastAsia="仿宋" w:cs="仿宋"/>
          <w:color w:val="auto"/>
          <w:sz w:val="24"/>
          <w:highlight w:val="none"/>
        </w:rPr>
      </w:pPr>
    </w:p>
    <w:p w14:paraId="47A9008A">
      <w:pPr>
        <w:pageBreakBefore w:val="0"/>
        <w:kinsoku/>
        <w:wordWrap/>
        <w:overflowPunct/>
        <w:topLinePunct w:val="0"/>
        <w:bidi w:val="0"/>
        <w:spacing w:before="120" w:line="360" w:lineRule="auto"/>
        <w:ind w:left="96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杭州市上城区九堡街道党群与便民服务中心</w:t>
      </w:r>
    </w:p>
    <w:p w14:paraId="0D3D1846">
      <w:pPr>
        <w:pageBreakBefore w:val="0"/>
        <w:kinsoku/>
        <w:wordWrap/>
        <w:overflowPunct/>
        <w:topLinePunct w:val="0"/>
        <w:bidi w:val="0"/>
        <w:spacing w:before="120" w:line="360" w:lineRule="auto"/>
        <w:textAlignment w:val="auto"/>
        <w:rPr>
          <w:rFonts w:hint="eastAsia" w:ascii="仿宋" w:hAnsi="仿宋" w:eastAsia="仿宋" w:cs="仿宋"/>
          <w:color w:val="auto"/>
          <w:sz w:val="24"/>
          <w:highlight w:val="none"/>
        </w:rPr>
      </w:pPr>
    </w:p>
    <w:p w14:paraId="4F902F54">
      <w:pPr>
        <w:pageBreakBefore w:val="0"/>
        <w:kinsoku/>
        <w:wordWrap/>
        <w:overflowPunct/>
        <w:topLinePunct w:val="0"/>
        <w:bidi w:val="0"/>
        <w:spacing w:before="120" w:line="360" w:lineRule="auto"/>
        <w:ind w:left="96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p>
    <w:p w14:paraId="15CA71C9">
      <w:pPr>
        <w:pageBreakBefore w:val="0"/>
        <w:kinsoku/>
        <w:wordWrap/>
        <w:overflowPunct/>
        <w:topLinePunct w:val="0"/>
        <w:bidi w:val="0"/>
        <w:spacing w:before="120" w:line="360" w:lineRule="auto"/>
        <w:textAlignment w:val="auto"/>
        <w:rPr>
          <w:rFonts w:hint="eastAsia" w:ascii="仿宋" w:hAnsi="仿宋" w:eastAsia="仿宋" w:cs="仿宋"/>
          <w:color w:val="auto"/>
          <w:sz w:val="24"/>
          <w:highlight w:val="none"/>
        </w:rPr>
      </w:pPr>
    </w:p>
    <w:p w14:paraId="14015310">
      <w:pPr>
        <w:pageBreakBefore w:val="0"/>
        <w:kinsoku/>
        <w:wordWrap/>
        <w:overflowPunct/>
        <w:topLinePunct w:val="0"/>
        <w:bidi w:val="0"/>
        <w:spacing w:before="120" w:line="360" w:lineRule="auto"/>
        <w:ind w:firstLine="960" w:firstLineChars="4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杭州市上城区</w:t>
      </w:r>
      <w:r>
        <w:rPr>
          <w:rFonts w:hint="eastAsia" w:ascii="仿宋" w:hAnsi="仿宋" w:eastAsia="仿宋" w:cs="仿宋"/>
          <w:color w:val="auto"/>
          <w:sz w:val="24"/>
          <w:highlight w:val="none"/>
          <w:u w:val="single"/>
        </w:rPr>
        <w:t xml:space="preserve">          </w:t>
      </w:r>
    </w:p>
    <w:p w14:paraId="70C1208B">
      <w:pPr>
        <w:pageBreakBefore w:val="0"/>
        <w:kinsoku/>
        <w:wordWrap/>
        <w:overflowPunct/>
        <w:topLinePunct w:val="0"/>
        <w:bidi w:val="0"/>
        <w:spacing w:before="120" w:line="360" w:lineRule="auto"/>
        <w:textAlignment w:val="auto"/>
        <w:rPr>
          <w:rFonts w:hint="eastAsia" w:ascii="仿宋" w:hAnsi="仿宋" w:eastAsia="仿宋" w:cs="仿宋"/>
          <w:color w:val="auto"/>
          <w:sz w:val="24"/>
          <w:highlight w:val="none"/>
        </w:rPr>
      </w:pPr>
    </w:p>
    <w:p w14:paraId="3A8D1F64">
      <w:pPr>
        <w:pageBreakBefore w:val="0"/>
        <w:kinsoku/>
        <w:wordWrap/>
        <w:overflowPunct/>
        <w:topLinePunct w:val="0"/>
        <w:bidi w:val="0"/>
        <w:spacing w:before="120" w:line="360" w:lineRule="auto"/>
        <w:ind w:firstLine="960" w:firstLineChars="4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2026</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3FDA7BA">
      <w:pPr>
        <w:pageBreakBefore w:val="0"/>
        <w:widowControl/>
        <w:kinsoku/>
        <w:wordWrap/>
        <w:overflowPunct/>
        <w:topLinePunct w:val="0"/>
        <w:bidi w:val="0"/>
        <w:spacing w:line="360" w:lineRule="auto"/>
        <w:jc w:val="left"/>
        <w:textAlignment w:val="auto"/>
        <w:rPr>
          <w:rFonts w:hint="eastAsia" w:ascii="仿宋" w:hAnsi="仿宋" w:eastAsia="仿宋" w:cs="仿宋"/>
          <w:color w:val="auto"/>
          <w:kern w:val="0"/>
          <w:sz w:val="24"/>
          <w:highlight w:val="none"/>
        </w:rPr>
        <w:sectPr>
          <w:pgSz w:w="11905" w:h="16838"/>
          <w:pgMar w:top="1440" w:right="1083" w:bottom="1440" w:left="1083" w:header="850" w:footer="992" w:gutter="0"/>
          <w:cols w:space="0" w:num="1"/>
          <w:titlePg/>
          <w:rtlGutter w:val="0"/>
          <w:docGrid w:linePitch="0" w:charSpace="0"/>
        </w:sectPr>
      </w:pPr>
    </w:p>
    <w:p w14:paraId="405B9D13">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en-US" w:eastAsia="zh-CN"/>
        </w:rPr>
        <w:t>2026</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eastAsia="zh-CN"/>
        </w:rPr>
        <w:t>杭州市上城区九堡街道党群与便民服务中心</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lang w:val="en-US" w:eastAsia="zh-CN"/>
        </w:rPr>
        <w:t>公开招标的政府采购方式</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2026年九堡街道企业退休人员自管小组文体活动项目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项目进行了采购。经</w:t>
      </w:r>
      <w:r>
        <w:rPr>
          <w:rFonts w:hint="eastAsia" w:ascii="仿宋" w:hAnsi="仿宋" w:eastAsia="仿宋" w:cs="仿宋"/>
          <w:color w:val="auto"/>
          <w:sz w:val="24"/>
          <w:highlight w:val="none"/>
          <w:u w:val="single"/>
          <w:lang w:val="en-US" w:eastAsia="zh-CN"/>
        </w:rPr>
        <w:t>评标委员会</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rPr>
        <w:t>（中标或者成交供应商名称）</w:t>
      </w:r>
      <w:r>
        <w:rPr>
          <w:rFonts w:hint="eastAsia" w:ascii="仿宋" w:hAnsi="仿宋" w:eastAsia="仿宋" w:cs="仿宋"/>
          <w:color w:val="auto"/>
          <w:sz w:val="24"/>
          <w:highlight w:val="none"/>
        </w:rPr>
        <w:t>为该项目中标或者成交供应商。现于中标或者成交通知书发出之日起10个工作日内，按照采购文件确定的事项签订本合同。</w:t>
      </w:r>
    </w:p>
    <w:p w14:paraId="1822E221">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4"/>
          <w:highlight w:val="none"/>
          <w:u w:val="single"/>
          <w:lang w:eastAsia="zh-CN"/>
        </w:rPr>
        <w:t>杭州市上城区九堡街道党群与便民服务中心</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（中标或者成交标供应商名称）</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14:paraId="3B2A92E3">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color w:val="auto"/>
          <w:sz w:val="24"/>
          <w:highlight w:val="none"/>
        </w:rPr>
      </w:pPr>
      <w:bookmarkStart w:id="0" w:name="_Toc22967"/>
      <w:bookmarkStart w:id="1" w:name="_Toc19273"/>
      <w:bookmarkStart w:id="2" w:name="_Toc15367"/>
      <w:bookmarkStart w:id="3" w:name="_Toc28855"/>
      <w:bookmarkStart w:id="4" w:name="_Toc20421"/>
      <w:r>
        <w:rPr>
          <w:rFonts w:hint="eastAsia" w:ascii="仿宋" w:hAnsi="仿宋" w:eastAsia="仿宋" w:cs="仿宋"/>
          <w:b/>
          <w:color w:val="auto"/>
          <w:sz w:val="24"/>
          <w:highlight w:val="none"/>
        </w:rPr>
        <w:t>1.1合同组成部分</w:t>
      </w:r>
      <w:bookmarkEnd w:id="0"/>
      <w:bookmarkEnd w:id="1"/>
      <w:bookmarkEnd w:id="2"/>
      <w:bookmarkEnd w:id="3"/>
      <w:bookmarkEnd w:id="4"/>
    </w:p>
    <w:p w14:paraId="67759D55">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79FE5ED">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1.1.1本合同及其补充合同、变更协议；</w:t>
      </w:r>
    </w:p>
    <w:p w14:paraId="2DA0E569">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1.1.2中标或者成交通知书；</w:t>
      </w:r>
    </w:p>
    <w:p w14:paraId="6CE74DF2">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1.1.3投标或者响应文件（含澄清或者说明文件）；</w:t>
      </w:r>
    </w:p>
    <w:p w14:paraId="0C254B5F">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1.1.4采购文件（含澄清或者修改文件）；</w:t>
      </w:r>
    </w:p>
    <w:p w14:paraId="4DA2D315">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1.1.5其他相关采购文件。</w:t>
      </w:r>
    </w:p>
    <w:p w14:paraId="03F2DA26">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highlight w:val="none"/>
        </w:rPr>
      </w:pPr>
      <w:bookmarkStart w:id="5" w:name="_Toc18585"/>
      <w:bookmarkStart w:id="6" w:name="_Toc2918"/>
      <w:bookmarkStart w:id="7" w:name="_Toc6773"/>
      <w:bookmarkStart w:id="8" w:name="_Toc22185"/>
      <w:bookmarkStart w:id="9" w:name="_Toc6311"/>
      <w:r>
        <w:rPr>
          <w:rFonts w:hint="eastAsia" w:ascii="仿宋" w:hAnsi="仿宋" w:eastAsia="仿宋" w:cs="仿宋"/>
          <w:b/>
          <w:color w:val="auto"/>
          <w:sz w:val="24"/>
          <w:highlight w:val="none"/>
        </w:rPr>
        <w:t>1.2标的</w:t>
      </w:r>
      <w:bookmarkEnd w:id="5"/>
      <w:bookmarkEnd w:id="6"/>
      <w:bookmarkEnd w:id="7"/>
      <w:bookmarkEnd w:id="8"/>
      <w:bookmarkEnd w:id="9"/>
    </w:p>
    <w:p w14:paraId="5085D7DA">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1.2.1服务内容：</w:t>
      </w:r>
      <w:r>
        <w:rPr>
          <w:rFonts w:hint="eastAsia" w:ascii="仿宋" w:hAnsi="仿宋" w:eastAsia="仿宋" w:cs="仿宋"/>
          <w:color w:val="auto"/>
          <w:sz w:val="24"/>
          <w:highlight w:val="none"/>
          <w:u w:val="single"/>
        </w:rPr>
        <w:t>根据招标文件第三部分《采购需求》，乙方为甲方辖区内约17770名企业退休人员提供文体活动服务。具体包括：</w:t>
      </w:r>
    </w:p>
    <w:p w14:paraId="1B1BB13D">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u w:val="single"/>
        </w:rPr>
        <w:t>组织社区活动：策划并举办小型、多样的文体活动，并为活动参与人员发放符合要求的活动用品。</w:t>
      </w:r>
    </w:p>
    <w:p w14:paraId="614DE1C8">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rPr>
        <w:t>组织外出游览：策划并组织一日外出游览活动，提供交通、餐饮、保险、医护等全程服务。游览地点包括但不限于：绍兴、湖州、嘉兴、富阳、建德、余杭、宋城、西溪湿地、湘湖。</w:t>
      </w:r>
    </w:p>
    <w:p w14:paraId="59320464">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rPr>
        <w:t>上门慰问服务：对高龄及行动不便的企退人员，提供上门慰问并发放慰问品。</w:t>
      </w:r>
    </w:p>
    <w:p w14:paraId="06BF8295">
      <w:pPr>
        <w:pageBreakBefore w:val="0"/>
        <w:kinsoku/>
        <w:wordWrap/>
        <w:overflowPunct/>
        <w:topLinePunct w:val="0"/>
        <w:bidi w:val="0"/>
        <w:spacing w:line="360" w:lineRule="auto"/>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具体活动形式和参与人员由甲方根据企退人员选择进行调配</w:t>
      </w:r>
      <w:r>
        <w:rPr>
          <w:rFonts w:hint="eastAsia" w:ascii="仿宋" w:hAnsi="仿宋" w:eastAsia="仿宋" w:cs="仿宋"/>
          <w:b/>
          <w:bCs/>
          <w:color w:val="auto"/>
          <w:sz w:val="24"/>
          <w:highlight w:val="none"/>
        </w:rPr>
        <w:t>；</w:t>
      </w:r>
    </w:p>
    <w:p w14:paraId="53F1352C">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1.2.2服务标准：</w:t>
      </w:r>
      <w:r>
        <w:rPr>
          <w:rFonts w:hint="eastAsia" w:ascii="仿宋" w:hAnsi="仿宋" w:eastAsia="仿宋" w:cs="仿宋"/>
          <w:color w:val="auto"/>
          <w:sz w:val="24"/>
          <w:highlight w:val="none"/>
          <w:u w:val="single"/>
        </w:rPr>
        <w:t>（1）服务记录合格率≥90%；（2）综合服务满意率≥85%；（3）服务安全100%</w:t>
      </w:r>
      <w:r>
        <w:rPr>
          <w:rFonts w:hint="eastAsia" w:ascii="仿宋" w:hAnsi="仿宋" w:eastAsia="仿宋" w:cs="仿宋"/>
          <w:color w:val="auto"/>
          <w:sz w:val="24"/>
          <w:highlight w:val="none"/>
        </w:rPr>
        <w:t>；</w:t>
      </w:r>
    </w:p>
    <w:p w14:paraId="5E861F98">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1.2.3技术保障：</w:t>
      </w:r>
      <w:r>
        <w:rPr>
          <w:rFonts w:hint="eastAsia" w:ascii="仿宋" w:hAnsi="仿宋" w:eastAsia="仿宋" w:cs="仿宋"/>
          <w:color w:val="auto"/>
          <w:sz w:val="24"/>
          <w:highlight w:val="none"/>
          <w:u w:val="single"/>
        </w:rPr>
        <w:t>乙方应建立并执行完善的安全管理方案、服务质量控制方案及应急预案。为每次外出游览活动购买不低于30万元保额的个人旅游人身意外险</w:t>
      </w:r>
      <w:r>
        <w:rPr>
          <w:rFonts w:hint="eastAsia" w:ascii="仿宋" w:hAnsi="仿宋" w:eastAsia="仿宋" w:cs="仿宋"/>
          <w:color w:val="auto"/>
          <w:sz w:val="24"/>
          <w:highlight w:val="none"/>
        </w:rPr>
        <w:t>；</w:t>
      </w:r>
    </w:p>
    <w:p w14:paraId="76B9F76B">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1.2.4服务人员组成：</w:t>
      </w:r>
      <w:r>
        <w:rPr>
          <w:rFonts w:hint="eastAsia" w:ascii="仿宋" w:hAnsi="仿宋" w:eastAsia="仿宋" w:cs="仿宋"/>
          <w:color w:val="auto"/>
          <w:sz w:val="24"/>
          <w:highlight w:val="none"/>
          <w:u w:val="single"/>
        </w:rPr>
        <w:t>乙方承诺为本项目组建专门的服务团队，团队总人数不低于10人（含项目负责人</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请填写姓名</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），其中男性服务人员不少于2人。服务团队中具有导游资格证的人员</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请根据投标承诺填写人数</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人，具有中级及以上职称导游</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请根据投标承诺填写人数</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人。</w:t>
      </w:r>
      <w:r>
        <w:rPr>
          <w:rFonts w:hint="eastAsia" w:ascii="仿宋" w:hAnsi="仿宋" w:eastAsia="仿宋" w:cs="仿宋"/>
          <w:color w:val="auto"/>
          <w:sz w:val="24"/>
          <w:highlight w:val="none"/>
        </w:rPr>
        <w:t>；</w:t>
      </w:r>
    </w:p>
    <w:p w14:paraId="13AAC5AD">
      <w:pPr>
        <w:pStyle w:val="960"/>
        <w:pageBreakBefore w:val="0"/>
        <w:kinsoku/>
        <w:wordWrap/>
        <w:overflowPunct/>
        <w:topLinePunct w:val="0"/>
        <w:bidi w:val="0"/>
        <w:spacing w:before="0" w:beforeAutospacing="0" w:after="0" w:afterAutospacing="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1.2.5合同</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（是/否）涉及货物。若涉及货物的，则：</w:t>
      </w:r>
    </w:p>
    <w:p w14:paraId="266FDA7A">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u w:val="single"/>
        </w:rPr>
      </w:pPr>
      <w:bookmarkStart w:id="10" w:name="_Toc21124"/>
      <w:bookmarkStart w:id="11" w:name="_Toc4929"/>
      <w:bookmarkStart w:id="12" w:name="_Toc1386"/>
      <w:bookmarkStart w:id="13" w:name="_Toc13918"/>
      <w:bookmarkStart w:id="14" w:name="_Toc5635"/>
      <w:r>
        <w:rPr>
          <w:rFonts w:hint="eastAsia" w:ascii="仿宋" w:hAnsi="仿宋" w:eastAsia="仿宋" w:cs="仿宋"/>
          <w:color w:val="auto"/>
          <w:sz w:val="24"/>
          <w:highlight w:val="none"/>
        </w:rPr>
        <w:t>1.2.5.1货物名称、品牌、规格型号、花色：</w:t>
      </w:r>
      <w:r>
        <w:rPr>
          <w:rFonts w:hint="eastAsia" w:ascii="仿宋" w:hAnsi="仿宋" w:eastAsia="仿宋" w:cs="仿宋"/>
          <w:color w:val="auto"/>
          <w:sz w:val="24"/>
          <w:highlight w:val="none"/>
          <w:u w:val="single"/>
        </w:rPr>
        <w:t>活动用品，品牌及规格型号不低于招标文件附表1所列标准，产品产地均为中国大陆</w:t>
      </w:r>
      <w:r>
        <w:rPr>
          <w:rFonts w:hint="eastAsia" w:ascii="仿宋" w:hAnsi="仿宋" w:eastAsia="仿宋" w:cs="仿宋"/>
          <w:color w:val="auto"/>
          <w:sz w:val="24"/>
          <w:highlight w:val="none"/>
        </w:rPr>
        <w:t>；</w:t>
      </w:r>
    </w:p>
    <w:p w14:paraId="0BD99C8C">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1.2.5.2货物数量：</w:t>
      </w:r>
      <w:r>
        <w:rPr>
          <w:rFonts w:hint="eastAsia" w:ascii="仿宋" w:hAnsi="仿宋" w:eastAsia="仿宋" w:cs="仿宋"/>
          <w:color w:val="auto"/>
          <w:sz w:val="24"/>
          <w:highlight w:val="none"/>
          <w:u w:val="single"/>
        </w:rPr>
        <w:t>根据实际参与活动的人数确定</w:t>
      </w:r>
      <w:r>
        <w:rPr>
          <w:rFonts w:hint="eastAsia" w:ascii="仿宋" w:hAnsi="仿宋" w:eastAsia="仿宋" w:cs="仿宋"/>
          <w:color w:val="auto"/>
          <w:sz w:val="24"/>
          <w:highlight w:val="none"/>
        </w:rPr>
        <w:t>；</w:t>
      </w:r>
    </w:p>
    <w:p w14:paraId="132C7967">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1.2.5.3货物质量：</w:t>
      </w:r>
      <w:r>
        <w:rPr>
          <w:rFonts w:hint="eastAsia" w:ascii="仿宋" w:hAnsi="仿宋" w:eastAsia="仿宋" w:cs="仿宋"/>
          <w:color w:val="auto"/>
          <w:sz w:val="24"/>
          <w:highlight w:val="none"/>
          <w:u w:val="single"/>
        </w:rPr>
        <w:t>符合国家相关质量标准及食品安全标准</w:t>
      </w:r>
      <w:r>
        <w:rPr>
          <w:rFonts w:hint="eastAsia" w:ascii="仿宋" w:hAnsi="仿宋" w:eastAsia="仿宋" w:cs="仿宋"/>
          <w:color w:val="auto"/>
          <w:sz w:val="24"/>
          <w:highlight w:val="none"/>
        </w:rPr>
        <w:t>；</w:t>
      </w:r>
    </w:p>
    <w:p w14:paraId="08DF0FB4">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1.3价款</w:t>
      </w:r>
      <w:bookmarkEnd w:id="10"/>
      <w:bookmarkEnd w:id="11"/>
      <w:bookmarkEnd w:id="12"/>
      <w:bookmarkEnd w:id="13"/>
      <w:bookmarkEnd w:id="14"/>
    </w:p>
    <w:p w14:paraId="712B904F">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本项目采用以下第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1.3.2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条款规定的计价方式计价。</w:t>
      </w:r>
    </w:p>
    <w:p w14:paraId="443F9F2C">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1.3.1总价合同，本合同总价（含税）为：￥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14:paraId="2C903D77">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分项价格：</w:t>
      </w:r>
    </w:p>
    <w:tbl>
      <w:tblPr>
        <w:tblStyle w:val="6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4734"/>
        <w:gridCol w:w="3549"/>
      </w:tblGrid>
      <w:tr w14:paraId="5486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211A261B">
            <w:pPr>
              <w:pStyle w:val="320"/>
              <w:pageBreakBefore w:val="0"/>
              <w:kinsoku/>
              <w:wordWrap/>
              <w:overflowPunct/>
              <w:topLinePunct w:val="0"/>
              <w:bidi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377" w:type="pct"/>
            <w:vAlign w:val="center"/>
          </w:tcPr>
          <w:p w14:paraId="45766751">
            <w:pPr>
              <w:pStyle w:val="320"/>
              <w:pageBreakBefore w:val="0"/>
              <w:kinsoku/>
              <w:wordWrap/>
              <w:overflowPunct/>
              <w:topLinePunct w:val="0"/>
              <w:bidi w:val="0"/>
              <w:spacing w:line="240" w:lineRule="auto"/>
              <w:ind w:firstLine="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分项名称</w:t>
            </w:r>
          </w:p>
        </w:tc>
        <w:tc>
          <w:tcPr>
            <w:tcW w:w="1783" w:type="pct"/>
            <w:vAlign w:val="center"/>
          </w:tcPr>
          <w:p w14:paraId="38665A0C">
            <w:pPr>
              <w:pStyle w:val="320"/>
              <w:pageBreakBefore w:val="0"/>
              <w:kinsoku/>
              <w:wordWrap/>
              <w:overflowPunct/>
              <w:topLinePunct w:val="0"/>
              <w:bidi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分项价格</w:t>
            </w:r>
          </w:p>
        </w:tc>
      </w:tr>
      <w:tr w14:paraId="4EBE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43FD2410">
            <w:pPr>
              <w:pStyle w:val="320"/>
              <w:pageBreakBefore w:val="0"/>
              <w:kinsoku/>
              <w:wordWrap/>
              <w:overflowPunct/>
              <w:topLinePunct w:val="0"/>
              <w:bidi w:val="0"/>
              <w:spacing w:line="240" w:lineRule="auto"/>
              <w:ind w:firstLine="20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2377" w:type="pct"/>
            <w:vAlign w:val="center"/>
          </w:tcPr>
          <w:p w14:paraId="66BDB431">
            <w:pPr>
              <w:pStyle w:val="320"/>
              <w:pageBreakBefore w:val="0"/>
              <w:kinsoku/>
              <w:wordWrap/>
              <w:overflowPunct/>
              <w:topLinePunct w:val="0"/>
              <w:bidi w:val="0"/>
              <w:spacing w:line="240" w:lineRule="auto"/>
              <w:ind w:firstLine="20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1783" w:type="pct"/>
            <w:vAlign w:val="center"/>
          </w:tcPr>
          <w:p w14:paraId="0EC443E3">
            <w:pPr>
              <w:pStyle w:val="320"/>
              <w:pageBreakBefore w:val="0"/>
              <w:kinsoku/>
              <w:wordWrap/>
              <w:overflowPunct/>
              <w:topLinePunct w:val="0"/>
              <w:bidi w:val="0"/>
              <w:spacing w:line="240" w:lineRule="auto"/>
              <w:ind w:firstLine="20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r>
      <w:tr w14:paraId="1D61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6" w:type="pct"/>
            <w:gridSpan w:val="2"/>
            <w:vAlign w:val="center"/>
          </w:tcPr>
          <w:p w14:paraId="294A6241">
            <w:pPr>
              <w:pStyle w:val="320"/>
              <w:pageBreakBefore w:val="0"/>
              <w:kinsoku/>
              <w:wordWrap/>
              <w:overflowPunct/>
              <w:topLinePunct w:val="0"/>
              <w:bidi w:val="0"/>
              <w:spacing w:line="240" w:lineRule="auto"/>
              <w:ind w:firstLine="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1783" w:type="pct"/>
            <w:vAlign w:val="center"/>
          </w:tcPr>
          <w:p w14:paraId="355220FD">
            <w:pPr>
              <w:pStyle w:val="320"/>
              <w:pageBreakBefore w:val="0"/>
              <w:kinsoku/>
              <w:wordWrap/>
              <w:overflowPunct/>
              <w:topLinePunct w:val="0"/>
              <w:bidi w:val="0"/>
              <w:spacing w:line="240" w:lineRule="auto"/>
              <w:ind w:firstLine="20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r>
    </w:tbl>
    <w:p w14:paraId="58ED71A0">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bookmarkStart w:id="15" w:name="_Toc26916"/>
      <w:bookmarkStart w:id="16" w:name="_Toc3654"/>
      <w:bookmarkStart w:id="17" w:name="_Toc30158"/>
      <w:bookmarkStart w:id="18" w:name="_Toc30506"/>
      <w:bookmarkStart w:id="19" w:name="_Toc14993"/>
      <w:r>
        <w:rPr>
          <w:rFonts w:hint="eastAsia" w:ascii="仿宋" w:hAnsi="仿宋" w:eastAsia="仿宋" w:cs="仿宋"/>
          <w:bCs/>
          <w:color w:val="auto"/>
          <w:sz w:val="24"/>
          <w:highlight w:val="none"/>
        </w:rPr>
        <w:t>1.3.2单价合同，本合同单价（含税）标准为：</w:t>
      </w:r>
      <w:r>
        <w:rPr>
          <w:rFonts w:hint="eastAsia" w:ascii="仿宋" w:hAnsi="仿宋" w:eastAsia="仿宋" w:cs="仿宋"/>
          <w:bCs/>
          <w:color w:val="auto"/>
          <w:sz w:val="24"/>
          <w:highlight w:val="none"/>
          <w:u w:val="single"/>
        </w:rPr>
        <w:t>130元/人/次</w:t>
      </w:r>
      <w:r>
        <w:rPr>
          <w:rFonts w:hint="eastAsia" w:ascii="仿宋" w:hAnsi="仿宋" w:eastAsia="仿宋" w:cs="仿宋"/>
          <w:color w:val="auto"/>
          <w:sz w:val="24"/>
          <w:highlight w:val="none"/>
        </w:rPr>
        <w:t>。服务工作量的计量方式为：</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。单价合同，在合同履行期间内，根据实际完成的工作量据实结算，但结算总价上限不得超过预算金额或者双方确定的金额￥</w:t>
      </w:r>
      <w:r>
        <w:rPr>
          <w:rFonts w:hint="eastAsia" w:ascii="仿宋" w:hAnsi="仿宋" w:eastAsia="仿宋" w:cs="仿宋"/>
          <w:color w:val="auto"/>
          <w:sz w:val="24"/>
          <w:highlight w:val="none"/>
          <w:u w:val="single"/>
          <w:lang w:val="en-US" w:eastAsia="zh-CN"/>
        </w:rPr>
        <w:t>2310100.00</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贰佰叁拾壹万零壹佰</w:t>
      </w:r>
      <w:r>
        <w:rPr>
          <w:rFonts w:hint="eastAsia" w:ascii="仿宋" w:hAnsi="仿宋" w:eastAsia="仿宋" w:cs="仿宋"/>
          <w:color w:val="auto"/>
          <w:sz w:val="24"/>
          <w:highlight w:val="none"/>
        </w:rPr>
        <w:t>元人民币）。</w:t>
      </w:r>
    </w:p>
    <w:p w14:paraId="2BFFF984">
      <w:pPr>
        <w:pageBreakBefore w:val="0"/>
        <w:kinsoku/>
        <w:wordWrap/>
        <w:overflowPunct/>
        <w:topLinePunct w:val="0"/>
        <w:bidi w:val="0"/>
        <w:spacing w:line="360" w:lineRule="auto"/>
        <w:ind w:firstLine="480" w:firstLineChars="20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1.3.3其他计价方式：</w:t>
      </w:r>
      <w:r>
        <w:rPr>
          <w:rFonts w:hint="eastAsia" w:ascii="仿宋" w:hAnsi="仿宋" w:eastAsia="仿宋" w:cs="仿宋"/>
          <w:b w:val="0"/>
          <w:bCs/>
          <w:color w:val="auto"/>
          <w:kern w:val="2"/>
          <w:sz w:val="24"/>
          <w:szCs w:val="24"/>
          <w:highlight w:val="none"/>
          <w:u w:val="single"/>
          <w:lang w:val="en-US" w:eastAsia="zh-CN" w:bidi="ar-SA"/>
        </w:rPr>
        <w:t xml:space="preserve"> / </w:t>
      </w:r>
      <w:r>
        <w:rPr>
          <w:rFonts w:hint="eastAsia" w:ascii="仿宋" w:hAnsi="仿宋" w:eastAsia="仿宋" w:cs="仿宋"/>
          <w:b w:val="0"/>
          <w:bCs/>
          <w:color w:val="auto"/>
          <w:kern w:val="2"/>
          <w:sz w:val="24"/>
          <w:szCs w:val="24"/>
          <w:highlight w:val="none"/>
          <w:lang w:val="en-US" w:eastAsia="zh-CN" w:bidi="ar-SA"/>
        </w:rPr>
        <w:t>。</w:t>
      </w:r>
    </w:p>
    <w:bookmarkEnd w:id="15"/>
    <w:bookmarkEnd w:id="16"/>
    <w:bookmarkEnd w:id="17"/>
    <w:bookmarkEnd w:id="18"/>
    <w:bookmarkEnd w:id="19"/>
    <w:p w14:paraId="2F5CCC91">
      <w:pPr>
        <w:pStyle w:val="960"/>
        <w:pageBreakBefore w:val="0"/>
        <w:kinsoku/>
        <w:wordWrap/>
        <w:overflowPunct/>
        <w:topLinePunct w:val="0"/>
        <w:bidi w:val="0"/>
        <w:spacing w:before="0" w:beforeAutospacing="0" w:after="0" w:afterAutospacing="0" w:line="360" w:lineRule="auto"/>
        <w:ind w:firstLine="480"/>
        <w:textAlignment w:val="auto"/>
        <w:rPr>
          <w:rFonts w:hint="eastAsia" w:ascii="仿宋" w:hAnsi="仿宋" w:eastAsia="仿宋" w:cs="仿宋"/>
          <w:b/>
          <w:color w:val="auto"/>
          <w:highlight w:val="none"/>
        </w:rPr>
      </w:pPr>
      <w:bookmarkStart w:id="20" w:name="_Toc1814"/>
      <w:bookmarkStart w:id="21" w:name="_Toc10340"/>
      <w:bookmarkStart w:id="22" w:name="_Toc22618"/>
      <w:bookmarkStart w:id="23" w:name="_Toc3625"/>
      <w:bookmarkStart w:id="24" w:name="_Toc11108"/>
      <w:bookmarkStart w:id="25" w:name="_Toc31421"/>
      <w:bookmarkStart w:id="26" w:name="_Toc4760"/>
      <w:bookmarkStart w:id="27" w:name="_Toc8772"/>
      <w:r>
        <w:rPr>
          <w:rFonts w:hint="eastAsia" w:ascii="仿宋" w:hAnsi="仿宋" w:eastAsia="仿宋" w:cs="仿宋"/>
          <w:b/>
          <w:color w:val="auto"/>
          <w:highlight w:val="none"/>
        </w:rPr>
        <w:t>1.4履约保证金</w:t>
      </w:r>
    </w:p>
    <w:p w14:paraId="74D47AFB">
      <w:pPr>
        <w:pStyle w:val="960"/>
        <w:pageBreakBefore w:val="0"/>
        <w:kinsoku/>
        <w:wordWrap/>
        <w:overflowPunct/>
        <w:topLinePunct w:val="0"/>
        <w:bidi w:val="0"/>
        <w:spacing w:before="0" w:beforeAutospacing="0" w:after="0" w:afterAutospacing="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乙方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否</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（是/否）需要支付履约保证金。若需要支付履约保证金的，则：</w:t>
      </w:r>
    </w:p>
    <w:p w14:paraId="24C58F22">
      <w:pPr>
        <w:pageBreakBefore w:val="0"/>
        <w:kinsoku/>
        <w:wordWrap/>
        <w:overflowPunct/>
        <w:topLinePunct w:val="0"/>
        <w:bidi w:val="0"/>
        <w:spacing w:line="360" w:lineRule="auto"/>
        <w:ind w:firstLine="480" w:firstLineChars="200"/>
        <w:textAlignment w:val="auto"/>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1.4.1履约保证金的比例为合同金额的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5DF5F327">
      <w:pPr>
        <w:pageBreakBefore w:val="0"/>
        <w:kinsoku/>
        <w:wordWrap/>
        <w:overflowPunct/>
        <w:topLinePunct w:val="0"/>
        <w:bidi w:val="0"/>
        <w:spacing w:line="360" w:lineRule="auto"/>
        <w:ind w:firstLine="480" w:firstLineChars="200"/>
        <w:textAlignment w:val="auto"/>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1.4.2履约保证金支付方式详见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kern w:val="0"/>
          <w:sz w:val="24"/>
          <w:highlight w:val="none"/>
        </w:rPr>
        <w:t>；</w:t>
      </w:r>
    </w:p>
    <w:p w14:paraId="11554AC7">
      <w:pPr>
        <w:pageBreakBefore w:val="0"/>
        <w:kinsoku/>
        <w:wordWrap/>
        <w:overflowPunct/>
        <w:topLinePunct w:val="0"/>
        <w:bidi w:val="0"/>
        <w:spacing w:line="360" w:lineRule="auto"/>
        <w:ind w:firstLine="480" w:firstLineChars="200"/>
        <w:textAlignment w:val="auto"/>
        <w:outlineLvl w:val="0"/>
        <w:rPr>
          <w:rFonts w:hint="eastAsia" w:ascii="仿宋" w:hAnsi="仿宋" w:eastAsia="仿宋" w:cs="仿宋"/>
          <w:color w:val="auto"/>
          <w:highlight w:val="none"/>
          <w:lang w:val="en-US"/>
        </w:rPr>
      </w:pPr>
      <w:r>
        <w:rPr>
          <w:rFonts w:hint="eastAsia" w:ascii="仿宋" w:hAnsi="仿宋" w:eastAsia="仿宋" w:cs="仿宋"/>
          <w:b w:val="0"/>
          <w:bCs w:val="0"/>
          <w:color w:val="auto"/>
          <w:kern w:val="0"/>
          <w:sz w:val="24"/>
          <w:szCs w:val="24"/>
          <w:highlight w:val="none"/>
          <w:lang w:val="en-US"/>
        </w:rPr>
        <w:t>1.4.3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854E4FE">
      <w:pPr>
        <w:pageBreakBefore w:val="0"/>
        <w:kinsoku/>
        <w:wordWrap/>
        <w:overflowPunct/>
        <w:topLinePunct w:val="0"/>
        <w:bidi w:val="0"/>
        <w:spacing w:line="360" w:lineRule="auto"/>
        <w:ind w:firstLine="480" w:firstLineChars="200"/>
        <w:textAlignment w:val="auto"/>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1.4.4甲方在项目验收结束后及时退还履约保证金。甲方在项目通过验收之日起</w:t>
      </w:r>
      <w:r>
        <w:rPr>
          <w:rFonts w:hint="eastAsia" w:ascii="仿宋" w:hAnsi="仿宋" w:eastAsia="仿宋" w:cs="仿宋"/>
          <w:color w:val="auto"/>
          <w:kern w:val="0"/>
          <w:sz w:val="24"/>
          <w:highlight w:val="none"/>
          <w:u w:val="single"/>
          <w:lang w:val="en-US" w:eastAsia="zh-CN"/>
        </w:rPr>
        <w:t>/</w:t>
      </w:r>
      <w:r>
        <w:rPr>
          <w:rFonts w:hint="eastAsia" w:ascii="仿宋" w:hAnsi="仿宋" w:eastAsia="仿宋" w:cs="仿宋"/>
          <w:color w:val="auto"/>
          <w:kern w:val="0"/>
          <w:sz w:val="24"/>
          <w:highlight w:val="none"/>
        </w:rPr>
        <w:t>个工作日内将履约保证金无息退还乙方，逾期退还的，乙方可要求甲方支付违约金，违约金按每迟延退还一日的应退还而未退还金额的</w:t>
      </w:r>
      <w:r>
        <w:rPr>
          <w:rFonts w:hint="eastAsia" w:ascii="仿宋" w:hAnsi="仿宋" w:eastAsia="仿宋" w:cs="仿宋"/>
          <w:color w:val="auto"/>
          <w:kern w:val="0"/>
          <w:sz w:val="24"/>
          <w:highlight w:val="none"/>
          <w:u w:val="single"/>
        </w:rPr>
        <w:t>0.05</w:t>
      </w:r>
      <w:r>
        <w:rPr>
          <w:rFonts w:hint="eastAsia" w:ascii="仿宋" w:hAnsi="仿宋" w:eastAsia="仿宋" w:cs="仿宋"/>
          <w:color w:val="auto"/>
          <w:kern w:val="0"/>
          <w:sz w:val="24"/>
          <w:highlight w:val="none"/>
        </w:rPr>
        <w:t>%计算，最高限额为本合同履约保证金的</w:t>
      </w:r>
      <w:r>
        <w:rPr>
          <w:rFonts w:hint="eastAsia" w:ascii="仿宋" w:hAnsi="仿宋" w:eastAsia="仿宋" w:cs="仿宋"/>
          <w:color w:val="auto"/>
          <w:kern w:val="0"/>
          <w:sz w:val="24"/>
          <w:highlight w:val="none"/>
          <w:u w:val="single"/>
        </w:rPr>
        <w:t>20</w:t>
      </w:r>
      <w:r>
        <w:rPr>
          <w:rFonts w:hint="eastAsia" w:ascii="仿宋" w:hAnsi="仿宋" w:eastAsia="仿宋" w:cs="仿宋"/>
          <w:color w:val="auto"/>
          <w:kern w:val="0"/>
          <w:sz w:val="24"/>
          <w:highlight w:val="none"/>
        </w:rPr>
        <w:t>%。</w:t>
      </w:r>
    </w:p>
    <w:p w14:paraId="472C46FA">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w:t>
      </w:r>
      <w:bookmarkEnd w:id="20"/>
      <w:bookmarkEnd w:id="21"/>
      <w:bookmarkEnd w:id="22"/>
      <w:r>
        <w:rPr>
          <w:rFonts w:hint="eastAsia" w:ascii="仿宋" w:hAnsi="仿宋" w:eastAsia="仿宋" w:cs="仿宋"/>
          <w:b/>
          <w:color w:val="auto"/>
          <w:sz w:val="24"/>
          <w:highlight w:val="none"/>
        </w:rPr>
        <w:t>预付款</w:t>
      </w:r>
    </w:p>
    <w:p w14:paraId="7C829B0B">
      <w:pPr>
        <w:pStyle w:val="960"/>
        <w:pageBreakBefore w:val="0"/>
        <w:kinsoku/>
        <w:wordWrap/>
        <w:overflowPunct/>
        <w:topLinePunct w:val="0"/>
        <w:bidi w:val="0"/>
        <w:spacing w:before="0" w:beforeAutospacing="0" w:after="0" w:afterAutospacing="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甲方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（是/否）需要支付预付款。若需要支付预付款的，则：</w:t>
      </w:r>
    </w:p>
    <w:p w14:paraId="318FD5B1">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1.5.1预付款比例、支付方式、时间详见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kern w:val="0"/>
          <w:sz w:val="24"/>
          <w:highlight w:val="none"/>
        </w:rPr>
        <w:t>；</w:t>
      </w:r>
    </w:p>
    <w:p w14:paraId="71C02789">
      <w:pPr>
        <w:pStyle w:val="960"/>
        <w:pageBreakBefore w:val="0"/>
        <w:kinsoku/>
        <w:wordWrap/>
        <w:overflowPunct/>
        <w:topLinePunct w:val="0"/>
        <w:bidi w:val="0"/>
        <w:spacing w:before="0" w:beforeAutospacing="0" w:after="0" w:afterAutospacing="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1.5.2预付款的扣回方式详见</w:t>
      </w:r>
      <w:r>
        <w:rPr>
          <w:rFonts w:hint="eastAsia" w:ascii="仿宋" w:hAnsi="仿宋" w:eastAsia="仿宋" w:cs="仿宋"/>
          <w:b/>
          <w:i/>
          <w:color w:val="auto"/>
          <w:highlight w:val="none"/>
          <w:u w:val="single"/>
        </w:rPr>
        <w:t>合同专用条款</w:t>
      </w:r>
      <w:r>
        <w:rPr>
          <w:rFonts w:hint="eastAsia" w:ascii="仿宋" w:hAnsi="仿宋" w:eastAsia="仿宋" w:cs="仿宋"/>
          <w:color w:val="auto"/>
          <w:highlight w:val="none"/>
        </w:rPr>
        <w:t>；</w:t>
      </w:r>
    </w:p>
    <w:p w14:paraId="79C41B41">
      <w:pPr>
        <w:pStyle w:val="960"/>
        <w:pageBreakBefore w:val="0"/>
        <w:kinsoku/>
        <w:wordWrap/>
        <w:overflowPunct/>
        <w:topLinePunct w:val="0"/>
        <w:bidi w:val="0"/>
        <w:spacing w:before="0" w:beforeAutospacing="0" w:after="0" w:afterAutospacing="0" w:line="360" w:lineRule="auto"/>
        <w:ind w:firstLine="480"/>
        <w:textAlignment w:val="auto"/>
        <w:rPr>
          <w:rFonts w:hint="eastAsia" w:ascii="仿宋" w:hAnsi="仿宋" w:eastAsia="仿宋" w:cs="仿宋"/>
          <w:color w:val="auto"/>
          <w:highlight w:val="none"/>
          <w:u w:val="single"/>
        </w:rPr>
      </w:pPr>
      <w:r>
        <w:rPr>
          <w:rFonts w:hint="eastAsia" w:ascii="仿宋" w:hAnsi="仿宋" w:eastAsia="仿宋" w:cs="仿宋"/>
          <w:color w:val="auto"/>
          <w:highlight w:val="none"/>
        </w:rPr>
        <w:t>1.5.3预付款的担保措施详见</w:t>
      </w:r>
      <w:r>
        <w:rPr>
          <w:rFonts w:hint="eastAsia" w:ascii="仿宋" w:hAnsi="仿宋" w:eastAsia="仿宋" w:cs="仿宋"/>
          <w:b/>
          <w:i/>
          <w:color w:val="auto"/>
          <w:highlight w:val="none"/>
          <w:u w:val="single"/>
        </w:rPr>
        <w:t>合同专用条款</w:t>
      </w:r>
      <w:r>
        <w:rPr>
          <w:rFonts w:hint="eastAsia" w:ascii="仿宋" w:hAnsi="仿宋" w:eastAsia="仿宋" w:cs="仿宋"/>
          <w:color w:val="auto"/>
          <w:highlight w:val="none"/>
        </w:rPr>
        <w:t>。</w:t>
      </w:r>
    </w:p>
    <w:p w14:paraId="0918A3AE">
      <w:pPr>
        <w:pStyle w:val="960"/>
        <w:pageBreakBefore w:val="0"/>
        <w:kinsoku/>
        <w:wordWrap/>
        <w:overflowPunct/>
        <w:topLinePunct w:val="0"/>
        <w:bidi w:val="0"/>
        <w:spacing w:before="0" w:beforeAutospacing="0" w:after="0" w:afterAutospacing="0" w:line="360" w:lineRule="auto"/>
        <w:ind w:firstLine="48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1.6资金支付</w:t>
      </w:r>
    </w:p>
    <w:p w14:paraId="48C046E0">
      <w:pPr>
        <w:pStyle w:val="960"/>
        <w:pageBreakBefore w:val="0"/>
        <w:kinsoku/>
        <w:wordWrap/>
        <w:overflowPunct/>
        <w:topLinePunct w:val="0"/>
        <w:bidi w:val="0"/>
        <w:spacing w:before="0" w:beforeAutospacing="0" w:after="0" w:afterAutospacing="0"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56B459AA">
      <w:pPr>
        <w:pageBreakBefore w:val="0"/>
        <w:kinsoku/>
        <w:wordWrap/>
        <w:overflowPunct/>
        <w:topLinePunct w:val="0"/>
        <w:bidi w:val="0"/>
        <w:spacing w:line="360" w:lineRule="auto"/>
        <w:ind w:firstLine="480" w:firstLineChars="200"/>
        <w:textAlignment w:val="auto"/>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1.6.2资金支付的方式、时间和条件详见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4FB13205">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1.7履行期限、地点和方式</w:t>
      </w:r>
      <w:bookmarkEnd w:id="23"/>
      <w:bookmarkEnd w:id="24"/>
      <w:bookmarkEnd w:id="25"/>
      <w:bookmarkEnd w:id="26"/>
      <w:bookmarkEnd w:id="27"/>
    </w:p>
    <w:p w14:paraId="15F44DB1">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1.7.1服务交付（实施）的时间（期限）：</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70ECC6B7">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1.7.2服务交付（实施）的地点（地域范围）：</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355123E6">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1.7.3服务交付（实施）的方式：</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47271F2">
      <w:pPr>
        <w:pageBreakBefore w:val="0"/>
        <w:kinsoku/>
        <w:wordWrap/>
        <w:overflowPunct/>
        <w:topLinePunct w:val="0"/>
        <w:bidi w:val="0"/>
        <w:spacing w:line="360" w:lineRule="auto"/>
        <w:ind w:firstLine="480" w:firstLineChars="200"/>
        <w:textAlignment w:val="auto"/>
        <w:outlineLvl w:val="0"/>
        <w:rPr>
          <w:rFonts w:hint="eastAsia" w:ascii="仿宋" w:hAnsi="仿宋" w:eastAsia="仿宋" w:cs="仿宋"/>
          <w:bCs/>
          <w:color w:val="auto"/>
          <w:sz w:val="24"/>
          <w:highlight w:val="none"/>
        </w:rPr>
      </w:pPr>
      <w:bookmarkStart w:id="28" w:name="_Toc24662"/>
      <w:bookmarkStart w:id="29" w:name="_Toc3079"/>
      <w:bookmarkStart w:id="30" w:name="_Toc2375"/>
      <w:bookmarkStart w:id="31" w:name="_Toc5698"/>
      <w:bookmarkStart w:id="32" w:name="_Toc8586"/>
      <w:r>
        <w:rPr>
          <w:rFonts w:hint="eastAsia" w:ascii="仿宋" w:hAnsi="仿宋" w:eastAsia="仿宋" w:cs="仿宋"/>
          <w:bCs/>
          <w:color w:val="auto"/>
          <w:sz w:val="24"/>
          <w:highlight w:val="none"/>
        </w:rPr>
        <w:t>1.7.4若服务涉及货物的，则货物的：</w:t>
      </w:r>
    </w:p>
    <w:p w14:paraId="44E129F3">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1.7.4.1交付期限：详见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04B40865">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1.7.4.2交付地点：</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1ECE1631">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1.7.4.3交付方式：</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2C42C51F">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color w:val="auto"/>
          <w:sz w:val="24"/>
          <w:highlight w:val="none"/>
          <w:u w:val="single"/>
        </w:rPr>
      </w:pPr>
      <w:r>
        <w:rPr>
          <w:rFonts w:hint="eastAsia" w:ascii="仿宋" w:hAnsi="仿宋" w:eastAsia="仿宋" w:cs="仿宋"/>
          <w:b/>
          <w:color w:val="auto"/>
          <w:sz w:val="24"/>
          <w:highlight w:val="none"/>
        </w:rPr>
        <w:t>1.8违约责任</w:t>
      </w:r>
      <w:bookmarkEnd w:id="28"/>
      <w:bookmarkEnd w:id="29"/>
      <w:bookmarkEnd w:id="30"/>
      <w:bookmarkEnd w:id="31"/>
      <w:bookmarkEnd w:id="32"/>
    </w:p>
    <w:p w14:paraId="4A28CD6B">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1.8.1除不可抗力外，如果乙方没有按照本合同约定的期限、地点和方式交付服务成果或者实施服务，那么甲方可要求乙方支付违约金，迟延履行违约金按每迟延履行一日的应提供而未提供服务价格的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仿宋" w:hAnsi="仿宋" w:eastAsia="仿宋" w:cs="仿宋"/>
          <w:color w:val="auto"/>
          <w:sz w:val="24"/>
          <w:highlight w:val="none"/>
          <w:u w:val="single"/>
        </w:rPr>
        <w:t>0.05</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20</w:t>
      </w:r>
      <w:r>
        <w:rPr>
          <w:rFonts w:hint="eastAsia" w:ascii="仿宋" w:hAnsi="仿宋" w:eastAsia="仿宋" w:cs="仿宋"/>
          <w:color w:val="auto"/>
          <w:sz w:val="24"/>
          <w:highlight w:val="none"/>
        </w:rPr>
        <w:t>%；迟延履行的违约金计算数额达到前述最高限额之日起，甲方有权在要求乙方支付违约金的同时，书面通知乙方解除本合同；</w:t>
      </w:r>
    </w:p>
    <w:p w14:paraId="31284810">
      <w:pPr>
        <w:pageBreakBefore w:val="0"/>
        <w:kinsoku/>
        <w:wordWrap/>
        <w:overflowPunct/>
        <w:topLinePunct w:val="0"/>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color w:val="auto"/>
          <w:sz w:val="24"/>
          <w:highlight w:val="none"/>
          <w:u w:val="single"/>
        </w:rPr>
        <w:t>0.05</w:t>
      </w:r>
      <w:r>
        <w:rPr>
          <w:rFonts w:hint="eastAsia" w:ascii="仿宋" w:hAnsi="仿宋" w:eastAsia="仿宋" w:cs="仿宋"/>
          <w:b w:val="0"/>
          <w:bCs w:val="0"/>
          <w:color w:val="auto"/>
          <w:sz w:val="24"/>
          <w:szCs w:val="24"/>
          <w:highlight w:val="none"/>
          <w:lang w:val="en-US"/>
        </w:rPr>
        <w:t>%计算，最高限额为本合同总价的</w:t>
      </w:r>
      <w:r>
        <w:rPr>
          <w:rFonts w:hint="eastAsia" w:ascii="仿宋" w:hAnsi="仿宋" w:eastAsia="仿宋" w:cs="仿宋"/>
          <w:b w:val="0"/>
          <w:bCs w:val="0"/>
          <w:color w:val="auto"/>
          <w:sz w:val="24"/>
          <w:szCs w:val="24"/>
          <w:highlight w:val="none"/>
          <w:u w:val="single"/>
          <w:lang w:val="en-US"/>
        </w:rPr>
        <w:t>20</w:t>
      </w:r>
      <w:r>
        <w:rPr>
          <w:rFonts w:hint="eastAsia" w:ascii="仿宋" w:hAnsi="仿宋" w:eastAsia="仿宋" w:cs="仿宋"/>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04514514">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1.8.3除不可抗力外，如果甲方没有按照本合同约定的付款方式付款，那么乙方可要求甲方支付违约金，违约金按每迟延付款一日的应付而未付款的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highlight w:val="none"/>
          <w:u w:val="single"/>
        </w:rPr>
        <w:t>0.05</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20</w:t>
      </w:r>
      <w:r>
        <w:rPr>
          <w:rFonts w:hint="eastAsia" w:ascii="仿宋" w:hAnsi="仿宋" w:eastAsia="仿宋" w:cs="仿宋"/>
          <w:color w:val="auto"/>
          <w:sz w:val="24"/>
          <w:highlight w:val="none"/>
        </w:rPr>
        <w:t>%；迟延付款的违约金计算数额达到前述最高限额之日起，乙方有权在要求甲方支付违约金的同时，书面通知甲方解除本合同；</w:t>
      </w:r>
    </w:p>
    <w:p w14:paraId="767F4200">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bookmarkStart w:id="33" w:name="_Toc18683"/>
      <w:bookmarkStart w:id="34" w:name="_Toc32454"/>
      <w:bookmarkStart w:id="35" w:name="_Toc26807"/>
      <w:bookmarkStart w:id="36" w:name="_Toc30329"/>
      <w:bookmarkStart w:id="37" w:name="_Toc9497"/>
      <w:r>
        <w:rPr>
          <w:rFonts w:hint="eastAsia" w:ascii="仿宋" w:hAnsi="仿宋" w:eastAsia="仿宋" w:cs="仿宋"/>
          <w:color w:val="auto"/>
          <w:sz w:val="24"/>
          <w:highlight w:val="none"/>
        </w:rPr>
        <w:t>1.8.4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448717C">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3BBEC29">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12EBBB79">
      <w:pPr>
        <w:pageBreakBefore w:val="0"/>
        <w:kinsoku/>
        <w:wordWrap/>
        <w:overflowPunct/>
        <w:topLinePunct w:val="0"/>
        <w:bidi w:val="0"/>
        <w:spacing w:line="360" w:lineRule="auto"/>
        <w:ind w:right="-420" w:rightChars="-20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rPr>
        <w:t>1.8.7违约责任</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另有约定的，从其约定。</w:t>
      </w:r>
    </w:p>
    <w:bookmarkEnd w:id="33"/>
    <w:bookmarkEnd w:id="34"/>
    <w:bookmarkEnd w:id="35"/>
    <w:bookmarkEnd w:id="36"/>
    <w:bookmarkEnd w:id="37"/>
    <w:p w14:paraId="1A3040A7">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highlight w:val="none"/>
        </w:rPr>
      </w:pPr>
      <w:bookmarkStart w:id="38" w:name="_Toc15583"/>
      <w:bookmarkStart w:id="39" w:name="_Toc16021"/>
      <w:bookmarkStart w:id="40" w:name="_Toc28375"/>
      <w:r>
        <w:rPr>
          <w:rFonts w:hint="eastAsia" w:ascii="仿宋" w:hAnsi="仿宋" w:eastAsia="仿宋" w:cs="仿宋"/>
          <w:b/>
          <w:color w:val="auto"/>
          <w:sz w:val="24"/>
          <w:highlight w:val="none"/>
        </w:rPr>
        <w:t>1.9合同争议的解决</w:t>
      </w:r>
      <w:bookmarkEnd w:id="38"/>
      <w:bookmarkEnd w:id="39"/>
      <w:bookmarkEnd w:id="40"/>
    </w:p>
    <w:p w14:paraId="183DFEDC">
      <w:pPr>
        <w:pageBreakBefore w:val="0"/>
        <w:kinsoku/>
        <w:wordWrap/>
        <w:overflowPunct/>
        <w:topLinePunct w:val="0"/>
        <w:bidi w:val="0"/>
        <w:spacing w:line="360" w:lineRule="auto"/>
        <w:ind w:left="-59" w:leftChars="-28" w:right="-420" w:righ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本合同履行过程中发生的任何争议，双方当事人均可通过和解或者调解解决；不愿和解、调解或者和解、调解不成的，可以选择以下第</w:t>
      </w:r>
      <w:r>
        <w:rPr>
          <w:rFonts w:hint="eastAsia" w:ascii="仿宋" w:hAnsi="仿宋" w:eastAsia="仿宋" w:cs="仿宋"/>
          <w:b/>
          <w:i/>
          <w:color w:val="auto"/>
          <w:sz w:val="24"/>
          <w:highlight w:val="none"/>
          <w:u w:val="single"/>
          <w:lang w:val="en-US" w:eastAsia="zh-CN"/>
        </w:rPr>
        <w:t>1.9.2</w:t>
      </w:r>
      <w:r>
        <w:rPr>
          <w:rFonts w:hint="eastAsia" w:ascii="仿宋" w:hAnsi="仿宋" w:eastAsia="仿宋" w:cs="仿宋"/>
          <w:color w:val="auto"/>
          <w:sz w:val="24"/>
          <w:highlight w:val="none"/>
        </w:rPr>
        <w:t>条款规定的方式解决：</w:t>
      </w:r>
    </w:p>
    <w:p w14:paraId="145D6BA8">
      <w:pPr>
        <w:pageBreakBefore w:val="0"/>
        <w:kinsoku/>
        <w:wordWrap/>
        <w:overflowPunct/>
        <w:topLinePunct w:val="0"/>
        <w:bidi w:val="0"/>
        <w:spacing w:line="360" w:lineRule="auto"/>
        <w:ind w:left="-420" w:leftChars="-200" w:right="-420" w:rightChars="-200" w:firstLine="600" w:firstLineChars="2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1.9.1将争议提交</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仲裁委员会依申请仲裁时其现行有效的仲裁规则裁决；</w:t>
      </w:r>
    </w:p>
    <w:p w14:paraId="27B8F93F">
      <w:pPr>
        <w:pageBreakBefore w:val="0"/>
        <w:kinsoku/>
        <w:wordWrap/>
        <w:overflowPunct/>
        <w:topLinePunct w:val="0"/>
        <w:bidi w:val="0"/>
        <w:spacing w:line="360" w:lineRule="auto"/>
        <w:ind w:left="-420" w:leftChars="-200" w:right="-420" w:rightChars="-200" w:firstLine="600" w:firstLineChars="2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1.9.2向</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人民法院起诉。</w:t>
      </w:r>
    </w:p>
    <w:p w14:paraId="08261CC6">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highlight w:val="none"/>
        </w:rPr>
      </w:pPr>
      <w:bookmarkStart w:id="41" w:name="_Toc11173"/>
      <w:bookmarkStart w:id="42" w:name="_Toc7245"/>
      <w:bookmarkStart w:id="43" w:name="_Toc15322"/>
      <w:r>
        <w:rPr>
          <w:rFonts w:hint="eastAsia" w:ascii="仿宋" w:hAnsi="仿宋" w:eastAsia="仿宋" w:cs="仿宋"/>
          <w:b/>
          <w:color w:val="auto"/>
          <w:sz w:val="24"/>
          <w:highlight w:val="none"/>
        </w:rPr>
        <w:t>2.0合同生效</w:t>
      </w:r>
      <w:bookmarkEnd w:id="41"/>
      <w:bookmarkEnd w:id="42"/>
      <w:bookmarkEnd w:id="43"/>
    </w:p>
    <w:p w14:paraId="22857822">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本合同自双方当事人盖章签字时生效。</w:t>
      </w:r>
    </w:p>
    <w:p w14:paraId="11A8BEBE">
      <w:pPr>
        <w:pageBreakBefore w:val="0"/>
        <w:kinsoku/>
        <w:wordWrap/>
        <w:overflowPunct/>
        <w:topLinePunct w:val="0"/>
        <w:autoSpaceDE w:val="0"/>
        <w:autoSpaceDN w:val="0"/>
        <w:bidi w:val="0"/>
        <w:spacing w:line="360" w:lineRule="auto"/>
        <w:textAlignment w:val="auto"/>
        <w:rPr>
          <w:rFonts w:hint="eastAsia" w:ascii="仿宋" w:hAnsi="仿宋" w:eastAsia="仿宋" w:cs="仿宋"/>
          <w:color w:val="auto"/>
          <w:sz w:val="24"/>
          <w:highlight w:val="none"/>
          <w:lang w:val="zh-CN"/>
        </w:rPr>
      </w:pPr>
      <w:r>
        <w:rPr>
          <w:rFonts w:hint="eastAsia" w:ascii="仿宋" w:hAnsi="仿宋" w:eastAsia="仿宋" w:cs="仿宋"/>
          <w:b/>
          <w:color w:val="auto"/>
          <w:sz w:val="24"/>
          <w:highlight w:val="none"/>
          <w:lang w:val="zh-CN"/>
        </w:rPr>
        <w:t>甲方</w:t>
      </w:r>
      <w:r>
        <w:rPr>
          <w:rFonts w:hint="eastAsia" w:ascii="仿宋" w:hAnsi="仿宋" w:eastAsia="仿宋" w:cs="仿宋"/>
          <w:color w:val="auto"/>
          <w:sz w:val="24"/>
          <w:highlight w:val="none"/>
          <w:lang w:val="zh-CN"/>
        </w:rPr>
        <w:t xml:space="preserve">：                             </w:t>
      </w:r>
      <w:r>
        <w:rPr>
          <w:rFonts w:hint="eastAsia" w:ascii="仿宋" w:hAnsi="仿宋" w:eastAsia="仿宋" w:cs="仿宋"/>
          <w:b/>
          <w:color w:val="auto"/>
          <w:sz w:val="24"/>
          <w:highlight w:val="none"/>
          <w:lang w:val="zh-CN"/>
        </w:rPr>
        <w:t xml:space="preserve">      乙方</w:t>
      </w:r>
      <w:r>
        <w:rPr>
          <w:rFonts w:hint="eastAsia" w:ascii="仿宋" w:hAnsi="仿宋" w:eastAsia="仿宋" w:cs="仿宋"/>
          <w:color w:val="auto"/>
          <w:sz w:val="24"/>
          <w:highlight w:val="none"/>
          <w:lang w:val="zh-CN"/>
        </w:rPr>
        <w:t>：</w:t>
      </w:r>
    </w:p>
    <w:p w14:paraId="70145408">
      <w:pPr>
        <w:pageBreakBefore w:val="0"/>
        <w:kinsoku/>
        <w:wordWrap/>
        <w:overflowPunct/>
        <w:topLinePunct w:val="0"/>
        <w:autoSpaceDE w:val="0"/>
        <w:autoSpaceDN w:val="0"/>
        <w:bidi w:val="0"/>
        <w:spacing w:line="360" w:lineRule="auto"/>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                        统一社会信用代码或身份证号码：</w:t>
      </w:r>
    </w:p>
    <w:p w14:paraId="69A42A08">
      <w:pPr>
        <w:pageBreakBefore w:val="0"/>
        <w:kinsoku/>
        <w:wordWrap/>
        <w:overflowPunct/>
        <w:topLinePunct w:val="0"/>
        <w:autoSpaceDE w:val="0"/>
        <w:autoSpaceDN w:val="0"/>
        <w:bidi w:val="0"/>
        <w:spacing w:line="360" w:lineRule="auto"/>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                                   住所：</w:t>
      </w:r>
    </w:p>
    <w:p w14:paraId="021C1AFC">
      <w:pPr>
        <w:pageBreakBefore w:val="0"/>
        <w:kinsoku/>
        <w:wordWrap/>
        <w:overflowPunct/>
        <w:topLinePunct w:val="0"/>
        <w:autoSpaceDE w:val="0"/>
        <w:autoSpaceDN w:val="0"/>
        <w:bidi w:val="0"/>
        <w:spacing w:line="360" w:lineRule="auto"/>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                             法定代表人或</w:t>
      </w:r>
    </w:p>
    <w:p w14:paraId="0232A8AE">
      <w:pPr>
        <w:pageBreakBefore w:val="0"/>
        <w:kinsoku/>
        <w:wordWrap/>
        <w:overflowPunct/>
        <w:topLinePunct w:val="0"/>
        <w:autoSpaceDE w:val="0"/>
        <w:autoSpaceDN w:val="0"/>
        <w:bidi w:val="0"/>
        <w:spacing w:line="360" w:lineRule="auto"/>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授权代表（签字）：                       授权代表（签字）： </w:t>
      </w:r>
    </w:p>
    <w:p w14:paraId="0A6DB5E4">
      <w:pPr>
        <w:pageBreakBefore w:val="0"/>
        <w:kinsoku/>
        <w:wordWrap/>
        <w:overflowPunct/>
        <w:topLinePunct w:val="0"/>
        <w:autoSpaceDE w:val="0"/>
        <w:autoSpaceDN w:val="0"/>
        <w:bidi w:val="0"/>
        <w:spacing w:line="360" w:lineRule="auto"/>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                                 联系人：</w:t>
      </w:r>
    </w:p>
    <w:p w14:paraId="10BC833B">
      <w:pPr>
        <w:pageBreakBefore w:val="0"/>
        <w:kinsoku/>
        <w:wordWrap/>
        <w:overflowPunct/>
        <w:topLinePunct w:val="0"/>
        <w:autoSpaceDE w:val="0"/>
        <w:autoSpaceDN w:val="0"/>
        <w:bidi w:val="0"/>
        <w:spacing w:line="360" w:lineRule="auto"/>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                           约定送达地址：</w:t>
      </w:r>
    </w:p>
    <w:p w14:paraId="5C9C0BAC">
      <w:pPr>
        <w:pageBreakBefore w:val="0"/>
        <w:kinsoku/>
        <w:wordWrap/>
        <w:overflowPunct/>
        <w:topLinePunct w:val="0"/>
        <w:autoSpaceDE w:val="0"/>
        <w:autoSpaceDN w:val="0"/>
        <w:bidi w:val="0"/>
        <w:spacing w:line="360" w:lineRule="auto"/>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                               邮政编码：</w:t>
      </w:r>
    </w:p>
    <w:p w14:paraId="6A8E6688">
      <w:pPr>
        <w:pageBreakBefore w:val="0"/>
        <w:kinsoku/>
        <w:wordWrap/>
        <w:overflowPunct/>
        <w:topLinePunct w:val="0"/>
        <w:autoSpaceDE w:val="0"/>
        <w:autoSpaceDN w:val="0"/>
        <w:bidi w:val="0"/>
        <w:spacing w:line="360" w:lineRule="auto"/>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电话：                                    电话：</w:t>
      </w:r>
    </w:p>
    <w:p w14:paraId="141DE9BA">
      <w:pPr>
        <w:pageBreakBefore w:val="0"/>
        <w:kinsoku/>
        <w:wordWrap/>
        <w:overflowPunct/>
        <w:topLinePunct w:val="0"/>
        <w:autoSpaceDE w:val="0"/>
        <w:autoSpaceDN w:val="0"/>
        <w:bidi w:val="0"/>
        <w:spacing w:line="360" w:lineRule="auto"/>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                                    传真：</w:t>
      </w:r>
    </w:p>
    <w:p w14:paraId="009B1849">
      <w:pPr>
        <w:pageBreakBefore w:val="0"/>
        <w:kinsoku/>
        <w:wordWrap/>
        <w:overflowPunct/>
        <w:topLinePunct w:val="0"/>
        <w:autoSpaceDE w:val="0"/>
        <w:autoSpaceDN w:val="0"/>
        <w:bidi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电子邮箱：                               电子邮箱：</w:t>
      </w:r>
    </w:p>
    <w:p w14:paraId="5E6BB4B7">
      <w:pPr>
        <w:pageBreakBefore w:val="0"/>
        <w:kinsoku/>
        <w:wordWrap/>
        <w:overflowPunct/>
        <w:topLinePunct w:val="0"/>
        <w:autoSpaceDE w:val="0"/>
        <w:autoSpaceDN w:val="0"/>
        <w:bidi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                               开户银行：</w:t>
      </w:r>
    </w:p>
    <w:p w14:paraId="6CA46E1C">
      <w:pPr>
        <w:pageBreakBefore w:val="0"/>
        <w:kinsoku/>
        <w:wordWrap/>
        <w:overflowPunct/>
        <w:topLinePunct w:val="0"/>
        <w:autoSpaceDE w:val="0"/>
        <w:autoSpaceDN w:val="0"/>
        <w:bidi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开户名称：                               开户名称：</w:t>
      </w:r>
    </w:p>
    <w:p w14:paraId="7FB1AA88">
      <w:pPr>
        <w:pageBreakBefore w:val="0"/>
        <w:kinsoku/>
        <w:wordWrap/>
        <w:overflowPunct/>
        <w:topLinePunct w:val="0"/>
        <w:autoSpaceDE w:val="0"/>
        <w:autoSpaceDN w:val="0"/>
        <w:bidi w:val="0"/>
        <w:spacing w:line="360" w:lineRule="auto"/>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开户账号：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开户账号：</w:t>
      </w:r>
      <w:r>
        <w:rPr>
          <w:rFonts w:hint="eastAsia" w:ascii="仿宋" w:hAnsi="仿宋" w:eastAsia="仿宋" w:cs="仿宋"/>
          <w:b/>
          <w:color w:val="auto"/>
          <w:highlight w:val="none"/>
        </w:rPr>
        <w:br w:type="page"/>
      </w:r>
    </w:p>
    <w:p w14:paraId="33CF01CB">
      <w:pPr>
        <w:pStyle w:val="702"/>
        <w:pageBreakBefore w:val="0"/>
        <w:kinsoku/>
        <w:wordWrap/>
        <w:overflowPunct/>
        <w:topLinePunct w:val="0"/>
        <w:bidi w:val="0"/>
        <w:spacing w:after="0" w:afterAutospacing="0" w:line="360" w:lineRule="auto"/>
        <w:ind w:left="422" w:leftChars="0" w:hanging="422" w:hangingChars="175"/>
        <w:jc w:val="center"/>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第二部分 合同一般条款</w:t>
      </w:r>
    </w:p>
    <w:p w14:paraId="76C82517">
      <w:pPr>
        <w:pageBreakBefore w:val="0"/>
        <w:kinsoku/>
        <w:wordWrap/>
        <w:overflowPunct/>
        <w:topLinePunct w:val="0"/>
        <w:bidi w:val="0"/>
        <w:spacing w:beforeAutospacing="0" w:line="360" w:lineRule="auto"/>
        <w:ind w:firstLine="482" w:firstLineChars="200"/>
        <w:textAlignment w:val="auto"/>
        <w:outlineLvl w:val="0"/>
        <w:rPr>
          <w:rFonts w:hint="eastAsia" w:ascii="仿宋" w:hAnsi="仿宋" w:eastAsia="仿宋" w:cs="仿宋"/>
          <w:b/>
          <w:color w:val="auto"/>
          <w:sz w:val="24"/>
          <w:highlight w:val="none"/>
        </w:rPr>
      </w:pPr>
      <w:bookmarkStart w:id="44" w:name="_Toc14021"/>
      <w:bookmarkStart w:id="45" w:name="_Toc25079"/>
      <w:bookmarkStart w:id="46" w:name="_Toc5228"/>
      <w:bookmarkStart w:id="47" w:name="_Toc31297"/>
      <w:bookmarkStart w:id="48" w:name="_Toc19680"/>
      <w:r>
        <w:rPr>
          <w:rFonts w:hint="eastAsia" w:ascii="仿宋" w:hAnsi="仿宋" w:eastAsia="仿宋" w:cs="仿宋"/>
          <w:b/>
          <w:color w:val="auto"/>
          <w:sz w:val="24"/>
          <w:highlight w:val="none"/>
        </w:rPr>
        <w:t>2.1定义</w:t>
      </w:r>
      <w:bookmarkEnd w:id="44"/>
      <w:bookmarkEnd w:id="45"/>
      <w:bookmarkEnd w:id="46"/>
      <w:bookmarkEnd w:id="47"/>
      <w:bookmarkEnd w:id="48"/>
    </w:p>
    <w:p w14:paraId="5A12A242">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111B7728">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2.1.1 “合同”系指采购人和中标或成交供应商签订的载明双方当事人所达成的协议，并包括所有的附件、附录和构成合同的其他文件。</w:t>
      </w:r>
    </w:p>
    <w:p w14:paraId="19BB149F">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2.1.2 “合同价”系指根据合同约定，中标或成交供应商在完全履行合同义务后，采购人应支付给中标或成交供应商的价格。</w:t>
      </w:r>
    </w:p>
    <w:p w14:paraId="341A3134">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2.1.3 “服务”系指中标或成交供应商根据合同约定应向采购人履行的除货物和工程以外的其他政府采购对象，包括采购人自身需要的服务和向社会公众提供的公共服务。</w:t>
      </w:r>
    </w:p>
    <w:p w14:paraId="46FAA11A">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2.1.4 “甲方”系指与中标或成交供应商签署合同的采购人；采购人委托采购代理机构代表其与乙方签订合同的，采购人的授权委托书作为合同附件。</w:t>
      </w:r>
    </w:p>
    <w:p w14:paraId="63F3154D">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426D2C4">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2.1.6 “现场”系指合同约定提供服务的地点。</w:t>
      </w:r>
    </w:p>
    <w:p w14:paraId="6B5A301E">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highlight w:val="none"/>
        </w:rPr>
      </w:pPr>
      <w:bookmarkStart w:id="49" w:name="_Toc31402"/>
      <w:bookmarkStart w:id="50" w:name="_Toc3769"/>
      <w:bookmarkStart w:id="51" w:name="_Toc23289"/>
      <w:bookmarkStart w:id="52" w:name="_Toc16752"/>
      <w:bookmarkStart w:id="53" w:name="_Toc19539"/>
      <w:r>
        <w:rPr>
          <w:rFonts w:hint="eastAsia" w:ascii="仿宋" w:hAnsi="仿宋" w:eastAsia="仿宋" w:cs="仿宋"/>
          <w:b/>
          <w:color w:val="auto"/>
          <w:sz w:val="24"/>
          <w:highlight w:val="none"/>
        </w:rPr>
        <w:t>2.2 技术规范</w:t>
      </w:r>
      <w:bookmarkEnd w:id="49"/>
      <w:bookmarkEnd w:id="50"/>
      <w:bookmarkEnd w:id="51"/>
      <w:bookmarkEnd w:id="52"/>
      <w:bookmarkEnd w:id="53"/>
    </w:p>
    <w:p w14:paraId="66041616">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服务所应遵守的技术规范应与采购文件规定的技术规范和技术规范附件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如果有的话</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及其技术规范偏差表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如果被甲方接受的话</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相一致；如果采购文件中没有技术规范的相应说明，那么应以国家有关部门最新颁布的相应标准和规范为准。</w:t>
      </w:r>
    </w:p>
    <w:p w14:paraId="71F7C15A">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highlight w:val="none"/>
        </w:rPr>
      </w:pPr>
      <w:bookmarkStart w:id="54" w:name="_Toc13673"/>
      <w:bookmarkStart w:id="55" w:name="_Toc9161"/>
      <w:bookmarkStart w:id="56" w:name="_Toc12412"/>
      <w:bookmarkStart w:id="57" w:name="_Toc27945"/>
      <w:bookmarkStart w:id="58" w:name="_Toc4133"/>
      <w:r>
        <w:rPr>
          <w:rFonts w:hint="eastAsia" w:ascii="仿宋" w:hAnsi="仿宋" w:eastAsia="仿宋" w:cs="仿宋"/>
          <w:b/>
          <w:color w:val="auto"/>
          <w:sz w:val="24"/>
          <w:highlight w:val="none"/>
        </w:rPr>
        <w:t>2.3 知识产权</w:t>
      </w:r>
      <w:bookmarkEnd w:id="54"/>
      <w:bookmarkEnd w:id="55"/>
      <w:bookmarkEnd w:id="56"/>
      <w:bookmarkEnd w:id="57"/>
      <w:bookmarkEnd w:id="58"/>
    </w:p>
    <w:p w14:paraId="7714C061">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575EE480">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2.3.2 合同涉及技术成果的归属和收益的分成办法的，详见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47E4E11B">
      <w:pPr>
        <w:pageBreakBefore w:val="0"/>
        <w:kinsoku/>
        <w:wordWrap/>
        <w:overflowPunct/>
        <w:topLinePunct w:val="0"/>
        <w:bidi w:val="0"/>
        <w:spacing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2.4 履约检查和问题反馈</w:t>
      </w:r>
    </w:p>
    <w:p w14:paraId="452AE615">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467F434E">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2.4.2 合同履行期间，甲方有权将履行过程中出现的问题反馈给乙方，双方当事人应以书面形式约定需要完善和改进的内容。</w:t>
      </w:r>
    </w:p>
    <w:p w14:paraId="202BEA7A">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highlight w:val="none"/>
        </w:rPr>
      </w:pPr>
      <w:bookmarkStart w:id="59" w:name="_Toc31233"/>
      <w:bookmarkStart w:id="60" w:name="_Toc32670"/>
      <w:bookmarkStart w:id="61" w:name="_Toc15447"/>
      <w:bookmarkStart w:id="62" w:name="_Toc22011"/>
      <w:bookmarkStart w:id="63" w:name="_Toc26555"/>
      <w:r>
        <w:rPr>
          <w:rFonts w:hint="eastAsia" w:ascii="仿宋" w:hAnsi="仿宋" w:eastAsia="仿宋" w:cs="仿宋"/>
          <w:b/>
          <w:color w:val="auto"/>
          <w:sz w:val="24"/>
          <w:highlight w:val="none"/>
        </w:rPr>
        <w:t>2.5 结算方式和付款条件</w:t>
      </w:r>
      <w:bookmarkEnd w:id="59"/>
      <w:bookmarkEnd w:id="60"/>
      <w:bookmarkEnd w:id="61"/>
      <w:bookmarkEnd w:id="62"/>
      <w:bookmarkEnd w:id="63"/>
    </w:p>
    <w:p w14:paraId="4529D15D">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055478F5">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highlight w:val="none"/>
        </w:rPr>
      </w:pPr>
      <w:bookmarkStart w:id="64" w:name="_Toc13154"/>
      <w:bookmarkStart w:id="65" w:name="_Toc30507"/>
      <w:bookmarkStart w:id="66" w:name="_Toc18990"/>
      <w:bookmarkStart w:id="67" w:name="_Toc16163"/>
      <w:bookmarkStart w:id="68" w:name="_Toc13467"/>
      <w:r>
        <w:rPr>
          <w:rFonts w:hint="eastAsia" w:ascii="仿宋" w:hAnsi="仿宋" w:eastAsia="仿宋" w:cs="仿宋"/>
          <w:b/>
          <w:color w:val="auto"/>
          <w:sz w:val="24"/>
          <w:highlight w:val="none"/>
        </w:rPr>
        <w:t>2.6 技术资料和保密义务</w:t>
      </w:r>
      <w:bookmarkEnd w:id="64"/>
      <w:bookmarkEnd w:id="65"/>
      <w:bookmarkEnd w:id="66"/>
      <w:bookmarkEnd w:id="67"/>
      <w:bookmarkEnd w:id="68"/>
    </w:p>
    <w:p w14:paraId="623AE50C">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2.6.1 乙方有权依据合同约定和项目需要，向甲方了解有关情况，调阅有关资料等，甲方应予积极配合；</w:t>
      </w:r>
    </w:p>
    <w:p w14:paraId="4D3729D1">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 乙方有义务妥善保管和保护由甲方提供的前款信息和资料等；</w:t>
      </w:r>
    </w:p>
    <w:p w14:paraId="446500AC">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DD935D1">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highlight w:val="none"/>
        </w:rPr>
      </w:pPr>
      <w:bookmarkStart w:id="69" w:name="_Toc19069"/>
      <w:r>
        <w:rPr>
          <w:rFonts w:hint="eastAsia" w:ascii="仿宋" w:hAnsi="仿宋" w:eastAsia="仿宋" w:cs="仿宋"/>
          <w:b/>
          <w:color w:val="auto"/>
          <w:sz w:val="24"/>
          <w:highlight w:val="none"/>
        </w:rPr>
        <w:t>2.7质量保证</w:t>
      </w:r>
      <w:bookmarkEnd w:id="69"/>
    </w:p>
    <w:p w14:paraId="02CCDF41">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2.7.1乙方应建立和完善履行合同的内部质量保证体系，并提供相关内部规章制度给甲方，以便甲方进行监督检查；</w:t>
      </w:r>
    </w:p>
    <w:p w14:paraId="4D4BBF93">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2.7.2乙方应保证履行合同的人员数量和素质、软件和硬件设备的配置、场地、环境和设施等满足全面履行合同的要求，并应接受甲方的监督检查。</w:t>
      </w:r>
    </w:p>
    <w:p w14:paraId="7A7AA29E">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highlight w:val="none"/>
        </w:rPr>
      </w:pPr>
      <w:bookmarkStart w:id="70" w:name="_Toc22267"/>
      <w:r>
        <w:rPr>
          <w:rFonts w:hint="eastAsia" w:ascii="仿宋" w:hAnsi="仿宋" w:eastAsia="仿宋" w:cs="仿宋"/>
          <w:b/>
          <w:color w:val="auto"/>
          <w:sz w:val="24"/>
          <w:highlight w:val="none"/>
        </w:rPr>
        <w:t>2.8延迟履行</w:t>
      </w:r>
      <w:bookmarkEnd w:id="70"/>
    </w:p>
    <w:p w14:paraId="7F3961DF">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534584C3">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highlight w:val="none"/>
        </w:rPr>
      </w:pPr>
      <w:bookmarkStart w:id="71" w:name="_Toc10611"/>
      <w:r>
        <w:rPr>
          <w:rFonts w:hint="eastAsia" w:ascii="仿宋" w:hAnsi="仿宋" w:eastAsia="仿宋" w:cs="仿宋"/>
          <w:b/>
          <w:color w:val="auto"/>
          <w:sz w:val="24"/>
          <w:highlight w:val="none"/>
        </w:rPr>
        <w:t>2.9合同变更</w:t>
      </w:r>
      <w:bookmarkEnd w:id="71"/>
    </w:p>
    <w:p w14:paraId="508ABCA9">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1AA1263B">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highlight w:val="none"/>
        </w:rPr>
      </w:pPr>
      <w:bookmarkStart w:id="72" w:name="_Toc42"/>
      <w:bookmarkStart w:id="73" w:name="_Toc26689"/>
      <w:bookmarkStart w:id="74" w:name="_Toc10663"/>
      <w:bookmarkStart w:id="75" w:name="_Toc21830"/>
      <w:bookmarkStart w:id="76" w:name="_Toc23368"/>
      <w:r>
        <w:rPr>
          <w:rFonts w:hint="eastAsia" w:ascii="仿宋" w:hAnsi="仿宋" w:eastAsia="仿宋" w:cs="仿宋"/>
          <w:b/>
          <w:color w:val="auto"/>
          <w:sz w:val="24"/>
          <w:highlight w:val="none"/>
        </w:rPr>
        <w:t>2.10合同转让和分包</w:t>
      </w:r>
      <w:bookmarkEnd w:id="72"/>
      <w:bookmarkEnd w:id="73"/>
      <w:bookmarkEnd w:id="74"/>
      <w:bookmarkEnd w:id="75"/>
      <w:bookmarkEnd w:id="76"/>
    </w:p>
    <w:p w14:paraId="3FA7DC36">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9C69B6B">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highlight w:val="none"/>
        </w:rPr>
      </w:pPr>
      <w:bookmarkStart w:id="77" w:name="_Toc14371"/>
      <w:bookmarkStart w:id="78" w:name="_Toc32494"/>
      <w:bookmarkStart w:id="79" w:name="_Toc26633"/>
      <w:bookmarkStart w:id="80" w:name="_Toc25571"/>
      <w:bookmarkStart w:id="81" w:name="_Toc4720"/>
      <w:r>
        <w:rPr>
          <w:rFonts w:hint="eastAsia" w:ascii="仿宋" w:hAnsi="仿宋" w:eastAsia="仿宋" w:cs="仿宋"/>
          <w:b/>
          <w:color w:val="auto"/>
          <w:sz w:val="24"/>
          <w:highlight w:val="none"/>
        </w:rPr>
        <w:t>2.11不可抗力</w:t>
      </w:r>
      <w:bookmarkEnd w:id="77"/>
      <w:bookmarkEnd w:id="78"/>
      <w:bookmarkEnd w:id="79"/>
      <w:bookmarkEnd w:id="80"/>
      <w:bookmarkEnd w:id="81"/>
    </w:p>
    <w:p w14:paraId="0DF3B5CA">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2.11.1如果任何一方遭遇法律规定的不可抗力，致使合同履行受阻时，履行合同的期限应予延长，延长的期限应相当于不可抗力所影响的时间；</w:t>
      </w:r>
    </w:p>
    <w:p w14:paraId="64E5262E">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2.11.2 因不可抗力致使不能实现合同目的的，当事人可以解除合同；</w:t>
      </w:r>
    </w:p>
    <w:p w14:paraId="2372A5A1">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2.11.3 因不可抗力致使合同有变更必要的，双方当事人应在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14:paraId="3ACF4E18">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2.11.4受不可抗力影响的一方在不可抗力发生后，应在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14:paraId="443DE30D">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highlight w:val="none"/>
        </w:rPr>
      </w:pPr>
      <w:bookmarkStart w:id="82" w:name="_Toc3638"/>
      <w:bookmarkStart w:id="83" w:name="_Toc24465"/>
      <w:bookmarkStart w:id="84" w:name="_Toc14115"/>
      <w:bookmarkStart w:id="85" w:name="_Toc25783"/>
      <w:bookmarkStart w:id="86" w:name="_Toc23854"/>
      <w:r>
        <w:rPr>
          <w:rFonts w:hint="eastAsia" w:ascii="仿宋" w:hAnsi="仿宋" w:eastAsia="仿宋" w:cs="仿宋"/>
          <w:b/>
          <w:color w:val="auto"/>
          <w:sz w:val="24"/>
          <w:highlight w:val="none"/>
        </w:rPr>
        <w:t>2.12 税费</w:t>
      </w:r>
      <w:bookmarkEnd w:id="82"/>
      <w:bookmarkEnd w:id="83"/>
      <w:bookmarkEnd w:id="84"/>
      <w:bookmarkEnd w:id="85"/>
      <w:bookmarkEnd w:id="86"/>
    </w:p>
    <w:p w14:paraId="17CC4EA6">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与合同有关的一切税费，均按照中华人民共和国法律的相关规定缴纳。</w:t>
      </w:r>
    </w:p>
    <w:p w14:paraId="2CC78CAE">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highlight w:val="none"/>
        </w:rPr>
      </w:pPr>
      <w:bookmarkStart w:id="87" w:name="_Toc30105"/>
      <w:bookmarkStart w:id="88" w:name="_Toc14814"/>
      <w:bookmarkStart w:id="89" w:name="_Toc26883"/>
      <w:bookmarkStart w:id="90" w:name="_Toc25525"/>
      <w:bookmarkStart w:id="91" w:name="_Toc7315"/>
      <w:r>
        <w:rPr>
          <w:rFonts w:hint="eastAsia" w:ascii="仿宋" w:hAnsi="仿宋" w:eastAsia="仿宋" w:cs="仿宋"/>
          <w:b/>
          <w:color w:val="auto"/>
          <w:sz w:val="24"/>
          <w:highlight w:val="none"/>
        </w:rPr>
        <w:t>2.13 乙方破产</w:t>
      </w:r>
      <w:bookmarkEnd w:id="87"/>
      <w:bookmarkEnd w:id="88"/>
      <w:bookmarkEnd w:id="89"/>
      <w:bookmarkEnd w:id="90"/>
      <w:bookmarkEnd w:id="91"/>
    </w:p>
    <w:p w14:paraId="4470C645">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49F8EAE">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highlight w:val="none"/>
        </w:rPr>
      </w:pPr>
      <w:bookmarkStart w:id="92" w:name="_Toc1123"/>
      <w:bookmarkStart w:id="93" w:name="_Toc2016"/>
      <w:bookmarkStart w:id="94" w:name="_Toc23323"/>
      <w:r>
        <w:rPr>
          <w:rFonts w:hint="eastAsia" w:ascii="仿宋" w:hAnsi="仿宋" w:eastAsia="仿宋" w:cs="仿宋"/>
          <w:b/>
          <w:color w:val="auto"/>
          <w:sz w:val="24"/>
          <w:highlight w:val="none"/>
        </w:rPr>
        <w:t>2.14 合同中止、终止</w:t>
      </w:r>
      <w:bookmarkEnd w:id="92"/>
      <w:bookmarkEnd w:id="93"/>
      <w:bookmarkEnd w:id="94"/>
    </w:p>
    <w:p w14:paraId="57D16938">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2.14.1 双方当事人不得擅自中止或者终止合同；</w:t>
      </w:r>
    </w:p>
    <w:p w14:paraId="2128FFA7">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40D874C7">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highlight w:val="none"/>
        </w:rPr>
      </w:pPr>
      <w:bookmarkStart w:id="95" w:name="_Toc14525"/>
      <w:bookmarkStart w:id="96" w:name="_Toc1969"/>
      <w:bookmarkStart w:id="97" w:name="_Toc17363"/>
      <w:r>
        <w:rPr>
          <w:rFonts w:hint="eastAsia" w:ascii="仿宋" w:hAnsi="仿宋" w:eastAsia="仿宋" w:cs="仿宋"/>
          <w:b/>
          <w:color w:val="auto"/>
          <w:sz w:val="24"/>
          <w:highlight w:val="none"/>
        </w:rPr>
        <w:t>2.15 检验和验收</w:t>
      </w:r>
      <w:bookmarkEnd w:id="95"/>
      <w:bookmarkEnd w:id="96"/>
      <w:bookmarkEnd w:id="97"/>
    </w:p>
    <w:p w14:paraId="10BB3C75">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2.15.1 乙方按照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的约定，定期提交服务报告，甲方按照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的约定进行定期验收；</w:t>
      </w:r>
    </w:p>
    <w:p w14:paraId="5985344D">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F8EBA98">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2.15.3 检验和验收标准、程序等具体内容以及前述验收书的效力详见</w:t>
      </w:r>
      <w:r>
        <w:rPr>
          <w:rFonts w:hint="eastAsia" w:ascii="仿宋" w:hAnsi="仿宋" w:eastAsia="仿宋" w:cs="仿宋"/>
          <w:b/>
          <w:i/>
          <w:color w:val="auto"/>
          <w:sz w:val="24"/>
          <w:highlight w:val="none"/>
          <w:u w:val="single"/>
        </w:rPr>
        <w:t>合同专用条款</w:t>
      </w:r>
      <w:r>
        <w:rPr>
          <w:rFonts w:hint="eastAsia" w:ascii="仿宋" w:hAnsi="仿宋" w:eastAsia="仿宋" w:cs="仿宋"/>
          <w:i/>
          <w:color w:val="auto"/>
          <w:sz w:val="24"/>
          <w:highlight w:val="none"/>
        </w:rPr>
        <w:t>。</w:t>
      </w:r>
    </w:p>
    <w:p w14:paraId="6BD20E84">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highlight w:val="none"/>
        </w:rPr>
      </w:pPr>
      <w:bookmarkStart w:id="98" w:name="_Toc12666"/>
      <w:bookmarkStart w:id="99" w:name="_Toc31892"/>
      <w:bookmarkStart w:id="100" w:name="_Toc2308"/>
      <w:bookmarkStart w:id="101" w:name="_Toc25198"/>
      <w:bookmarkStart w:id="102" w:name="_Toc9808"/>
      <w:r>
        <w:rPr>
          <w:rFonts w:hint="eastAsia" w:ascii="仿宋" w:hAnsi="仿宋" w:eastAsia="仿宋" w:cs="仿宋"/>
          <w:b/>
          <w:color w:val="auto"/>
          <w:sz w:val="24"/>
          <w:highlight w:val="none"/>
        </w:rPr>
        <w:t>2.16 通知和送达</w:t>
      </w:r>
      <w:bookmarkEnd w:id="98"/>
      <w:bookmarkEnd w:id="99"/>
      <w:bookmarkEnd w:id="100"/>
      <w:bookmarkEnd w:id="101"/>
      <w:bookmarkEnd w:id="102"/>
    </w:p>
    <w:p w14:paraId="2D57AD58">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bookmarkStart w:id="103" w:name="_Toc18401"/>
      <w:bookmarkStart w:id="104" w:name="_Toc27674"/>
      <w:r>
        <w:rPr>
          <w:rFonts w:hint="eastAsia" w:ascii="仿宋" w:hAnsi="仿宋" w:eastAsia="仿宋" w:cs="仿宋"/>
          <w:color w:val="auto"/>
          <w:sz w:val="24"/>
          <w:highlight w:val="none"/>
        </w:rPr>
        <w:t>2.17.1任何一方因履行合同而以合同第一部分尾部所列明的传真或电子邮件</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发出的所有通知、文件、材料，均视为已向对方当事人送达；任何一方变更上述送达方式或者地址的，应于</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个工作日内书面通知对方当事人，在对方当事人收到有关变更通知之前，变更前的约定送达方式或者地址仍视为有效。</w:t>
      </w:r>
    </w:p>
    <w:p w14:paraId="50662573">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103"/>
      <w:bookmarkEnd w:id="104"/>
    </w:p>
    <w:p w14:paraId="79494EF1">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highlight w:val="none"/>
        </w:rPr>
      </w:pPr>
      <w:bookmarkStart w:id="105" w:name="_Toc20808"/>
      <w:bookmarkStart w:id="106" w:name="_Toc27644"/>
      <w:bookmarkStart w:id="107" w:name="_Toc5063"/>
      <w:bookmarkStart w:id="108" w:name="_Toc28906"/>
      <w:bookmarkStart w:id="109" w:name="_Toc12254"/>
      <w:r>
        <w:rPr>
          <w:rFonts w:hint="eastAsia" w:ascii="仿宋" w:hAnsi="仿宋" w:eastAsia="仿宋" w:cs="仿宋"/>
          <w:b/>
          <w:color w:val="auto"/>
          <w:sz w:val="24"/>
          <w:highlight w:val="none"/>
        </w:rPr>
        <w:t>2.17 合同使用的文字和适用的法律</w:t>
      </w:r>
      <w:bookmarkEnd w:id="105"/>
      <w:bookmarkEnd w:id="106"/>
      <w:bookmarkEnd w:id="107"/>
      <w:bookmarkEnd w:id="108"/>
      <w:bookmarkEnd w:id="109"/>
    </w:p>
    <w:p w14:paraId="5285274F">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2.17.1 合同使用汉语书就、变更和解释；</w:t>
      </w:r>
    </w:p>
    <w:p w14:paraId="64FB86D7">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2.17.2 合同适用中华人民共和国法律。</w:t>
      </w:r>
    </w:p>
    <w:p w14:paraId="5C34B1D7">
      <w:pPr>
        <w:pageBreakBefore w:val="0"/>
        <w:kinsoku/>
        <w:wordWrap/>
        <w:overflowPunct/>
        <w:topLinePunct w:val="0"/>
        <w:bidi w:val="0"/>
        <w:spacing w:line="360" w:lineRule="auto"/>
        <w:ind w:firstLine="482" w:firstLineChars="200"/>
        <w:textAlignment w:val="auto"/>
        <w:outlineLvl w:val="0"/>
        <w:rPr>
          <w:rFonts w:hint="eastAsia" w:ascii="仿宋" w:hAnsi="仿宋" w:eastAsia="仿宋" w:cs="仿宋"/>
          <w:b/>
          <w:color w:val="auto"/>
          <w:sz w:val="24"/>
          <w:highlight w:val="none"/>
        </w:rPr>
      </w:pPr>
      <w:bookmarkStart w:id="110" w:name="_Toc18540"/>
      <w:bookmarkStart w:id="111" w:name="_Toc30599"/>
      <w:bookmarkStart w:id="112" w:name="_Toc4355"/>
      <w:r>
        <w:rPr>
          <w:rFonts w:hint="eastAsia" w:ascii="仿宋" w:hAnsi="仿宋" w:eastAsia="仿宋" w:cs="仿宋"/>
          <w:b/>
          <w:color w:val="auto"/>
          <w:sz w:val="24"/>
          <w:highlight w:val="none"/>
        </w:rPr>
        <w:t>2.18 计量单位</w:t>
      </w:r>
      <w:bookmarkEnd w:id="110"/>
      <w:bookmarkEnd w:id="111"/>
      <w:bookmarkEnd w:id="112"/>
    </w:p>
    <w:p w14:paraId="5B9E0A7B">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除技术规范中另有规定外,合同的计量单位均使用国家法定计量单位。</w:t>
      </w:r>
    </w:p>
    <w:p w14:paraId="728DE446">
      <w:pPr>
        <w:pageBreakBefore w:val="0"/>
        <w:kinsoku/>
        <w:wordWrap/>
        <w:overflowPunct/>
        <w:topLinePunct w:val="0"/>
        <w:bidi w:val="0"/>
        <w:spacing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2.19合同份数</w:t>
      </w:r>
    </w:p>
    <w:p w14:paraId="3F5AF796">
      <w:pPr>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合同份数按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规定，每份均具有同等法律效力。</w:t>
      </w:r>
    </w:p>
    <w:p w14:paraId="04B681FD">
      <w:pPr>
        <w:pageBreakBefore w:val="0"/>
        <w:kinsoku/>
        <w:wordWrap/>
        <w:overflowPunct/>
        <w:topLinePunct w:val="0"/>
        <w:bidi w:val="0"/>
        <w:spacing w:line="360" w:lineRule="auto"/>
        <w:jc w:val="center"/>
        <w:textAlignment w:val="auto"/>
        <w:outlineLvl w:val="0"/>
        <w:rPr>
          <w:rFonts w:hint="eastAsia" w:ascii="仿宋" w:hAnsi="仿宋" w:eastAsia="仿宋" w:cs="仿宋"/>
          <w:b/>
          <w:color w:val="auto"/>
          <w:sz w:val="24"/>
          <w:highlight w:val="none"/>
        </w:rPr>
      </w:pPr>
      <w:r>
        <w:rPr>
          <w:rFonts w:hint="eastAsia" w:ascii="仿宋" w:hAnsi="仿宋" w:eastAsia="仿宋" w:cs="仿宋"/>
          <w:color w:val="auto"/>
          <w:kern w:val="0"/>
          <w:highlight w:val="none"/>
        </w:rPr>
        <w:br w:type="page"/>
      </w:r>
      <w:r>
        <w:rPr>
          <w:rFonts w:hint="eastAsia" w:ascii="仿宋" w:hAnsi="仿宋" w:eastAsia="仿宋" w:cs="仿宋"/>
          <w:b/>
          <w:color w:val="auto"/>
          <w:sz w:val="24"/>
          <w:highlight w:val="none"/>
        </w:rPr>
        <w:t>第三部分  合同专用条款</w:t>
      </w:r>
    </w:p>
    <w:p w14:paraId="1CB856D3">
      <w:pPr>
        <w:snapToGrid/>
        <w:spacing w:line="360" w:lineRule="auto"/>
        <w:ind w:left="-420" w:leftChars="-200" w:right="-420" w:rightChars="-200"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48"/>
        <w:gridCol w:w="8747"/>
      </w:tblGrid>
      <w:tr w14:paraId="127FC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trPr>
        <w:tc>
          <w:tcPr>
            <w:tcW w:w="535" w:type="pct"/>
            <w:tcBorders>
              <w:left w:val="single" w:color="auto" w:sz="4" w:space="0"/>
            </w:tcBorders>
            <w:vAlign w:val="center"/>
          </w:tcPr>
          <w:p w14:paraId="67C7522D">
            <w:pPr>
              <w:spacing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4464" w:type="pct"/>
            <w:vAlign w:val="center"/>
          </w:tcPr>
          <w:p w14:paraId="4663DC42">
            <w:pPr>
              <w:spacing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约定内容</w:t>
            </w:r>
          </w:p>
        </w:tc>
      </w:tr>
      <w:tr w14:paraId="65084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0C030D0">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1.3.2</w:t>
            </w:r>
          </w:p>
        </w:tc>
        <w:tc>
          <w:tcPr>
            <w:tcW w:w="8149" w:type="dxa"/>
            <w:vAlign w:val="center"/>
          </w:tcPr>
          <w:p w14:paraId="304DB868">
            <w:pPr>
              <w:spacing w:line="240" w:lineRule="auto"/>
              <w:jc w:val="both"/>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服务工作量的计量方式为：</w:t>
            </w:r>
            <w:r>
              <w:rPr>
                <w:rFonts w:hint="default" w:ascii="仿宋" w:hAnsi="仿宋" w:eastAsia="仿宋" w:cs="仿宋"/>
                <w:b/>
                <w:bCs w:val="0"/>
                <w:color w:val="auto"/>
                <w:sz w:val="24"/>
                <w:highlight w:val="none"/>
                <w:lang w:val="en-US" w:eastAsia="zh-CN"/>
              </w:rPr>
              <w:t>以经甲乙双方共同核实的实际参与活动（含收到活动用品的上门慰问人员）的人次数据为准。</w:t>
            </w:r>
          </w:p>
        </w:tc>
      </w:tr>
      <w:tr w14:paraId="5BF81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A7ACD77">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1.4.2</w:t>
            </w:r>
          </w:p>
        </w:tc>
        <w:tc>
          <w:tcPr>
            <w:tcW w:w="8149" w:type="dxa"/>
            <w:vAlign w:val="center"/>
          </w:tcPr>
          <w:p w14:paraId="7791C121">
            <w:pPr>
              <w:spacing w:line="240" w:lineRule="auto"/>
              <w:jc w:val="both"/>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本项目不收取履约保证金。</w:t>
            </w:r>
          </w:p>
        </w:tc>
      </w:tr>
      <w:tr w14:paraId="47C74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426EBAD">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1.5.1</w:t>
            </w:r>
          </w:p>
        </w:tc>
        <w:tc>
          <w:tcPr>
            <w:tcW w:w="8149" w:type="dxa"/>
            <w:vAlign w:val="center"/>
          </w:tcPr>
          <w:p w14:paraId="4F7069E5">
            <w:pPr>
              <w:spacing w:line="240" w:lineRule="auto"/>
              <w:jc w:val="both"/>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合同生效以及具备实施条件后5个工作日内预付合同总价的40%；</w:t>
            </w:r>
          </w:p>
        </w:tc>
      </w:tr>
      <w:tr w14:paraId="0E6D0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DE47264">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1.5.2</w:t>
            </w:r>
          </w:p>
        </w:tc>
        <w:tc>
          <w:tcPr>
            <w:tcW w:w="8149" w:type="dxa"/>
            <w:vAlign w:val="center"/>
          </w:tcPr>
          <w:p w14:paraId="4AA1D5F3">
            <w:pPr>
              <w:spacing w:line="240" w:lineRule="auto"/>
              <w:jc w:val="both"/>
              <w:rPr>
                <w:rFonts w:hint="eastAsia"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不扣回</w:t>
            </w:r>
          </w:p>
        </w:tc>
      </w:tr>
      <w:tr w14:paraId="2E6EC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0E125FF">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1.5.3</w:t>
            </w:r>
          </w:p>
        </w:tc>
        <w:tc>
          <w:tcPr>
            <w:tcW w:w="8149" w:type="dxa"/>
            <w:vAlign w:val="center"/>
          </w:tcPr>
          <w:p w14:paraId="601A43BA">
            <w:pPr>
              <w:spacing w:line="240" w:lineRule="auto"/>
              <w:jc w:val="both"/>
              <w:rPr>
                <w:rFonts w:hint="eastAsia" w:ascii="仿宋" w:hAnsi="仿宋" w:eastAsia="仿宋" w:cs="仿宋"/>
                <w:color w:val="auto"/>
                <w:sz w:val="24"/>
                <w:highlight w:val="none"/>
              </w:rPr>
            </w:pPr>
            <w:r>
              <w:rPr>
                <w:rFonts w:hint="eastAsia" w:ascii="仿宋" w:hAnsi="仿宋" w:eastAsia="仿宋" w:cs="仿宋"/>
                <w:bCs/>
                <w:color w:val="auto"/>
                <w:sz w:val="24"/>
                <w:highlight w:val="none"/>
              </w:rPr>
              <w:t>甲方有权在结算时，从应付款中扣除（含违约、考核处罚等扣款）因乙方违反本合同所应向甲方支付的违约金以及因乙方原因致使甲方承担的第三方法律责任。</w:t>
            </w:r>
          </w:p>
        </w:tc>
      </w:tr>
      <w:tr w14:paraId="331D3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764C224">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1.6.2</w:t>
            </w:r>
          </w:p>
        </w:tc>
        <w:tc>
          <w:tcPr>
            <w:tcW w:w="8149" w:type="dxa"/>
            <w:vAlign w:val="center"/>
          </w:tcPr>
          <w:p w14:paraId="3F6560E3">
            <w:pPr>
              <w:spacing w:line="240" w:lineRule="auto"/>
              <w:jc w:val="both"/>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1.合同生效以及具备实施条件后</w:t>
            </w:r>
            <w:r>
              <w:rPr>
                <w:rFonts w:hint="eastAsia" w:ascii="仿宋" w:hAnsi="仿宋" w:eastAsia="仿宋" w:cs="仿宋"/>
                <w:bCs/>
                <w:color w:val="auto"/>
                <w:sz w:val="24"/>
                <w:highlight w:val="none"/>
                <w:lang w:val="en-US" w:eastAsia="zh-CN"/>
              </w:rPr>
              <w:t>5个工作日</w:t>
            </w:r>
            <w:r>
              <w:rPr>
                <w:rFonts w:hint="eastAsia" w:ascii="仿宋" w:hAnsi="仿宋" w:eastAsia="仿宋" w:cs="仿宋"/>
                <w:bCs/>
                <w:color w:val="auto"/>
                <w:sz w:val="24"/>
                <w:highlight w:val="none"/>
              </w:rPr>
              <w:t>内预付合同总价的40%；</w:t>
            </w:r>
          </w:p>
          <w:p w14:paraId="470FFC56">
            <w:pPr>
              <w:spacing w:line="240" w:lineRule="auto"/>
              <w:jc w:val="both"/>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2.采购人向中标供应商提供参与活动的人员名单，中标供应商与采购人核准人数后落实活动开展。中标供应商根据实际参与活动人数，按照杭州市企业退休人员专项经费规定，</w:t>
            </w:r>
            <w:r>
              <w:rPr>
                <w:rFonts w:hint="eastAsia" w:ascii="仿宋" w:hAnsi="仿宋" w:eastAsia="仿宋" w:cs="仿宋"/>
                <w:bCs/>
                <w:color w:val="auto"/>
                <w:sz w:val="24"/>
                <w:highlight w:val="none"/>
                <w:lang w:val="en-US" w:eastAsia="zh-CN"/>
              </w:rPr>
              <w:t>验收通过后</w:t>
            </w:r>
            <w:r>
              <w:rPr>
                <w:rFonts w:hint="eastAsia" w:ascii="仿宋" w:hAnsi="仿宋" w:eastAsia="仿宋" w:cs="仿宋"/>
                <w:bCs/>
                <w:color w:val="auto"/>
                <w:sz w:val="24"/>
                <w:highlight w:val="none"/>
              </w:rPr>
              <w:t>向采购人开具正规发票，采购人审核无异议后向中标供应商支付合同总价的40%，剩余费用至约定的活动截止时间时，中标供应商向采购人提供本年度参与活动的实际人数统计，采购人按实结算给供应商（对于高龄及行动不便的企退人员采取上门慰问的方式进行）。</w:t>
            </w:r>
          </w:p>
          <w:p w14:paraId="57B9AA8A">
            <w:pPr>
              <w:spacing w:line="240" w:lineRule="auto"/>
              <w:jc w:val="both"/>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签订合同时，成交供应商明确表示无需预付款或者主动要求降低预付款比例的，采购人可不适用前述规定。若成交供应商无需预付款的，按下述规定执行：</w:t>
            </w:r>
          </w:p>
          <w:p w14:paraId="4CD986E3">
            <w:pPr>
              <w:spacing w:line="240" w:lineRule="auto"/>
              <w:jc w:val="both"/>
              <w:rPr>
                <w:rFonts w:hint="eastAsia" w:ascii="仿宋" w:hAnsi="仿宋" w:eastAsia="仿宋" w:cs="仿宋"/>
                <w:color w:val="auto"/>
                <w:sz w:val="24"/>
                <w:highlight w:val="none"/>
              </w:rPr>
            </w:pPr>
            <w:r>
              <w:rPr>
                <w:rFonts w:hint="eastAsia" w:ascii="仿宋" w:hAnsi="仿宋" w:eastAsia="仿宋" w:cs="仿宋"/>
                <w:bCs/>
                <w:color w:val="auto"/>
                <w:sz w:val="24"/>
                <w:highlight w:val="none"/>
              </w:rPr>
              <w:t>采购人向中标供应商提供参与活动的人员名单，中标供应商与采购人核准人数后落实活动开展。中标供应商根据实际参与活动人数，按照杭州市企业退休人员专项经费规定，</w:t>
            </w:r>
            <w:r>
              <w:rPr>
                <w:rFonts w:hint="eastAsia" w:ascii="仿宋" w:hAnsi="仿宋" w:eastAsia="仿宋" w:cs="仿宋"/>
                <w:bCs/>
                <w:color w:val="auto"/>
                <w:sz w:val="24"/>
                <w:highlight w:val="none"/>
                <w:lang w:val="en-US" w:eastAsia="zh-CN"/>
              </w:rPr>
              <w:t>验收通过后</w:t>
            </w:r>
            <w:r>
              <w:rPr>
                <w:rFonts w:hint="eastAsia" w:ascii="仿宋" w:hAnsi="仿宋" w:eastAsia="仿宋" w:cs="仿宋"/>
                <w:bCs/>
                <w:color w:val="auto"/>
                <w:sz w:val="24"/>
                <w:highlight w:val="none"/>
              </w:rPr>
              <w:t>向采购人开具正规发票，采购人审核无异议后于活动组织次月按实向中标供应商支付活动费用（对于高龄及行动不便的企退人员采取上门慰问的方式进行）。</w:t>
            </w:r>
          </w:p>
        </w:tc>
      </w:tr>
      <w:tr w14:paraId="4E655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B0E260F">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1.7.1</w:t>
            </w:r>
          </w:p>
        </w:tc>
        <w:tc>
          <w:tcPr>
            <w:tcW w:w="8149" w:type="dxa"/>
            <w:vAlign w:val="center"/>
          </w:tcPr>
          <w:p w14:paraId="5B41A289">
            <w:pPr>
              <w:spacing w:line="240" w:lineRule="auto"/>
              <w:jc w:val="both"/>
              <w:rPr>
                <w:rFonts w:hint="default" w:ascii="仿宋" w:hAnsi="仿宋" w:eastAsia="仿宋" w:cs="仿宋"/>
                <w:color w:val="auto"/>
                <w:sz w:val="24"/>
                <w:highlight w:val="none"/>
                <w:lang w:val="en-US" w:eastAsia="zh-CN"/>
              </w:rPr>
            </w:pPr>
            <w:r>
              <w:rPr>
                <w:rFonts w:hint="eastAsia" w:ascii="仿宋" w:hAnsi="仿宋" w:eastAsia="仿宋" w:cs="宋体"/>
                <w:snapToGrid w:val="0"/>
                <w:color w:val="auto"/>
                <w:kern w:val="0"/>
                <w:sz w:val="24"/>
                <w:highlight w:val="none"/>
              </w:rPr>
              <w:t>自合同签订之日起至2026年12月31日。</w:t>
            </w:r>
            <w:r>
              <w:rPr>
                <w:rFonts w:hint="eastAsia" w:ascii="仿宋" w:hAnsi="仿宋" w:eastAsia="仿宋" w:cs="宋体"/>
                <w:snapToGrid w:val="0"/>
                <w:color w:val="auto"/>
                <w:kern w:val="0"/>
                <w:sz w:val="24"/>
                <w:highlight w:val="none"/>
                <w:lang w:val="en-US" w:eastAsia="zh-CN"/>
              </w:rPr>
              <w:t>即2026年【  】月【  】日至2026年【12】月【31】日。</w:t>
            </w:r>
          </w:p>
        </w:tc>
      </w:tr>
      <w:tr w14:paraId="714EA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CFCF57F">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1.7.2</w:t>
            </w:r>
          </w:p>
        </w:tc>
        <w:tc>
          <w:tcPr>
            <w:tcW w:w="8149" w:type="dxa"/>
            <w:vAlign w:val="center"/>
          </w:tcPr>
          <w:p w14:paraId="70E5ED3A">
            <w:pPr>
              <w:spacing w:line="240" w:lineRule="auto"/>
              <w:jc w:val="both"/>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杭州市上城区九堡街道辖区内，具体地点以甲方或各社区通知为准。外出游览地点为双方协商确认的旅游景点。</w:t>
            </w:r>
          </w:p>
        </w:tc>
      </w:tr>
      <w:tr w14:paraId="3DA15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748BFDA">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1.7.3</w:t>
            </w:r>
          </w:p>
        </w:tc>
        <w:tc>
          <w:tcPr>
            <w:tcW w:w="8149" w:type="dxa"/>
            <w:vAlign w:val="center"/>
          </w:tcPr>
          <w:p w14:paraId="7261FC83">
            <w:pPr>
              <w:spacing w:line="240" w:lineRule="auto"/>
              <w:jc w:val="both"/>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乙方应根据甲方或各社区的时间安排，组织、实施活动。上门慰问活动由乙方项目负责人与社区协调具体入户时间。</w:t>
            </w:r>
          </w:p>
        </w:tc>
      </w:tr>
      <w:tr w14:paraId="14752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63FCF78">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1.7.4.1</w:t>
            </w:r>
          </w:p>
        </w:tc>
        <w:tc>
          <w:tcPr>
            <w:tcW w:w="8149" w:type="dxa"/>
            <w:vAlign w:val="center"/>
          </w:tcPr>
          <w:p w14:paraId="6490AB55">
            <w:pPr>
              <w:spacing w:line="240" w:lineRule="auto"/>
              <w:jc w:val="both"/>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活动用品随社区活动结束时现场发放，或在上门慰问时当面交付。</w:t>
            </w:r>
          </w:p>
        </w:tc>
      </w:tr>
      <w:tr w14:paraId="2B554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BE332A5">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1.7.4.2</w:t>
            </w:r>
          </w:p>
        </w:tc>
        <w:tc>
          <w:tcPr>
            <w:tcW w:w="8149" w:type="dxa"/>
            <w:vAlign w:val="center"/>
          </w:tcPr>
          <w:p w14:paraId="3A43FF54">
            <w:pPr>
              <w:spacing w:line="240" w:lineRule="auto"/>
              <w:jc w:val="both"/>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以活动通知或双方协商确认的地点为准。</w:t>
            </w:r>
          </w:p>
        </w:tc>
      </w:tr>
      <w:tr w14:paraId="72ADA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93FD5F6">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1.7.4.3</w:t>
            </w:r>
          </w:p>
        </w:tc>
        <w:tc>
          <w:tcPr>
            <w:tcW w:w="8149" w:type="dxa"/>
            <w:vAlign w:val="center"/>
          </w:tcPr>
          <w:p w14:paraId="24FED585">
            <w:pPr>
              <w:spacing w:line="240" w:lineRule="auto"/>
              <w:jc w:val="both"/>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乙方负责将活动用品运送至指定交付地点。</w:t>
            </w:r>
          </w:p>
        </w:tc>
      </w:tr>
      <w:tr w14:paraId="134F8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DAC32FC">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1.8.7</w:t>
            </w:r>
          </w:p>
        </w:tc>
        <w:tc>
          <w:tcPr>
            <w:tcW w:w="8149" w:type="dxa"/>
            <w:vAlign w:val="center"/>
          </w:tcPr>
          <w:p w14:paraId="475F6F49">
            <w:pPr>
              <w:spacing w:line="240" w:lineRule="auto"/>
              <w:jc w:val="both"/>
              <w:rPr>
                <w:rFonts w:hint="eastAsia" w:ascii="仿宋" w:hAnsi="仿宋" w:eastAsia="仿宋" w:cs="仿宋"/>
                <w:color w:val="auto"/>
                <w:sz w:val="24"/>
                <w:highlight w:val="none"/>
              </w:rPr>
            </w:pPr>
            <w:r>
              <w:rPr>
                <w:rFonts w:hint="eastAsia" w:ascii="仿宋" w:hAnsi="仿宋" w:eastAsia="仿宋" w:cs="仿宋"/>
                <w:bCs/>
                <w:color w:val="auto"/>
                <w:sz w:val="24"/>
                <w:highlight w:val="none"/>
              </w:rPr>
              <w:t>乙方未能如期提供服务的，对甲方的通知逾期未响应，甲方自行安排人员完成工作，产生的相关费用由乙方承担。乙方超过约定日期10个工作日仍不能提供服务的，甲方可解除本合同。</w:t>
            </w:r>
          </w:p>
        </w:tc>
      </w:tr>
      <w:tr w14:paraId="04243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A5DE2D4">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1.9.1</w:t>
            </w:r>
          </w:p>
        </w:tc>
        <w:tc>
          <w:tcPr>
            <w:tcW w:w="8149" w:type="dxa"/>
            <w:vAlign w:val="center"/>
          </w:tcPr>
          <w:p w14:paraId="634980CB">
            <w:pPr>
              <w:spacing w:line="240" w:lineRule="auto"/>
              <w:jc w:val="both"/>
              <w:rPr>
                <w:rFonts w:hint="eastAsia" w:ascii="仿宋" w:hAnsi="仿宋" w:eastAsia="仿宋" w:cs="仿宋"/>
                <w:color w:val="auto"/>
                <w:sz w:val="24"/>
                <w:highlight w:val="none"/>
              </w:rPr>
            </w:pPr>
            <w:r>
              <w:rPr>
                <w:rFonts w:hint="eastAsia" w:ascii="仿宋" w:hAnsi="仿宋" w:eastAsia="仿宋" w:cs="仿宋"/>
                <w:bCs/>
                <w:color w:val="auto"/>
                <w:sz w:val="24"/>
                <w:highlight w:val="none"/>
              </w:rPr>
              <w:t>/</w:t>
            </w:r>
          </w:p>
        </w:tc>
      </w:tr>
      <w:tr w14:paraId="089F9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88498D9">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1.9.2</w:t>
            </w:r>
          </w:p>
        </w:tc>
        <w:tc>
          <w:tcPr>
            <w:tcW w:w="8149" w:type="dxa"/>
            <w:vAlign w:val="center"/>
          </w:tcPr>
          <w:p w14:paraId="7D8A34B0">
            <w:pPr>
              <w:spacing w:line="240" w:lineRule="auto"/>
              <w:jc w:val="both"/>
              <w:rPr>
                <w:rFonts w:hint="eastAsia"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甲方所在地</w:t>
            </w:r>
            <w:r>
              <w:rPr>
                <w:rFonts w:hint="eastAsia" w:ascii="仿宋" w:hAnsi="仿宋" w:eastAsia="仿宋" w:cs="仿宋"/>
                <w:bCs/>
                <w:color w:val="auto"/>
                <w:sz w:val="24"/>
                <w:highlight w:val="none"/>
              </w:rPr>
              <w:t>。</w:t>
            </w:r>
          </w:p>
        </w:tc>
      </w:tr>
      <w:tr w14:paraId="5E8B6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6029D55">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2.3.2</w:t>
            </w:r>
          </w:p>
        </w:tc>
        <w:tc>
          <w:tcPr>
            <w:tcW w:w="8149" w:type="dxa"/>
            <w:vAlign w:val="center"/>
          </w:tcPr>
          <w:p w14:paraId="0AE3F9EA">
            <w:pPr>
              <w:spacing w:line="240" w:lineRule="auto"/>
              <w:jc w:val="both"/>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乙方为履行本项目而创作产生的活动方案、宣传材料、摄影作品等智力成果，著作权归乙方所有。甲方有权在本次采购活动的目的范围内永久、无偿使用。乙方声明其在投标文件中提供的已有知识产权成果仍归原权利人所有。</w:t>
            </w:r>
          </w:p>
        </w:tc>
      </w:tr>
      <w:tr w14:paraId="4F3F6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FC2E509">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2.5</w:t>
            </w:r>
          </w:p>
        </w:tc>
        <w:tc>
          <w:tcPr>
            <w:tcW w:w="8149" w:type="dxa"/>
            <w:vAlign w:val="center"/>
          </w:tcPr>
          <w:p w14:paraId="69824D29">
            <w:pPr>
              <w:spacing w:line="240" w:lineRule="auto"/>
              <w:jc w:val="both"/>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1.合同生效以及具备实施条件后5个工作日内预付合同总价的40%；</w:t>
            </w:r>
          </w:p>
          <w:p w14:paraId="735F2CA6">
            <w:pPr>
              <w:spacing w:line="240" w:lineRule="auto"/>
              <w:jc w:val="both"/>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采购人向中标供应商提供参与活动的人员名单，中标供应商与采购人核准人数后落实活动开展。中标供应商根据实际参与活动人数，按照杭州市企业退休人员专项经费规定，验收通过后向采购人开具正规发票，采购人审核无异议后向中标供应商支付合同总价的40%，剩余费用至约定的活动截止时间时，中标供应商向采购人提供本年度参与活动的实际人数统计，采购人按实结算给供应商（对于高龄及行动不便的企退人员采取上门慰问的方式进行）。</w:t>
            </w:r>
          </w:p>
          <w:p w14:paraId="6A2D243C">
            <w:pPr>
              <w:spacing w:line="240" w:lineRule="auto"/>
              <w:jc w:val="both"/>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签订合同时，成交供应商明确表示无需预付款或者主动要求降低预付款比例的，采购人可不适用前述规定。若成交供应商无需预付款的，按下述规定执行：</w:t>
            </w:r>
          </w:p>
          <w:p w14:paraId="5239C378">
            <w:pPr>
              <w:spacing w:line="240" w:lineRule="auto"/>
              <w:jc w:val="both"/>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采购人向中标供应商提供参与活动的人员名单，中标供应商与采购人核准人数后落实活动开展。中标供应商根据实际参与活动人数，按照杭州市企业退休人员专项经费规定，验收通过后向采购人开具正规发票，采购人审核无异议后于活动组织次月按实向中标供应商支付活动费用（对于高龄及行动不便的企退人员采取上门慰问的方式进行）。</w:t>
            </w:r>
          </w:p>
        </w:tc>
      </w:tr>
      <w:tr w14:paraId="50CCD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A5EAFA4">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2.11.3</w:t>
            </w:r>
          </w:p>
        </w:tc>
        <w:tc>
          <w:tcPr>
            <w:tcW w:w="8149" w:type="dxa"/>
            <w:vAlign w:val="center"/>
          </w:tcPr>
          <w:p w14:paraId="19BAD9B3">
            <w:pPr>
              <w:spacing w:line="240" w:lineRule="auto"/>
              <w:jc w:val="both"/>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不可抗力发生后，双方应在</w:t>
            </w:r>
            <w:r>
              <w:rPr>
                <w:rFonts w:hint="default" w:ascii="仿宋" w:hAnsi="仿宋" w:eastAsia="仿宋" w:cs="仿宋"/>
                <w:bCs/>
                <w:color w:val="auto"/>
                <w:sz w:val="24"/>
                <w:highlight w:val="none"/>
                <w:lang w:val="en-US" w:eastAsia="zh-CN"/>
              </w:rPr>
              <w:t>15个工作日内协商变更合同。</w:t>
            </w:r>
          </w:p>
        </w:tc>
      </w:tr>
      <w:tr w14:paraId="56F07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3D879DC">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2.11.4</w:t>
            </w:r>
          </w:p>
        </w:tc>
        <w:tc>
          <w:tcPr>
            <w:tcW w:w="8149" w:type="dxa"/>
            <w:vAlign w:val="center"/>
          </w:tcPr>
          <w:p w14:paraId="5082AFF0">
            <w:pPr>
              <w:spacing w:line="240" w:lineRule="auto"/>
              <w:jc w:val="both"/>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受不可抗力影响的一方应在事件发生后</w:t>
            </w:r>
            <w:r>
              <w:rPr>
                <w:rFonts w:hint="default" w:ascii="仿宋" w:hAnsi="仿宋" w:eastAsia="仿宋" w:cs="仿宋"/>
                <w:bCs/>
                <w:color w:val="auto"/>
                <w:sz w:val="24"/>
                <w:highlight w:val="none"/>
                <w:lang w:val="en-US" w:eastAsia="zh-CN"/>
              </w:rPr>
              <w:t>3个工作日内书面通知对方，并在10个工作日内提供相关证明文件。</w:t>
            </w:r>
          </w:p>
        </w:tc>
      </w:tr>
      <w:tr w14:paraId="47D68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2A821CF">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2.15.1</w:t>
            </w:r>
          </w:p>
        </w:tc>
        <w:tc>
          <w:tcPr>
            <w:tcW w:w="8149" w:type="dxa"/>
            <w:vAlign w:val="center"/>
          </w:tcPr>
          <w:p w14:paraId="48C69B9A">
            <w:pPr>
              <w:spacing w:line="240" w:lineRule="auto"/>
              <w:jc w:val="both"/>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乙方应按季度向甲方提交服务情况报告。甲方可不定期对乙方服务过程进行抽查。</w:t>
            </w:r>
          </w:p>
        </w:tc>
      </w:tr>
      <w:tr w14:paraId="5B0B6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6436386">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2.15.3</w:t>
            </w:r>
          </w:p>
        </w:tc>
        <w:tc>
          <w:tcPr>
            <w:tcW w:w="8149" w:type="dxa"/>
            <w:vAlign w:val="center"/>
          </w:tcPr>
          <w:p w14:paraId="152C534D">
            <w:pPr>
              <w:spacing w:line="240" w:lineRule="auto"/>
              <w:jc w:val="both"/>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甲方</w:t>
            </w:r>
            <w:r>
              <w:rPr>
                <w:rFonts w:hint="eastAsia" w:ascii="仿宋" w:hAnsi="仿宋" w:eastAsia="仿宋" w:cs="仿宋"/>
                <w:bCs/>
                <w:color w:val="auto"/>
                <w:sz w:val="24"/>
                <w:highlight w:val="none"/>
              </w:rPr>
              <w:t>应委托第三方进行满意度调查，调查费用由</w:t>
            </w:r>
            <w:r>
              <w:rPr>
                <w:rFonts w:hint="eastAsia" w:ascii="仿宋" w:hAnsi="仿宋" w:eastAsia="仿宋" w:cs="仿宋"/>
                <w:bCs/>
                <w:color w:val="auto"/>
                <w:sz w:val="24"/>
                <w:highlight w:val="none"/>
                <w:lang w:val="en-US" w:eastAsia="zh-CN"/>
              </w:rPr>
              <w:t>乙方</w:t>
            </w:r>
            <w:r>
              <w:rPr>
                <w:rFonts w:hint="eastAsia" w:ascii="仿宋" w:hAnsi="仿宋" w:eastAsia="仿宋" w:cs="仿宋"/>
                <w:bCs/>
                <w:color w:val="auto"/>
                <w:sz w:val="24"/>
                <w:highlight w:val="none"/>
              </w:rPr>
              <w:t>承担，费用含在投标报价中。</w:t>
            </w:r>
          </w:p>
          <w:p w14:paraId="63D5A384">
            <w:pPr>
              <w:spacing w:line="240" w:lineRule="auto"/>
              <w:jc w:val="both"/>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2.验收标准</w:t>
            </w:r>
          </w:p>
          <w:p w14:paraId="0418C84B">
            <w:pPr>
              <w:spacing w:line="240" w:lineRule="auto"/>
              <w:jc w:val="both"/>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（1）服务记录合格率≥90%；</w:t>
            </w:r>
          </w:p>
          <w:p w14:paraId="0F91DBC9">
            <w:pPr>
              <w:spacing w:line="240" w:lineRule="auto"/>
              <w:jc w:val="both"/>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（2）服务满意率85%以上（含85%）；</w:t>
            </w:r>
          </w:p>
          <w:p w14:paraId="1BAA7933">
            <w:pPr>
              <w:spacing w:line="240" w:lineRule="auto"/>
              <w:jc w:val="both"/>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（3）服务安全100%。</w:t>
            </w:r>
          </w:p>
          <w:p w14:paraId="774C0645">
            <w:pPr>
              <w:spacing w:line="240" w:lineRule="auto"/>
              <w:jc w:val="both"/>
              <w:rPr>
                <w:rFonts w:hint="eastAsia" w:ascii="仿宋" w:hAnsi="仿宋" w:eastAsia="仿宋" w:cs="仿宋"/>
                <w:color w:val="auto"/>
                <w:sz w:val="24"/>
                <w:highlight w:val="none"/>
              </w:rPr>
            </w:pPr>
            <w:r>
              <w:rPr>
                <w:rFonts w:hint="eastAsia" w:ascii="仿宋" w:hAnsi="仿宋" w:eastAsia="仿宋" w:cs="仿宋"/>
                <w:bCs/>
                <w:color w:val="auto"/>
                <w:sz w:val="24"/>
                <w:highlight w:val="none"/>
                <w:lang w:val="en-US"/>
              </w:rPr>
              <w:t>3.</w:t>
            </w:r>
            <w:r>
              <w:rPr>
                <w:rFonts w:hint="eastAsia" w:ascii="仿宋" w:hAnsi="仿宋" w:eastAsia="仿宋" w:cs="仿宋"/>
                <w:bCs/>
                <w:color w:val="auto"/>
                <w:sz w:val="24"/>
                <w:highlight w:val="none"/>
              </w:rPr>
              <w:t>首次满意度调查低于85%，第三方应及时通知</w:t>
            </w:r>
            <w:r>
              <w:rPr>
                <w:rFonts w:hint="eastAsia" w:ascii="仿宋" w:hAnsi="仿宋" w:eastAsia="仿宋" w:cs="仿宋"/>
                <w:bCs/>
                <w:color w:val="auto"/>
                <w:sz w:val="24"/>
                <w:highlight w:val="none"/>
                <w:lang w:val="en-US"/>
              </w:rPr>
              <w:t>中标供应商</w:t>
            </w:r>
            <w:r>
              <w:rPr>
                <w:rFonts w:hint="eastAsia" w:ascii="仿宋" w:hAnsi="仿宋" w:eastAsia="仿宋" w:cs="仿宋"/>
                <w:bCs/>
                <w:color w:val="auto"/>
                <w:sz w:val="24"/>
                <w:highlight w:val="none"/>
              </w:rPr>
              <w:t>进行整改，</w:t>
            </w:r>
            <w:r>
              <w:rPr>
                <w:rFonts w:hint="eastAsia" w:ascii="仿宋" w:hAnsi="仿宋" w:eastAsia="仿宋" w:cs="仿宋"/>
                <w:bCs/>
                <w:color w:val="auto"/>
                <w:sz w:val="24"/>
                <w:highlight w:val="none"/>
                <w:lang w:val="en-US"/>
              </w:rPr>
              <w:t>中标供应商</w:t>
            </w:r>
            <w:r>
              <w:rPr>
                <w:rFonts w:hint="eastAsia" w:ascii="仿宋" w:hAnsi="仿宋" w:eastAsia="仿宋" w:cs="仿宋"/>
                <w:bCs/>
                <w:color w:val="auto"/>
                <w:sz w:val="24"/>
                <w:highlight w:val="none"/>
              </w:rPr>
              <w:t>二次或多次低于85%，</w:t>
            </w:r>
            <w:r>
              <w:rPr>
                <w:rFonts w:hint="eastAsia" w:ascii="仿宋" w:hAnsi="仿宋" w:eastAsia="仿宋" w:cs="仿宋"/>
                <w:bCs/>
                <w:color w:val="auto"/>
                <w:sz w:val="24"/>
                <w:highlight w:val="none"/>
                <w:lang w:val="en-US"/>
              </w:rPr>
              <w:t>采购人</w:t>
            </w:r>
            <w:r>
              <w:rPr>
                <w:rFonts w:hint="eastAsia" w:ascii="仿宋" w:hAnsi="仿宋" w:eastAsia="仿宋" w:cs="仿宋"/>
                <w:bCs/>
                <w:color w:val="auto"/>
                <w:sz w:val="24"/>
                <w:highlight w:val="none"/>
              </w:rPr>
              <w:t>有权单方面终止本协议。如有因</w:t>
            </w:r>
            <w:r>
              <w:rPr>
                <w:rFonts w:hint="eastAsia" w:ascii="仿宋" w:hAnsi="仿宋" w:eastAsia="仿宋" w:cs="仿宋"/>
                <w:bCs/>
                <w:color w:val="auto"/>
                <w:sz w:val="24"/>
                <w:highlight w:val="none"/>
                <w:lang w:val="en-US"/>
              </w:rPr>
              <w:t>中标供应商</w:t>
            </w:r>
            <w:r>
              <w:rPr>
                <w:rFonts w:hint="eastAsia" w:ascii="仿宋" w:hAnsi="仿宋" w:eastAsia="仿宋" w:cs="仿宋"/>
                <w:bCs/>
                <w:color w:val="auto"/>
                <w:sz w:val="24"/>
                <w:highlight w:val="none"/>
              </w:rPr>
              <w:t>服务不到位，或发生差错事故和意外事件，遭投诉引起纠纷索赔者，由</w:t>
            </w:r>
            <w:r>
              <w:rPr>
                <w:rFonts w:hint="eastAsia" w:ascii="仿宋" w:hAnsi="仿宋" w:eastAsia="仿宋" w:cs="仿宋"/>
                <w:bCs/>
                <w:color w:val="auto"/>
                <w:sz w:val="24"/>
                <w:highlight w:val="none"/>
                <w:lang w:val="en-US"/>
              </w:rPr>
              <w:t>中标供应商</w:t>
            </w:r>
            <w:r>
              <w:rPr>
                <w:rFonts w:hint="eastAsia" w:ascii="仿宋" w:hAnsi="仿宋" w:eastAsia="仿宋" w:cs="仿宋"/>
                <w:bCs/>
                <w:color w:val="auto"/>
                <w:sz w:val="24"/>
                <w:highlight w:val="none"/>
              </w:rPr>
              <w:t>自行负责，相关费用</w:t>
            </w:r>
            <w:r>
              <w:rPr>
                <w:rFonts w:hint="eastAsia" w:ascii="仿宋" w:hAnsi="仿宋" w:eastAsia="仿宋" w:cs="仿宋"/>
                <w:bCs/>
                <w:color w:val="auto"/>
                <w:sz w:val="24"/>
                <w:highlight w:val="none"/>
                <w:lang w:val="en-US"/>
              </w:rPr>
              <w:t>中标供应商</w:t>
            </w:r>
            <w:r>
              <w:rPr>
                <w:rFonts w:hint="eastAsia" w:ascii="仿宋" w:hAnsi="仿宋" w:eastAsia="仿宋" w:cs="仿宋"/>
                <w:bCs/>
                <w:color w:val="auto"/>
                <w:sz w:val="24"/>
                <w:highlight w:val="none"/>
              </w:rPr>
              <w:t>自行承担，采购</w:t>
            </w:r>
            <w:r>
              <w:rPr>
                <w:rFonts w:hint="eastAsia" w:ascii="仿宋" w:hAnsi="仿宋" w:eastAsia="仿宋" w:cs="仿宋"/>
                <w:bCs/>
                <w:color w:val="auto"/>
                <w:sz w:val="24"/>
                <w:highlight w:val="none"/>
                <w:lang w:val="en-US"/>
              </w:rPr>
              <w:t>人</w:t>
            </w:r>
            <w:r>
              <w:rPr>
                <w:rFonts w:hint="eastAsia" w:ascii="仿宋" w:hAnsi="仿宋" w:eastAsia="仿宋" w:cs="仿宋"/>
                <w:bCs/>
                <w:color w:val="auto"/>
                <w:sz w:val="24"/>
                <w:highlight w:val="none"/>
              </w:rPr>
              <w:t>在被服务的企退人员索赔时不承担任何责任。</w:t>
            </w:r>
          </w:p>
        </w:tc>
      </w:tr>
      <w:tr w14:paraId="2B81C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vAlign w:val="center"/>
          </w:tcPr>
          <w:p w14:paraId="6F7D2B21">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2.19</w:t>
            </w:r>
          </w:p>
        </w:tc>
        <w:tc>
          <w:tcPr>
            <w:tcW w:w="8149" w:type="dxa"/>
            <w:vAlign w:val="center"/>
          </w:tcPr>
          <w:p w14:paraId="43CE10F1">
            <w:pPr>
              <w:spacing w:line="240" w:lineRule="auto"/>
              <w:jc w:val="both"/>
              <w:rPr>
                <w:rFonts w:hint="eastAsia" w:ascii="仿宋" w:hAnsi="仿宋" w:eastAsia="仿宋" w:cs="仿宋"/>
                <w:color w:val="auto"/>
                <w:sz w:val="24"/>
                <w:highlight w:val="none"/>
              </w:rPr>
            </w:pPr>
            <w:r>
              <w:rPr>
                <w:rFonts w:hint="eastAsia" w:ascii="仿宋" w:hAnsi="仿宋" w:eastAsia="仿宋" w:cs="仿宋"/>
                <w:bCs/>
                <w:color w:val="auto"/>
                <w:sz w:val="24"/>
                <w:highlight w:val="none"/>
              </w:rPr>
              <w:t>本合同一式【肆】份，甲方执【</w:t>
            </w:r>
            <w:r>
              <w:rPr>
                <w:rFonts w:hint="eastAsia" w:ascii="仿宋" w:hAnsi="仿宋" w:eastAsia="仿宋" w:cs="仿宋"/>
                <w:bCs/>
                <w:color w:val="auto"/>
                <w:sz w:val="24"/>
                <w:highlight w:val="none"/>
                <w:lang w:val="en-US" w:eastAsia="zh-CN"/>
              </w:rPr>
              <w:t>贰</w:t>
            </w:r>
            <w:r>
              <w:rPr>
                <w:rFonts w:hint="eastAsia" w:ascii="仿宋" w:hAnsi="仿宋" w:eastAsia="仿宋" w:cs="仿宋"/>
                <w:bCs/>
                <w:color w:val="auto"/>
                <w:sz w:val="24"/>
                <w:highlight w:val="none"/>
              </w:rPr>
              <w:t>】份，乙方执【贰】份</w:t>
            </w:r>
          </w:p>
        </w:tc>
      </w:tr>
    </w:tbl>
    <w:p w14:paraId="5CBB95A5">
      <w:pPr>
        <w:spacing w:line="360" w:lineRule="auto"/>
        <w:ind w:left="-420" w:leftChars="-200" w:right="-420" w:rightChars="-200" w:firstLine="480" w:firstLineChars="200"/>
        <w:rPr>
          <w:rFonts w:hint="eastAsia" w:ascii="仿宋" w:hAnsi="仿宋" w:eastAsia="仿宋" w:cs="仿宋"/>
          <w:color w:val="auto"/>
          <w:sz w:val="24"/>
          <w:highlight w:val="none"/>
        </w:rPr>
      </w:pPr>
    </w:p>
    <w:p w14:paraId="710A2F31">
      <w:pPr>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br w:type="page"/>
      </w:r>
    </w:p>
    <w:p w14:paraId="2E23C2DC">
      <w:pPr>
        <w:pStyle w:val="3"/>
        <w:widowControl/>
        <w:adjustRightInd/>
        <w:snapToGrid/>
        <w:spacing w:beforeLines="0" w:afterLines="0"/>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第六部分 应提交的有关格式范例</w:t>
      </w:r>
    </w:p>
    <w:p w14:paraId="032C071B">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资格文件部分</w:t>
      </w:r>
    </w:p>
    <w:p w14:paraId="61775C3B">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69F1086D">
      <w:pPr>
        <w:numPr>
          <w:ilvl w:val="0"/>
          <w:numId w:val="0"/>
        </w:num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（1）符合参加政府采购活动应当具备的一般条件的承诺函………………………………（页码）</w:t>
      </w:r>
    </w:p>
    <w:p w14:paraId="5146868F">
      <w:pPr>
        <w:numPr>
          <w:ilvl w:val="0"/>
          <w:numId w:val="0"/>
        </w:num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snapToGrid/>
          <w:color w:val="auto"/>
          <w:kern w:val="2"/>
          <w:sz w:val="24"/>
          <w:szCs w:val="24"/>
          <w:highlight w:val="none"/>
        </w:rPr>
        <w:t>（2）联合协议</w:t>
      </w:r>
      <w:r>
        <w:rPr>
          <w:rFonts w:hint="eastAsia" w:ascii="仿宋" w:hAnsi="仿宋" w:eastAsia="仿宋" w:cs="仿宋"/>
          <w:color w:val="auto"/>
          <w:sz w:val="24"/>
          <w:highlight w:val="none"/>
        </w:rPr>
        <w:t>…………………………………………………………………………………（页码）</w:t>
      </w:r>
    </w:p>
    <w:p w14:paraId="4BAFF7A7">
      <w:pPr>
        <w:numPr>
          <w:ilvl w:val="0"/>
          <w:numId w:val="0"/>
        </w:num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（3）落实政府采购政策需满足的资格要求…………………………………………………（页码）</w:t>
      </w:r>
    </w:p>
    <w:p w14:paraId="77C676AC">
      <w:pPr>
        <w:numPr>
          <w:ilvl w:val="0"/>
          <w:numId w:val="0"/>
        </w:num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（4）本项目的特定资格要求…………………………………………………………………（页码）</w:t>
      </w:r>
    </w:p>
    <w:p w14:paraId="34432013">
      <w:pPr>
        <w:spacing w:line="360" w:lineRule="auto"/>
        <w:ind w:firstLine="480" w:firstLineChars="200"/>
        <w:rPr>
          <w:rFonts w:hint="eastAsia" w:ascii="仿宋" w:hAnsi="仿宋" w:eastAsia="仿宋" w:cs="仿宋"/>
          <w:color w:val="auto"/>
          <w:sz w:val="24"/>
          <w:highlight w:val="none"/>
        </w:rPr>
      </w:pPr>
    </w:p>
    <w:p w14:paraId="5617F7A7">
      <w:pPr>
        <w:snapToGrid w:val="0"/>
        <w:spacing w:line="360" w:lineRule="auto"/>
        <w:ind w:right="48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br w:type="page"/>
      </w:r>
      <w:r>
        <w:rPr>
          <w:rFonts w:hint="eastAsia" w:ascii="仿宋" w:hAnsi="仿宋" w:eastAsia="仿宋" w:cs="仿宋"/>
          <w:b/>
          <w:color w:val="auto"/>
          <w:kern w:val="0"/>
          <w:sz w:val="32"/>
          <w:szCs w:val="32"/>
          <w:highlight w:val="none"/>
        </w:rPr>
        <w:t>一、符合参加政府采购活动应当具备的一般条件的承诺函</w:t>
      </w:r>
    </w:p>
    <w:p w14:paraId="50B89186">
      <w:pPr>
        <w:snapToGrid w:val="0"/>
        <w:spacing w:line="360" w:lineRule="auto"/>
        <w:ind w:right="48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w:t>
      </w:r>
    </w:p>
    <w:p w14:paraId="67C1AC5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我方参与（项目名称）【招标编号：（采购编号）】政府采购活动，郑重承诺：</w:t>
      </w:r>
    </w:p>
    <w:p w14:paraId="0628E840">
      <w:pPr>
        <w:snapToGrid w:val="0"/>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（一）具备《中华人民共和国政府采购法》第二十二条第一款规定的条件：</w:t>
      </w:r>
    </w:p>
    <w:p w14:paraId="343086E5">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具有独立承担民事责任的能力；</w:t>
      </w:r>
    </w:p>
    <w:p w14:paraId="0B76B02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具有良好的商业信誉和健全的财务会计制度；</w:t>
      </w:r>
    </w:p>
    <w:p w14:paraId="38F96CF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具有履行合同所必需的设备和专业技术能力；</w:t>
      </w:r>
    </w:p>
    <w:p w14:paraId="6F071C9C">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4.</w:t>
      </w:r>
      <w:r>
        <w:rPr>
          <w:rFonts w:hint="eastAsia" w:ascii="仿宋" w:hAnsi="仿宋" w:eastAsia="仿宋" w:cs="仿宋"/>
          <w:color w:val="auto"/>
          <w:sz w:val="24"/>
          <w:highlight w:val="none"/>
        </w:rPr>
        <w:t>有依法缴纳税收和社会保障资金的良好记录；</w:t>
      </w:r>
    </w:p>
    <w:p w14:paraId="6C9F4C4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rPr>
        <w:t>参加政府采购活动前三年内，在经营活动中没有重大违法记录；</w:t>
      </w:r>
    </w:p>
    <w:p w14:paraId="213656A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6.</w:t>
      </w:r>
      <w:r>
        <w:rPr>
          <w:rFonts w:hint="eastAsia" w:ascii="仿宋" w:hAnsi="仿宋" w:eastAsia="仿宋" w:cs="仿宋"/>
          <w:color w:val="auto"/>
          <w:sz w:val="24"/>
          <w:highlight w:val="none"/>
        </w:rPr>
        <w:t>具有法律、行政法规规定的其他条件。</w:t>
      </w:r>
    </w:p>
    <w:p w14:paraId="07A2D8E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（二）未被信用中国（www.creditchina.gov.cn</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、中国政府采购网（www.ccgp.gov.cn）列入失信被执行人、</w:t>
      </w:r>
      <w:r>
        <w:rPr>
          <w:rFonts w:hint="eastAsia" w:ascii="仿宋" w:hAnsi="仿宋" w:eastAsia="仿宋" w:cs="仿宋"/>
          <w:color w:val="auto"/>
          <w:sz w:val="24"/>
          <w:highlight w:val="none"/>
          <w:lang w:eastAsia="zh-CN"/>
        </w:rPr>
        <w:t>重大税收违法失信主体</w:t>
      </w:r>
      <w:r>
        <w:rPr>
          <w:rFonts w:hint="eastAsia" w:ascii="仿宋" w:hAnsi="仿宋" w:eastAsia="仿宋" w:cs="仿宋"/>
          <w:color w:val="auto"/>
          <w:sz w:val="24"/>
          <w:highlight w:val="none"/>
        </w:rPr>
        <w:t>、政府采购严重违法失信行为记录名单。</w:t>
      </w:r>
    </w:p>
    <w:p w14:paraId="6D5BB57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（三）不存在以下情况：</w:t>
      </w:r>
    </w:p>
    <w:p w14:paraId="2B64A35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单位负责人为同一人或者存在直接控股、管理关系的不同供应商参加同一合同项下的政府采购活动的；</w:t>
      </w:r>
    </w:p>
    <w:p w14:paraId="4EA363AA">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为采购项目提供整体设计、规范编制或者项目管理、监理、检测等服务后再参加该采购项目的其他采购活动的。</w:t>
      </w:r>
    </w:p>
    <w:p w14:paraId="6D1EE082">
      <w:pPr>
        <w:snapToGrid w:val="0"/>
        <w:spacing w:line="360" w:lineRule="auto"/>
        <w:ind w:firstLine="5520" w:firstLineChars="2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投标人名称（电子签名）：</w:t>
      </w:r>
    </w:p>
    <w:p w14:paraId="7C239F00">
      <w:pPr>
        <w:snapToGrid w:val="0"/>
        <w:spacing w:line="360" w:lineRule="auto"/>
        <w:ind w:firstLine="5520" w:firstLineChars="23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0F252A82">
      <w:pPr>
        <w:widowControl/>
        <w:adjustRightInd/>
        <w:spacing w:line="360" w:lineRule="auto"/>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70458CB5">
      <w:pPr>
        <w:widowControl/>
        <w:spacing w:line="360" w:lineRule="auto"/>
        <w:ind w:firstLine="643" w:firstLineChars="20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二、联合协议（如果有）</w:t>
      </w:r>
    </w:p>
    <w:p w14:paraId="300EBDC1">
      <w:pPr>
        <w:widowControl/>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[以联合体形式投标的，提供联合协议（附件5）；本项目不接受联合体投标或者投标人不以联合体形式投标的，则不需要提供]</w:t>
      </w:r>
    </w:p>
    <w:p w14:paraId="30F723EE">
      <w:pPr>
        <w:snapToGrid w:val="0"/>
        <w:spacing w:line="360" w:lineRule="auto"/>
        <w:ind w:right="480"/>
        <w:jc w:val="center"/>
        <w:rPr>
          <w:rFonts w:hint="eastAsia" w:ascii="仿宋" w:hAnsi="仿宋" w:eastAsia="仿宋" w:cs="仿宋"/>
          <w:b/>
          <w:color w:val="auto"/>
          <w:kern w:val="0"/>
          <w:sz w:val="32"/>
          <w:szCs w:val="32"/>
          <w:highlight w:val="none"/>
        </w:rPr>
      </w:pPr>
    </w:p>
    <w:p w14:paraId="7BE4601C">
      <w:pPr>
        <w:snapToGrid w:val="0"/>
        <w:spacing w:line="360" w:lineRule="auto"/>
        <w:ind w:right="480"/>
        <w:jc w:val="center"/>
        <w:rPr>
          <w:rFonts w:hint="eastAsia" w:ascii="仿宋" w:hAnsi="仿宋" w:eastAsia="仿宋" w:cs="仿宋"/>
          <w:b/>
          <w:color w:val="auto"/>
          <w:kern w:val="0"/>
          <w:sz w:val="32"/>
          <w:szCs w:val="32"/>
          <w:highlight w:val="none"/>
        </w:rPr>
      </w:pPr>
    </w:p>
    <w:p w14:paraId="5786E3C3">
      <w:pPr>
        <w:snapToGrid w:val="0"/>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三、落实政府采购政策需满足的资格要求</w:t>
      </w:r>
    </w:p>
    <w:p w14:paraId="4239D72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（根据招标公告落实政府采购政策需满足的资格要求选择提供相应的材料；未要求的，无需提供）</w:t>
      </w:r>
    </w:p>
    <w:p w14:paraId="572AEC9C">
      <w:pPr>
        <w:snapToGrid w:val="0"/>
        <w:spacing w:before="50" w:after="50" w:line="360" w:lineRule="auto"/>
        <w:ind w:firstLine="472" w:firstLineChars="196"/>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A</w:t>
      </w:r>
      <w:r>
        <w:rPr>
          <w:rFonts w:hint="eastAsia" w:ascii="仿宋" w:hAnsi="仿宋" w:eastAsia="仿宋" w:cs="仿宋"/>
          <w:color w:val="auto"/>
          <w:sz w:val="24"/>
          <w:highlight w:val="none"/>
        </w:rPr>
        <w:t>.专门面向中小企业，服务全部由符合政策要求的中小企业（或小微企业）承接的，提供相应的中小企业声明函（附件7）。</w:t>
      </w:r>
    </w:p>
    <w:p w14:paraId="72A13D52">
      <w:pPr>
        <w:widowControl/>
        <w:spacing w:line="360" w:lineRule="auto"/>
        <w:ind w:firstLine="480"/>
        <w:jc w:val="left"/>
        <w:rPr>
          <w:rFonts w:hint="eastAsia" w:ascii="仿宋" w:hAnsi="仿宋" w:eastAsia="仿宋" w:cs="仿宋"/>
          <w:color w:val="auto"/>
          <w:sz w:val="24"/>
          <w:highlight w:val="none"/>
        </w:rPr>
      </w:pPr>
    </w:p>
    <w:p w14:paraId="6498B48C">
      <w:pPr>
        <w:widowControl/>
        <w:spacing w:line="360" w:lineRule="auto"/>
        <w:ind w:firstLine="472" w:firstLineChars="196"/>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B.</w:t>
      </w:r>
      <w:r>
        <w:rPr>
          <w:rFonts w:hint="eastAsia" w:ascii="仿宋" w:hAnsi="仿宋" w:eastAsia="仿宋" w:cs="仿宋"/>
          <w:color w:val="auto"/>
          <w:sz w:val="24"/>
          <w:highlight w:val="none"/>
        </w:rPr>
        <w:t>要求以联合体形式参加的，提供联合协议（附件5）和中小企业声明函（附件7），联合协议中中小企业合同金额应当达到招标公告载明的比例；如果供应商本身提供所有标的均由中小企业承接的，</w:t>
      </w:r>
      <w:r>
        <w:rPr>
          <w:rFonts w:hint="eastAsia" w:ascii="仿宋" w:hAnsi="仿宋" w:eastAsia="仿宋" w:cs="仿宋"/>
          <w:color w:val="auto"/>
          <w:spacing w:val="8"/>
          <w:kern w:val="0"/>
          <w:sz w:val="24"/>
          <w:highlight w:val="none"/>
        </w:rPr>
        <w:t>并相应达到了前述比例要求，</w:t>
      </w:r>
      <w:r>
        <w:rPr>
          <w:rFonts w:hint="eastAsia" w:ascii="仿宋" w:hAnsi="仿宋" w:eastAsia="仿宋" w:cs="仿宋"/>
          <w:color w:val="auto"/>
          <w:sz w:val="24"/>
          <w:highlight w:val="none"/>
        </w:rPr>
        <w:t>视同符合了资格条件，无需再与其他中小企业组成联合体参加政府采购活动，无需提供联合协议。</w:t>
      </w:r>
    </w:p>
    <w:p w14:paraId="6E4F806A">
      <w:pPr>
        <w:spacing w:line="360" w:lineRule="auto"/>
        <w:ind w:firstLine="482" w:firstLineChars="200"/>
        <w:rPr>
          <w:rFonts w:hint="eastAsia" w:ascii="仿宋" w:hAnsi="仿宋" w:eastAsia="仿宋" w:cs="仿宋"/>
          <w:b/>
          <w:color w:val="auto"/>
          <w:sz w:val="24"/>
          <w:highlight w:val="none"/>
        </w:rPr>
      </w:pPr>
    </w:p>
    <w:p w14:paraId="65C266D3">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C、</w:t>
      </w:r>
      <w:r>
        <w:rPr>
          <w:rFonts w:hint="eastAsia" w:ascii="仿宋" w:hAnsi="仿宋" w:eastAsia="仿宋" w:cs="仿宋"/>
          <w:color w:val="auto"/>
          <w:sz w:val="24"/>
          <w:highlight w:val="none"/>
        </w:rPr>
        <w:t>要求合同分包的，提供分包意向协议（附件6）和中小企业声明函（附件7），分包意向协议中中小企业合同金额应当达到招标公告载明的比例；如果供应商本身提供所有标的均由中小企业承接的，</w:t>
      </w:r>
      <w:r>
        <w:rPr>
          <w:rFonts w:hint="eastAsia" w:ascii="仿宋" w:hAnsi="仿宋" w:eastAsia="仿宋" w:cs="仿宋"/>
          <w:color w:val="auto"/>
          <w:spacing w:val="8"/>
          <w:kern w:val="0"/>
          <w:sz w:val="24"/>
          <w:highlight w:val="none"/>
        </w:rPr>
        <w:t>并相应达到了前述比例要求，</w:t>
      </w:r>
      <w:r>
        <w:rPr>
          <w:rFonts w:hint="eastAsia" w:ascii="仿宋" w:hAnsi="仿宋" w:eastAsia="仿宋" w:cs="仿宋"/>
          <w:color w:val="auto"/>
          <w:sz w:val="24"/>
          <w:highlight w:val="none"/>
        </w:rPr>
        <w:t>视同符合了资格条件，无需再向中小企业分包，无需提供分包意向协议。</w:t>
      </w:r>
    </w:p>
    <w:p w14:paraId="1876F928">
      <w:pPr>
        <w:widowControl/>
        <w:spacing w:line="360" w:lineRule="auto"/>
        <w:ind w:left="150"/>
        <w:jc w:val="center"/>
        <w:rPr>
          <w:rFonts w:hint="eastAsia" w:ascii="仿宋" w:hAnsi="仿宋" w:eastAsia="仿宋" w:cs="仿宋"/>
          <w:b/>
          <w:color w:val="auto"/>
          <w:kern w:val="0"/>
          <w:sz w:val="32"/>
          <w:szCs w:val="32"/>
          <w:highlight w:val="none"/>
        </w:rPr>
      </w:pPr>
    </w:p>
    <w:p w14:paraId="6F9D2244">
      <w:pPr>
        <w:widowControl/>
        <w:spacing w:line="360" w:lineRule="auto"/>
        <w:ind w:left="15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四、本项目的特定资格要求</w:t>
      </w:r>
    </w:p>
    <w:p w14:paraId="65CDD70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（根据招标公告本项目的特定资格要求提供相应的材料；未要求的，无需提供）</w:t>
      </w:r>
    </w:p>
    <w:p w14:paraId="0EFB0B76">
      <w:pPr>
        <w:spacing w:line="360" w:lineRule="auto"/>
        <w:rPr>
          <w:rFonts w:hint="eastAsia" w:ascii="仿宋" w:hAnsi="仿宋" w:eastAsia="仿宋" w:cs="仿宋"/>
          <w:color w:val="auto"/>
          <w:highlight w:val="none"/>
        </w:rPr>
      </w:pPr>
    </w:p>
    <w:p w14:paraId="100E2D92">
      <w:pPr>
        <w:widowControl/>
        <w:adjustRightInd/>
        <w:spacing w:line="360" w:lineRule="auto"/>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br w:type="page"/>
      </w:r>
    </w:p>
    <w:p w14:paraId="1D8AAA0D">
      <w:pPr>
        <w:spacing w:line="360" w:lineRule="auto"/>
        <w:jc w:val="center"/>
        <w:outlineLvl w:val="0"/>
        <w:rPr>
          <w:rFonts w:hint="eastAsia" w:ascii="仿宋" w:hAnsi="仿宋" w:eastAsia="仿宋" w:cs="仿宋"/>
          <w:b/>
          <w:color w:val="auto"/>
          <w:kern w:val="0"/>
          <w:sz w:val="36"/>
          <w:szCs w:val="36"/>
          <w:highlight w:val="none"/>
        </w:rPr>
      </w:pPr>
      <w:bookmarkStart w:id="120" w:name="_GoBack"/>
      <w:bookmarkEnd w:id="120"/>
      <w:r>
        <w:rPr>
          <w:rFonts w:hint="eastAsia" w:ascii="仿宋" w:hAnsi="仿宋" w:eastAsia="仿宋" w:cs="仿宋"/>
          <w:b/>
          <w:color w:val="auto"/>
          <w:kern w:val="0"/>
          <w:sz w:val="36"/>
          <w:szCs w:val="36"/>
          <w:highlight w:val="none"/>
        </w:rPr>
        <w:t>商务技术文件部分</w:t>
      </w:r>
    </w:p>
    <w:p w14:paraId="0B59ADD3">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50B3432C">
      <w:pPr>
        <w:numPr>
          <w:ilvl w:val="0"/>
          <w:numId w:val="0"/>
        </w:numPr>
        <w:snapToGrid w:val="0"/>
        <w:spacing w:line="360" w:lineRule="auto"/>
        <w:ind w:left="0" w:leftChars="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（1）投标函……………………………………………………………………………………（页码）（2）授权委托书或法定代表人（单位负责人、自然人本人）身份证明…………………（页码）</w:t>
      </w:r>
    </w:p>
    <w:p w14:paraId="3285543E">
      <w:pPr>
        <w:numPr>
          <w:ilvl w:val="0"/>
          <w:numId w:val="0"/>
        </w:numPr>
        <w:snapToGrid w:val="0"/>
        <w:spacing w:line="360" w:lineRule="auto"/>
        <w:ind w:left="0" w:leftChars="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（3）分包意向协议……………………………………………………………………………（页码）</w:t>
      </w:r>
    </w:p>
    <w:p w14:paraId="4F7D421D">
      <w:pPr>
        <w:numPr>
          <w:ilvl w:val="0"/>
          <w:numId w:val="0"/>
        </w:numPr>
        <w:snapToGrid w:val="0"/>
        <w:spacing w:line="360" w:lineRule="auto"/>
        <w:ind w:firstLine="0" w:firstLineChars="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（4）符合性审查资料…………………………………………………………………………（页码）</w:t>
      </w:r>
    </w:p>
    <w:p w14:paraId="543D288C">
      <w:pPr>
        <w:numPr>
          <w:ilvl w:val="0"/>
          <w:numId w:val="0"/>
        </w:numPr>
        <w:snapToGrid w:val="0"/>
        <w:spacing w:line="360" w:lineRule="auto"/>
        <w:ind w:left="0" w:leftChars="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（5）评标标准相应的商务技术资料…………………………………………………………（页码）</w:t>
      </w:r>
    </w:p>
    <w:p w14:paraId="773CACA6">
      <w:pPr>
        <w:numPr>
          <w:ilvl w:val="0"/>
          <w:numId w:val="0"/>
        </w:numPr>
        <w:snapToGrid w:val="0"/>
        <w:spacing w:line="360" w:lineRule="auto"/>
        <w:ind w:left="0" w:leftChars="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（6）投标标的清单……………………………………………………………………………（页码）</w:t>
      </w:r>
    </w:p>
    <w:p w14:paraId="53008E1C">
      <w:pPr>
        <w:numPr>
          <w:ilvl w:val="0"/>
          <w:numId w:val="0"/>
        </w:numPr>
        <w:snapToGrid w:val="0"/>
        <w:spacing w:line="360" w:lineRule="auto"/>
        <w:ind w:left="0" w:leftChars="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（7）商务技术偏离表…………………………………………………………………………（页码）</w:t>
      </w:r>
    </w:p>
    <w:p w14:paraId="73E3B562">
      <w:pPr>
        <w:numPr>
          <w:ilvl w:val="0"/>
          <w:numId w:val="0"/>
        </w:numPr>
        <w:snapToGrid w:val="0"/>
        <w:spacing w:line="360" w:lineRule="auto"/>
        <w:ind w:left="0" w:leftChars="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w:t>
      </w: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en-US"/>
        </w:rPr>
        <w:t>）政府采购供应商廉洁自律承诺书</w:t>
      </w:r>
      <w:r>
        <w:rPr>
          <w:rFonts w:hint="eastAsia" w:ascii="仿宋" w:hAnsi="仿宋" w:eastAsia="仿宋" w:cs="仿宋"/>
          <w:color w:val="auto"/>
          <w:sz w:val="24"/>
          <w:highlight w:val="none"/>
        </w:rPr>
        <w:t>………………………………………………………（页码）</w:t>
      </w:r>
    </w:p>
    <w:p w14:paraId="17037920">
      <w:pPr>
        <w:widowControl/>
        <w:adjustRightInd/>
        <w:spacing w:line="360" w:lineRule="auto"/>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120BF732">
      <w:pPr>
        <w:widowControl/>
        <w:spacing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一、投标函</w:t>
      </w:r>
    </w:p>
    <w:p w14:paraId="29EFEBC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w:t>
      </w:r>
    </w:p>
    <w:p w14:paraId="0422059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我方参加你方组织的（项目名称）【招标编号：（采购编号）】招标的有关活动，并对此项目进行投标。为此：</w:t>
      </w:r>
    </w:p>
    <w:p w14:paraId="6F74B86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我方承诺投标有效期从提交投标文件的截止之日起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天（不少于90天）</w:t>
      </w:r>
      <w:r>
        <w:rPr>
          <w:rFonts w:hint="eastAsia" w:ascii="仿宋" w:hAnsi="仿宋" w:eastAsia="仿宋" w:cs="仿宋"/>
          <w:color w:val="auto"/>
          <w:highlight w:val="none"/>
        </w:rPr>
        <w:t>，</w:t>
      </w:r>
      <w:r>
        <w:rPr>
          <w:rFonts w:hint="eastAsia" w:ascii="仿宋" w:hAnsi="仿宋" w:eastAsia="仿宋" w:cs="仿宋"/>
          <w:color w:val="auto"/>
          <w:sz w:val="24"/>
          <w:highlight w:val="none"/>
        </w:rPr>
        <w:t>本投标文件在投标有效期满之前均具有约束力。</w:t>
      </w:r>
    </w:p>
    <w:p w14:paraId="7EDA250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我方的投标文件包括以下内容：</w:t>
      </w:r>
    </w:p>
    <w:p w14:paraId="6B30A7B4">
      <w:pPr>
        <w:keepNext w:val="0"/>
        <w:keepLines w:val="0"/>
        <w:pageBreakBefore w:val="0"/>
        <w:widowControl w:val="0"/>
        <w:kinsoku/>
        <w:wordWrap/>
        <w:overflowPunct/>
        <w:topLinePunct w:val="0"/>
        <w:autoSpaceDE/>
        <w:autoSpaceDN/>
        <w:bidi w:val="0"/>
        <w:adjustRightInd w:val="0"/>
        <w:snapToGrid w:val="0"/>
        <w:spacing w:line="240" w:lineRule="auto"/>
        <w:ind w:left="210" w:leftChars="1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2.1资格文件：</w:t>
      </w:r>
    </w:p>
    <w:p w14:paraId="4B77DDC4">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2.1.1承诺函；</w:t>
      </w:r>
    </w:p>
    <w:p w14:paraId="371D7975">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2.1.2</w:t>
      </w:r>
      <w:r>
        <w:rPr>
          <w:rFonts w:hint="eastAsia" w:ascii="仿宋" w:hAnsi="仿宋" w:eastAsia="仿宋" w:cs="仿宋"/>
          <w:snapToGrid w:val="0"/>
          <w:color w:val="auto"/>
          <w:kern w:val="28"/>
          <w:sz w:val="24"/>
          <w:szCs w:val="20"/>
          <w:highlight w:val="none"/>
        </w:rPr>
        <w:t>联合协议</w:t>
      </w:r>
      <w:r>
        <w:rPr>
          <w:rFonts w:hint="eastAsia" w:ascii="仿宋" w:hAnsi="仿宋" w:eastAsia="仿宋" w:cs="仿宋"/>
          <w:color w:val="auto"/>
          <w:sz w:val="24"/>
          <w:highlight w:val="none"/>
        </w:rPr>
        <w:t>（如果有</w:t>
      </w:r>
      <w:r>
        <w:rPr>
          <w:rFonts w:hint="eastAsia" w:ascii="仿宋" w:hAnsi="仿宋" w:eastAsia="仿宋" w:cs="仿宋"/>
          <w:color w:val="auto"/>
          <w:sz w:val="24"/>
          <w:highlight w:val="none"/>
          <w:lang w:eastAsia="zh-CN"/>
        </w:rPr>
        <w:t>）</w:t>
      </w:r>
      <w:r>
        <w:rPr>
          <w:rFonts w:hint="eastAsia" w:ascii="仿宋" w:hAnsi="仿宋" w:eastAsia="仿宋" w:cs="仿宋"/>
          <w:snapToGrid w:val="0"/>
          <w:color w:val="auto"/>
          <w:kern w:val="28"/>
          <w:sz w:val="24"/>
          <w:szCs w:val="20"/>
          <w:highlight w:val="none"/>
        </w:rPr>
        <w:t>；</w:t>
      </w:r>
    </w:p>
    <w:p w14:paraId="061BAF60">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2.1.3落实政府采购政策需满足的资格要求（如果有）；</w:t>
      </w:r>
    </w:p>
    <w:p w14:paraId="7639C797">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2.1.4本项目的特定资格要求（如果有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317610F8">
      <w:pPr>
        <w:keepNext w:val="0"/>
        <w:keepLines w:val="0"/>
        <w:pageBreakBefore w:val="0"/>
        <w:widowControl w:val="0"/>
        <w:kinsoku/>
        <w:wordWrap/>
        <w:overflowPunct/>
        <w:topLinePunct w:val="0"/>
        <w:autoSpaceDE/>
        <w:autoSpaceDN/>
        <w:bidi w:val="0"/>
        <w:adjustRightInd w:val="0"/>
        <w:snapToGrid w:val="0"/>
        <w:spacing w:line="240" w:lineRule="auto"/>
        <w:ind w:left="210" w:leftChars="10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商务技术</w:t>
      </w:r>
      <w:r>
        <w:rPr>
          <w:rFonts w:hint="eastAsia" w:ascii="仿宋" w:hAnsi="仿宋" w:eastAsia="仿宋" w:cs="仿宋"/>
          <w:color w:val="auto"/>
          <w:sz w:val="24"/>
          <w:highlight w:val="none"/>
          <w:lang w:val="zh-CN"/>
        </w:rPr>
        <w:t>文件：</w:t>
      </w:r>
    </w:p>
    <w:p w14:paraId="53DC17F2">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2.2.1投标函；</w:t>
      </w:r>
    </w:p>
    <w:p w14:paraId="32D7484B">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2.2.2授权委托书或法定代表人（单位负责人）身份证明；</w:t>
      </w:r>
    </w:p>
    <w:p w14:paraId="662C239C">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2.2.3分包意向协议（如果有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258BA549">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2.2.4符合性审查资料；</w:t>
      </w:r>
    </w:p>
    <w:p w14:paraId="6011DD16">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2.2.5评标标准相应的商务技术资料；</w:t>
      </w:r>
    </w:p>
    <w:p w14:paraId="6D022484">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2.2.6投标标的清单；</w:t>
      </w:r>
    </w:p>
    <w:p w14:paraId="782333C8">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2.2.7商务技术偏离表；</w:t>
      </w:r>
    </w:p>
    <w:p w14:paraId="57A63641">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zh-CN"/>
        </w:rPr>
        <w:t>政府采购供应商廉洁自律承诺书；</w:t>
      </w:r>
    </w:p>
    <w:p w14:paraId="7A23EC10">
      <w:pPr>
        <w:keepNext w:val="0"/>
        <w:keepLines w:val="0"/>
        <w:pageBreakBefore w:val="0"/>
        <w:widowControl w:val="0"/>
        <w:kinsoku/>
        <w:wordWrap/>
        <w:overflowPunct/>
        <w:topLinePunct w:val="0"/>
        <w:autoSpaceDE/>
        <w:autoSpaceDN/>
        <w:bidi w:val="0"/>
        <w:adjustRightInd w:val="0"/>
        <w:snapToGrid w:val="0"/>
        <w:spacing w:line="240" w:lineRule="auto"/>
        <w:ind w:left="210" w:leftChars="1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3报价文件</w:t>
      </w:r>
    </w:p>
    <w:p w14:paraId="318772EB">
      <w:pPr>
        <w:keepNext w:val="0"/>
        <w:keepLines w:val="0"/>
        <w:pageBreakBefore w:val="0"/>
        <w:widowControl w:val="0"/>
        <w:kinsoku/>
        <w:wordWrap/>
        <w:overflowPunct/>
        <w:topLinePunct w:val="0"/>
        <w:autoSpaceDE/>
        <w:autoSpaceDN/>
        <w:bidi w:val="0"/>
        <w:adjustRightInd w:val="0"/>
        <w:spacing w:line="240" w:lineRule="auto"/>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2.3.1开标一览表（报价表）；</w:t>
      </w:r>
    </w:p>
    <w:p w14:paraId="3CFEFC50">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2.3.2中小企业声明函（如果有）。</w:t>
      </w:r>
    </w:p>
    <w:p w14:paraId="06CBF79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3.我方承诺除商务技术偏离表列出的偏离外，我方响应招标文件的全部要求。对投标文件中材料的真实性、合法性负责，积极配合采购人、采购代理机构复核投标文件中的资料。</w:t>
      </w:r>
    </w:p>
    <w:p w14:paraId="0B85933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4.</w:t>
      </w:r>
      <w:r>
        <w:rPr>
          <w:rFonts w:hint="eastAsia" w:ascii="仿宋" w:hAnsi="仿宋" w:eastAsia="仿宋" w:cs="仿宋"/>
          <w:color w:val="auto"/>
          <w:sz w:val="24"/>
          <w:highlight w:val="none"/>
        </w:rPr>
        <w:t>如我方中标，我方承诺：</w:t>
      </w:r>
    </w:p>
    <w:p w14:paraId="0A71E2BB">
      <w:pPr>
        <w:keepNext w:val="0"/>
        <w:keepLines w:val="0"/>
        <w:pageBreakBefore w:val="0"/>
        <w:widowControl w:val="0"/>
        <w:kinsoku/>
        <w:wordWrap/>
        <w:overflowPunct/>
        <w:topLinePunct w:val="0"/>
        <w:autoSpaceDE/>
        <w:autoSpaceDN/>
        <w:bidi w:val="0"/>
        <w:adjustRightInd w:val="0"/>
        <w:snapToGrid w:val="0"/>
        <w:spacing w:line="240" w:lineRule="auto"/>
        <w:ind w:left="210" w:leftChars="1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4.1在收到中标通知书后，在中标通知书规定的期限内与你方签订合同；</w:t>
      </w:r>
    </w:p>
    <w:p w14:paraId="130FB33E">
      <w:pPr>
        <w:keepNext w:val="0"/>
        <w:keepLines w:val="0"/>
        <w:pageBreakBefore w:val="0"/>
        <w:widowControl w:val="0"/>
        <w:kinsoku/>
        <w:wordWrap/>
        <w:overflowPunct/>
        <w:topLinePunct w:val="0"/>
        <w:autoSpaceDE/>
        <w:autoSpaceDN/>
        <w:bidi w:val="0"/>
        <w:adjustRightInd w:val="0"/>
        <w:snapToGrid w:val="0"/>
        <w:spacing w:line="240" w:lineRule="auto"/>
        <w:ind w:left="210" w:leftChars="1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4.2在签订合同时不向你方提出附加条件；</w:t>
      </w:r>
    </w:p>
    <w:p w14:paraId="6097B5ED">
      <w:pPr>
        <w:keepNext w:val="0"/>
        <w:keepLines w:val="0"/>
        <w:pageBreakBefore w:val="0"/>
        <w:widowControl w:val="0"/>
        <w:kinsoku/>
        <w:wordWrap/>
        <w:overflowPunct/>
        <w:topLinePunct w:val="0"/>
        <w:autoSpaceDE/>
        <w:autoSpaceDN/>
        <w:bidi w:val="0"/>
        <w:adjustRightInd w:val="0"/>
        <w:snapToGrid w:val="0"/>
        <w:spacing w:line="240" w:lineRule="auto"/>
        <w:ind w:left="210" w:leftChars="1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4.3按照招标文件要求提交履约保证金；</w:t>
      </w:r>
    </w:p>
    <w:p w14:paraId="37769F2F">
      <w:pPr>
        <w:keepNext w:val="0"/>
        <w:keepLines w:val="0"/>
        <w:pageBreakBefore w:val="0"/>
        <w:widowControl w:val="0"/>
        <w:kinsoku/>
        <w:wordWrap/>
        <w:overflowPunct/>
        <w:topLinePunct w:val="0"/>
        <w:autoSpaceDE/>
        <w:autoSpaceDN/>
        <w:bidi w:val="0"/>
        <w:adjustRightInd w:val="0"/>
        <w:snapToGrid w:val="0"/>
        <w:spacing w:line="240" w:lineRule="auto"/>
        <w:ind w:left="210" w:leftChars="10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4.4在合同约定的期限内完成合同规定的全部义务。</w:t>
      </w:r>
    </w:p>
    <w:p w14:paraId="707CEE32">
      <w:pPr>
        <w:keepNext w:val="0"/>
        <w:keepLines w:val="0"/>
        <w:pageBreakBefore w:val="0"/>
        <w:widowControl w:val="0"/>
        <w:numPr>
          <w:ilvl w:val="0"/>
          <w:numId w:val="0"/>
        </w:numPr>
        <w:kinsoku/>
        <w:wordWrap/>
        <w:overflowPunct/>
        <w:topLinePunct w:val="0"/>
        <w:autoSpaceDE/>
        <w:autoSpaceDN/>
        <w:bidi w:val="0"/>
        <w:adjustRightInd w:val="0"/>
        <w:spacing w:line="240" w:lineRule="auto"/>
        <w:ind w:firstLine="480" w:firstLineChars="200"/>
        <w:jc w:val="both"/>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lang w:val="en-US" w:eastAsia="zh-CN"/>
        </w:rPr>
        <w:t>对</w:t>
      </w:r>
      <w:r>
        <w:rPr>
          <w:rFonts w:hint="eastAsia" w:ascii="仿宋" w:hAnsi="仿宋" w:eastAsia="仿宋" w:cs="仿宋"/>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21440DB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其他补充说明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8F348A2">
      <w:pPr>
        <w:keepNext w:val="0"/>
        <w:keepLines w:val="0"/>
        <w:pageBreakBefore w:val="0"/>
        <w:widowControl w:val="0"/>
        <w:kinsoku/>
        <w:wordWrap/>
        <w:overflowPunct/>
        <w:topLinePunct w:val="0"/>
        <w:autoSpaceDE/>
        <w:autoSpaceDN/>
        <w:bidi w:val="0"/>
        <w:adjustRightInd w:val="0"/>
        <w:spacing w:line="240" w:lineRule="auto"/>
        <w:ind w:firstLine="3600" w:firstLineChars="15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投标人名称（电子签名）：</w:t>
      </w:r>
    </w:p>
    <w:p w14:paraId="5274EC15">
      <w:pPr>
        <w:keepNext w:val="0"/>
        <w:keepLines w:val="0"/>
        <w:pageBreakBefore w:val="0"/>
        <w:widowControl w:val="0"/>
        <w:kinsoku/>
        <w:wordWrap/>
        <w:overflowPunct/>
        <w:topLinePunct w:val="0"/>
        <w:autoSpaceDE/>
        <w:autoSpaceDN/>
        <w:bidi w:val="0"/>
        <w:adjustRightInd w:val="0"/>
        <w:spacing w:line="240" w:lineRule="auto"/>
        <w:ind w:firstLine="3600" w:firstLineChars="15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09039FB5">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200" w:firstLineChars="1750"/>
        <w:textAlignment w:val="auto"/>
        <w:rPr>
          <w:rFonts w:hint="eastAsia" w:ascii="仿宋" w:hAnsi="仿宋" w:eastAsia="仿宋" w:cs="仿宋"/>
          <w:color w:val="auto"/>
          <w:kern w:val="0"/>
          <w:sz w:val="24"/>
          <w:highlight w:val="none"/>
          <w:u w:val="single"/>
        </w:rPr>
      </w:pPr>
    </w:p>
    <w:p w14:paraId="32D66FC6">
      <w:pPr>
        <w:keepNext w:val="0"/>
        <w:keepLines w:val="0"/>
        <w:pageBreakBefore w:val="0"/>
        <w:widowControl w:val="0"/>
        <w:kinsoku/>
        <w:wordWrap/>
        <w:overflowPunct/>
        <w:topLinePunct w:val="0"/>
        <w:autoSpaceDE/>
        <w:autoSpaceDN/>
        <w:bidi w:val="0"/>
        <w:adjustRightInd w:val="0"/>
        <w:spacing w:line="240" w:lineRule="auto"/>
        <w:ind w:right="42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6FB156EE">
      <w:pPr>
        <w:spacing w:line="240" w:lineRule="auto"/>
        <w:jc w:val="center"/>
        <w:rPr>
          <w:rFonts w:hint="eastAsia" w:ascii="仿宋" w:hAnsi="仿宋" w:eastAsia="仿宋" w:cs="仿宋"/>
          <w:b/>
          <w:color w:val="auto"/>
          <w:kern w:val="0"/>
          <w:sz w:val="32"/>
          <w:szCs w:val="32"/>
          <w:highlight w:val="none"/>
          <w:lang w:val="zh-CN"/>
        </w:rPr>
        <w:sectPr>
          <w:headerReference r:id="rId9" w:type="first"/>
          <w:footerReference r:id="rId11" w:type="first"/>
          <w:headerReference r:id="rId8" w:type="default"/>
          <w:footerReference r:id="rId10" w:type="default"/>
          <w:pgSz w:w="11905" w:h="16838"/>
          <w:pgMar w:top="1440" w:right="1083" w:bottom="1440" w:left="1083" w:header="850" w:footer="850" w:gutter="0"/>
          <w:cols w:space="0" w:num="1"/>
          <w:titlePg/>
          <w:rtlGutter w:val="0"/>
          <w:docGrid w:linePitch="312" w:charSpace="0"/>
        </w:sectPr>
      </w:pPr>
    </w:p>
    <w:p w14:paraId="5EDC818B">
      <w:pPr>
        <w:spacing w:line="360" w:lineRule="auto"/>
        <w:jc w:val="center"/>
        <w:rPr>
          <w:rFonts w:hint="eastAsia" w:ascii="仿宋" w:hAnsi="仿宋" w:eastAsia="仿宋" w:cs="仿宋"/>
          <w:color w:val="auto"/>
          <w:sz w:val="24"/>
          <w:highlight w:val="none"/>
        </w:rPr>
      </w:pPr>
      <w:r>
        <w:rPr>
          <w:rFonts w:hint="eastAsia" w:ascii="仿宋" w:hAnsi="仿宋" w:eastAsia="仿宋" w:cs="仿宋"/>
          <w:b/>
          <w:color w:val="auto"/>
          <w:kern w:val="0"/>
          <w:sz w:val="32"/>
          <w:szCs w:val="32"/>
          <w:highlight w:val="none"/>
          <w:lang w:val="zh-CN"/>
        </w:rPr>
        <w:t>二、授权委托书或法定代表人（单位负责人、自然人本人）身份证明</w:t>
      </w:r>
    </w:p>
    <w:p w14:paraId="5A3ED10D">
      <w:pPr>
        <w:snapToGrid w:val="0"/>
        <w:spacing w:line="360" w:lineRule="auto"/>
        <w:jc w:val="center"/>
        <w:rPr>
          <w:rFonts w:hint="eastAsia" w:ascii="仿宋" w:hAnsi="仿宋" w:eastAsia="仿宋" w:cs="仿宋"/>
          <w:b/>
          <w:color w:val="auto"/>
          <w:kern w:val="0"/>
          <w:sz w:val="32"/>
          <w:szCs w:val="32"/>
          <w:highlight w:val="none"/>
          <w:lang w:val="zh-CN"/>
        </w:rPr>
      </w:pPr>
    </w:p>
    <w:p w14:paraId="603EE3FF">
      <w:pPr>
        <w:snapToGrid w:val="0"/>
        <w:spacing w:line="360" w:lineRule="auto"/>
        <w:jc w:val="center"/>
        <w:rPr>
          <w:rFonts w:hint="eastAsia" w:ascii="仿宋" w:hAnsi="仿宋" w:eastAsia="仿宋" w:cs="仿宋"/>
          <w:color w:val="auto"/>
          <w:highlight w:val="none"/>
        </w:rPr>
      </w:pPr>
      <w:r>
        <w:rPr>
          <w:rFonts w:hint="eastAsia" w:ascii="仿宋" w:hAnsi="仿宋" w:eastAsia="仿宋" w:cs="仿宋"/>
          <w:b/>
          <w:color w:val="auto"/>
          <w:kern w:val="0"/>
          <w:sz w:val="32"/>
          <w:szCs w:val="32"/>
          <w:highlight w:val="none"/>
          <w:lang w:val="zh-CN"/>
        </w:rPr>
        <w:t>授权委托书（适用于非联合体投标）</w:t>
      </w:r>
    </w:p>
    <w:p w14:paraId="2BB41D75">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（采购人）、（采购代理机构）</w:t>
      </w:r>
      <w:r>
        <w:rPr>
          <w:rFonts w:hint="eastAsia" w:ascii="仿宋" w:hAnsi="仿宋" w:eastAsia="仿宋" w:cs="仿宋"/>
          <w:color w:val="auto"/>
          <w:kern w:val="0"/>
          <w:sz w:val="24"/>
          <w:highlight w:val="none"/>
          <w:lang w:val="zh-CN"/>
        </w:rPr>
        <w:t>：</w:t>
      </w:r>
    </w:p>
    <w:p w14:paraId="1D98FC03">
      <w:pPr>
        <w:snapToGrid w:val="0"/>
        <w:spacing w:line="360" w:lineRule="auto"/>
        <w:ind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none"/>
          <w:lang w:val="en-US" w:eastAsia="zh-CN"/>
        </w:rPr>
        <w:t>，所在单位：</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政府采购投标的一切事项，其法律后果由我方承担。</w:t>
      </w:r>
    </w:p>
    <w:p w14:paraId="145AFE2E">
      <w:pPr>
        <w:snapToGrid w:val="0"/>
        <w:spacing w:line="360" w:lineRule="auto"/>
        <w:ind w:firstLine="420" w:firstLineChars="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自</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日起至</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日止。</w:t>
      </w:r>
    </w:p>
    <w:p w14:paraId="0EC0D88D">
      <w:pPr>
        <w:snapToGrid w:val="0"/>
        <w:spacing w:line="360" w:lineRule="auto"/>
        <w:ind w:firstLine="420" w:firstLineChars="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特此告知。</w:t>
      </w:r>
    </w:p>
    <w:p w14:paraId="3CD74D98">
      <w:pPr>
        <w:keepNext w:val="0"/>
        <w:keepLines w:val="0"/>
        <w:pageBreakBefore w:val="0"/>
        <w:widowControl w:val="0"/>
        <w:kinsoku/>
        <w:wordWrap/>
        <w:overflowPunct/>
        <w:topLinePunct w:val="0"/>
        <w:autoSpaceDE/>
        <w:autoSpaceDN/>
        <w:bidi w:val="0"/>
        <w:adjustRightInd w:val="0"/>
        <w:spacing w:line="360" w:lineRule="auto"/>
        <w:ind w:firstLine="3600" w:firstLineChars="15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投标人名称（电子签名）：</w:t>
      </w:r>
    </w:p>
    <w:p w14:paraId="10DA2A58">
      <w:pPr>
        <w:keepNext w:val="0"/>
        <w:keepLines w:val="0"/>
        <w:pageBreakBefore w:val="0"/>
        <w:widowControl w:val="0"/>
        <w:kinsoku/>
        <w:wordWrap/>
        <w:overflowPunct/>
        <w:topLinePunct w:val="0"/>
        <w:autoSpaceDE/>
        <w:autoSpaceDN/>
        <w:bidi w:val="0"/>
        <w:adjustRightInd w:val="0"/>
        <w:spacing w:line="360" w:lineRule="auto"/>
        <w:ind w:firstLine="3600" w:firstLineChars="15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签发日期：  年  月   日</w:t>
      </w:r>
    </w:p>
    <w:p w14:paraId="6AFE4C64">
      <w:pPr>
        <w:snapToGrid w:val="0"/>
        <w:spacing w:line="360" w:lineRule="auto"/>
        <w:rPr>
          <w:rFonts w:hint="eastAsia" w:ascii="仿宋" w:hAnsi="仿宋" w:eastAsia="仿宋" w:cs="仿宋"/>
          <w:color w:val="auto"/>
          <w:sz w:val="24"/>
          <w:highlight w:val="none"/>
        </w:rPr>
      </w:pPr>
    </w:p>
    <w:p w14:paraId="303F9DED">
      <w:pPr>
        <w:spacing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zh-CN"/>
        </w:rPr>
        <w:t xml:space="preserve">      </w:t>
      </w:r>
      <w:r>
        <w:rPr>
          <w:rFonts w:hint="eastAsia" w:ascii="仿宋" w:hAnsi="仿宋" w:eastAsia="仿宋" w:cs="仿宋"/>
          <w:b/>
          <w:color w:val="auto"/>
          <w:kern w:val="0"/>
          <w:sz w:val="32"/>
          <w:szCs w:val="32"/>
          <w:highlight w:val="none"/>
        </w:rPr>
        <w:t xml:space="preserve"> </w:t>
      </w:r>
      <w:r>
        <w:rPr>
          <w:rFonts w:hint="eastAsia" w:ascii="仿宋" w:hAnsi="仿宋" w:eastAsia="仿宋" w:cs="仿宋"/>
          <w:b/>
          <w:color w:val="auto"/>
          <w:kern w:val="0"/>
          <w:sz w:val="32"/>
          <w:szCs w:val="32"/>
          <w:highlight w:val="none"/>
          <w:lang w:val="zh-CN"/>
        </w:rPr>
        <w:t>授权委托书（适用于联合体投标）</w:t>
      </w:r>
    </w:p>
    <w:p w14:paraId="045C7CF7">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（采购人）、（采购代理机构）</w:t>
      </w:r>
      <w:r>
        <w:rPr>
          <w:rFonts w:hint="eastAsia" w:ascii="仿宋" w:hAnsi="仿宋" w:eastAsia="仿宋" w:cs="仿宋"/>
          <w:color w:val="auto"/>
          <w:kern w:val="0"/>
          <w:sz w:val="24"/>
          <w:highlight w:val="none"/>
          <w:lang w:val="zh-CN"/>
        </w:rPr>
        <w:t>：</w:t>
      </w:r>
    </w:p>
    <w:p w14:paraId="0713F70A">
      <w:pPr>
        <w:snapToGrid w:val="0"/>
        <w:spacing w:line="360" w:lineRule="auto"/>
        <w:ind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none"/>
          <w:lang w:val="en-US" w:eastAsia="zh-CN"/>
        </w:rPr>
        <w:t>，所在单位：</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政府采购投标的一切事项，其法律后果由我方承担。</w:t>
      </w:r>
    </w:p>
    <w:p w14:paraId="21795B67">
      <w:pPr>
        <w:snapToGrid w:val="0"/>
        <w:spacing w:line="360" w:lineRule="auto"/>
        <w:ind w:firstLine="420" w:firstLineChars="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委托期限：自   年 月  日起至  年  月  日止。</w:t>
      </w:r>
    </w:p>
    <w:p w14:paraId="6812000F">
      <w:pPr>
        <w:snapToGrid w:val="0"/>
        <w:spacing w:line="360" w:lineRule="auto"/>
        <w:ind w:firstLine="420" w:firstLineChars="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特此告知。</w:t>
      </w:r>
    </w:p>
    <w:p w14:paraId="164EE75E">
      <w:pPr>
        <w:spacing w:line="360" w:lineRule="auto"/>
        <w:jc w:val="center"/>
        <w:rPr>
          <w:rFonts w:hint="eastAsia" w:ascii="仿宋" w:hAnsi="仿宋" w:eastAsia="仿宋" w:cs="仿宋"/>
          <w:b/>
          <w:color w:val="auto"/>
          <w:kern w:val="0"/>
          <w:sz w:val="32"/>
          <w:szCs w:val="32"/>
          <w:highlight w:val="none"/>
        </w:rPr>
      </w:pPr>
    </w:p>
    <w:p w14:paraId="0884CCAA">
      <w:pPr>
        <w:spacing w:line="360" w:lineRule="auto"/>
        <w:rPr>
          <w:rFonts w:hint="eastAsia" w:ascii="仿宋" w:hAnsi="仿宋" w:eastAsia="仿宋" w:cs="仿宋"/>
          <w:color w:val="auto"/>
          <w:highlight w:val="none"/>
        </w:rPr>
      </w:pPr>
    </w:p>
    <w:p w14:paraId="268690BC">
      <w:pPr>
        <w:keepNext w:val="0"/>
        <w:keepLines w:val="0"/>
        <w:pageBreakBefore w:val="0"/>
        <w:widowControl w:val="0"/>
        <w:kinsoku/>
        <w:wordWrap/>
        <w:overflowPunct/>
        <w:topLinePunct w:val="0"/>
        <w:autoSpaceDE/>
        <w:autoSpaceDN/>
        <w:bidi w:val="0"/>
        <w:adjustRightInd w:val="0"/>
        <w:spacing w:line="360" w:lineRule="auto"/>
        <w:ind w:firstLine="3600" w:firstLineChars="15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联合体成员名称（电子签名/公章）：</w:t>
      </w:r>
    </w:p>
    <w:p w14:paraId="40933446">
      <w:pPr>
        <w:keepNext w:val="0"/>
        <w:keepLines w:val="0"/>
        <w:pageBreakBefore w:val="0"/>
        <w:widowControl w:val="0"/>
        <w:kinsoku/>
        <w:wordWrap/>
        <w:overflowPunct/>
        <w:topLinePunct w:val="0"/>
        <w:autoSpaceDE/>
        <w:autoSpaceDN/>
        <w:bidi w:val="0"/>
        <w:adjustRightInd w:val="0"/>
        <w:spacing w:line="360" w:lineRule="auto"/>
        <w:ind w:firstLine="3600" w:firstLineChars="15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联合体成员名称（电子签名/公章）：</w:t>
      </w:r>
    </w:p>
    <w:p w14:paraId="1E0ED7E5">
      <w:pPr>
        <w:keepNext w:val="0"/>
        <w:keepLines w:val="0"/>
        <w:pageBreakBefore w:val="0"/>
        <w:widowControl w:val="0"/>
        <w:kinsoku/>
        <w:wordWrap/>
        <w:overflowPunct/>
        <w:topLinePunct w:val="0"/>
        <w:autoSpaceDE/>
        <w:autoSpaceDN/>
        <w:bidi w:val="0"/>
        <w:adjustRightInd w:val="0"/>
        <w:spacing w:line="360" w:lineRule="auto"/>
        <w:ind w:firstLine="3600" w:firstLineChars="15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15709FA9">
      <w:pPr>
        <w:keepNext w:val="0"/>
        <w:keepLines w:val="0"/>
        <w:pageBreakBefore w:val="0"/>
        <w:widowControl w:val="0"/>
        <w:kinsoku/>
        <w:wordWrap/>
        <w:overflowPunct/>
        <w:topLinePunct w:val="0"/>
        <w:autoSpaceDE/>
        <w:autoSpaceDN/>
        <w:bidi w:val="0"/>
        <w:adjustRightInd w:val="0"/>
        <w:spacing w:line="360" w:lineRule="auto"/>
        <w:ind w:firstLine="3600" w:firstLineChars="15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日期：  年  月   日</w:t>
      </w:r>
    </w:p>
    <w:p w14:paraId="7BB3C3F0">
      <w:pPr>
        <w:autoSpaceDE w:val="0"/>
        <w:autoSpaceDN w:val="0"/>
        <w:spacing w:line="360" w:lineRule="auto"/>
        <w:jc w:val="center"/>
        <w:rPr>
          <w:rFonts w:hint="eastAsia" w:ascii="仿宋" w:hAnsi="仿宋" w:eastAsia="仿宋" w:cs="仿宋"/>
          <w:b/>
          <w:color w:val="auto"/>
          <w:kern w:val="0"/>
          <w:sz w:val="32"/>
          <w:szCs w:val="32"/>
          <w:highlight w:val="none"/>
          <w:lang w:val="zh-CN"/>
        </w:rPr>
      </w:pPr>
    </w:p>
    <w:p w14:paraId="5DA1CC90">
      <w:pPr>
        <w:autoSpaceDE w:val="0"/>
        <w:autoSpaceDN w:val="0"/>
        <w:spacing w:line="360" w:lineRule="auto"/>
        <w:jc w:val="center"/>
        <w:rPr>
          <w:rFonts w:hint="eastAsia" w:ascii="仿宋" w:hAnsi="仿宋" w:eastAsia="仿宋" w:cs="仿宋"/>
          <w:b/>
          <w:color w:val="auto"/>
          <w:kern w:val="0"/>
          <w:sz w:val="32"/>
          <w:szCs w:val="32"/>
          <w:highlight w:val="none"/>
          <w:lang w:val="zh-CN"/>
        </w:rPr>
        <w:sectPr>
          <w:pgSz w:w="11905" w:h="16838"/>
          <w:pgMar w:top="1440" w:right="1083" w:bottom="1440" w:left="1083" w:header="850" w:footer="992" w:gutter="0"/>
          <w:cols w:space="0" w:num="1"/>
          <w:titlePg/>
          <w:rtlGutter w:val="0"/>
          <w:docGrid w:linePitch="312" w:charSpace="0"/>
        </w:sectPr>
      </w:pPr>
    </w:p>
    <w:p w14:paraId="097063E6">
      <w:pPr>
        <w:autoSpaceDE w:val="0"/>
        <w:autoSpaceDN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kern w:val="0"/>
          <w:sz w:val="32"/>
          <w:szCs w:val="32"/>
          <w:highlight w:val="none"/>
          <w:lang w:val="zh-CN"/>
        </w:rPr>
        <w:t>法定代表人、单位负责人或自然人本人</w:t>
      </w:r>
      <w:r>
        <w:rPr>
          <w:rFonts w:hint="eastAsia" w:ascii="仿宋" w:hAnsi="仿宋" w:eastAsia="仿宋" w:cs="仿宋"/>
          <w:b/>
          <w:color w:val="auto"/>
          <w:sz w:val="30"/>
          <w:szCs w:val="30"/>
          <w:highlight w:val="none"/>
        </w:rPr>
        <w:t>的身份证明（适用于法定代表人、单位负责人或者自然人本人代表投标人参加投标）</w:t>
      </w:r>
    </w:p>
    <w:p w14:paraId="6B75D0F3">
      <w:pPr>
        <w:pStyle w:val="149"/>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2A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C196CCB">
            <w:pPr>
              <w:pStyle w:val="149"/>
              <w:adjustRightIn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正面：                                 反面：</w:t>
            </w:r>
          </w:p>
          <w:p w14:paraId="49EA9ECE">
            <w:pPr>
              <w:pStyle w:val="149"/>
              <w:adjustRightInd w:val="0"/>
              <w:spacing w:line="360" w:lineRule="auto"/>
              <w:rPr>
                <w:rFonts w:hint="eastAsia" w:ascii="仿宋" w:hAnsi="仿宋" w:eastAsia="仿宋" w:cs="仿宋"/>
                <w:bCs/>
                <w:color w:val="auto"/>
                <w:sz w:val="24"/>
                <w:highlight w:val="none"/>
              </w:rPr>
            </w:pPr>
          </w:p>
        </w:tc>
      </w:tr>
    </w:tbl>
    <w:p w14:paraId="5839F374">
      <w:pPr>
        <w:snapToGrid w:val="0"/>
        <w:spacing w:line="360" w:lineRule="auto"/>
        <w:ind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223AD107">
      <w:pPr>
        <w:snapToGrid w:val="0"/>
        <w:spacing w:line="360" w:lineRule="auto"/>
        <w:ind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投标人名称（电子签名）：                              </w:t>
      </w:r>
    </w:p>
    <w:p w14:paraId="6D10126D">
      <w:pPr>
        <w:spacing w:line="360" w:lineRule="auto"/>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2EE48FE0">
      <w:pPr>
        <w:spacing w:line="360" w:lineRule="auto"/>
        <w:jc w:val="center"/>
        <w:rPr>
          <w:rFonts w:hint="eastAsia" w:ascii="仿宋" w:hAnsi="仿宋" w:eastAsia="仿宋" w:cs="仿宋"/>
          <w:b/>
          <w:color w:val="auto"/>
          <w:kern w:val="0"/>
          <w:sz w:val="32"/>
          <w:szCs w:val="32"/>
          <w:highlight w:val="none"/>
        </w:rPr>
      </w:pPr>
    </w:p>
    <w:p w14:paraId="5150543E">
      <w:pPr>
        <w:spacing w:line="360" w:lineRule="auto"/>
        <w:jc w:val="center"/>
        <w:rPr>
          <w:rFonts w:hint="eastAsia" w:ascii="仿宋" w:hAnsi="仿宋" w:eastAsia="仿宋" w:cs="仿宋"/>
          <w:b/>
          <w:color w:val="auto"/>
          <w:kern w:val="0"/>
          <w:sz w:val="32"/>
          <w:szCs w:val="32"/>
          <w:highlight w:val="none"/>
        </w:rPr>
      </w:pPr>
    </w:p>
    <w:p w14:paraId="5F363E74">
      <w:pPr>
        <w:spacing w:line="360" w:lineRule="auto"/>
        <w:jc w:val="center"/>
        <w:rPr>
          <w:rFonts w:hint="eastAsia" w:ascii="仿宋" w:hAnsi="仿宋" w:eastAsia="仿宋" w:cs="仿宋"/>
          <w:b/>
          <w:color w:val="auto"/>
          <w:kern w:val="0"/>
          <w:sz w:val="32"/>
          <w:szCs w:val="32"/>
          <w:highlight w:val="none"/>
        </w:rPr>
      </w:pPr>
    </w:p>
    <w:p w14:paraId="6AA56606">
      <w:pPr>
        <w:spacing w:line="360" w:lineRule="auto"/>
        <w:jc w:val="center"/>
        <w:rPr>
          <w:rFonts w:hint="eastAsia" w:ascii="仿宋" w:hAnsi="仿宋" w:eastAsia="仿宋" w:cs="仿宋"/>
          <w:b/>
          <w:color w:val="auto"/>
          <w:kern w:val="0"/>
          <w:sz w:val="32"/>
          <w:szCs w:val="32"/>
          <w:highlight w:val="none"/>
        </w:rPr>
      </w:pPr>
    </w:p>
    <w:p w14:paraId="37E57E2A">
      <w:pPr>
        <w:snapToGrid w:val="0"/>
        <w:spacing w:line="360" w:lineRule="auto"/>
        <w:ind w:right="480"/>
        <w:rPr>
          <w:rFonts w:hint="eastAsia" w:ascii="仿宋" w:hAnsi="仿宋" w:eastAsia="仿宋" w:cs="仿宋"/>
          <w:b/>
          <w:color w:val="auto"/>
          <w:kern w:val="0"/>
          <w:sz w:val="32"/>
          <w:szCs w:val="32"/>
          <w:highlight w:val="none"/>
        </w:rPr>
        <w:sectPr>
          <w:pgSz w:w="11905" w:h="16838"/>
          <w:pgMar w:top="1440" w:right="1083" w:bottom="1440" w:left="1083" w:header="850" w:footer="992" w:gutter="0"/>
          <w:cols w:space="0" w:num="1"/>
          <w:titlePg/>
          <w:rtlGutter w:val="0"/>
          <w:docGrid w:linePitch="312" w:charSpace="0"/>
        </w:sectPr>
      </w:pPr>
    </w:p>
    <w:p w14:paraId="487685E6">
      <w:pPr>
        <w:snapToGrid w:val="0"/>
        <w:spacing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三、分包意向协议（如果有）</w:t>
      </w:r>
    </w:p>
    <w:p w14:paraId="59612EC4">
      <w:pPr>
        <w:widowControl/>
        <w:spacing w:line="360" w:lineRule="auto"/>
        <w:ind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中标后以分包方式履行合同的，提供分包意向协议</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附件6</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；采购人不同意分包或者投标人中标后不以分包方式履行合同的，则不需要提供。</w:t>
      </w:r>
      <w:r>
        <w:rPr>
          <w:rFonts w:hint="eastAsia" w:ascii="仿宋" w:hAnsi="仿宋" w:eastAsia="仿宋" w:cs="仿宋"/>
          <w:color w:val="auto"/>
          <w:sz w:val="24"/>
          <w:highlight w:val="none"/>
        </w:rPr>
        <w:t>]</w:t>
      </w:r>
    </w:p>
    <w:p w14:paraId="416FDAA2">
      <w:pPr>
        <w:snapToGrid w:val="0"/>
        <w:spacing w:line="360" w:lineRule="auto"/>
        <w:rPr>
          <w:rFonts w:hint="eastAsia" w:ascii="仿宋" w:hAnsi="仿宋" w:eastAsia="仿宋" w:cs="仿宋"/>
          <w:color w:val="auto"/>
          <w:kern w:val="0"/>
          <w:sz w:val="24"/>
          <w:highlight w:val="none"/>
        </w:rPr>
      </w:pPr>
    </w:p>
    <w:p w14:paraId="60FD5AAD">
      <w:pPr>
        <w:spacing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四、符合性审查资料</w:t>
      </w:r>
    </w:p>
    <w:p w14:paraId="7B5C46F3">
      <w:pPr>
        <w:spacing w:line="360" w:lineRule="auto"/>
        <w:jc w:val="center"/>
        <w:rPr>
          <w:rFonts w:hint="eastAsia" w:ascii="仿宋" w:hAnsi="仿宋" w:eastAsia="仿宋" w:cs="仿宋"/>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1FF9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BC37502">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4991" w:type="dxa"/>
            <w:vAlign w:val="center"/>
          </w:tcPr>
          <w:p w14:paraId="37475A17">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实质性要求</w:t>
            </w:r>
          </w:p>
        </w:tc>
        <w:tc>
          <w:tcPr>
            <w:tcW w:w="2551" w:type="dxa"/>
            <w:vAlign w:val="center"/>
          </w:tcPr>
          <w:p w14:paraId="41F127D7">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需要提供的符合性审查资料</w:t>
            </w:r>
          </w:p>
        </w:tc>
        <w:tc>
          <w:tcPr>
            <w:tcW w:w="1418" w:type="dxa"/>
            <w:vAlign w:val="center"/>
          </w:tcPr>
          <w:p w14:paraId="78F1CD14">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投标文件中的页码位置</w:t>
            </w:r>
          </w:p>
        </w:tc>
      </w:tr>
      <w:tr w14:paraId="4424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50B1A0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4991" w:type="dxa"/>
            <w:vAlign w:val="center"/>
          </w:tcPr>
          <w:p w14:paraId="48E60AA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投标文件按照招标文件要求签署、盖章。</w:t>
            </w:r>
          </w:p>
        </w:tc>
        <w:tc>
          <w:tcPr>
            <w:tcW w:w="2551" w:type="dxa"/>
            <w:vAlign w:val="center"/>
          </w:tcPr>
          <w:p w14:paraId="32825E7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需要使用电子签名或者签字盖章的投标文件的组成部分</w:t>
            </w:r>
          </w:p>
        </w:tc>
        <w:tc>
          <w:tcPr>
            <w:tcW w:w="1418" w:type="dxa"/>
            <w:vAlign w:val="center"/>
          </w:tcPr>
          <w:p w14:paraId="1F95E7CB">
            <w:pPr>
              <w:spacing w:line="360" w:lineRule="auto"/>
              <w:jc w:val="center"/>
              <w:rPr>
                <w:rFonts w:hint="eastAsia" w:ascii="仿宋" w:hAnsi="仿宋" w:eastAsia="仿宋" w:cs="仿宋"/>
                <w:color w:val="auto"/>
                <w:sz w:val="24"/>
                <w:highlight w:val="none"/>
              </w:rPr>
            </w:pPr>
          </w:p>
          <w:p w14:paraId="58ED046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w:t>
            </w:r>
          </w:p>
          <w:p w14:paraId="66F5D9B9">
            <w:pPr>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0FE7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4BF94D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4991" w:type="dxa"/>
            <w:vAlign w:val="center"/>
          </w:tcPr>
          <w:p w14:paraId="122FCA1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投标文件中承诺的投标有效期不少于招标文件中载明的投标有效期。</w:t>
            </w:r>
          </w:p>
        </w:tc>
        <w:tc>
          <w:tcPr>
            <w:tcW w:w="2551" w:type="dxa"/>
            <w:vAlign w:val="center"/>
          </w:tcPr>
          <w:p w14:paraId="56A27F2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投标函</w:t>
            </w:r>
          </w:p>
        </w:tc>
        <w:tc>
          <w:tcPr>
            <w:tcW w:w="1418" w:type="dxa"/>
            <w:vAlign w:val="center"/>
          </w:tcPr>
          <w:p w14:paraId="66FB5724">
            <w:pPr>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见投标文件第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5930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C321179">
            <w:pPr>
              <w:spacing w:line="360" w:lineRule="auto"/>
              <w:jc w:val="center"/>
              <w:rPr>
                <w:rFonts w:hint="eastAsia" w:ascii="仿宋" w:hAnsi="仿宋" w:eastAsia="仿宋" w:cs="仿宋"/>
                <w:color w:val="auto"/>
                <w:sz w:val="24"/>
                <w:highlight w:val="none"/>
              </w:rPr>
            </w:pPr>
            <w:r>
              <w:rPr>
                <w:rFonts w:hint="eastAsia" w:ascii="仿宋" w:hAnsi="仿宋" w:eastAsia="仿宋" w:cs="仿宋"/>
                <w:b w:val="0"/>
                <w:bCs w:val="0"/>
                <w:color w:val="auto"/>
                <w:sz w:val="24"/>
                <w:highlight w:val="none"/>
                <w:lang w:val="en-US" w:eastAsia="zh-CN"/>
              </w:rPr>
              <w:t>3</w:t>
            </w:r>
          </w:p>
        </w:tc>
        <w:tc>
          <w:tcPr>
            <w:tcW w:w="4991" w:type="dxa"/>
            <w:vAlign w:val="center"/>
          </w:tcPr>
          <w:p w14:paraId="2AF96CC2">
            <w:pPr>
              <w:spacing w:line="360" w:lineRule="auto"/>
              <w:jc w:val="center"/>
              <w:rPr>
                <w:rFonts w:hint="eastAsia" w:ascii="仿宋" w:hAnsi="仿宋" w:eastAsia="仿宋" w:cs="仿宋"/>
                <w:color w:val="auto"/>
                <w:sz w:val="24"/>
                <w:highlight w:val="none"/>
              </w:rPr>
            </w:pPr>
            <w:r>
              <w:rPr>
                <w:rFonts w:hint="eastAsia" w:ascii="仿宋" w:hAnsi="仿宋" w:eastAsia="仿宋" w:cs="仿宋"/>
                <w:b w:val="0"/>
                <w:bCs w:val="0"/>
                <w:snapToGrid w:val="0"/>
                <w:color w:val="auto"/>
                <w:sz w:val="24"/>
                <w:highlight w:val="none"/>
                <w:lang w:val="en-US" w:eastAsia="zh-CN"/>
              </w:rPr>
              <w:t>其他实质性要求1：</w:t>
            </w:r>
          </w:p>
        </w:tc>
        <w:tc>
          <w:tcPr>
            <w:tcW w:w="2551" w:type="dxa"/>
            <w:vMerge w:val="restart"/>
            <w:vAlign w:val="center"/>
          </w:tcPr>
          <w:p w14:paraId="74C53AFA">
            <w:pPr>
              <w:spacing w:line="360" w:lineRule="auto"/>
              <w:jc w:val="center"/>
              <w:rPr>
                <w:rFonts w:hint="eastAsia" w:ascii="仿宋" w:hAnsi="仿宋" w:eastAsia="仿宋" w:cs="仿宋"/>
                <w:color w:val="auto"/>
                <w:sz w:val="24"/>
                <w:highlight w:val="none"/>
              </w:rPr>
            </w:pPr>
            <w:r>
              <w:rPr>
                <w:rFonts w:hint="eastAsia" w:ascii="仿宋" w:hAnsi="仿宋" w:eastAsia="仿宋" w:cs="仿宋"/>
                <w:b w:val="0"/>
                <w:bCs w:val="0"/>
                <w:color w:val="auto"/>
                <w:kern w:val="0"/>
                <w:sz w:val="24"/>
                <w:highlight w:val="none"/>
              </w:rPr>
              <w:t>招标文件其它实质性要求相应的材料（“▲” 系指实质性要求条款，招标文件无其它实质性要求的，无需提供）</w:t>
            </w:r>
          </w:p>
        </w:tc>
        <w:tc>
          <w:tcPr>
            <w:tcW w:w="1418" w:type="dxa"/>
            <w:vAlign w:val="center"/>
          </w:tcPr>
          <w:p w14:paraId="7B07801C">
            <w:pPr>
              <w:spacing w:line="360" w:lineRule="auto"/>
              <w:jc w:val="center"/>
              <w:rPr>
                <w:rFonts w:hint="eastAsia" w:ascii="仿宋" w:hAnsi="仿宋" w:eastAsia="仿宋" w:cs="仿宋"/>
                <w:color w:val="auto"/>
                <w:highlight w:val="none"/>
              </w:rPr>
            </w:pPr>
            <w:r>
              <w:rPr>
                <w:rFonts w:hint="eastAsia" w:ascii="仿宋" w:hAnsi="仿宋" w:eastAsia="仿宋" w:cs="仿宋"/>
                <w:b w:val="0"/>
                <w:bCs w:val="0"/>
                <w:color w:val="auto"/>
                <w:sz w:val="24"/>
                <w:highlight w:val="none"/>
              </w:rPr>
              <w:t>见投标文件第</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页</w:t>
            </w:r>
          </w:p>
        </w:tc>
      </w:tr>
      <w:tr w14:paraId="17DF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99023C1">
            <w:pPr>
              <w:spacing w:line="360" w:lineRule="auto"/>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w:t>
            </w:r>
          </w:p>
        </w:tc>
        <w:tc>
          <w:tcPr>
            <w:tcW w:w="4991" w:type="dxa"/>
            <w:vAlign w:val="center"/>
          </w:tcPr>
          <w:p w14:paraId="79585035">
            <w:pPr>
              <w:spacing w:line="360" w:lineRule="auto"/>
              <w:jc w:val="center"/>
              <w:rPr>
                <w:rFonts w:hint="eastAsia" w:ascii="仿宋" w:hAnsi="仿宋" w:eastAsia="仿宋" w:cs="仿宋"/>
                <w:color w:val="auto"/>
                <w:sz w:val="24"/>
                <w:highlight w:val="none"/>
              </w:rPr>
            </w:pPr>
            <w:r>
              <w:rPr>
                <w:rFonts w:hint="eastAsia" w:ascii="仿宋" w:hAnsi="仿宋" w:eastAsia="仿宋" w:cs="仿宋"/>
                <w:b w:val="0"/>
                <w:bCs w:val="0"/>
                <w:snapToGrid w:val="0"/>
                <w:color w:val="auto"/>
                <w:sz w:val="24"/>
                <w:highlight w:val="none"/>
                <w:lang w:val="en-US" w:eastAsia="zh-CN"/>
              </w:rPr>
              <w:t>其他实质性要求2：</w:t>
            </w:r>
          </w:p>
        </w:tc>
        <w:tc>
          <w:tcPr>
            <w:tcW w:w="2551" w:type="dxa"/>
            <w:vMerge w:val="continue"/>
            <w:vAlign w:val="center"/>
          </w:tcPr>
          <w:p w14:paraId="5AB2E334">
            <w:pPr>
              <w:spacing w:line="360" w:lineRule="auto"/>
              <w:jc w:val="center"/>
              <w:rPr>
                <w:rFonts w:hint="eastAsia" w:ascii="仿宋" w:hAnsi="仿宋" w:eastAsia="仿宋" w:cs="仿宋"/>
                <w:b w:val="0"/>
                <w:bCs w:val="0"/>
                <w:color w:val="auto"/>
                <w:sz w:val="24"/>
                <w:highlight w:val="none"/>
                <w:lang w:val="en-US" w:eastAsia="zh-CN"/>
              </w:rPr>
            </w:pPr>
          </w:p>
        </w:tc>
        <w:tc>
          <w:tcPr>
            <w:tcW w:w="1418" w:type="dxa"/>
            <w:vAlign w:val="center"/>
          </w:tcPr>
          <w:p w14:paraId="2E2B4970">
            <w:pPr>
              <w:spacing w:line="360" w:lineRule="auto"/>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rPr>
              <w:t>见投标文件第</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页</w:t>
            </w:r>
          </w:p>
        </w:tc>
      </w:tr>
      <w:tr w14:paraId="3BB9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6F8C8CB">
            <w:pPr>
              <w:spacing w:line="360" w:lineRule="auto"/>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color w:val="auto"/>
                <w:kern w:val="0"/>
                <w:sz w:val="24"/>
                <w:highlight w:val="none"/>
              </w:rPr>
              <w:t>……</w:t>
            </w:r>
          </w:p>
        </w:tc>
        <w:tc>
          <w:tcPr>
            <w:tcW w:w="4991" w:type="dxa"/>
            <w:vAlign w:val="center"/>
          </w:tcPr>
          <w:p w14:paraId="0ACE3C12">
            <w:pPr>
              <w:spacing w:line="360" w:lineRule="auto"/>
              <w:jc w:val="center"/>
              <w:rPr>
                <w:rFonts w:hint="eastAsia" w:ascii="仿宋" w:hAnsi="仿宋" w:eastAsia="仿宋" w:cs="仿宋"/>
                <w:color w:val="auto"/>
                <w:sz w:val="24"/>
                <w:highlight w:val="none"/>
              </w:rPr>
            </w:pPr>
            <w:r>
              <w:rPr>
                <w:rFonts w:hint="eastAsia" w:ascii="仿宋" w:hAnsi="仿宋" w:eastAsia="仿宋" w:cs="仿宋"/>
                <w:b w:val="0"/>
                <w:bCs w:val="0"/>
                <w:snapToGrid w:val="0"/>
                <w:color w:val="auto"/>
                <w:sz w:val="24"/>
                <w:highlight w:val="none"/>
                <w:lang w:val="en-US" w:eastAsia="zh-CN"/>
              </w:rPr>
              <w:t>其他实质性要求</w:t>
            </w:r>
            <w:r>
              <w:rPr>
                <w:rFonts w:hint="eastAsia" w:ascii="仿宋" w:hAnsi="仿宋" w:eastAsia="仿宋" w:cs="仿宋"/>
                <w:color w:val="auto"/>
                <w:kern w:val="0"/>
                <w:sz w:val="24"/>
                <w:highlight w:val="none"/>
              </w:rPr>
              <w:t>……</w:t>
            </w:r>
            <w:r>
              <w:rPr>
                <w:rFonts w:hint="eastAsia" w:ascii="仿宋" w:hAnsi="仿宋" w:eastAsia="仿宋" w:cs="仿宋"/>
                <w:b w:val="0"/>
                <w:bCs w:val="0"/>
                <w:snapToGrid w:val="0"/>
                <w:color w:val="auto"/>
                <w:sz w:val="24"/>
                <w:highlight w:val="none"/>
                <w:lang w:val="en-US" w:eastAsia="zh-CN"/>
              </w:rPr>
              <w:t>：</w:t>
            </w:r>
          </w:p>
        </w:tc>
        <w:tc>
          <w:tcPr>
            <w:tcW w:w="2551" w:type="dxa"/>
            <w:vMerge w:val="continue"/>
            <w:vAlign w:val="center"/>
          </w:tcPr>
          <w:p w14:paraId="6F129149">
            <w:pPr>
              <w:spacing w:line="360" w:lineRule="auto"/>
              <w:jc w:val="center"/>
              <w:rPr>
                <w:rFonts w:hint="eastAsia" w:ascii="仿宋" w:hAnsi="仿宋" w:eastAsia="仿宋" w:cs="仿宋"/>
                <w:b w:val="0"/>
                <w:bCs w:val="0"/>
                <w:color w:val="auto"/>
                <w:sz w:val="24"/>
                <w:highlight w:val="none"/>
                <w:lang w:val="en-US" w:eastAsia="zh-CN"/>
              </w:rPr>
            </w:pPr>
          </w:p>
        </w:tc>
        <w:tc>
          <w:tcPr>
            <w:tcW w:w="1418" w:type="dxa"/>
            <w:vAlign w:val="center"/>
          </w:tcPr>
          <w:p w14:paraId="5B3EC48C">
            <w:pPr>
              <w:spacing w:line="360" w:lineRule="auto"/>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rPr>
              <w:t>见投标文件第</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页</w:t>
            </w:r>
          </w:p>
        </w:tc>
      </w:tr>
    </w:tbl>
    <w:p w14:paraId="735793A5">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按本格式和要求提供。</w:t>
      </w:r>
    </w:p>
    <w:p w14:paraId="0DAF54FD">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招标文件中实质性要求必须明确响应。</w:t>
      </w:r>
    </w:p>
    <w:p w14:paraId="5CEA21A4">
      <w:pPr>
        <w:spacing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 xml:space="preserve">      </w:t>
      </w:r>
    </w:p>
    <w:p w14:paraId="3B2FC427">
      <w:pPr>
        <w:spacing w:line="360" w:lineRule="auto"/>
        <w:jc w:val="center"/>
        <w:rPr>
          <w:rFonts w:hint="eastAsia" w:ascii="仿宋" w:hAnsi="仿宋" w:eastAsia="仿宋" w:cs="仿宋"/>
          <w:b/>
          <w:color w:val="auto"/>
          <w:kern w:val="0"/>
          <w:sz w:val="32"/>
          <w:szCs w:val="32"/>
          <w:highlight w:val="none"/>
        </w:rPr>
        <w:sectPr>
          <w:headerReference r:id="rId13" w:type="first"/>
          <w:footerReference r:id="rId15" w:type="first"/>
          <w:headerReference r:id="rId12" w:type="default"/>
          <w:footerReference r:id="rId14" w:type="default"/>
          <w:pgSz w:w="11905" w:h="16838"/>
          <w:pgMar w:top="1440" w:right="1083" w:bottom="1440" w:left="1083" w:header="850" w:footer="992" w:gutter="0"/>
          <w:cols w:space="0" w:num="1"/>
          <w:titlePg/>
          <w:rtlGutter w:val="0"/>
          <w:docGrid w:linePitch="312" w:charSpace="0"/>
        </w:sectPr>
      </w:pPr>
    </w:p>
    <w:p w14:paraId="0CCB81E2">
      <w:pPr>
        <w:spacing w:line="360" w:lineRule="auto"/>
        <w:jc w:val="center"/>
        <w:rPr>
          <w:rFonts w:hint="eastAsia" w:ascii="仿宋" w:hAnsi="仿宋" w:eastAsia="仿宋" w:cs="仿宋"/>
          <w:color w:val="auto"/>
          <w:highlight w:val="none"/>
        </w:rPr>
      </w:pPr>
      <w:r>
        <w:rPr>
          <w:rFonts w:hint="eastAsia" w:ascii="仿宋" w:hAnsi="仿宋" w:eastAsia="仿宋" w:cs="仿宋"/>
          <w:b/>
          <w:color w:val="auto"/>
          <w:kern w:val="0"/>
          <w:sz w:val="32"/>
          <w:szCs w:val="32"/>
          <w:highlight w:val="none"/>
        </w:rPr>
        <w:t>五、评标标准相应的商务技术资料</w:t>
      </w:r>
    </w:p>
    <w:p w14:paraId="02F4C18A">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7F27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B350C62">
            <w:pPr>
              <w:snapToGrid w:val="0"/>
              <w:spacing w:line="360" w:lineRule="auto"/>
              <w:jc w:val="cente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序号</w:t>
            </w:r>
          </w:p>
        </w:tc>
        <w:tc>
          <w:tcPr>
            <w:tcW w:w="5465" w:type="dxa"/>
          </w:tcPr>
          <w:p w14:paraId="298CBBEA">
            <w:pPr>
              <w:snapToGrid w:val="0"/>
              <w:spacing w:line="360" w:lineRule="auto"/>
              <w:jc w:val="center"/>
              <w:rPr>
                <w:rFonts w:hint="eastAsia" w:ascii="仿宋" w:hAnsi="仿宋" w:eastAsia="仿宋" w:cs="仿宋"/>
                <w:b w:val="0"/>
                <w:bCs/>
                <w:color w:val="auto"/>
                <w:sz w:val="24"/>
                <w:highlight w:val="none"/>
                <w:vertAlign w:val="baseline"/>
              </w:rPr>
            </w:pPr>
            <w:r>
              <w:rPr>
                <w:rFonts w:hint="eastAsia" w:ascii="仿宋" w:hAnsi="仿宋" w:eastAsia="仿宋" w:cs="仿宋"/>
                <w:b w:val="0"/>
                <w:bCs/>
                <w:color w:val="auto"/>
                <w:sz w:val="24"/>
                <w:highlight w:val="none"/>
              </w:rPr>
              <w:t>投标文件中评标标准相应的商务技术资料目录*</w:t>
            </w:r>
          </w:p>
        </w:tc>
        <w:tc>
          <w:tcPr>
            <w:tcW w:w="3046" w:type="dxa"/>
          </w:tcPr>
          <w:p w14:paraId="2778A042">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rPr>
              <w:t>投标文件中的页码位置</w:t>
            </w:r>
          </w:p>
        </w:tc>
      </w:tr>
      <w:tr w14:paraId="555A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374B2D3">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1</w:t>
            </w:r>
          </w:p>
        </w:tc>
        <w:tc>
          <w:tcPr>
            <w:tcW w:w="5465" w:type="dxa"/>
          </w:tcPr>
          <w:p w14:paraId="4BC05E64">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XXX（预先填写）</w:t>
            </w:r>
          </w:p>
        </w:tc>
        <w:tc>
          <w:tcPr>
            <w:tcW w:w="3046" w:type="dxa"/>
          </w:tcPr>
          <w:p w14:paraId="243DFB8D">
            <w:pPr>
              <w:snapToGrid/>
              <w:spacing w:line="360" w:lineRule="auto"/>
              <w:jc w:val="center"/>
              <w:rPr>
                <w:rFonts w:hint="eastAsia" w:ascii="仿宋" w:hAnsi="仿宋" w:eastAsia="仿宋" w:cs="仿宋"/>
                <w:b w:val="0"/>
                <w:bCs/>
                <w:color w:val="auto"/>
                <w:sz w:val="24"/>
                <w:highlight w:val="none"/>
                <w:vertAlign w:val="baseline"/>
              </w:rPr>
            </w:pPr>
            <w:r>
              <w:rPr>
                <w:rFonts w:hint="eastAsia" w:ascii="仿宋" w:hAnsi="仿宋" w:eastAsia="仿宋" w:cs="仿宋"/>
                <w:b w:val="0"/>
                <w:bCs/>
                <w:color w:val="auto"/>
                <w:sz w:val="24"/>
                <w:highlight w:val="none"/>
              </w:rPr>
              <w:t>见投标文件第</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页</w:t>
            </w:r>
          </w:p>
        </w:tc>
      </w:tr>
      <w:tr w14:paraId="156F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E05DA50">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2</w:t>
            </w:r>
          </w:p>
        </w:tc>
        <w:tc>
          <w:tcPr>
            <w:tcW w:w="5465" w:type="dxa"/>
          </w:tcPr>
          <w:p w14:paraId="296FA9E4">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XXX</w:t>
            </w:r>
          </w:p>
        </w:tc>
        <w:tc>
          <w:tcPr>
            <w:tcW w:w="3046" w:type="dxa"/>
          </w:tcPr>
          <w:p w14:paraId="3F985F8B">
            <w:pPr>
              <w:snapToGrid/>
              <w:spacing w:line="360" w:lineRule="auto"/>
              <w:jc w:val="center"/>
              <w:rPr>
                <w:rFonts w:hint="eastAsia" w:ascii="仿宋" w:hAnsi="仿宋" w:eastAsia="仿宋" w:cs="仿宋"/>
                <w:b w:val="0"/>
                <w:bCs/>
                <w:color w:val="auto"/>
                <w:sz w:val="24"/>
                <w:highlight w:val="none"/>
                <w:vertAlign w:val="baseline"/>
              </w:rPr>
            </w:pPr>
            <w:r>
              <w:rPr>
                <w:rFonts w:hint="eastAsia" w:ascii="仿宋" w:hAnsi="仿宋" w:eastAsia="仿宋" w:cs="仿宋"/>
                <w:b w:val="0"/>
                <w:bCs/>
                <w:color w:val="auto"/>
                <w:sz w:val="24"/>
                <w:highlight w:val="none"/>
              </w:rPr>
              <w:t>见投标文件第</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页</w:t>
            </w:r>
          </w:p>
        </w:tc>
      </w:tr>
      <w:tr w14:paraId="4662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0563C87">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color w:val="auto"/>
                <w:kern w:val="0"/>
                <w:sz w:val="24"/>
                <w:highlight w:val="none"/>
              </w:rPr>
              <w:t>……</w:t>
            </w:r>
          </w:p>
        </w:tc>
        <w:tc>
          <w:tcPr>
            <w:tcW w:w="5465" w:type="dxa"/>
          </w:tcPr>
          <w:p w14:paraId="4F2B1EE3">
            <w:pPr>
              <w:snapToGrid w:val="0"/>
              <w:spacing w:line="360" w:lineRule="auto"/>
              <w:jc w:val="center"/>
              <w:rPr>
                <w:rFonts w:hint="eastAsia" w:ascii="仿宋" w:hAnsi="仿宋" w:eastAsia="仿宋" w:cs="仿宋"/>
                <w:b w:val="0"/>
                <w:bCs/>
                <w:color w:val="auto"/>
                <w:sz w:val="24"/>
                <w:highlight w:val="none"/>
                <w:vertAlign w:val="baseline"/>
              </w:rPr>
            </w:pPr>
          </w:p>
        </w:tc>
        <w:tc>
          <w:tcPr>
            <w:tcW w:w="3046" w:type="dxa"/>
          </w:tcPr>
          <w:p w14:paraId="07636A6B">
            <w:pPr>
              <w:snapToGrid/>
              <w:spacing w:line="360" w:lineRule="auto"/>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见投标文件第</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页</w:t>
            </w:r>
          </w:p>
        </w:tc>
      </w:tr>
    </w:tbl>
    <w:p w14:paraId="4DFE613F">
      <w:pPr>
        <w:pStyle w:val="81"/>
        <w:spacing w:line="360" w:lineRule="auto"/>
        <w:rPr>
          <w:rFonts w:hint="eastAsia" w:ascii="仿宋" w:hAnsi="仿宋" w:eastAsia="仿宋" w:cs="仿宋"/>
          <w:color w:val="auto"/>
          <w:highlight w:val="none"/>
        </w:rPr>
      </w:pPr>
    </w:p>
    <w:p w14:paraId="22343062">
      <w:pPr>
        <w:spacing w:line="360" w:lineRule="auto"/>
        <w:jc w:val="both"/>
        <w:rPr>
          <w:rFonts w:hint="eastAsia" w:ascii="仿宋" w:hAnsi="仿宋" w:eastAsia="仿宋" w:cs="仿宋"/>
          <w:b/>
          <w:color w:val="auto"/>
          <w:kern w:val="0"/>
          <w:sz w:val="32"/>
          <w:szCs w:val="32"/>
          <w:highlight w:val="none"/>
        </w:rPr>
      </w:pPr>
    </w:p>
    <w:p w14:paraId="2BD0EA84">
      <w:pPr>
        <w:spacing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0CE6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EB68C8F">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3C697882">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4CE64D6E">
            <w:pPr>
              <w:spacing w:line="360" w:lineRule="auto"/>
              <w:jc w:val="center"/>
              <w:rPr>
                <w:rFonts w:hint="eastAsia" w:ascii="仿宋" w:hAnsi="仿宋" w:eastAsia="仿宋" w:cs="仿宋"/>
                <w:b/>
                <w:color w:val="auto"/>
                <w:sz w:val="24"/>
                <w:highlight w:val="none"/>
              </w:rPr>
            </w:pPr>
          </w:p>
          <w:p w14:paraId="5F8464FB">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7BA89C52">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359A1068">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0CC05CB9">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r>
      <w:tr w14:paraId="6DA2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D1D0B6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6FBFD7DB">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404D6621">
            <w:pPr>
              <w:snapToGrid w:val="0"/>
              <w:spacing w:line="360" w:lineRule="auto"/>
              <w:jc w:val="center"/>
              <w:rPr>
                <w:rFonts w:hint="eastAsia" w:ascii="仿宋" w:hAnsi="仿宋" w:eastAsia="仿宋" w:cs="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EE54F50">
            <w:pPr>
              <w:snapToGrid w:val="0"/>
              <w:spacing w:line="360" w:lineRule="auto"/>
              <w:jc w:val="center"/>
              <w:rPr>
                <w:rFonts w:hint="eastAsia" w:ascii="仿宋" w:hAnsi="仿宋" w:eastAsia="仿宋" w:cs="仿宋"/>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28F9FB7B">
            <w:pPr>
              <w:spacing w:line="360" w:lineRule="auto"/>
              <w:jc w:val="center"/>
              <w:rPr>
                <w:rFonts w:hint="eastAsia" w:ascii="仿宋" w:hAnsi="仿宋" w:eastAsia="仿宋" w:cs="仿宋"/>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5832FF79">
            <w:pPr>
              <w:spacing w:line="360" w:lineRule="auto"/>
              <w:jc w:val="center"/>
              <w:rPr>
                <w:rFonts w:hint="eastAsia" w:ascii="仿宋" w:hAnsi="仿宋" w:eastAsia="仿宋" w:cs="仿宋"/>
                <w:color w:val="auto"/>
                <w:sz w:val="24"/>
                <w:highlight w:val="none"/>
              </w:rPr>
            </w:pPr>
          </w:p>
        </w:tc>
      </w:tr>
      <w:tr w14:paraId="3DC6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750EB8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26F6507D">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586A449A">
            <w:pPr>
              <w:snapToGrid w:val="0"/>
              <w:spacing w:line="360" w:lineRule="auto"/>
              <w:jc w:val="center"/>
              <w:rPr>
                <w:rFonts w:hint="eastAsia" w:ascii="仿宋" w:hAnsi="仿宋" w:eastAsia="仿宋" w:cs="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8E39B0E">
            <w:pPr>
              <w:snapToGrid w:val="0"/>
              <w:spacing w:line="360" w:lineRule="auto"/>
              <w:jc w:val="center"/>
              <w:rPr>
                <w:rFonts w:hint="eastAsia" w:ascii="仿宋" w:hAnsi="仿宋" w:eastAsia="仿宋" w:cs="仿宋"/>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619569A6">
            <w:pPr>
              <w:spacing w:line="360" w:lineRule="auto"/>
              <w:jc w:val="center"/>
              <w:rPr>
                <w:rFonts w:hint="eastAsia" w:ascii="仿宋" w:hAnsi="仿宋" w:eastAsia="仿宋" w:cs="仿宋"/>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0123D24">
            <w:pPr>
              <w:spacing w:line="360" w:lineRule="auto"/>
              <w:jc w:val="center"/>
              <w:rPr>
                <w:rFonts w:hint="eastAsia" w:ascii="仿宋" w:hAnsi="仿宋" w:eastAsia="仿宋" w:cs="仿宋"/>
                <w:color w:val="auto"/>
                <w:sz w:val="24"/>
                <w:highlight w:val="none"/>
              </w:rPr>
            </w:pPr>
          </w:p>
        </w:tc>
      </w:tr>
      <w:tr w14:paraId="119D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E0584E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50670E8D">
            <w:pPr>
              <w:snapToGrid w:val="0"/>
              <w:spacing w:line="360" w:lineRule="auto"/>
              <w:jc w:val="center"/>
              <w:rPr>
                <w:rFonts w:hint="eastAsia" w:ascii="仿宋" w:hAnsi="仿宋" w:eastAsia="仿宋" w:cs="仿宋"/>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3827648">
            <w:pPr>
              <w:snapToGrid w:val="0"/>
              <w:spacing w:line="360" w:lineRule="auto"/>
              <w:jc w:val="center"/>
              <w:rPr>
                <w:rFonts w:hint="eastAsia" w:ascii="仿宋" w:hAnsi="仿宋" w:eastAsia="仿宋" w:cs="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2ED6A6C">
            <w:pPr>
              <w:snapToGrid w:val="0"/>
              <w:spacing w:line="360" w:lineRule="auto"/>
              <w:jc w:val="center"/>
              <w:rPr>
                <w:rFonts w:hint="eastAsia" w:ascii="仿宋" w:hAnsi="仿宋" w:eastAsia="仿宋" w:cs="仿宋"/>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3C4C0E2">
            <w:pPr>
              <w:spacing w:line="360" w:lineRule="auto"/>
              <w:jc w:val="center"/>
              <w:rPr>
                <w:rFonts w:hint="eastAsia" w:ascii="仿宋" w:hAnsi="仿宋" w:eastAsia="仿宋" w:cs="仿宋"/>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60A21481">
            <w:pPr>
              <w:spacing w:line="360" w:lineRule="auto"/>
              <w:jc w:val="center"/>
              <w:rPr>
                <w:rFonts w:hint="eastAsia" w:ascii="仿宋" w:hAnsi="仿宋" w:eastAsia="仿宋" w:cs="仿宋"/>
                <w:color w:val="auto"/>
                <w:sz w:val="24"/>
                <w:highlight w:val="none"/>
              </w:rPr>
            </w:pPr>
          </w:p>
        </w:tc>
      </w:tr>
    </w:tbl>
    <w:p w14:paraId="0C27785B">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2A5F87C3">
      <w:pPr>
        <w:spacing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column"/>
      </w:r>
      <w:r>
        <w:rPr>
          <w:rFonts w:hint="eastAsia" w:ascii="仿宋" w:hAnsi="仿宋" w:eastAsia="仿宋" w:cs="仿宋"/>
          <w:b/>
          <w:color w:val="auto"/>
          <w:kern w:val="0"/>
          <w:sz w:val="32"/>
          <w:szCs w:val="32"/>
          <w:highlight w:val="none"/>
        </w:rPr>
        <w:t>七、商务技术偏离表</w:t>
      </w:r>
    </w:p>
    <w:tbl>
      <w:tblPr>
        <w:tblStyle w:val="6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3872"/>
        <w:gridCol w:w="3729"/>
        <w:gridCol w:w="1343"/>
      </w:tblGrid>
      <w:tr w14:paraId="2286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tcPr>
          <w:p w14:paraId="6141ABE2">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1945" w:type="pct"/>
          </w:tcPr>
          <w:p w14:paraId="674473EC">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招标文件章节及具体内容</w:t>
            </w:r>
          </w:p>
        </w:tc>
        <w:tc>
          <w:tcPr>
            <w:tcW w:w="1873" w:type="pct"/>
          </w:tcPr>
          <w:p w14:paraId="07F61C75">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投标文件章节及具体内容</w:t>
            </w:r>
          </w:p>
        </w:tc>
        <w:tc>
          <w:tcPr>
            <w:tcW w:w="674" w:type="pct"/>
          </w:tcPr>
          <w:p w14:paraId="519796FC">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偏离说明</w:t>
            </w:r>
          </w:p>
        </w:tc>
      </w:tr>
      <w:tr w14:paraId="4AE9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tcPr>
          <w:p w14:paraId="281CF405">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945" w:type="pct"/>
          </w:tcPr>
          <w:p w14:paraId="6A0D7C10">
            <w:pPr>
              <w:spacing w:line="360" w:lineRule="auto"/>
              <w:jc w:val="center"/>
              <w:rPr>
                <w:rFonts w:hint="eastAsia" w:ascii="仿宋" w:hAnsi="仿宋" w:eastAsia="仿宋" w:cs="仿宋"/>
                <w:b/>
                <w:color w:val="auto"/>
                <w:kern w:val="0"/>
                <w:sz w:val="32"/>
                <w:szCs w:val="32"/>
                <w:highlight w:val="none"/>
              </w:rPr>
            </w:pPr>
          </w:p>
        </w:tc>
        <w:tc>
          <w:tcPr>
            <w:tcW w:w="1873" w:type="pct"/>
          </w:tcPr>
          <w:p w14:paraId="3ECBE260">
            <w:pPr>
              <w:spacing w:line="360" w:lineRule="auto"/>
              <w:jc w:val="center"/>
              <w:rPr>
                <w:rFonts w:hint="eastAsia" w:ascii="仿宋" w:hAnsi="仿宋" w:eastAsia="仿宋" w:cs="仿宋"/>
                <w:b/>
                <w:color w:val="auto"/>
                <w:kern w:val="0"/>
                <w:sz w:val="32"/>
                <w:szCs w:val="32"/>
                <w:highlight w:val="none"/>
              </w:rPr>
            </w:pPr>
          </w:p>
        </w:tc>
        <w:tc>
          <w:tcPr>
            <w:tcW w:w="674" w:type="pct"/>
          </w:tcPr>
          <w:p w14:paraId="028A6276">
            <w:pPr>
              <w:spacing w:line="360" w:lineRule="auto"/>
              <w:jc w:val="center"/>
              <w:rPr>
                <w:rFonts w:hint="eastAsia" w:ascii="仿宋" w:hAnsi="仿宋" w:eastAsia="仿宋" w:cs="仿宋"/>
                <w:b/>
                <w:color w:val="auto"/>
                <w:kern w:val="0"/>
                <w:sz w:val="32"/>
                <w:szCs w:val="32"/>
                <w:highlight w:val="none"/>
              </w:rPr>
            </w:pPr>
          </w:p>
        </w:tc>
      </w:tr>
      <w:tr w14:paraId="0CA2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tcPr>
          <w:p w14:paraId="45E58719">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945" w:type="pct"/>
          </w:tcPr>
          <w:p w14:paraId="5B634558">
            <w:pPr>
              <w:spacing w:line="360" w:lineRule="auto"/>
              <w:jc w:val="center"/>
              <w:rPr>
                <w:rFonts w:hint="eastAsia" w:ascii="仿宋" w:hAnsi="仿宋" w:eastAsia="仿宋" w:cs="仿宋"/>
                <w:b/>
                <w:color w:val="auto"/>
                <w:kern w:val="0"/>
                <w:sz w:val="32"/>
                <w:szCs w:val="32"/>
                <w:highlight w:val="none"/>
              </w:rPr>
            </w:pPr>
          </w:p>
        </w:tc>
        <w:tc>
          <w:tcPr>
            <w:tcW w:w="1873" w:type="pct"/>
          </w:tcPr>
          <w:p w14:paraId="7BD507FB">
            <w:pPr>
              <w:spacing w:line="360" w:lineRule="auto"/>
              <w:jc w:val="center"/>
              <w:rPr>
                <w:rFonts w:hint="eastAsia" w:ascii="仿宋" w:hAnsi="仿宋" w:eastAsia="仿宋" w:cs="仿宋"/>
                <w:b/>
                <w:color w:val="auto"/>
                <w:kern w:val="0"/>
                <w:sz w:val="32"/>
                <w:szCs w:val="32"/>
                <w:highlight w:val="none"/>
              </w:rPr>
            </w:pPr>
          </w:p>
        </w:tc>
        <w:tc>
          <w:tcPr>
            <w:tcW w:w="674" w:type="pct"/>
          </w:tcPr>
          <w:p w14:paraId="69B8E075">
            <w:pPr>
              <w:spacing w:line="360" w:lineRule="auto"/>
              <w:jc w:val="center"/>
              <w:rPr>
                <w:rFonts w:hint="eastAsia" w:ascii="仿宋" w:hAnsi="仿宋" w:eastAsia="仿宋" w:cs="仿宋"/>
                <w:b/>
                <w:color w:val="auto"/>
                <w:kern w:val="0"/>
                <w:sz w:val="32"/>
                <w:szCs w:val="32"/>
                <w:highlight w:val="none"/>
              </w:rPr>
            </w:pPr>
          </w:p>
        </w:tc>
      </w:tr>
      <w:tr w14:paraId="7C9A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tcPr>
          <w:p w14:paraId="56D602FA">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1945" w:type="pct"/>
          </w:tcPr>
          <w:p w14:paraId="3431B28F">
            <w:pPr>
              <w:spacing w:line="360" w:lineRule="auto"/>
              <w:jc w:val="center"/>
              <w:rPr>
                <w:rFonts w:hint="eastAsia" w:ascii="仿宋" w:hAnsi="仿宋" w:eastAsia="仿宋" w:cs="仿宋"/>
                <w:b/>
                <w:color w:val="auto"/>
                <w:kern w:val="0"/>
                <w:sz w:val="32"/>
                <w:szCs w:val="32"/>
                <w:highlight w:val="none"/>
              </w:rPr>
            </w:pPr>
          </w:p>
        </w:tc>
        <w:tc>
          <w:tcPr>
            <w:tcW w:w="1873" w:type="pct"/>
          </w:tcPr>
          <w:p w14:paraId="11F8CC5A">
            <w:pPr>
              <w:spacing w:line="360" w:lineRule="auto"/>
              <w:jc w:val="center"/>
              <w:rPr>
                <w:rFonts w:hint="eastAsia" w:ascii="仿宋" w:hAnsi="仿宋" w:eastAsia="仿宋" w:cs="仿宋"/>
                <w:b/>
                <w:color w:val="auto"/>
                <w:kern w:val="0"/>
                <w:sz w:val="32"/>
                <w:szCs w:val="32"/>
                <w:highlight w:val="none"/>
              </w:rPr>
            </w:pPr>
          </w:p>
        </w:tc>
        <w:tc>
          <w:tcPr>
            <w:tcW w:w="674" w:type="pct"/>
          </w:tcPr>
          <w:p w14:paraId="677283BE">
            <w:pPr>
              <w:spacing w:line="360" w:lineRule="auto"/>
              <w:jc w:val="center"/>
              <w:rPr>
                <w:rFonts w:hint="eastAsia" w:ascii="仿宋" w:hAnsi="仿宋" w:eastAsia="仿宋" w:cs="仿宋"/>
                <w:b/>
                <w:color w:val="auto"/>
                <w:kern w:val="0"/>
                <w:sz w:val="32"/>
                <w:szCs w:val="32"/>
                <w:highlight w:val="none"/>
              </w:rPr>
            </w:pPr>
          </w:p>
        </w:tc>
      </w:tr>
    </w:tbl>
    <w:p w14:paraId="154638B3">
      <w:pPr>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投标人保证：除商务技术偏离表列出的偏离外，投标人响应招标文件的全部要求</w:t>
      </w:r>
    </w:p>
    <w:p w14:paraId="198C2A8A">
      <w:pPr>
        <w:spacing w:line="360" w:lineRule="auto"/>
        <w:jc w:val="center"/>
        <w:rPr>
          <w:rFonts w:hint="eastAsia" w:ascii="仿宋" w:hAnsi="仿宋" w:eastAsia="仿宋" w:cs="仿宋"/>
          <w:b/>
          <w:color w:val="auto"/>
          <w:kern w:val="0"/>
          <w:sz w:val="32"/>
          <w:szCs w:val="32"/>
          <w:highlight w:val="none"/>
        </w:rPr>
      </w:pPr>
    </w:p>
    <w:p w14:paraId="2452F061">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按本格式和要求提供。</w:t>
      </w:r>
    </w:p>
    <w:p w14:paraId="5CD0D8B6">
      <w:pPr>
        <w:spacing w:line="360" w:lineRule="auto"/>
        <w:ind w:right="42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7B116DC1">
      <w:pPr>
        <w:spacing w:line="360" w:lineRule="auto"/>
        <w:ind w:right="42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3.投标人须保证：除商务技术偏离表列出的偏离外，投标人响应招标文件的全部非实质性要求。</w:t>
      </w:r>
    </w:p>
    <w:p w14:paraId="0A2C6554">
      <w:pPr>
        <w:spacing w:line="360" w:lineRule="auto"/>
        <w:ind w:firstLine="1911" w:firstLineChars="595"/>
        <w:rPr>
          <w:rFonts w:hint="eastAsia" w:ascii="仿宋" w:hAnsi="仿宋" w:eastAsia="仿宋" w:cs="仿宋"/>
          <w:b/>
          <w:bCs/>
          <w:color w:val="auto"/>
          <w:sz w:val="32"/>
          <w:szCs w:val="32"/>
          <w:highlight w:val="none"/>
        </w:rPr>
      </w:pPr>
    </w:p>
    <w:p w14:paraId="04B7091E">
      <w:pPr>
        <w:spacing w:line="360" w:lineRule="auto"/>
        <w:ind w:firstLine="1911" w:firstLineChars="595"/>
        <w:rPr>
          <w:rFonts w:hint="eastAsia" w:ascii="仿宋" w:hAnsi="仿宋" w:eastAsia="仿宋" w:cs="仿宋"/>
          <w:b/>
          <w:bCs/>
          <w:color w:val="auto"/>
          <w:sz w:val="32"/>
          <w:szCs w:val="32"/>
          <w:highlight w:val="none"/>
        </w:rPr>
      </w:pPr>
    </w:p>
    <w:p w14:paraId="1EB98F64">
      <w:pPr>
        <w:spacing w:line="360" w:lineRule="auto"/>
        <w:ind w:firstLine="1911" w:firstLineChars="595"/>
        <w:rPr>
          <w:rFonts w:hint="eastAsia" w:ascii="仿宋" w:hAnsi="仿宋" w:eastAsia="仿宋" w:cs="仿宋"/>
          <w:b/>
          <w:bCs/>
          <w:color w:val="auto"/>
          <w:sz w:val="32"/>
          <w:szCs w:val="32"/>
          <w:highlight w:val="none"/>
        </w:rPr>
      </w:pPr>
    </w:p>
    <w:p w14:paraId="035D387F">
      <w:pPr>
        <w:widowControl/>
        <w:adjustRightInd/>
        <w:spacing w:line="360" w:lineRule="auto"/>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4D718C51">
      <w:pPr>
        <w:snapToGrid/>
        <w:spacing w:line="360" w:lineRule="auto"/>
        <w:ind w:firstLine="1911" w:firstLineChars="595"/>
        <w:rPr>
          <w:rFonts w:hint="eastAsia" w:ascii="仿宋" w:hAnsi="仿宋" w:eastAsia="仿宋" w:cs="仿宋"/>
          <w:color w:val="auto"/>
          <w:sz w:val="24"/>
          <w:highlight w:val="none"/>
        </w:rPr>
      </w:pPr>
      <w:r>
        <w:rPr>
          <w:rFonts w:hint="eastAsia" w:ascii="仿宋" w:hAnsi="仿宋" w:eastAsia="仿宋" w:cs="仿宋"/>
          <w:b/>
          <w:bCs/>
          <w:color w:val="auto"/>
          <w:sz w:val="32"/>
          <w:szCs w:val="32"/>
          <w:highlight w:val="none"/>
        </w:rPr>
        <w:t>八</w:t>
      </w:r>
      <w:r>
        <w:rPr>
          <w:rFonts w:hint="eastAsia" w:ascii="仿宋" w:hAnsi="仿宋" w:eastAsia="仿宋" w:cs="仿宋"/>
          <w:b/>
          <w:color w:val="auto"/>
          <w:kern w:val="0"/>
          <w:sz w:val="32"/>
          <w:szCs w:val="32"/>
          <w:highlight w:val="none"/>
        </w:rPr>
        <w:t>、</w:t>
      </w:r>
      <w:r>
        <w:rPr>
          <w:rFonts w:hint="eastAsia" w:ascii="仿宋" w:hAnsi="仿宋" w:eastAsia="仿宋" w:cs="仿宋"/>
          <w:b/>
          <w:color w:val="auto"/>
          <w:kern w:val="0"/>
          <w:sz w:val="32"/>
          <w:szCs w:val="32"/>
          <w:highlight w:val="none"/>
          <w:lang w:val="zh-CN"/>
        </w:rPr>
        <w:t>政府采购供应商廉洁自律承诺书</w:t>
      </w:r>
    </w:p>
    <w:p w14:paraId="4FA07C02">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（采购人）、（采购代理机构）</w:t>
      </w:r>
      <w:r>
        <w:rPr>
          <w:rFonts w:hint="eastAsia" w:ascii="仿宋" w:hAnsi="仿宋" w:eastAsia="仿宋" w:cs="仿宋"/>
          <w:color w:val="auto"/>
          <w:kern w:val="0"/>
          <w:sz w:val="24"/>
          <w:highlight w:val="none"/>
          <w:lang w:val="zh-CN"/>
        </w:rPr>
        <w:t>：</w:t>
      </w:r>
    </w:p>
    <w:p w14:paraId="5FAB8EFD">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我单位响应你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项目招标要求参加投标。在这次投标过程中和中标后，我们将严格遵守国家法律法规要求，并郑重承诺：</w:t>
      </w:r>
    </w:p>
    <w:p w14:paraId="2D745BFB">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一、不向项目有关人员及部门赠送礼金礼物、有价证券、回扣以及中介费、介绍费、咨询费等好处费；</w:t>
      </w:r>
    </w:p>
    <w:p w14:paraId="437D1AB1">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二、不为项目有关人员及部门报销应由你方单位或个人支付的费用；</w:t>
      </w:r>
    </w:p>
    <w:p w14:paraId="292C8A4C">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三、不向项目有关人员及部门提供有可能影响公正的宴请和健身娱乐等活动；</w:t>
      </w:r>
    </w:p>
    <w:p w14:paraId="06975224">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四、不为项目有关人员及部门出国（境）、旅游等提供方便；</w:t>
      </w:r>
    </w:p>
    <w:p w14:paraId="01F15903">
      <w:pPr>
        <w:autoSpaceDE w:val="0"/>
        <w:autoSpaceDN w:val="0"/>
        <w:spacing w:line="360" w:lineRule="auto"/>
        <w:ind w:left="481" w:leftChars="229"/>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五、不为项目有关人员个人装修住房、婚丧嫁娶、配偶子女工作安排等提供</w:t>
      </w:r>
    </w:p>
    <w:p w14:paraId="18C77732">
      <w:pPr>
        <w:autoSpaceDE w:val="0"/>
        <w:autoSpaceDN w:val="0"/>
        <w:spacing w:line="360" w:lineRule="auto"/>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好处；</w:t>
      </w:r>
    </w:p>
    <w:p w14:paraId="1FF069B0">
      <w:pPr>
        <w:autoSpaceDE w:val="0"/>
        <w:autoSpaceDN w:val="0"/>
        <w:spacing w:line="360" w:lineRule="auto"/>
        <w:ind w:left="481" w:leftChars="229"/>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六、严格遵守《</w:t>
      </w:r>
      <w:r>
        <w:rPr>
          <w:rFonts w:hint="eastAsia" w:ascii="仿宋" w:hAnsi="仿宋" w:eastAsia="仿宋" w:cs="仿宋"/>
          <w:color w:val="auto"/>
          <w:sz w:val="24"/>
          <w:highlight w:val="none"/>
          <w:lang w:val="zh-CN"/>
        </w:rPr>
        <w:t>中华人民共和国</w:t>
      </w:r>
      <w:r>
        <w:rPr>
          <w:rFonts w:hint="eastAsia" w:ascii="仿宋" w:hAnsi="仿宋" w:eastAsia="仿宋" w:cs="仿宋"/>
          <w:color w:val="auto"/>
          <w:kern w:val="0"/>
          <w:sz w:val="24"/>
          <w:highlight w:val="none"/>
          <w:lang w:val="zh-CN"/>
        </w:rPr>
        <w:t>政府采购法》《</w:t>
      </w:r>
      <w:r>
        <w:rPr>
          <w:rFonts w:hint="eastAsia" w:ascii="仿宋" w:hAnsi="仿宋" w:eastAsia="仿宋" w:cs="仿宋"/>
          <w:color w:val="auto"/>
          <w:sz w:val="24"/>
          <w:highlight w:val="none"/>
          <w:lang w:val="zh-CN"/>
        </w:rPr>
        <w:t>中华人民共和国</w:t>
      </w:r>
      <w:r>
        <w:rPr>
          <w:rFonts w:hint="eastAsia" w:ascii="仿宋" w:hAnsi="仿宋" w:eastAsia="仿宋" w:cs="仿宋"/>
          <w:color w:val="auto"/>
          <w:kern w:val="0"/>
          <w:sz w:val="24"/>
          <w:highlight w:val="none"/>
          <w:lang w:val="zh-CN"/>
        </w:rPr>
        <w:t>招标投标</w:t>
      </w:r>
    </w:p>
    <w:p w14:paraId="4C569217">
      <w:pPr>
        <w:autoSpaceDE w:val="0"/>
        <w:autoSpaceDN w:val="0"/>
        <w:spacing w:line="360" w:lineRule="auto"/>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法》</w:t>
      </w:r>
      <w:r>
        <w:rPr>
          <w:rFonts w:hint="eastAsia" w:ascii="仿宋" w:hAnsi="仿宋" w:eastAsia="仿宋" w:cs="仿宋"/>
          <w:color w:val="auto"/>
          <w:sz w:val="24"/>
          <w:highlight w:val="none"/>
          <w:lang w:val="zh-CN"/>
        </w:rPr>
        <w:t>《中华人民共和国民法典》</w:t>
      </w:r>
      <w:r>
        <w:rPr>
          <w:rFonts w:hint="eastAsia" w:ascii="仿宋" w:hAnsi="仿宋" w:eastAsia="仿宋" w:cs="仿宋"/>
          <w:color w:val="auto"/>
          <w:kern w:val="0"/>
          <w:sz w:val="24"/>
          <w:highlight w:val="none"/>
          <w:lang w:val="zh-CN"/>
        </w:rPr>
        <w:t>等法律法规，诚实守信，合法经营，坚决抵制各种违法违纪行为。</w:t>
      </w:r>
    </w:p>
    <w:p w14:paraId="0F7E87E5">
      <w:pP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如违反上述承诺，你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有权立即取消我单位投标、中标或在建项目的建设资格，有权拒绝我单位在一定时期内进入你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进行项目建设或其他经营活动，并通报市财政局。由此引起的相应损失均由我单位承担。</w:t>
      </w:r>
    </w:p>
    <w:p w14:paraId="55EBE137">
      <w:pPr>
        <w:autoSpaceDE w:val="0"/>
        <w:autoSpaceDN w:val="0"/>
        <w:spacing w:line="360" w:lineRule="auto"/>
        <w:ind w:left="2"/>
        <w:jc w:val="left"/>
        <w:rPr>
          <w:rFonts w:hint="eastAsia" w:ascii="仿宋" w:hAnsi="仿宋" w:eastAsia="仿宋" w:cs="仿宋"/>
          <w:color w:val="auto"/>
          <w:kern w:val="0"/>
          <w:sz w:val="24"/>
          <w:highlight w:val="none"/>
          <w:lang w:val="zh-CN"/>
        </w:rPr>
      </w:pPr>
    </w:p>
    <w:p w14:paraId="0DA56F60">
      <w:pPr>
        <w:autoSpaceDE w:val="0"/>
        <w:autoSpaceDN w:val="0"/>
        <w:spacing w:line="360" w:lineRule="auto"/>
        <w:ind w:left="2"/>
        <w:jc w:val="left"/>
        <w:rPr>
          <w:rFonts w:hint="eastAsia" w:ascii="仿宋" w:hAnsi="仿宋" w:eastAsia="仿宋" w:cs="仿宋"/>
          <w:color w:val="auto"/>
          <w:kern w:val="0"/>
          <w:sz w:val="24"/>
          <w:highlight w:val="none"/>
          <w:lang w:val="zh-CN"/>
        </w:rPr>
      </w:pPr>
    </w:p>
    <w:p w14:paraId="390B063B">
      <w:pPr>
        <w:autoSpaceDE w:val="0"/>
        <w:autoSpaceDN w:val="0"/>
        <w:spacing w:line="360" w:lineRule="auto"/>
        <w:ind w:left="2"/>
        <w:jc w:val="left"/>
        <w:rPr>
          <w:rFonts w:hint="eastAsia" w:ascii="仿宋" w:hAnsi="仿宋" w:eastAsia="仿宋" w:cs="仿宋"/>
          <w:color w:val="auto"/>
          <w:kern w:val="0"/>
          <w:sz w:val="24"/>
          <w:highlight w:val="none"/>
          <w:lang w:val="zh-CN"/>
        </w:rPr>
      </w:pPr>
    </w:p>
    <w:p w14:paraId="64EB9AD0">
      <w:pPr>
        <w:autoSpaceDE w:val="0"/>
        <w:autoSpaceDN w:val="0"/>
        <w:spacing w:line="360" w:lineRule="auto"/>
        <w:ind w:left="2" w:leftChars="1" w:right="1120" w:firstLine="4560" w:firstLineChars="19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投标人名称（</w:t>
      </w:r>
      <w:r>
        <w:rPr>
          <w:rFonts w:hint="eastAsia" w:ascii="仿宋" w:hAnsi="仿宋" w:eastAsia="仿宋" w:cs="仿宋"/>
          <w:color w:val="auto"/>
          <w:sz w:val="24"/>
          <w:highlight w:val="none"/>
        </w:rPr>
        <w:t>电子签名</w:t>
      </w:r>
      <w:r>
        <w:rPr>
          <w:rFonts w:hint="eastAsia" w:ascii="仿宋" w:hAnsi="仿宋" w:eastAsia="仿宋" w:cs="仿宋"/>
          <w:color w:val="auto"/>
          <w:kern w:val="0"/>
          <w:sz w:val="24"/>
          <w:highlight w:val="none"/>
          <w:lang w:val="zh-CN"/>
        </w:rPr>
        <w:t>）：</w:t>
      </w:r>
    </w:p>
    <w:p w14:paraId="0F92F9E5">
      <w:pPr>
        <w:autoSpaceDE w:val="0"/>
        <w:autoSpaceDN w:val="0"/>
        <w:spacing w:line="360" w:lineRule="auto"/>
        <w:ind w:left="2" w:leftChars="1" w:right="1120" w:firstLine="4560" w:firstLineChars="1900"/>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 xml:space="preserve">   年   月   日</w:t>
      </w:r>
    </w:p>
    <w:p w14:paraId="78F51931">
      <w:pPr>
        <w:spacing w:line="360" w:lineRule="auto"/>
        <w:jc w:val="center"/>
        <w:rPr>
          <w:rFonts w:hint="eastAsia" w:ascii="仿宋" w:hAnsi="仿宋" w:eastAsia="仿宋" w:cs="仿宋"/>
          <w:b/>
          <w:bCs/>
          <w:color w:val="auto"/>
          <w:sz w:val="24"/>
          <w:highlight w:val="none"/>
        </w:rPr>
      </w:pPr>
    </w:p>
    <w:p w14:paraId="589D842F">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2B32F488">
      <w:pPr>
        <w:spacing w:line="360" w:lineRule="auto"/>
        <w:jc w:val="center"/>
        <w:rPr>
          <w:rFonts w:hint="eastAsia" w:ascii="仿宋" w:hAnsi="仿宋" w:eastAsia="仿宋" w:cs="仿宋"/>
          <w:b/>
          <w:bCs/>
          <w:color w:val="auto"/>
          <w:sz w:val="24"/>
          <w:highlight w:val="none"/>
        </w:rPr>
        <w:sectPr>
          <w:pgSz w:w="11905" w:h="16838"/>
          <w:pgMar w:top="1440" w:right="1083" w:bottom="1440" w:left="1083" w:header="850" w:footer="992" w:gutter="0"/>
          <w:cols w:space="0" w:num="1"/>
          <w:titlePg/>
          <w:rtlGutter w:val="0"/>
          <w:docGrid w:linePitch="312" w:charSpace="0"/>
        </w:sectPr>
      </w:pPr>
    </w:p>
    <w:p w14:paraId="4CA466F2">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报价文件部分</w:t>
      </w:r>
    </w:p>
    <w:p w14:paraId="5B1029B5">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77E2A777">
      <w:pPr>
        <w:numPr>
          <w:ilvl w:val="0"/>
          <w:numId w:val="0"/>
        </w:num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rPr>
        <w:t>开标一览表（报价表）…………………………………………………………………（页码）</w:t>
      </w:r>
    </w:p>
    <w:p w14:paraId="28D86FB8">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）中小企业声明函…………………………………………………………………………（页码）</w:t>
      </w:r>
    </w:p>
    <w:p w14:paraId="6D202EB1">
      <w:pPr>
        <w:snapToGrid w:val="0"/>
        <w:spacing w:line="360" w:lineRule="auto"/>
        <w:ind w:right="480"/>
        <w:jc w:val="center"/>
        <w:rPr>
          <w:rFonts w:hint="eastAsia" w:ascii="仿宋" w:hAnsi="仿宋" w:eastAsia="仿宋" w:cs="仿宋"/>
          <w:b/>
          <w:color w:val="auto"/>
          <w:kern w:val="0"/>
          <w:sz w:val="32"/>
          <w:szCs w:val="32"/>
          <w:highlight w:val="none"/>
        </w:rPr>
      </w:pPr>
    </w:p>
    <w:p w14:paraId="3B5843F2">
      <w:pPr>
        <w:pStyle w:val="693"/>
        <w:keepNext w:val="0"/>
        <w:pageBreakBefore w:val="0"/>
        <w:tabs>
          <w:tab w:val="clear" w:pos="720"/>
        </w:tabs>
        <w:snapToGrid w:val="0"/>
        <w:spacing w:before="120" w:after="120" w:line="360" w:lineRule="auto"/>
        <w:ind w:firstLine="643"/>
        <w:outlineLvl w:val="9"/>
        <w:rPr>
          <w:rFonts w:hint="eastAsia" w:ascii="仿宋" w:hAnsi="仿宋" w:eastAsia="仿宋" w:cs="仿宋"/>
          <w:color w:val="auto"/>
          <w:kern w:val="2"/>
          <w:sz w:val="32"/>
          <w:szCs w:val="32"/>
          <w:highlight w:val="none"/>
        </w:rPr>
        <w:sectPr>
          <w:headerReference r:id="rId17" w:type="first"/>
          <w:footerReference r:id="rId19" w:type="first"/>
          <w:headerReference r:id="rId16" w:type="default"/>
          <w:footerReference r:id="rId18" w:type="default"/>
          <w:pgSz w:w="11905" w:h="16838"/>
          <w:pgMar w:top="1440" w:right="1083" w:bottom="1440" w:left="1083" w:header="850" w:footer="992" w:gutter="0"/>
          <w:cols w:space="0" w:num="1"/>
          <w:titlePg/>
          <w:rtlGutter w:val="0"/>
          <w:docGrid w:linePitch="312" w:charSpace="0"/>
        </w:sectPr>
      </w:pPr>
    </w:p>
    <w:p w14:paraId="00E134F2">
      <w:pPr>
        <w:pStyle w:val="693"/>
        <w:keepNext w:val="0"/>
        <w:pageBreakBefore/>
        <w:tabs>
          <w:tab w:val="clear" w:pos="720"/>
        </w:tabs>
        <w:snapToGrid w:val="0"/>
        <w:spacing w:before="120" w:after="120"/>
        <w:ind w:firstLine="643"/>
        <w:outlineLvl w:val="9"/>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一、开标一览表（报价表）</w:t>
      </w:r>
    </w:p>
    <w:p w14:paraId="3F618E71">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（采购人）、（采购代理机构）</w:t>
      </w:r>
      <w:r>
        <w:rPr>
          <w:rFonts w:hint="eastAsia" w:ascii="仿宋" w:hAnsi="仿宋" w:eastAsia="仿宋" w:cs="仿宋"/>
          <w:color w:val="auto"/>
          <w:kern w:val="0"/>
          <w:sz w:val="24"/>
          <w:highlight w:val="none"/>
          <w:lang w:val="zh-CN"/>
        </w:rPr>
        <w:t>：</w:t>
      </w:r>
    </w:p>
    <w:p w14:paraId="2F55B493">
      <w:pPr>
        <w:snapToGrid w:val="0"/>
        <w:spacing w:line="360" w:lineRule="auto"/>
        <w:ind w:firstLine="482"/>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仿宋" w:hAnsi="仿宋" w:eastAsia="仿宋" w:cs="仿宋"/>
          <w:color w:val="auto"/>
          <w:sz w:val="24"/>
          <w:highlight w:val="none"/>
        </w:rPr>
        <w:t>（项目名称）</w:t>
      </w:r>
      <w:r>
        <w:rPr>
          <w:rFonts w:hint="eastAsia" w:ascii="仿宋" w:hAnsi="仿宋" w:eastAsia="仿宋" w:cs="仿宋"/>
          <w:color w:val="auto"/>
          <w:kern w:val="0"/>
          <w:sz w:val="24"/>
          <w:highlight w:val="none"/>
          <w:lang w:val="zh-CN"/>
        </w:rPr>
        <w:t>【招标编号：</w:t>
      </w:r>
      <w:r>
        <w:rPr>
          <w:rFonts w:hint="eastAsia" w:ascii="仿宋" w:hAnsi="仿宋" w:eastAsia="仿宋" w:cs="仿宋"/>
          <w:color w:val="auto"/>
          <w:sz w:val="24"/>
          <w:highlight w:val="none"/>
        </w:rPr>
        <w:t>（采购编号）】的实施</w:t>
      </w:r>
      <w:r>
        <w:rPr>
          <w:rFonts w:hint="eastAsia" w:ascii="仿宋" w:hAnsi="仿宋" w:eastAsia="仿宋" w:cs="仿宋"/>
          <w:color w:val="auto"/>
          <w:kern w:val="0"/>
          <w:sz w:val="24"/>
          <w:highlight w:val="none"/>
          <w:lang w:val="zh-CN"/>
        </w:rPr>
        <w:t>。</w:t>
      </w:r>
    </w:p>
    <w:p w14:paraId="223CD528">
      <w:pPr>
        <w:spacing w:line="360" w:lineRule="auto"/>
        <w:jc w:val="center"/>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开标一览表（报价表）（单位均为人民币元）</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835"/>
        <w:gridCol w:w="1244"/>
        <w:gridCol w:w="538"/>
        <w:gridCol w:w="1099"/>
        <w:gridCol w:w="2578"/>
        <w:gridCol w:w="2123"/>
      </w:tblGrid>
      <w:tr w14:paraId="3738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0" w:type="auto"/>
            <w:vAlign w:val="center"/>
          </w:tcPr>
          <w:p w14:paraId="33C969F7">
            <w:pPr>
              <w:spacing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835" w:type="dxa"/>
            <w:vAlign w:val="center"/>
          </w:tcPr>
          <w:p w14:paraId="176FA6A0">
            <w:pPr>
              <w:spacing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项目</w:t>
            </w:r>
            <w:r>
              <w:rPr>
                <w:rFonts w:hint="eastAsia" w:ascii="仿宋" w:hAnsi="仿宋" w:eastAsia="仿宋" w:cs="仿宋"/>
                <w:b/>
                <w:color w:val="auto"/>
                <w:sz w:val="24"/>
                <w:highlight w:val="none"/>
              </w:rPr>
              <w:t>名称</w:t>
            </w:r>
          </w:p>
        </w:tc>
        <w:tc>
          <w:tcPr>
            <w:tcW w:w="1244" w:type="dxa"/>
            <w:vAlign w:val="center"/>
          </w:tcPr>
          <w:p w14:paraId="5BB47A69">
            <w:pPr>
              <w:spacing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具体服务</w:t>
            </w:r>
          </w:p>
        </w:tc>
        <w:tc>
          <w:tcPr>
            <w:tcW w:w="0" w:type="auto"/>
            <w:vAlign w:val="center"/>
          </w:tcPr>
          <w:p w14:paraId="404979A7">
            <w:pPr>
              <w:spacing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单位</w:t>
            </w:r>
          </w:p>
        </w:tc>
        <w:tc>
          <w:tcPr>
            <w:tcW w:w="0" w:type="auto"/>
            <w:vAlign w:val="center"/>
          </w:tcPr>
          <w:p w14:paraId="045F6EF4">
            <w:pPr>
              <w:spacing w:line="240" w:lineRule="auto"/>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rPr>
              <w:t>数量</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暂定）</w:t>
            </w:r>
          </w:p>
        </w:tc>
        <w:tc>
          <w:tcPr>
            <w:tcW w:w="2578" w:type="dxa"/>
            <w:vAlign w:val="center"/>
          </w:tcPr>
          <w:p w14:paraId="59EAB68F">
            <w:pPr>
              <w:spacing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综合单价（元</w:t>
            </w:r>
            <w:r>
              <w:rPr>
                <w:rFonts w:hint="eastAsia" w:ascii="仿宋" w:hAnsi="仿宋" w:eastAsia="仿宋" w:cs="仿宋"/>
                <w:b/>
                <w:color w:val="auto"/>
                <w:sz w:val="24"/>
                <w:highlight w:val="none"/>
                <w:lang w:val="en-US" w:eastAsia="zh-CN"/>
              </w:rPr>
              <w:t>/人</w:t>
            </w:r>
            <w:r>
              <w:rPr>
                <w:rFonts w:hint="eastAsia" w:ascii="仿宋" w:hAnsi="仿宋" w:eastAsia="仿宋" w:cs="仿宋"/>
                <w:b/>
                <w:color w:val="auto"/>
                <w:sz w:val="24"/>
                <w:highlight w:val="none"/>
              </w:rPr>
              <w:t>）</w:t>
            </w:r>
          </w:p>
        </w:tc>
        <w:tc>
          <w:tcPr>
            <w:tcW w:w="2123" w:type="dxa"/>
            <w:vAlign w:val="center"/>
          </w:tcPr>
          <w:p w14:paraId="5F005ED5">
            <w:pPr>
              <w:spacing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r>
      <w:tr w14:paraId="29FD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0" w:type="auto"/>
            <w:vAlign w:val="center"/>
          </w:tcPr>
          <w:p w14:paraId="45AFF036">
            <w:pPr>
              <w:snapToGrid w:val="0"/>
              <w:spacing w:line="240" w:lineRule="auto"/>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p>
        </w:tc>
        <w:tc>
          <w:tcPr>
            <w:tcW w:w="1835" w:type="dxa"/>
            <w:vAlign w:val="center"/>
          </w:tcPr>
          <w:p w14:paraId="02ECF976">
            <w:pPr>
              <w:snapToGrid w:val="0"/>
              <w:spacing w:line="240" w:lineRule="auto"/>
              <w:jc w:val="center"/>
              <w:rPr>
                <w:rFonts w:hint="eastAsia" w:ascii="仿宋" w:hAnsi="仿宋" w:eastAsia="仿宋" w:cs="仿宋"/>
                <w:color w:val="auto"/>
                <w:kern w:val="0"/>
                <w:sz w:val="24"/>
                <w:highlight w:val="none"/>
                <w:lang w:val="zh-CN" w:eastAsia="zh-CN"/>
              </w:rPr>
            </w:pPr>
            <w:r>
              <w:rPr>
                <w:rFonts w:hint="eastAsia" w:ascii="仿宋" w:hAnsi="仿宋" w:eastAsia="仿宋" w:cs="仿宋"/>
                <w:color w:val="auto"/>
                <w:sz w:val="24"/>
                <w:highlight w:val="none"/>
                <w:lang w:eastAsia="zh-CN"/>
              </w:rPr>
              <w:t>2026年九堡街道企业退休人员自管小组文体活动项目</w:t>
            </w:r>
          </w:p>
        </w:tc>
        <w:tc>
          <w:tcPr>
            <w:tcW w:w="1244" w:type="dxa"/>
            <w:vAlign w:val="center"/>
          </w:tcPr>
          <w:p w14:paraId="767862A1">
            <w:pPr>
              <w:snapToGrid w:val="0"/>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按</w:t>
            </w:r>
            <w:r>
              <w:rPr>
                <w:rFonts w:hint="eastAsia" w:ascii="仿宋" w:hAnsi="仿宋" w:eastAsia="仿宋" w:cs="仿宋"/>
                <w:color w:val="auto"/>
                <w:kern w:val="0"/>
                <w:sz w:val="24"/>
                <w:highlight w:val="none"/>
                <w:lang w:val="en-US" w:eastAsia="zh-CN"/>
              </w:rPr>
              <w:t>采购</w:t>
            </w:r>
            <w:r>
              <w:rPr>
                <w:rFonts w:hint="eastAsia" w:ascii="仿宋" w:hAnsi="仿宋" w:eastAsia="仿宋" w:cs="仿宋"/>
                <w:color w:val="auto"/>
                <w:kern w:val="0"/>
                <w:sz w:val="24"/>
                <w:highlight w:val="none"/>
              </w:rPr>
              <w:t>文件要求</w:t>
            </w:r>
          </w:p>
        </w:tc>
        <w:tc>
          <w:tcPr>
            <w:tcW w:w="0" w:type="auto"/>
            <w:vAlign w:val="center"/>
          </w:tcPr>
          <w:p w14:paraId="0E36994B">
            <w:pPr>
              <w:snapToGrid w:val="0"/>
              <w:spacing w:line="240" w:lineRule="auto"/>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人</w:t>
            </w:r>
          </w:p>
        </w:tc>
        <w:tc>
          <w:tcPr>
            <w:tcW w:w="0" w:type="auto"/>
            <w:vAlign w:val="center"/>
          </w:tcPr>
          <w:p w14:paraId="1444A941">
            <w:pPr>
              <w:snapToGrid w:val="0"/>
              <w:spacing w:line="240" w:lineRule="auto"/>
              <w:jc w:val="center"/>
              <w:rPr>
                <w:rFonts w:hint="default" w:ascii="仿宋" w:hAnsi="仿宋" w:eastAsia="仿宋" w:cs="仿宋"/>
                <w:color w:val="auto"/>
                <w:kern w:val="0"/>
                <w:sz w:val="24"/>
                <w:highlight w:val="none"/>
                <w:lang w:val="en-US" w:eastAsia="zh-CN"/>
              </w:rPr>
            </w:pPr>
            <w:r>
              <w:rPr>
                <w:rFonts w:hint="eastAsia" w:ascii="仿宋" w:hAnsi="仿宋" w:eastAsia="仿宋" w:cs="仿宋"/>
                <w:bCs/>
                <w:snapToGrid/>
                <w:color w:val="auto"/>
                <w:kern w:val="2"/>
                <w:sz w:val="24"/>
                <w:szCs w:val="24"/>
                <w:highlight w:val="none"/>
                <w:lang w:val="en-US" w:eastAsia="zh-CN"/>
              </w:rPr>
              <w:t>17770</w:t>
            </w:r>
          </w:p>
        </w:tc>
        <w:tc>
          <w:tcPr>
            <w:tcW w:w="2578" w:type="dxa"/>
            <w:vAlign w:val="center"/>
          </w:tcPr>
          <w:p w14:paraId="4D8CD08A">
            <w:pPr>
              <w:snapToGrid w:val="0"/>
              <w:spacing w:line="24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小写：</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single"/>
                <w:lang w:val="en-US" w:eastAsia="zh-CN"/>
              </w:rPr>
              <w:t>130元/人</w:t>
            </w:r>
            <w:r>
              <w:rPr>
                <w:rFonts w:hint="eastAsia" w:ascii="仿宋" w:hAnsi="仿宋" w:eastAsia="仿宋" w:cs="仿宋"/>
                <w:color w:val="auto"/>
                <w:kern w:val="0"/>
                <w:sz w:val="24"/>
                <w:highlight w:val="none"/>
                <w:u w:val="single"/>
                <w:lang w:val="zh-CN"/>
              </w:rPr>
              <w:t xml:space="preserve">         </w:t>
            </w:r>
          </w:p>
          <w:p w14:paraId="44C47E02">
            <w:pPr>
              <w:snapToGrid w:val="0"/>
              <w:spacing w:line="24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大写：</w:t>
            </w:r>
            <w:r>
              <w:rPr>
                <w:rFonts w:hint="eastAsia" w:ascii="仿宋" w:hAnsi="仿宋" w:eastAsia="仿宋" w:cs="仿宋"/>
                <w:color w:val="auto"/>
                <w:kern w:val="0"/>
                <w:sz w:val="24"/>
                <w:highlight w:val="none"/>
                <w:u w:val="single"/>
                <w:lang w:val="en-US" w:eastAsia="zh-CN"/>
              </w:rPr>
              <w:t>壹佰叁拾元/人</w:t>
            </w:r>
            <w:r>
              <w:rPr>
                <w:rFonts w:hint="eastAsia" w:ascii="仿宋" w:hAnsi="仿宋" w:eastAsia="仿宋" w:cs="仿宋"/>
                <w:color w:val="auto"/>
                <w:kern w:val="0"/>
                <w:sz w:val="24"/>
                <w:highlight w:val="none"/>
                <w:u w:val="single"/>
                <w:lang w:val="zh-CN" w:eastAsia="zh-CN"/>
              </w:rPr>
              <w:t xml:space="preserve">       </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 xml:space="preserve">       </w:t>
            </w:r>
          </w:p>
        </w:tc>
        <w:tc>
          <w:tcPr>
            <w:tcW w:w="2123" w:type="dxa"/>
            <w:vAlign w:val="center"/>
          </w:tcPr>
          <w:p w14:paraId="2588CA7D">
            <w:pPr>
              <w:snapToGrid w:val="0"/>
              <w:spacing w:line="240" w:lineRule="auto"/>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以实际参加人数结算，</w:t>
            </w:r>
            <w:r>
              <w:rPr>
                <w:rFonts w:hint="eastAsia" w:ascii="仿宋" w:hAnsi="仿宋" w:eastAsia="仿宋" w:cs="仿宋"/>
                <w:color w:val="auto"/>
                <w:kern w:val="0"/>
                <w:sz w:val="24"/>
                <w:highlight w:val="none"/>
              </w:rPr>
              <w:t>最终结算总金额追加服务的</w:t>
            </w:r>
            <w:r>
              <w:rPr>
                <w:rFonts w:hint="eastAsia" w:ascii="仿宋" w:hAnsi="仿宋" w:eastAsia="仿宋" w:cs="宋体"/>
                <w:color w:val="auto"/>
                <w:sz w:val="24"/>
                <w:highlight w:val="none"/>
                <w:lang w:val="en-US" w:eastAsia="zh-CN" w:bidi="ar"/>
              </w:rPr>
              <w:t>采</w:t>
            </w:r>
            <w:r>
              <w:rPr>
                <w:rFonts w:hint="eastAsia" w:ascii="仿宋" w:hAnsi="仿宋" w:eastAsia="仿宋" w:cs="仿宋"/>
                <w:color w:val="auto"/>
                <w:kern w:val="0"/>
                <w:sz w:val="24"/>
                <w:highlight w:val="none"/>
              </w:rPr>
              <w:t>购金额不超过原合同采购金额10%</w:t>
            </w:r>
          </w:p>
        </w:tc>
      </w:tr>
      <w:tr w14:paraId="7ECE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0" w:type="auto"/>
            <w:vAlign w:val="center"/>
          </w:tcPr>
          <w:p w14:paraId="7122B986">
            <w:pPr>
              <w:snapToGrid w:val="0"/>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835" w:type="dxa"/>
            <w:vAlign w:val="center"/>
          </w:tcPr>
          <w:p w14:paraId="0563C74A">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rPr>
              <w:t>投标</w:t>
            </w:r>
            <w:r>
              <w:rPr>
                <w:rFonts w:hint="eastAsia" w:ascii="仿宋" w:hAnsi="仿宋" w:eastAsia="仿宋" w:cs="仿宋"/>
                <w:b/>
                <w:color w:val="auto"/>
                <w:sz w:val="24"/>
                <w:highlight w:val="none"/>
                <w:lang w:val="en-US" w:eastAsia="zh-CN"/>
              </w:rPr>
              <w:t>总</w:t>
            </w:r>
            <w:r>
              <w:rPr>
                <w:rFonts w:hint="eastAsia" w:ascii="仿宋" w:hAnsi="仿宋" w:eastAsia="仿宋" w:cs="仿宋"/>
                <w:b/>
                <w:color w:val="auto"/>
                <w:sz w:val="24"/>
                <w:highlight w:val="none"/>
              </w:rPr>
              <w:t>报价（小写）</w:t>
            </w:r>
          </w:p>
        </w:tc>
        <w:tc>
          <w:tcPr>
            <w:tcW w:w="7582" w:type="dxa"/>
            <w:gridSpan w:val="5"/>
            <w:vAlign w:val="center"/>
          </w:tcPr>
          <w:p w14:paraId="142702D4">
            <w:pPr>
              <w:snapToGrid w:val="0"/>
              <w:spacing w:line="240" w:lineRule="auto"/>
              <w:rPr>
                <w:rFonts w:hint="eastAsia" w:ascii="仿宋" w:hAnsi="仿宋" w:eastAsia="仿宋" w:cs="仿宋"/>
                <w:color w:val="auto"/>
                <w:kern w:val="0"/>
                <w:sz w:val="24"/>
                <w:highlight w:val="none"/>
                <w:lang w:val="zh-CN"/>
              </w:rPr>
            </w:pPr>
          </w:p>
        </w:tc>
      </w:tr>
      <w:tr w14:paraId="4B94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0" w:type="auto"/>
            <w:shd w:val="clear" w:color="auto" w:fill="auto"/>
            <w:vAlign w:val="center"/>
          </w:tcPr>
          <w:p w14:paraId="391EC22B">
            <w:pPr>
              <w:snapToGrid w:val="0"/>
              <w:spacing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rPr>
              <w:t>3</w:t>
            </w:r>
          </w:p>
        </w:tc>
        <w:tc>
          <w:tcPr>
            <w:tcW w:w="1835" w:type="dxa"/>
            <w:vAlign w:val="center"/>
          </w:tcPr>
          <w:p w14:paraId="34B16BF8">
            <w:pPr>
              <w:spacing w:line="240" w:lineRule="auto"/>
              <w:jc w:val="center"/>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rPr>
              <w:t>投标</w:t>
            </w:r>
            <w:r>
              <w:rPr>
                <w:rFonts w:hint="eastAsia" w:ascii="仿宋" w:hAnsi="仿宋" w:eastAsia="仿宋" w:cs="仿宋"/>
                <w:b/>
                <w:color w:val="auto"/>
                <w:sz w:val="24"/>
                <w:highlight w:val="none"/>
                <w:lang w:val="en-US" w:eastAsia="zh-CN"/>
              </w:rPr>
              <w:t>总</w:t>
            </w:r>
            <w:r>
              <w:rPr>
                <w:rFonts w:hint="eastAsia" w:ascii="仿宋" w:hAnsi="仿宋" w:eastAsia="仿宋" w:cs="仿宋"/>
                <w:b/>
                <w:color w:val="auto"/>
                <w:sz w:val="24"/>
                <w:highlight w:val="none"/>
              </w:rPr>
              <w:t>报价（大写）</w:t>
            </w:r>
          </w:p>
        </w:tc>
        <w:tc>
          <w:tcPr>
            <w:tcW w:w="7582" w:type="dxa"/>
            <w:gridSpan w:val="5"/>
            <w:vAlign w:val="center"/>
          </w:tcPr>
          <w:p w14:paraId="167D5908">
            <w:pPr>
              <w:snapToGrid w:val="0"/>
              <w:spacing w:line="240" w:lineRule="auto"/>
              <w:rPr>
                <w:rFonts w:hint="eastAsia" w:ascii="仿宋" w:hAnsi="仿宋" w:eastAsia="仿宋" w:cs="仿宋"/>
                <w:color w:val="auto"/>
                <w:kern w:val="0"/>
                <w:sz w:val="24"/>
                <w:highlight w:val="none"/>
                <w:lang w:val="zh-CN"/>
              </w:rPr>
            </w:pPr>
          </w:p>
        </w:tc>
      </w:tr>
      <w:tr w14:paraId="46FD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D80E309">
            <w:pPr>
              <w:snapToGrid w:val="0"/>
              <w:spacing w:line="24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rPr>
              <w:t>4</w:t>
            </w:r>
          </w:p>
        </w:tc>
        <w:tc>
          <w:tcPr>
            <w:tcW w:w="1835" w:type="dxa"/>
            <w:vAlign w:val="center"/>
          </w:tcPr>
          <w:p w14:paraId="6D32F19A">
            <w:pPr>
              <w:snapToGrid w:val="0"/>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服务期限</w:t>
            </w:r>
          </w:p>
        </w:tc>
        <w:tc>
          <w:tcPr>
            <w:tcW w:w="7582" w:type="dxa"/>
            <w:gridSpan w:val="5"/>
            <w:vAlign w:val="center"/>
          </w:tcPr>
          <w:p w14:paraId="6F84CB30">
            <w:pPr>
              <w:snapToGrid w:val="0"/>
              <w:spacing w:line="24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按</w:t>
            </w:r>
            <w:r>
              <w:rPr>
                <w:rFonts w:hint="eastAsia" w:ascii="仿宋" w:hAnsi="仿宋" w:eastAsia="仿宋" w:cs="仿宋"/>
                <w:color w:val="auto"/>
                <w:kern w:val="0"/>
                <w:sz w:val="24"/>
                <w:highlight w:val="none"/>
                <w:lang w:val="en-US" w:eastAsia="zh-CN"/>
              </w:rPr>
              <w:t>采购</w:t>
            </w:r>
            <w:r>
              <w:rPr>
                <w:rFonts w:hint="eastAsia" w:ascii="仿宋" w:hAnsi="仿宋" w:eastAsia="仿宋" w:cs="仿宋"/>
                <w:color w:val="auto"/>
                <w:kern w:val="0"/>
                <w:sz w:val="24"/>
                <w:highlight w:val="none"/>
              </w:rPr>
              <w:t>文件要求</w:t>
            </w:r>
          </w:p>
        </w:tc>
      </w:tr>
      <w:tr w14:paraId="734B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0" w:type="auto"/>
            <w:vAlign w:val="center"/>
          </w:tcPr>
          <w:p w14:paraId="2CA68C15">
            <w:pPr>
              <w:snapToGrid w:val="0"/>
              <w:spacing w:line="24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5</w:t>
            </w:r>
          </w:p>
        </w:tc>
        <w:tc>
          <w:tcPr>
            <w:tcW w:w="1835" w:type="dxa"/>
            <w:vAlign w:val="center"/>
          </w:tcPr>
          <w:p w14:paraId="41D2E717">
            <w:pPr>
              <w:snapToGrid w:val="0"/>
              <w:spacing w:line="24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项目负责人</w:t>
            </w:r>
          </w:p>
        </w:tc>
        <w:tc>
          <w:tcPr>
            <w:tcW w:w="7582" w:type="dxa"/>
            <w:gridSpan w:val="5"/>
            <w:vAlign w:val="center"/>
          </w:tcPr>
          <w:p w14:paraId="711B5287">
            <w:pPr>
              <w:snapToGrid w:val="0"/>
              <w:spacing w:line="240" w:lineRule="auto"/>
              <w:rPr>
                <w:rFonts w:hint="eastAsia" w:ascii="仿宋" w:hAnsi="仿宋" w:eastAsia="仿宋" w:cs="仿宋"/>
                <w:color w:val="auto"/>
                <w:kern w:val="0"/>
                <w:sz w:val="24"/>
                <w:highlight w:val="none"/>
                <w:lang w:val="zh-CN"/>
              </w:rPr>
            </w:pPr>
          </w:p>
        </w:tc>
      </w:tr>
    </w:tbl>
    <w:p w14:paraId="4DD1A0CE">
      <w:pPr>
        <w:snapToGrid w:val="0"/>
        <w:spacing w:line="360" w:lineRule="auto"/>
        <w:ind w:left="480"/>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注：</w:t>
      </w:r>
    </w:p>
    <w:p w14:paraId="75F7549A">
      <w:pPr>
        <w:spacing w:line="360" w:lineRule="auto"/>
        <w:ind w:left="-2" w:leftChars="-1"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1.投标人需按本表格式填写</w:t>
      </w:r>
      <w:r>
        <w:rPr>
          <w:rFonts w:hint="eastAsia" w:ascii="仿宋" w:hAnsi="仿宋" w:eastAsia="仿宋" w:cs="仿宋"/>
          <w:b/>
          <w:color w:val="auto"/>
          <w:kern w:val="0"/>
          <w:sz w:val="24"/>
          <w:highlight w:val="none"/>
          <w:lang w:val="zh-CN"/>
        </w:rPr>
        <w:t>，</w:t>
      </w:r>
      <w:r>
        <w:rPr>
          <w:rFonts w:hint="eastAsia" w:ascii="仿宋" w:hAnsi="仿宋" w:eastAsia="仿宋" w:cs="仿宋"/>
          <w:b/>
          <w:color w:val="auto"/>
          <w:kern w:val="0"/>
          <w:sz w:val="24"/>
          <w:highlight w:val="none"/>
        </w:rPr>
        <w:t>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lang w:val="zh-CN"/>
        </w:rPr>
        <w:t>；</w:t>
      </w:r>
    </w:p>
    <w:p w14:paraId="4F5D7E13">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2.有关本项目实施所涉及的一切费用均计入报价。</w:t>
      </w:r>
      <w:r>
        <w:rPr>
          <w:rFonts w:hint="eastAsia" w:ascii="仿宋" w:hAnsi="仿宋" w:eastAsia="仿宋" w:cs="仿宋"/>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w:t>
      </w:r>
      <w:r>
        <w:rPr>
          <w:rFonts w:hint="eastAsia" w:ascii="仿宋" w:hAnsi="仿宋" w:eastAsia="仿宋" w:cs="仿宋"/>
          <w:color w:val="auto"/>
          <w:spacing w:val="0"/>
          <w:kern w:val="0"/>
          <w:sz w:val="24"/>
          <w:szCs w:val="24"/>
          <w:highlight w:val="none"/>
        </w:rPr>
        <w:t>总价</w:t>
      </w:r>
      <w:r>
        <w:rPr>
          <w:rFonts w:hint="eastAsia" w:ascii="仿宋" w:hAnsi="仿宋" w:eastAsia="仿宋" w:cs="仿宋"/>
          <w:color w:val="auto"/>
          <w:spacing w:val="0"/>
          <w:kern w:val="0"/>
          <w:sz w:val="24"/>
          <w:szCs w:val="24"/>
          <w:highlight w:val="none"/>
          <w:lang w:eastAsia="zh-CN"/>
        </w:rPr>
        <w:t>不为零</w:t>
      </w:r>
      <w:r>
        <w:rPr>
          <w:rFonts w:hint="eastAsia" w:ascii="仿宋" w:hAnsi="仿宋" w:eastAsia="仿宋" w:cs="仿宋"/>
          <w:color w:val="auto"/>
          <w:spacing w:val="0"/>
          <w:kern w:val="0"/>
          <w:sz w:val="24"/>
          <w:szCs w:val="24"/>
          <w:highlight w:val="none"/>
        </w:rPr>
        <w:t>，</w:t>
      </w:r>
      <w:r>
        <w:rPr>
          <w:rFonts w:hint="eastAsia" w:ascii="仿宋" w:hAnsi="仿宋" w:eastAsia="仿宋" w:cs="仿宋"/>
          <w:color w:val="auto"/>
          <w:spacing w:val="0"/>
          <w:kern w:val="0"/>
          <w:sz w:val="24"/>
          <w:szCs w:val="24"/>
          <w:highlight w:val="none"/>
          <w:lang w:eastAsia="zh-CN"/>
        </w:rPr>
        <w:t>部分</w:t>
      </w:r>
      <w:r>
        <w:rPr>
          <w:rFonts w:hint="eastAsia" w:ascii="仿宋" w:hAnsi="仿宋" w:eastAsia="仿宋" w:cs="仿宋"/>
          <w:color w:val="auto"/>
          <w:spacing w:val="0"/>
          <w:kern w:val="0"/>
          <w:sz w:val="24"/>
          <w:szCs w:val="24"/>
          <w:highlight w:val="none"/>
        </w:rPr>
        <w:t>产品、服务单价为零的，视作已包含在总价中</w:t>
      </w:r>
      <w:r>
        <w:rPr>
          <w:rFonts w:hint="eastAsia" w:ascii="仿宋" w:hAnsi="仿宋" w:eastAsia="仿宋" w:cs="仿宋"/>
          <w:color w:val="auto"/>
          <w:spacing w:val="0"/>
          <w:kern w:val="0"/>
          <w:sz w:val="24"/>
          <w:szCs w:val="24"/>
          <w:highlight w:val="none"/>
          <w:lang w:eastAsia="zh-CN"/>
        </w:rPr>
        <w:t>。</w:t>
      </w:r>
      <w:r>
        <w:rPr>
          <w:rFonts w:hint="eastAsia" w:ascii="仿宋" w:hAnsi="仿宋" w:eastAsia="仿宋" w:cs="仿宋"/>
          <w:b/>
          <w:color w:val="auto"/>
          <w:kern w:val="0"/>
          <w:sz w:val="24"/>
          <w:highlight w:val="none"/>
          <w:lang w:val="zh-CN"/>
        </w:rPr>
        <w:t>采购内容未包含在《开标一览表（报价表）》名称栏中，投标人不能作出合理解释的，</w:t>
      </w:r>
      <w:r>
        <w:rPr>
          <w:rFonts w:hint="eastAsia" w:ascii="仿宋" w:hAnsi="仿宋" w:eastAsia="仿宋" w:cs="仿宋"/>
          <w:b/>
          <w:color w:val="auto"/>
          <w:kern w:val="0"/>
          <w:sz w:val="24"/>
          <w:highlight w:val="none"/>
        </w:rPr>
        <w:t>视为</w:t>
      </w:r>
      <w:r>
        <w:rPr>
          <w:rFonts w:hint="eastAsia" w:ascii="仿宋" w:hAnsi="仿宋" w:eastAsia="仿宋" w:cs="仿宋"/>
          <w:b/>
          <w:color w:val="auto"/>
          <w:sz w:val="24"/>
          <w:highlight w:val="none"/>
        </w:rPr>
        <w:t>投标文件含有采购人不能接受的附加条件的，投标无效。</w:t>
      </w:r>
    </w:p>
    <w:p w14:paraId="5B330330">
      <w:pPr>
        <w:snapToGrid w:val="0"/>
        <w:spacing w:line="360" w:lineRule="auto"/>
        <w:ind w:firstLine="480" w:firstLineChars="200"/>
        <w:jc w:val="left"/>
        <w:rPr>
          <w:rFonts w:hint="eastAsia" w:ascii="仿宋" w:hAnsi="仿宋" w:eastAsia="仿宋" w:cs="仿宋"/>
          <w:color w:val="auto"/>
          <w:kern w:val="2"/>
          <w:sz w:val="32"/>
          <w:szCs w:val="32"/>
          <w:highlight w:val="none"/>
        </w:rPr>
      </w:pPr>
      <w:r>
        <w:rPr>
          <w:rFonts w:hint="eastAsia" w:ascii="仿宋" w:hAnsi="仿宋" w:eastAsia="仿宋" w:cs="仿宋"/>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4A60636A">
      <w:pPr>
        <w:pStyle w:val="693"/>
        <w:keepNext w:val="0"/>
        <w:pageBreakBefore w:val="0"/>
        <w:tabs>
          <w:tab w:val="clear" w:pos="720"/>
        </w:tabs>
        <w:snapToGrid w:val="0"/>
        <w:spacing w:before="120" w:after="120" w:line="360" w:lineRule="auto"/>
        <w:ind w:firstLine="643"/>
        <w:outlineLvl w:val="9"/>
        <w:rPr>
          <w:rFonts w:hint="eastAsia" w:ascii="仿宋" w:hAnsi="仿宋" w:eastAsia="仿宋" w:cs="仿宋"/>
          <w:color w:val="auto"/>
          <w:kern w:val="2"/>
          <w:sz w:val="32"/>
          <w:szCs w:val="32"/>
          <w:highlight w:val="none"/>
        </w:rPr>
        <w:sectPr>
          <w:pgSz w:w="11905" w:h="16838"/>
          <w:pgMar w:top="1440" w:right="1083" w:bottom="1440" w:left="1083" w:header="850" w:footer="992" w:gutter="0"/>
          <w:cols w:space="0" w:num="1"/>
          <w:titlePg/>
          <w:rtlGutter w:val="0"/>
          <w:docGrid w:linePitch="312" w:charSpace="0"/>
        </w:sectPr>
      </w:pPr>
    </w:p>
    <w:p w14:paraId="4AE98AF3">
      <w:pPr>
        <w:pStyle w:val="693"/>
        <w:keepNext w:val="0"/>
        <w:pageBreakBefore/>
        <w:tabs>
          <w:tab w:val="clear" w:pos="720"/>
        </w:tabs>
        <w:snapToGrid w:val="0"/>
        <w:spacing w:before="120" w:after="120"/>
        <w:ind w:firstLine="643"/>
        <w:outlineLvl w:val="9"/>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32"/>
          <w:highlight w:val="none"/>
          <w:lang w:val="en-US" w:eastAsia="zh-CN"/>
        </w:rPr>
        <w:t>二、</w:t>
      </w:r>
      <w:r>
        <w:rPr>
          <w:rFonts w:hint="eastAsia" w:ascii="仿宋" w:hAnsi="仿宋" w:eastAsia="仿宋" w:cs="仿宋"/>
          <w:color w:val="auto"/>
          <w:sz w:val="32"/>
          <w:szCs w:val="32"/>
          <w:highlight w:val="none"/>
        </w:rPr>
        <w:t>中小企业声明函（如果有）</w:t>
      </w:r>
    </w:p>
    <w:p w14:paraId="054EF8E8">
      <w:pPr>
        <w:keepNext w:val="0"/>
        <w:pageBreakBefore w:val="0"/>
        <w:widowControl/>
        <w:snapToGrid w:val="0"/>
        <w:spacing w:before="120" w:after="120"/>
        <w:ind w:firstLine="120" w:firstLineChars="50"/>
        <w:jc w:val="left"/>
        <w:outlineLvl w:val="9"/>
        <w:rPr>
          <w:rFonts w:hint="eastAsia" w:ascii="仿宋" w:hAnsi="仿宋" w:eastAsia="仿宋" w:cs="仿宋"/>
          <w:b w:val="0"/>
          <w:color w:val="auto"/>
          <w:sz w:val="32"/>
          <w:szCs w:val="32"/>
          <w:highlight w:val="none"/>
        </w:rPr>
      </w:pPr>
      <w:r>
        <w:rPr>
          <w:rFonts w:hint="eastAsia" w:ascii="仿宋" w:hAnsi="仿宋" w:eastAsia="仿宋" w:cs="仿宋"/>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4B15FB6C">
      <w:pPr>
        <w:pStyle w:val="3"/>
        <w:keepNext w:val="0"/>
        <w:keepLines w:val="0"/>
        <w:pageBreakBefore/>
        <w:widowControl/>
        <w:spacing w:before="100" w:beforeAutospacing="1" w:after="100" w:afterAutospacing="1" w:line="360" w:lineRule="auto"/>
        <w:ind w:left="0" w:leftChars="0"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附件</w:t>
      </w:r>
    </w:p>
    <w:p w14:paraId="265346D3">
      <w:pPr>
        <w:snapToGrid w:val="0"/>
        <w:spacing w:line="360" w:lineRule="auto"/>
        <w:jc w:val="center"/>
        <w:outlineLvl w:val="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附件1：残疾人福利性单位声明函</w:t>
      </w:r>
    </w:p>
    <w:p w14:paraId="644B776E">
      <w:pPr>
        <w:spacing w:line="360" w:lineRule="auto"/>
        <w:rPr>
          <w:rFonts w:hint="eastAsia" w:ascii="仿宋" w:hAnsi="仿宋" w:eastAsia="仿宋" w:cs="仿宋"/>
          <w:b/>
          <w:color w:val="auto"/>
          <w:spacing w:val="6"/>
          <w:sz w:val="30"/>
          <w:szCs w:val="30"/>
          <w:highlight w:val="none"/>
        </w:rPr>
      </w:pPr>
    </w:p>
    <w:p w14:paraId="7296717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12FDE2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2B8D15C4">
      <w:pPr>
        <w:spacing w:line="360" w:lineRule="auto"/>
        <w:ind w:firstLine="480" w:firstLineChars="200"/>
        <w:rPr>
          <w:rFonts w:hint="eastAsia" w:ascii="仿宋" w:hAnsi="仿宋" w:eastAsia="仿宋" w:cs="仿宋"/>
          <w:color w:val="auto"/>
          <w:sz w:val="24"/>
          <w:highlight w:val="none"/>
        </w:rPr>
      </w:pPr>
    </w:p>
    <w:p w14:paraId="7A378528">
      <w:pPr>
        <w:autoSpaceDE w:val="0"/>
        <w:autoSpaceDN w:val="0"/>
        <w:spacing w:line="360" w:lineRule="auto"/>
        <w:ind w:left="2" w:firstLine="3840" w:firstLineChars="1600"/>
        <w:jc w:val="both"/>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投标人名称（电子签名）：</w:t>
      </w:r>
    </w:p>
    <w:p w14:paraId="6AF400DD">
      <w:pPr>
        <w:autoSpaceDE w:val="0"/>
        <w:autoSpaceDN w:val="0"/>
        <w:spacing w:line="360" w:lineRule="auto"/>
        <w:ind w:left="2" w:firstLine="3840" w:firstLineChars="1600"/>
        <w:jc w:val="both"/>
        <w:rPr>
          <w:rFonts w:hint="eastAsia" w:ascii="仿宋" w:hAnsi="仿宋" w:eastAsia="仿宋" w:cs="仿宋"/>
          <w:color w:val="auto"/>
          <w:kern w:val="0"/>
          <w:sz w:val="24"/>
          <w:highlight w:val="none"/>
          <w:lang w:val="zh-CN"/>
        </w:rPr>
        <w:sectPr>
          <w:headerReference r:id="rId21" w:type="first"/>
          <w:footerReference r:id="rId23" w:type="first"/>
          <w:headerReference r:id="rId20" w:type="default"/>
          <w:footerReference r:id="rId22" w:type="default"/>
          <w:pgSz w:w="11905" w:h="16838"/>
          <w:pgMar w:top="1440" w:right="1083" w:bottom="1440" w:left="1083" w:header="850" w:footer="992" w:gutter="0"/>
          <w:cols w:space="0" w:num="1"/>
          <w:titlePg/>
          <w:rtlGutter w:val="0"/>
          <w:docGrid w:linePitch="312" w:charSpace="0"/>
        </w:sectPr>
      </w:pPr>
      <w:r>
        <w:rPr>
          <w:rFonts w:hint="eastAsia" w:ascii="仿宋" w:hAnsi="仿宋" w:eastAsia="仿宋" w:cs="仿宋"/>
          <w:color w:val="auto"/>
          <w:kern w:val="0"/>
          <w:sz w:val="24"/>
          <w:highlight w:val="none"/>
          <w:lang w:val="zh-CN"/>
        </w:rPr>
        <w:t>日  期：</w:t>
      </w:r>
    </w:p>
    <w:p w14:paraId="2F37603A">
      <w:pPr>
        <w:snapToGrid w:val="0"/>
        <w:spacing w:line="360" w:lineRule="auto"/>
        <w:jc w:val="left"/>
        <w:outlineLvl w:val="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附件2：质疑函范本及制作说明</w:t>
      </w:r>
    </w:p>
    <w:p w14:paraId="18D593ED">
      <w:pPr>
        <w:keepNext w:val="0"/>
        <w:keepLines w:val="0"/>
        <w:pageBreakBefore w:val="0"/>
        <w:kinsoku/>
        <w:wordWrap/>
        <w:overflowPunct/>
        <w:topLinePunct w:val="0"/>
        <w:autoSpaceDE/>
        <w:autoSpaceDN/>
        <w:bidi w:val="0"/>
        <w:adjustRightInd w:val="0"/>
        <w:spacing w:line="360" w:lineRule="exact"/>
        <w:jc w:val="center"/>
        <w:textAlignment w:val="auto"/>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质疑函范本</w:t>
      </w:r>
    </w:p>
    <w:p w14:paraId="5F7A74C7">
      <w:pPr>
        <w:keepNext w:val="0"/>
        <w:keepLines w:val="0"/>
        <w:pageBreakBefore w:val="0"/>
        <w:kinsoku/>
        <w:wordWrap/>
        <w:overflowPunct/>
        <w:topLinePunct w:val="0"/>
        <w:autoSpaceDE/>
        <w:autoSpaceDN/>
        <w:bidi w:val="0"/>
        <w:adjustRightInd w:val="0"/>
        <w:snapToGrid w:val="0"/>
        <w:spacing w:before="240" w:beforeLines="100" w:line="360" w:lineRule="exac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一、质疑供应商基本信息</w:t>
      </w:r>
    </w:p>
    <w:p w14:paraId="01C8B7A3">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质疑供应商：</w:t>
      </w:r>
      <w:r>
        <w:rPr>
          <w:rFonts w:hint="eastAsia" w:ascii="仿宋" w:hAnsi="仿宋" w:eastAsia="仿宋" w:cs="仿宋"/>
          <w:color w:val="auto"/>
          <w:sz w:val="24"/>
          <w:highlight w:val="none"/>
          <w:u w:val="dotted"/>
        </w:rPr>
        <w:t xml:space="preserve">                                        </w:t>
      </w:r>
    </w:p>
    <w:p w14:paraId="6F26DF9C">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75928A98">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4A7F6160">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p>
    <w:p w14:paraId="230B3E5F">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443974D6">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40E521CD">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二、质疑项目基本情况</w:t>
      </w:r>
    </w:p>
    <w:p w14:paraId="33989902">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4096133F">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0B703771">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0AF79AB4">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hint="eastAsia" w:ascii="仿宋" w:hAnsi="仿宋" w:eastAsia="仿宋" w:cs="仿宋"/>
          <w:color w:val="auto"/>
          <w:sz w:val="24"/>
          <w:highlight w:val="none"/>
          <w:u w:val="dotted"/>
        </w:rPr>
        <w:t xml:space="preserve">                                  </w:t>
      </w:r>
    </w:p>
    <w:p w14:paraId="0555B4C6">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三、质疑事项具体内容</w:t>
      </w:r>
    </w:p>
    <w:p w14:paraId="50CB08D6">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7E2D8135">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7A2A15EB">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 xml:space="preserve">                                                    </w:t>
      </w:r>
    </w:p>
    <w:p w14:paraId="199D5F5E">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1ECE2B56">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4F672838">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76740CE5">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w:t>
      </w:r>
    </w:p>
    <w:p w14:paraId="056DB144">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四、与质疑事项相关的质疑请求</w:t>
      </w:r>
    </w:p>
    <w:p w14:paraId="672CF138">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63220687">
      <w:pPr>
        <w:keepNext w:val="0"/>
        <w:keepLines w:val="0"/>
        <w:pageBreakBefore w:val="0"/>
        <w:kinsoku/>
        <w:wordWrap/>
        <w:overflowPunct/>
        <w:topLinePunct w:val="0"/>
        <w:autoSpaceDE/>
        <w:autoSpaceDN/>
        <w:bidi w:val="0"/>
        <w:adjustRightInd w:val="0"/>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签章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公章：                      </w:t>
      </w:r>
    </w:p>
    <w:p w14:paraId="22F4FDC4">
      <w:pPr>
        <w:keepNext w:val="0"/>
        <w:keepLines w:val="0"/>
        <w:pageBreakBefore w:val="0"/>
        <w:kinsoku/>
        <w:wordWrap/>
        <w:overflowPunct/>
        <w:topLinePunct w:val="0"/>
        <w:autoSpaceDE/>
        <w:autoSpaceDN/>
        <w:bidi w:val="0"/>
        <w:adjustRightInd w:val="0"/>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6A5FC3F1">
      <w:pPr>
        <w:keepNext w:val="0"/>
        <w:keepLines w:val="0"/>
        <w:pageBreakBefore w:val="0"/>
        <w:kinsoku/>
        <w:wordWrap/>
        <w:overflowPunct/>
        <w:topLinePunct w:val="0"/>
        <w:autoSpaceDE/>
        <w:autoSpaceDN/>
        <w:bidi w:val="0"/>
        <w:adjustRightInd w:val="0"/>
        <w:spacing w:line="36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质疑函制作说明：</w:t>
      </w:r>
    </w:p>
    <w:p w14:paraId="17FE1AFC">
      <w:pPr>
        <w:keepNext w:val="0"/>
        <w:keepLines w:val="0"/>
        <w:pageBreakBefore w:val="0"/>
        <w:widowControl/>
        <w:kinsoku/>
        <w:wordWrap/>
        <w:overflowPunct/>
        <w:topLinePunct w:val="0"/>
        <w:autoSpaceDE/>
        <w:autoSpaceDN/>
        <w:bidi w:val="0"/>
        <w:adjustRightInd w:val="0"/>
        <w:spacing w:line="36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796C3DA3">
      <w:pPr>
        <w:keepNext w:val="0"/>
        <w:keepLines w:val="0"/>
        <w:pageBreakBefore w:val="0"/>
        <w:widowControl/>
        <w:kinsoku/>
        <w:wordWrap/>
        <w:overflowPunct/>
        <w:topLinePunct w:val="0"/>
        <w:autoSpaceDE/>
        <w:autoSpaceDN/>
        <w:bidi w:val="0"/>
        <w:adjustRightInd w:val="0"/>
        <w:spacing w:line="36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4"/>
          <w:highlight w:val="none"/>
        </w:rPr>
        <w:t>供应商签署的授权委托书。授权委托书应载明代理人的姓名或者名称、代理事项、具体权限、期限和相关事项。</w:t>
      </w:r>
    </w:p>
    <w:p w14:paraId="70C61F05">
      <w:pPr>
        <w:keepNext w:val="0"/>
        <w:keepLines w:val="0"/>
        <w:pageBreakBefore w:val="0"/>
        <w:widowControl/>
        <w:kinsoku/>
        <w:wordWrap/>
        <w:overflowPunct/>
        <w:topLinePunct w:val="0"/>
        <w:autoSpaceDE/>
        <w:autoSpaceDN/>
        <w:bidi w:val="0"/>
        <w:adjustRightInd w:val="0"/>
        <w:spacing w:line="36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3.质疑供应商若对项目的某一分包进行质疑，质疑函中应列明具体分包号。</w:t>
      </w:r>
    </w:p>
    <w:p w14:paraId="5110A124">
      <w:pPr>
        <w:keepNext w:val="0"/>
        <w:keepLines w:val="0"/>
        <w:pageBreakBefore w:val="0"/>
        <w:widowControl/>
        <w:kinsoku/>
        <w:wordWrap/>
        <w:overflowPunct/>
        <w:topLinePunct w:val="0"/>
        <w:autoSpaceDE/>
        <w:autoSpaceDN/>
        <w:bidi w:val="0"/>
        <w:adjustRightInd w:val="0"/>
        <w:spacing w:line="36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3787E890">
      <w:pPr>
        <w:keepNext w:val="0"/>
        <w:keepLines w:val="0"/>
        <w:pageBreakBefore w:val="0"/>
        <w:widowControl/>
        <w:kinsoku/>
        <w:wordWrap/>
        <w:overflowPunct/>
        <w:topLinePunct w:val="0"/>
        <w:autoSpaceDE/>
        <w:autoSpaceDN/>
        <w:bidi w:val="0"/>
        <w:adjustRightInd w:val="0"/>
        <w:spacing w:line="36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1861F878">
      <w:pPr>
        <w:keepNext w:val="0"/>
        <w:keepLines w:val="0"/>
        <w:pageBreakBefore w:val="0"/>
        <w:widowControl/>
        <w:kinsoku/>
        <w:wordWrap/>
        <w:overflowPunct/>
        <w:topLinePunct w:val="0"/>
        <w:autoSpaceDE/>
        <w:autoSpaceDN/>
        <w:bidi w:val="0"/>
        <w:adjustRightInd w:val="0"/>
        <w:spacing w:line="36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6.质疑供应商为自然人的，质疑函应由本人签字；质疑供应商为法人或者其他组织的，质疑函应由法定代表人、主要负责人，或者其授权代表签字或者盖章，并加盖公章。</w:t>
      </w:r>
    </w:p>
    <w:p w14:paraId="0BF5C3DB">
      <w:pPr>
        <w:snapToGrid w:val="0"/>
        <w:spacing w:line="360" w:lineRule="auto"/>
        <w:jc w:val="left"/>
        <w:outlineLvl w:val="0"/>
        <w:rPr>
          <w:rFonts w:hint="eastAsia" w:ascii="仿宋" w:hAnsi="仿宋" w:eastAsia="仿宋" w:cs="仿宋"/>
          <w:b/>
          <w:color w:val="auto"/>
          <w:kern w:val="0"/>
          <w:sz w:val="32"/>
          <w:szCs w:val="32"/>
          <w:highlight w:val="none"/>
        </w:rPr>
        <w:sectPr>
          <w:pgSz w:w="11905" w:h="16838"/>
          <w:pgMar w:top="1440" w:right="1083" w:bottom="1440" w:left="1083" w:header="850" w:footer="992" w:gutter="0"/>
          <w:cols w:space="0" w:num="1"/>
          <w:titlePg/>
          <w:rtlGutter w:val="0"/>
          <w:docGrid w:linePitch="312" w:charSpace="0"/>
        </w:sectPr>
      </w:pPr>
    </w:p>
    <w:p w14:paraId="7E4EDDD9">
      <w:pPr>
        <w:snapToGrid w:val="0"/>
        <w:spacing w:line="360" w:lineRule="auto"/>
        <w:jc w:val="left"/>
        <w:outlineLvl w:val="0"/>
        <w:rPr>
          <w:rFonts w:hint="eastAsia" w:ascii="仿宋" w:hAnsi="仿宋" w:eastAsia="仿宋" w:cs="仿宋"/>
          <w:b/>
          <w:color w:val="auto"/>
          <w:sz w:val="24"/>
          <w:highlight w:val="none"/>
        </w:rPr>
      </w:pPr>
      <w:r>
        <w:rPr>
          <w:rFonts w:hint="eastAsia" w:ascii="仿宋" w:hAnsi="仿宋" w:eastAsia="仿宋" w:cs="仿宋"/>
          <w:b/>
          <w:color w:val="auto"/>
          <w:kern w:val="0"/>
          <w:sz w:val="32"/>
          <w:szCs w:val="32"/>
          <w:highlight w:val="none"/>
        </w:rPr>
        <w:t>附件3：投诉书范本及制作说明</w:t>
      </w:r>
    </w:p>
    <w:p w14:paraId="05942B32">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投诉书范本</w:t>
      </w:r>
    </w:p>
    <w:p w14:paraId="12C493C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一、投诉相关主体基本情况</w:t>
      </w:r>
    </w:p>
    <w:p w14:paraId="2A0C5003">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w:t>
      </w:r>
      <w:r>
        <w:rPr>
          <w:rFonts w:hint="eastAsia" w:ascii="仿宋" w:hAnsi="仿宋" w:eastAsia="仿宋" w:cs="仿宋"/>
          <w:color w:val="auto"/>
          <w:sz w:val="24"/>
          <w:highlight w:val="none"/>
          <w:u w:val="dotted"/>
        </w:rPr>
        <w:t xml:space="preserve">                                               </w:t>
      </w:r>
    </w:p>
    <w:p w14:paraId="48D014B1">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56483F6B">
      <w:pPr>
        <w:tabs>
          <w:tab w:val="left" w:pos="651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法定代表人/主要负责人：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39375B93">
      <w:pPr>
        <w:tabs>
          <w:tab w:val="left" w:pos="6510"/>
        </w:tabs>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70DA0544">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none"/>
        </w:rPr>
        <w:t>：</w:t>
      </w:r>
      <w:r>
        <w:rPr>
          <w:rFonts w:hint="eastAsia" w:ascii="仿宋" w:hAnsi="仿宋" w:eastAsia="仿宋" w:cs="仿宋"/>
          <w:color w:val="auto"/>
          <w:sz w:val="24"/>
          <w:highlight w:val="none"/>
          <w:u w:val="dotted"/>
        </w:rPr>
        <w:t xml:space="preserve">                      </w:t>
      </w:r>
    </w:p>
    <w:p w14:paraId="697F4AEF">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3D5C1F56">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被投诉人1：</w:t>
      </w:r>
      <w:r>
        <w:rPr>
          <w:rFonts w:hint="eastAsia" w:ascii="仿宋" w:hAnsi="仿宋" w:eastAsia="仿宋" w:cs="仿宋"/>
          <w:color w:val="auto"/>
          <w:sz w:val="24"/>
          <w:highlight w:val="none"/>
          <w:u w:val="dotted"/>
        </w:rPr>
        <w:t xml:space="preserve">                                           </w:t>
      </w:r>
    </w:p>
    <w:p w14:paraId="7134F988">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286B2A04">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761D544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被投诉人2</w:t>
      </w:r>
    </w:p>
    <w:p w14:paraId="584F4C2F">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7AE9790D">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相关供应商：</w:t>
      </w:r>
      <w:r>
        <w:rPr>
          <w:rFonts w:hint="eastAsia" w:ascii="仿宋" w:hAnsi="仿宋" w:eastAsia="仿宋" w:cs="仿宋"/>
          <w:color w:val="auto"/>
          <w:sz w:val="24"/>
          <w:highlight w:val="none"/>
          <w:u w:val="dotted"/>
        </w:rPr>
        <w:t xml:space="preserve">                                          </w:t>
      </w:r>
    </w:p>
    <w:p w14:paraId="1C22ABC8">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712A2388">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6F8F3DD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二、投诉项目基本情况</w:t>
      </w:r>
    </w:p>
    <w:p w14:paraId="13C5949A">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dotted"/>
        </w:rPr>
        <w:t xml:space="preserve">                                        </w:t>
      </w:r>
    </w:p>
    <w:p w14:paraId="0683C5DA">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0CDFC2D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6235188D">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代理机构名称：</w:t>
      </w:r>
      <w:r>
        <w:rPr>
          <w:rFonts w:hint="eastAsia" w:ascii="仿宋" w:hAnsi="仿宋" w:eastAsia="仿宋" w:cs="仿宋"/>
          <w:color w:val="auto"/>
          <w:sz w:val="24"/>
          <w:highlight w:val="none"/>
          <w:u w:val="dotted"/>
        </w:rPr>
        <w:t xml:space="preserve">                                      </w:t>
      </w:r>
    </w:p>
    <w:p w14:paraId="409F9279">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采购文件公告</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2401EE8C">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采购结果公告</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30C3B54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三、质疑基本情况</w:t>
      </w:r>
    </w:p>
    <w:p w14:paraId="6D848F90">
      <w:pPr>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向</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提出质疑，质疑事项为：</w:t>
      </w:r>
      <w:r>
        <w:rPr>
          <w:rFonts w:hint="eastAsia" w:ascii="仿宋" w:hAnsi="仿宋" w:eastAsia="仿宋" w:cs="仿宋"/>
          <w:color w:val="auto"/>
          <w:sz w:val="24"/>
          <w:highlight w:val="none"/>
          <w:u w:val="dotted"/>
        </w:rPr>
        <w:t xml:space="preserve">      </w:t>
      </w:r>
    </w:p>
    <w:p w14:paraId="7F68C9D9">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12BD79D4">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采购人/代理机构</w:t>
      </w:r>
      <w:r>
        <w:rPr>
          <w:rFonts w:hint="eastAsia" w:ascii="仿宋" w:hAnsi="仿宋" w:eastAsia="仿宋" w:cs="仿宋"/>
          <w:color w:val="auto"/>
          <w:sz w:val="24"/>
          <w:highlight w:val="none"/>
        </w:rPr>
        <w:t>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就质疑事项作出了答复/没有在法定期限内作出答复。</w:t>
      </w:r>
    </w:p>
    <w:p w14:paraId="561A843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四、投诉事项具体内容</w:t>
      </w:r>
    </w:p>
    <w:p w14:paraId="2D566C3D">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投诉事项 1：</w:t>
      </w:r>
      <w:r>
        <w:rPr>
          <w:rFonts w:hint="eastAsia" w:ascii="仿宋" w:hAnsi="仿宋" w:eastAsia="仿宋" w:cs="仿宋"/>
          <w:color w:val="auto"/>
          <w:sz w:val="24"/>
          <w:highlight w:val="none"/>
          <w:u w:val="dotted"/>
        </w:rPr>
        <w:t xml:space="preserve">                                       </w:t>
      </w:r>
    </w:p>
    <w:p w14:paraId="6D162C8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39ED69F1">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5A5AD91F">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491A149E">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3DC5E9F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投诉事项2</w:t>
      </w:r>
    </w:p>
    <w:p w14:paraId="109CAD86">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43F69D3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五、与投诉事项相关的投诉请求</w:t>
      </w:r>
    </w:p>
    <w:p w14:paraId="1E251556">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14B99AD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签章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公章：                      </w:t>
      </w:r>
    </w:p>
    <w:p w14:paraId="5BB97F2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68CC0B16">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投诉书制作说明：</w:t>
      </w:r>
    </w:p>
    <w:p w14:paraId="52555B6A">
      <w:pPr>
        <w:widowControl/>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1.投诉人提起投诉时，应当提交投诉书和必要的证明材料，并按照被投诉人和与投诉事项有关的供应商数量提供投诉书副本。</w:t>
      </w:r>
    </w:p>
    <w:p w14:paraId="11D72D5F">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2.投诉人若委托代理人进行投诉的，投诉书应按照要求列明“授权代表”的有关内容，并在附件中提交由</w:t>
      </w:r>
      <w:r>
        <w:rPr>
          <w:rFonts w:hint="eastAsia" w:ascii="仿宋" w:hAnsi="仿宋" w:eastAsia="仿宋" w:cs="仿宋"/>
          <w:color w:val="auto"/>
          <w:kern w:val="0"/>
          <w:sz w:val="24"/>
          <w:highlight w:val="none"/>
        </w:rPr>
        <w:t>投诉人签署的授权委托书。授权委托书应当载明代理人的姓名或者名称、代理事项、具体权限、期限和相关事项。</w:t>
      </w:r>
    </w:p>
    <w:p w14:paraId="1D125D70">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3.投诉人若对项目的某一分包进行投诉，投诉书应列明具体分包号。</w:t>
      </w:r>
    </w:p>
    <w:p w14:paraId="34FD9B9B">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4.投诉书应简要列明质疑事项，质疑函、质疑答复等作为附件材料提供。</w:t>
      </w:r>
    </w:p>
    <w:p w14:paraId="1D7B3BE8">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5.投诉书的投诉事项应具体、明确，并有必要的事实依据和法律依据。</w:t>
      </w:r>
    </w:p>
    <w:p w14:paraId="3071CF3D">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6.投诉书的投诉请求应与投诉事项相关。</w:t>
      </w:r>
    </w:p>
    <w:p w14:paraId="4849861E">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7.投诉人为自然人的，投诉书应当由本人签字；投诉人为法人或者其他组织的，投诉书应当由法定代表人、主要负责人，或者其授权代表签字或者盖章，并加盖公章。</w:t>
      </w:r>
    </w:p>
    <w:p w14:paraId="2EC533C6">
      <w:pPr>
        <w:autoSpaceDE w:val="0"/>
        <w:autoSpaceDN w:val="0"/>
        <w:jc w:val="center"/>
        <w:rPr>
          <w:rFonts w:hint="eastAsia" w:ascii="仿宋" w:hAnsi="仿宋" w:eastAsia="仿宋" w:cs="仿宋"/>
          <w:b/>
          <w:color w:val="auto"/>
          <w:spacing w:val="6"/>
          <w:sz w:val="32"/>
          <w:szCs w:val="32"/>
          <w:highlight w:val="none"/>
        </w:rPr>
        <w:sectPr>
          <w:pgSz w:w="11905" w:h="16838"/>
          <w:pgMar w:top="1440" w:right="1083" w:bottom="1440" w:left="1083" w:header="850" w:footer="992" w:gutter="0"/>
          <w:cols w:space="0" w:num="1"/>
          <w:titlePg/>
          <w:rtlGutter w:val="0"/>
          <w:docGrid w:linePitch="312" w:charSpace="0"/>
        </w:sectPr>
      </w:pPr>
    </w:p>
    <w:p w14:paraId="40E7C7AE">
      <w:pPr>
        <w:snapToGrid w:val="0"/>
        <w:spacing w:line="360" w:lineRule="auto"/>
        <w:jc w:val="left"/>
        <w:outlineLvl w:val="0"/>
        <w:rPr>
          <w:rFonts w:hint="eastAsia" w:ascii="仿宋" w:hAnsi="仿宋" w:eastAsia="仿宋" w:cs="仿宋"/>
          <w:color w:val="auto"/>
          <w:sz w:val="24"/>
          <w:highlight w:val="none"/>
          <w:u w:val="single"/>
        </w:rPr>
      </w:pPr>
      <w:r>
        <w:rPr>
          <w:rFonts w:hint="eastAsia" w:ascii="仿宋" w:hAnsi="仿宋" w:eastAsia="仿宋" w:cs="仿宋"/>
          <w:b/>
          <w:color w:val="auto"/>
          <w:kern w:val="0"/>
          <w:sz w:val="32"/>
          <w:szCs w:val="32"/>
          <w:highlight w:val="none"/>
        </w:rPr>
        <w:t>附件4：业务专用章使用说明函</w:t>
      </w:r>
    </w:p>
    <w:p w14:paraId="79E9365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（采购人）、（采购代理机构）：</w:t>
      </w:r>
    </w:p>
    <w:p w14:paraId="2693B94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我方</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投标人全称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是中华人民共和国依法登记注册的合法企业，</w:t>
      </w:r>
      <w:r>
        <w:rPr>
          <w:rFonts w:hint="eastAsia" w:ascii="仿宋" w:hAnsi="仿宋" w:eastAsia="仿宋" w:cs="仿宋"/>
          <w:bCs/>
          <w:color w:val="auto"/>
          <w:sz w:val="24"/>
          <w:highlight w:val="none"/>
        </w:rPr>
        <w:t>在参加</w:t>
      </w:r>
      <w:r>
        <w:rPr>
          <w:rFonts w:hint="eastAsia" w:ascii="仿宋" w:hAnsi="仿宋" w:eastAsia="仿宋" w:cs="仿宋"/>
          <w:color w:val="auto"/>
          <w:sz w:val="24"/>
          <w:highlight w:val="none"/>
        </w:rPr>
        <w:t>你方组织的（项目名称）【招标编号：（采购编号）】</w:t>
      </w:r>
      <w:r>
        <w:rPr>
          <w:rFonts w:hint="eastAsia" w:ascii="仿宋" w:hAnsi="仿宋" w:eastAsia="仿宋" w:cs="仿宋"/>
          <w:bCs/>
          <w:color w:val="auto"/>
          <w:sz w:val="24"/>
          <w:highlight w:val="none"/>
        </w:rPr>
        <w:t>投标活动中作如下说明：</w:t>
      </w:r>
      <w:r>
        <w:rPr>
          <w:rFonts w:hint="eastAsia" w:ascii="仿宋" w:hAnsi="仿宋" w:eastAsia="仿宋" w:cs="仿宋"/>
          <w:color w:val="auto"/>
          <w:sz w:val="24"/>
          <w:highlight w:val="none"/>
        </w:rPr>
        <w:t xml:space="preserve">我方所使用的“XX专用章”与法定名称章具有同等的法律效力，对使用“XX专用章”的行为予以完全承认，并愿意承担相应责任。   </w:t>
      </w:r>
    </w:p>
    <w:p w14:paraId="6534A7C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特此说明。</w:t>
      </w:r>
    </w:p>
    <w:p w14:paraId="7BCC1A51">
      <w:pPr>
        <w:spacing w:line="360" w:lineRule="auto"/>
        <w:ind w:firstLine="494"/>
        <w:rPr>
          <w:rFonts w:hint="eastAsia" w:ascii="仿宋" w:hAnsi="仿宋" w:eastAsia="仿宋" w:cs="仿宋"/>
          <w:color w:val="auto"/>
          <w:sz w:val="24"/>
          <w:highlight w:val="none"/>
        </w:rPr>
      </w:pPr>
    </w:p>
    <w:p w14:paraId="729DC0D8">
      <w:pPr>
        <w:spacing w:line="360" w:lineRule="auto"/>
        <w:ind w:firstLine="494"/>
        <w:rPr>
          <w:rFonts w:hint="eastAsia" w:ascii="仿宋" w:hAnsi="仿宋" w:eastAsia="仿宋" w:cs="仿宋"/>
          <w:color w:val="auto"/>
          <w:sz w:val="24"/>
          <w:highlight w:val="none"/>
        </w:rPr>
      </w:pPr>
    </w:p>
    <w:p w14:paraId="579D2806">
      <w:pPr>
        <w:spacing w:line="360" w:lineRule="auto"/>
        <w:ind w:firstLine="494"/>
        <w:rPr>
          <w:rFonts w:hint="eastAsia" w:ascii="仿宋" w:hAnsi="仿宋" w:eastAsia="仿宋" w:cs="仿宋"/>
          <w:color w:val="auto"/>
          <w:sz w:val="24"/>
          <w:highlight w:val="none"/>
        </w:rPr>
      </w:pPr>
    </w:p>
    <w:p w14:paraId="69143BA4">
      <w:pPr>
        <w:spacing w:line="360" w:lineRule="auto"/>
        <w:ind w:firstLine="494"/>
        <w:rPr>
          <w:rFonts w:hint="eastAsia" w:ascii="仿宋" w:hAnsi="仿宋" w:eastAsia="仿宋" w:cs="仿宋"/>
          <w:color w:val="auto"/>
          <w:sz w:val="24"/>
          <w:highlight w:val="none"/>
        </w:rPr>
      </w:pPr>
    </w:p>
    <w:p w14:paraId="713114EB">
      <w:pPr>
        <w:autoSpaceDE w:val="0"/>
        <w:autoSpaceDN w:val="0"/>
        <w:spacing w:line="360" w:lineRule="auto"/>
        <w:ind w:left="2" w:firstLine="3840" w:firstLineChars="1600"/>
        <w:jc w:val="both"/>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投标单位（法定名称章）：</w:t>
      </w:r>
    </w:p>
    <w:p w14:paraId="3EEA8048">
      <w:pPr>
        <w:autoSpaceDE w:val="0"/>
        <w:autoSpaceDN w:val="0"/>
        <w:spacing w:line="360" w:lineRule="auto"/>
        <w:ind w:left="2" w:firstLine="3840" w:firstLineChars="1600"/>
        <w:jc w:val="both"/>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71B2A1E3">
      <w:pP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附：</w:t>
      </w:r>
    </w:p>
    <w:p w14:paraId="2E1BDE0F">
      <w:pPr>
        <w:spacing w:line="360" w:lineRule="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8415" b="1270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1270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color w:val="auto"/>
          <w:sz w:val="24"/>
          <w:highlight w:val="none"/>
        </w:rPr>
        <w:t>投标单位法定名称章（印模）                投标单位“XX专用章”（印模）</w:t>
      </w:r>
    </w:p>
    <w:p w14:paraId="74574D01">
      <w:pPr>
        <w:autoSpaceDE w:val="0"/>
        <w:autoSpaceDN w:val="0"/>
        <w:jc w:val="center"/>
        <w:rPr>
          <w:rFonts w:hint="eastAsia" w:ascii="仿宋" w:hAnsi="仿宋" w:eastAsia="仿宋" w:cs="仿宋"/>
          <w:b/>
          <w:color w:val="auto"/>
          <w:spacing w:val="6"/>
          <w:sz w:val="32"/>
          <w:szCs w:val="32"/>
          <w:highlight w:val="none"/>
        </w:rPr>
      </w:pPr>
    </w:p>
    <w:p w14:paraId="12472987">
      <w:pPr>
        <w:autoSpaceDE w:val="0"/>
        <w:autoSpaceDN w:val="0"/>
        <w:jc w:val="center"/>
        <w:rPr>
          <w:rFonts w:hint="eastAsia" w:ascii="仿宋" w:hAnsi="仿宋" w:eastAsia="仿宋" w:cs="仿宋"/>
          <w:b/>
          <w:color w:val="auto"/>
          <w:spacing w:val="6"/>
          <w:sz w:val="32"/>
          <w:szCs w:val="32"/>
          <w:highlight w:val="none"/>
        </w:rPr>
      </w:pPr>
    </w:p>
    <w:p w14:paraId="40952730">
      <w:pPr>
        <w:autoSpaceDE w:val="0"/>
        <w:autoSpaceDN w:val="0"/>
        <w:jc w:val="center"/>
        <w:rPr>
          <w:rFonts w:hint="eastAsia" w:ascii="仿宋" w:hAnsi="仿宋" w:eastAsia="仿宋" w:cs="仿宋"/>
          <w:b/>
          <w:color w:val="auto"/>
          <w:spacing w:val="6"/>
          <w:sz w:val="32"/>
          <w:szCs w:val="32"/>
          <w:highlight w:val="none"/>
        </w:rPr>
      </w:pPr>
    </w:p>
    <w:p w14:paraId="14C0A765">
      <w:pPr>
        <w:autoSpaceDE w:val="0"/>
        <w:autoSpaceDN w:val="0"/>
        <w:jc w:val="center"/>
        <w:rPr>
          <w:rFonts w:hint="eastAsia" w:ascii="仿宋" w:hAnsi="仿宋" w:eastAsia="仿宋" w:cs="仿宋"/>
          <w:b/>
          <w:color w:val="auto"/>
          <w:spacing w:val="6"/>
          <w:sz w:val="32"/>
          <w:szCs w:val="32"/>
          <w:highlight w:val="none"/>
        </w:rPr>
      </w:pPr>
    </w:p>
    <w:p w14:paraId="03F6D7F9">
      <w:pPr>
        <w:autoSpaceDE w:val="0"/>
        <w:autoSpaceDN w:val="0"/>
        <w:jc w:val="center"/>
        <w:rPr>
          <w:rFonts w:hint="eastAsia" w:ascii="仿宋" w:hAnsi="仿宋" w:eastAsia="仿宋" w:cs="仿宋"/>
          <w:b/>
          <w:color w:val="auto"/>
          <w:spacing w:val="6"/>
          <w:sz w:val="32"/>
          <w:szCs w:val="32"/>
          <w:highlight w:val="none"/>
        </w:rPr>
      </w:pPr>
    </w:p>
    <w:p w14:paraId="4D557FCA">
      <w:pPr>
        <w:autoSpaceDE w:val="0"/>
        <w:autoSpaceDN w:val="0"/>
        <w:jc w:val="center"/>
        <w:rPr>
          <w:rFonts w:hint="eastAsia" w:ascii="仿宋" w:hAnsi="仿宋" w:eastAsia="仿宋" w:cs="仿宋"/>
          <w:b/>
          <w:color w:val="auto"/>
          <w:spacing w:val="6"/>
          <w:sz w:val="32"/>
          <w:szCs w:val="32"/>
          <w:highlight w:val="none"/>
        </w:rPr>
      </w:pPr>
    </w:p>
    <w:p w14:paraId="747D5734">
      <w:pPr>
        <w:autoSpaceDE w:val="0"/>
        <w:autoSpaceDN w:val="0"/>
        <w:jc w:val="center"/>
        <w:rPr>
          <w:rFonts w:hint="eastAsia" w:ascii="仿宋" w:hAnsi="仿宋" w:eastAsia="仿宋" w:cs="仿宋"/>
          <w:b/>
          <w:color w:val="auto"/>
          <w:spacing w:val="6"/>
          <w:sz w:val="32"/>
          <w:szCs w:val="32"/>
          <w:highlight w:val="none"/>
        </w:rPr>
      </w:pPr>
    </w:p>
    <w:p w14:paraId="6CFA4C0C">
      <w:pPr>
        <w:autoSpaceDE w:val="0"/>
        <w:autoSpaceDN w:val="0"/>
        <w:jc w:val="center"/>
        <w:rPr>
          <w:rFonts w:hint="eastAsia" w:ascii="仿宋" w:hAnsi="仿宋" w:eastAsia="仿宋" w:cs="仿宋"/>
          <w:b/>
          <w:color w:val="auto"/>
          <w:spacing w:val="6"/>
          <w:sz w:val="32"/>
          <w:szCs w:val="32"/>
          <w:highlight w:val="none"/>
        </w:rPr>
      </w:pPr>
    </w:p>
    <w:p w14:paraId="7C945D75">
      <w:pPr>
        <w:autoSpaceDE w:val="0"/>
        <w:autoSpaceDN w:val="0"/>
        <w:jc w:val="center"/>
        <w:rPr>
          <w:rFonts w:hint="eastAsia" w:ascii="仿宋" w:hAnsi="仿宋" w:eastAsia="仿宋" w:cs="仿宋"/>
          <w:b/>
          <w:color w:val="auto"/>
          <w:spacing w:val="6"/>
          <w:sz w:val="32"/>
          <w:szCs w:val="32"/>
          <w:highlight w:val="none"/>
        </w:rPr>
      </w:pPr>
    </w:p>
    <w:p w14:paraId="5F1C0F2E">
      <w:pPr>
        <w:autoSpaceDE w:val="0"/>
        <w:autoSpaceDN w:val="0"/>
        <w:jc w:val="center"/>
        <w:rPr>
          <w:rFonts w:hint="eastAsia" w:ascii="仿宋" w:hAnsi="仿宋" w:eastAsia="仿宋" w:cs="仿宋"/>
          <w:b/>
          <w:color w:val="auto"/>
          <w:spacing w:val="6"/>
          <w:sz w:val="32"/>
          <w:szCs w:val="32"/>
          <w:highlight w:val="none"/>
        </w:rPr>
        <w:sectPr>
          <w:pgSz w:w="11905" w:h="16838"/>
          <w:pgMar w:top="1440" w:right="1083" w:bottom="1440" w:left="1083" w:header="850" w:footer="992" w:gutter="0"/>
          <w:cols w:space="0" w:num="1"/>
          <w:titlePg/>
          <w:rtlGutter w:val="0"/>
          <w:docGrid w:linePitch="312" w:charSpace="0"/>
        </w:sectPr>
      </w:pPr>
    </w:p>
    <w:p w14:paraId="053887FC">
      <w:pPr>
        <w:snapToGrid w:val="0"/>
        <w:spacing w:line="360" w:lineRule="auto"/>
        <w:jc w:val="left"/>
        <w:outlineLvl w:val="0"/>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rPr>
        <w:t>附件5：</w:t>
      </w:r>
      <w:r>
        <w:rPr>
          <w:rFonts w:hint="eastAsia" w:ascii="仿宋" w:hAnsi="仿宋" w:eastAsia="仿宋" w:cs="仿宋"/>
          <w:b/>
          <w:color w:val="auto"/>
          <w:kern w:val="0"/>
          <w:sz w:val="32"/>
          <w:szCs w:val="32"/>
          <w:highlight w:val="none"/>
          <w:lang w:val="zh-CN"/>
        </w:rPr>
        <w:t>联合协议</w:t>
      </w:r>
    </w:p>
    <w:p w14:paraId="04B866BD">
      <w:pPr>
        <w:keepNext w:val="0"/>
        <w:keepLines w:val="0"/>
        <w:pageBreakBefore w:val="0"/>
        <w:widowControl/>
        <w:kinsoku/>
        <w:wordWrap/>
        <w:overflowPunct/>
        <w:topLinePunct w:val="0"/>
        <w:autoSpaceDE/>
        <w:autoSpaceDN/>
        <w:bidi w:val="0"/>
        <w:adjustRightInd w:val="0"/>
        <w:spacing w:line="360" w:lineRule="exact"/>
        <w:ind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（以联合体形式投标的，提供联合协议；本项目不接受联合体投标或者投标人不以联合体形式投标的，则不需要提供）</w:t>
      </w:r>
    </w:p>
    <w:p w14:paraId="50B6536B">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（联合体所有成员名称）</w:t>
      </w:r>
      <w:r>
        <w:rPr>
          <w:rFonts w:hint="eastAsia" w:ascii="仿宋" w:hAnsi="仿宋" w:eastAsia="仿宋" w:cs="仿宋"/>
          <w:color w:val="auto"/>
          <w:kern w:val="0"/>
          <w:sz w:val="24"/>
          <w:highlight w:val="none"/>
        </w:rPr>
        <w:t>自愿</w:t>
      </w:r>
      <w:r>
        <w:rPr>
          <w:rFonts w:hint="eastAsia" w:ascii="仿宋" w:hAnsi="仿宋" w:eastAsia="仿宋" w:cs="仿宋"/>
          <w:color w:val="auto"/>
          <w:kern w:val="0"/>
          <w:sz w:val="24"/>
          <w:highlight w:val="none"/>
          <w:lang w:val="zh-CN"/>
        </w:rPr>
        <w:t>组成一个联合体，以一个投标人的身份</w:t>
      </w:r>
      <w:r>
        <w:rPr>
          <w:rFonts w:hint="eastAsia" w:ascii="仿宋" w:hAnsi="仿宋" w:eastAsia="仿宋" w:cs="仿宋"/>
          <w:color w:val="auto"/>
          <w:kern w:val="0"/>
          <w:sz w:val="24"/>
          <w:highlight w:val="none"/>
        </w:rPr>
        <w:t>参加</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 xml:space="preserve">投标。 </w:t>
      </w:r>
    </w:p>
    <w:p w14:paraId="35B55EDB">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一、各方一致决定，</w:t>
      </w:r>
      <w:r>
        <w:rPr>
          <w:rFonts w:hint="eastAsia" w:ascii="仿宋" w:hAnsi="仿宋" w:eastAsia="仿宋" w:cs="仿宋"/>
          <w:color w:val="auto"/>
          <w:kern w:val="0"/>
          <w:sz w:val="24"/>
          <w:highlight w:val="none"/>
          <w:u w:val="single"/>
        </w:rPr>
        <w:t>（某联合体成员名称）</w:t>
      </w:r>
      <w:r>
        <w:rPr>
          <w:rFonts w:hint="eastAsia" w:ascii="仿宋" w:hAnsi="仿宋" w:eastAsia="仿宋" w:cs="仿宋"/>
          <w:color w:val="auto"/>
          <w:kern w:val="0"/>
          <w:sz w:val="24"/>
          <w:highlight w:val="none"/>
        </w:rPr>
        <w:t>为联合体</w:t>
      </w:r>
      <w:r>
        <w:rPr>
          <w:rFonts w:hint="eastAsia" w:ascii="仿宋" w:hAnsi="仿宋" w:eastAsia="仿宋" w:cs="仿宋"/>
          <w:color w:val="auto"/>
          <w:kern w:val="0"/>
          <w:sz w:val="24"/>
          <w:highlight w:val="none"/>
          <w:lang w:val="zh-CN"/>
        </w:rPr>
        <w:t>牵头人</w:t>
      </w:r>
      <w:r>
        <w:rPr>
          <w:rFonts w:hint="eastAsia" w:ascii="仿宋" w:hAnsi="仿宋" w:eastAsia="仿宋" w:cs="仿宋"/>
          <w:color w:val="auto"/>
          <w:sz w:val="24"/>
          <w:highlight w:val="none"/>
        </w:rPr>
        <w:t>，代表所有联合体成员负责投标和合同实施阶段的主办、协调工作</w:t>
      </w:r>
      <w:r>
        <w:rPr>
          <w:rFonts w:hint="eastAsia" w:ascii="仿宋" w:hAnsi="仿宋" w:eastAsia="仿宋" w:cs="仿宋"/>
          <w:color w:val="auto"/>
          <w:kern w:val="0"/>
          <w:sz w:val="24"/>
          <w:highlight w:val="none"/>
          <w:lang w:val="zh-CN"/>
        </w:rPr>
        <w:t>。</w:t>
      </w:r>
    </w:p>
    <w:p w14:paraId="0A863C43">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w:t>
      </w:r>
      <w:r>
        <w:rPr>
          <w:rFonts w:hint="eastAsia" w:ascii="仿宋" w:hAnsi="仿宋" w:eastAsia="仿宋" w:cs="仿宋"/>
          <w:color w:val="auto"/>
          <w:sz w:val="24"/>
          <w:highlight w:val="none"/>
        </w:rPr>
        <w:t>所有联合体成员各方签署授权书，授权书载明的</w:t>
      </w:r>
      <w:r>
        <w:rPr>
          <w:rFonts w:hint="eastAsia" w:ascii="仿宋" w:hAnsi="仿宋" w:eastAsia="仿宋" w:cs="仿宋"/>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0C1510A9">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三、本次联合投标中，分工如下：</w:t>
      </w:r>
    </w:p>
    <w:p w14:paraId="28D94B9C">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（联合体成员1）</w:t>
      </w:r>
      <w:r>
        <w:rPr>
          <w:rFonts w:hint="eastAsia" w:ascii="仿宋" w:hAnsi="仿宋" w:eastAsia="仿宋" w:cs="仿宋"/>
          <w:color w:val="auto"/>
          <w:kern w:val="0"/>
          <w:sz w:val="24"/>
          <w:highlight w:val="none"/>
          <w:lang w:val="zh-CN"/>
        </w:rPr>
        <w:t>承担的工作和义务为：</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w:t>
      </w:r>
    </w:p>
    <w:p w14:paraId="208BA099">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（联合体成员2）</w:t>
      </w:r>
      <w:r>
        <w:rPr>
          <w:rFonts w:hint="eastAsia" w:ascii="仿宋" w:hAnsi="仿宋" w:eastAsia="仿宋" w:cs="仿宋"/>
          <w:color w:val="auto"/>
          <w:kern w:val="0"/>
          <w:sz w:val="24"/>
          <w:highlight w:val="none"/>
          <w:lang w:val="zh-CN"/>
        </w:rPr>
        <w:t>承担的工作和义务为：</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w:t>
      </w:r>
    </w:p>
    <w:p w14:paraId="1FC5BA96">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w:t>
      </w:r>
    </w:p>
    <w:p w14:paraId="7B2B33C2">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四、联合体成员中小企业合同份额。</w:t>
      </w:r>
    </w:p>
    <w:p w14:paraId="26ACD955">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u w:val="single"/>
        </w:rPr>
        <w:t>（</w:t>
      </w:r>
      <w:bookmarkStart w:id="113" w:name="_Hlk101131882"/>
      <w:r>
        <w:rPr>
          <w:rFonts w:hint="eastAsia" w:ascii="仿宋" w:hAnsi="仿宋" w:eastAsia="仿宋" w:cs="仿宋"/>
          <w:color w:val="auto"/>
          <w:kern w:val="0"/>
          <w:sz w:val="24"/>
          <w:highlight w:val="none"/>
          <w:u w:val="single"/>
        </w:rPr>
        <w:t>联合体成员X,……</w:t>
      </w:r>
      <w:bookmarkEnd w:id="113"/>
      <w:r>
        <w:rPr>
          <w:rFonts w:hint="eastAsia" w:ascii="仿宋" w:hAnsi="仿宋" w:eastAsia="仿宋" w:cs="仿宋"/>
          <w:color w:val="auto"/>
          <w:kern w:val="0"/>
          <w:sz w:val="24"/>
          <w:highlight w:val="none"/>
          <w:u w:val="single"/>
        </w:rPr>
        <w:t>）</w:t>
      </w:r>
      <w:r>
        <w:rPr>
          <w:rFonts w:hint="eastAsia" w:ascii="仿宋" w:hAnsi="仿宋" w:eastAsia="仿宋" w:cs="仿宋"/>
          <w:color w:val="auto"/>
          <w:kern w:val="0"/>
          <w:sz w:val="24"/>
          <w:highlight w:val="none"/>
        </w:rPr>
        <w:t>提供的服务由小微企业承接，其合同份额占到合同总金额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kern w:val="0"/>
          <w:sz w:val="24"/>
          <w:highlight w:val="none"/>
          <w:lang w:val="zh-CN"/>
        </w:rPr>
        <w:t>。</w:t>
      </w:r>
      <w:r>
        <w:rPr>
          <w:rFonts w:hint="eastAsia" w:ascii="仿宋" w:hAnsi="仿宋" w:eastAsia="仿宋" w:cs="仿宋"/>
          <w:b/>
          <w:color w:val="auto"/>
          <w:kern w:val="0"/>
          <w:sz w:val="24"/>
          <w:highlight w:val="none"/>
          <w:lang w:val="zh-CN"/>
        </w:rPr>
        <w:t>（</w:t>
      </w:r>
      <w:bookmarkStart w:id="114" w:name="_Hlk101133598"/>
      <w:r>
        <w:rPr>
          <w:rFonts w:hint="eastAsia" w:ascii="仿宋" w:hAnsi="仿宋" w:eastAsia="仿宋" w:cs="仿宋"/>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eastAsia="仿宋" w:cs="仿宋"/>
          <w:b/>
          <w:color w:val="auto"/>
          <w:sz w:val="24"/>
          <w:highlight w:val="none"/>
        </w:rPr>
        <w:t>拟享受以上价格扣除政策的，填写有关内容。</w:t>
      </w:r>
      <w:bookmarkEnd w:id="114"/>
      <w:r>
        <w:rPr>
          <w:rFonts w:hint="eastAsia" w:ascii="仿宋" w:hAnsi="仿宋" w:eastAsia="仿宋" w:cs="仿宋"/>
          <w:b/>
          <w:color w:val="auto"/>
          <w:kern w:val="0"/>
          <w:sz w:val="24"/>
          <w:highlight w:val="none"/>
          <w:lang w:val="zh-CN"/>
        </w:rPr>
        <w:t>）</w:t>
      </w:r>
    </w:p>
    <w:p w14:paraId="7A45B8E6">
      <w:pPr>
        <w:keepNext w:val="0"/>
        <w:keepLines w:val="0"/>
        <w:pageBreakBefore w:val="0"/>
        <w:kinsoku/>
        <w:wordWrap/>
        <w:overflowPunct/>
        <w:topLinePunct w:val="0"/>
        <w:autoSpaceDE/>
        <w:autoSpaceDN/>
        <w:bidi w:val="0"/>
        <w:adjustRightInd w:val="0"/>
        <w:spacing w:line="360" w:lineRule="exact"/>
        <w:ind w:firstLine="480" w:firstLineChars="200"/>
        <w:textAlignment w:val="auto"/>
        <w:rPr>
          <w:rFonts w:hint="eastAsia" w:ascii="仿宋" w:hAnsi="仿宋" w:eastAsia="仿宋" w:cs="仿宋"/>
          <w:b/>
          <w:bCs/>
          <w:color w:val="auto"/>
          <w:kern w:val="0"/>
          <w:sz w:val="24"/>
          <w:highlight w:val="none"/>
          <w:lang w:val="zh-CN"/>
        </w:rPr>
      </w:pPr>
      <w:r>
        <w:rPr>
          <w:rFonts w:hint="eastAsia" w:ascii="仿宋" w:hAnsi="仿宋" w:eastAsia="仿宋" w:cs="仿宋"/>
          <w:color w:val="auto"/>
          <w:sz w:val="24"/>
          <w:highlight w:val="none"/>
          <w:lang w:eastAsia="zh-CN"/>
        </w:rPr>
        <w:t>2.</w:t>
      </w:r>
      <w:bookmarkStart w:id="115" w:name="_Hlk101133173"/>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eastAsia="仿宋" w:cs="仿宋"/>
          <w:b/>
          <w:bCs/>
          <w:color w:val="auto"/>
          <w:kern w:val="0"/>
          <w:sz w:val="24"/>
          <w:highlight w:val="none"/>
          <w:lang w:val="zh-CN"/>
        </w:rPr>
        <w:t>）</w:t>
      </w:r>
      <w:bookmarkEnd w:id="115"/>
    </w:p>
    <w:p w14:paraId="334C48E2">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五、如果中标，</w:t>
      </w:r>
      <w:r>
        <w:rPr>
          <w:rFonts w:hint="eastAsia" w:ascii="仿宋" w:hAnsi="仿宋" w:eastAsia="仿宋" w:cs="仿宋"/>
          <w:color w:val="auto"/>
          <w:sz w:val="24"/>
          <w:highlight w:val="none"/>
        </w:rPr>
        <w:t>联合体各成员方共同与采购人签订合同，并就采购合同约定的事项对采购人承担连带责任。</w:t>
      </w:r>
    </w:p>
    <w:p w14:paraId="6F570C19">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六、有关本次联合投标的其他事宜：</w:t>
      </w:r>
    </w:p>
    <w:p w14:paraId="36092FDB">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1.联合体各方不再单独参加或者与其他供应商另外组成联合体参加同一合同项下的政府采购活动。</w:t>
      </w:r>
    </w:p>
    <w:p w14:paraId="100AE868">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2.联合体中有同类资质的各方按照联合体分工承担相同工作的，按照资质等级较低的供应商确定资质等级。</w:t>
      </w:r>
    </w:p>
    <w:p w14:paraId="17F8D7F3">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3.本协议提交采购人、采购代理机构后，联合体各方不得以任何形式对上述内容进行修改或撤销。</w:t>
      </w:r>
    </w:p>
    <w:p w14:paraId="52C4D1EB">
      <w:pPr>
        <w:keepNext w:val="0"/>
        <w:keepLines w:val="0"/>
        <w:pageBreakBefore w:val="0"/>
        <w:kinsoku/>
        <w:wordWrap/>
        <w:overflowPunct/>
        <w:topLinePunct w:val="0"/>
        <w:autoSpaceDE/>
        <w:autoSpaceDN/>
        <w:bidi w:val="0"/>
        <w:adjustRightInd w:val="0"/>
        <w:snapToGrid w:val="0"/>
        <w:spacing w:line="360" w:lineRule="exact"/>
        <w:ind w:firstLine="5040" w:firstLineChars="21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1E9F89D8">
      <w:pPr>
        <w:keepNext w:val="0"/>
        <w:keepLines w:val="0"/>
        <w:pageBreakBefore w:val="0"/>
        <w:kinsoku/>
        <w:wordWrap/>
        <w:overflowPunct/>
        <w:topLinePunct w:val="0"/>
        <w:autoSpaceDE/>
        <w:autoSpaceDN/>
        <w:bidi w:val="0"/>
        <w:adjustRightInd w:val="0"/>
        <w:snapToGrid w:val="0"/>
        <w:spacing w:line="360" w:lineRule="exact"/>
        <w:ind w:firstLine="5040" w:firstLineChars="21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6A8ECFA8">
      <w:pPr>
        <w:keepNext w:val="0"/>
        <w:keepLines w:val="0"/>
        <w:pageBreakBefore w:val="0"/>
        <w:kinsoku/>
        <w:wordWrap/>
        <w:overflowPunct/>
        <w:topLinePunct w:val="0"/>
        <w:autoSpaceDE/>
        <w:autoSpaceDN/>
        <w:bidi w:val="0"/>
        <w:adjustRightInd w:val="0"/>
        <w:snapToGrid w:val="0"/>
        <w:spacing w:line="360" w:lineRule="exact"/>
        <w:ind w:right="960"/>
        <w:jc w:val="center"/>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4C6BEB53">
      <w:pPr>
        <w:keepNext w:val="0"/>
        <w:keepLines w:val="0"/>
        <w:pageBreakBefore w:val="0"/>
        <w:kinsoku/>
        <w:wordWrap/>
        <w:overflowPunct/>
        <w:topLinePunct w:val="0"/>
        <w:autoSpaceDE/>
        <w:autoSpaceDN/>
        <w:bidi w:val="0"/>
        <w:adjustRightInd w:val="0"/>
        <w:snapToGrid w:val="0"/>
        <w:spacing w:line="360" w:lineRule="exact"/>
        <w:jc w:val="right"/>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2F7A1982">
      <w:pPr>
        <w:keepNext w:val="0"/>
        <w:keepLines w:val="0"/>
        <w:pageBreakBefore w:val="0"/>
        <w:kinsoku/>
        <w:wordWrap/>
        <w:overflowPunct/>
        <w:topLinePunct w:val="0"/>
        <w:autoSpaceDE/>
        <w:autoSpaceDN/>
        <w:bidi w:val="0"/>
        <w:adjustRightInd w:val="0"/>
        <w:spacing w:line="360" w:lineRule="exact"/>
        <w:ind w:right="42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67719768">
      <w:pPr>
        <w:autoSpaceDE w:val="0"/>
        <w:autoSpaceDN w:val="0"/>
        <w:jc w:val="center"/>
        <w:rPr>
          <w:rFonts w:hint="eastAsia" w:ascii="仿宋" w:hAnsi="仿宋" w:eastAsia="仿宋" w:cs="仿宋"/>
          <w:b/>
          <w:color w:val="auto"/>
          <w:spacing w:val="6"/>
          <w:sz w:val="32"/>
          <w:szCs w:val="32"/>
          <w:highlight w:val="none"/>
        </w:rPr>
      </w:pPr>
    </w:p>
    <w:p w14:paraId="1EA60D8D">
      <w:pPr>
        <w:snapToGrid w:val="0"/>
        <w:spacing w:line="360" w:lineRule="auto"/>
        <w:jc w:val="left"/>
        <w:outlineLvl w:val="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附件6：分包意向协议</w:t>
      </w:r>
    </w:p>
    <w:p w14:paraId="333EFB72">
      <w:pPr>
        <w:keepNext w:val="0"/>
        <w:keepLines w:val="0"/>
        <w:pageBreakBefore w:val="0"/>
        <w:widowControl/>
        <w:kinsoku/>
        <w:wordWrap/>
        <w:overflowPunct/>
        <w:topLinePunct w:val="0"/>
        <w:autoSpaceDE/>
        <w:autoSpaceDN/>
        <w:bidi w:val="0"/>
        <w:adjustRightInd w:val="0"/>
        <w:spacing w:line="360" w:lineRule="exact"/>
        <w:ind w:firstLine="120" w:firstLineChars="5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中标后以分包方式履行合同的，提供分包意向协议；采购人不同意分包或者投标人中标后不以分包方式履行合同的，则不需要提供。</w:t>
      </w:r>
      <w:r>
        <w:rPr>
          <w:rFonts w:hint="eastAsia" w:ascii="仿宋" w:hAnsi="仿宋" w:eastAsia="仿宋" w:cs="仿宋"/>
          <w:color w:val="auto"/>
          <w:sz w:val="24"/>
          <w:highlight w:val="none"/>
        </w:rPr>
        <w:t>）</w:t>
      </w:r>
    </w:p>
    <w:p w14:paraId="709C11F8">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若成为</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的中标供应商，将依法采取分包方式履行合同。</w:t>
      </w: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rPr>
        <w:t>与</w:t>
      </w:r>
      <w:r>
        <w:rPr>
          <w:rFonts w:hint="eastAsia" w:ascii="仿宋" w:hAnsi="仿宋" w:eastAsia="仿宋" w:cs="仿宋"/>
          <w:color w:val="auto"/>
          <w:kern w:val="0"/>
          <w:sz w:val="24"/>
          <w:highlight w:val="none"/>
          <w:u w:val="single"/>
        </w:rPr>
        <w:t>（所有分包供应商名称）</w:t>
      </w:r>
      <w:r>
        <w:rPr>
          <w:rFonts w:hint="eastAsia" w:ascii="仿宋" w:hAnsi="仿宋" w:eastAsia="仿宋" w:cs="仿宋"/>
          <w:color w:val="auto"/>
          <w:kern w:val="0"/>
          <w:sz w:val="24"/>
          <w:highlight w:val="none"/>
        </w:rPr>
        <w:t>达成分包意向协议</w:t>
      </w:r>
      <w:r>
        <w:rPr>
          <w:rFonts w:hint="eastAsia" w:ascii="仿宋" w:hAnsi="仿宋" w:eastAsia="仿宋" w:cs="仿宋"/>
          <w:color w:val="auto"/>
          <w:kern w:val="0"/>
          <w:sz w:val="24"/>
          <w:highlight w:val="none"/>
          <w:lang w:val="zh-CN"/>
        </w:rPr>
        <w:t xml:space="preserve">。 </w:t>
      </w:r>
    </w:p>
    <w:p w14:paraId="22C20F56">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一、分包标的及数量</w:t>
      </w:r>
    </w:p>
    <w:p w14:paraId="2FE90929">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将</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u w:val="single"/>
        </w:rPr>
        <w:t xml:space="preserve"> XX工作内容   </w:t>
      </w:r>
      <w:r>
        <w:rPr>
          <w:rFonts w:hint="eastAsia" w:ascii="仿宋" w:hAnsi="仿宋" w:eastAsia="仿宋" w:cs="仿宋"/>
          <w:color w:val="auto"/>
          <w:sz w:val="24"/>
          <w:highlight w:val="none"/>
        </w:rPr>
        <w:t>分包给</w:t>
      </w:r>
      <w:r>
        <w:rPr>
          <w:rFonts w:hint="eastAsia" w:ascii="仿宋" w:hAnsi="仿宋" w:eastAsia="仿宋" w:cs="仿宋"/>
          <w:color w:val="auto"/>
          <w:kern w:val="0"/>
          <w:sz w:val="24"/>
          <w:highlight w:val="none"/>
          <w:u w:val="single"/>
        </w:rPr>
        <w:t>（分包供应商1名称）</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u w:val="single"/>
        </w:rPr>
        <w:t>（分包供应商</w:t>
      </w:r>
      <w:r>
        <w:rPr>
          <w:rFonts w:hint="eastAsia" w:ascii="仿宋" w:hAnsi="仿宋" w:eastAsia="仿宋" w:cs="仿宋"/>
          <w:color w:val="auto"/>
          <w:kern w:val="0"/>
          <w:sz w:val="24"/>
          <w:highlight w:val="none"/>
          <w:u w:val="single"/>
          <w:lang w:val="en-US" w:eastAsia="zh-CN"/>
        </w:rPr>
        <w:t>1</w:t>
      </w:r>
      <w:r>
        <w:rPr>
          <w:rFonts w:hint="eastAsia" w:ascii="仿宋" w:hAnsi="仿宋" w:eastAsia="仿宋" w:cs="仿宋"/>
          <w:color w:val="auto"/>
          <w:kern w:val="0"/>
          <w:sz w:val="24"/>
          <w:highlight w:val="none"/>
          <w:u w:val="single"/>
        </w:rPr>
        <w:t>名称），</w:t>
      </w:r>
      <w:r>
        <w:rPr>
          <w:rFonts w:hint="eastAsia" w:ascii="仿宋" w:hAnsi="仿宋" w:eastAsia="仿宋" w:cs="仿宋"/>
          <w:color w:val="auto"/>
          <w:kern w:val="0"/>
          <w:sz w:val="24"/>
          <w:highlight w:val="none"/>
          <w:lang w:val="zh-CN"/>
        </w:rPr>
        <w:t>具备承</w:t>
      </w:r>
      <w:r>
        <w:rPr>
          <w:rFonts w:hint="eastAsia" w:ascii="仿宋" w:hAnsi="仿宋" w:eastAsia="仿宋" w:cs="仿宋"/>
          <w:color w:val="auto"/>
          <w:kern w:val="0"/>
          <w:sz w:val="24"/>
          <w:highlight w:val="none"/>
        </w:rPr>
        <w:t>担</w:t>
      </w:r>
      <w:r>
        <w:rPr>
          <w:rFonts w:hint="eastAsia" w:ascii="仿宋" w:hAnsi="仿宋" w:eastAsia="仿宋" w:cs="仿宋"/>
          <w:color w:val="auto"/>
          <w:kern w:val="0"/>
          <w:sz w:val="24"/>
          <w:highlight w:val="none"/>
          <w:u w:val="single"/>
          <w:lang w:val="zh-CN"/>
        </w:rPr>
        <w:t>XX工作内容</w:t>
      </w:r>
      <w:r>
        <w:rPr>
          <w:rFonts w:hint="eastAsia" w:ascii="仿宋" w:hAnsi="仿宋" w:eastAsia="仿宋" w:cs="仿宋"/>
          <w:color w:val="auto"/>
          <w:kern w:val="0"/>
          <w:sz w:val="24"/>
          <w:highlight w:val="none"/>
          <w:lang w:val="zh-CN"/>
        </w:rPr>
        <w:t>相应资质条件且不得再次分包；</w:t>
      </w:r>
    </w:p>
    <w:p w14:paraId="392BCE66">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w:t>
      </w:r>
    </w:p>
    <w:p w14:paraId="07D70CE4">
      <w:pPr>
        <w:keepNext w:val="0"/>
        <w:keepLines w:val="0"/>
        <w:pageBreakBefore w:val="0"/>
        <w:kinsoku/>
        <w:wordWrap/>
        <w:overflowPunct/>
        <w:topLinePunct w:val="0"/>
        <w:autoSpaceDE/>
        <w:autoSpaceDN/>
        <w:bidi w:val="0"/>
        <w:adjustRightInd w:val="0"/>
        <w:spacing w:line="360" w:lineRule="exact"/>
        <w:textAlignment w:val="auto"/>
        <w:rPr>
          <w:rFonts w:hint="eastAsia" w:ascii="仿宋" w:hAnsi="仿宋" w:eastAsia="仿宋" w:cs="仿宋"/>
          <w:color w:val="auto"/>
          <w:highlight w:val="none"/>
        </w:rPr>
      </w:pPr>
      <w:r>
        <w:rPr>
          <w:rFonts w:hint="eastAsia" w:ascii="仿宋" w:hAnsi="仿宋" w:eastAsia="仿宋" w:cs="仿宋"/>
          <w:color w:val="auto"/>
          <w:highlight w:val="none"/>
          <w:lang w:val="zh-CN"/>
        </w:rPr>
        <w:t xml:space="preserve"> </w:t>
      </w:r>
    </w:p>
    <w:p w14:paraId="5872A012">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二、分包供应商中小企业合同份额</w:t>
      </w:r>
    </w:p>
    <w:p w14:paraId="28EF96EB">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eastAsia="zh-CN"/>
        </w:rPr>
        <w:t>1.</w:t>
      </w:r>
      <w:r>
        <w:rPr>
          <w:rFonts w:hint="eastAsia" w:ascii="仿宋" w:hAnsi="仿宋" w:eastAsia="仿宋" w:cs="仿宋"/>
          <w:color w:val="auto"/>
          <w:kern w:val="0"/>
          <w:sz w:val="24"/>
          <w:highlight w:val="none"/>
          <w:u w:val="single"/>
        </w:rPr>
        <w:t>（分包供应商X,……）提供的服务全部由小微企业承接，</w:t>
      </w:r>
      <w:r>
        <w:rPr>
          <w:rFonts w:hint="eastAsia" w:ascii="仿宋" w:hAnsi="仿宋" w:eastAsia="仿宋" w:cs="仿宋"/>
          <w:color w:val="auto"/>
          <w:kern w:val="0"/>
          <w:sz w:val="24"/>
          <w:highlight w:val="none"/>
        </w:rPr>
        <w:t>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highlight w:val="none"/>
        </w:rPr>
        <w:t>。</w:t>
      </w:r>
      <w:r>
        <w:rPr>
          <w:rFonts w:hint="eastAsia" w:ascii="仿宋" w:hAnsi="仿宋" w:eastAsia="仿宋" w:cs="仿宋"/>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eastAsia="仿宋" w:cs="仿宋"/>
          <w:b/>
          <w:color w:val="auto"/>
          <w:sz w:val="24"/>
          <w:highlight w:val="none"/>
        </w:rPr>
        <w:t>拟享受以上价格扣除政策的，填写有关内容。</w:t>
      </w:r>
      <w:r>
        <w:rPr>
          <w:rFonts w:hint="eastAsia" w:ascii="仿宋" w:hAnsi="仿宋" w:eastAsia="仿宋" w:cs="仿宋"/>
          <w:b/>
          <w:color w:val="auto"/>
          <w:kern w:val="0"/>
          <w:sz w:val="24"/>
          <w:highlight w:val="none"/>
          <w:lang w:val="zh-CN"/>
        </w:rPr>
        <w:t>）</w:t>
      </w:r>
    </w:p>
    <w:p w14:paraId="6479AC17">
      <w:pPr>
        <w:keepNext w:val="0"/>
        <w:keepLines w:val="0"/>
        <w:pageBreakBefore w:val="0"/>
        <w:kinsoku/>
        <w:wordWrap/>
        <w:overflowPunct/>
        <w:topLinePunct w:val="0"/>
        <w:autoSpaceDE/>
        <w:autoSpaceDN/>
        <w:bidi w:val="0"/>
        <w:adjustRightInd w:val="0"/>
        <w:spacing w:line="360" w:lineRule="exact"/>
        <w:ind w:firstLine="480" w:firstLineChars="200"/>
        <w:textAlignment w:val="auto"/>
        <w:rPr>
          <w:rFonts w:hint="eastAsia" w:ascii="仿宋" w:hAnsi="仿宋" w:eastAsia="仿宋" w:cs="仿宋"/>
          <w:b/>
          <w:bCs/>
          <w:color w:val="auto"/>
          <w:kern w:val="0"/>
          <w:sz w:val="24"/>
          <w:highlight w:val="none"/>
          <w:lang w:val="zh-CN"/>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要求合同分包形式参加的项目或采购包，供应商按招标文件第一部分招标公告申请人的资格要求中规定的</w:t>
      </w:r>
      <w:r>
        <w:rPr>
          <w:rFonts w:hint="eastAsia" w:ascii="仿宋" w:hAnsi="仿宋" w:eastAsia="仿宋" w:cs="仿宋"/>
          <w:b/>
          <w:color w:val="auto"/>
          <w:kern w:val="0"/>
          <w:sz w:val="24"/>
          <w:highlight w:val="none"/>
          <w:lang w:val="zh-CN"/>
        </w:rPr>
        <w:t>分包意向协议</w:t>
      </w:r>
      <w:r>
        <w:rPr>
          <w:rFonts w:hint="eastAsia" w:ascii="仿宋" w:hAnsi="仿宋" w:eastAsia="仿宋" w:cs="仿宋"/>
          <w:b/>
          <w:bCs/>
          <w:color w:val="auto"/>
          <w:sz w:val="24"/>
          <w:highlight w:val="none"/>
        </w:rPr>
        <w:t>中中小企业、小微企业合同金额应当达到的比例要求填写。</w:t>
      </w:r>
      <w:r>
        <w:rPr>
          <w:rFonts w:hint="eastAsia" w:ascii="仿宋" w:hAnsi="仿宋" w:eastAsia="仿宋" w:cs="仿宋"/>
          <w:b/>
          <w:bCs/>
          <w:color w:val="auto"/>
          <w:kern w:val="0"/>
          <w:sz w:val="24"/>
          <w:highlight w:val="none"/>
          <w:lang w:val="zh-CN"/>
        </w:rPr>
        <w:t>）</w:t>
      </w:r>
    </w:p>
    <w:p w14:paraId="416A1313">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三、分包工作履行期限、地点、方式</w:t>
      </w:r>
    </w:p>
    <w:p w14:paraId="20AC20F1">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highlight w:val="none"/>
          <w:u w:val="single"/>
        </w:rPr>
      </w:pPr>
      <w:r>
        <w:rPr>
          <w:rFonts w:hint="eastAsia" w:ascii="仿宋" w:hAnsi="仿宋" w:eastAsia="仿宋" w:cs="仿宋"/>
          <w:color w:val="auto"/>
          <w:highlight w:val="none"/>
          <w:u w:val="single"/>
        </w:rPr>
        <w:t xml:space="preserve">                                                                                  </w:t>
      </w:r>
    </w:p>
    <w:p w14:paraId="2423DC02">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四、质量</w:t>
      </w:r>
    </w:p>
    <w:p w14:paraId="02981EE6">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352D91F2">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五、价款或者报酬</w:t>
      </w:r>
    </w:p>
    <w:p w14:paraId="7EFDAE04">
      <w:pPr>
        <w:keepNext w:val="0"/>
        <w:keepLines w:val="0"/>
        <w:pageBreakBefore w:val="0"/>
        <w:kinsoku/>
        <w:wordWrap/>
        <w:overflowPunct/>
        <w:topLinePunct w:val="0"/>
        <w:autoSpaceDE/>
        <w:autoSpaceDN/>
        <w:bidi w:val="0"/>
        <w:adjustRightInd w:val="0"/>
        <w:snapToGrid w:val="0"/>
        <w:spacing w:line="360" w:lineRule="exact"/>
        <w:ind w:left="573" w:leftChars="273"/>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3C3C2A04">
      <w:pPr>
        <w:keepNext w:val="0"/>
        <w:keepLines w:val="0"/>
        <w:pageBreakBefore w:val="0"/>
        <w:kinsoku/>
        <w:wordWrap/>
        <w:overflowPunct/>
        <w:topLinePunct w:val="0"/>
        <w:autoSpaceDE/>
        <w:autoSpaceDN/>
        <w:bidi w:val="0"/>
        <w:adjustRightInd w:val="0"/>
        <w:snapToGrid w:val="0"/>
        <w:spacing w:line="360" w:lineRule="exact"/>
        <w:ind w:left="573" w:leftChars="273"/>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六、违约责任</w:t>
      </w:r>
    </w:p>
    <w:p w14:paraId="393976EE">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3A55AF71">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七、争议解决的办法</w:t>
      </w:r>
    </w:p>
    <w:p w14:paraId="1A5C2480">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3BEAB955">
      <w:pPr>
        <w:keepNext w:val="0"/>
        <w:keepLines w:val="0"/>
        <w:pageBreakBefore w:val="0"/>
        <w:kinsoku/>
        <w:wordWrap/>
        <w:overflowPunct/>
        <w:topLinePunct w:val="0"/>
        <w:autoSpaceDE/>
        <w:autoSpaceDN/>
        <w:bidi w:val="0"/>
        <w:adjustRightInd w:val="0"/>
        <w:snapToGrid w:val="0"/>
        <w:spacing w:line="360" w:lineRule="exact"/>
        <w:ind w:firstLine="576"/>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八、其他</w:t>
      </w:r>
    </w:p>
    <w:p w14:paraId="258B0595">
      <w:pPr>
        <w:keepNext w:val="0"/>
        <w:keepLines w:val="0"/>
        <w:pageBreakBefore w:val="0"/>
        <w:kinsoku/>
        <w:wordWrap/>
        <w:overflowPunct/>
        <w:topLinePunct w:val="0"/>
        <w:autoSpaceDE/>
        <w:autoSpaceDN/>
        <w:bidi w:val="0"/>
        <w:adjustRightInd w:val="0"/>
        <w:snapToGrid w:val="0"/>
        <w:spacing w:line="360" w:lineRule="exact"/>
        <w:ind w:left="5758" w:leftChars="342" w:hanging="5040" w:hangingChars="21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 xml:space="preserve">  。                                           投标人名称（电子签名）：</w:t>
      </w:r>
    </w:p>
    <w:p w14:paraId="5B797854">
      <w:pPr>
        <w:keepNext w:val="0"/>
        <w:keepLines w:val="0"/>
        <w:pageBreakBefore w:val="0"/>
        <w:kinsoku/>
        <w:wordWrap/>
        <w:overflowPunct/>
        <w:topLinePunct w:val="0"/>
        <w:autoSpaceDE/>
        <w:autoSpaceDN/>
        <w:bidi w:val="0"/>
        <w:adjustRightInd w:val="0"/>
        <w:snapToGrid w:val="0"/>
        <w:spacing w:line="360" w:lineRule="exact"/>
        <w:jc w:val="right"/>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分包供应商名称（电子签名/公章）：</w:t>
      </w:r>
    </w:p>
    <w:p w14:paraId="58FCCE81">
      <w:pPr>
        <w:keepNext w:val="0"/>
        <w:keepLines w:val="0"/>
        <w:pageBreakBefore w:val="0"/>
        <w:kinsoku/>
        <w:wordWrap/>
        <w:overflowPunct/>
        <w:topLinePunct w:val="0"/>
        <w:autoSpaceDE/>
        <w:autoSpaceDN/>
        <w:bidi w:val="0"/>
        <w:adjustRightInd w:val="0"/>
        <w:snapToGrid w:val="0"/>
        <w:spacing w:line="360" w:lineRule="exact"/>
        <w:ind w:firstLine="5760" w:firstLineChars="24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w:t>
      </w:r>
    </w:p>
    <w:p w14:paraId="19D4F4E1">
      <w:pPr>
        <w:keepNext w:val="0"/>
        <w:keepLines w:val="0"/>
        <w:pageBreakBefore w:val="0"/>
        <w:kinsoku/>
        <w:wordWrap/>
        <w:overflowPunct/>
        <w:topLinePunct w:val="0"/>
        <w:autoSpaceDE/>
        <w:autoSpaceDN/>
        <w:bidi w:val="0"/>
        <w:adjustRightInd w:val="0"/>
        <w:snapToGrid w:val="0"/>
        <w:spacing w:line="360" w:lineRule="exact"/>
        <w:ind w:firstLine="5760" w:firstLineChars="24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5C0884C8">
      <w:pPr>
        <w:keepNext w:val="0"/>
        <w:keepLines w:val="0"/>
        <w:pageBreakBefore w:val="0"/>
        <w:kinsoku/>
        <w:wordWrap/>
        <w:overflowPunct/>
        <w:topLinePunct w:val="0"/>
        <w:autoSpaceDE/>
        <w:autoSpaceDN/>
        <w:bidi w:val="0"/>
        <w:adjustRightInd w:val="0"/>
        <w:spacing w:line="360" w:lineRule="exact"/>
        <w:ind w:right="42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320A7667">
      <w:pPr>
        <w:autoSpaceDE w:val="0"/>
        <w:autoSpaceDN w:val="0"/>
        <w:jc w:val="center"/>
        <w:rPr>
          <w:rFonts w:hint="eastAsia" w:ascii="仿宋" w:hAnsi="仿宋" w:eastAsia="仿宋" w:cs="仿宋"/>
          <w:b/>
          <w:color w:val="auto"/>
          <w:spacing w:val="6"/>
          <w:sz w:val="32"/>
          <w:szCs w:val="32"/>
          <w:highlight w:val="none"/>
        </w:rPr>
      </w:pPr>
    </w:p>
    <w:p w14:paraId="4C891253">
      <w:pPr>
        <w:snapToGrid w:val="0"/>
        <w:spacing w:line="360" w:lineRule="auto"/>
        <w:jc w:val="left"/>
        <w:outlineLvl w:val="0"/>
        <w:rPr>
          <w:rFonts w:hint="eastAsia" w:ascii="仿宋" w:hAnsi="仿宋" w:eastAsia="仿宋" w:cs="仿宋"/>
          <w:color w:val="auto"/>
          <w:sz w:val="24"/>
          <w:highlight w:val="none"/>
          <w:u w:val="single"/>
        </w:rPr>
      </w:pPr>
      <w:r>
        <w:rPr>
          <w:rFonts w:hint="eastAsia" w:ascii="仿宋" w:hAnsi="仿宋" w:eastAsia="仿宋" w:cs="仿宋"/>
          <w:b/>
          <w:color w:val="auto"/>
          <w:kern w:val="0"/>
          <w:sz w:val="32"/>
          <w:szCs w:val="32"/>
          <w:highlight w:val="none"/>
        </w:rPr>
        <w:t>附件7：中小企业声明函</w:t>
      </w:r>
    </w:p>
    <w:p w14:paraId="0E7047D3">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中小企业声明函（服务）</w:t>
      </w:r>
    </w:p>
    <w:p w14:paraId="50CC7A42">
      <w:pPr>
        <w:spacing w:line="360" w:lineRule="auto"/>
        <w:ind w:firstLine="360" w:firstLineChars="1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 号）的规定，本公司（联合体）参加</w:t>
      </w: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F9E3AB8">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；承建（承接）企业为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（中型企业、小型企业、微型企业）</w:t>
      </w:r>
      <w:r>
        <w:rPr>
          <w:rFonts w:hint="eastAsia" w:ascii="仿宋" w:hAnsi="仿宋" w:eastAsia="仿宋" w:cs="仿宋"/>
          <w:color w:val="auto"/>
          <w:sz w:val="24"/>
          <w:highlight w:val="none"/>
        </w:rPr>
        <w:t>；</w:t>
      </w:r>
    </w:p>
    <w:p w14:paraId="1528A284">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u w:val="none"/>
        </w:rPr>
        <w:t>，</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；承建（承接）企业为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（中型企业、小型企业、微型企业）</w:t>
      </w:r>
      <w:r>
        <w:rPr>
          <w:rFonts w:hint="eastAsia" w:ascii="仿宋" w:hAnsi="仿宋" w:eastAsia="仿宋" w:cs="仿宋"/>
          <w:color w:val="auto"/>
          <w:sz w:val="24"/>
          <w:highlight w:val="none"/>
        </w:rPr>
        <w:t>；</w:t>
      </w:r>
    </w:p>
    <w:p w14:paraId="2D59F557">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28B6AB17">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08C7AAC4">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6B534DF5">
      <w:pPr>
        <w:spacing w:line="360" w:lineRule="auto"/>
        <w:ind w:right="176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投标人名称（电子签名）：</w:t>
      </w:r>
    </w:p>
    <w:p w14:paraId="2C5C628B">
      <w:pPr>
        <w:spacing w:line="360" w:lineRule="auto"/>
        <w:ind w:right="1120" w:firstLine="4680" w:firstLineChars="195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7F7BE52C">
      <w:pPr>
        <w:rPr>
          <w:rFonts w:hint="eastAsia" w:ascii="仿宋" w:hAnsi="仿宋" w:eastAsia="仿宋" w:cs="仿宋"/>
          <w:color w:val="auto"/>
          <w:sz w:val="24"/>
          <w:highlight w:val="none"/>
        </w:rPr>
        <w:sectPr>
          <w:pgSz w:w="11905" w:h="16838"/>
          <w:pgMar w:top="1440" w:right="1083" w:bottom="1440" w:left="1083" w:header="850" w:footer="992" w:gutter="0"/>
          <w:cols w:space="0" w:num="1"/>
          <w:titlePg/>
          <w:rtlGutter w:val="0"/>
          <w:docGrid w:linePitch="312" w:charSpace="0"/>
        </w:sect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eastAsia="zh-CN"/>
        </w:rPr>
        <w:t>：①</w:t>
      </w:r>
      <w:r>
        <w:rPr>
          <w:rFonts w:hint="eastAsia" w:ascii="仿宋" w:hAnsi="仿宋" w:eastAsia="仿宋" w:cs="仿宋"/>
          <w:color w:val="auto"/>
          <w:sz w:val="24"/>
          <w:highlight w:val="none"/>
        </w:rPr>
        <w:t>从业人员、营业收入、资产总额填报上一年度数据，无上一年度数据的新成立企业可不填报</w:t>
      </w:r>
      <w:r>
        <w:rPr>
          <w:rFonts w:hint="eastAsia" w:ascii="仿宋" w:hAnsi="仿宋" w:eastAsia="仿宋" w:cs="仿宋"/>
          <w:color w:val="auto"/>
          <w:sz w:val="24"/>
          <w:highlight w:val="none"/>
          <w:lang w:eastAsia="zh-CN"/>
        </w:rPr>
        <w:t>。②</w:t>
      </w:r>
      <w:r>
        <w:rPr>
          <w:rFonts w:hint="eastAsia" w:ascii="仿宋" w:hAnsi="仿宋" w:eastAsia="仿宋" w:cs="仿宋"/>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p w14:paraId="2A95F18B">
      <w:pPr>
        <w:snapToGrid w:val="0"/>
        <w:spacing w:line="360" w:lineRule="auto"/>
        <w:jc w:val="left"/>
        <w:outlineLvl w:val="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附件</w:t>
      </w:r>
      <w:r>
        <w:rPr>
          <w:rFonts w:hint="eastAsia" w:ascii="仿宋" w:hAnsi="仿宋" w:eastAsia="仿宋" w:cs="仿宋"/>
          <w:b/>
          <w:color w:val="auto"/>
          <w:kern w:val="0"/>
          <w:sz w:val="32"/>
          <w:szCs w:val="32"/>
          <w:highlight w:val="none"/>
          <w:lang w:val="en-US" w:eastAsia="zh-CN"/>
        </w:rPr>
        <w:t>8</w:t>
      </w:r>
      <w:r>
        <w:rPr>
          <w:rFonts w:hint="eastAsia" w:ascii="仿宋" w:hAnsi="仿宋" w:eastAsia="仿宋" w:cs="仿宋"/>
          <w:b/>
          <w:color w:val="auto"/>
          <w:kern w:val="0"/>
          <w:sz w:val="32"/>
          <w:szCs w:val="32"/>
          <w:highlight w:val="none"/>
        </w:rPr>
        <w:t>：中小企业划型标准</w:t>
      </w:r>
    </w:p>
    <w:p w14:paraId="782719EE">
      <w:pPr>
        <w:spacing w:line="240" w:lineRule="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各行业划型标准为：</w:t>
      </w:r>
    </w:p>
    <w:p w14:paraId="761CF7D4">
      <w:pPr>
        <w:spacing w:line="240" w:lineRule="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（一）农、林、牧、渔业。营业收入20000万元以下的为中小微型企业。其中，营业收入500万元及以上的为中型企业，营业收入50万元及以上的为小型企业，营业收入50万元以下的为微型企业。</w:t>
      </w:r>
    </w:p>
    <w:p w14:paraId="62E063A7">
      <w:pPr>
        <w:spacing w:line="240" w:lineRule="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9B09454">
      <w:pPr>
        <w:spacing w:line="240" w:lineRule="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0BC03C9">
      <w:pPr>
        <w:spacing w:line="240" w:lineRule="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383A7DF">
      <w:pPr>
        <w:spacing w:line="240" w:lineRule="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A24AA95">
      <w:pPr>
        <w:spacing w:line="240" w:lineRule="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8E12674">
      <w:pPr>
        <w:spacing w:line="240" w:lineRule="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E4C7DC3">
      <w:pPr>
        <w:spacing w:line="240" w:lineRule="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22EBE7C">
      <w:pPr>
        <w:spacing w:line="240" w:lineRule="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9C4527C">
      <w:pPr>
        <w:spacing w:line="240" w:lineRule="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9A92387">
      <w:pPr>
        <w:spacing w:line="240" w:lineRule="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425F88A">
      <w:pPr>
        <w:spacing w:line="240" w:lineRule="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0DECB54">
      <w:pPr>
        <w:spacing w:line="240" w:lineRule="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B3C98D4">
      <w:pPr>
        <w:spacing w:line="240" w:lineRule="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2193CEE">
      <w:pPr>
        <w:spacing w:line="240" w:lineRule="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E39101F">
      <w:pPr>
        <w:spacing w:line="240" w:lineRule="auto"/>
        <w:rPr>
          <w:rFonts w:hint="eastAsia" w:ascii="仿宋" w:hAnsi="仿宋" w:eastAsia="仿宋" w:cs="仿宋"/>
          <w:color w:val="auto"/>
          <w:highlight w:val="none"/>
        </w:rPr>
      </w:pPr>
      <w:r>
        <w:rPr>
          <w:rFonts w:hint="eastAsia" w:ascii="仿宋" w:hAnsi="仿宋" w:eastAsia="仿宋" w:cs="仿宋"/>
          <w:color w:val="auto"/>
          <w:kern w:val="0"/>
          <w:sz w:val="24"/>
          <w:highlight w:val="none"/>
        </w:rPr>
        <w:t>　　（十六）其他未列明行业。从业人员300人以下的为中小微型企业。其中，从业人员100人及以上的为中型企业；从业人员10人及以上的为小型企业；从业人员10人以下的为微型企业。</w:t>
      </w:r>
    </w:p>
    <w:p w14:paraId="47DBE61A">
      <w:pPr>
        <w:snapToGrid w:val="0"/>
        <w:spacing w:line="240" w:lineRule="auto"/>
        <w:jc w:val="left"/>
        <w:outlineLvl w:val="0"/>
        <w:rPr>
          <w:rFonts w:hint="eastAsia" w:ascii="仿宋" w:hAnsi="仿宋" w:eastAsia="仿宋" w:cs="仿宋"/>
          <w:b/>
          <w:color w:val="auto"/>
          <w:kern w:val="0"/>
          <w:sz w:val="32"/>
          <w:szCs w:val="32"/>
          <w:highlight w:val="none"/>
        </w:rPr>
        <w:sectPr>
          <w:pgSz w:w="11905" w:h="16838"/>
          <w:pgMar w:top="1440" w:right="1083" w:bottom="1440" w:left="1083" w:header="850" w:footer="992" w:gutter="0"/>
          <w:cols w:space="0" w:num="1"/>
          <w:titlePg/>
          <w:rtlGutter w:val="0"/>
          <w:docGrid w:linePitch="312" w:charSpace="0"/>
        </w:sectPr>
      </w:pPr>
    </w:p>
    <w:p w14:paraId="0921087C">
      <w:pPr>
        <w:snapToGrid w:val="0"/>
        <w:spacing w:line="360" w:lineRule="auto"/>
        <w:jc w:val="left"/>
        <w:outlineLvl w:val="0"/>
        <w:rPr>
          <w:rFonts w:hint="eastAsia" w:ascii="仿宋" w:hAnsi="仿宋" w:eastAsia="仿宋" w:cs="仿宋"/>
          <w:b/>
          <w:color w:val="auto"/>
          <w:kern w:val="0"/>
          <w:sz w:val="32"/>
          <w:szCs w:val="32"/>
          <w:highlight w:val="none"/>
          <w:lang w:val="en-US" w:eastAsia="zh-CN"/>
        </w:rPr>
      </w:pPr>
      <w:r>
        <w:rPr>
          <w:rFonts w:hint="eastAsia" w:ascii="仿宋" w:hAnsi="仿宋" w:eastAsia="仿宋" w:cs="仿宋"/>
          <w:b/>
          <w:color w:val="auto"/>
          <w:kern w:val="0"/>
          <w:sz w:val="32"/>
          <w:szCs w:val="32"/>
          <w:highlight w:val="none"/>
        </w:rPr>
        <w:t>附件</w:t>
      </w:r>
      <w:r>
        <w:rPr>
          <w:rFonts w:hint="eastAsia" w:ascii="仿宋" w:hAnsi="仿宋" w:eastAsia="仿宋" w:cs="仿宋"/>
          <w:b/>
          <w:color w:val="auto"/>
          <w:kern w:val="0"/>
          <w:sz w:val="32"/>
          <w:szCs w:val="32"/>
          <w:highlight w:val="none"/>
          <w:lang w:val="en-US" w:eastAsia="zh-CN"/>
        </w:rPr>
        <w:t>9</w:t>
      </w:r>
      <w:r>
        <w:rPr>
          <w:rFonts w:hint="eastAsia" w:ascii="仿宋" w:hAnsi="仿宋" w:eastAsia="仿宋" w:cs="仿宋"/>
          <w:b/>
          <w:color w:val="auto"/>
          <w:kern w:val="0"/>
          <w:sz w:val="32"/>
          <w:szCs w:val="32"/>
          <w:highlight w:val="none"/>
        </w:rPr>
        <w:t>：政府采购活动现场确认声明书</w:t>
      </w:r>
      <w:r>
        <w:rPr>
          <w:rFonts w:hint="eastAsia" w:ascii="仿宋" w:hAnsi="仿宋" w:eastAsia="仿宋" w:cs="仿宋"/>
          <w:b/>
          <w:color w:val="auto"/>
          <w:kern w:val="0"/>
          <w:sz w:val="32"/>
          <w:szCs w:val="32"/>
          <w:highlight w:val="none"/>
          <w:lang w:eastAsia="zh-CN"/>
        </w:rPr>
        <w:t>（</w:t>
      </w:r>
      <w:r>
        <w:rPr>
          <w:rFonts w:hint="eastAsia" w:ascii="仿宋" w:hAnsi="仿宋" w:eastAsia="仿宋" w:cs="仿宋"/>
          <w:b/>
          <w:color w:val="auto"/>
          <w:kern w:val="0"/>
          <w:sz w:val="32"/>
          <w:szCs w:val="32"/>
          <w:highlight w:val="none"/>
          <w:lang w:val="en-US" w:eastAsia="zh-CN"/>
        </w:rPr>
        <w:t>开标后提供，无需上传到电子投标文件中）</w:t>
      </w:r>
    </w:p>
    <w:p w14:paraId="030F8CB0">
      <w:pPr>
        <w:rPr>
          <w:rFonts w:hint="eastAsia" w:ascii="仿宋" w:hAnsi="仿宋" w:eastAsia="仿宋" w:cs="仿宋"/>
          <w:color w:val="auto"/>
          <w:highlight w:val="none"/>
        </w:rPr>
      </w:pPr>
    </w:p>
    <w:p w14:paraId="0E96E604">
      <w:pPr>
        <w:spacing w:line="34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政府采购活动现场确认声明书</w:t>
      </w:r>
    </w:p>
    <w:p w14:paraId="42734B08">
      <w:pPr>
        <w:spacing w:line="340" w:lineRule="exact"/>
        <w:jc w:val="center"/>
        <w:rPr>
          <w:rFonts w:hint="eastAsia" w:ascii="仿宋" w:hAnsi="仿宋" w:eastAsia="仿宋" w:cs="仿宋"/>
          <w:color w:val="auto"/>
          <w:sz w:val="32"/>
          <w:szCs w:val="32"/>
          <w:highlight w:val="none"/>
        </w:rPr>
      </w:pPr>
    </w:p>
    <w:p w14:paraId="63EE40C5">
      <w:pPr>
        <w:spacing w:line="340" w:lineRule="exact"/>
        <w:jc w:val="left"/>
        <w:rPr>
          <w:rFonts w:hint="eastAsia" w:ascii="仿宋" w:hAnsi="仿宋" w:eastAsia="仿宋" w:cs="仿宋"/>
          <w:color w:val="auto"/>
          <w:sz w:val="24"/>
          <w:szCs w:val="24"/>
          <w:highlight w:val="none"/>
          <w:u w:val="single"/>
        </w:rPr>
      </w:pPr>
      <w:r>
        <w:rPr>
          <w:rFonts w:hint="eastAsia" w:ascii="仿宋" w:hAnsi="仿宋" w:eastAsia="仿宋" w:cs="仿宋"/>
          <w:i/>
          <w:color w:val="auto"/>
          <w:sz w:val="24"/>
          <w:szCs w:val="24"/>
          <w:highlight w:val="none"/>
          <w:u w:val="single"/>
        </w:rPr>
        <w:t>（采购代理机构名称）</w:t>
      </w:r>
      <w:r>
        <w:rPr>
          <w:rFonts w:hint="eastAsia" w:ascii="仿宋" w:hAnsi="仿宋" w:eastAsia="仿宋" w:cs="仿宋"/>
          <w:color w:val="auto"/>
          <w:sz w:val="24"/>
          <w:szCs w:val="24"/>
          <w:highlight w:val="none"/>
          <w:u w:val="single"/>
        </w:rPr>
        <w:t>：</w:t>
      </w:r>
    </w:p>
    <w:p w14:paraId="295D3F7F">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本人经由</w:t>
      </w:r>
      <w:r>
        <w:rPr>
          <w:rFonts w:hint="eastAsia" w:ascii="仿宋" w:hAnsi="仿宋" w:eastAsia="仿宋" w:cs="仿宋"/>
          <w:color w:val="auto"/>
          <w:sz w:val="24"/>
          <w:szCs w:val="24"/>
          <w:highlight w:val="none"/>
          <w:u w:val="single"/>
        </w:rPr>
        <w:t xml:space="preserve">   </w:t>
      </w:r>
      <w:r>
        <w:rPr>
          <w:rFonts w:hint="eastAsia" w:ascii="仿宋" w:hAnsi="仿宋" w:eastAsia="仿宋" w:cs="仿宋"/>
          <w:i/>
          <w:color w:val="auto"/>
          <w:sz w:val="24"/>
          <w:szCs w:val="24"/>
          <w:highlight w:val="none"/>
          <w:u w:val="single"/>
        </w:rPr>
        <w:t>（公司名称）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法定代表人（负责人）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，合法授权参加</w:t>
      </w:r>
      <w:r>
        <w:rPr>
          <w:rFonts w:hint="eastAsia" w:ascii="仿宋" w:hAnsi="仿宋" w:eastAsia="仿宋" w:cs="仿宋"/>
          <w:i/>
          <w:color w:val="auto"/>
          <w:sz w:val="24"/>
          <w:szCs w:val="24"/>
          <w:highlight w:val="none"/>
          <w:u w:val="single"/>
        </w:rPr>
        <w:t>（项目名称）（项目编号）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政府</w:t>
      </w:r>
      <w:r>
        <w:rPr>
          <w:rFonts w:hint="eastAsia" w:ascii="仿宋" w:hAnsi="仿宋" w:eastAsia="仿宋" w:cs="仿宋"/>
          <w:color w:val="auto"/>
          <w:sz w:val="24"/>
          <w:szCs w:val="24"/>
          <w:highlight w:val="none"/>
        </w:rPr>
        <w:t>采购活动，经与本单位法人代表（负责人）联系确认，现就有关公平竞争事项郑重声明如下：</w:t>
      </w:r>
    </w:p>
    <w:p w14:paraId="6C77E860">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一、本单位与采购人之间 □不存在利害关系 □存在下列利害关系</w:t>
      </w:r>
      <w:r>
        <w:rPr>
          <w:rFonts w:hint="eastAsia" w:ascii="仿宋" w:hAnsi="仿宋" w:eastAsia="仿宋" w:cs="仿宋"/>
          <w:color w:val="auto"/>
          <w:sz w:val="24"/>
          <w:szCs w:val="24"/>
          <w:highlight w:val="none"/>
          <w:u w:val="single"/>
        </w:rPr>
        <w:t xml:space="preserve">         ：</w:t>
      </w:r>
    </w:p>
    <w:p w14:paraId="4236FEA5">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A.投资关系    B.行政隶属关系    C.业务指导关系</w:t>
      </w:r>
    </w:p>
    <w:p w14:paraId="551DF230">
      <w:pPr>
        <w:spacing w:line="340" w:lineRule="exact"/>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D.其他可能影响采购公正的利害关系（如有，请如实说明）</w:t>
      </w:r>
      <w:r>
        <w:rPr>
          <w:rFonts w:hint="eastAsia" w:ascii="仿宋" w:hAnsi="仿宋" w:eastAsia="仿宋" w:cs="仿宋"/>
          <w:color w:val="auto"/>
          <w:sz w:val="24"/>
          <w:szCs w:val="24"/>
          <w:highlight w:val="none"/>
          <w:u w:val="single"/>
        </w:rPr>
        <w:t xml:space="preserve">         </w:t>
      </w:r>
    </w:p>
    <w:p w14:paraId="25FFC073">
      <w:pPr>
        <w:spacing w:line="34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二、现已清楚知道参加本项目采购活动的其他所有供应商名称，本单位</w:t>
      </w:r>
    </w:p>
    <w:p w14:paraId="7E20633A">
      <w:pPr>
        <w:spacing w:line="34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□与其他所有供应商之间均不存在利害关系  □与</w:t>
      </w:r>
      <w:r>
        <w:rPr>
          <w:rFonts w:hint="eastAsia" w:ascii="仿宋" w:hAnsi="仿宋" w:eastAsia="仿宋" w:cs="仿宋"/>
          <w:color w:val="auto"/>
          <w:sz w:val="24"/>
          <w:szCs w:val="24"/>
          <w:highlight w:val="none"/>
          <w:u w:val="single"/>
        </w:rPr>
        <w:t xml:space="preserve">（供应商名称）     </w:t>
      </w:r>
      <w:r>
        <w:rPr>
          <w:rFonts w:hint="eastAsia" w:ascii="仿宋" w:hAnsi="仿宋" w:eastAsia="仿宋" w:cs="仿宋"/>
          <w:color w:val="auto"/>
          <w:sz w:val="24"/>
          <w:szCs w:val="24"/>
          <w:highlight w:val="none"/>
        </w:rPr>
        <w:t>之间存在下列利害关系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D59E961">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A.法定代表人或负责人或实际控制人是同一人</w:t>
      </w:r>
    </w:p>
    <w:p w14:paraId="1D03DB3A">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B.法定代表人或负责人或实际控制人是夫妻关系</w:t>
      </w:r>
    </w:p>
    <w:p w14:paraId="26136EA7">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C.法定代表人或负责人或实际控制人是直系血亲关系</w:t>
      </w:r>
    </w:p>
    <w:p w14:paraId="225643AD">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D.法定代表人或负责人或实际控制人存在三代以内旁系血亲关系</w:t>
      </w:r>
    </w:p>
    <w:p w14:paraId="72DCEB10">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E.法定代表人或负责人或实际控制人存在近姻亲关系</w:t>
      </w:r>
    </w:p>
    <w:p w14:paraId="4C3C761B">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F.法定代表人或负责人或实际控制人存在股份控制或实际控制关系</w:t>
      </w:r>
    </w:p>
    <w:p w14:paraId="4F2910EB">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G.存在共同直接或间接投资设立子公司、联营企业和合营企业情况</w:t>
      </w:r>
    </w:p>
    <w:p w14:paraId="2C23ECD2">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H.存在分级代理或代销关系、同一生产制造商关系、管理关系、重要业务（占主营业务收入50%以上）或重要财务往来关系（如融资）等其他实质性控制关系</w:t>
      </w:r>
    </w:p>
    <w:p w14:paraId="7A1B9D1D">
      <w:pPr>
        <w:spacing w:line="340" w:lineRule="exact"/>
        <w:ind w:left="280"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I.其他利害关系情况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4D607D36">
      <w:pPr>
        <w:spacing w:line="34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三、现已清楚知道并严格遵守政府采购法律法规和现场纪律。</w:t>
      </w:r>
    </w:p>
    <w:p w14:paraId="4AF3AD94">
      <w:pPr>
        <w:spacing w:line="34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四、我发现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供应商之间存在或可能存在上述第二条第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项利害关系。 </w:t>
      </w:r>
    </w:p>
    <w:p w14:paraId="04388D12">
      <w:pPr>
        <w:spacing w:line="340" w:lineRule="exact"/>
        <w:ind w:firstLine="480"/>
        <w:rPr>
          <w:rFonts w:hint="eastAsia" w:ascii="仿宋" w:hAnsi="仿宋" w:eastAsia="仿宋" w:cs="仿宋"/>
          <w:color w:val="auto"/>
          <w:sz w:val="24"/>
          <w:szCs w:val="24"/>
          <w:highlight w:val="none"/>
        </w:rPr>
      </w:pPr>
    </w:p>
    <w:p w14:paraId="1D162AE3">
      <w:pPr>
        <w:wordWrap w:val="0"/>
        <w:spacing w:line="340" w:lineRule="exact"/>
        <w:ind w:firstLine="120" w:firstLineChars="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（投标人代表签名）：          </w:t>
      </w:r>
    </w:p>
    <w:p w14:paraId="62829617">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DB08E3A">
      <w:pPr>
        <w:spacing w:line="340" w:lineRule="exact"/>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p>
    <w:p w14:paraId="6DE67DB8">
      <w:pPr>
        <w:spacing w:line="360" w:lineRule="exact"/>
        <w:rPr>
          <w:rFonts w:hint="eastAsia" w:ascii="仿宋" w:hAnsi="仿宋" w:eastAsia="仿宋" w:cs="仿宋"/>
          <w:color w:val="auto"/>
          <w:sz w:val="24"/>
          <w:szCs w:val="24"/>
          <w:highlight w:val="none"/>
        </w:rPr>
      </w:pPr>
    </w:p>
    <w:p w14:paraId="28CC57DE">
      <w:pPr>
        <w:spacing w:line="36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注：1</w:t>
      </w:r>
      <w:r>
        <w:rPr>
          <w:rFonts w:hint="eastAsia" w:ascii="仿宋" w:hAnsi="仿宋" w:eastAsia="仿宋" w:cs="仿宋"/>
          <w:color w:val="auto"/>
          <w:sz w:val="22"/>
          <w:szCs w:val="22"/>
          <w:highlight w:val="none"/>
          <w:lang w:val="en-US" w:eastAsia="zh-CN"/>
        </w:rPr>
        <w:t>.</w:t>
      </w:r>
      <w:r>
        <w:rPr>
          <w:rFonts w:hint="eastAsia" w:ascii="仿宋" w:hAnsi="仿宋" w:eastAsia="仿宋" w:cs="仿宋"/>
          <w:color w:val="auto"/>
          <w:sz w:val="22"/>
          <w:szCs w:val="22"/>
          <w:highlight w:val="none"/>
        </w:rPr>
        <w:t>投标人认为有利害关系和需要回避的人员，应提供相关证明材料，与本声明书一同提交。由采购代理机构和财政监督部门负责询问核查；</w:t>
      </w:r>
    </w:p>
    <w:p w14:paraId="3643F9D6">
      <w:pPr>
        <w:spacing w:line="360" w:lineRule="exact"/>
        <w:ind w:right="0" w:firstLine="0"/>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rPr>
        <w:t>2</w:t>
      </w:r>
      <w:r>
        <w:rPr>
          <w:rFonts w:hint="eastAsia" w:ascii="仿宋" w:hAnsi="仿宋" w:eastAsia="仿宋" w:cs="仿宋"/>
          <w:b/>
          <w:color w:val="auto"/>
          <w:sz w:val="22"/>
          <w:szCs w:val="22"/>
          <w:highlight w:val="none"/>
          <w:lang w:val="en-US" w:eastAsia="zh-CN"/>
        </w:rPr>
        <w:t>.</w:t>
      </w:r>
      <w:r>
        <w:rPr>
          <w:rFonts w:hint="eastAsia" w:ascii="仿宋" w:hAnsi="仿宋" w:eastAsia="仿宋" w:cs="仿宋"/>
          <w:b/>
          <w:color w:val="auto"/>
          <w:sz w:val="22"/>
          <w:szCs w:val="22"/>
          <w:highlight w:val="none"/>
        </w:rPr>
        <w:fldChar w:fldCharType="begin"/>
      </w:r>
      <w:r>
        <w:rPr>
          <w:rFonts w:hint="eastAsia" w:ascii="仿宋" w:hAnsi="仿宋" w:eastAsia="仿宋" w:cs="仿宋"/>
          <w:b/>
          <w:color w:val="auto"/>
          <w:sz w:val="22"/>
          <w:szCs w:val="22"/>
          <w:highlight w:val="none"/>
        </w:rPr>
        <w:instrText xml:space="preserve"> HYPERLINK "mailto:该声明书在投标文件解密后30分钟内以邮件方式发送至邮箱lssggzyjyzx@163.com" </w:instrText>
      </w:r>
      <w:r>
        <w:rPr>
          <w:rFonts w:hint="eastAsia" w:ascii="仿宋" w:hAnsi="仿宋" w:eastAsia="仿宋" w:cs="仿宋"/>
          <w:b/>
          <w:color w:val="auto"/>
          <w:sz w:val="22"/>
          <w:szCs w:val="22"/>
          <w:highlight w:val="none"/>
        </w:rPr>
        <w:fldChar w:fldCharType="separate"/>
      </w:r>
      <w:r>
        <w:rPr>
          <w:rStyle w:val="76"/>
          <w:rFonts w:hint="eastAsia" w:ascii="仿宋" w:hAnsi="仿宋" w:eastAsia="仿宋" w:cs="仿宋"/>
          <w:b/>
          <w:color w:val="auto"/>
          <w:sz w:val="22"/>
          <w:szCs w:val="16"/>
          <w:highlight w:val="none"/>
          <w:u w:val="none"/>
        </w:rPr>
        <w:t>该声明书在投标文件解密后30分钟内以邮件方式发送至邮箱</w:t>
      </w:r>
      <w:r>
        <w:rPr>
          <w:rStyle w:val="76"/>
          <w:rFonts w:hint="eastAsia" w:ascii="仿宋" w:hAnsi="仿宋" w:eastAsia="仿宋" w:cs="仿宋"/>
          <w:b/>
          <w:color w:val="auto"/>
          <w:sz w:val="22"/>
          <w:szCs w:val="16"/>
          <w:highlight w:val="none"/>
          <w:u w:val="none"/>
          <w:lang w:val="en-US" w:eastAsia="zh-CN"/>
        </w:rPr>
        <w:t>ZJFYGCZY02@163.com</w:t>
      </w:r>
      <w:r>
        <w:rPr>
          <w:rFonts w:hint="eastAsia" w:ascii="仿宋" w:hAnsi="仿宋" w:eastAsia="仿宋" w:cs="仿宋"/>
          <w:b/>
          <w:color w:val="auto"/>
          <w:sz w:val="22"/>
          <w:szCs w:val="22"/>
          <w:highlight w:val="none"/>
        </w:rPr>
        <w:fldChar w:fldCharType="end"/>
      </w:r>
      <w:r>
        <w:rPr>
          <w:rFonts w:hint="eastAsia" w:ascii="仿宋" w:hAnsi="仿宋" w:eastAsia="仿宋" w:cs="仿宋"/>
          <w:b/>
          <w:color w:val="auto"/>
          <w:sz w:val="22"/>
          <w:szCs w:val="22"/>
          <w:highlight w:val="none"/>
          <w:lang w:eastAsia="zh-CN"/>
        </w:rPr>
        <w:t>。</w:t>
      </w:r>
    </w:p>
    <w:p w14:paraId="04C5E4AA">
      <w:pPr>
        <w:spacing w:line="360" w:lineRule="exact"/>
        <w:ind w:right="0" w:firstLine="0"/>
        <w:rPr>
          <w:rFonts w:hint="eastAsia" w:ascii="仿宋" w:hAnsi="仿宋" w:eastAsia="仿宋" w:cs="仿宋"/>
          <w:color w:val="auto"/>
          <w:sz w:val="24"/>
          <w:highlight w:val="none"/>
        </w:rPr>
      </w:pPr>
      <w:r>
        <w:rPr>
          <w:rFonts w:hint="eastAsia" w:ascii="仿宋" w:hAnsi="仿宋" w:eastAsia="仿宋" w:cs="仿宋"/>
          <w:b/>
          <w:color w:val="auto"/>
          <w:sz w:val="22"/>
          <w:szCs w:val="22"/>
          <w:highlight w:val="none"/>
          <w:lang w:val="en-US" w:eastAsia="zh-CN"/>
        </w:rPr>
        <w:t>3.</w:t>
      </w:r>
      <w:r>
        <w:rPr>
          <w:rFonts w:hint="eastAsia" w:ascii="仿宋" w:hAnsi="仿宋" w:eastAsia="仿宋" w:cs="仿宋"/>
          <w:b/>
          <w:color w:val="auto"/>
          <w:sz w:val="22"/>
          <w:szCs w:val="22"/>
          <w:highlight w:val="none"/>
          <w:lang w:eastAsia="zh-CN"/>
        </w:rPr>
        <w:t>此声明书不用编入响应文件中。</w:t>
      </w:r>
    </w:p>
    <w:p w14:paraId="5D91ED52">
      <w:pPr>
        <w:spacing w:line="360" w:lineRule="auto"/>
        <w:ind w:firstLine="0"/>
        <w:rPr>
          <w:rFonts w:hint="eastAsia"/>
          <w:color w:val="auto"/>
          <w:highlight w:val="none"/>
        </w:rPr>
      </w:pPr>
    </w:p>
    <w:sectPr>
      <w:headerReference r:id="rId25" w:type="first"/>
      <w:footerReference r:id="rId27" w:type="first"/>
      <w:headerReference r:id="rId24" w:type="default"/>
      <w:footerReference r:id="rId26" w:type="default"/>
      <w:pgSz w:w="11905" w:h="16838"/>
      <w:pgMar w:top="1440" w:right="1083" w:bottom="1440" w:left="1083" w:header="850" w:footer="992"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panose1 w:val="020B0504020202030204"/>
    <w:charset w:val="00"/>
    <w:family w:val="swiss"/>
    <w:pitch w:val="default"/>
    <w:sig w:usb0="00000007" w:usb1="00000000" w:usb2="00000000" w:usb3="00000000" w:csb0="00000093" w:csb1="00000000"/>
  </w:font>
  <w:font w:name="Cumberland">
    <w:altName w:val="Noto Sans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Noto Sans SC"/>
    <w:panose1 w:val="00000000000000000000"/>
    <w:charset w:val="00"/>
    <w:family w:val="modern"/>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B3775">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9E069">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EB675">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116" w:name="_Toc91899912"/>
    <w:bookmarkStart w:id="117" w:name="_Toc131845147"/>
    <w:bookmarkStart w:id="118" w:name="_Toc36110187"/>
    <w:bookmarkStart w:id="119" w:name="_Toc164085800"/>
    <w:r>
      <w:rPr>
        <w:rFonts w:hint="eastAsia" w:ascii="仿宋_GB2312" w:eastAsia="仿宋_GB2312"/>
        <w:kern w:val="0"/>
        <w:szCs w:val="21"/>
      </w:rPr>
      <w:t xml:space="preserve"> 页</w:t>
    </w:r>
    <w:bookmarkEnd w:id="116"/>
    <w:bookmarkEnd w:id="117"/>
    <w:bookmarkEnd w:id="118"/>
    <w:bookmarkEnd w:id="119"/>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15449">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A0DA0">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417C7">
    <w:pPr>
      <w:pStyle w:val="39"/>
      <w:framePr w:wrap="around" w:vAnchor="text" w:hAnchor="margin" w:xAlign="right" w:y="1"/>
      <w:rPr>
        <w:rStyle w:val="72"/>
      </w:rPr>
    </w:pPr>
    <w:r>
      <w:fldChar w:fldCharType="begin"/>
    </w:r>
    <w:r>
      <w:rPr>
        <w:rStyle w:val="72"/>
      </w:rPr>
      <w:instrText xml:space="preserve">PAGE  </w:instrText>
    </w:r>
    <w:r>
      <w:fldChar w:fldCharType="end"/>
    </w:r>
  </w:p>
  <w:p w14:paraId="2C3ADC8C">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67FEE">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C76B6">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33F8D">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46CE0866">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F948A">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73C0E488">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CAF31">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36BD3938">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B16C0">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79EBF629">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FC8D4">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3FE567B7">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3664D">
    <w:pPr>
      <w:pStyle w:val="40"/>
      <w:pBdr>
        <w:bottom w:val="single" w:color="auto" w:sz="6" w:space="0"/>
      </w:pBdr>
      <w:tabs>
        <w:tab w:val="center" w:pos="4535"/>
        <w:tab w:val="right" w:pos="9070"/>
        <w:tab w:val="clear" w:pos="4153"/>
        <w:tab w:val="clear" w:pos="8306"/>
      </w:tabs>
      <w:jc w:val="right"/>
      <w:rPr>
        <w:lang w:val="en-US"/>
      </w:rPr>
    </w:pPr>
    <w:r>
      <w:rPr>
        <w:rFonts w:hint="eastAsia" w:ascii="仿宋" w:hAnsi="仿宋" w:eastAsia="仿宋" w:cs="仿宋"/>
        <w:lang w:val="zh-CN"/>
      </w:rPr>
      <w:t>杭州市政府采购公开招标文件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DFFC5">
    <w:pPr>
      <w:pStyle w:val="40"/>
      <w:jc w:val="right"/>
      <w:rPr>
        <w:rFonts w:hint="eastAsia" w:ascii="仿宋" w:hAnsi="仿宋" w:eastAsia="仿宋" w:cs="仿宋"/>
      </w:rPr>
    </w:pPr>
    <w:r>
      <w:rPr>
        <w:rFonts w:hint="eastAsia" w:ascii="仿宋" w:hAnsi="仿宋" w:eastAsia="仿宋" w:cs="仿宋"/>
      </w:rPr>
      <w:t>杭州市政府采购公开招标文件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79D0A">
    <w:pPr>
      <w:pStyle w:val="40"/>
      <w:jc w:val="right"/>
    </w:pPr>
    <w:r>
      <w:rPr>
        <w:rFonts w:hint="eastAsia" w:ascii="仿宋" w:hAnsi="仿宋" w:eastAsia="仿宋" w:cs="仿宋"/>
        <w:lang w:val="zh-CN"/>
      </w:rPr>
      <w:t>杭州市政府采购公开招标文件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C3D99">
    <w:pPr>
      <w:pStyle w:val="40"/>
      <w:jc w:val="right"/>
    </w:pPr>
    <w:r>
      <w:rPr>
        <w:rFonts w:hint="eastAsia" w:ascii="仿宋" w:hAnsi="仿宋" w:eastAsia="仿宋" w:cs="仿宋"/>
        <w:lang w:val="zh-CN"/>
      </w:rP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C5311">
    <w:pPr>
      <w:pStyle w:val="40"/>
      <w:pBdr>
        <w:bottom w:val="single" w:color="auto" w:sz="6" w:space="0"/>
      </w:pBdr>
      <w:tabs>
        <w:tab w:val="center" w:pos="4535"/>
        <w:tab w:val="right" w:pos="9070"/>
        <w:tab w:val="clear" w:pos="4153"/>
        <w:tab w:val="clear" w:pos="8306"/>
      </w:tabs>
      <w:jc w:val="right"/>
      <w:rPr>
        <w:rFonts w:hint="eastAsia" w:ascii="仿宋" w:hAnsi="仿宋" w:eastAsia="仿宋" w:cs="仿宋"/>
      </w:rPr>
    </w:pPr>
    <w:r>
      <w:rPr>
        <w:rFonts w:hint="eastAsia" w:ascii="仿宋" w:hAnsi="仿宋" w:eastAsia="仿宋" w:cs="仿宋"/>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47E13">
    <w:pPr>
      <w:pStyle w:val="40"/>
      <w:pBdr>
        <w:bottom w:val="single" w:color="auto" w:sz="6" w:space="0"/>
      </w:pBdr>
      <w:tabs>
        <w:tab w:val="center" w:pos="4535"/>
        <w:tab w:val="right" w:pos="9070"/>
        <w:tab w:val="clear" w:pos="4153"/>
        <w:tab w:val="clear" w:pos="8306"/>
      </w:tabs>
      <w:jc w:val="right"/>
      <w:rPr>
        <w:rFonts w:ascii="仿宋_GB2312" w:eastAsia="仿宋_GB2312"/>
        <w:b/>
        <w:i/>
        <w:sz w:val="18"/>
        <w:u w:val="single"/>
      </w:rPr>
    </w:pPr>
    <w:r>
      <w:rPr>
        <w:rFonts w:hint="eastAsia" w:ascii="仿宋" w:hAnsi="仿宋" w:eastAsia="仿宋" w:cs="仿宋"/>
        <w:lang w:val="zh-CN"/>
      </w:rPr>
      <w:t>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5F6F2">
    <w:pPr>
      <w:pStyle w:val="40"/>
      <w:jc w:val="right"/>
    </w:pPr>
    <w:r>
      <w:rPr>
        <w:rFonts w:hint="eastAsia" w:ascii="仿宋" w:hAnsi="仿宋" w:eastAsia="仿宋" w:cs="仿宋"/>
        <w:lang w:val="zh-CN"/>
      </w:rP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B945C">
    <w:pPr>
      <w:pStyle w:val="40"/>
      <w:jc w:val="right"/>
      <w:rPr>
        <w:rFonts w:ascii="仿宋_GB2312" w:eastAsia="仿宋_GB2312"/>
        <w:b/>
        <w:i/>
        <w:sz w:val="18"/>
        <w:u w:val="single"/>
      </w:rPr>
    </w:pPr>
    <w:r>
      <w:rPr>
        <w:rFonts w:hint="eastAsia" w:ascii="仿宋" w:hAnsi="仿宋" w:eastAsia="仿宋" w:cs="仿宋"/>
        <w:lang w:val="zh-CN"/>
      </w:rP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8226B">
    <w:pPr>
      <w:pStyle w:val="40"/>
      <w:jc w:val="right"/>
    </w:pPr>
    <w:r>
      <w:rPr>
        <w:rFonts w:hint="eastAsia" w:ascii="仿宋" w:hAnsi="仿宋" w:eastAsia="仿宋" w:cs="仿宋"/>
        <w:lang w:val="zh-CN"/>
      </w:rP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DFA21">
    <w:pPr>
      <w:pStyle w:val="40"/>
      <w:jc w:val="right"/>
      <w:rPr>
        <w:rFonts w:ascii="仿宋_GB2312" w:eastAsia="仿宋_GB2312"/>
        <w:b/>
        <w:i/>
        <w:u w:val="single"/>
      </w:rPr>
    </w:pPr>
    <w:r>
      <w:rPr>
        <w:rFonts w:hint="eastAsia"/>
      </w:rPr>
      <w:t xml:space="preserve">                                  </w:t>
    </w:r>
    <w:r>
      <w:t>杭州市政府采购公开招标文件</w:t>
    </w:r>
  </w:p>
  <w:p w14:paraId="578B71EF">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7BDEB">
    <w:pPr>
      <w:pStyle w:val="40"/>
      <w:jc w:val="right"/>
    </w:pPr>
    <w:r>
      <w:rPr>
        <w:rFonts w:hint="eastAsia" w:ascii="仿宋" w:hAnsi="仿宋" w:eastAsia="仿宋" w:cs="仿宋"/>
        <w:lang w:val="zh-CN"/>
      </w:rP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982D0">
    <w:pPr>
      <w:pStyle w:val="40"/>
      <w:jc w:val="right"/>
      <w:rPr>
        <w:rFonts w:hint="eastAsia" w:ascii="仿宋" w:hAnsi="仿宋" w:eastAsia="仿宋" w:cs="仿宋"/>
        <w:b/>
        <w:i/>
        <w:iCs/>
        <w:u w:val="single"/>
      </w:rPr>
    </w:pPr>
    <w:r>
      <w:rPr>
        <w:rFonts w:hint="eastAsia" w:ascii="仿宋" w:hAnsi="仿宋" w:eastAsia="仿宋" w:cs="仿宋"/>
      </w:rP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CC725"/>
    <w:multiLevelType w:val="singleLevel"/>
    <w:tmpl w:val="C9CCC72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0F2C"/>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61"/>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70E72"/>
    <w:rsid w:val="011E1FB5"/>
    <w:rsid w:val="011F6449"/>
    <w:rsid w:val="01236AFB"/>
    <w:rsid w:val="01547968"/>
    <w:rsid w:val="019F7441"/>
    <w:rsid w:val="01A93FA3"/>
    <w:rsid w:val="01B37585"/>
    <w:rsid w:val="01D55165"/>
    <w:rsid w:val="01DF6BF8"/>
    <w:rsid w:val="01EC2C57"/>
    <w:rsid w:val="025F0711"/>
    <w:rsid w:val="02650CA0"/>
    <w:rsid w:val="026B2E25"/>
    <w:rsid w:val="02824D4D"/>
    <w:rsid w:val="02DC4B10"/>
    <w:rsid w:val="02DD76CE"/>
    <w:rsid w:val="02F36323"/>
    <w:rsid w:val="02F5619C"/>
    <w:rsid w:val="0326446A"/>
    <w:rsid w:val="032D5555"/>
    <w:rsid w:val="036634D2"/>
    <w:rsid w:val="03A54529"/>
    <w:rsid w:val="03DD35E4"/>
    <w:rsid w:val="04076900"/>
    <w:rsid w:val="041A5A3B"/>
    <w:rsid w:val="042311BA"/>
    <w:rsid w:val="04233057"/>
    <w:rsid w:val="042B157A"/>
    <w:rsid w:val="045A7E0B"/>
    <w:rsid w:val="048F763B"/>
    <w:rsid w:val="049F330E"/>
    <w:rsid w:val="04AA775C"/>
    <w:rsid w:val="04AF1889"/>
    <w:rsid w:val="04F66F48"/>
    <w:rsid w:val="05251E14"/>
    <w:rsid w:val="05A16594"/>
    <w:rsid w:val="05A7762D"/>
    <w:rsid w:val="060E5941"/>
    <w:rsid w:val="06110FAF"/>
    <w:rsid w:val="06493CA7"/>
    <w:rsid w:val="065A6178"/>
    <w:rsid w:val="066F1CF3"/>
    <w:rsid w:val="068C5C42"/>
    <w:rsid w:val="06930BB8"/>
    <w:rsid w:val="06977C4E"/>
    <w:rsid w:val="06A84EEF"/>
    <w:rsid w:val="07047ECE"/>
    <w:rsid w:val="07245D42"/>
    <w:rsid w:val="07264C62"/>
    <w:rsid w:val="0779354C"/>
    <w:rsid w:val="07D3403F"/>
    <w:rsid w:val="08061376"/>
    <w:rsid w:val="08452D77"/>
    <w:rsid w:val="086401F8"/>
    <w:rsid w:val="08751CAA"/>
    <w:rsid w:val="087E4C40"/>
    <w:rsid w:val="08A871D0"/>
    <w:rsid w:val="08AA1F31"/>
    <w:rsid w:val="08D66AD6"/>
    <w:rsid w:val="08DA33A3"/>
    <w:rsid w:val="08E80F13"/>
    <w:rsid w:val="09335624"/>
    <w:rsid w:val="0944690F"/>
    <w:rsid w:val="09510347"/>
    <w:rsid w:val="09535675"/>
    <w:rsid w:val="095F057D"/>
    <w:rsid w:val="09642282"/>
    <w:rsid w:val="09733572"/>
    <w:rsid w:val="09772C16"/>
    <w:rsid w:val="098353B5"/>
    <w:rsid w:val="098826F0"/>
    <w:rsid w:val="09A92330"/>
    <w:rsid w:val="09B06B87"/>
    <w:rsid w:val="09C13146"/>
    <w:rsid w:val="09C83B5F"/>
    <w:rsid w:val="09E04166"/>
    <w:rsid w:val="0A1C0718"/>
    <w:rsid w:val="0A3E7710"/>
    <w:rsid w:val="0A4E70E3"/>
    <w:rsid w:val="0A5B7E63"/>
    <w:rsid w:val="0AA374A5"/>
    <w:rsid w:val="0AA902F4"/>
    <w:rsid w:val="0AAB7649"/>
    <w:rsid w:val="0ABC5606"/>
    <w:rsid w:val="0B30404E"/>
    <w:rsid w:val="0B4C6C14"/>
    <w:rsid w:val="0B547599"/>
    <w:rsid w:val="0B631A88"/>
    <w:rsid w:val="0B683D45"/>
    <w:rsid w:val="0B7F3F11"/>
    <w:rsid w:val="0B884417"/>
    <w:rsid w:val="0BF6188C"/>
    <w:rsid w:val="0BF73C91"/>
    <w:rsid w:val="0C170175"/>
    <w:rsid w:val="0C373AC2"/>
    <w:rsid w:val="0C571A41"/>
    <w:rsid w:val="0C5C1171"/>
    <w:rsid w:val="0C5E1CBC"/>
    <w:rsid w:val="0C615B50"/>
    <w:rsid w:val="0C8445DA"/>
    <w:rsid w:val="0C87121B"/>
    <w:rsid w:val="0CBC52DE"/>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230C39"/>
    <w:rsid w:val="0E5604B2"/>
    <w:rsid w:val="0E6D5D79"/>
    <w:rsid w:val="0E9D0089"/>
    <w:rsid w:val="0EB803EE"/>
    <w:rsid w:val="0ED35FCA"/>
    <w:rsid w:val="0EF94D4B"/>
    <w:rsid w:val="0F4958DC"/>
    <w:rsid w:val="0F515DF7"/>
    <w:rsid w:val="0F596BA8"/>
    <w:rsid w:val="0F6248D2"/>
    <w:rsid w:val="0F693536"/>
    <w:rsid w:val="0F7B0511"/>
    <w:rsid w:val="0F7B76D9"/>
    <w:rsid w:val="0F816ACD"/>
    <w:rsid w:val="0F9832DB"/>
    <w:rsid w:val="0FBF3FD2"/>
    <w:rsid w:val="0FBF7FF3"/>
    <w:rsid w:val="100115C8"/>
    <w:rsid w:val="10646583"/>
    <w:rsid w:val="107D4B15"/>
    <w:rsid w:val="108A3C80"/>
    <w:rsid w:val="10947BCD"/>
    <w:rsid w:val="10C26171"/>
    <w:rsid w:val="10F33360"/>
    <w:rsid w:val="10FC16EA"/>
    <w:rsid w:val="110F1D40"/>
    <w:rsid w:val="11266F33"/>
    <w:rsid w:val="118458A3"/>
    <w:rsid w:val="118963A1"/>
    <w:rsid w:val="11C6522A"/>
    <w:rsid w:val="11E104CC"/>
    <w:rsid w:val="11E20309"/>
    <w:rsid w:val="11F33970"/>
    <w:rsid w:val="12255233"/>
    <w:rsid w:val="12530213"/>
    <w:rsid w:val="127723A9"/>
    <w:rsid w:val="12862074"/>
    <w:rsid w:val="12883966"/>
    <w:rsid w:val="129E45B4"/>
    <w:rsid w:val="12D81596"/>
    <w:rsid w:val="13072A44"/>
    <w:rsid w:val="13581385"/>
    <w:rsid w:val="135F4BE2"/>
    <w:rsid w:val="138D7915"/>
    <w:rsid w:val="139B1A0A"/>
    <w:rsid w:val="139D25C7"/>
    <w:rsid w:val="13BF3CE4"/>
    <w:rsid w:val="13CE750E"/>
    <w:rsid w:val="141008D8"/>
    <w:rsid w:val="14125FE6"/>
    <w:rsid w:val="146D271E"/>
    <w:rsid w:val="14855E58"/>
    <w:rsid w:val="14982588"/>
    <w:rsid w:val="149A5AD9"/>
    <w:rsid w:val="14A7619D"/>
    <w:rsid w:val="14D56A06"/>
    <w:rsid w:val="150536C3"/>
    <w:rsid w:val="150C1963"/>
    <w:rsid w:val="151447A0"/>
    <w:rsid w:val="154A6454"/>
    <w:rsid w:val="15762120"/>
    <w:rsid w:val="15981FC3"/>
    <w:rsid w:val="16172208"/>
    <w:rsid w:val="16A8729C"/>
    <w:rsid w:val="16B33777"/>
    <w:rsid w:val="16BC70A7"/>
    <w:rsid w:val="16C6339E"/>
    <w:rsid w:val="172F2D79"/>
    <w:rsid w:val="17557BEF"/>
    <w:rsid w:val="17CA7E1E"/>
    <w:rsid w:val="17D349C1"/>
    <w:rsid w:val="180559AA"/>
    <w:rsid w:val="1830729E"/>
    <w:rsid w:val="183F1E50"/>
    <w:rsid w:val="1870062C"/>
    <w:rsid w:val="18817102"/>
    <w:rsid w:val="18830A15"/>
    <w:rsid w:val="18852B28"/>
    <w:rsid w:val="188B5321"/>
    <w:rsid w:val="18AC5CCF"/>
    <w:rsid w:val="19554556"/>
    <w:rsid w:val="19932372"/>
    <w:rsid w:val="19A20DD5"/>
    <w:rsid w:val="19AE03F1"/>
    <w:rsid w:val="1A071A03"/>
    <w:rsid w:val="1A1F16AE"/>
    <w:rsid w:val="1A3B5C77"/>
    <w:rsid w:val="1A5F124B"/>
    <w:rsid w:val="1A984BAD"/>
    <w:rsid w:val="1A9E7AF2"/>
    <w:rsid w:val="1AB8220E"/>
    <w:rsid w:val="1AD0039B"/>
    <w:rsid w:val="1AE4166C"/>
    <w:rsid w:val="1AF06CFB"/>
    <w:rsid w:val="1AF11B8D"/>
    <w:rsid w:val="1B11359C"/>
    <w:rsid w:val="1B2A271F"/>
    <w:rsid w:val="1B530544"/>
    <w:rsid w:val="1B562590"/>
    <w:rsid w:val="1B713184"/>
    <w:rsid w:val="1BA209CF"/>
    <w:rsid w:val="1BB4777D"/>
    <w:rsid w:val="1BD75AB8"/>
    <w:rsid w:val="1C0459C2"/>
    <w:rsid w:val="1C1B3B4A"/>
    <w:rsid w:val="1C88086E"/>
    <w:rsid w:val="1CF77A17"/>
    <w:rsid w:val="1D266CE1"/>
    <w:rsid w:val="1D3963AF"/>
    <w:rsid w:val="1D6A673C"/>
    <w:rsid w:val="1D9247AE"/>
    <w:rsid w:val="1DA23082"/>
    <w:rsid w:val="1DB567EC"/>
    <w:rsid w:val="1DC14B45"/>
    <w:rsid w:val="1DF51A98"/>
    <w:rsid w:val="1E3D060F"/>
    <w:rsid w:val="1E3F7D2E"/>
    <w:rsid w:val="1E4134E4"/>
    <w:rsid w:val="1E5062B3"/>
    <w:rsid w:val="1E523514"/>
    <w:rsid w:val="1E714A66"/>
    <w:rsid w:val="1E802593"/>
    <w:rsid w:val="1E8B6156"/>
    <w:rsid w:val="1EA703CC"/>
    <w:rsid w:val="1EB7330C"/>
    <w:rsid w:val="1EC330C4"/>
    <w:rsid w:val="1EF06916"/>
    <w:rsid w:val="1F00520E"/>
    <w:rsid w:val="1F0A0FF3"/>
    <w:rsid w:val="1F3804E5"/>
    <w:rsid w:val="1F5771FF"/>
    <w:rsid w:val="1FC128ED"/>
    <w:rsid w:val="1FD52DD5"/>
    <w:rsid w:val="1FE868A9"/>
    <w:rsid w:val="1FF207B7"/>
    <w:rsid w:val="20034907"/>
    <w:rsid w:val="20173E4B"/>
    <w:rsid w:val="204E48BC"/>
    <w:rsid w:val="208921B3"/>
    <w:rsid w:val="20973DEB"/>
    <w:rsid w:val="20B26522"/>
    <w:rsid w:val="20B44310"/>
    <w:rsid w:val="211116EB"/>
    <w:rsid w:val="216133FC"/>
    <w:rsid w:val="216E0257"/>
    <w:rsid w:val="21AE12C2"/>
    <w:rsid w:val="21B52099"/>
    <w:rsid w:val="21B62029"/>
    <w:rsid w:val="21D56769"/>
    <w:rsid w:val="21E52EF3"/>
    <w:rsid w:val="21FB5D7B"/>
    <w:rsid w:val="22015E94"/>
    <w:rsid w:val="220B1C3D"/>
    <w:rsid w:val="221D1D20"/>
    <w:rsid w:val="22334A87"/>
    <w:rsid w:val="226D06CE"/>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4EF7670"/>
    <w:rsid w:val="25333A00"/>
    <w:rsid w:val="258B00E2"/>
    <w:rsid w:val="2593449F"/>
    <w:rsid w:val="25A917A6"/>
    <w:rsid w:val="25BE27CC"/>
    <w:rsid w:val="25F74A5C"/>
    <w:rsid w:val="26275C2F"/>
    <w:rsid w:val="2628662C"/>
    <w:rsid w:val="262D45DE"/>
    <w:rsid w:val="26711024"/>
    <w:rsid w:val="26871DC8"/>
    <w:rsid w:val="26A53EF9"/>
    <w:rsid w:val="26A94201"/>
    <w:rsid w:val="26AC274F"/>
    <w:rsid w:val="27044A29"/>
    <w:rsid w:val="271D34C8"/>
    <w:rsid w:val="27482542"/>
    <w:rsid w:val="276142BF"/>
    <w:rsid w:val="27783712"/>
    <w:rsid w:val="27907362"/>
    <w:rsid w:val="28333E1D"/>
    <w:rsid w:val="28454BD6"/>
    <w:rsid w:val="28455253"/>
    <w:rsid w:val="28551971"/>
    <w:rsid w:val="285B1C53"/>
    <w:rsid w:val="289F7086"/>
    <w:rsid w:val="28C32028"/>
    <w:rsid w:val="28CC490F"/>
    <w:rsid w:val="28DE40AA"/>
    <w:rsid w:val="28F33BD2"/>
    <w:rsid w:val="29345E77"/>
    <w:rsid w:val="294C65AD"/>
    <w:rsid w:val="29806583"/>
    <w:rsid w:val="298B3C4C"/>
    <w:rsid w:val="29933562"/>
    <w:rsid w:val="29F26D24"/>
    <w:rsid w:val="2A15033F"/>
    <w:rsid w:val="2A1662C1"/>
    <w:rsid w:val="2A1C7367"/>
    <w:rsid w:val="2A2815FA"/>
    <w:rsid w:val="2A2B657E"/>
    <w:rsid w:val="2A63761E"/>
    <w:rsid w:val="2A6D6092"/>
    <w:rsid w:val="2A7D76B4"/>
    <w:rsid w:val="2AB4113F"/>
    <w:rsid w:val="2AC31EAE"/>
    <w:rsid w:val="2B437463"/>
    <w:rsid w:val="2B666346"/>
    <w:rsid w:val="2B7807EE"/>
    <w:rsid w:val="2BA50BF7"/>
    <w:rsid w:val="2BBF00EC"/>
    <w:rsid w:val="2BC37CFD"/>
    <w:rsid w:val="2BD5237F"/>
    <w:rsid w:val="2BE536CE"/>
    <w:rsid w:val="2BE758D9"/>
    <w:rsid w:val="2C09049E"/>
    <w:rsid w:val="2C0A653C"/>
    <w:rsid w:val="2C191F85"/>
    <w:rsid w:val="2CA23219"/>
    <w:rsid w:val="2CE82D6F"/>
    <w:rsid w:val="2CFA69AD"/>
    <w:rsid w:val="2D343236"/>
    <w:rsid w:val="2D684463"/>
    <w:rsid w:val="2DD15014"/>
    <w:rsid w:val="2DF72DE4"/>
    <w:rsid w:val="2E0220AF"/>
    <w:rsid w:val="2E4B082A"/>
    <w:rsid w:val="2E5D4E86"/>
    <w:rsid w:val="2E5D790B"/>
    <w:rsid w:val="2E6952B5"/>
    <w:rsid w:val="2E9A3C18"/>
    <w:rsid w:val="2EBB0FEE"/>
    <w:rsid w:val="2EC63002"/>
    <w:rsid w:val="2ED272BF"/>
    <w:rsid w:val="2EE95130"/>
    <w:rsid w:val="2F0A6B38"/>
    <w:rsid w:val="2F946CCB"/>
    <w:rsid w:val="2FD25781"/>
    <w:rsid w:val="2FDC745C"/>
    <w:rsid w:val="2FEC07F3"/>
    <w:rsid w:val="2FFD7934"/>
    <w:rsid w:val="30733ACD"/>
    <w:rsid w:val="308C3862"/>
    <w:rsid w:val="309379D8"/>
    <w:rsid w:val="3095731D"/>
    <w:rsid w:val="30A270F7"/>
    <w:rsid w:val="30DF1478"/>
    <w:rsid w:val="30EC586F"/>
    <w:rsid w:val="310402C4"/>
    <w:rsid w:val="314550B7"/>
    <w:rsid w:val="315E1E05"/>
    <w:rsid w:val="315E3977"/>
    <w:rsid w:val="319C6071"/>
    <w:rsid w:val="31AC537E"/>
    <w:rsid w:val="31CB447D"/>
    <w:rsid w:val="31E3679B"/>
    <w:rsid w:val="31E732FD"/>
    <w:rsid w:val="31F83CA3"/>
    <w:rsid w:val="32517576"/>
    <w:rsid w:val="32BE5C2C"/>
    <w:rsid w:val="32FB6478"/>
    <w:rsid w:val="33263B3F"/>
    <w:rsid w:val="334A3931"/>
    <w:rsid w:val="336963EB"/>
    <w:rsid w:val="33787051"/>
    <w:rsid w:val="33816EEB"/>
    <w:rsid w:val="33C4261F"/>
    <w:rsid w:val="33EB55CD"/>
    <w:rsid w:val="33EC4C02"/>
    <w:rsid w:val="340D2360"/>
    <w:rsid w:val="3410665D"/>
    <w:rsid w:val="34211214"/>
    <w:rsid w:val="342E63AB"/>
    <w:rsid w:val="34950E68"/>
    <w:rsid w:val="34986E94"/>
    <w:rsid w:val="349A316D"/>
    <w:rsid w:val="34AF62C9"/>
    <w:rsid w:val="34B56D98"/>
    <w:rsid w:val="34CB4388"/>
    <w:rsid w:val="34FA6E12"/>
    <w:rsid w:val="354D7158"/>
    <w:rsid w:val="358D5588"/>
    <w:rsid w:val="360308B4"/>
    <w:rsid w:val="363A3B40"/>
    <w:rsid w:val="365302AE"/>
    <w:rsid w:val="36607A0A"/>
    <w:rsid w:val="366E227C"/>
    <w:rsid w:val="366F2E0D"/>
    <w:rsid w:val="367B6A5C"/>
    <w:rsid w:val="36973C1A"/>
    <w:rsid w:val="36A74ADA"/>
    <w:rsid w:val="36AD60D5"/>
    <w:rsid w:val="36B224F9"/>
    <w:rsid w:val="36EC0CC9"/>
    <w:rsid w:val="373F410B"/>
    <w:rsid w:val="37EE7094"/>
    <w:rsid w:val="38296C89"/>
    <w:rsid w:val="383002EB"/>
    <w:rsid w:val="38390ED6"/>
    <w:rsid w:val="38586797"/>
    <w:rsid w:val="38BC0149"/>
    <w:rsid w:val="38D850F6"/>
    <w:rsid w:val="38D87D1C"/>
    <w:rsid w:val="39636459"/>
    <w:rsid w:val="396B7F6C"/>
    <w:rsid w:val="39B417A9"/>
    <w:rsid w:val="39FC5695"/>
    <w:rsid w:val="3A006D8E"/>
    <w:rsid w:val="3A3651E5"/>
    <w:rsid w:val="3A4B1144"/>
    <w:rsid w:val="3A744481"/>
    <w:rsid w:val="3A8C7BEF"/>
    <w:rsid w:val="3A906246"/>
    <w:rsid w:val="3AF11577"/>
    <w:rsid w:val="3B2349B7"/>
    <w:rsid w:val="3B616CFF"/>
    <w:rsid w:val="3B6259F6"/>
    <w:rsid w:val="3B7C6FAB"/>
    <w:rsid w:val="3B976654"/>
    <w:rsid w:val="3BB30F9F"/>
    <w:rsid w:val="3BC01EFC"/>
    <w:rsid w:val="3BCA786A"/>
    <w:rsid w:val="3BD31E2F"/>
    <w:rsid w:val="3BF15831"/>
    <w:rsid w:val="3C105946"/>
    <w:rsid w:val="3C471448"/>
    <w:rsid w:val="3C5F759A"/>
    <w:rsid w:val="3C6C525A"/>
    <w:rsid w:val="3C8146F8"/>
    <w:rsid w:val="3CAD3C40"/>
    <w:rsid w:val="3CCE23CB"/>
    <w:rsid w:val="3CD17D17"/>
    <w:rsid w:val="3D3C7F39"/>
    <w:rsid w:val="3D440F09"/>
    <w:rsid w:val="3D4504A0"/>
    <w:rsid w:val="3D4B7BBB"/>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5765F"/>
    <w:rsid w:val="3EAF4836"/>
    <w:rsid w:val="3EC30C41"/>
    <w:rsid w:val="3EC33DFA"/>
    <w:rsid w:val="3F060E16"/>
    <w:rsid w:val="3F1D1096"/>
    <w:rsid w:val="3F2F0234"/>
    <w:rsid w:val="3F620C3A"/>
    <w:rsid w:val="3F6363FE"/>
    <w:rsid w:val="3F756B8F"/>
    <w:rsid w:val="3F95482B"/>
    <w:rsid w:val="4019356B"/>
    <w:rsid w:val="40592157"/>
    <w:rsid w:val="406E1CAE"/>
    <w:rsid w:val="40A0133A"/>
    <w:rsid w:val="40C31A53"/>
    <w:rsid w:val="40D64E24"/>
    <w:rsid w:val="40FF545D"/>
    <w:rsid w:val="410067C8"/>
    <w:rsid w:val="418F0D2A"/>
    <w:rsid w:val="41D01505"/>
    <w:rsid w:val="42474939"/>
    <w:rsid w:val="424C3C57"/>
    <w:rsid w:val="42613FF3"/>
    <w:rsid w:val="42660D96"/>
    <w:rsid w:val="428667D2"/>
    <w:rsid w:val="42CD1CE0"/>
    <w:rsid w:val="42E1381E"/>
    <w:rsid w:val="42ED6459"/>
    <w:rsid w:val="42FE58DD"/>
    <w:rsid w:val="43174B3D"/>
    <w:rsid w:val="431A6548"/>
    <w:rsid w:val="434B790E"/>
    <w:rsid w:val="4360274F"/>
    <w:rsid w:val="43977AB6"/>
    <w:rsid w:val="43A3342B"/>
    <w:rsid w:val="43C77C27"/>
    <w:rsid w:val="43DE09EE"/>
    <w:rsid w:val="44002FAD"/>
    <w:rsid w:val="442C05B3"/>
    <w:rsid w:val="449101DD"/>
    <w:rsid w:val="44DE1391"/>
    <w:rsid w:val="44F41584"/>
    <w:rsid w:val="451B225C"/>
    <w:rsid w:val="452410C9"/>
    <w:rsid w:val="45317DFB"/>
    <w:rsid w:val="456D3CE4"/>
    <w:rsid w:val="4579042C"/>
    <w:rsid w:val="457F0571"/>
    <w:rsid w:val="45851176"/>
    <w:rsid w:val="45C63B94"/>
    <w:rsid w:val="45DB05D1"/>
    <w:rsid w:val="45EA683B"/>
    <w:rsid w:val="46090652"/>
    <w:rsid w:val="460E6D10"/>
    <w:rsid w:val="460E7DA5"/>
    <w:rsid w:val="46422483"/>
    <w:rsid w:val="4659254A"/>
    <w:rsid w:val="465B0637"/>
    <w:rsid w:val="465D662E"/>
    <w:rsid w:val="465E3F0D"/>
    <w:rsid w:val="466A16E6"/>
    <w:rsid w:val="46893F2B"/>
    <w:rsid w:val="46C4686E"/>
    <w:rsid w:val="474B6530"/>
    <w:rsid w:val="477B778F"/>
    <w:rsid w:val="4781541B"/>
    <w:rsid w:val="478203EC"/>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E56AF9"/>
    <w:rsid w:val="49F6167F"/>
    <w:rsid w:val="4A064FA0"/>
    <w:rsid w:val="4A16615C"/>
    <w:rsid w:val="4A396B13"/>
    <w:rsid w:val="4A4424D7"/>
    <w:rsid w:val="4AB82D0F"/>
    <w:rsid w:val="4AE72A13"/>
    <w:rsid w:val="4AEB7664"/>
    <w:rsid w:val="4AFD7C19"/>
    <w:rsid w:val="4B0567D1"/>
    <w:rsid w:val="4B236AAE"/>
    <w:rsid w:val="4B65492A"/>
    <w:rsid w:val="4B707271"/>
    <w:rsid w:val="4B922579"/>
    <w:rsid w:val="4B9739F7"/>
    <w:rsid w:val="4BAF3531"/>
    <w:rsid w:val="4BEE2503"/>
    <w:rsid w:val="4C211F55"/>
    <w:rsid w:val="4C245A30"/>
    <w:rsid w:val="4C3A4F26"/>
    <w:rsid w:val="4C922DAA"/>
    <w:rsid w:val="4CB6685F"/>
    <w:rsid w:val="4CC367FE"/>
    <w:rsid w:val="4D077F3C"/>
    <w:rsid w:val="4D123355"/>
    <w:rsid w:val="4D2A3B31"/>
    <w:rsid w:val="4D312C52"/>
    <w:rsid w:val="4D905305"/>
    <w:rsid w:val="4D964A72"/>
    <w:rsid w:val="4D9C1254"/>
    <w:rsid w:val="4DD03795"/>
    <w:rsid w:val="4E691F61"/>
    <w:rsid w:val="4E793892"/>
    <w:rsid w:val="4E800872"/>
    <w:rsid w:val="4EBF16B4"/>
    <w:rsid w:val="4EC569ED"/>
    <w:rsid w:val="4ED50EA1"/>
    <w:rsid w:val="4EEC050C"/>
    <w:rsid w:val="4EF60DBF"/>
    <w:rsid w:val="4F0A3246"/>
    <w:rsid w:val="4F0F7013"/>
    <w:rsid w:val="4F104EC3"/>
    <w:rsid w:val="4F47354A"/>
    <w:rsid w:val="4F6D4A83"/>
    <w:rsid w:val="4F911C54"/>
    <w:rsid w:val="4FE625E0"/>
    <w:rsid w:val="5021480F"/>
    <w:rsid w:val="50514D0C"/>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1DF4444"/>
    <w:rsid w:val="522E4CC3"/>
    <w:rsid w:val="523F296D"/>
    <w:rsid w:val="5244713B"/>
    <w:rsid w:val="52615633"/>
    <w:rsid w:val="526F4DE4"/>
    <w:rsid w:val="52977FD4"/>
    <w:rsid w:val="52A25790"/>
    <w:rsid w:val="52A96B6F"/>
    <w:rsid w:val="52B45975"/>
    <w:rsid w:val="52D94AA4"/>
    <w:rsid w:val="52EA3A62"/>
    <w:rsid w:val="52F50BB8"/>
    <w:rsid w:val="53097272"/>
    <w:rsid w:val="534A5134"/>
    <w:rsid w:val="53544462"/>
    <w:rsid w:val="5397158E"/>
    <w:rsid w:val="54004F22"/>
    <w:rsid w:val="54013861"/>
    <w:rsid w:val="54487265"/>
    <w:rsid w:val="544D6070"/>
    <w:rsid w:val="54605E1E"/>
    <w:rsid w:val="54B3506A"/>
    <w:rsid w:val="54CA0D16"/>
    <w:rsid w:val="54CC51BD"/>
    <w:rsid w:val="54DD4057"/>
    <w:rsid w:val="54E7490F"/>
    <w:rsid w:val="550764A4"/>
    <w:rsid w:val="550B2BF6"/>
    <w:rsid w:val="55214EB5"/>
    <w:rsid w:val="55364EFD"/>
    <w:rsid w:val="55433377"/>
    <w:rsid w:val="555D4828"/>
    <w:rsid w:val="557A4C8B"/>
    <w:rsid w:val="557A74B2"/>
    <w:rsid w:val="558931E1"/>
    <w:rsid w:val="55923347"/>
    <w:rsid w:val="55925180"/>
    <w:rsid w:val="55983B1B"/>
    <w:rsid w:val="55A146F3"/>
    <w:rsid w:val="55A8376B"/>
    <w:rsid w:val="55DC29B6"/>
    <w:rsid w:val="55DD4241"/>
    <w:rsid w:val="56254373"/>
    <w:rsid w:val="56691A1A"/>
    <w:rsid w:val="566B6D1E"/>
    <w:rsid w:val="5684703F"/>
    <w:rsid w:val="56910291"/>
    <w:rsid w:val="57032A2C"/>
    <w:rsid w:val="570F5219"/>
    <w:rsid w:val="575D12B5"/>
    <w:rsid w:val="57610A87"/>
    <w:rsid w:val="577B1140"/>
    <w:rsid w:val="577B7F21"/>
    <w:rsid w:val="577F181B"/>
    <w:rsid w:val="57921984"/>
    <w:rsid w:val="579737F0"/>
    <w:rsid w:val="57AB7B30"/>
    <w:rsid w:val="57AF5251"/>
    <w:rsid w:val="57B26373"/>
    <w:rsid w:val="57B63F04"/>
    <w:rsid w:val="57CD20C2"/>
    <w:rsid w:val="57CF3C6B"/>
    <w:rsid w:val="57D1482F"/>
    <w:rsid w:val="57D675AB"/>
    <w:rsid w:val="57D95FDD"/>
    <w:rsid w:val="57EC260F"/>
    <w:rsid w:val="58653345"/>
    <w:rsid w:val="58917D2F"/>
    <w:rsid w:val="5894085C"/>
    <w:rsid w:val="58AE4F0C"/>
    <w:rsid w:val="58B85899"/>
    <w:rsid w:val="58E363A9"/>
    <w:rsid w:val="592F7283"/>
    <w:rsid w:val="595E1678"/>
    <w:rsid w:val="596D5BD4"/>
    <w:rsid w:val="597E3DD8"/>
    <w:rsid w:val="59BE20D9"/>
    <w:rsid w:val="59F80043"/>
    <w:rsid w:val="5A09252F"/>
    <w:rsid w:val="5A0B2778"/>
    <w:rsid w:val="5A2A7C7B"/>
    <w:rsid w:val="5A317807"/>
    <w:rsid w:val="5A3E2560"/>
    <w:rsid w:val="5A556960"/>
    <w:rsid w:val="5A5D3B6E"/>
    <w:rsid w:val="5A637A76"/>
    <w:rsid w:val="5A6D33BA"/>
    <w:rsid w:val="5A792B1F"/>
    <w:rsid w:val="5A874767"/>
    <w:rsid w:val="5AA85BE2"/>
    <w:rsid w:val="5AAD6F28"/>
    <w:rsid w:val="5ACC092C"/>
    <w:rsid w:val="5AD63A24"/>
    <w:rsid w:val="5B2E1A1D"/>
    <w:rsid w:val="5B332FCE"/>
    <w:rsid w:val="5B843A1C"/>
    <w:rsid w:val="5B873E3F"/>
    <w:rsid w:val="5C02690E"/>
    <w:rsid w:val="5C196DA7"/>
    <w:rsid w:val="5C2A048C"/>
    <w:rsid w:val="5C80234E"/>
    <w:rsid w:val="5C8A680C"/>
    <w:rsid w:val="5CF35D1E"/>
    <w:rsid w:val="5D0C4701"/>
    <w:rsid w:val="5D0F0395"/>
    <w:rsid w:val="5D221076"/>
    <w:rsid w:val="5D397964"/>
    <w:rsid w:val="5D5A391C"/>
    <w:rsid w:val="5D5F10C0"/>
    <w:rsid w:val="5D72308B"/>
    <w:rsid w:val="5D891B7B"/>
    <w:rsid w:val="5DAD38EE"/>
    <w:rsid w:val="5E006862"/>
    <w:rsid w:val="5E0207B9"/>
    <w:rsid w:val="5E1834A1"/>
    <w:rsid w:val="5E261785"/>
    <w:rsid w:val="5E4A7017"/>
    <w:rsid w:val="5E552BBA"/>
    <w:rsid w:val="5E611C10"/>
    <w:rsid w:val="5E7A0F3F"/>
    <w:rsid w:val="5ECB6656"/>
    <w:rsid w:val="5ED37352"/>
    <w:rsid w:val="5ED82947"/>
    <w:rsid w:val="5EFC7377"/>
    <w:rsid w:val="5EFD2ABF"/>
    <w:rsid w:val="5F06174D"/>
    <w:rsid w:val="5F1C2834"/>
    <w:rsid w:val="5F3A3602"/>
    <w:rsid w:val="5F45733B"/>
    <w:rsid w:val="5F6277C6"/>
    <w:rsid w:val="5F6D0B1D"/>
    <w:rsid w:val="5F8D0B82"/>
    <w:rsid w:val="5FCC5339"/>
    <w:rsid w:val="5FE34A5B"/>
    <w:rsid w:val="5FFE1E36"/>
    <w:rsid w:val="60232584"/>
    <w:rsid w:val="60524A50"/>
    <w:rsid w:val="607330CE"/>
    <w:rsid w:val="60825176"/>
    <w:rsid w:val="609F2AC4"/>
    <w:rsid w:val="60FA2EE8"/>
    <w:rsid w:val="60FC0DF8"/>
    <w:rsid w:val="61054A27"/>
    <w:rsid w:val="610A52BC"/>
    <w:rsid w:val="611D2366"/>
    <w:rsid w:val="61421856"/>
    <w:rsid w:val="615227C4"/>
    <w:rsid w:val="61654E3F"/>
    <w:rsid w:val="6182292A"/>
    <w:rsid w:val="619F7F92"/>
    <w:rsid w:val="61F94C26"/>
    <w:rsid w:val="62000E56"/>
    <w:rsid w:val="621926E6"/>
    <w:rsid w:val="62293072"/>
    <w:rsid w:val="624F3E49"/>
    <w:rsid w:val="62632286"/>
    <w:rsid w:val="62885958"/>
    <w:rsid w:val="62F40B65"/>
    <w:rsid w:val="62FC2CFE"/>
    <w:rsid w:val="63024505"/>
    <w:rsid w:val="635600A5"/>
    <w:rsid w:val="635B1DB5"/>
    <w:rsid w:val="63711FED"/>
    <w:rsid w:val="63880DDC"/>
    <w:rsid w:val="638D750D"/>
    <w:rsid w:val="638F2603"/>
    <w:rsid w:val="63AC6CC0"/>
    <w:rsid w:val="64055776"/>
    <w:rsid w:val="64240056"/>
    <w:rsid w:val="643E143A"/>
    <w:rsid w:val="64491666"/>
    <w:rsid w:val="645A5BAC"/>
    <w:rsid w:val="648B6EEF"/>
    <w:rsid w:val="64C158BF"/>
    <w:rsid w:val="64CE2EAA"/>
    <w:rsid w:val="64FA4061"/>
    <w:rsid w:val="653C3090"/>
    <w:rsid w:val="655C29BA"/>
    <w:rsid w:val="657A6809"/>
    <w:rsid w:val="657C4A71"/>
    <w:rsid w:val="65854376"/>
    <w:rsid w:val="658767BE"/>
    <w:rsid w:val="65892531"/>
    <w:rsid w:val="65C220D2"/>
    <w:rsid w:val="66195831"/>
    <w:rsid w:val="662326FA"/>
    <w:rsid w:val="662E75B1"/>
    <w:rsid w:val="66342C2E"/>
    <w:rsid w:val="663E784C"/>
    <w:rsid w:val="668B6A45"/>
    <w:rsid w:val="66A65F76"/>
    <w:rsid w:val="67011F07"/>
    <w:rsid w:val="672F3F24"/>
    <w:rsid w:val="673E055F"/>
    <w:rsid w:val="67551CE3"/>
    <w:rsid w:val="67694484"/>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95DB7"/>
    <w:rsid w:val="68CA2805"/>
    <w:rsid w:val="68E937A3"/>
    <w:rsid w:val="691664E5"/>
    <w:rsid w:val="693E15D3"/>
    <w:rsid w:val="695452C0"/>
    <w:rsid w:val="69627681"/>
    <w:rsid w:val="6977531D"/>
    <w:rsid w:val="69CC2BFF"/>
    <w:rsid w:val="69CC411C"/>
    <w:rsid w:val="69DF2DDC"/>
    <w:rsid w:val="69FD55B8"/>
    <w:rsid w:val="6A0B1C62"/>
    <w:rsid w:val="6A2406C8"/>
    <w:rsid w:val="6ADE0BD1"/>
    <w:rsid w:val="6AE96859"/>
    <w:rsid w:val="6B147746"/>
    <w:rsid w:val="6B24787C"/>
    <w:rsid w:val="6B573233"/>
    <w:rsid w:val="6B5B6274"/>
    <w:rsid w:val="6B935D53"/>
    <w:rsid w:val="6BF97532"/>
    <w:rsid w:val="6C196F71"/>
    <w:rsid w:val="6C226FCB"/>
    <w:rsid w:val="6C31226F"/>
    <w:rsid w:val="6C552F0B"/>
    <w:rsid w:val="6C8C67B7"/>
    <w:rsid w:val="6C9D744C"/>
    <w:rsid w:val="6D167928"/>
    <w:rsid w:val="6D26299B"/>
    <w:rsid w:val="6D4772EC"/>
    <w:rsid w:val="6D5D3FA3"/>
    <w:rsid w:val="6D9078AF"/>
    <w:rsid w:val="6DAA3FEF"/>
    <w:rsid w:val="6DC0172B"/>
    <w:rsid w:val="6DCB690C"/>
    <w:rsid w:val="6DD41A5B"/>
    <w:rsid w:val="6DD46630"/>
    <w:rsid w:val="6DF43C2E"/>
    <w:rsid w:val="6DF51CA3"/>
    <w:rsid w:val="6E8335BD"/>
    <w:rsid w:val="6E8E12EF"/>
    <w:rsid w:val="6E972936"/>
    <w:rsid w:val="6ED446C5"/>
    <w:rsid w:val="6F0C1C24"/>
    <w:rsid w:val="6F2A7D94"/>
    <w:rsid w:val="6F4A2C25"/>
    <w:rsid w:val="6F653D83"/>
    <w:rsid w:val="6F8331F1"/>
    <w:rsid w:val="6F86196C"/>
    <w:rsid w:val="6FAE1A09"/>
    <w:rsid w:val="6FD75BF8"/>
    <w:rsid w:val="704B4683"/>
    <w:rsid w:val="707723D0"/>
    <w:rsid w:val="707F420A"/>
    <w:rsid w:val="70F5661B"/>
    <w:rsid w:val="71047B41"/>
    <w:rsid w:val="71360107"/>
    <w:rsid w:val="713B688E"/>
    <w:rsid w:val="71D43752"/>
    <w:rsid w:val="71D868FF"/>
    <w:rsid w:val="71F1796A"/>
    <w:rsid w:val="721101F2"/>
    <w:rsid w:val="72154626"/>
    <w:rsid w:val="721F4BA7"/>
    <w:rsid w:val="72262B5D"/>
    <w:rsid w:val="72283FF7"/>
    <w:rsid w:val="722E7212"/>
    <w:rsid w:val="723A0474"/>
    <w:rsid w:val="72501D1B"/>
    <w:rsid w:val="72505F87"/>
    <w:rsid w:val="725923E4"/>
    <w:rsid w:val="72864BF7"/>
    <w:rsid w:val="729023FC"/>
    <w:rsid w:val="73C0646E"/>
    <w:rsid w:val="73CE0271"/>
    <w:rsid w:val="73E7CF11"/>
    <w:rsid w:val="742222F5"/>
    <w:rsid w:val="74476126"/>
    <w:rsid w:val="74706664"/>
    <w:rsid w:val="747F3682"/>
    <w:rsid w:val="749C4185"/>
    <w:rsid w:val="75067759"/>
    <w:rsid w:val="752E6DCD"/>
    <w:rsid w:val="75461F61"/>
    <w:rsid w:val="7551380D"/>
    <w:rsid w:val="75600BE5"/>
    <w:rsid w:val="7564475C"/>
    <w:rsid w:val="756F65F9"/>
    <w:rsid w:val="7583797F"/>
    <w:rsid w:val="75D20F1D"/>
    <w:rsid w:val="75DA2C18"/>
    <w:rsid w:val="75F54412"/>
    <w:rsid w:val="761D08E0"/>
    <w:rsid w:val="76371B74"/>
    <w:rsid w:val="763A6380"/>
    <w:rsid w:val="765D347C"/>
    <w:rsid w:val="76826699"/>
    <w:rsid w:val="76C87133"/>
    <w:rsid w:val="76CD08D5"/>
    <w:rsid w:val="76D80643"/>
    <w:rsid w:val="76DB4B92"/>
    <w:rsid w:val="76FD013A"/>
    <w:rsid w:val="77052AA4"/>
    <w:rsid w:val="77136511"/>
    <w:rsid w:val="77340A39"/>
    <w:rsid w:val="77351FD0"/>
    <w:rsid w:val="77472422"/>
    <w:rsid w:val="777F31F2"/>
    <w:rsid w:val="77D1700D"/>
    <w:rsid w:val="77EC04CC"/>
    <w:rsid w:val="78077819"/>
    <w:rsid w:val="78174088"/>
    <w:rsid w:val="781D636E"/>
    <w:rsid w:val="78553C0D"/>
    <w:rsid w:val="78775729"/>
    <w:rsid w:val="78A42DB0"/>
    <w:rsid w:val="78A656AB"/>
    <w:rsid w:val="78B2245C"/>
    <w:rsid w:val="78E172CC"/>
    <w:rsid w:val="78EA1D1F"/>
    <w:rsid w:val="78FC0C0E"/>
    <w:rsid w:val="7904172F"/>
    <w:rsid w:val="790F7E27"/>
    <w:rsid w:val="792A231A"/>
    <w:rsid w:val="79316829"/>
    <w:rsid w:val="79471211"/>
    <w:rsid w:val="797E66A9"/>
    <w:rsid w:val="798518A4"/>
    <w:rsid w:val="79981484"/>
    <w:rsid w:val="79A97383"/>
    <w:rsid w:val="79C57970"/>
    <w:rsid w:val="79E27E8B"/>
    <w:rsid w:val="79F850CE"/>
    <w:rsid w:val="79FD443C"/>
    <w:rsid w:val="7A1D1975"/>
    <w:rsid w:val="7A3E5150"/>
    <w:rsid w:val="7A4670D6"/>
    <w:rsid w:val="7A534B63"/>
    <w:rsid w:val="7A615382"/>
    <w:rsid w:val="7A67303B"/>
    <w:rsid w:val="7AAB1D04"/>
    <w:rsid w:val="7AB72908"/>
    <w:rsid w:val="7ABA4368"/>
    <w:rsid w:val="7AD05746"/>
    <w:rsid w:val="7AED003A"/>
    <w:rsid w:val="7B14665D"/>
    <w:rsid w:val="7B257FFD"/>
    <w:rsid w:val="7B273D20"/>
    <w:rsid w:val="7B2A40D3"/>
    <w:rsid w:val="7B343476"/>
    <w:rsid w:val="7B5A2978"/>
    <w:rsid w:val="7B5A7E4C"/>
    <w:rsid w:val="7B667AF9"/>
    <w:rsid w:val="7B7468F8"/>
    <w:rsid w:val="7B7535A0"/>
    <w:rsid w:val="7BA9702E"/>
    <w:rsid w:val="7BD152A6"/>
    <w:rsid w:val="7BEE0103"/>
    <w:rsid w:val="7C0A0FE4"/>
    <w:rsid w:val="7C254906"/>
    <w:rsid w:val="7C590818"/>
    <w:rsid w:val="7C7C10F6"/>
    <w:rsid w:val="7C853BEA"/>
    <w:rsid w:val="7C881368"/>
    <w:rsid w:val="7CAE6028"/>
    <w:rsid w:val="7CE27788"/>
    <w:rsid w:val="7D0C32F1"/>
    <w:rsid w:val="7D0F408D"/>
    <w:rsid w:val="7D491C6C"/>
    <w:rsid w:val="7D5429C0"/>
    <w:rsid w:val="7D6E6D43"/>
    <w:rsid w:val="7D733B0F"/>
    <w:rsid w:val="7DB57A34"/>
    <w:rsid w:val="7DBD6359"/>
    <w:rsid w:val="7DE60973"/>
    <w:rsid w:val="7DEF0916"/>
    <w:rsid w:val="7E1E5218"/>
    <w:rsid w:val="7E9A4E1F"/>
    <w:rsid w:val="7EA7723A"/>
    <w:rsid w:val="7ECF1219"/>
    <w:rsid w:val="7EF56FBB"/>
    <w:rsid w:val="7F0768EB"/>
    <w:rsid w:val="7F143BEC"/>
    <w:rsid w:val="7F356D36"/>
    <w:rsid w:val="7F715AF2"/>
    <w:rsid w:val="7F886E69"/>
    <w:rsid w:val="BB7FA927"/>
    <w:rsid w:val="F5FFD31F"/>
    <w:rsid w:val="F6FF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3"/>
    <w:qFormat/>
    <w:uiPriority w:val="9"/>
    <w:pPr>
      <w:keepNext/>
      <w:keepLines/>
      <w:tabs>
        <w:tab w:val="left" w:pos="432"/>
      </w:tabs>
      <w:spacing w:beforeLines="0" w:afterLines="0" w:line="360" w:lineRule="auto"/>
      <w:ind w:left="432" w:hanging="432"/>
      <w:jc w:val="center"/>
      <w:outlineLvl w:val="0"/>
    </w:pPr>
    <w:rPr>
      <w:rFonts w:ascii="仿宋" w:hAnsi="仿宋" w:eastAsia="仿宋" w:cs="仿宋"/>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 w:hAnsi="仿宋" w:eastAsia="仿宋" w:cs="仿宋"/>
      <w:b/>
      <w:bCs/>
      <w:sz w:val="28"/>
      <w:szCs w:val="28"/>
      <w:lang w:val="zh-CN"/>
    </w:rPr>
  </w:style>
  <w:style w:type="paragraph" w:styleId="5">
    <w:name w:val="heading 3"/>
    <w:basedOn w:val="1"/>
    <w:next w:val="2"/>
    <w:qFormat/>
    <w:uiPriority w:val="0"/>
    <w:pPr>
      <w:keepNext/>
      <w:keepLines/>
      <w:tabs>
        <w:tab w:val="left" w:pos="900"/>
      </w:tabs>
      <w:spacing w:beforeLines="0" w:afterLines="0" w:line="360" w:lineRule="auto"/>
      <w:ind w:left="720" w:hanging="720"/>
      <w:jc w:val="center"/>
      <w:outlineLvl w:val="2"/>
    </w:pPr>
    <w:rPr>
      <w:rFonts w:ascii="仿宋" w:hAnsi="仿宋" w:eastAsia="仿宋" w:cs="仿宋"/>
      <w:b/>
      <w:bCs/>
      <w:sz w:val="28"/>
      <w:szCs w:val="28"/>
    </w:rPr>
  </w:style>
  <w:style w:type="paragraph" w:styleId="6">
    <w:name w:val="heading 4"/>
    <w:basedOn w:val="1"/>
    <w:next w:val="1"/>
    <w:link w:val="327"/>
    <w:qFormat/>
    <w:uiPriority w:val="0"/>
    <w:pPr>
      <w:keepNext/>
      <w:keepLines/>
      <w:tabs>
        <w:tab w:val="left" w:pos="864"/>
      </w:tabs>
      <w:spacing w:beforeLines="0" w:afterLines="0" w:line="360" w:lineRule="auto"/>
      <w:outlineLvl w:val="3"/>
    </w:pPr>
    <w:rPr>
      <w:rFonts w:ascii="仿宋" w:hAnsi="仿宋" w:eastAsia="仿宋" w:cs="仿宋"/>
      <w:b/>
      <w:bCs/>
      <w:color w:val="auto"/>
      <w:sz w:val="24"/>
      <w:highlight w:val="none"/>
      <w:lang w:val="zh-CN"/>
    </w:rPr>
  </w:style>
  <w:style w:type="paragraph" w:styleId="7">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2"/>
    <w:qFormat/>
    <w:uiPriority w:val="0"/>
    <w:pPr>
      <w:shd w:val="clear" w:color="auto" w:fill="000080"/>
    </w:pPr>
  </w:style>
  <w:style w:type="paragraph" w:styleId="19">
    <w:name w:val="annotation text"/>
    <w:basedOn w:val="1"/>
    <w:link w:val="344"/>
    <w:qFormat/>
    <w:uiPriority w:val="99"/>
    <w:pPr>
      <w:jc w:val="left"/>
    </w:pPr>
  </w:style>
  <w:style w:type="paragraph" w:styleId="20">
    <w:name w:val="Salutation"/>
    <w:basedOn w:val="1"/>
    <w:next w:val="1"/>
    <w:link w:val="298"/>
    <w:qFormat/>
    <w:uiPriority w:val="0"/>
    <w:rPr>
      <w:rFonts w:ascii="仿宋_GB2312" w:eastAsia="仿宋_GB2312"/>
      <w:sz w:val="28"/>
      <w:szCs w:val="20"/>
    </w:rPr>
  </w:style>
  <w:style w:type="paragraph" w:styleId="21">
    <w:name w:val="Body Text 3"/>
    <w:basedOn w:val="1"/>
    <w:link w:val="330"/>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30"/>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5"/>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5"/>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1"/>
    <w:qFormat/>
    <w:uiPriority w:val="0"/>
    <w:pPr>
      <w:ind w:left="100" w:leftChars="2500"/>
    </w:pPr>
    <w:rPr>
      <w:rFonts w:ascii="宋体"/>
      <w:sz w:val="24"/>
      <w:szCs w:val="21"/>
      <w:lang w:val="zh-CN"/>
    </w:rPr>
  </w:style>
  <w:style w:type="paragraph" w:styleId="36">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7">
    <w:name w:val="endnote text"/>
    <w:basedOn w:val="1"/>
    <w:link w:val="932"/>
    <w:qFormat/>
    <w:uiPriority w:val="0"/>
    <w:rPr>
      <w:lang w:val="zh-CN"/>
    </w:rPr>
  </w:style>
  <w:style w:type="paragraph" w:styleId="38">
    <w:name w:val="Balloon Text"/>
    <w:basedOn w:val="1"/>
    <w:link w:val="188"/>
    <w:qFormat/>
    <w:uiPriority w:val="0"/>
    <w:rPr>
      <w:sz w:val="18"/>
      <w:szCs w:val="18"/>
    </w:rPr>
  </w:style>
  <w:style w:type="paragraph" w:styleId="39">
    <w:name w:val="footer"/>
    <w:basedOn w:val="1"/>
    <w:link w:val="383"/>
    <w:qFormat/>
    <w:uiPriority w:val="99"/>
    <w:pPr>
      <w:tabs>
        <w:tab w:val="center" w:pos="4153"/>
        <w:tab w:val="right" w:pos="8306"/>
      </w:tabs>
      <w:snapToGrid w:val="0"/>
      <w:jc w:val="left"/>
    </w:pPr>
    <w:rPr>
      <w:sz w:val="18"/>
      <w:szCs w:val="18"/>
    </w:rPr>
  </w:style>
  <w:style w:type="paragraph" w:styleId="40">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2"/>
    <w:link w:val="310"/>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5"/>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2"/>
    <w:qFormat/>
    <w:uiPriority w:val="0"/>
    <w:pPr>
      <w:spacing w:after="120" w:line="480" w:lineRule="auto"/>
    </w:pPr>
  </w:style>
  <w:style w:type="paragraph" w:styleId="56">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6"/>
    <w:qFormat/>
    <w:uiPriority w:val="0"/>
    <w:rPr>
      <w:b/>
      <w:bCs/>
    </w:rPr>
  </w:style>
  <w:style w:type="paragraph" w:styleId="60">
    <w:name w:val="Body Text First Indent"/>
    <w:basedOn w:val="23"/>
    <w:link w:val="321"/>
    <w:qFormat/>
    <w:uiPriority w:val="0"/>
    <w:pPr>
      <w:ind w:firstLine="420"/>
    </w:pPr>
    <w:rPr>
      <w:rFonts w:hAnsi="Calibri" w:cs="Times New Roman"/>
      <w:snapToGrid/>
      <w:szCs w:val="20"/>
    </w:rPr>
  </w:style>
  <w:style w:type="paragraph" w:styleId="61">
    <w:name w:val="Body Text First Indent 2"/>
    <w:basedOn w:val="24"/>
    <w:next w:val="1"/>
    <w:link w:val="121"/>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正文空2字"/>
    <w:basedOn w:val="80"/>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0">
    <w:name w:val="左对齐正文"/>
    <w:qFormat/>
    <w:uiPriority w:val="99"/>
    <w:rPr>
      <w:rFonts w:ascii="Calibri" w:hAnsi="Calibri" w:eastAsia="仿宋_GB2312" w:cs="Calibri"/>
      <w:kern w:val="2"/>
      <w:sz w:val="32"/>
      <w:szCs w:val="32"/>
      <w:lang w:val="en-US" w:eastAsia="zh-CN" w:bidi="ar-SA"/>
    </w:rPr>
  </w:style>
  <w:style w:type="paragraph" w:customStyle="1" w:styleId="8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59"/>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1"/>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69"/>
    <w:qFormat/>
    <w:uiPriority w:val="0"/>
    <w:rPr>
      <w:rFonts w:ascii="Arial" w:hAnsi="Arial" w:eastAsia="黑体" w:cs="Arial"/>
      <w:snapToGrid w:val="0"/>
      <w:kern w:val="0"/>
      <w:szCs w:val="21"/>
    </w:rPr>
  </w:style>
  <w:style w:type="character" w:customStyle="1" w:styleId="125">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6"/>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8"/>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4"/>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5"/>
    <w:qFormat/>
    <w:uiPriority w:val="0"/>
    <w:rPr>
      <w:rFonts w:ascii="宋体"/>
      <w:kern w:val="2"/>
      <w:sz w:val="24"/>
      <w:szCs w:val="21"/>
      <w:lang w:val="zh-CN"/>
    </w:rPr>
  </w:style>
  <w:style w:type="character" w:customStyle="1" w:styleId="182">
    <w:name w:val="标题 9 Char"/>
    <w:link w:val="11"/>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38"/>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2"/>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18"/>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69"/>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29"/>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6"/>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6"/>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24"/>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3"/>
    <w:qFormat/>
    <w:uiPriority w:val="9"/>
    <w:rPr>
      <w:rFonts w:ascii="仿宋" w:hAnsi="仿宋" w:eastAsia="仿宋" w:cs="仿宋"/>
      <w:b/>
      <w:bCs/>
      <w:kern w:val="44"/>
      <w:sz w:val="44"/>
      <w:szCs w:val="44"/>
      <w:lang w:val="en-US" w:eastAsia="zh-CN" w:bidi="ar-SA"/>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58"/>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7"/>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0"/>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6"/>
    <w:qFormat/>
    <w:uiPriority w:val="0"/>
    <w:rPr>
      <w:rFonts w:ascii="黑体" w:hAnsi="Courier New" w:eastAsia="黑体"/>
    </w:rPr>
  </w:style>
  <w:style w:type="character" w:customStyle="1" w:styleId="302">
    <w:name w:val="正文文本 2 Char1"/>
    <w:link w:val="55"/>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6"/>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9"/>
    <w:qFormat/>
    <w:uiPriority w:val="0"/>
    <w:rPr>
      <w:b/>
      <w:bCs/>
      <w:kern w:val="2"/>
      <w:sz w:val="24"/>
      <w:szCs w:val="24"/>
    </w:rPr>
  </w:style>
  <w:style w:type="character" w:customStyle="1" w:styleId="308">
    <w:name w:val="正文文本缩进 2 Char"/>
    <w:link w:val="36"/>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49"/>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60"/>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6"/>
    <w:qFormat/>
    <w:uiPriority w:val="9"/>
    <w:rPr>
      <w:rFonts w:ascii="仿宋" w:hAnsi="仿宋" w:eastAsia="仿宋" w:cs="仿宋"/>
      <w:b/>
      <w:bCs/>
      <w:color w:val="auto"/>
      <w:kern w:val="2"/>
      <w:sz w:val="24"/>
      <w:szCs w:val="24"/>
      <w:highlight w:val="none"/>
      <w:lang w:val="zh-CN" w:eastAsia="zh-CN" w:bidi="ar-SA"/>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1"/>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19"/>
    <w:qFormat/>
    <w:uiPriority w:val="99"/>
    <w:rPr>
      <w:kern w:val="2"/>
      <w:sz w:val="21"/>
      <w:szCs w:val="24"/>
    </w:rPr>
  </w:style>
  <w:style w:type="character" w:customStyle="1" w:styleId="345">
    <w:name w:val="签名 Char"/>
    <w:link w:val="41"/>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0"/>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2"/>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39"/>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0"/>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69"/>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2"/>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1">
    <w:name w:val="gray6"/>
    <w:basedOn w:val="69"/>
    <w:qFormat/>
    <w:uiPriority w:val="0"/>
    <w:rPr>
      <w:rFonts w:ascii="Arial" w:hAnsi="Arial" w:eastAsia="黑体" w:cs="Arial"/>
      <w:snapToGrid w:val="0"/>
      <w:kern w:val="0"/>
      <w:szCs w:val="21"/>
    </w:rPr>
  </w:style>
  <w:style w:type="character" w:customStyle="1" w:styleId="432">
    <w:name w:val="hui"/>
    <w:basedOn w:val="69"/>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4"/>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5"/>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7"/>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5"/>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2"/>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2"/>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5"/>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3"/>
    <w:qFormat/>
    <w:uiPriority w:val="0"/>
    <w:pPr>
      <w:tabs>
        <w:tab w:val="left" w:pos="840"/>
      </w:tabs>
      <w:adjustRightInd/>
      <w:ind w:left="840" w:hanging="420"/>
    </w:pPr>
  </w:style>
  <w:style w:type="paragraph" w:customStyle="1" w:styleId="626">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6"/>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5"/>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2"/>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5"/>
    <w:next w:val="52"/>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8"/>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qFormat/>
    <w:uiPriority w:val="0"/>
    <w:pPr>
      <w:tabs>
        <w:tab w:val="left" w:pos="1080"/>
      </w:tabs>
      <w:ind w:left="1080" w:hanging="1080"/>
    </w:pPr>
  </w:style>
  <w:style w:type="paragraph" w:customStyle="1" w:styleId="897">
    <w:name w:val="数字标题1"/>
    <w:basedOn w:val="3"/>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7"/>
    <w:qFormat/>
    <w:uiPriority w:val="0"/>
    <w:rPr>
      <w:kern w:val="2"/>
      <w:sz w:val="21"/>
      <w:szCs w:val="24"/>
      <w:lang w:val="zh-CN"/>
    </w:rPr>
  </w:style>
  <w:style w:type="character" w:customStyle="1" w:styleId="933">
    <w:name w:val="无间隔 Char"/>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1dc20ab5-0ac0-4fdb-b656-849c086d9194</errorID>
      <errorWord>2026年05月21日</errorWord>
      <group>L1_Knowledge</group>
      <groupName>知识性问题</groupName>
      <ability>L2_Time</ability>
      <abilityName>日期时间</abilityName>
      <candidateList>
        <item>2026年5月21日</item>
      </candidateList>
      <explain>根据日常书写习惯，月份一般会省略前导零。</explain>
      <paraID>71A51C8D</paraID>
      <start>157</start>
      <end>168</end>
      <status>unmodified</status>
      <modifiedWord/>
      <trackRevisions>false</trackRevisions>
    </reviewItem>
    <reviewItem>
      <errorID>4d54d70c-19d3-4da5-a498-557cc790109f</errorID>
      <errorWord>;</errorWord>
      <group>L1_Format</group>
      <groupName>格式问题</groupName>
      <ability>L2_HalfPunc</ability>
      <abilityName>全半角检查</abilityName>
      <candidateList>
        <item>；</item>
      </candidateList>
      <explain>文本全半角错误。</explain>
      <paraID>190E6A01</paraID>
      <start>31</start>
      <end>32</end>
      <status>modified</status>
      <modifiedWord>；</modifiedWord>
      <trackRevisions>false</trackRevisions>
    </reviewItem>
    <reviewItem>
      <errorID>a9c09fd0-4a52-49e9-b819-b62f9b025053</errorID>
      <errorWord>：/</errorWord>
      <group>L1_Punc</group>
      <groupName>标点问题</groupName>
      <ability>L2_Punc</ability>
      <abilityName>标点符号检查</abilityName>
      <candidateList>
        <item>：</item>
      </candidateList>
      <explain/>
      <paraID>1A750749</paraID>
      <start>2</start>
      <end>4</end>
      <status>unmodified</status>
      <modifiedWord/>
      <trackRevisions>false</trackRevisions>
    </reviewItem>
    <reviewItem>
      <errorID>687fd485-a271-4d14-959d-602a6a47af75</errorID>
      <errorWord>2026年05月21日</errorWord>
      <group>L1_Knowledge</group>
      <groupName>知识性问题</groupName>
      <ability>L2_Time</ability>
      <abilityName>日期时间</abilityName>
      <candidateList>
        <item>2026年5月21日</item>
      </candidateList>
      <explain>根据日常书写习惯，月份一般会省略前导零。</explain>
      <paraID>1A750749</paraID>
      <start>5</start>
      <end>16</end>
      <status>unmodified</status>
      <modifiedWord/>
      <trackRevisions>false</trackRevisions>
    </reviewItem>
    <reviewItem>
      <errorID>f7e6a01c-c9d8-4eda-9f15-6cfa99323737</errorID>
      <errorWord>上午00:00</errorWord>
      <group>L1_Knowledge</group>
      <groupName>知识性问题</groupName>
      <ability>L2_Time</ability>
      <abilityName>日期时间</abilityName>
      <candidateList/>
      <explain>时间与前缀不匹配，可能的时间前缀有“下午、晚上、凌晨、午夜”。</explain>
      <paraID>1A750749</paraID>
      <start>19</start>
      <end>26</end>
      <status>unmodified</status>
      <modifiedWord/>
      <trackRevisions>false</trackRevisions>
    </reviewItem>
    <reviewItem>
      <errorID>d0b25261-2c86-40e9-a305-6169701d15c2</errorID>
      <errorWord>2026年05月21日</errorWord>
      <group>L1_Knowledge</group>
      <groupName>知识性问题</groupName>
      <ability>L2_Time</ability>
      <abilityName>日期时间</abilityName>
      <candidateList>
        <item>2026年5月21日</item>
      </candidateList>
      <explain>根据日常书写习惯，月份一般会省略前导零。</explain>
      <paraID>2B47D9F1</paraID>
      <start>11</start>
      <end>22</end>
      <status>unmodified</status>
      <modifiedWord/>
      <trackRevisions>false</trackRevisions>
    </reviewItem>
    <reviewItem>
      <errorID>94459961-438c-4754-8b63-0cac61fab5a4</errorID>
      <errorWord>2026年05月21日</errorWord>
      <group>L1_Knowledge</group>
      <groupName>知识性问题</groupName>
      <ability>L2_Time</ability>
      <abilityName>日期时间</abilityName>
      <candidateList>
        <item>2026年5月21日</item>
      </candidateList>
      <explain>根据日常书写习惯，月份一般会省略前导零。</explain>
      <paraID>41D7146B</paraID>
      <start>5</start>
      <end>16</end>
      <status>unmodified</status>
      <modifiedWord/>
      <trackRevisions>false</trackRevisions>
    </reviewItem>
    <reviewItem>
      <errorID>c1031f5b-75af-4237-b832-5098cf701e08</errorID>
      <errorWord>（2022）3号</errorWord>
      <group>L1_Knowledge</group>
      <groupName>知识性问题</groupName>
      <ability>L2_Knowledge</ability>
      <abilityName>其他知识</abilityName>
      <candidateList>
        <item>〔2022〕3号</item>
      </candidateList>
      <explain>发文字号格式错误。</explain>
      <paraID>66DABF4C</paraID>
      <start>43</start>
      <end>51</end>
      <status>unmodified</status>
      <modifiedWord/>
      <trackRevisions>false</trackRevisions>
    </reviewItem>
    <reviewItem>
      <errorID>fc32fca3-24ab-4447-830a-f1c7efb96731</errorID>
      <errorWord>（2021）22号</errorWord>
      <group>L1_Knowledge</group>
      <groupName>知识性问题</groupName>
      <ability>L2_Knowledge</ability>
      <abilityName>其他知识</abilityName>
      <candidateList>
        <item>〔2021〕22号</item>
      </candidateList>
      <explain>发文字号格式错误。</explain>
      <paraID>66DABF4C</paraID>
      <start>92</start>
      <end>101</end>
      <status>unmodified</status>
      <modifiedWord/>
      <trackRevisions>false</trackRevisions>
    </reviewItem>
    <reviewItem>
      <errorID>383d9c88-cb7b-445f-834e-1d5c9d82feb7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66DABF4C</paraID>
      <start>102</start>
      <end>103</end>
      <status>unmodified</status>
      <modifiedWord/>
      <trackRevisions>false</trackRevisions>
    </reviewItem>
    <reviewItem>
      <errorID>78bd61d3-767f-4831-8c0c-bee5f2361c5e</errorID>
      <errorWord>（2022）8号</errorWord>
      <group>L1_Knowledge</group>
      <groupName>知识性问题</groupName>
      <ability>L2_Knowledge</ability>
      <abilityName>其他知识</abilityName>
      <candidateList>
        <item>〔2022〕8号</item>
      </candidateList>
      <explain>发文字号格式错误。</explain>
      <paraID>66DABF4C</paraID>
      <start>147</start>
      <end>155</end>
      <status>unmodified</status>
      <modifiedWord/>
      <trackRevisions>false</trackRevisions>
    </reviewItem>
    <reviewItem>
      <errorID>6880f932-acd0-46ca-b0ec-52e021b5f449</errorID>
      <errorWord>（2021）22号</errorWord>
      <group>L1_Knowledge</group>
      <groupName>知识性问题</groupName>
      <ability>L2_Knowledge</ability>
      <abilityName>其他知识</abilityName>
      <candidateList>
        <item>〔2021〕22号</item>
      </candidateList>
      <explain>发文字号格式错误。</explain>
      <paraID>377BA68E</paraID>
      <start>43</start>
      <end>52</end>
      <status>unmodified</status>
      <modifiedWord/>
      <trackRevisions>false</trackRevisions>
    </reviewItem>
    <reviewItem>
      <errorID>db5a7eab-0e3e-46cd-84a9-55ebf1b89041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1FF61605</paraID>
      <start>366</start>
      <end>369</end>
      <status>unmodified</status>
      <modifiedWord/>
      <trackRevisions>false</trackRevisions>
    </reviewItem>
    <reviewItem>
      <errorID>207c9819-2054-4623-8d7a-6e999de95a88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1FF61605</paraID>
      <start>375</start>
      <end>378</end>
      <status>unmodified</status>
      <modifiedWord/>
      <trackRevisions>false</trackRevisions>
    </reviewItem>
    <reviewItem>
      <errorID>1a637584-38ac-4336-aa21-5b6ef28ecd8b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1FF61605</paraID>
      <start>382</start>
      <end>385</end>
      <status>unmodified</status>
      <modifiedWord/>
      <trackRevisions>false</trackRevisions>
    </reviewItem>
    <reviewItem>
      <errorID>3f15ebad-35c2-4973-a447-6addd85c4c75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1FF61605</paraID>
      <start>389</start>
      <end>392</end>
      <status>unmodified</status>
      <modifiedWord/>
      <trackRevisions>false</trackRevisions>
    </reviewItem>
    <reviewItem>
      <errorID>bc293e66-49a0-46af-b48c-f70cdfca0973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1FF61605</paraID>
      <start>396</start>
      <end>399</end>
      <status>unmodified</status>
      <modifiedWord/>
      <trackRevisions>false</trackRevisions>
    </reviewItem>
    <reviewItem>
      <errorID>21817acd-2dc8-4921-8b75-baa1bd5a2145</errorID>
      <errorWord>：/</errorWord>
      <group>L1_Punc</group>
      <groupName>标点问题</groupName>
      <ability>L2_Punc</ability>
      <abilityName>标点符号检查</abilityName>
      <candidateList>
        <item>：</item>
      </candidateList>
      <explain/>
      <paraID>3BFC1949</paraID>
      <start>2</start>
      <end>4</end>
      <status>unmodified</status>
      <modifiedWord/>
      <trackRevisions>false</trackRevisions>
    </reviewItem>
    <reviewItem>
      <errorID>521e7fb5-26ed-49f0-9505-941f3797e1b8</errorID>
      <errorWord>：/</errorWord>
      <group>L1_Punc</group>
      <groupName>标点问题</groupName>
      <ability>L2_Punc</ability>
      <abilityName>标点符号检查</abilityName>
      <candidateList>
        <item>：</item>
      </candidateList>
      <explain/>
      <paraID>6438E3F8</paraID>
      <start>2</start>
      <end>4</end>
      <status>unmodified</status>
      <modifiedWord/>
      <trackRevisions>false</trackRevisions>
    </reviewItem>
    <reviewItem>
      <errorID>8fd3c8f8-5351-4475-ac09-e72bd1675857</errorID>
      <errorWord>：/</errorWord>
      <group>L1_Punc</group>
      <groupName>标点问题</groupName>
      <ability>L2_Punc</ability>
      <abilityName>标点符号检查</abilityName>
      <candidateList>
        <item>：</item>
      </candidateList>
      <explain/>
      <paraID>65186997</paraID>
      <start>2</start>
      <end>4</end>
      <status>unmodified</status>
      <modifiedWord/>
      <trackRevisions>false</trackRevisions>
    </reviewItem>
    <reviewItem>
      <errorID>8da67259-f94c-452d-a8e5-1d78fd0b83b7</errorID>
      <errorWord>,</errorWord>
      <group>L1_Format</group>
      <groupName>格式问题</groupName>
      <ability>L2_HalfPunc</ability>
      <abilityName>全半角检查</abilityName>
      <candidateList>
        <item>，</item>
      </candidateList>
      <explain>文本全半角错误。</explain>
      <paraID>6F41D2C3</paraID>
      <start>13</start>
      <end>14</end>
      <status>unmodified</status>
      <modifiedWord/>
      <trackRevisions>false</trackRevisions>
    </reviewItem>
    <reviewItem>
      <errorID>264cde50-1a42-4f9d-8133-2fd5e7eb3075</errorID>
      <errorWord>&lt;</errorWord>
      <group>L1_Format</group>
      <groupName>格式问题</groupName>
      <ability>L2_HalfPunc</ability>
      <abilityName>全半角检查</abilityName>
      <candidateList>
        <item>〈</item>
      </candidateList>
      <explain>文本全半角错误。</explain>
      <paraID>7494CFDC</paraID>
      <start>124</start>
      <end>125</end>
      <status>unmodified</status>
      <modifiedWord/>
      <trackRevisions>false</trackRevisions>
    </reviewItem>
    <reviewItem>
      <errorID>90b5a291-66b5-4c2b-b682-7ef03c5477bd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75E272B9</paraID>
      <start>24</start>
      <end>25</end>
      <status>unmodified</status>
      <modifiedWord/>
      <trackRevisions>false</trackRevisions>
    </reviewItem>
    <reviewItem>
      <errorID>ddd79c31-b728-4998-815f-dc59e8ece5ab</errorID>
      <errorWord>法律、法规</errorWord>
      <group>L1_Word</group>
      <groupName>字词问题</groupName>
      <ability>L2_Typo</ability>
      <abilityName>字词错误</abilityName>
      <candidateList>
        <item>法律法规</item>
      </candidateList>
      <explain/>
      <paraID> 92E9C4F</paraID>
      <start>48</start>
      <end>53</end>
      <status>unmodified</status>
      <modifiedWord/>
      <trackRevisions>false</trackRevisions>
    </reviewItem>
    <reviewItem>
      <errorID>f6a3178d-b9f5-4c70-99e1-1a0a6cb573d5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5D7F6C9E</paraID>
      <start>96</start>
      <end>99</end>
      <status>unmodified</status>
      <modifiedWord/>
      <trackRevisions>false</trackRevisions>
    </reviewItem>
    <reviewItem>
      <errorID>bffacebe-a415-434a-bbcb-d6b69d624220</errorID>
      <errorWord>[2014]68号</errorWord>
      <group>L1_Knowledge</group>
      <groupName>知识性问题</groupName>
      <ability>L2_Knowledge</ability>
      <abilityName>其他知识</abilityName>
      <candidateList>
        <item>〔2014〕68号</item>
      </candidateList>
      <explain>发文字号格式错误。</explain>
      <paraID> 60EAD48</paraID>
      <start>33</start>
      <end>42</end>
      <status>unmodified</status>
      <modifiedWord/>
      <trackRevisions>false</trackRevisions>
    </reviewItem>
    <reviewItem>
      <errorID>04f6d663-818a-4963-badb-fd55be275f4c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55612CF3</paraID>
      <start>14</start>
      <end>17</end>
      <status>unmodified</status>
      <modifiedWord/>
      <trackRevisions>false</trackRevisions>
    </reviewItem>
    <reviewItem>
      <errorID>3da29d2d-0dce-4f46-9505-a76ada6505d3</errorID>
      <errorWord>（2021）22号</errorWord>
      <group>L1_Knowledge</group>
      <groupName>知识性问题</groupName>
      <ability>L2_Knowledge</ability>
      <abilityName>其他知识</abilityName>
      <candidateList>
        <item>〔2021〕22号</item>
      </candidateList>
      <explain>发文字号格式错误。</explain>
      <paraID> 275A896</paraID>
      <start>55</start>
      <end>64</end>
      <status>unmodified</status>
      <modifiedWord/>
      <trackRevisions>false</trackRevisions>
    </reviewItem>
    <reviewItem>
      <errorID>b75379eb-fefa-4d09-976a-fc2b3d2186a7</errorID>
      <errorWord>,</errorWord>
      <group>L1_Format</group>
      <groupName>格式问题</groupName>
      <ability>L2_HalfPunc</ability>
      <abilityName>全半角检查</abilityName>
      <candidateList>
        <item>，</item>
      </candidateList>
      <explain>文本全半角错误。</explain>
      <paraID>509AD09C</paraID>
      <start>142</start>
      <end>143</end>
      <status>unmodified</status>
      <modifiedWord/>
      <trackRevisions>false</trackRevisions>
    </reviewItem>
    <reviewItem>
      <errorID>3fc46f3b-e03b-42cb-ae82-7858713d2a72</errorID>
      <errorWord>操作合</errorWord>
      <group>L1_Word</group>
      <groupName>字词问题</groupName>
      <ability>L2_Typo</ability>
      <abilityName>字词错误</abilityName>
      <candidateList>
        <item>操作台</item>
      </candidateList>
      <explain/>
      <paraID>7788890C</paraID>
      <start>9</start>
      <end>12</end>
      <status>unmodified</status>
      <modifiedWord/>
      <trackRevisions>false</trackRevisions>
    </reviewItem>
    <reviewItem>
      <errorID>ed2e59a7-0dca-4a04-9762-71fc1b520676</errorID>
      <errorWord>）</errorWord>
      <group>L1_Word</group>
      <groupName>字词问题</groupName>
      <ability>L2_Typo</ability>
      <abilityName>字词错误</abilityName>
      <candidateList>
        <item>）等</item>
      </candidateList>
      <explain/>
      <paraID> 6E2E442</paraID>
      <start>89</start>
      <end>90</end>
      <status>unmodified</status>
      <modifiedWord/>
      <trackRevisions>false</trackRevisions>
    </reviewItem>
    <reviewItem>
      <errorID>a2600c76-fe31-451d-991f-5378b8eace67</errorID>
      <errorWord>;</errorWord>
      <group>L1_Format</group>
      <groupName>格式问题</groupName>
      <ability>L2_HalfPunc</ability>
      <abilityName>全半角检查</abilityName>
      <candidateList>
        <item>；</item>
      </candidateList>
      <explain>文本全半角错误。</explain>
      <paraID>24F46E06</paraID>
      <start>61</start>
      <end>62</end>
      <status>modified</status>
      <modifiedWord>；</modifiedWord>
      <trackRevisions>false</trackRevisions>
    </reviewItem>
    <reviewItem>
      <errorID>e448d1ed-4777-4b70-a6d1-7f76077cef58</errorID>
      <errorWord>;</errorWord>
      <group>L1_Format</group>
      <groupName>格式问题</groupName>
      <ability>L2_HalfPunc</ability>
      <abilityName>全半角检查</abilityName>
      <candidateList>
        <item>；</item>
      </candidateList>
      <explain>文本全半角错误。</explain>
      <paraID>24F46E06</paraID>
      <start>83</start>
      <end>84</end>
      <status>modified</status>
      <modifiedWord>；</modifiedWord>
      <trackRevisions>false</trackRevisions>
    </reviewItem>
    <reviewItem>
      <errorID>05cbc034-aad1-4a69-ae0a-8c586cf931ea</errorID>
      <errorWord>尉问</errorWord>
      <group>L1_Word</group>
      <groupName>字词问题</groupName>
      <ability>L2_Typo</ability>
      <abilityName>字词错误</abilityName>
      <candidateList>
        <item>慰问</item>
      </candidateList>
      <explain/>
      <paraID>24F46E06</paraID>
      <start>150</start>
      <end>152</end>
      <status>unmodified</status>
      <modifiedWord/>
      <trackRevisions>false</trackRevisions>
    </reviewItem>
    <reviewItem>
      <errorID>52224c96-259f-42c3-af5a-191dfda5b463</errorID>
      <errorWord>需</errorWord>
      <group>L1_Word</group>
      <groupName>字词问题</groupName>
      <ability>L2_Typo</ability>
      <abilityName>字词错误</abilityName>
      <candidateList>
        <item>须</item>
      </candidateList>
      <explain>存在发音相同字词的误用。</explain>
      <paraID>742DB870</paraID>
      <start>10</start>
      <end>11</end>
      <status>unmodified</status>
      <modifiedWord/>
      <trackRevisions>false</trackRevisions>
    </reviewItem>
    <reviewItem>
      <errorID>ab55d553-885d-422a-a2d1-9dfa4f768ba3</errorID>
      <errorWord>，</errorWord>
      <group>L1_Word</group>
      <groupName>字词问题</groupName>
      <ability>L2_Typo</ability>
      <abilityName>字词错误</abilityName>
      <candidateList>
        <item>，经</item>
      </candidateList>
      <explain/>
      <paraID> 65EAD3E</paraID>
      <start>89</start>
      <end>90</end>
      <status>unmodified</status>
      <modifiedWord/>
      <trackRevisions>false</trackRevisions>
    </reviewItem>
    <reviewItem>
      <errorID>742569f0-8218-4f2a-a38d-902803f1a82f</errorID>
      <errorWord>(</errorWord>
      <group>L1_Format</group>
      <groupName>格式问题</groupName>
      <ability>L2_HalfPunc</ability>
      <abilityName>全半角检查</abilityName>
      <candidateList>
        <item>（</item>
      </candidateList>
      <explain>文本全半角错误。</explain>
      <paraID>16BA37AD</paraID>
      <start>121</start>
      <end>122</end>
      <status>modified</status>
      <modifiedWord>（</modifiedWord>
      <trackRevisions>false</trackRevisions>
    </reviewItem>
    <reviewItem>
      <errorID>1a11135f-4340-483a-a6da-c1eb044c961c</errorID>
      <errorWord>)</errorWord>
      <group>L1_Format</group>
      <groupName>格式问题</groupName>
      <ability>L2_HalfPunc</ability>
      <abilityName>全半角检查</abilityName>
      <candidateList>
        <item>）</item>
      </candidateList>
      <explain>文本全半角错误。</explain>
      <paraID>16BA37AD</paraID>
      <start>147</start>
      <end>148</end>
      <status>modified</status>
      <modifiedWord>）</modifiedWord>
      <trackRevisions>false</trackRevisions>
    </reviewItem>
    <reviewItem>
      <errorID>ddba0580-4540-4e3a-b1b7-b99bb0f332e5</errorID>
      <errorWord>用</errorWord>
      <group>L1_Word</group>
      <groupName>字词问题</groupName>
      <ability>L2_Typo</ability>
      <abilityName>字词错误</abilityName>
      <candidateList>
        <item>用由</item>
      </candidateList>
      <explain/>
      <paraID>14D879BC</paraID>
      <start>115</start>
      <end>116</end>
      <status>unmodified</status>
      <modifiedWord/>
      <trackRevisions>false</trackRevisions>
    </reviewItem>
    <reviewItem>
      <errorID>8fbe913c-6d96-4f9b-a793-13bb05c10e88</errorID>
      <errorWord>。】</errorWord>
      <group>L1_Punc</group>
      <groupName>标点问题</groupName>
      <ability>L2_Punc</ability>
      <abilityName>标点符号检查</abilityName>
      <candidateList>
        <item>】</item>
      </candidateList>
      <explain/>
      <paraID>2DE789BD</paraID>
      <start>72</start>
      <end>74</end>
      <status>unmodified</status>
      <modifiedWord/>
      <trackRevisions>false</trackRevisions>
    </reviewItem>
    <reviewItem>
      <errorID>306f8760-e3d0-4c0f-9882-63fb4fab3f1f</errorID>
      <errorWord>。】</errorWord>
      <group>L1_Punc</group>
      <groupName>标点问题</groupName>
      <ability>L2_Punc</ability>
      <abilityName>标点符号检查</abilityName>
      <candidateList>
        <item>】</item>
      </candidateList>
      <explain/>
      <paraID>173FA2FA</paraID>
      <start>58</start>
      <end>60</end>
      <status>unmodified</status>
      <modifiedWord/>
      <trackRevisions>false</trackRevisions>
    </reviewItem>
    <reviewItem>
      <errorID>19b1a0e9-3e1b-4254-8f47-807c6b200e43</errorID>
      <errorWord>。】</errorWord>
      <group>L1_Punc</group>
      <groupName>标点问题</groupName>
      <ability>L2_Punc</ability>
      <abilityName>标点符号检查</abilityName>
      <candidateList>
        <item>】</item>
      </candidateList>
      <explain/>
      <paraID>396C3074</paraID>
      <start>74</start>
      <end>76</end>
      <status>unmodified</status>
      <modifiedWord/>
      <trackRevisions>false</trackRevisions>
    </reviewItem>
    <reviewItem>
      <errorID>fecfa711-0257-4e3f-9a1f-06c9e4d9bd43</errorID>
      <errorWord>。】</errorWord>
      <group>L1_Punc</group>
      <groupName>标点问题</groupName>
      <ability>L2_Punc</ability>
      <abilityName>标点符号检查</abilityName>
      <candidateList>
        <item>】</item>
      </candidateList>
      <explain/>
      <paraID>20572400</paraID>
      <start>37</start>
      <end>39</end>
      <status>unmodified</status>
      <modifiedWord/>
      <trackRevisions>false</trackRevisions>
    </reviewItem>
    <reviewItem>
      <errorID>d6312e48-7919-4907-a84a-116962241fe6</errorID>
      <errorWord>万</errorWord>
      <group>L1_Word</group>
      <groupName>字词问题</groupName>
      <ability>L2_Typo</ability>
      <abilityName>字词错误</abilityName>
      <candidateList>
        <item>万元</item>
      </candidateList>
      <explain/>
      <paraID>4501AEAA</paraID>
      <start>49</start>
      <end>50</end>
      <status>unmodified</status>
      <modifiedWord/>
      <trackRevisions>false</trackRevisions>
    </reviewItem>
    <reviewItem>
      <errorID>0de20abf-30f7-434c-b12a-12aff135b3de</errorID>
      <errorWord>*</errorWord>
      <group>L1_Punc</group>
      <groupName>标点问题</groupName>
      <ability>L2_Punc</ability>
      <abilityName>标点符号检查</abilityName>
      <candidateList/>
      <explain/>
      <paraID>3F8B1A35</paraID>
      <start>0</start>
      <end>1</end>
      <status>unmodified</status>
      <modifiedWord/>
      <trackRevisions>false</trackRevisions>
    </reviewItem>
    <reviewItem>
      <errorID>24fc3def-cd01-4db2-b678-c460f8bb335b</errorID>
      <errorWord>&lt;</errorWord>
      <group>L1_Format</group>
      <groupName>格式问题</groupName>
      <ability>L2_HalfPunc</ability>
      <abilityName>全半角检查</abilityName>
      <candidateList>
        <item>〈</item>
      </candidateList>
      <explain>文本全半角错误。</explain>
      <paraID>4671D383</paraID>
      <start>50</start>
      <end>51</end>
      <status>unmodified</status>
      <modifiedWord/>
      <trackRevisions>false</trackRevisions>
    </reviewItem>
    <reviewItem>
      <errorID>5fb1707f-2940-4123-8ea9-3ea6cb8ae0cd</errorID>
      <errorWord>&lt;</errorWord>
      <group>L1_Format</group>
      <groupName>格式问题</groupName>
      <ability>L2_HalfPunc</ability>
      <abilityName>全半角检查</abilityName>
      <candidateList>
        <item>〈</item>
      </candidateList>
      <explain>文本全半角错误。</explain>
      <paraID>37908893</paraID>
      <start>50</start>
      <end>51</end>
      <status>unmodified</status>
      <modifiedWord/>
      <trackRevisions>false</trackRevisions>
    </reviewItem>
    <reviewItem>
      <errorID>ae37e39a-afef-4dfb-9058-409a88220913</errorID>
      <errorWord>&lt;</errorWord>
      <group>L1_Format</group>
      <groupName>格式问题</groupName>
      <ability>L2_HalfPunc</ability>
      <abilityName>全半角检查</abilityName>
      <candidateList>
        <item>〈</item>
      </candidateList>
      <explain>文本全半角错误。</explain>
      <paraID>417AFBC1</paraID>
      <start>35</start>
      <end>36</end>
      <status>unmodified</status>
      <modifiedWord/>
      <trackRevisions>false</trackRevisions>
    </reviewItem>
    <reviewItem>
      <errorID>f72c0fdd-f3a9-40b3-9d64-86e3980f7800</errorID>
      <errorWord>（</errorWord>
      <group>L1_Punc</group>
      <groupName>标点问题</groupName>
      <ability>L2_Punc</ability>
      <abilityName>标点符号检查</abilityName>
      <candidateList/>
      <explain>同一形式括号套用。</explain>
      <paraID>6A3122B3</paraID>
      <start>22</start>
      <end>23</end>
      <status>unmodified</status>
      <modifiedWord/>
      <trackRevisions>false</trackRevisions>
    </reviewItem>
    <reviewItem>
      <errorID>ba5d0540-8f87-4fdd-854e-d08dd0be317d</errorID>
      <errorWord>）</errorWord>
      <group>L1_Punc</group>
      <groupName>标点问题</groupName>
      <ability>L2_Punc</ability>
      <abilityName>标点符号检查</abilityName>
      <candidateList/>
      <explain>同一形式括号套用。</explain>
      <paraID>6A3122B3</paraID>
      <start>25</start>
      <end>26</end>
      <status>unmodified</status>
      <modifiedWord/>
      <trackRevisions>false</trackRevisions>
    </reviewItem>
    <reviewItem>
      <errorID>b61aa486-7d57-491e-83ae-f2d51dc034e0</errorID>
      <errorWord>（</errorWord>
      <group>L1_Punc</group>
      <groupName>标点问题</groupName>
      <ability>L2_Punc</ability>
      <abilityName>标点符号检查</abilityName>
      <candidateList/>
      <explain>同一形式括号套用。</explain>
      <paraID>6A3122B3</paraID>
      <start>110</start>
      <end>111</end>
      <status>unmodified</status>
      <modifiedWord/>
      <trackRevisions>false</trackRevisions>
    </reviewItem>
    <reviewItem>
      <errorID>4c249f1d-19b9-4444-a203-ef7668d07a39</errorID>
      <errorWord>）</errorWord>
      <group>L1_Punc</group>
      <groupName>标点问题</groupName>
      <ability>L2_Punc</ability>
      <abilityName>标点符号检查</abilityName>
      <candidateList/>
      <explain>同一形式括号套用。</explain>
      <paraID>6A3122B3</paraID>
      <start>113</start>
      <end>114</end>
      <status>unmodified</status>
      <modifiedWord/>
      <trackRevisions>false</trackRevisions>
    </reviewItem>
    <reviewItem>
      <errorID>2a2aefdc-6b4e-4d0d-b4d6-985bbc915a4d</errorID>
      <errorWord>&lt;</errorWord>
      <group>L1_Format</group>
      <groupName>格式问题</groupName>
      <ability>L2_HalfPunc</ability>
      <abilityName>全半角检查</abilityName>
      <candidateList>
        <item>〈</item>
      </candidateList>
      <explain>文本全半角错误。</explain>
      <paraID>6F37CFB3</paraID>
      <start>125</start>
      <end>126</end>
      <status>unmodified</status>
      <modifiedWord/>
      <trackRevisions>false</trackRevisions>
    </reviewItem>
    <reviewItem>
      <errorID>dd2b6d99-aeec-4905-a68b-5ef71e7e8642</errorID>
      <errorWord>其它</errorWord>
      <group>L1_Word</group>
      <groupName>字词问题</groupName>
      <ability>L2_Alias</ability>
      <abilityName>也作/曾用词</abilityName>
      <candidateList>
        <item>其他</item>
      </candidateList>
      <explain>词汇[其它]为不规范表述或旧称，其规范书面表述为[其他]。</explain>
      <paraID>220BA794</paraID>
      <start>18</start>
      <end>20</end>
      <status>unmodified</status>
      <modifiedWord/>
      <trackRevisions>false</trackRevisions>
    </reviewItem>
    <reviewItem>
      <errorID>bb99049e-59a3-4d56-90fd-07767b76672b</errorID>
      <errorWord>法律、法规</errorWord>
      <group>L1_Word</group>
      <groupName>字词问题</groupName>
      <ability>L2_Typo</ability>
      <abilityName>字词错误</abilityName>
      <candidateList>
        <item>法律法规</item>
      </candidateList>
      <explain/>
      <paraID>1041E7CA</paraID>
      <start>6</start>
      <end>11</end>
      <status>unmodified</status>
      <modifiedWord/>
      <trackRevisions>false</trackRevisions>
    </reviewItem>
    <reviewItem>
      <errorID>442aa37e-dac6-4e9b-aef3-6ed4809efc23</errorID>
      <errorWord>(</errorWord>
      <group>L1_Format</group>
      <groupName>格式问题</groupName>
      <ability>L2_HalfPunc</ability>
      <abilityName>全半角检查</abilityName>
      <candidateList>
        <item>（</item>
      </candidateList>
      <explain>文本全半角错误。</explain>
      <paraID>1822E221</paraID>
      <start>84</start>
      <end>85</end>
      <status>modified</status>
      <modifiedWord>（</modifiedWord>
      <trackRevisions>false</trackRevisions>
    </reviewItem>
    <reviewItem>
      <errorID>3eaa05d6-36fd-49ed-8825-03db1ca2719e</errorID>
      <errorWord>)</errorWord>
      <group>L1_Format</group>
      <groupName>格式问题</groupName>
      <ability>L2_HalfPunc</ability>
      <abilityName>全半角检查</abilityName>
      <candidateList>
        <item>）</item>
      </candidateList>
      <explain>文本全半角错误。</explain>
      <paraID>1822E221</paraID>
      <start>92</start>
      <end>93</end>
      <status>modified</status>
      <modifiedWord>）</modifiedWord>
      <trackRevisions>false</trackRevisions>
    </reviewItem>
    <reviewItem>
      <errorID>a49f32f2-140d-4512-b338-0ed3484120f9</errorID>
      <errorWord>(</errorWord>
      <group>L1_Format</group>
      <groupName>格式问题</groupName>
      <ability>L2_HalfPunc</ability>
      <abilityName>全半角检查</abilityName>
      <candidateList>
        <item>（</item>
      </candidateList>
      <explain>文本全半角错误。</explain>
      <paraID>1822E221</paraID>
      <start>113</start>
      <end>114</end>
      <status>modified</status>
      <modifiedWord>（</modifiedWord>
      <trackRevisions>false</trackRevisions>
    </reviewItem>
    <reviewItem>
      <errorID>e51fb72e-5fee-4e5a-980f-51962632ef5e</errorID>
      <errorWord>)</errorWord>
      <group>L1_Format</group>
      <groupName>格式问题</groupName>
      <ability>L2_HalfPunc</ability>
      <abilityName>全半角检查</abilityName>
      <candidateList>
        <item>）</item>
      </candidateList>
      <explain>文本全半角错误。</explain>
      <paraID>1822E221</paraID>
      <start>121</start>
      <end>122</end>
      <status>modified</status>
      <modifiedWord>）</modifiedWord>
      <trackRevisions>false</trackRevisions>
    </reviewItem>
    <reviewItem>
      <errorID>dde64b71-fcf7-4738-bdde-f5862a8288ec</errorID>
      <errorWord>:</errorWord>
      <group>L1_Format</group>
      <groupName>格式问题</groupName>
      <ability>L2_HalfPunc</ability>
      <abilityName>全半角检查</abilityName>
      <candidateList>
        <item>：</item>
      </candidateList>
      <explain>文本全半角错误。</explain>
      <paraID> 232A8AE</paraID>
      <start>40</start>
      <end>41</end>
      <status>modified</status>
      <modifiedWord>：</modifiedWord>
      <trackRevisions>false</trackRevisions>
    </reviewItem>
    <reviewItem>
      <errorID>9d417a05-fd06-487d-a338-78bda1ef4e60</errorID>
      <errorWord>:</errorWord>
      <group>L1_Format</group>
      <groupName>格式问题</groupName>
      <ability>L2_HalfPunc</ability>
      <abilityName>全半角检查</abilityName>
      <candidateList>
        <item>：</item>
      </candidateList>
      <explain>文本全半角错误。</explain>
      <paraID>6A8E6688</paraID>
      <start>2</start>
      <end>3</end>
      <status>modified</status>
      <modifiedWord>：</modifiedWord>
      <trackRevisions>false</trackRevisions>
    </reviewItem>
    <reviewItem>
      <errorID>afa1da7e-2ac4-44cd-9146-38c17624eef0</errorID>
      <errorWord>:</errorWord>
      <group>L1_Format</group>
      <groupName>格式问题</groupName>
      <ability>L2_HalfPunc</ability>
      <abilityName>全半角检查</abilityName>
      <candidateList>
        <item>：</item>
      </candidateList>
      <explain>文本全半角错误。</explain>
      <paraID>6A8E6688</paraID>
      <start>41</start>
      <end>42</end>
      <status>modified</status>
      <modifiedWord>：</modifiedWord>
      <trackRevisions>false</trackRevisions>
    </reviewItem>
    <reviewItem>
      <errorID>70dc6a51-a12e-470d-80c4-8b6b561eaa41</errorID>
      <errorWord>:</errorWord>
      <group>L1_Format</group>
      <groupName>格式问题</groupName>
      <ability>L2_HalfPunc</ability>
      <abilityName>全半角检查</abilityName>
      <candidateList>
        <item>：</item>
      </candidateList>
      <explain>文本全半角错误。</explain>
      <paraID>141DE9BA</paraID>
      <start>2</start>
      <end>3</end>
      <status>modified</status>
      <modifiedWord>：</modifiedWord>
      <trackRevisions>false</trackRevisions>
    </reviewItem>
    <reviewItem>
      <errorID>0955424d-dc6a-4199-a042-ccc749247f1d</errorID>
      <errorWord>:</errorWord>
      <group>L1_Format</group>
      <groupName>格式问题</groupName>
      <ability>L2_HalfPunc</ability>
      <abilityName>全半角检查</abilityName>
      <candidateList>
        <item>：</item>
      </candidateList>
      <explain>文本全半角错误。</explain>
      <paraID>141DE9BA</paraID>
      <start>41</start>
      <end>42</end>
      <status>modified</status>
      <modifiedWord>：</modifiedWord>
      <trackRevisions>false</trackRevisions>
    </reviewItem>
    <reviewItem>
      <errorID>9c3392cb-e6ec-4408-8574-fec1140b654b</errorID>
      <errorWord>(</errorWord>
      <group>L1_Format</group>
      <groupName>格式问题</groupName>
      <ability>L2_HalfPunc</ability>
      <abilityName>全半角检查</abilityName>
      <candidateList>
        <item>（</item>
      </candidateList>
      <explain>文本全半角错误。</explain>
      <paraID>66041616</paraID>
      <start>31</start>
      <end>32</end>
      <status>modified</status>
      <modifiedWord>（</modifiedWord>
      <trackRevisions>false</trackRevisions>
    </reviewItem>
    <reviewItem>
      <errorID>93b79cc7-9d4e-4347-a54f-e224b2f6ac2a</errorID>
      <errorWord>)</errorWord>
      <group>L1_Format</group>
      <groupName>格式问题</groupName>
      <ability>L2_HalfPunc</ability>
      <abilityName>全半角检查</abilityName>
      <candidateList>
        <item>）</item>
      </candidateList>
      <explain>文本全半角错误。</explain>
      <paraID>66041616</paraID>
      <start>37</start>
      <end>38</end>
      <status>modified</status>
      <modifiedWord>）</modifiedWord>
      <trackRevisions>false</trackRevisions>
    </reviewItem>
    <reviewItem>
      <errorID>9b20bd87-2c66-4f4e-bbd4-9905c088780b</errorID>
      <errorWord>(</errorWord>
      <group>L1_Format</group>
      <groupName>格式问题</groupName>
      <ability>L2_HalfPunc</ability>
      <abilityName>全半角检查</abilityName>
      <candidateList>
        <item>（</item>
      </candidateList>
      <explain>文本全半角错误。</explain>
      <paraID>66041616</paraID>
      <start>47</start>
      <end>48</end>
      <status>modified</status>
      <modifiedWord>（</modifiedWord>
      <trackRevisions>false</trackRevisions>
    </reviewItem>
    <reviewItem>
      <errorID>63b9d583-8dcd-440a-a205-9b07cae3fbde</errorID>
      <errorWord>)</errorWord>
      <group>L1_Format</group>
      <groupName>格式问题</groupName>
      <ability>L2_HalfPunc</ability>
      <abilityName>全半角检查</abilityName>
      <candidateList>
        <item>）</item>
      </candidateList>
      <explain>文本全半角错误。</explain>
      <paraID>66041616</paraID>
      <start>57</start>
      <end>58</end>
      <status>modified</status>
      <modifiedWord>）</modifiedWord>
      <trackRevisions>false</trackRevisions>
    </reviewItem>
    <reviewItem>
      <errorID>5e2b88cb-e6ca-4e2d-b512-bad5a716be6a</errorID>
      <errorWord>书就</errorWord>
      <group>L1_Word</group>
      <groupName>字词问题</groupName>
      <ability>L2_Typo</ability>
      <abilityName>字词错误</abilityName>
      <candidateList>
        <item>书写</item>
      </candidateList>
      <explain/>
      <paraID>5285274F</paraID>
      <start>13</start>
      <end>15</end>
      <status>unmodified</status>
      <modifiedWord/>
      <trackRevisions>false</trackRevisions>
    </reviewItem>
    <reviewItem>
      <errorID>ae2d0005-1594-42df-87cc-89c16abe8250</errorID>
      <errorWord>,</errorWord>
      <group>L1_Format</group>
      <groupName>格式问题</groupName>
      <ability>L2_HalfPunc</ability>
      <abilityName>全半角检查</abilityName>
      <candidateList>
        <item>，</item>
      </candidateList>
      <explain>文本全半角错误。</explain>
      <paraID>5B9E0A7B</paraID>
      <start>11</start>
      <end>12</end>
      <status>unmodified</status>
      <modifiedWord/>
      <trackRevisions>false</trackRevisions>
    </reviewItem>
    <reviewItem>
      <errorID>6d1cbf50-1aaa-41d3-810c-edd3f1fdf5af</errorID>
      <errorWord>，</errorWord>
      <group>L1_Word</group>
      <groupName>字词问题</groupName>
      <ability>L2_Typo</ability>
      <abilityName>字词错误</abilityName>
      <candidateList>
        <item>，经</item>
      </candidateList>
      <explain/>
      <paraID>470FFC56</paraID>
      <start>93</start>
      <end>94</end>
      <status>unmodified</status>
      <modifiedWord/>
      <trackRevisions>false</trackRevisions>
    </reviewItem>
    <reviewItem>
      <errorID>eefe1950-063e-4cba-9e19-35617f3a25dd</errorID>
      <errorWord>方案地</errorWord>
      <group>L1_Word</group>
      <groupName>字词问题</groupName>
      <ability>L2_Typo</ability>
      <abilityName>字词错误</abilityName>
      <candidateList>
        <item>方案</item>
      </candidateList>
      <explain/>
      <paraID>3A43FF54</paraID>
      <start>5</start>
      <end>8</end>
      <status>unmodified</status>
      <modifiedWord/>
      <trackRevisions>false</trackRevisions>
    </reviewItem>
    <reviewItem>
      <errorID>4768c4c0-d659-4b5d-bdff-a77a157a0b4d</errorID>
      <errorWord>，</errorWord>
      <group>L1_Word</group>
      <groupName>字词问题</groupName>
      <ability>L2_Typo</ability>
      <abilityName>字词错误</abilityName>
      <candidateList>
        <item>，经</item>
      </candidateList>
      <explain/>
      <paraID>735F2CA6</paraID>
      <start>93</start>
      <end>94</end>
      <status>unmodified</status>
      <modifiedWord/>
      <trackRevisions>false</trackRevisions>
    </reviewItem>
    <reviewItem>
      <errorID>ed3fde51-773f-488d-9aac-17ee31f7400d</errorID>
      <errorWord>用</errorWord>
      <group>L1_Word</group>
      <groupName>字词问题</groupName>
      <ability>L2_Typo</ability>
      <abilityName>字词错误</abilityName>
      <candidateList>
        <item>用由</item>
      </candidateList>
      <explain/>
      <paraID>774C0645</paraID>
      <start>115</start>
      <end>116</end>
      <status>unmodified</status>
      <modifiedWord/>
      <trackRevisions>false</trackRevisions>
    </reviewItem>
    <reviewItem>
      <errorID>738c4fd5-56eb-473d-991e-b6996d8ad1f4</errorID>
      <errorWord>、</errorWord>
      <group>L1_Punc</group>
      <groupName>标点问题</groupName>
      <ability>L2_Punc</ability>
      <abilityName>标点符号检查</abilityName>
      <candidateList>
        <item>.</item>
      </candidateList>
      <explain/>
      <paraID>65C266D3</paraID>
      <start>1</start>
      <end>2</end>
      <status>unmodified</status>
      <modifiedWord/>
      <trackRevisions>false</trackRevisions>
    </reviewItem>
    <reviewItem>
      <errorID>a7d9cfc1-56d5-40ad-bf2a-ba9a291b3269</errorID>
      <errorWord>。]</errorWord>
      <group>L1_Punc</group>
      <groupName>标点问题</groupName>
      <ability>L2_Punc</ability>
      <abilityName>标点符号检查</abilityName>
      <candidateList>
        <item>]</item>
      </candidateList>
      <explain/>
      <paraID>59612EC4</paraID>
      <start>63</start>
      <end>65</end>
      <status>unmodified</status>
      <modifiedWord/>
      <trackRevisions>false</trackRevisions>
    </reviewItem>
    <reviewItem>
      <errorID>34fd1488-92dd-4a5b-a613-91a075a28797</errorID>
      <errorWord>其它</errorWord>
      <group>L1_Word</group>
      <groupName>字词问题</groupName>
      <ability>L2_Alias</ability>
      <abilityName>也作/曾用词</abilityName>
      <candidateList>
        <item>其他</item>
      </candidateList>
      <explain>词汇[其它]为不规范表述或旧称，其规范书面表述为[其他]。</explain>
      <paraID>74C53AFA</paraID>
      <start>4</start>
      <end>6</end>
      <status>unmodified</status>
      <modifiedWord/>
      <trackRevisions>false</trackRevisions>
    </reviewItem>
    <reviewItem>
      <errorID>70b0d7e8-da06-4447-860a-f535b5a09e84</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74C53AFA</paraID>
      <start>35</start>
      <end>38</end>
      <status>unmodified</status>
      <modifiedWord/>
      <trackRevisions>false</trackRevisions>
    </reviewItem>
    <reviewItem>
      <errorID>8f159c6e-88db-4add-957c-d2e1a18da652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5CD0D8B6</paraID>
      <start>22</start>
      <end>25</end>
      <status>unmodified</status>
      <modifiedWord/>
      <trackRevisions>false</trackRevisions>
    </reviewItem>
    <reviewItem>
      <errorID>8b3fa8d7-d0e6-4bb4-bcfd-41efad8719a1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5CD0D8B6</paraID>
      <start>53</start>
      <end>56</end>
      <status>unmodified</status>
      <modifiedWord/>
      <trackRevisions>false</trackRevisions>
    </reviewItem>
    <reviewItem>
      <errorID>345f88f0-c72e-4226-817b-201a6dd319e7</errorID>
      <errorWord>。]</errorWord>
      <group>L1_Punc</group>
      <groupName>标点问题</groupName>
      <ability>L2_Punc</ability>
      <abilityName>标点符号检查</abilityName>
      <candidateList>
        <item>]</item>
      </candidateList>
      <explain/>
      <paraID> 54EF8E8</paraID>
      <start>100</start>
      <end>102</end>
      <status>unmodified</status>
      <modifiedWord/>
      <trackRevisions>false</trackRevisions>
    </reviewItem>
    <reviewItem>
      <errorID>b101b567-d021-48d1-af76-a81d0ce0673d</errorID>
      <errorWord>〔2017〕 141号</errorWord>
      <group>L1_Knowledge</group>
      <groupName>知识性问题</groupName>
      <ability>L2_Knowledge</ability>
      <abilityName>其他知识</abilityName>
      <candidateList>
        <item>〔2017〕141号</item>
      </candidateList>
      <explain>发文字号格式错误。</explain>
      <paraID>72967174</paraID>
      <start>49</start>
      <end>60</end>
      <status>unmodified</status>
      <modifiedWord/>
      <trackRevisions>false</trackRevisions>
    </reviewItem>
    <reviewItem>
      <errorID>ded9f213-6e6b-4299-9175-cc3fc48f4460</errorID>
      <errorWord>提出质疑</errorWord>
      <group>L1_Grammar</group>
      <groupName>语法问题</groupName>
      <ability>L2_Grammar</ability>
      <abilityName>语法错误</abilityName>
      <candidateList>
        <item>质疑</item>
      </candidateList>
      <explain>〈动〉提出疑问：～问难。</explain>
      <paraID>6D848F90</paraID>
      <start>36</start>
      <end>40</end>
      <status>unmodified</status>
      <modifiedWord/>
      <trackRevisions>false</trackRevisions>
    </reviewItem>
    <reviewItem>
      <errorID>9f9b8eea-c505-42ae-a201-d32f09d64c89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7F7BE52C</paraID>
      <start>60</start>
      <end>63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c0cc07-1d38-4420-80c5-94b06b40d4b7}">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72</Pages>
  <Words>3038</Words>
  <Characters>3528</Characters>
  <Lines>281</Lines>
  <Paragraphs>79</Paragraphs>
  <TotalTime>148</TotalTime>
  <ScaleCrop>false</ScaleCrop>
  <LinksUpToDate>false</LinksUpToDate>
  <CharactersWithSpaces>3571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2021-07-31T00:22:00Z</dcterms:created>
  <dc:creator>玥</dc:creator>
  <cp:lastModifiedBy>*^﹏^*深夏凉巷</cp:lastModifiedBy>
  <cp:lastPrinted>2021-12-28T03:06:00Z</cp:lastPrinted>
  <dcterms:modified xsi:type="dcterms:W3CDTF">2026-04-30T08:07:21Z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7F58CED571FB4A11967A1372DFA96769_13</vt:lpwstr>
  </property>
  <property fmtid="{D5CDD505-2E9C-101B-9397-08002B2CF9AE}" pid="5" name="KSOTemplateDocerSaveRecord">
    <vt:lpwstr>eyJoZGlkIjoiNDY3MGQ5YTEwMmY0NjgwMDVlNDJlMDZkZDhiNTE4YWYiLCJ1c2VySWQiOiI1MDExMzgzNzkifQ==</vt:lpwstr>
  </property>
</Properties>
</file>