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pacing w:val="28"/>
          <w:sz w:val="44"/>
          <w:szCs w:val="44"/>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-1062990</wp:posOffset>
                </wp:positionH>
                <wp:positionV relativeFrom="paragraph">
                  <wp:posOffset>-808990</wp:posOffset>
                </wp:positionV>
                <wp:extent cx="63500" cy="63500"/>
                <wp:effectExtent l="6350" t="6350" r="6350" b="6350"/>
                <wp:wrapNone/>
                <wp:docPr id="10" name="KGD_Gobal1" descr="lskY7P30+39SSS2ze3CC/FDm1RJnfXYDQy2/47ImKUgSZtrRr5P5Ft4Ynm1t6DLfdPp/1oMcDbelPUx4KyysPnRN9muJhwW6XvEHnenvcqSKCNp+XyjzovknA6ZqzaMEoX7Pj7Kr+TpxwbU3HRrrjQ5fwZcm1vvvwIiunmvf86jk4ipjVZVisRwOSgnkiP8p4toa+rkU8pN6d9IRZyYGs/oiOAx/UoyLjuzgu4OjnagtnJo7P+23COjyH9wLRjMgkssA4kFJLRjsQv9t66m9TdntK+3LJXp7kj8hOMasfW5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TmNahKjJpJtP50I+vh+JUePfLfovPjLSEHWTsR8BIkc3/uS72ZljRXr9nJNXnkw79f1DrU9Jc/YzcVgXAm+0Suwe3MjzDmRzmL5rCVKnmLMyBbsNd1O60RzCQCpU2i0EgQdJjtc7nAU8chAaPbrzrar5SK5xHnyORi5//WbmYdA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Dm1RJnfXYDQy2/47ImKUgSZtrRr5P5Ft4Ynm1t6DLfdPp/1oMcDbelPUx4KyysPnRN9muJhwW6XvEHnenvcqSKCNp+XyjzovknA6ZqzaMEoX7Pj7Kr+TpxwbU3HRrrjQ5fwZcm1vvvwIiunmvf86jk4ipjVZVisRwOSgnkiP8p4toa+rkU8pN6d9IRZyYGs/oiOAx/UoyLjuzgu4OjnagtnJo7P+23COjyH9wLRjMgkssA4kFJLRjsQv9t66m9TdntK+3LJXp7kj8hOMasfW5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TmNahKjJpJtP50I+vh+JUePfLfovPjLSEHWTsR8BIkc3/uS72ZljRXr9nJNXnkw79f1DrU9Jc/YzcVgXAm+0Suwe3MjzDmRzmL5rCVKnmLMyBbsNd1O60RzCQCpU2i0EgQdJjtc7nAU8chAaPbrzrar5SK5xHnyORi5//WbmYdAfkb3AWeDyLJnM3oCfGo20/H//tkfptDsZuQws8ro2ruGtf2k6ieDsIYTCjm6BbIg==" style="position:absolute;left:0pt;margin-left:-83.7pt;margin-top:-63.7pt;height:5pt;width:5pt;visibility:hidden;z-index:251659264;v-text-anchor:middle;mso-width-relative:page;mso-height-relative:page;" fillcolor="#5B9BD5 [3204]" filled="t" stroked="t" coordsize="21600,21600" o:gfxdata="UEsDBAoAAAAAAIdO4kAAAAAAAAAAAAAAAAAEAAAAZHJzL1BLAwQUAAAACACHTuJAc7bEatoAAAAP&#10;AQAADwAAAGRycy9kb3ducmV2LnhtbE2PwWrDMAyG74O9g9Fgl5E6LlszsjilhPU0GGsX6NWJ1SQ0&#10;tkPstN2efsqpu31CP78+Zeur6dkZR985K0EsYmBoa6c720gov7fRKzAflNWqdxYl/KCHdX5/l6lU&#10;u4vd4XkfGkYl1qdKQhvCkHLu6xaN8gs3oKXd0Y1GBRrHhutRXajc9HwZxytuVGfpQqsGLFqsT/vJ&#10;SHjalk3RHX431WFXvheb5PMj+ZqkfHwQ8RuwgNdwC8OsT+qQk1PlJqs96yVEYpU8U3am5UyUicTL&#10;TNVMgojnGf//R/4HUEsDBBQAAAAIAIdO4kDWvYt54QUAAEEJAAAOAAAAZHJzL2Uyb0RvYy54bWyt&#10;Vsmy4rgS3b+I/geCLfHKAx7gRlEdYGPATMZm9KZDeJ4kIRkb++tbwK2hu9+iF4+FybRSJzOPII++&#10;/v4o8k4VEJogOOoKX/huJ4Ae8hMYjbqHvfHfQbdDSwB9kCMYjLpNQLu/f/vtP19r/BGIKEa5H5AO&#10;A4H0o8ajblyW+IPjqBcHBaBfEA4gWwwRKUDJXBJxPgE1Qy9yTuR5hasR8TFBXkApe6u/F7ufiOTf&#10;AKIwTLxAR969CGD5RiVBDkrWEo0TTLvfXtWGYeCV2zCkQdnJR13Wafl6siTMvj6f3Lev4CMiAMeJ&#10;91kC+Dcl/K2nAiSQJf0BpYMSdO4k+QdUkXgEURSWXzxUcO9GXoywLgT+b9w4McDBqxdGNcU/SKf/&#10;P1hvU1mkk/jsl8AogaBgJ76c6X/M0BXkQrfjB9RjdOU0u6hWn+/1h47jiG3Q1zTO0AvBNmF4vui7&#10;RuQkdVEsD5HjlsQmsiUbpXSBhVAq+ir0LcwJaO3p1yC3Dg9p2TTUgvZmWNzNuD4p52o6hwGsvJuz&#10;1Da4d27SFlUZHCvurQXrKTqrVqouSW+PH/X10J/bhKQ7OaxdrxCqqqoXyR0WVThQ0kxKcHp0jwm1&#10;660TwSyxBlgqEeiR7DDAG8UfLmy3ucwoh5Lt+MEdULNK7210l7YpBFEJTaRaPbGvbdNmPqxXdrqO&#10;MkrHUmaYzKG7algqSjHc+7Bc9vor84zVLB3E2zWg4UkOqsqa9JzjLnPzcJzLMyMKJDnU9zH2dKwY&#10;aZmYQEYLR8gz4SwsqnhBdW+IV3mmL296cFvqPml2Hj4ZLdqeL9VBlLjIm7qeVxkLzSiiaiwTpRhc&#10;jrG840kd5aYYFUgXt22sCxQ7Brlw5hVfNxAZB7ntZVT0D8F6bq4m2WLAEcnx5hyQb2vRf6QXPwl6&#10;7TU2snN21MMGI2WnpdPGVogjXo98EJ03woz9U+sBnRrlzDXqaFO7m3X8uCmnhQ7OY2V2VOZ9dRLu&#10;70qU5g9+Z99rfb4+ulPhaEim8PBalxcsvJ8GJ3WjcACGfhwNk7Wh7m83sKZRoB4jAW6hd+VQvY/d&#10;28SlExLW64O14IcTHOWGeVKk+e1onQ/2ja7afYt76nJotlKTavPbViFojaf+PpxefMXFE2uftpl6&#10;jzhOkjgbOvtCb0R94ty4u2s0cZWn2qQ+2GRvoPkJ8vu7dqyG7k1demYmaIPhbQttY3+7hnJfmPoq&#10;HG/D846I5iI+xK0yjSPOxPlqJkB3RVeefV9i0Sh45XjYFxsQL1MTm6Ul84teFffMQ2CFqxBVVrpy&#10;pvPTntqDySLz+tzdUUU3T+0zGUJzc4ZZrQ5DQSeHoelxl9Y7Rudx0eOdex3012mrF3ZbrGSiHZew&#10;WK2byZVufGGr8Har7TR8EBN+Gu18My09VvFh4MVjYF1JSwCRnaX8mMNmaycyx52uxcUfh9m1Pz4F&#10;erMy4bqPtHCGRJ6bc1yZhbjUqXvf1XRAkEjuszIUMyUJdLq47LW0UCbXRTQadTtx4vvBU0ieo7TG&#10;9INNFAdb5NOjzHzOxUdIiuc3m3idx2v8Nj/Gb/AoOx57qfRlng0hj628TYbB/dyKCS1nASo6T2PU&#10;JWy2v0YuqFa0fId+D3lmoihPfCPJ85dDoquWk04FmA7Ik+FEl5/1MvS/hOWwU7NWRPVVB2DqFjJV&#10;YSUVmE1ICqNuB+QR69YrySv3X3bTX5NIgioMtXdQDPzgMzXPPt8zv8P/WcWzCx3Q+L3lleK5BXwU&#10;ScmkN0+KUXfwBPqOlEMG8uT+zfbTuiK/YYOdoLfiUewZCYNdAVpagDCJY0SzS0C5ZY8wR6xr9Gmx&#10;I0Wk/V/vn/FMedhqt1MzyWSM3O6ABN1OvoBMk4aCJDHY8uVIsioyh/y6cv11Bd4LDbHTYCLDqnuZ&#10;z/gy/26GBBUndlcYP7OyJQA9lvvN/aejlW8pZ7cNLxiPX2FMVzEoV9DB3hP8yRtE43uJwuT1K/nJ&#10;zidpTFlfZ/B5C3hK96/+K+rnzef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HO2xGraAAAADwEA&#10;AA8AAAAAAAAAAQAgAAAAIgAAAGRycy9kb3ducmV2LnhtbFBLAQIUABQAAAAIAIdO4kDWvYt54QUA&#10;AEEJAAAOAAAAAAAAAAEAIAAAACkBAABkcnMvZTJvRG9jLnhtbFBLBQYAAAAABgAGAFkBAAB8CQAA&#10;AAA=&#10;">
                <v:fill on="t" focussize="0,0"/>
                <v:stroke weight="1pt" color="#41719C [3204]" miterlimit="8" joinstyle="miter"/>
                <v:imagedata o:title=""/>
                <o:lock v:ext="edit" aspectratio="f"/>
              </v:rect>
            </w:pict>
          </mc:Fallback>
        </mc:AlternateContent>
      </w:r>
    </w:p>
    <w:p>
      <w:pPr>
        <w:jc w:val="center"/>
        <w:rPr>
          <w:rFonts w:ascii="宋体" w:hAnsi="宋体" w:cs="宋体"/>
          <w:b/>
          <w:spacing w:val="28"/>
          <w:sz w:val="96"/>
          <w:szCs w:val="96"/>
        </w:rPr>
      </w:pPr>
      <w:r>
        <w:rPr>
          <w:rFonts w:hint="eastAsia" w:ascii="宋体" w:hAnsi="宋体" w:cs="宋体"/>
          <w:b/>
          <w:spacing w:val="28"/>
          <w:sz w:val="96"/>
          <w:szCs w:val="96"/>
        </w:rPr>
        <w:t>竞争性磋商文件</w:t>
      </w:r>
    </w:p>
    <w:p>
      <w:pPr>
        <w:rPr>
          <w:rFonts w:ascii="宋体" w:hAnsi="宋体" w:cs="宋体"/>
          <w:sz w:val="28"/>
          <w:szCs w:val="28"/>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spacing w:line="560" w:lineRule="exact"/>
        <w:ind w:left="1800" w:hanging="1800" w:hangingChars="600"/>
        <w:jc w:val="left"/>
        <w:rPr>
          <w:rFonts w:ascii="宋体" w:hAnsi="宋体"/>
          <w:sz w:val="30"/>
          <w:szCs w:val="30"/>
        </w:rPr>
      </w:pPr>
    </w:p>
    <w:p>
      <w:pPr>
        <w:spacing w:line="560" w:lineRule="exact"/>
        <w:ind w:left="1800" w:hanging="1800" w:hangingChars="600"/>
        <w:jc w:val="left"/>
        <w:rPr>
          <w:rFonts w:hint="eastAsia" w:ascii="宋体" w:hAnsi="宋体"/>
          <w:sz w:val="30"/>
          <w:szCs w:val="30"/>
          <w:lang w:val="en-US" w:eastAsia="zh-CN"/>
        </w:rPr>
      </w:pPr>
      <w:r>
        <w:rPr>
          <w:rFonts w:hint="eastAsia" w:ascii="宋体" w:hAnsi="宋体"/>
          <w:sz w:val="30"/>
          <w:szCs w:val="30"/>
        </w:rPr>
        <w:t>项目</w:t>
      </w:r>
      <w:r>
        <w:rPr>
          <w:rFonts w:hint="eastAsia" w:ascii="宋体" w:hAnsi="宋体"/>
          <w:sz w:val="30"/>
          <w:szCs w:val="30"/>
          <w:lang w:val="en-US" w:eastAsia="zh-CN"/>
        </w:rPr>
        <w:t>名称:瑞丽市妇幼保健院保安、保洁物业管理服务采购项目</w:t>
      </w:r>
    </w:p>
    <w:p>
      <w:pPr>
        <w:spacing w:line="560" w:lineRule="exact"/>
        <w:ind w:left="1800" w:hanging="1800" w:hangingChars="600"/>
        <w:jc w:val="left"/>
        <w:rPr>
          <w:rFonts w:hint="default" w:ascii="宋体" w:hAnsi="宋体" w:eastAsia="宋体"/>
          <w:sz w:val="30"/>
          <w:szCs w:val="30"/>
          <w:lang w:val="en-US" w:eastAsia="zh-CN"/>
        </w:rPr>
      </w:pPr>
      <w:r>
        <w:rPr>
          <w:rFonts w:hint="eastAsia" w:ascii="宋体" w:hAnsi="宋体"/>
          <w:sz w:val="30"/>
          <w:szCs w:val="30"/>
        </w:rPr>
        <w:t>交易编号:</w:t>
      </w:r>
      <w:r>
        <w:rPr>
          <w:rFonts w:hint="eastAsia" w:ascii="宋体" w:hAnsi="宋体"/>
          <w:sz w:val="30"/>
          <w:szCs w:val="30"/>
          <w:lang w:eastAsia="zh-CN"/>
        </w:rPr>
        <w:t>RLCG（磋）202</w:t>
      </w:r>
      <w:r>
        <w:rPr>
          <w:rFonts w:hint="default" w:ascii="宋体" w:hAnsi="宋体"/>
          <w:sz w:val="30"/>
          <w:szCs w:val="30"/>
          <w:lang w:val="en-US" w:eastAsia="zh-CN"/>
        </w:rPr>
        <w:t>6</w:t>
      </w:r>
      <w:r>
        <w:rPr>
          <w:rFonts w:hint="eastAsia" w:ascii="宋体" w:hAnsi="宋体"/>
          <w:sz w:val="30"/>
          <w:szCs w:val="30"/>
          <w:lang w:eastAsia="zh-CN"/>
        </w:rPr>
        <w:t>-00</w:t>
      </w:r>
      <w:r>
        <w:rPr>
          <w:rFonts w:hint="eastAsia" w:ascii="宋体" w:hAnsi="宋体"/>
          <w:sz w:val="30"/>
          <w:szCs w:val="30"/>
          <w:lang w:val="en-US" w:eastAsia="zh-CN"/>
        </w:rPr>
        <w:t>4</w:t>
      </w:r>
    </w:p>
    <w:p>
      <w:pPr>
        <w:spacing w:line="560" w:lineRule="exact"/>
        <w:ind w:left="1800" w:hanging="1800" w:hangingChars="600"/>
        <w:jc w:val="left"/>
        <w:rPr>
          <w:rFonts w:hint="default" w:ascii="宋体" w:hAnsi="宋体"/>
          <w:sz w:val="30"/>
          <w:szCs w:val="30"/>
          <w:lang w:val="en-US" w:eastAsia="zh-CN"/>
        </w:rPr>
      </w:pPr>
      <w:r>
        <w:rPr>
          <w:rFonts w:hint="eastAsia" w:ascii="宋体" w:hAnsi="宋体"/>
          <w:sz w:val="30"/>
          <w:szCs w:val="30"/>
        </w:rPr>
        <w:t>采 购 人:</w:t>
      </w:r>
      <w:bookmarkStart w:id="0" w:name="OLE_LINK11"/>
      <w:r>
        <w:rPr>
          <w:rFonts w:hint="eastAsia" w:ascii="宋体" w:hAnsi="宋体"/>
          <w:sz w:val="30"/>
          <w:szCs w:val="30"/>
          <w:lang w:val="en-US" w:eastAsia="zh-CN"/>
        </w:rPr>
        <w:t>瑞丽市妇幼保健院</w:t>
      </w:r>
    </w:p>
    <w:bookmarkEnd w:id="0"/>
    <w:p>
      <w:pPr>
        <w:spacing w:line="560" w:lineRule="exact"/>
        <w:ind w:left="1800" w:hanging="1800" w:hangingChars="600"/>
        <w:jc w:val="left"/>
        <w:rPr>
          <w:rFonts w:ascii="宋体" w:hAnsi="宋体"/>
          <w:sz w:val="30"/>
          <w:szCs w:val="30"/>
        </w:rPr>
      </w:pPr>
      <w:r>
        <w:rPr>
          <w:rFonts w:hint="eastAsia" w:ascii="宋体" w:hAnsi="宋体"/>
          <w:sz w:val="30"/>
          <w:szCs w:val="30"/>
        </w:rPr>
        <w:t>代理机构:瑞丽市政府采购和出让中心</w:t>
      </w:r>
    </w:p>
    <w:p>
      <w:pPr>
        <w:spacing w:line="500" w:lineRule="exact"/>
        <w:rPr>
          <w:rFonts w:ascii="宋体" w:hAnsi="宋体" w:cs="宋体"/>
          <w:b/>
          <w:sz w:val="36"/>
          <w:szCs w:val="36"/>
        </w:rPr>
      </w:pPr>
      <w:r>
        <w:rPr>
          <w:rFonts w:hint="eastAsia" w:ascii="宋体" w:hAnsi="宋体" w:cs="宋体"/>
          <w:sz w:val="30"/>
          <w:szCs w:val="30"/>
        </w:rPr>
        <w:t xml:space="preserve">    </w:t>
      </w:r>
      <w:r>
        <w:rPr>
          <w:rFonts w:hint="eastAsia" w:ascii="宋体" w:hAnsi="宋体" w:cs="宋体"/>
          <w:sz w:val="30"/>
          <w:szCs w:val="30"/>
        </w:rPr>
        <w:tab/>
      </w:r>
    </w:p>
    <w:p>
      <w:pPr>
        <w:spacing w:line="500" w:lineRule="exact"/>
        <w:jc w:val="center"/>
        <w:rPr>
          <w:rFonts w:ascii="宋体" w:hAnsi="宋体" w:cs="宋体"/>
          <w:b/>
          <w:sz w:val="36"/>
          <w:szCs w:val="36"/>
        </w:rPr>
        <w:sectPr>
          <w:headerReference r:id="rId5" w:type="first"/>
          <w:headerReference r:id="rId3" w:type="default"/>
          <w:footerReference r:id="rId6" w:type="default"/>
          <w:headerReference r:id="rId4" w:type="even"/>
          <w:footerReference r:id="rId7" w:type="even"/>
          <w:pgSz w:w="11906" w:h="16838"/>
          <w:pgMar w:top="1474" w:right="1134" w:bottom="1474" w:left="1304" w:header="850" w:footer="794" w:gutter="170"/>
          <w:cols w:space="708" w:num="1"/>
          <w:titlePg/>
          <w:docGrid w:type="lines" w:linePitch="312" w:charSpace="0"/>
        </w:sectPr>
      </w:pPr>
    </w:p>
    <w:p>
      <w:pPr>
        <w:spacing w:line="700" w:lineRule="exact"/>
        <w:jc w:val="center"/>
        <w:rPr>
          <w:rFonts w:ascii="宋体" w:hAnsi="宋体" w:cs="宋体"/>
          <w:b/>
          <w:sz w:val="36"/>
          <w:szCs w:val="36"/>
        </w:rPr>
      </w:pPr>
    </w:p>
    <w:p>
      <w:pPr>
        <w:spacing w:line="700" w:lineRule="exact"/>
        <w:jc w:val="center"/>
        <w:rPr>
          <w:rFonts w:ascii="宋体" w:hAnsi="宋体" w:cs="宋体"/>
          <w:b/>
          <w:sz w:val="36"/>
          <w:szCs w:val="36"/>
        </w:rPr>
      </w:pPr>
      <w:r>
        <w:rPr>
          <w:rFonts w:hint="eastAsia" w:ascii="宋体" w:hAnsi="宋体" w:cs="宋体"/>
          <w:b/>
          <w:sz w:val="36"/>
          <w:szCs w:val="36"/>
        </w:rPr>
        <w:t>目   录</w:t>
      </w:r>
    </w:p>
    <w:p>
      <w:pPr>
        <w:spacing w:line="700" w:lineRule="exact"/>
        <w:jc w:val="center"/>
        <w:rPr>
          <w:rFonts w:ascii="宋体" w:hAnsi="宋体" w:cs="宋体"/>
          <w:b/>
          <w:sz w:val="36"/>
          <w:szCs w:val="36"/>
        </w:rPr>
      </w:pPr>
    </w:p>
    <w:p>
      <w:pPr>
        <w:pStyle w:val="14"/>
        <w:tabs>
          <w:tab w:val="right" w:leader="dot" w:pos="9468"/>
        </w:tabs>
        <w:spacing w:line="720" w:lineRule="auto"/>
        <w:rPr>
          <w:rFonts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TOC \o "1-3" \h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"_Toc20977" </w:instrText>
      </w:r>
      <w:r>
        <w:rPr>
          <w:color w:val="auto"/>
          <w:highlight w:val="none"/>
        </w:rPr>
        <w:fldChar w:fldCharType="separate"/>
      </w:r>
      <w:r>
        <w:rPr>
          <w:rFonts w:hint="eastAsia" w:ascii="宋体" w:hAnsi="宋体" w:cs="宋体"/>
          <w:bCs/>
          <w:color w:val="auto"/>
          <w:sz w:val="28"/>
          <w:szCs w:val="28"/>
          <w:highlight w:val="none"/>
        </w:rPr>
        <w:t>第一章   竞争性磋商公告</w:t>
      </w:r>
      <w:r>
        <w:rPr>
          <w:rFonts w:hint="eastAsia" w:ascii="宋体" w:hAnsi="宋体" w:cs="宋体"/>
          <w:color w:val="auto"/>
          <w:sz w:val="28"/>
          <w:szCs w:val="28"/>
          <w:highlight w:val="none"/>
        </w:rPr>
        <w:fldChar w:fldCharType="end"/>
      </w:r>
    </w:p>
    <w:p>
      <w:pPr>
        <w:pStyle w:val="14"/>
        <w:tabs>
          <w:tab w:val="right" w:leader="dot" w:pos="9468"/>
        </w:tabs>
        <w:spacing w:line="720" w:lineRule="auto"/>
        <w:rPr>
          <w:rFonts w:hint="eastAsia" w:ascii="宋体" w:hAnsi="宋体" w:cs="宋体"/>
          <w:color w:val="auto"/>
          <w:kern w:val="44"/>
          <w:sz w:val="28"/>
          <w:szCs w:val="28"/>
          <w:highlight w:val="none"/>
        </w:rPr>
      </w:pPr>
      <w:r>
        <w:rPr>
          <w:rFonts w:hint="eastAsia" w:ascii="宋体" w:hAnsi="宋体" w:cs="宋体"/>
          <w:color w:val="auto"/>
          <w:kern w:val="44"/>
          <w:sz w:val="28"/>
          <w:szCs w:val="28"/>
          <w:highlight w:val="none"/>
        </w:rPr>
        <w:t>第二章   供应商须知</w:t>
      </w:r>
    </w:p>
    <w:p>
      <w:pPr>
        <w:pStyle w:val="14"/>
        <w:tabs>
          <w:tab w:val="right" w:leader="dot" w:pos="9468"/>
        </w:tabs>
        <w:spacing w:line="72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"_Toc14991" </w:instrText>
      </w:r>
      <w:r>
        <w:rPr>
          <w:color w:val="auto"/>
          <w:highlight w:val="none"/>
        </w:rPr>
        <w:fldChar w:fldCharType="separate"/>
      </w:r>
      <w:r>
        <w:rPr>
          <w:rFonts w:hint="eastAsia" w:ascii="宋体" w:hAnsi="宋体" w:cs="宋体"/>
          <w:color w:val="auto"/>
          <w:sz w:val="28"/>
          <w:szCs w:val="28"/>
          <w:highlight w:val="none"/>
        </w:rPr>
        <w:t>第三章   采购项目要求</w:t>
      </w:r>
      <w:r>
        <w:rPr>
          <w:rFonts w:hint="eastAsia" w:ascii="宋体" w:hAnsi="宋体" w:cs="宋体"/>
          <w:color w:val="auto"/>
          <w:sz w:val="28"/>
          <w:szCs w:val="28"/>
          <w:highlight w:val="none"/>
        </w:rPr>
        <w:fldChar w:fldCharType="end"/>
      </w:r>
    </w:p>
    <w:p>
      <w:pPr>
        <w:pStyle w:val="14"/>
        <w:tabs>
          <w:tab w:val="right" w:leader="dot" w:pos="9468"/>
        </w:tabs>
        <w:spacing w:line="720" w:lineRule="auto"/>
        <w:rPr>
          <w:rFonts w:hint="eastAsia" w:ascii="宋体" w:hAnsi="宋体" w:cs="宋体"/>
          <w:bCs/>
          <w:color w:val="auto"/>
          <w:kern w:val="0"/>
          <w:sz w:val="28"/>
          <w:szCs w:val="28"/>
          <w:highlight w:val="none"/>
        </w:rPr>
      </w:pPr>
      <w:r>
        <w:rPr>
          <w:rFonts w:hint="eastAsia" w:ascii="宋体" w:hAnsi="宋体" w:cs="宋体"/>
          <w:bCs/>
          <w:color w:val="auto"/>
          <w:kern w:val="0"/>
          <w:sz w:val="28"/>
          <w:szCs w:val="28"/>
          <w:highlight w:val="none"/>
        </w:rPr>
        <w:t>第四章   评审办法</w:t>
      </w:r>
    </w:p>
    <w:p>
      <w:pPr>
        <w:pStyle w:val="14"/>
        <w:tabs>
          <w:tab w:val="right" w:leader="dot" w:pos="9468"/>
        </w:tabs>
        <w:spacing w:line="72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第五章   合同条款及格式</w:t>
      </w:r>
    </w:p>
    <w:p>
      <w:pPr>
        <w:pStyle w:val="14"/>
        <w:tabs>
          <w:tab w:val="right" w:leader="dot" w:pos="9468"/>
        </w:tabs>
        <w:spacing w:line="72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第六章   响应文件格式</w:t>
      </w:r>
    </w:p>
    <w:p>
      <w:pPr>
        <w:spacing w:line="720" w:lineRule="auto"/>
        <w:jc w:val="center"/>
        <w:rPr>
          <w:rFonts w:ascii="宋体" w:hAnsi="宋体" w:cs="宋体"/>
          <w:b/>
          <w:color w:val="auto"/>
          <w:sz w:val="36"/>
          <w:szCs w:val="36"/>
          <w:highlight w:val="none"/>
        </w:rPr>
      </w:pPr>
      <w:r>
        <w:rPr>
          <w:rFonts w:hint="eastAsia" w:ascii="宋体" w:hAnsi="宋体" w:cs="宋体"/>
          <w:color w:val="auto"/>
          <w:sz w:val="28"/>
          <w:szCs w:val="28"/>
          <w:highlight w:val="none"/>
        </w:rPr>
        <w:fldChar w:fldCharType="end"/>
      </w:r>
    </w:p>
    <w:p>
      <w:pPr>
        <w:spacing w:line="460" w:lineRule="exact"/>
        <w:jc w:val="center"/>
        <w:outlineLvl w:val="0"/>
        <w:rPr>
          <w:rFonts w:ascii="宋体" w:hAnsi="宋体" w:cs="宋体"/>
          <w:b/>
          <w:bCs/>
          <w:color w:val="auto"/>
          <w:sz w:val="32"/>
          <w:szCs w:val="32"/>
          <w:highlight w:val="none"/>
        </w:rPr>
      </w:pPr>
      <w:bookmarkStart w:id="1" w:name="_Toc25757"/>
      <w:bookmarkStart w:id="2" w:name="_Toc2793"/>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7539"/>
        </w:tabs>
        <w:bidi w:val="0"/>
        <w:jc w:val="left"/>
        <w:rPr>
          <w:lang w:val="en-US" w:eastAsia="zh-CN"/>
        </w:rPr>
        <w:sectPr>
          <w:footerReference r:id="rId9" w:type="first"/>
          <w:footerReference r:id="rId8" w:type="default"/>
          <w:pgSz w:w="11906" w:h="16838"/>
          <w:pgMar w:top="1474" w:right="1134" w:bottom="1474" w:left="1304" w:header="850" w:footer="964" w:gutter="170"/>
          <w:cols w:space="708" w:num="1"/>
          <w:titlePg/>
          <w:docGrid w:type="lines" w:linePitch="312" w:charSpace="0"/>
        </w:sectPr>
      </w:pPr>
      <w:r>
        <w:rPr>
          <w:rFonts w:hint="eastAsia"/>
          <w:lang w:val="en-US" w:eastAsia="zh-CN"/>
        </w:rPr>
        <w:tab/>
      </w:r>
    </w:p>
    <w:p>
      <w:pPr>
        <w:spacing w:line="360" w:lineRule="auto"/>
        <w:jc w:val="center"/>
        <w:outlineLvl w:val="0"/>
        <w:rPr>
          <w:rFonts w:ascii="宋体" w:hAnsi="宋体" w:cs="宋体"/>
          <w:color w:val="auto"/>
          <w:sz w:val="32"/>
          <w:szCs w:val="32"/>
          <w:highlight w:val="none"/>
        </w:rPr>
      </w:pPr>
      <w:bookmarkStart w:id="3" w:name="_Toc17793"/>
      <w:bookmarkStart w:id="4" w:name="_Toc20977"/>
      <w:r>
        <w:rPr>
          <w:rFonts w:hint="eastAsia" w:ascii="宋体" w:hAnsi="宋体" w:cs="宋体"/>
          <w:b/>
          <w:bCs/>
          <w:color w:val="auto"/>
          <w:sz w:val="32"/>
          <w:szCs w:val="32"/>
          <w:highlight w:val="none"/>
        </w:rPr>
        <w:t>第一章  竞争性磋商公告</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highlight w:val="none"/>
        </w:rPr>
        <w:t xml:space="preserve">  </w:t>
      </w:r>
      <w:bookmarkStart w:id="5" w:name="_Toc14107"/>
      <w:bookmarkStart w:id="6" w:name="_Toc19710"/>
      <w:r>
        <w:rPr>
          <w:rFonts w:hint="eastAsia" w:ascii="宋体" w:hAnsi="宋体" w:cs="宋体"/>
          <w:color w:val="auto"/>
          <w:sz w:val="24"/>
          <w:highlight w:val="none"/>
        </w:rPr>
        <w:t xml:space="preserve">  </w:t>
      </w:r>
      <w:r>
        <w:rPr>
          <w:rFonts w:hint="eastAsia" w:ascii="宋体" w:hAnsi="宋体" w:eastAsia="宋体" w:cs="宋体"/>
          <w:b w:val="0"/>
          <w:bCs w:val="0"/>
          <w:color w:val="auto"/>
          <w:sz w:val="28"/>
          <w:szCs w:val="28"/>
          <w:highlight w:val="none"/>
          <w:lang w:val="en-US" w:eastAsia="zh-CN"/>
        </w:rPr>
        <w:t xml:space="preserve">  瑞丽市政府采购和出让中心</w:t>
      </w:r>
      <w:r>
        <w:rPr>
          <w:rFonts w:hint="eastAsia" w:ascii="宋体" w:hAnsi="宋体" w:eastAsia="宋体" w:cs="宋体"/>
          <w:b w:val="0"/>
          <w:bCs w:val="0"/>
          <w:color w:val="auto"/>
          <w:sz w:val="28"/>
          <w:szCs w:val="28"/>
          <w:highlight w:val="none"/>
          <w:lang w:val="zh-CN" w:eastAsia="zh-CN"/>
        </w:rPr>
        <w:t>受</w:t>
      </w:r>
      <w:r>
        <w:rPr>
          <w:rFonts w:hint="eastAsia" w:ascii="宋体" w:hAnsi="宋体" w:cs="宋体"/>
          <w:b w:val="0"/>
          <w:bCs w:val="0"/>
          <w:color w:val="auto"/>
          <w:sz w:val="28"/>
          <w:szCs w:val="28"/>
          <w:highlight w:val="none"/>
          <w:lang w:val="zh-CN" w:eastAsia="zh-CN"/>
        </w:rPr>
        <w:t>瑞丽市妇幼保健院</w:t>
      </w:r>
      <w:r>
        <w:rPr>
          <w:rFonts w:hint="eastAsia" w:ascii="宋体" w:hAnsi="宋体" w:eastAsia="宋体" w:cs="宋体"/>
          <w:b w:val="0"/>
          <w:bCs w:val="0"/>
          <w:color w:val="auto"/>
          <w:sz w:val="28"/>
          <w:szCs w:val="28"/>
          <w:highlight w:val="none"/>
          <w:lang w:val="en-US" w:eastAsia="zh-CN"/>
        </w:rPr>
        <w:t>委托，根据《中华人民共和国政府采购法》《中华人民共和国政府采购法实施条例》《政府采购竞争性磋商采购方式管理暂行办法》等及省、市的有关规定，以竞争性磋商方式采购以下项目，欢迎具有合法有效经营资格且有合同履行能力的供应商参加磋商。</w:t>
      </w:r>
    </w:p>
    <w:p>
      <w:pPr>
        <w:widowControl/>
        <w:numPr>
          <w:ilvl w:val="0"/>
          <w:numId w:val="1"/>
        </w:numPr>
        <w:spacing w:line="360" w:lineRule="auto"/>
        <w:ind w:left="630" w:leftChars="0" w:firstLineChars="0"/>
        <w:rPr>
          <w:rFonts w:ascii="宋体" w:hAnsi="宋体" w:cs="宋体"/>
          <w:color w:val="auto"/>
          <w:sz w:val="28"/>
          <w:szCs w:val="28"/>
          <w:highlight w:val="none"/>
        </w:rPr>
      </w:pPr>
      <w:r>
        <w:rPr>
          <w:rFonts w:hint="eastAsia" w:ascii="宋体" w:hAnsi="宋体" w:cs="宋体"/>
          <w:b/>
          <w:bCs/>
          <w:color w:val="auto"/>
          <w:sz w:val="28"/>
          <w:szCs w:val="28"/>
          <w:highlight w:val="none"/>
        </w:rPr>
        <w:t>项目简介</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（一）项目名称：瑞丽市妇幼保健院保安、保洁物业管理服务采购项目</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（二）交易编号：RLCG（磋）202</w:t>
      </w:r>
      <w:r>
        <w:rPr>
          <w:rFonts w:hint="default" w:ascii="宋体" w:hAnsi="宋体" w:cs="宋体"/>
          <w:color w:val="auto"/>
          <w:sz w:val="28"/>
          <w:szCs w:val="28"/>
          <w:highlight w:val="none"/>
          <w:lang w:val="en-US" w:eastAsia="zh-CN"/>
        </w:rPr>
        <w:t>6</w:t>
      </w:r>
      <w:r>
        <w:rPr>
          <w:rFonts w:hint="eastAsia" w:ascii="宋体" w:hAnsi="宋体" w:cs="宋体"/>
          <w:color w:val="auto"/>
          <w:sz w:val="28"/>
          <w:szCs w:val="28"/>
          <w:highlight w:val="none"/>
          <w:lang w:val="en-US" w:eastAsia="zh-CN"/>
        </w:rPr>
        <w:t>-004</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（三）采购预算（最高限价）：56</w:t>
      </w:r>
      <w:r>
        <w:rPr>
          <w:rFonts w:hint="default" w:ascii="宋体" w:hAnsi="宋体" w:cs="宋体"/>
          <w:color w:val="auto"/>
          <w:sz w:val="28"/>
          <w:szCs w:val="28"/>
          <w:highlight w:val="none"/>
          <w:lang w:val="en-US" w:eastAsia="zh-CN"/>
        </w:rPr>
        <w:t>万元/</w:t>
      </w:r>
      <w:r>
        <w:rPr>
          <w:rFonts w:hint="eastAsia" w:ascii="宋体" w:hAnsi="宋体" w:cs="宋体"/>
          <w:color w:val="auto"/>
          <w:sz w:val="28"/>
          <w:szCs w:val="28"/>
          <w:highlight w:val="none"/>
          <w:lang w:val="en-US" w:eastAsia="zh-CN"/>
        </w:rPr>
        <w:t>年</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（四）采购内容：</w:t>
      </w:r>
      <w:bookmarkStart w:id="7" w:name="OLE_LINK7"/>
      <w:r>
        <w:rPr>
          <w:rFonts w:hint="eastAsia" w:ascii="宋体" w:hAnsi="宋体" w:cs="宋体"/>
          <w:color w:val="auto"/>
          <w:sz w:val="28"/>
          <w:szCs w:val="28"/>
          <w:highlight w:val="none"/>
          <w:lang w:val="en-US" w:eastAsia="zh-CN"/>
        </w:rPr>
        <w:t>采购保安服务9人</w:t>
      </w:r>
      <w:r>
        <w:rPr>
          <w:rFonts w:hint="default" w:ascii="宋体" w:hAnsi="宋体" w:cs="宋体"/>
          <w:color w:val="auto"/>
          <w:sz w:val="28"/>
          <w:szCs w:val="28"/>
          <w:highlight w:val="none"/>
          <w:lang w:val="en-US" w:eastAsia="zh-CN"/>
        </w:rPr>
        <w:t>、保洁</w:t>
      </w:r>
      <w:r>
        <w:rPr>
          <w:rFonts w:hint="eastAsia" w:ascii="宋体" w:hAnsi="宋体" w:cs="宋体"/>
          <w:color w:val="auto"/>
          <w:sz w:val="28"/>
          <w:szCs w:val="28"/>
          <w:highlight w:val="none"/>
          <w:lang w:val="en-US" w:eastAsia="zh-CN"/>
        </w:rPr>
        <w:t>服务11人</w:t>
      </w:r>
      <w:r>
        <w:rPr>
          <w:rFonts w:hint="default" w:ascii="宋体" w:hAnsi="宋体" w:cs="宋体"/>
          <w:color w:val="auto"/>
          <w:sz w:val="28"/>
          <w:szCs w:val="28"/>
          <w:highlight w:val="none"/>
          <w:lang w:val="en-US" w:eastAsia="zh-CN"/>
        </w:rPr>
        <w:t>。</w:t>
      </w:r>
      <w:bookmarkEnd w:id="7"/>
      <w:r>
        <w:rPr>
          <w:rFonts w:hint="default"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具体内容详见磋商文件第三章采购项目要求)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（五）服务期限：3年(一采三年，合同一年一签）</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（六）服务地点：瑞丽市妇幼保健院（</w:t>
      </w:r>
      <w:r>
        <w:rPr>
          <w:rFonts w:hint="eastAsia" w:ascii="宋体" w:hAnsi="宋体" w:eastAsia="宋体" w:cs="宋体"/>
          <w:color w:val="auto"/>
          <w:sz w:val="28"/>
          <w:szCs w:val="28"/>
          <w:highlight w:val="none"/>
          <w:lang w:val="en-US" w:eastAsia="zh-CN"/>
        </w:rPr>
        <w:t>德宏州瑞丽市团结路86号）</w:t>
      </w:r>
    </w:p>
    <w:p>
      <w:pPr>
        <w:keepNext w:val="0"/>
        <w:keepLines w:val="0"/>
        <w:pageBreakBefore w:val="0"/>
        <w:kinsoku/>
        <w:wordWrap/>
        <w:overflowPunct/>
        <w:topLinePunct w:val="0"/>
        <w:autoSpaceDE/>
        <w:autoSpaceDN/>
        <w:bidi w:val="0"/>
        <w:adjustRightInd/>
        <w:snapToGrid/>
        <w:spacing w:line="56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（七）付款方式：合同签订后，按月支付，共分12个月支付，每月采购人对中标人合同执行情况进行考核（考核内容见附件：保安保洁工作考核表），考核结果≥90分的，支付当月费用的100%；考核结果≥80分＜90</w:t>
      </w:r>
      <w:r>
        <w:rPr>
          <w:rFonts w:hint="eastAsia" w:ascii="宋体" w:hAnsi="宋体" w:cs="宋体"/>
          <w:color w:val="auto"/>
          <w:sz w:val="28"/>
          <w:szCs w:val="28"/>
          <w:highlight w:val="none"/>
          <w:lang w:val="en-US" w:eastAsia="zh-CN"/>
        </w:rPr>
        <w:t>分</w:t>
      </w:r>
      <w:r>
        <w:rPr>
          <w:rFonts w:hint="eastAsia" w:ascii="宋体" w:hAnsi="宋体" w:eastAsia="宋体" w:cs="宋体"/>
          <w:color w:val="auto"/>
          <w:sz w:val="28"/>
          <w:szCs w:val="28"/>
          <w:highlight w:val="none"/>
          <w:lang w:val="en-US" w:eastAsia="zh-CN"/>
        </w:rPr>
        <w:t>的，支付当月费用的90%；考核结果≥70分＜80分的，支付当月费用的80%；考核结果≥60分＜70分的，支付当月费用的70%；考核结果≥50分＜60分的，支付当月费用的60%；考核结果＜50分的，支付当月费用的50%。根据考核结果与中标人实际结算服务费用，中标人确认无误后开</w:t>
      </w:r>
      <w:r>
        <w:rPr>
          <w:rFonts w:hint="eastAsia" w:ascii="宋体" w:hAnsi="宋体" w:cs="宋体"/>
          <w:color w:val="auto"/>
          <w:sz w:val="28"/>
          <w:szCs w:val="28"/>
          <w:highlight w:val="none"/>
          <w:lang w:val="en-US" w:eastAsia="zh-CN"/>
        </w:rPr>
        <w:t>具</w:t>
      </w:r>
      <w:r>
        <w:rPr>
          <w:rFonts w:hint="eastAsia" w:ascii="宋体" w:hAnsi="宋体" w:eastAsia="宋体" w:cs="宋体"/>
          <w:color w:val="auto"/>
          <w:sz w:val="28"/>
          <w:szCs w:val="28"/>
          <w:highlight w:val="none"/>
          <w:lang w:val="en-US" w:eastAsia="zh-CN"/>
        </w:rPr>
        <w:t>合法票据，采购人在接受中标人票据后的7个工作日内将上月实际发生的所有后勤物业管理（考核后的）费用支付给中标人。</w:t>
      </w:r>
    </w:p>
    <w:p>
      <w:pPr>
        <w:widowControl/>
        <w:spacing w:line="360" w:lineRule="auto"/>
        <w:ind w:left="-210"/>
        <w:rPr>
          <w:rFonts w:ascii="宋体" w:hAnsi="宋体" w:cs="宋体"/>
          <w:b/>
          <w:bCs/>
          <w:color w:val="auto"/>
          <w:sz w:val="28"/>
          <w:szCs w:val="28"/>
          <w:highlight w:val="none"/>
        </w:rPr>
      </w:pPr>
      <w:r>
        <w:rPr>
          <w:rFonts w:hint="eastAsia" w:ascii="宋体" w:hAnsi="宋体" w:cs="宋体"/>
          <w:b/>
          <w:bCs/>
          <w:color w:val="auto"/>
          <w:sz w:val="28"/>
          <w:szCs w:val="28"/>
          <w:highlight w:val="none"/>
        </w:rPr>
        <w:t>二、供应商资格条件</w:t>
      </w:r>
    </w:p>
    <w:p>
      <w:pPr>
        <w:spacing w:line="360" w:lineRule="auto"/>
        <w:ind w:firstLine="560" w:firstLineChars="200"/>
        <w:jc w:val="left"/>
        <w:rPr>
          <w:rFonts w:hint="eastAsia" w:ascii="宋体" w:hAnsi="宋体" w:eastAsia="宋体" w:cs="宋体"/>
          <w:color w:val="auto"/>
          <w:sz w:val="28"/>
          <w:szCs w:val="28"/>
          <w:highlight w:val="none"/>
          <w:lang w:eastAsia="zh-CN"/>
        </w:rPr>
      </w:pPr>
      <w:bookmarkStart w:id="8" w:name="OLE_LINK4"/>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磋商响应人应符合《中华人民共和国政府采购法》第二十二条规定的条件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提供下列证明材料：</w:t>
      </w:r>
    </w:p>
    <w:p>
      <w:pPr>
        <w:spacing w:line="360" w:lineRule="auto"/>
        <w:ind w:firstLine="562" w:firstLineChars="200"/>
        <w:jc w:val="left"/>
        <w:rPr>
          <w:rFonts w:hint="eastAsia"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1、具有</w:t>
      </w:r>
      <w:r>
        <w:rPr>
          <w:rFonts w:hint="eastAsia" w:ascii="宋体" w:hAnsi="宋体" w:eastAsia="宋体" w:cs="宋体"/>
          <w:b/>
          <w:bCs/>
          <w:color w:val="auto"/>
          <w:sz w:val="28"/>
          <w:szCs w:val="28"/>
          <w:highlight w:val="none"/>
        </w:rPr>
        <w:t>独立承担民事责任的能力：</w:t>
      </w:r>
      <w:r>
        <w:rPr>
          <w:rFonts w:hint="eastAsia" w:ascii="宋体" w:hAnsi="宋体" w:cs="宋体"/>
          <w:sz w:val="28"/>
          <w:szCs w:val="28"/>
          <w:highlight w:val="none"/>
          <w:lang w:val="en-US" w:eastAsia="zh-CN"/>
        </w:rPr>
        <w:t>提供自然人有效身份证明或法人或者其他组织有效的营业执照等证明文件。</w:t>
      </w:r>
    </w:p>
    <w:p>
      <w:pPr>
        <w:spacing w:line="360" w:lineRule="auto"/>
        <w:ind w:firstLine="562" w:firstLineChars="200"/>
        <w:jc w:val="left"/>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财务要求：</w:t>
      </w:r>
      <w:r>
        <w:rPr>
          <w:rFonts w:hint="eastAsia" w:ascii="宋体" w:hAnsi="宋体" w:eastAsia="宋体" w:cs="宋体"/>
          <w:color w:val="auto"/>
          <w:sz w:val="28"/>
          <w:szCs w:val="28"/>
          <w:highlight w:val="none"/>
          <w:lang w:val="en-US" w:eastAsia="zh-CN"/>
        </w:rPr>
        <w:t>提供证明材料，内容可为以下两者之一：①提供202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年或202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年的财务状况报告（至少包含审计报告、资产负债表、利润表、现金流量表），成立未满1年或成立至今未产生经营活动的投标人</w:t>
      </w:r>
      <w:r>
        <w:rPr>
          <w:rFonts w:hint="eastAsia" w:ascii="宋体" w:hAnsi="宋体" w:eastAsia="宋体" w:cs="宋体"/>
          <w:color w:val="auto"/>
          <w:sz w:val="28"/>
          <w:szCs w:val="28"/>
          <w:highlight w:val="none"/>
        </w:rPr>
        <w:t>提供自成立至今的财务报表或财务情况说明；②提供自投标文件提交截止时间前三个月内基本开户银行出具的资信证明。</w:t>
      </w:r>
    </w:p>
    <w:p>
      <w:pPr>
        <w:spacing w:line="360" w:lineRule="auto"/>
        <w:ind w:firstLine="562" w:firstLineChars="200"/>
        <w:rPr>
          <w:rFonts w:hint="eastAsia" w:ascii="宋体" w:hAnsi="宋体" w:cs="宋体"/>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税收和社保要求：</w:t>
      </w:r>
      <w:r>
        <w:rPr>
          <w:rFonts w:hint="eastAsia" w:ascii="宋体" w:hAnsi="宋体" w:eastAsia="宋体" w:cs="宋体"/>
          <w:sz w:val="28"/>
          <w:szCs w:val="28"/>
          <w:highlight w:val="none"/>
          <w:lang w:val="en-US" w:eastAsia="zh-CN"/>
        </w:rPr>
        <w:t>提供202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月至今任意一个月依法缴纳税收和社会保障资金的缴纳凭证（如公司成立未满一个月的提供成立以来的税收和社会保障资金缴纳凭证或相关情况说明；依法免税或不需要缴纳社会保障资金的投标响应人，应提供相应文件或情况说明证明其依法免税或不需要缴纳社会保障资金）的材料。</w:t>
      </w:r>
    </w:p>
    <w:p>
      <w:pPr>
        <w:spacing w:line="360" w:lineRule="auto"/>
        <w:ind w:firstLine="562" w:firstLineChars="200"/>
        <w:jc w:val="left"/>
        <w:rPr>
          <w:rFonts w:hint="eastAsia" w:ascii="宋体" w:hAnsi="宋体" w:cs="宋体"/>
          <w:sz w:val="28"/>
          <w:szCs w:val="28"/>
          <w:highlight w:val="none"/>
          <w:lang w:val="en-US" w:eastAsia="zh-CN"/>
        </w:rPr>
      </w:pP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无重大违法记录声明：</w:t>
      </w:r>
      <w:r>
        <w:rPr>
          <w:rFonts w:hint="eastAsia" w:ascii="宋体" w:hAnsi="宋体" w:cs="宋体"/>
          <w:sz w:val="28"/>
          <w:szCs w:val="28"/>
          <w:highlight w:val="none"/>
          <w:lang w:val="en-US" w:eastAsia="zh-CN"/>
        </w:rPr>
        <w:t>参与本次政府采购活动前三年内（自本项目公告发布之日起前3年内），在经营活动中没有重大违法记录（重大违法记录是指投标响应人因违法经营受到刑事处罚或者责令停产停业、吊销许可证或者执照、较大数额罚款等行政处罚）的书面声明。</w:t>
      </w:r>
    </w:p>
    <w:p>
      <w:pPr>
        <w:spacing w:line="360" w:lineRule="auto"/>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专业技术能力：</w:t>
      </w:r>
      <w:r>
        <w:rPr>
          <w:rFonts w:hint="eastAsia" w:ascii="宋体" w:hAnsi="宋体" w:cs="宋体"/>
          <w:sz w:val="28"/>
          <w:szCs w:val="28"/>
          <w:highlight w:val="none"/>
        </w:rPr>
        <w:t>提供具备履行合同所必需的专业技术能力的证明材料或承诺书。</w:t>
      </w:r>
    </w:p>
    <w:p>
      <w:pPr>
        <w:spacing w:line="360" w:lineRule="auto"/>
        <w:ind w:firstLine="562" w:firstLineChars="200"/>
        <w:rPr>
          <w:rFonts w:hint="eastAsia" w:ascii="宋体" w:hAnsi="宋体" w:cs="宋体"/>
          <w:sz w:val="28"/>
          <w:szCs w:val="28"/>
          <w:highlight w:val="none"/>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信誉要求：</w:t>
      </w:r>
      <w:r>
        <w:rPr>
          <w:rFonts w:hint="eastAsia" w:ascii="宋体" w:hAnsi="宋体" w:cs="宋体"/>
          <w:sz w:val="28"/>
          <w:szCs w:val="28"/>
          <w:highlight w:val="none"/>
        </w:rPr>
        <w:t>①在“信用中国http://www.creditchina.gov.cn”</w:t>
      </w:r>
      <w:r>
        <w:rPr>
          <w:rFonts w:hint="eastAsia" w:ascii="宋体" w:hAnsi="宋体" w:cs="宋体"/>
          <w:sz w:val="28"/>
          <w:szCs w:val="28"/>
          <w:highlight w:val="none"/>
          <w:lang w:eastAsia="zh-CN"/>
        </w:rPr>
        <w:t>、</w:t>
      </w:r>
      <w:r>
        <w:rPr>
          <w:rFonts w:hint="eastAsia" w:ascii="宋体" w:hAnsi="宋体" w:cs="宋体"/>
          <w:sz w:val="28"/>
          <w:szCs w:val="28"/>
          <w:highlight w:val="none"/>
        </w:rPr>
        <w:t>中未被列入：失信被执行人、重大税收违法案件当事人名单、政府采购严重违法失信行为；②在“中国政府采购网http://www.ccgp.gov.cn/”中未被列入：政府采购严重违法失信行为记录名单；（注：以上网站查询均由采购人或采购代理机构在资格评审时查询，投标人无须提供，若供应商有不良信誉，视为不满足资格要求。）</w:t>
      </w:r>
    </w:p>
    <w:p>
      <w:pPr>
        <w:spacing w:line="360" w:lineRule="auto"/>
        <w:ind w:firstLine="420"/>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落实政府采购政策需满足的资格要求</w:t>
      </w:r>
      <w:r>
        <w:rPr>
          <w:rFonts w:hint="default" w:ascii="宋体" w:hAnsi="宋体" w:eastAsia="宋体" w:cs="宋体"/>
          <w:b/>
          <w:bCs/>
          <w:color w:val="auto"/>
          <w:sz w:val="28"/>
          <w:szCs w:val="28"/>
          <w:highlight w:val="none"/>
          <w:lang w:val="en-US" w:eastAsia="zh-CN"/>
        </w:rPr>
        <w:t>：</w:t>
      </w:r>
      <w:r>
        <w:rPr>
          <w:rFonts w:hint="default" w:ascii="宋体" w:hAnsi="宋体" w:cs="宋体"/>
          <w:sz w:val="28"/>
          <w:szCs w:val="28"/>
          <w:highlight w:val="none"/>
          <w:lang w:val="en-US" w:eastAsia="zh-CN"/>
        </w:rPr>
        <w:t>本项目专门面向中小</w:t>
      </w:r>
      <w:r>
        <w:rPr>
          <w:rFonts w:hint="eastAsia" w:ascii="宋体" w:hAnsi="宋体" w:cs="宋体"/>
          <w:sz w:val="28"/>
          <w:szCs w:val="28"/>
          <w:highlight w:val="none"/>
          <w:lang w:val="en-US" w:eastAsia="zh-CN"/>
        </w:rPr>
        <w:t>微</w:t>
      </w:r>
      <w:r>
        <w:rPr>
          <w:rFonts w:hint="default" w:ascii="宋体" w:hAnsi="宋体" w:cs="宋体"/>
          <w:sz w:val="28"/>
          <w:szCs w:val="28"/>
          <w:highlight w:val="none"/>
          <w:lang w:val="en-US" w:eastAsia="zh-CN"/>
        </w:rPr>
        <w:t>企业</w:t>
      </w:r>
      <w:r>
        <w:rPr>
          <w:rFonts w:hint="eastAsia" w:ascii="宋体" w:hAnsi="宋体" w:cs="宋体"/>
          <w:sz w:val="28"/>
          <w:szCs w:val="28"/>
          <w:highlight w:val="none"/>
          <w:lang w:val="en-US" w:eastAsia="zh-CN"/>
        </w:rPr>
        <w:t>采购，</w:t>
      </w:r>
      <w:r>
        <w:rPr>
          <w:rFonts w:hint="eastAsia" w:ascii="宋体" w:hAnsi="宋体" w:cs="宋体"/>
          <w:sz w:val="28"/>
          <w:szCs w:val="28"/>
          <w:highlight w:val="none"/>
        </w:rPr>
        <w:t>须</w:t>
      </w:r>
      <w:bookmarkStart w:id="9" w:name="OLE_LINK6"/>
      <w:r>
        <w:rPr>
          <w:rFonts w:hint="eastAsia" w:ascii="宋体" w:hAnsi="宋体" w:cs="宋体"/>
          <w:sz w:val="28"/>
          <w:szCs w:val="28"/>
          <w:highlight w:val="none"/>
        </w:rPr>
        <w:t>按要求填写《中小企业声明函》</w:t>
      </w:r>
      <w:bookmarkEnd w:id="9"/>
      <w:r>
        <w:rPr>
          <w:rFonts w:hint="eastAsia" w:ascii="宋体" w:hAnsi="宋体" w:cs="宋体"/>
          <w:sz w:val="28"/>
          <w:szCs w:val="28"/>
          <w:highlight w:val="none"/>
        </w:rPr>
        <w:t>（残疾人福利性单位声明函、监狱企业证明文件），监狱企业、残疾人福利性单位视同小型或微型企业。</w:t>
      </w:r>
      <w:r>
        <w:rPr>
          <w:rFonts w:hint="eastAsia" w:ascii="宋体" w:hAnsi="宋体" w:eastAsia="宋体" w:cs="宋体"/>
          <w:b/>
          <w:bCs/>
          <w:sz w:val="28"/>
          <w:szCs w:val="28"/>
          <w:highlight w:val="none"/>
        </w:rPr>
        <w:t>本项目不再执行价格评审优惠的扶持政策。</w:t>
      </w:r>
    </w:p>
    <w:bookmarkEnd w:id="8"/>
    <w:p>
      <w:pPr>
        <w:widowControl/>
        <w:spacing w:line="360" w:lineRule="auto"/>
        <w:ind w:left="-21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三、本项目不接受联合体磋商</w:t>
      </w:r>
      <w:bookmarkStart w:id="10" w:name="_Toc28359004"/>
      <w:bookmarkStart w:id="11" w:name="_Toc35393792"/>
      <w:bookmarkStart w:id="12" w:name="_Toc35393623"/>
      <w:bookmarkStart w:id="13" w:name="_Toc28359081"/>
    </w:p>
    <w:p>
      <w:pPr>
        <w:widowControl/>
        <w:spacing w:line="360" w:lineRule="auto"/>
        <w:ind w:left="-21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kern w:val="0"/>
          <w:sz w:val="28"/>
          <w:szCs w:val="28"/>
          <w:highlight w:val="none"/>
          <w:lang w:val="en-US" w:eastAsia="zh-CN" w:bidi="ar-SA"/>
        </w:rPr>
        <w:t>获取磋商文件</w:t>
      </w:r>
      <w:bookmarkEnd w:id="10"/>
      <w:bookmarkEnd w:id="11"/>
      <w:bookmarkEnd w:id="12"/>
      <w:bookmarkEnd w:id="13"/>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bookmarkStart w:id="14" w:name="_Toc19351"/>
      <w:bookmarkStart w:id="15" w:name="_Toc8368"/>
      <w:r>
        <w:rPr>
          <w:rFonts w:hint="eastAsia" w:ascii="宋体" w:hAnsi="宋体" w:eastAsia="宋体" w:cs="宋体"/>
          <w:bCs/>
          <w:color w:val="auto"/>
          <w:kern w:val="0"/>
          <w:sz w:val="28"/>
          <w:szCs w:val="28"/>
          <w:highlight w:val="none"/>
          <w:lang w:val="en-US" w:eastAsia="zh-CN" w:bidi="ar-SA"/>
        </w:rPr>
        <w:t>时间：2026年</w:t>
      </w:r>
      <w:r>
        <w:rPr>
          <w:rFonts w:hint="eastAsia" w:ascii="宋体" w:hAnsi="宋体" w:cs="宋体"/>
          <w:bCs/>
          <w:color w:val="auto"/>
          <w:kern w:val="0"/>
          <w:sz w:val="28"/>
          <w:szCs w:val="28"/>
          <w:highlight w:val="none"/>
          <w:lang w:val="en-US" w:eastAsia="zh-CN" w:bidi="ar-SA"/>
        </w:rPr>
        <w:t>5</w:t>
      </w:r>
      <w:r>
        <w:rPr>
          <w:rFonts w:hint="eastAsia" w:ascii="宋体" w:hAnsi="宋体" w:eastAsia="宋体" w:cs="宋体"/>
          <w:bCs/>
          <w:color w:val="auto"/>
          <w:kern w:val="0"/>
          <w:sz w:val="28"/>
          <w:szCs w:val="28"/>
          <w:highlight w:val="none"/>
          <w:lang w:val="en-US" w:eastAsia="zh-CN" w:bidi="ar-SA"/>
        </w:rPr>
        <w:t>月</w:t>
      </w:r>
      <w:r>
        <w:rPr>
          <w:rFonts w:hint="default" w:ascii="宋体" w:hAnsi="宋体" w:cs="宋体"/>
          <w:bCs/>
          <w:color w:val="auto"/>
          <w:kern w:val="0"/>
          <w:sz w:val="28"/>
          <w:szCs w:val="28"/>
          <w:highlight w:val="none"/>
          <w:lang w:val="en-US" w:eastAsia="zh-CN" w:bidi="ar-SA"/>
        </w:rPr>
        <w:t>18</w:t>
      </w:r>
      <w:r>
        <w:rPr>
          <w:rFonts w:hint="eastAsia" w:ascii="宋体" w:hAnsi="宋体" w:eastAsia="宋体" w:cs="宋体"/>
          <w:bCs/>
          <w:color w:val="auto"/>
          <w:kern w:val="0"/>
          <w:sz w:val="28"/>
          <w:szCs w:val="28"/>
          <w:highlight w:val="none"/>
          <w:lang w:val="en-US" w:eastAsia="zh-CN" w:bidi="ar-SA"/>
        </w:rPr>
        <w:t>日至2026年</w:t>
      </w:r>
      <w:r>
        <w:rPr>
          <w:rFonts w:hint="eastAsia" w:ascii="宋体" w:hAnsi="宋体" w:cs="宋体"/>
          <w:bCs/>
          <w:color w:val="auto"/>
          <w:kern w:val="0"/>
          <w:sz w:val="28"/>
          <w:szCs w:val="28"/>
          <w:highlight w:val="none"/>
          <w:lang w:val="en-US" w:eastAsia="zh-CN" w:bidi="ar-SA"/>
        </w:rPr>
        <w:t>5</w:t>
      </w:r>
      <w:r>
        <w:rPr>
          <w:rFonts w:hint="eastAsia" w:ascii="宋体" w:hAnsi="宋体" w:eastAsia="宋体" w:cs="宋体"/>
          <w:bCs/>
          <w:color w:val="auto"/>
          <w:kern w:val="0"/>
          <w:sz w:val="28"/>
          <w:szCs w:val="28"/>
          <w:highlight w:val="none"/>
          <w:lang w:val="en-US" w:eastAsia="zh-CN" w:bidi="ar-SA"/>
        </w:rPr>
        <w:t>月</w:t>
      </w:r>
      <w:r>
        <w:rPr>
          <w:rFonts w:hint="default" w:ascii="宋体" w:hAnsi="宋体" w:cs="宋体"/>
          <w:bCs/>
          <w:color w:val="auto"/>
          <w:kern w:val="0"/>
          <w:sz w:val="28"/>
          <w:szCs w:val="28"/>
          <w:highlight w:val="none"/>
          <w:lang w:val="en-US" w:eastAsia="zh-CN" w:bidi="ar-SA"/>
        </w:rPr>
        <w:t>25</w:t>
      </w:r>
      <w:r>
        <w:rPr>
          <w:rFonts w:hint="eastAsia" w:ascii="宋体" w:hAnsi="宋体" w:eastAsia="宋体" w:cs="宋体"/>
          <w:bCs/>
          <w:color w:val="auto"/>
          <w:kern w:val="0"/>
          <w:sz w:val="28"/>
          <w:szCs w:val="28"/>
          <w:highlight w:val="none"/>
          <w:lang w:val="en-US" w:eastAsia="zh-CN" w:bidi="ar-SA"/>
        </w:rPr>
        <w:t>日（提供期限自本公告发布之日起不得少于5个工作日）。</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地点：网上获取</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方式：登录云南省政府采购云平台（https://login.zcygov.cn），网上获取磋商文件及其他采购资料（此为获取磋商文件的唯一方式）；未办理企业CA数字证书的供应商请在报名截止时间前办理企业CA数字证书，并在云南省政府采购云平台（https://login.zcygov.cn）自行下载电子磋商文件。</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售价：0元</w:t>
      </w:r>
      <w:r>
        <w:rPr>
          <w:rFonts w:hint="eastAsia" w:ascii="宋体" w:hAnsi="宋体" w:eastAsia="宋体" w:cs="宋体"/>
          <w:bCs/>
          <w:color w:val="auto"/>
          <w:kern w:val="0"/>
          <w:sz w:val="28"/>
          <w:szCs w:val="28"/>
          <w:highlight w:val="none"/>
          <w:lang w:val="en-US" w:eastAsia="zh-CN" w:bidi="ar-SA"/>
        </w:rPr>
        <w:tab/>
      </w:r>
    </w:p>
    <w:p>
      <w:pPr>
        <w:widowControl/>
        <w:spacing w:line="360" w:lineRule="auto"/>
        <w:ind w:left="-210"/>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五</w:t>
      </w:r>
      <w:r>
        <w:rPr>
          <w:rFonts w:hint="eastAsia" w:ascii="宋体" w:hAnsi="宋体" w:eastAsia="宋体" w:cs="宋体"/>
          <w:bCs/>
          <w:color w:val="auto"/>
          <w:kern w:val="0"/>
          <w:sz w:val="28"/>
          <w:szCs w:val="28"/>
          <w:highlight w:val="none"/>
          <w:lang w:val="en-US" w:eastAsia="zh-CN" w:bidi="ar-SA"/>
        </w:rPr>
        <w:t>、</w:t>
      </w:r>
      <w:r>
        <w:rPr>
          <w:rFonts w:hint="eastAsia" w:ascii="宋体" w:hAnsi="宋体" w:eastAsia="宋体" w:cs="宋体"/>
          <w:b/>
          <w:bCs w:val="0"/>
          <w:color w:val="auto"/>
          <w:kern w:val="0"/>
          <w:sz w:val="28"/>
          <w:szCs w:val="28"/>
          <w:highlight w:val="none"/>
          <w:lang w:val="en-US" w:eastAsia="zh-CN" w:bidi="ar-SA"/>
        </w:rPr>
        <w:t>开标时间和地点、远程解密时间、电子签名确认时间</w:t>
      </w:r>
    </w:p>
    <w:p>
      <w:pPr>
        <w:spacing w:line="360" w:lineRule="auto"/>
        <w:ind w:firstLine="560" w:firstLineChars="200"/>
        <w:jc w:val="left"/>
        <w:rPr>
          <w:rFonts w:hint="eastAsia" w:ascii="宋体" w:hAnsi="宋体" w:cs="宋体"/>
          <w:sz w:val="28"/>
          <w:szCs w:val="28"/>
          <w:highlight w:val="none"/>
          <w:lang w:val="en-US" w:eastAsia="zh-CN"/>
        </w:rPr>
      </w:pPr>
      <w:bookmarkStart w:id="16" w:name="_Toc35393794"/>
      <w:bookmarkStart w:id="17" w:name="_Toc28359007"/>
      <w:bookmarkStart w:id="18" w:name="_Toc28359084"/>
      <w:bookmarkStart w:id="19" w:name="_Toc35393625"/>
      <w:r>
        <w:rPr>
          <w:rFonts w:hint="eastAsia" w:ascii="宋体" w:hAnsi="宋体" w:eastAsia="宋体" w:cs="宋体"/>
          <w:bCs/>
          <w:color w:val="auto"/>
          <w:kern w:val="0"/>
          <w:sz w:val="28"/>
          <w:szCs w:val="28"/>
          <w:highlight w:val="none"/>
          <w:lang w:val="en-US" w:eastAsia="zh-CN" w:bidi="ar-SA"/>
        </w:rPr>
        <w:t>（一）开标时间及地点：202</w:t>
      </w:r>
      <w:r>
        <w:rPr>
          <w:rFonts w:hint="default" w:ascii="宋体" w:hAnsi="宋体" w:eastAsia="宋体" w:cs="宋体"/>
          <w:bCs/>
          <w:color w:val="auto"/>
          <w:kern w:val="0"/>
          <w:sz w:val="28"/>
          <w:szCs w:val="28"/>
          <w:highlight w:val="none"/>
          <w:lang w:eastAsia="zh-CN" w:bidi="ar-SA"/>
        </w:rPr>
        <w:t>6</w:t>
      </w:r>
      <w:r>
        <w:rPr>
          <w:rFonts w:hint="eastAsia" w:ascii="宋体" w:hAnsi="宋体" w:eastAsia="宋体" w:cs="宋体"/>
          <w:bCs/>
          <w:color w:val="auto"/>
          <w:kern w:val="0"/>
          <w:sz w:val="28"/>
          <w:szCs w:val="28"/>
          <w:highlight w:val="none"/>
          <w:lang w:val="en-US" w:eastAsia="zh-CN" w:bidi="ar-SA"/>
        </w:rPr>
        <w:t>年</w:t>
      </w:r>
      <w:r>
        <w:rPr>
          <w:rFonts w:hint="eastAsia" w:ascii="宋体" w:hAnsi="宋体" w:cs="宋体"/>
          <w:bCs/>
          <w:color w:val="auto"/>
          <w:kern w:val="0"/>
          <w:sz w:val="28"/>
          <w:szCs w:val="28"/>
          <w:highlight w:val="none"/>
          <w:lang w:val="en-US" w:eastAsia="zh-CN" w:bidi="ar-SA"/>
        </w:rPr>
        <w:t>5</w:t>
      </w:r>
      <w:r>
        <w:rPr>
          <w:rFonts w:hint="eastAsia" w:ascii="宋体" w:hAnsi="宋体" w:eastAsia="宋体" w:cs="宋体"/>
          <w:bCs/>
          <w:color w:val="auto"/>
          <w:kern w:val="0"/>
          <w:sz w:val="28"/>
          <w:szCs w:val="28"/>
          <w:highlight w:val="none"/>
          <w:lang w:val="en-US" w:eastAsia="zh-CN" w:bidi="ar-SA"/>
        </w:rPr>
        <w:t>月</w:t>
      </w:r>
      <w:r>
        <w:rPr>
          <w:rFonts w:hint="default" w:ascii="宋体" w:hAnsi="宋体" w:cs="宋体"/>
          <w:bCs/>
          <w:color w:val="auto"/>
          <w:kern w:val="0"/>
          <w:sz w:val="28"/>
          <w:szCs w:val="28"/>
          <w:highlight w:val="none"/>
          <w:lang w:val="en-US" w:eastAsia="zh-CN" w:bidi="ar-SA"/>
        </w:rPr>
        <w:t>2</w:t>
      </w:r>
      <w:r>
        <w:rPr>
          <w:rFonts w:hint="eastAsia" w:ascii="宋体" w:hAnsi="宋体" w:cs="宋体"/>
          <w:bCs/>
          <w:color w:val="auto"/>
          <w:kern w:val="0"/>
          <w:sz w:val="28"/>
          <w:szCs w:val="28"/>
          <w:highlight w:val="none"/>
          <w:lang w:val="en-US" w:eastAsia="zh-CN" w:bidi="ar-SA"/>
        </w:rPr>
        <w:t>8</w:t>
      </w:r>
      <w:r>
        <w:rPr>
          <w:rFonts w:hint="eastAsia" w:ascii="宋体" w:hAnsi="宋体" w:eastAsia="宋体" w:cs="宋体"/>
          <w:bCs/>
          <w:color w:val="auto"/>
          <w:kern w:val="0"/>
          <w:sz w:val="28"/>
          <w:szCs w:val="28"/>
          <w:highlight w:val="none"/>
          <w:lang w:val="en-US" w:eastAsia="zh-CN" w:bidi="ar-SA"/>
        </w:rPr>
        <w:t>日</w:t>
      </w:r>
      <w:r>
        <w:rPr>
          <w:rFonts w:hint="eastAsia" w:ascii="宋体" w:hAnsi="宋体" w:cs="宋体"/>
          <w:bCs/>
          <w:color w:val="auto"/>
          <w:kern w:val="0"/>
          <w:sz w:val="28"/>
          <w:szCs w:val="28"/>
          <w:highlight w:val="none"/>
          <w:lang w:val="en-US" w:eastAsia="zh-CN" w:bidi="ar-SA"/>
        </w:rPr>
        <w:t>9</w:t>
      </w:r>
      <w:r>
        <w:rPr>
          <w:rFonts w:hint="eastAsia" w:ascii="宋体" w:hAnsi="宋体" w:eastAsia="宋体" w:cs="宋体"/>
          <w:bCs/>
          <w:color w:val="auto"/>
          <w:kern w:val="0"/>
          <w:sz w:val="28"/>
          <w:szCs w:val="28"/>
          <w:highlight w:val="none"/>
          <w:lang w:val="en-US" w:eastAsia="zh-CN" w:bidi="ar-SA"/>
        </w:rPr>
        <w:t>时00分，</w:t>
      </w:r>
      <w:r>
        <w:rPr>
          <w:rFonts w:hint="eastAsia" w:ascii="宋体" w:hAnsi="宋体" w:eastAsia="宋体" w:cs="宋体"/>
          <w:sz w:val="28"/>
          <w:szCs w:val="28"/>
          <w:highlight w:val="none"/>
        </w:rPr>
        <w:t>瑞丽市新建路2号瑞丽市民鑫服务中心五楼公共资源交易中心</w:t>
      </w:r>
      <w:r>
        <w:rPr>
          <w:rFonts w:hint="default" w:ascii="宋体" w:hAnsi="宋体" w:cs="宋体"/>
          <w:sz w:val="28"/>
          <w:szCs w:val="28"/>
          <w:highlight w:val="none"/>
          <w:lang w:val="en-US"/>
        </w:rPr>
        <w:t>1</w:t>
      </w:r>
      <w:r>
        <w:rPr>
          <w:rFonts w:hint="eastAsia" w:ascii="宋体" w:hAnsi="宋体" w:cs="宋体"/>
          <w:sz w:val="28"/>
          <w:szCs w:val="28"/>
          <w:highlight w:val="none"/>
          <w:lang w:val="en-US" w:eastAsia="zh-CN"/>
        </w:rPr>
        <w:t>号</w:t>
      </w:r>
      <w:r>
        <w:rPr>
          <w:rFonts w:hint="eastAsia" w:ascii="宋体" w:hAnsi="宋体" w:eastAsia="宋体" w:cs="宋体"/>
          <w:sz w:val="28"/>
          <w:szCs w:val="28"/>
          <w:highlight w:val="none"/>
        </w:rPr>
        <w:t>开标室（市政务服务中心旁）</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 xml:space="preserve">     </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w:t>
      </w:r>
      <w:r>
        <w:rPr>
          <w:rFonts w:hint="eastAsia" w:ascii="宋体" w:hAnsi="宋体" w:cs="宋体"/>
          <w:bCs/>
          <w:color w:val="auto"/>
          <w:kern w:val="0"/>
          <w:sz w:val="28"/>
          <w:szCs w:val="28"/>
          <w:highlight w:val="none"/>
          <w:lang w:val="en-US" w:eastAsia="zh-CN" w:bidi="ar-SA"/>
        </w:rPr>
        <w:t>二</w:t>
      </w:r>
      <w:r>
        <w:rPr>
          <w:rFonts w:hint="eastAsia" w:ascii="宋体" w:hAnsi="宋体" w:eastAsia="宋体" w:cs="宋体"/>
          <w:bCs/>
          <w:color w:val="auto"/>
          <w:kern w:val="0"/>
          <w:sz w:val="28"/>
          <w:szCs w:val="28"/>
          <w:highlight w:val="none"/>
          <w:lang w:val="en-US" w:eastAsia="zh-CN" w:bidi="ar-SA"/>
        </w:rPr>
        <w:t>）远程解密时间：202</w:t>
      </w:r>
      <w:r>
        <w:rPr>
          <w:rFonts w:hint="default" w:ascii="宋体" w:hAnsi="宋体" w:eastAsia="宋体" w:cs="宋体"/>
          <w:bCs/>
          <w:color w:val="auto"/>
          <w:kern w:val="0"/>
          <w:sz w:val="28"/>
          <w:szCs w:val="28"/>
          <w:highlight w:val="none"/>
          <w:lang w:eastAsia="zh-CN" w:bidi="ar-SA"/>
        </w:rPr>
        <w:t>6</w:t>
      </w:r>
      <w:r>
        <w:rPr>
          <w:rFonts w:hint="eastAsia" w:ascii="宋体" w:hAnsi="宋体" w:eastAsia="宋体" w:cs="宋体"/>
          <w:bCs/>
          <w:color w:val="auto"/>
          <w:kern w:val="0"/>
          <w:sz w:val="28"/>
          <w:szCs w:val="28"/>
          <w:highlight w:val="none"/>
          <w:lang w:val="en-US" w:eastAsia="zh-CN" w:bidi="ar-SA"/>
        </w:rPr>
        <w:t>年</w:t>
      </w:r>
      <w:r>
        <w:rPr>
          <w:rFonts w:hint="eastAsia" w:ascii="宋体" w:hAnsi="宋体" w:cs="宋体"/>
          <w:bCs/>
          <w:color w:val="auto"/>
          <w:kern w:val="0"/>
          <w:sz w:val="28"/>
          <w:szCs w:val="28"/>
          <w:highlight w:val="none"/>
          <w:lang w:val="en-US" w:eastAsia="zh-CN" w:bidi="ar-SA"/>
        </w:rPr>
        <w:t>5</w:t>
      </w:r>
      <w:r>
        <w:rPr>
          <w:rFonts w:hint="eastAsia" w:ascii="宋体" w:hAnsi="宋体" w:eastAsia="宋体" w:cs="宋体"/>
          <w:bCs/>
          <w:color w:val="auto"/>
          <w:kern w:val="0"/>
          <w:sz w:val="28"/>
          <w:szCs w:val="28"/>
          <w:highlight w:val="none"/>
          <w:lang w:val="en-US" w:eastAsia="zh-CN" w:bidi="ar-SA"/>
        </w:rPr>
        <w:t>月</w:t>
      </w:r>
      <w:r>
        <w:rPr>
          <w:rFonts w:hint="default" w:ascii="宋体" w:hAnsi="宋体" w:cs="宋体"/>
          <w:bCs/>
          <w:color w:val="auto"/>
          <w:kern w:val="0"/>
          <w:sz w:val="28"/>
          <w:szCs w:val="28"/>
          <w:highlight w:val="none"/>
          <w:lang w:val="en-US" w:eastAsia="zh-CN" w:bidi="ar-SA"/>
        </w:rPr>
        <w:t>2</w:t>
      </w:r>
      <w:r>
        <w:rPr>
          <w:rFonts w:hint="eastAsia" w:ascii="宋体" w:hAnsi="宋体" w:cs="宋体"/>
          <w:bCs/>
          <w:color w:val="auto"/>
          <w:kern w:val="0"/>
          <w:sz w:val="28"/>
          <w:szCs w:val="28"/>
          <w:highlight w:val="none"/>
          <w:lang w:val="en-US" w:eastAsia="zh-CN" w:bidi="ar-SA"/>
        </w:rPr>
        <w:t>8</w:t>
      </w:r>
      <w:r>
        <w:rPr>
          <w:rFonts w:hint="eastAsia" w:ascii="宋体" w:hAnsi="宋体" w:eastAsia="宋体" w:cs="宋体"/>
          <w:bCs/>
          <w:color w:val="auto"/>
          <w:kern w:val="0"/>
          <w:sz w:val="28"/>
          <w:szCs w:val="28"/>
          <w:highlight w:val="none"/>
          <w:lang w:val="en-US" w:eastAsia="zh-CN" w:bidi="ar-SA"/>
        </w:rPr>
        <w:t>日</w:t>
      </w:r>
      <w:r>
        <w:rPr>
          <w:rFonts w:hint="eastAsia" w:ascii="宋体" w:hAnsi="宋体" w:cs="宋体"/>
          <w:bCs/>
          <w:color w:val="auto"/>
          <w:kern w:val="0"/>
          <w:sz w:val="28"/>
          <w:szCs w:val="28"/>
          <w:highlight w:val="none"/>
          <w:lang w:val="en-US" w:eastAsia="zh-CN" w:bidi="ar-SA"/>
        </w:rPr>
        <w:t>9</w:t>
      </w:r>
      <w:r>
        <w:rPr>
          <w:rFonts w:hint="eastAsia" w:ascii="宋体" w:hAnsi="宋体" w:eastAsia="宋体" w:cs="宋体"/>
          <w:bCs/>
          <w:color w:val="auto"/>
          <w:kern w:val="0"/>
          <w:sz w:val="28"/>
          <w:szCs w:val="28"/>
          <w:highlight w:val="none"/>
          <w:lang w:val="en-US" w:eastAsia="zh-CN" w:bidi="ar-SA"/>
        </w:rPr>
        <w:t>时00分；</w:t>
      </w:r>
    </w:p>
    <w:p>
      <w:pPr>
        <w:widowControl/>
        <w:spacing w:line="360" w:lineRule="auto"/>
        <w:ind w:left="-210"/>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六</w:t>
      </w:r>
      <w:r>
        <w:rPr>
          <w:rFonts w:hint="eastAsia" w:ascii="宋体" w:hAnsi="宋体" w:eastAsia="宋体" w:cs="宋体"/>
          <w:bCs/>
          <w:color w:val="auto"/>
          <w:kern w:val="0"/>
          <w:sz w:val="28"/>
          <w:szCs w:val="28"/>
          <w:highlight w:val="none"/>
          <w:lang w:val="en-US" w:eastAsia="zh-CN" w:bidi="ar-SA"/>
        </w:rPr>
        <w:t>、</w:t>
      </w:r>
      <w:r>
        <w:rPr>
          <w:rFonts w:hint="eastAsia" w:ascii="宋体" w:hAnsi="宋体" w:eastAsia="宋体" w:cs="宋体"/>
          <w:b/>
          <w:bCs w:val="0"/>
          <w:color w:val="auto"/>
          <w:kern w:val="0"/>
          <w:sz w:val="28"/>
          <w:szCs w:val="28"/>
          <w:highlight w:val="none"/>
          <w:lang w:val="en-US" w:eastAsia="zh-CN" w:bidi="ar-SA"/>
        </w:rPr>
        <w:t>公告期限</w:t>
      </w:r>
      <w:bookmarkEnd w:id="16"/>
      <w:bookmarkEnd w:id="17"/>
      <w:bookmarkEnd w:id="18"/>
      <w:bookmarkEnd w:id="19"/>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（一）自本公告发布之日起5个工作日。</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二）本公告在云南省政府采购网（http://www.yngp.com）上发布。请各报名供应商在此项目未开标之前密切关注以上网站，如此项目需发布更正公告或者补充（变更）通知均在此网站发布，我中心不另行通知，因各磋商响应人未及时上网看到更正公告或者下载补充（变更） 通知的后果由磋商响应人自行承担。</w:t>
      </w:r>
    </w:p>
    <w:p>
      <w:pPr>
        <w:widowControl/>
        <w:spacing w:line="360" w:lineRule="auto"/>
        <w:ind w:left="-210"/>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七、保证金缴纳及其他补充事宜</w:t>
      </w:r>
    </w:p>
    <w:p>
      <w:pPr>
        <w:spacing w:line="360" w:lineRule="auto"/>
        <w:ind w:firstLine="560" w:firstLineChars="200"/>
        <w:jc w:val="left"/>
        <w:rPr>
          <w:rFonts w:hint="default" w:ascii="宋体" w:hAnsi="宋体" w:eastAsia="宋体" w:cs="宋体"/>
          <w:bCs/>
          <w:color w:val="auto"/>
          <w:kern w:val="0"/>
          <w:sz w:val="28"/>
          <w:szCs w:val="28"/>
          <w:highlight w:val="none"/>
          <w:lang w:eastAsia="zh-CN" w:bidi="ar-SA"/>
        </w:rPr>
      </w:pPr>
      <w:r>
        <w:rPr>
          <w:rFonts w:hint="eastAsia" w:ascii="宋体" w:hAnsi="宋体" w:eastAsia="宋体" w:cs="宋体"/>
          <w:bCs/>
          <w:color w:val="auto"/>
          <w:kern w:val="0"/>
          <w:sz w:val="28"/>
          <w:szCs w:val="28"/>
          <w:highlight w:val="none"/>
          <w:lang w:val="en-US" w:eastAsia="zh-CN" w:bidi="ar-SA"/>
        </w:rPr>
        <w:t>（一）</w:t>
      </w:r>
      <w:r>
        <w:rPr>
          <w:rFonts w:hint="default" w:ascii="宋体" w:hAnsi="宋体" w:eastAsia="宋体" w:cs="宋体"/>
          <w:bCs/>
          <w:color w:val="auto"/>
          <w:kern w:val="0"/>
          <w:sz w:val="28"/>
          <w:szCs w:val="28"/>
          <w:highlight w:val="none"/>
          <w:lang w:eastAsia="zh-CN" w:bidi="ar-SA"/>
        </w:rPr>
        <w:t>本项目不收取</w:t>
      </w:r>
      <w:r>
        <w:rPr>
          <w:rFonts w:hint="eastAsia" w:ascii="宋体" w:hAnsi="宋体" w:eastAsia="宋体" w:cs="宋体"/>
          <w:bCs/>
          <w:color w:val="auto"/>
          <w:kern w:val="0"/>
          <w:sz w:val="28"/>
          <w:szCs w:val="28"/>
          <w:highlight w:val="none"/>
          <w:lang w:val="en-US" w:eastAsia="zh-CN" w:bidi="ar-SA"/>
        </w:rPr>
        <w:t>磋商</w:t>
      </w:r>
      <w:r>
        <w:rPr>
          <w:rFonts w:hint="default" w:ascii="宋体" w:hAnsi="宋体" w:eastAsia="宋体" w:cs="宋体"/>
          <w:bCs/>
          <w:color w:val="auto"/>
          <w:kern w:val="0"/>
          <w:sz w:val="28"/>
          <w:szCs w:val="28"/>
          <w:highlight w:val="none"/>
          <w:lang w:eastAsia="zh-CN" w:bidi="ar-SA"/>
        </w:rPr>
        <w:t>保证金。</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二）电子磋商响应文件的递交方式：网上递交。供应商应按照本项目采购文件和“政采云”平台的要求编制、加密后在响应文件提交截止时间前上传至“政采云”平台，响应文件提交截止时间前未完成响应文件上传的，视为撤回响应文件。</w:t>
      </w:r>
    </w:p>
    <w:p>
      <w:pPr>
        <w:wordWrap w:val="0"/>
        <w:snapToGrid w:val="0"/>
        <w:spacing w:line="360" w:lineRule="auto"/>
        <w:ind w:firstLine="562" w:firstLineChars="200"/>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（三）开标方式及注意事项 </w:t>
      </w:r>
    </w:p>
    <w:p>
      <w:pPr>
        <w:wordWrap w:val="0"/>
        <w:snapToGrid w:val="0"/>
        <w:spacing w:line="360" w:lineRule="auto"/>
        <w:ind w:firstLine="562" w:firstLineChars="200"/>
        <w:jc w:val="left"/>
        <w:rPr>
          <w:rFonts w:hint="eastAsia"/>
          <w:color w:val="auto"/>
          <w:highlight w:val="none"/>
        </w:rPr>
      </w:pPr>
      <w:r>
        <w:rPr>
          <w:rFonts w:hint="eastAsia" w:ascii="宋体" w:hAnsi="宋体" w:cs="宋体"/>
          <w:b/>
          <w:bCs/>
          <w:color w:val="auto"/>
          <w:kern w:val="0"/>
          <w:sz w:val="28"/>
          <w:szCs w:val="28"/>
          <w:highlight w:val="none"/>
        </w:rPr>
        <w:t>本项目实行远程解密；网上磋商；网上二次报价。</w:t>
      </w:r>
      <w:r>
        <w:rPr>
          <w:rFonts w:hint="eastAsia" w:ascii="宋体" w:hAnsi="宋体" w:cs="宋体"/>
          <w:color w:val="auto"/>
          <w:kern w:val="0"/>
          <w:sz w:val="28"/>
          <w:szCs w:val="28"/>
          <w:highlight w:val="none"/>
        </w:rPr>
        <w:t>请参与</w:t>
      </w:r>
      <w:r>
        <w:rPr>
          <w:rFonts w:ascii="宋体" w:hAnsi="宋体" w:cs="宋体"/>
          <w:color w:val="auto"/>
          <w:kern w:val="0"/>
          <w:sz w:val="28"/>
          <w:szCs w:val="28"/>
          <w:highlight w:val="none"/>
        </w:rPr>
        <w:t>磋商的磋商响应人安排人员</w:t>
      </w:r>
      <w:r>
        <w:rPr>
          <w:rFonts w:hint="eastAsia" w:ascii="宋体" w:hAnsi="宋体" w:cs="宋体"/>
          <w:color w:val="auto"/>
          <w:kern w:val="0"/>
          <w:sz w:val="28"/>
          <w:szCs w:val="28"/>
          <w:highlight w:val="none"/>
        </w:rPr>
        <w:t>在</w:t>
      </w:r>
      <w:r>
        <w:rPr>
          <w:rFonts w:ascii="宋体" w:hAnsi="宋体" w:cs="宋体"/>
          <w:color w:val="auto"/>
          <w:kern w:val="0"/>
          <w:sz w:val="28"/>
          <w:szCs w:val="28"/>
          <w:highlight w:val="none"/>
        </w:rPr>
        <w:t>评审期间关注</w:t>
      </w:r>
      <w:r>
        <w:rPr>
          <w:rFonts w:hint="eastAsia" w:ascii="宋体" w:hAnsi="宋体" w:cs="宋体"/>
          <w:color w:val="auto"/>
          <w:kern w:val="0"/>
          <w:sz w:val="28"/>
          <w:szCs w:val="28"/>
          <w:highlight w:val="none"/>
        </w:rPr>
        <w:t>磋商</w:t>
      </w:r>
      <w:r>
        <w:rPr>
          <w:rFonts w:ascii="宋体" w:hAnsi="宋体" w:cs="宋体"/>
          <w:color w:val="auto"/>
          <w:kern w:val="0"/>
          <w:sz w:val="28"/>
          <w:szCs w:val="28"/>
          <w:highlight w:val="none"/>
        </w:rPr>
        <w:t>小组发出的询函。</w:t>
      </w:r>
    </w:p>
    <w:p>
      <w:pPr>
        <w:wordWrap w:val="0"/>
        <w:snapToGrid w:val="0"/>
        <w:spacing w:line="360" w:lineRule="auto"/>
        <w:ind w:firstLine="562" w:firstLineChars="200"/>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（四）技术支持 </w:t>
      </w:r>
    </w:p>
    <w:p>
      <w:pPr>
        <w:wordWrap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1.参加磋商所需咨询的交易</w:t>
      </w:r>
      <w:r>
        <w:rPr>
          <w:rFonts w:ascii="宋体" w:hAnsi="宋体" w:cs="宋体"/>
          <w:color w:val="auto"/>
          <w:kern w:val="0"/>
          <w:sz w:val="28"/>
          <w:szCs w:val="28"/>
          <w:highlight w:val="none"/>
        </w:rPr>
        <w:t>平台</w:t>
      </w:r>
      <w:r>
        <w:rPr>
          <w:rFonts w:hint="eastAsia" w:ascii="宋体" w:hAnsi="宋体" w:cs="宋体"/>
          <w:color w:val="auto"/>
          <w:kern w:val="0"/>
          <w:sz w:val="28"/>
          <w:szCs w:val="28"/>
          <w:highlight w:val="none"/>
        </w:rPr>
        <w:t>技术问题，请咨询政采云有限公司，咨询电话：95763、0871-63957340。</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2.供应商需要办理云南CA数字证书的，CA数字证书办理方式：</w:t>
      </w:r>
    </w:p>
    <w:p>
      <w:pPr>
        <w:spacing w:line="360" w:lineRule="auto"/>
        <w:ind w:firstLine="560" w:firstLineChars="200"/>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（1）登录云南CA数字证书申领网（https://cap.yunnanca.net/login）网上办事-CA办理，24小时客服电话：400-6727-666。</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（2）登录云南壹证通CA数字证书申领网（http://yzt.ynsmartcert.cn/login）不需要注册可直接进行CA办理（云南壹证通CA24小时客服热线：400 004 0628）。</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3）登录云南省公共资源交易信息网全国公共资源交易平台（云南省）（https：//ggzy.yn.gov.cn/#/homePage）选择地区“德宏州”进入德宏州公共资源交易电子服务系统全国公共资源交易平台（云南省•德宏州）办事指南-数字证书办理。</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（4）现场办理地址：德宏州芒市文蚌街中缅友谊馆三楼（数字证书办理窗口，联系电话0692-2275609）。</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highlight w:val="none"/>
          <w:lang w:val="en-US" w:eastAsia="zh-CN" w:bidi="ar-SA"/>
        </w:rPr>
        <w:t>上述CA数字证书办理方式任选其一。</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Cs/>
          <w:color w:val="auto"/>
          <w:kern w:val="0"/>
          <w:sz w:val="28"/>
          <w:szCs w:val="28"/>
          <w:highlight w:val="none"/>
          <w:lang w:val="en-US" w:eastAsia="zh-CN" w:bidi="ar-SA"/>
        </w:rPr>
      </w:pPr>
      <w:r>
        <w:rPr>
          <w:rFonts w:hint="eastAsia" w:ascii="宋体" w:hAnsi="宋体" w:cs="宋体"/>
          <w:color w:val="auto"/>
          <w:kern w:val="0"/>
          <w:sz w:val="28"/>
          <w:szCs w:val="28"/>
          <w:highlight w:val="none"/>
        </w:rPr>
        <w:t>注：（1）已在云南省内其他地州已经申请办理过CA的用户，若需要在德宏州使用则只需注册登录后提交用户基本信息审核即可，勿须重办；（2）原</w:t>
      </w:r>
      <w:r>
        <w:rPr>
          <w:rFonts w:hint="eastAsia" w:ascii="宋体" w:hAnsi="宋体" w:eastAsia="宋体" w:cs="宋体"/>
          <w:bCs/>
          <w:color w:val="auto"/>
          <w:kern w:val="0"/>
          <w:sz w:val="28"/>
          <w:szCs w:val="28"/>
          <w:highlight w:val="none"/>
          <w:lang w:val="en-US" w:eastAsia="zh-CN" w:bidi="ar-SA"/>
        </w:rPr>
        <w:t>云南省公共资源交易平台使用的CA在云南省政府采购云平台可正常使用，未能正常使用的，请咨询CA数字证书办理企业。</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3.现场踏勘要求</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如有需要磋商响应人可自行联系采购人进行现场踏勘（联系人：戴彬，联系电话：13759209470）</w:t>
      </w:r>
      <w:r>
        <w:rPr>
          <w:rFonts w:hint="eastAsia" w:ascii="宋体" w:hAnsi="宋体" w:cs="宋体"/>
          <w:color w:val="auto"/>
          <w:kern w:val="0"/>
          <w:sz w:val="28"/>
          <w:szCs w:val="28"/>
          <w:highlight w:val="none"/>
          <w:lang w:val="en-US" w:eastAsia="zh-CN"/>
        </w:rPr>
        <w:t>，踏勘时间：2026年5月</w:t>
      </w:r>
      <w:r>
        <w:rPr>
          <w:rFonts w:hint="default" w:ascii="宋体" w:hAnsi="宋体" w:cs="宋体"/>
          <w:color w:val="auto"/>
          <w:kern w:val="0"/>
          <w:sz w:val="28"/>
          <w:szCs w:val="28"/>
          <w:highlight w:val="none"/>
          <w:lang w:val="en-US" w:eastAsia="zh-CN"/>
        </w:rPr>
        <w:t>26</w:t>
      </w:r>
      <w:r>
        <w:rPr>
          <w:rFonts w:hint="eastAsia" w:ascii="宋体" w:hAnsi="宋体" w:cs="宋体"/>
          <w:color w:val="auto"/>
          <w:kern w:val="0"/>
          <w:sz w:val="28"/>
          <w:szCs w:val="28"/>
          <w:highlight w:val="none"/>
          <w:lang w:val="en-US" w:eastAsia="zh-CN"/>
        </w:rPr>
        <w:t>日15点到瑞丽市妇幼保健院</w:t>
      </w:r>
      <w:r>
        <w:rPr>
          <w:rFonts w:hint="eastAsia" w:ascii="宋体" w:hAnsi="宋体" w:eastAsia="宋体" w:cs="宋体"/>
          <w:color w:val="auto"/>
          <w:kern w:val="0"/>
          <w:sz w:val="28"/>
          <w:szCs w:val="28"/>
          <w:highlight w:val="none"/>
          <w:lang w:val="en-US" w:eastAsia="zh-CN"/>
        </w:rPr>
        <w:t>（德宏州瑞丽市团结路86号）进</w:t>
      </w:r>
      <w:r>
        <w:rPr>
          <w:rFonts w:hint="eastAsia" w:ascii="宋体" w:hAnsi="宋体" w:cs="宋体"/>
          <w:color w:val="auto"/>
          <w:kern w:val="0"/>
          <w:sz w:val="28"/>
          <w:szCs w:val="28"/>
          <w:highlight w:val="none"/>
          <w:lang w:val="en-US" w:eastAsia="zh-CN"/>
        </w:rPr>
        <w:t>行踏勘答疑。现场踏勘产生的一切费用及安全等责任由磋商响应人自行承担和负责。</w:t>
      </w:r>
    </w:p>
    <w:p>
      <w:pPr>
        <w:wordWrap w:val="0"/>
        <w:snapToGrid w:val="0"/>
        <w:spacing w:line="360" w:lineRule="auto"/>
        <w:ind w:firstLine="562" w:firstLineChars="200"/>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（五）其他补充事宜 </w:t>
      </w:r>
    </w:p>
    <w:p>
      <w:pPr>
        <w:wordWrap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 xml:space="preserve">各供应商应在开标前应确保成为政采云平台供应商，并完成 CA 数字证书申领。因未注册入库、未办理 CA 数字证书等原因造成无法投标或投标失败等后果由供应商自行承担。 </w:t>
      </w:r>
    </w:p>
    <w:p>
      <w:pPr>
        <w:wordWrap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供应商将政采云电子交易客户端下载、安装完成后，可通过账号密码或 CA 登录客户端进行磋商响应文件的制作。在使用政采云投标客户端时，建议使用 WIN7（64 位）及以上操作系统。客户端请至政采云公司网站进行查看下载，如有问题可拨打政采云客户服务热线400-881-7190 进行咨询；CA 操作问题：请致电云南 CA，4006727666/ 壹证通 CA：0871-67276028；云南 CA 紧急联系方式：15288315056、壹证通 CA 紧急联系方式：19988166369。如因磋商响应人自身原因导致在规定时间内无法正常解密的（如：浏览器故障、未安装相关驱动、网络故障、加密 CA 与解密 CA 不一致等），代理机构不予异常处理，视为供应商自动弃标。</w:t>
      </w:r>
    </w:p>
    <w:p>
      <w:pPr>
        <w:pStyle w:val="16"/>
        <w:spacing w:line="480" w:lineRule="auto"/>
        <w:ind w:right="-181"/>
        <w:rPr>
          <w:rFonts w:ascii="宋体" w:hAnsi="宋体" w:eastAsia="宋体" w:cs="宋体"/>
          <w:b/>
          <w:bCs/>
          <w:color w:val="auto"/>
          <w:sz w:val="28"/>
          <w:szCs w:val="28"/>
          <w:highlight w:val="none"/>
        </w:rPr>
      </w:pPr>
      <w:bookmarkStart w:id="20" w:name="_Toc28359085"/>
      <w:bookmarkStart w:id="21" w:name="_Toc35393627"/>
      <w:bookmarkStart w:id="22" w:name="_Toc35393796"/>
      <w:bookmarkStart w:id="23" w:name="_Toc28359008"/>
      <w:r>
        <w:rPr>
          <w:rFonts w:hint="eastAsia" w:ascii="宋体" w:hAnsi="宋体" w:cs="宋体"/>
          <w:b/>
          <w:bCs/>
          <w:color w:val="auto"/>
          <w:sz w:val="28"/>
          <w:szCs w:val="28"/>
          <w:highlight w:val="none"/>
        </w:rPr>
        <w:t>八、对本次招标提出询问，请按以下方式联系。</w:t>
      </w:r>
      <w:bookmarkEnd w:id="20"/>
      <w:bookmarkEnd w:id="21"/>
      <w:bookmarkEnd w:id="22"/>
      <w:bookmarkEnd w:id="23"/>
    </w:p>
    <w:p>
      <w:pPr>
        <w:wordWrap w:val="0"/>
        <w:snapToGrid w:val="0"/>
        <w:spacing w:line="360" w:lineRule="auto"/>
        <w:ind w:firstLine="560" w:firstLineChars="200"/>
        <w:jc w:val="left"/>
        <w:rPr>
          <w:rFonts w:hint="eastAsia" w:ascii="宋体" w:hAnsi="宋体" w:cs="宋体"/>
          <w:color w:val="auto"/>
          <w:kern w:val="0"/>
          <w:sz w:val="28"/>
          <w:szCs w:val="28"/>
          <w:highlight w:val="none"/>
        </w:rPr>
      </w:pPr>
      <w:bookmarkStart w:id="24" w:name="_Toc28359086"/>
      <w:bookmarkStart w:id="25" w:name="_Toc28359009"/>
      <w:r>
        <w:rPr>
          <w:rFonts w:hint="eastAsia" w:ascii="宋体" w:hAnsi="宋体" w:cs="宋体"/>
          <w:color w:val="auto"/>
          <w:kern w:val="0"/>
          <w:sz w:val="28"/>
          <w:szCs w:val="28"/>
          <w:highlight w:val="none"/>
        </w:rPr>
        <w:t>（一）采购人信息</w:t>
      </w:r>
    </w:p>
    <w:p>
      <w:pPr>
        <w:wordWrap w:val="0"/>
        <w:snapToGrid w:val="0"/>
        <w:spacing w:line="360" w:lineRule="auto"/>
        <w:ind w:firstLine="560" w:firstLineChars="200"/>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rPr>
        <w:t>名</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称：</w:t>
      </w:r>
      <w:r>
        <w:rPr>
          <w:rFonts w:hint="eastAsia" w:ascii="宋体" w:hAnsi="宋体" w:cs="宋体"/>
          <w:color w:val="auto"/>
          <w:kern w:val="0"/>
          <w:sz w:val="28"/>
          <w:szCs w:val="28"/>
          <w:highlight w:val="none"/>
          <w:lang w:val="en-US" w:eastAsia="zh-CN"/>
        </w:rPr>
        <w:t>瑞丽市妇幼保健院</w:t>
      </w:r>
    </w:p>
    <w:p>
      <w:pPr>
        <w:wordWrap w:val="0"/>
        <w:snapToGrid w:val="0"/>
        <w:spacing w:line="360" w:lineRule="auto"/>
        <w:ind w:firstLine="560" w:firstLineChars="200"/>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rPr>
        <w:t>联</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系</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人</w:t>
      </w:r>
      <w:r>
        <w:rPr>
          <w:rFonts w:hint="default" w:ascii="宋体" w:hAnsi="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戴彬</w:t>
      </w:r>
    </w:p>
    <w:p>
      <w:pPr>
        <w:wordWrap w:val="0"/>
        <w:snapToGrid w:val="0"/>
        <w:spacing w:line="360" w:lineRule="auto"/>
        <w:ind w:firstLine="560" w:firstLineChars="200"/>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联系电话：</w:t>
      </w:r>
      <w:r>
        <w:rPr>
          <w:rFonts w:hint="eastAsia" w:ascii="宋体" w:hAnsi="宋体" w:eastAsia="宋体" w:cs="宋体"/>
          <w:color w:val="auto"/>
          <w:kern w:val="0"/>
          <w:sz w:val="28"/>
          <w:szCs w:val="28"/>
          <w:highlight w:val="none"/>
          <w:lang w:val="en-US" w:eastAsia="zh-CN"/>
        </w:rPr>
        <w:t>13759209470</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地</w:t>
      </w:r>
      <w:r>
        <w:rPr>
          <w:rFonts w:hint="default" w:ascii="宋体" w:hAnsi="宋体" w:cs="宋体"/>
          <w:color w:val="auto"/>
          <w:kern w:val="0"/>
          <w:sz w:val="28"/>
          <w:szCs w:val="28"/>
          <w:highlight w:val="none"/>
        </w:rPr>
        <w:t xml:space="preserve">  </w:t>
      </w:r>
      <w:r>
        <w:rPr>
          <w:rFonts w:hint="default"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址：德宏州瑞丽市团结路86号</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（二）代理机构信息</w:t>
      </w:r>
      <w:bookmarkEnd w:id="24"/>
      <w:bookmarkEnd w:id="25"/>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名</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 xml:space="preserve"> 称：瑞丽市政府采购和出让中心</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联</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系</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人：濮女士</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联系</w:t>
      </w:r>
      <w:r>
        <w:rPr>
          <w:rFonts w:hint="eastAsia" w:ascii="宋体" w:hAnsi="宋体" w:cs="宋体"/>
          <w:color w:val="auto"/>
          <w:kern w:val="0"/>
          <w:sz w:val="28"/>
          <w:szCs w:val="28"/>
          <w:highlight w:val="none"/>
          <w:lang w:val="en-US" w:eastAsia="zh-CN"/>
        </w:rPr>
        <w:t>电话</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0692-4125123</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地　</w:t>
      </w:r>
      <w:r>
        <w:rPr>
          <w:rFonts w:hint="default"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址：瑞丽市新建路2号</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（三）</w:t>
      </w:r>
      <w:bookmarkStart w:id="26" w:name="OLE_LINK5"/>
      <w:r>
        <w:rPr>
          <w:rFonts w:hint="eastAsia" w:ascii="宋体" w:hAnsi="宋体" w:cs="宋体"/>
          <w:color w:val="auto"/>
          <w:kern w:val="0"/>
          <w:sz w:val="28"/>
          <w:szCs w:val="28"/>
          <w:highlight w:val="none"/>
        </w:rPr>
        <w:t>采购监督电话</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瑞丽市</w:t>
      </w:r>
      <w:r>
        <w:rPr>
          <w:rFonts w:hint="eastAsia" w:ascii="宋体" w:hAnsi="宋体" w:cs="宋体"/>
          <w:color w:val="auto"/>
          <w:kern w:val="0"/>
          <w:sz w:val="28"/>
          <w:szCs w:val="28"/>
          <w:highlight w:val="none"/>
          <w:lang w:val="en-US" w:eastAsia="zh-CN"/>
        </w:rPr>
        <w:t>财政局</w:t>
      </w:r>
      <w:r>
        <w:rPr>
          <w:rFonts w:hint="default" w:ascii="宋体" w:hAnsi="宋体" w:cs="宋体"/>
          <w:color w:val="auto"/>
          <w:kern w:val="0"/>
          <w:sz w:val="28"/>
          <w:szCs w:val="28"/>
          <w:highlight w:val="none"/>
        </w:rPr>
        <w:t>：</w:t>
      </w:r>
      <w:r>
        <w:rPr>
          <w:rFonts w:hint="eastAsia" w:ascii="宋体" w:hAnsi="宋体" w:cs="宋体"/>
          <w:color w:val="auto"/>
          <w:kern w:val="0"/>
          <w:sz w:val="28"/>
          <w:szCs w:val="28"/>
          <w:highlight w:val="none"/>
        </w:rPr>
        <w:t>0692-4129739</w:t>
      </w:r>
    </w:p>
    <w:p>
      <w:pPr>
        <w:wordWrap w:val="0"/>
        <w:snapToGrid w:val="0"/>
        <w:spacing w:line="360" w:lineRule="auto"/>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纪检监督电话</w:t>
      </w:r>
      <w:r>
        <w:rPr>
          <w:rFonts w:hint="default" w:ascii="宋体" w:hAnsi="宋体" w:cs="宋体"/>
          <w:color w:val="auto"/>
          <w:kern w:val="0"/>
          <w:sz w:val="28"/>
          <w:szCs w:val="28"/>
          <w:highlight w:val="none"/>
        </w:rPr>
        <w:t>：</w:t>
      </w:r>
      <w:r>
        <w:rPr>
          <w:rFonts w:hint="eastAsia" w:ascii="宋体" w:hAnsi="宋体" w:cs="宋体"/>
          <w:color w:val="auto"/>
          <w:kern w:val="0"/>
          <w:sz w:val="28"/>
          <w:szCs w:val="28"/>
          <w:highlight w:val="none"/>
        </w:rPr>
        <w:t>0692-12388</w:t>
      </w:r>
    </w:p>
    <w:bookmarkEnd w:id="26"/>
    <w:p>
      <w:pPr>
        <w:spacing w:line="480" w:lineRule="auto"/>
        <w:ind w:firstLine="560" w:firstLineChars="200"/>
        <w:jc w:val="right"/>
        <w:rPr>
          <w:rFonts w:ascii="宋体" w:hAnsi="宋体"/>
          <w:color w:val="auto"/>
          <w:sz w:val="28"/>
          <w:szCs w:val="28"/>
          <w:highlight w:val="none"/>
        </w:rPr>
      </w:pPr>
    </w:p>
    <w:p>
      <w:pPr>
        <w:pStyle w:val="2"/>
        <w:ind w:firstLine="640"/>
        <w:rPr>
          <w:color w:val="auto"/>
          <w:highlight w:val="none"/>
        </w:rPr>
      </w:pPr>
    </w:p>
    <w:p>
      <w:pPr>
        <w:spacing w:line="480" w:lineRule="auto"/>
        <w:ind w:firstLine="560" w:firstLineChars="200"/>
        <w:jc w:val="right"/>
        <w:rPr>
          <w:rFonts w:ascii="宋体" w:hAnsi="宋体"/>
          <w:color w:val="auto"/>
          <w:sz w:val="28"/>
          <w:szCs w:val="28"/>
          <w:highlight w:val="none"/>
        </w:rPr>
      </w:pPr>
      <w:r>
        <w:rPr>
          <w:rFonts w:hint="eastAsia" w:ascii="宋体" w:hAnsi="宋体"/>
          <w:color w:val="auto"/>
          <w:sz w:val="28"/>
          <w:szCs w:val="28"/>
          <w:highlight w:val="none"/>
        </w:rPr>
        <w:t>瑞丽市政府采购和出让中心</w:t>
      </w:r>
    </w:p>
    <w:p>
      <w:pPr>
        <w:spacing w:line="480" w:lineRule="auto"/>
        <w:ind w:firstLine="560" w:firstLineChars="200"/>
        <w:rPr>
          <w:rFonts w:hint="eastAsia" w:ascii="宋体" w:hAnsi="宋体" w:cs="宋体"/>
          <w:color w:val="auto"/>
          <w:sz w:val="28"/>
          <w:szCs w:val="28"/>
          <w:highlight w:val="none"/>
        </w:rPr>
      </w:pPr>
      <w:r>
        <w:rPr>
          <w:rFonts w:ascii="宋体" w:hAnsi="宋体"/>
          <w:color w:val="auto"/>
          <w:sz w:val="28"/>
          <w:szCs w:val="28"/>
          <w:highlight w:val="none"/>
        </w:rPr>
        <w:t xml:space="preserve">                                    </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202</w:t>
      </w:r>
      <w:r>
        <w:rPr>
          <w:rFonts w:hint="default" w:ascii="宋体" w:hAnsi="宋体"/>
          <w:color w:val="auto"/>
          <w:sz w:val="28"/>
          <w:szCs w:val="28"/>
          <w:highlight w:val="none"/>
          <w:lang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r>
        <w:rPr>
          <w:rFonts w:hint="default" w:ascii="宋体" w:hAnsi="宋体"/>
          <w:color w:val="auto"/>
          <w:sz w:val="28"/>
          <w:szCs w:val="28"/>
          <w:highlight w:val="none"/>
          <w:lang w:val="en-US" w:eastAsia="zh-CN"/>
        </w:rPr>
        <w:t>15</w:t>
      </w:r>
      <w:r>
        <w:rPr>
          <w:rFonts w:hint="eastAsia" w:ascii="宋体" w:hAnsi="宋体"/>
          <w:color w:val="auto"/>
          <w:sz w:val="28"/>
          <w:szCs w:val="28"/>
          <w:highlight w:val="none"/>
        </w:rPr>
        <w:t>日</w:t>
      </w:r>
    </w:p>
    <w:p>
      <w:pPr>
        <w:spacing w:line="480" w:lineRule="auto"/>
        <w:ind w:firstLine="560" w:firstLineChars="200"/>
        <w:rPr>
          <w:rFonts w:hint="eastAsia" w:ascii="宋体" w:hAnsi="宋体" w:cs="宋体"/>
          <w:color w:val="auto"/>
          <w:sz w:val="28"/>
          <w:szCs w:val="28"/>
          <w:highlight w:val="none"/>
        </w:rPr>
      </w:pPr>
    </w:p>
    <w:p>
      <w:pPr>
        <w:pStyle w:val="8"/>
        <w:ind w:left="0" w:leftChars="0" w:firstLine="0" w:firstLineChars="0"/>
      </w:pPr>
    </w:p>
    <w:p>
      <w:pPr>
        <w:snapToGrid w:val="0"/>
        <w:spacing w:line="360" w:lineRule="auto"/>
        <w:jc w:val="center"/>
        <w:outlineLvl w:val="0"/>
        <w:rPr>
          <w:rFonts w:hint="eastAsia" w:ascii="宋体" w:hAnsi="宋体" w:cs="宋体"/>
          <w:b/>
          <w:color w:val="auto"/>
          <w:kern w:val="44"/>
          <w:sz w:val="32"/>
          <w:szCs w:val="32"/>
          <w:highlight w:val="none"/>
        </w:rPr>
      </w:pPr>
    </w:p>
    <w:p>
      <w:pPr>
        <w:pStyle w:val="2"/>
        <w:rPr>
          <w:rFonts w:hint="eastAsia" w:ascii="宋体" w:hAnsi="宋体" w:cs="宋体"/>
          <w:b/>
          <w:color w:val="auto"/>
          <w:kern w:val="44"/>
          <w:sz w:val="32"/>
          <w:szCs w:val="32"/>
          <w:highlight w:val="none"/>
        </w:rPr>
      </w:pPr>
    </w:p>
    <w:p>
      <w:pPr>
        <w:pStyle w:val="4"/>
        <w:rPr>
          <w:rFonts w:hint="eastAsia" w:ascii="宋体" w:hAnsi="宋体" w:cs="宋体"/>
          <w:b/>
          <w:color w:val="auto"/>
          <w:kern w:val="44"/>
          <w:sz w:val="32"/>
          <w:szCs w:val="32"/>
          <w:highlight w:val="none"/>
        </w:rPr>
      </w:pPr>
    </w:p>
    <w:p>
      <w:pPr>
        <w:rPr>
          <w:rFonts w:hint="eastAsia" w:ascii="宋体" w:hAnsi="宋体" w:cs="宋体"/>
          <w:b/>
          <w:color w:val="auto"/>
          <w:kern w:val="44"/>
          <w:sz w:val="32"/>
          <w:szCs w:val="32"/>
          <w:highlight w:val="none"/>
        </w:rPr>
      </w:pPr>
    </w:p>
    <w:p>
      <w:pPr>
        <w:pStyle w:val="2"/>
        <w:ind w:left="0" w:leftChars="0" w:firstLine="0" w:firstLineChars="0"/>
        <w:rPr>
          <w:rFonts w:hint="eastAsia" w:ascii="宋体" w:hAnsi="宋体" w:cs="宋体"/>
          <w:b/>
          <w:color w:val="auto"/>
          <w:kern w:val="44"/>
          <w:sz w:val="32"/>
          <w:szCs w:val="32"/>
          <w:highlight w:val="none"/>
        </w:rPr>
      </w:pPr>
    </w:p>
    <w:p>
      <w:pPr>
        <w:snapToGrid w:val="0"/>
        <w:spacing w:line="360" w:lineRule="auto"/>
        <w:jc w:val="center"/>
        <w:outlineLvl w:val="0"/>
        <w:rPr>
          <w:rFonts w:ascii="宋体" w:hAnsi="宋体" w:cs="宋体"/>
          <w:color w:val="auto"/>
          <w:highlight w:val="none"/>
        </w:rPr>
      </w:pPr>
      <w:r>
        <w:rPr>
          <w:rFonts w:hint="eastAsia" w:ascii="宋体" w:hAnsi="宋体" w:cs="宋体"/>
          <w:b/>
          <w:color w:val="auto"/>
          <w:kern w:val="44"/>
          <w:sz w:val="32"/>
          <w:szCs w:val="32"/>
          <w:highlight w:val="none"/>
        </w:rPr>
        <w:t>第二章   供应商须知</w:t>
      </w:r>
      <w:bookmarkEnd w:id="5"/>
      <w:bookmarkEnd w:id="6"/>
      <w:bookmarkEnd w:id="14"/>
      <w:bookmarkEnd w:id="15"/>
    </w:p>
    <w:p>
      <w:pPr>
        <w:snapToGrid w:val="0"/>
        <w:spacing w:line="360" w:lineRule="auto"/>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有意合作的供应商请认真阅读、并充分理解磋商文件的全部内容（包括所有的补充、修改内容、重要事项、格式、条款和技术规范、采购项目要求等）。供应商没有按照磋商文件要求提交全部资料，或者没有对磋商文件在各方面都做出实质性响应，将为供应商带来风险，有可能导致其响应文件被拒绝，或被认定为无效。</w:t>
      </w:r>
    </w:p>
    <w:p>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一、总则</w:t>
      </w:r>
    </w:p>
    <w:p>
      <w:pPr>
        <w:spacing w:line="360" w:lineRule="auto"/>
        <w:ind w:left="420" w:hanging="420" w:hangingChars="150"/>
        <w:rPr>
          <w:rFonts w:ascii="宋体" w:hAnsi="宋体" w:cs="宋体"/>
          <w:color w:val="auto"/>
          <w:sz w:val="28"/>
          <w:szCs w:val="28"/>
          <w:highlight w:val="none"/>
        </w:rPr>
      </w:pPr>
      <w:r>
        <w:rPr>
          <w:rFonts w:hint="eastAsia" w:ascii="宋体" w:hAnsi="宋体" w:cs="宋体"/>
          <w:color w:val="auto"/>
          <w:sz w:val="28"/>
          <w:szCs w:val="28"/>
          <w:highlight w:val="none"/>
        </w:rPr>
        <w:t>（一）适用范围：本磋商文件适用于本项目的政府采购。</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（二）定义：</w:t>
      </w:r>
    </w:p>
    <w:p>
      <w:pPr>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1.“采购人”是指：</w:t>
      </w:r>
      <w:r>
        <w:rPr>
          <w:rFonts w:hint="eastAsia" w:ascii="宋体" w:hAnsi="宋体"/>
          <w:sz w:val="30"/>
          <w:szCs w:val="30"/>
          <w:lang w:val="en-US" w:eastAsia="zh-CN"/>
        </w:rPr>
        <w:t>瑞丽市妇幼保健院</w:t>
      </w:r>
      <w:r>
        <w:rPr>
          <w:rFonts w:hint="eastAsia" w:ascii="宋体" w:hAnsi="宋体" w:cs="宋体"/>
          <w:color w:val="auto"/>
          <w:sz w:val="28"/>
          <w:szCs w:val="28"/>
          <w:highlight w:val="none"/>
        </w:rPr>
        <w:t>。</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2.“代理机构”</w:t>
      </w:r>
      <w:r>
        <w:rPr>
          <w:rFonts w:ascii="宋体" w:hAnsi="宋体" w:cs="宋体"/>
          <w:color w:val="auto"/>
          <w:sz w:val="28"/>
          <w:szCs w:val="28"/>
          <w:highlight w:val="none"/>
        </w:rPr>
        <w:t>是指：组织本次招标的</w:t>
      </w:r>
      <w:r>
        <w:rPr>
          <w:rFonts w:hint="eastAsia" w:ascii="宋体" w:hAnsi="宋体" w:cs="宋体"/>
          <w:color w:val="auto"/>
          <w:sz w:val="28"/>
          <w:szCs w:val="28"/>
          <w:highlight w:val="none"/>
          <w:lang w:val="en-US" w:eastAsia="zh-CN"/>
        </w:rPr>
        <w:t>瑞丽市</w:t>
      </w:r>
      <w:r>
        <w:rPr>
          <w:rFonts w:ascii="宋体" w:hAnsi="宋体" w:cs="宋体"/>
          <w:color w:val="auto"/>
          <w:sz w:val="28"/>
          <w:szCs w:val="28"/>
          <w:highlight w:val="none"/>
        </w:rPr>
        <w:t>政府采购和出让中心。</w:t>
      </w:r>
    </w:p>
    <w:p>
      <w:pPr>
        <w:snapToGrid w:val="0"/>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rPr>
        <w:t>3.“磋商响应人”是指：按要求递交磋商</w:t>
      </w:r>
      <w:r>
        <w:rPr>
          <w:rFonts w:hint="eastAsia" w:ascii="宋体" w:hAnsi="宋体" w:cs="宋体"/>
          <w:color w:val="auto"/>
          <w:sz w:val="28"/>
          <w:szCs w:val="28"/>
          <w:highlight w:val="none"/>
        </w:rPr>
        <w:t>响应</w:t>
      </w:r>
      <w:r>
        <w:rPr>
          <w:rFonts w:ascii="宋体" w:hAnsi="宋体" w:cs="宋体"/>
          <w:color w:val="auto"/>
          <w:sz w:val="28"/>
          <w:szCs w:val="28"/>
          <w:highlight w:val="none"/>
        </w:rPr>
        <w:t>文件且参加磋商的法人或其他组织。</w:t>
      </w:r>
    </w:p>
    <w:p>
      <w:pPr>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二、不论磋商的结果如何，</w:t>
      </w:r>
      <w:r>
        <w:rPr>
          <w:rFonts w:hint="eastAsia" w:ascii="宋体" w:hAnsi="宋体" w:cs="宋体"/>
          <w:color w:val="auto"/>
          <w:sz w:val="28"/>
          <w:szCs w:val="28"/>
          <w:highlight w:val="none"/>
        </w:rPr>
        <w:t>供应商应承担所有与编写和提交响应文件有关的费用。</w:t>
      </w:r>
    </w:p>
    <w:p>
      <w:pPr>
        <w:spacing w:line="360" w:lineRule="auto"/>
        <w:rPr>
          <w:rFonts w:ascii="宋体" w:hAnsi="宋体" w:cs="宋体"/>
          <w:b/>
          <w:color w:val="auto"/>
          <w:sz w:val="28"/>
          <w:szCs w:val="28"/>
          <w:highlight w:val="none"/>
        </w:rPr>
      </w:pPr>
      <w:bookmarkStart w:id="27" w:name="_Toc134956121"/>
      <w:r>
        <w:rPr>
          <w:rFonts w:hint="eastAsia" w:ascii="宋体" w:hAnsi="宋体" w:cs="宋体"/>
          <w:b/>
          <w:color w:val="auto"/>
          <w:sz w:val="28"/>
          <w:szCs w:val="28"/>
          <w:highlight w:val="none"/>
        </w:rPr>
        <w:t>三、知识产权</w:t>
      </w:r>
      <w:bookmarkEnd w:id="27"/>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（一）采购人在中华人民共和国境内使用成交资料、技术、服务或其任何一部分时，享有不受限制的无偿使用权，如有第三方向采购人提出侵犯其专利权、商标权或其它知识产权的主张，该责任应由供应商承担。</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（二）磋商报价应包含所有应向所有权人支付的专利权、商标权或其它知识产权的一切相关费用。</w:t>
      </w:r>
    </w:p>
    <w:p>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四、关于关联企业。</w:t>
      </w:r>
      <w:r>
        <w:rPr>
          <w:rFonts w:hint="eastAsia" w:ascii="宋体" w:hAnsi="宋体" w:cs="宋体"/>
          <w:color w:val="auto"/>
          <w:sz w:val="28"/>
          <w:szCs w:val="28"/>
          <w:highlight w:val="none"/>
        </w:rPr>
        <w:t>法定代表人为同一个人的两个及两个以上法人，不得同时参加本项目的磋商。如同时参加，则评审时将同时被拒绝。</w:t>
      </w:r>
      <w:bookmarkStart w:id="28" w:name="_Toc134956124"/>
      <w:bookmarkStart w:id="29" w:name="_Toc323217567"/>
    </w:p>
    <w:p>
      <w:pPr>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五、项目不接受联合体磋商</w:t>
      </w:r>
      <w:r>
        <w:rPr>
          <w:rFonts w:hint="eastAsia" w:ascii="宋体" w:hAnsi="宋体" w:cs="宋体"/>
          <w:color w:val="auto"/>
          <w:sz w:val="28"/>
          <w:szCs w:val="28"/>
          <w:highlight w:val="none"/>
        </w:rPr>
        <w:t>。</w:t>
      </w:r>
    </w:p>
    <w:bookmarkEnd w:id="28"/>
    <w:bookmarkEnd w:id="29"/>
    <w:p>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六、磋商保证金</w:t>
      </w:r>
    </w:p>
    <w:p>
      <w:pPr>
        <w:spacing w:line="360" w:lineRule="auto"/>
        <w:ind w:firstLine="562" w:firstLineChars="200"/>
        <w:rPr>
          <w:rFonts w:hint="default" w:ascii="宋体" w:hAnsi="宋体" w:eastAsia="宋体" w:cs="宋体"/>
          <w:b/>
          <w:bCs w:val="0"/>
          <w:color w:val="auto"/>
          <w:sz w:val="28"/>
          <w:szCs w:val="28"/>
          <w:highlight w:val="none"/>
        </w:rPr>
      </w:pPr>
      <w:r>
        <w:rPr>
          <w:rFonts w:hint="default" w:ascii="宋体" w:hAnsi="宋体" w:eastAsia="宋体" w:cs="宋体"/>
          <w:b/>
          <w:bCs w:val="0"/>
          <w:color w:val="auto"/>
          <w:sz w:val="28"/>
          <w:szCs w:val="28"/>
          <w:highlight w:val="none"/>
        </w:rPr>
        <w:t>本项目不收取</w:t>
      </w:r>
      <w:r>
        <w:rPr>
          <w:rFonts w:hint="eastAsia" w:ascii="宋体" w:hAnsi="宋体" w:eastAsia="宋体" w:cs="宋体"/>
          <w:b/>
          <w:bCs w:val="0"/>
          <w:color w:val="auto"/>
          <w:sz w:val="28"/>
          <w:szCs w:val="28"/>
          <w:highlight w:val="none"/>
          <w:lang w:val="en-US" w:eastAsia="zh-CN"/>
        </w:rPr>
        <w:t>磋商</w:t>
      </w:r>
      <w:r>
        <w:rPr>
          <w:rFonts w:hint="default" w:ascii="宋体" w:hAnsi="宋体" w:eastAsia="宋体" w:cs="宋体"/>
          <w:b/>
          <w:bCs w:val="0"/>
          <w:color w:val="auto"/>
          <w:sz w:val="28"/>
          <w:szCs w:val="28"/>
          <w:highlight w:val="none"/>
        </w:rPr>
        <w:t>保证金</w:t>
      </w:r>
    </w:p>
    <w:p>
      <w:pPr>
        <w:spacing w:line="360" w:lineRule="auto"/>
        <w:rPr>
          <w:rFonts w:ascii="宋体" w:hAnsi="宋体" w:cs="宋体"/>
          <w:bCs/>
          <w:color w:val="auto"/>
          <w:sz w:val="28"/>
          <w:szCs w:val="28"/>
          <w:highlight w:val="none"/>
        </w:rPr>
      </w:pPr>
      <w:r>
        <w:rPr>
          <w:rFonts w:hint="eastAsia" w:ascii="宋体" w:hAnsi="宋体" w:cs="宋体"/>
          <w:b/>
          <w:bCs/>
          <w:color w:val="auto"/>
          <w:sz w:val="28"/>
          <w:szCs w:val="28"/>
          <w:highlight w:val="none"/>
        </w:rPr>
        <w:t>七、磋商报价</w:t>
      </w:r>
    </w:p>
    <w:p>
      <w:pPr>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（一）磋商报价应为人民币含税价。该报价包括：税金、工资、服务所需器材、工作服及相关的各种费用。(备注：本次采购供应商以采购时间服务费进行报价，一旦成交，成交价即为合同价)。</w:t>
      </w:r>
    </w:p>
    <w:p>
      <w:pPr>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（二）供应商不得哄抬报价，也不应低于成本价（或进价）报价，否则一经查实，其投标将可能被拒绝。</w:t>
      </w:r>
    </w:p>
    <w:p>
      <w:pPr>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（三）由供应商支付的所有税费，都应包括在供应商提交的磋商响应文件报价之内，中标后，采购方不另行支付。</w:t>
      </w:r>
    </w:p>
    <w:p>
      <w:pPr>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rPr>
        <w:t>（四）供应商应按照</w:t>
      </w:r>
      <w:r>
        <w:rPr>
          <w:rFonts w:hint="eastAsia" w:ascii="宋体" w:hAnsi="宋体" w:cs="宋体"/>
          <w:b/>
          <w:bCs/>
          <w:color w:val="auto"/>
          <w:sz w:val="28"/>
          <w:szCs w:val="28"/>
          <w:highlight w:val="none"/>
        </w:rPr>
        <w:t>“第三章采购项目要求”</w:t>
      </w:r>
      <w:r>
        <w:rPr>
          <w:rFonts w:hint="eastAsia" w:ascii="宋体" w:hAnsi="宋体" w:cs="宋体"/>
          <w:color w:val="auto"/>
          <w:sz w:val="28"/>
          <w:szCs w:val="28"/>
          <w:highlight w:val="none"/>
        </w:rPr>
        <w:t>规定的内容、责任范围以及合同条款进行报价。并按确定的格式报出总价和分项价格（如有）。投标总价中不得包含磋商文件要求以外的内容，否则，在评标时不予核减。出现漏报的磋商响应人，要求在原报价不变的前提下，增加漏报的项目；如磋商响应人不接受，则直接作</w:t>
      </w:r>
      <w:r>
        <w:rPr>
          <w:rFonts w:hint="eastAsia" w:ascii="宋体" w:hAnsi="宋体" w:cs="宋体"/>
          <w:b/>
          <w:color w:val="auto"/>
          <w:sz w:val="28"/>
          <w:szCs w:val="28"/>
          <w:highlight w:val="none"/>
        </w:rPr>
        <w:t>无效投标</w:t>
      </w:r>
      <w:r>
        <w:rPr>
          <w:rFonts w:hint="eastAsia" w:ascii="宋体" w:hAnsi="宋体" w:cs="宋体"/>
          <w:color w:val="auto"/>
          <w:sz w:val="28"/>
          <w:szCs w:val="28"/>
          <w:highlight w:val="none"/>
        </w:rPr>
        <w:t>处理。</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（五）同一标的物只允许有一个报价，否则将被视为</w:t>
      </w:r>
      <w:r>
        <w:rPr>
          <w:rFonts w:hint="eastAsia" w:ascii="宋体" w:hAnsi="宋体" w:cs="宋体"/>
          <w:b/>
          <w:color w:val="auto"/>
          <w:sz w:val="28"/>
          <w:szCs w:val="28"/>
          <w:highlight w:val="none"/>
        </w:rPr>
        <w:t>无效投标</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w:t>
      </w:r>
      <w:r>
        <w:rPr>
          <w:rFonts w:hint="default" w:ascii="宋体" w:hAnsi="宋体" w:eastAsia="宋体" w:cs="宋体"/>
          <w:bCs/>
          <w:color w:val="auto"/>
          <w:sz w:val="28"/>
          <w:szCs w:val="28"/>
          <w:highlight w:val="none"/>
          <w:lang w:eastAsia="zh-CN"/>
        </w:rPr>
        <w:t>六</w:t>
      </w:r>
      <w:r>
        <w:rPr>
          <w:rFonts w:hint="eastAsia" w:ascii="宋体" w:hAnsi="宋体" w:eastAsia="宋体" w:cs="宋体"/>
          <w:bCs/>
          <w:color w:val="auto"/>
          <w:sz w:val="28"/>
          <w:szCs w:val="28"/>
          <w:highlight w:val="none"/>
          <w:lang w:val="en-US" w:eastAsia="zh-CN"/>
        </w:rPr>
        <w:t>）评审中出现下列情形之一的，</w:t>
      </w:r>
      <w:r>
        <w:rPr>
          <w:rFonts w:hint="default" w:ascii="宋体" w:hAnsi="宋体" w:eastAsia="宋体" w:cs="宋体"/>
          <w:bCs/>
          <w:color w:val="auto"/>
          <w:sz w:val="28"/>
          <w:szCs w:val="28"/>
          <w:highlight w:val="none"/>
          <w:lang w:eastAsia="zh-CN"/>
        </w:rPr>
        <w:t>磋商小组</w:t>
      </w:r>
      <w:r>
        <w:rPr>
          <w:rFonts w:hint="eastAsia" w:ascii="宋体" w:hAnsi="宋体" w:eastAsia="宋体" w:cs="宋体"/>
          <w:bCs/>
          <w:color w:val="auto"/>
          <w:sz w:val="28"/>
          <w:szCs w:val="28"/>
          <w:highlight w:val="none"/>
          <w:lang w:val="en-US" w:eastAsia="zh-CN"/>
        </w:rPr>
        <w:t>应当启动异常低价投标（响应）审查程序：</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3.投标（响应）报价低于采购项目最高限价45%的，即投标（响应）报价&lt;采购项目最高限价×45%；</w:t>
      </w:r>
    </w:p>
    <w:p>
      <w:pPr>
        <w:spacing w:line="360" w:lineRule="auto"/>
        <w:ind w:firstLine="560" w:firstLineChars="200"/>
      </w:pPr>
      <w:r>
        <w:rPr>
          <w:rFonts w:hint="eastAsia" w:ascii="宋体" w:hAnsi="宋体" w:eastAsia="宋体" w:cs="宋体"/>
          <w:bCs/>
          <w:color w:val="auto"/>
          <w:sz w:val="28"/>
          <w:szCs w:val="28"/>
          <w:highlight w:val="none"/>
          <w:lang w:val="en-US" w:eastAsia="zh-CN"/>
        </w:rPr>
        <w:t>4.磋商小组基于专业判断，认为供应商报价过低，有可能影响产品质量或者不能诚信履约的其他情形。</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八、磋商文件的组成</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（一）竞争性磋商公告</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（二）供应商须知</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（三）采购项目要求</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（四）合同条款</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（五）评审办法</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（六）响应文件格式</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（七）代理机构就本磋商项目发出的澄清、修改、补充文件的</w:t>
      </w:r>
    </w:p>
    <w:p>
      <w:pPr>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九、电子磋商文件澄清与答疑</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（一）磋商响应人应仔细阅读和检查磋商文件的全部内容。如发现缺页或附件不全，应及时向招标人提出，以便补齐。如有疑问，应在投标截止时间 3 日前以在线不署名提交，要求招标人对磋商文件予以澄清。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（二）所有获取了磋商文件的潜在磋商响应人通过在线方式进行不署名提问，代理机构应当在三个工作日内对磋商响应人依法提出的询问做出答复，但答复的内容不得涉及商业秘密。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（三）招标人或者代理机构可以对已发出的磋商文件进行必要的澄清或者修改。澄清或者修改的内容可能影响磋商响应文件编制的，招标人或者代理机构应当在投标截止时间至少 3 日前，在云南省政府采购网站上发布补遗文件以保证各磋商响应人都能重新下载并用于编制电子磋商响应文件；不足 5 日的，招标人或者代理机构应当顺延提交磋商响应文件的截止时间。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（四）推迟投标截止时间的，至少应当在磋商文件要求提交磋商响应文件的截止时间三日前，在云南省政府采购网站上发布变更公告。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（五）磋商响应人在规定的时间内未对磋商文件提出疑问或澄清的，将视其为无异议。对磋商文件中描述有歧</w:t>
      </w:r>
      <w:r>
        <w:rPr>
          <w:rFonts w:hint="eastAsia" w:ascii="宋体" w:hAnsi="宋体" w:cs="宋体"/>
          <w:color w:val="auto"/>
          <w:sz w:val="28"/>
          <w:szCs w:val="28"/>
          <w:highlight w:val="none"/>
          <w:lang w:val="en-US" w:eastAsia="zh-CN"/>
        </w:rPr>
        <w:t>义</w:t>
      </w:r>
      <w:r>
        <w:rPr>
          <w:rFonts w:hint="eastAsia" w:ascii="宋体" w:hAnsi="宋体" w:cs="宋体"/>
          <w:color w:val="auto"/>
          <w:sz w:val="28"/>
          <w:szCs w:val="28"/>
          <w:highlight w:val="none"/>
        </w:rPr>
        <w:t xml:space="preserve">或前后不一致的地方，评标委员会有权进行评判，但对同一条款的评判应适用于每个磋商响应人。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（六）招标人对磋商文件中的涉及评标办法、评审项目等重要评审内容做出变更，将同时发布补遗文件进行说明以保证各磋商响应人都能重新下载并用于编制电子磋商响应文件。 </w:t>
      </w:r>
    </w:p>
    <w:p>
      <w:pPr>
        <w:wordWrap w:val="0"/>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（七）磋商响应人应在投标截止时间前及时登录云南省政府采购云平台（https://login.zcygov.cn）中查看有关该项目磋商文件的答疑、补遗内容。否则，后果自负。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（八）磋商文件澄清、磋商文件修改文件内容均以网上电子文件为准，当磋商文件、磋商文件澄清、磋商文件修改文件内容后前相互矛盾时，以最后发出的为准。 </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（九）依照《中华人民共和国政府采购法》《中华人民共和国民法典》规定。磋商文件和磋商响应文件将作为合同附件，与合同内容一样具有同等法律效力。</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十、响应文件编制要求</w:t>
      </w:r>
    </w:p>
    <w:p>
      <w:pPr>
        <w:snapToGrid w:val="0"/>
        <w:spacing w:line="360" w:lineRule="auto"/>
        <w:ind w:firstLine="562" w:firstLineChars="200"/>
        <w:jc w:val="left"/>
        <w:rPr>
          <w:rFonts w:ascii="宋体" w:hAnsi="宋体" w:cs="宋体"/>
          <w:color w:val="auto"/>
          <w:sz w:val="28"/>
          <w:szCs w:val="28"/>
          <w:highlight w:val="none"/>
        </w:rPr>
      </w:pPr>
      <w:r>
        <w:rPr>
          <w:rFonts w:hint="eastAsia" w:ascii="宋体" w:hAnsi="宋体" w:cs="宋体"/>
          <w:b/>
          <w:color w:val="auto"/>
          <w:sz w:val="28"/>
          <w:szCs w:val="28"/>
          <w:highlight w:val="none"/>
        </w:rPr>
        <w:t>（一）供应商应仔细阅读磋商文件的所有内容，</w:t>
      </w:r>
      <w:r>
        <w:rPr>
          <w:rFonts w:hint="eastAsia" w:ascii="宋体" w:hAnsi="宋体" w:cs="宋体"/>
          <w:color w:val="auto"/>
          <w:sz w:val="28"/>
          <w:szCs w:val="28"/>
          <w:highlight w:val="none"/>
        </w:rPr>
        <w:t>按磋商文件的要求提交响应文件，并保证所提供的全部资料的真实性。</w:t>
      </w:r>
    </w:p>
    <w:p>
      <w:pPr>
        <w:snapToGrid w:val="0"/>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（二）语言和计量单位。</w:t>
      </w:r>
      <w:r>
        <w:rPr>
          <w:rFonts w:hint="eastAsia" w:ascii="宋体" w:hAnsi="宋体" w:cs="宋体"/>
          <w:color w:val="auto"/>
          <w:sz w:val="28"/>
          <w:szCs w:val="28"/>
          <w:highlight w:val="none"/>
        </w:rPr>
        <w:t xml:space="preserve"> 磋商文件及供应商和代理机构就磋商交换的文件和来往信件，应以中文书写。除在磋商文件的技术规范要求中另有规定外，计量单位应使用中华人民共和国法定计量单位。</w:t>
      </w:r>
    </w:p>
    <w:p>
      <w:pPr>
        <w:snapToGrid w:val="0"/>
        <w:spacing w:line="360" w:lineRule="auto"/>
        <w:ind w:firstLine="562" w:firstLineChars="200"/>
        <w:jc w:val="left"/>
        <w:rPr>
          <w:rFonts w:ascii="宋体" w:hAnsi="宋体" w:cs="宋体"/>
          <w:color w:val="auto"/>
          <w:sz w:val="28"/>
          <w:szCs w:val="28"/>
          <w:highlight w:val="none"/>
        </w:rPr>
      </w:pPr>
      <w:r>
        <w:rPr>
          <w:rFonts w:hint="eastAsia" w:ascii="宋体" w:hAnsi="宋体" w:cs="宋体"/>
          <w:b/>
          <w:color w:val="auto"/>
          <w:sz w:val="28"/>
          <w:szCs w:val="28"/>
          <w:highlight w:val="none"/>
        </w:rPr>
        <w:t>（三）若供应商所投服务的要求与采购方的要求有偏离的，</w:t>
      </w:r>
      <w:r>
        <w:rPr>
          <w:rFonts w:hint="eastAsia" w:ascii="宋体" w:hAnsi="宋体" w:cs="宋体"/>
          <w:color w:val="auto"/>
          <w:sz w:val="28"/>
          <w:szCs w:val="28"/>
          <w:highlight w:val="none"/>
        </w:rPr>
        <w:t>供应商应逐项提供偏离说明，作为磋商的依据。</w:t>
      </w:r>
    </w:p>
    <w:p>
      <w:pPr>
        <w:snapToGrid w:val="0"/>
        <w:spacing w:line="360" w:lineRule="auto"/>
        <w:ind w:firstLine="562" w:firstLineChars="200"/>
        <w:jc w:val="left"/>
        <w:rPr>
          <w:rFonts w:ascii="宋体" w:hAnsi="宋体" w:cs="宋体"/>
          <w:color w:val="auto"/>
          <w:sz w:val="28"/>
          <w:szCs w:val="28"/>
          <w:highlight w:val="none"/>
        </w:rPr>
      </w:pPr>
      <w:r>
        <w:rPr>
          <w:rFonts w:hint="eastAsia" w:ascii="宋体" w:hAnsi="宋体" w:cs="宋体"/>
          <w:b/>
          <w:color w:val="auto"/>
          <w:sz w:val="28"/>
          <w:szCs w:val="28"/>
          <w:highlight w:val="none"/>
        </w:rPr>
        <w:t>（四）响应文件构成。响应文件应按第六章磋商文件格式要求统一填写</w:t>
      </w:r>
      <w:r>
        <w:rPr>
          <w:rFonts w:hint="eastAsia" w:ascii="宋体" w:hAnsi="宋体" w:cs="宋体"/>
          <w:color w:val="auto"/>
          <w:sz w:val="28"/>
          <w:szCs w:val="28"/>
          <w:highlight w:val="none"/>
        </w:rPr>
        <w:t>。</w:t>
      </w:r>
    </w:p>
    <w:p>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（五）响应文件的有效期</w:t>
      </w:r>
    </w:p>
    <w:p>
      <w:pPr>
        <w:snapToGrid w:val="0"/>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1.自磋商会议之日起90天内,响应文件保持有效。有效期短于这个规定期限的，视为非实质性响应磋商文件而被拒绝。</w:t>
      </w:r>
    </w:p>
    <w:p>
      <w:pPr>
        <w:snapToGrid w:val="0"/>
        <w:spacing w:line="360" w:lineRule="auto"/>
        <w:ind w:firstLine="560" w:firstLineChars="200"/>
        <w:jc w:val="left"/>
        <w:rPr>
          <w:rFonts w:ascii="宋体" w:hAnsi="宋体" w:cs="宋体"/>
          <w:b/>
          <w:color w:val="auto"/>
          <w:sz w:val="28"/>
          <w:szCs w:val="28"/>
          <w:highlight w:val="none"/>
        </w:rPr>
      </w:pPr>
      <w:r>
        <w:rPr>
          <w:rFonts w:hint="eastAsia" w:ascii="宋体" w:hAnsi="宋体" w:cs="宋体"/>
          <w:color w:val="auto"/>
          <w:sz w:val="28"/>
          <w:szCs w:val="28"/>
          <w:highlight w:val="none"/>
        </w:rPr>
        <w:t>2.特殊情况下，代理机构可于磋商有效期期满之前，要求供应商延长其磋商有效期。供应商可以拒绝或同意上述要求。对于同意该要求的供应商，代理机构既不要求也不允许其修改响应文件。不同意该要求的供应商的磋商保证金将</w:t>
      </w:r>
      <w:r>
        <w:rPr>
          <w:rFonts w:hint="eastAsia" w:ascii="宋体" w:hAnsi="宋体" w:cs="宋体"/>
          <w:color w:val="auto"/>
          <w:sz w:val="28"/>
          <w:szCs w:val="28"/>
          <w:highlight w:val="none"/>
          <w:lang w:val="en-US" w:eastAsia="zh-CN"/>
        </w:rPr>
        <w:t>予以</w:t>
      </w:r>
      <w:r>
        <w:rPr>
          <w:rFonts w:hint="eastAsia" w:ascii="宋体" w:hAnsi="宋体" w:cs="宋体"/>
          <w:color w:val="auto"/>
          <w:sz w:val="28"/>
          <w:szCs w:val="28"/>
          <w:highlight w:val="none"/>
        </w:rPr>
        <w:t>退还。</w:t>
      </w:r>
    </w:p>
    <w:p>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（六）响应文件的签署及规定。</w:t>
      </w:r>
    </w:p>
    <w:p>
      <w:pPr>
        <w:pStyle w:val="9"/>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1.供应商应填写全称，同时加盖单位鲜章或电子公章。</w:t>
      </w:r>
    </w:p>
    <w:p>
      <w:pPr>
        <w:pStyle w:val="9"/>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2.响应文件必须由法人代表或授权代表签署。</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3.响应文件因字迹潦草、表达不清或材料模糊无法辨认所引起的后果由供应商负责。</w:t>
      </w:r>
    </w:p>
    <w:p>
      <w:pPr>
        <w:pStyle w:val="9"/>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注：响应文件中要求签字包括签字、电子签名或电子签章均视为有效</w:t>
      </w:r>
    </w:p>
    <w:p>
      <w:pPr>
        <w:spacing w:line="360" w:lineRule="auto"/>
        <w:rPr>
          <w:rFonts w:ascii="宋体" w:hAnsi="宋体" w:cs="宋体"/>
          <w:b/>
          <w:color w:val="auto"/>
          <w:sz w:val="28"/>
          <w:szCs w:val="28"/>
          <w:highlight w:val="none"/>
        </w:rPr>
      </w:pPr>
      <w:r>
        <w:rPr>
          <w:rFonts w:hint="eastAsia" w:ascii="宋体" w:hAnsi="宋体" w:cs="宋体"/>
          <w:b/>
          <w:color w:val="auto"/>
          <w:kern w:val="0"/>
          <w:sz w:val="28"/>
          <w:szCs w:val="28"/>
          <w:highlight w:val="none"/>
        </w:rPr>
        <w:t>十一、磋商响应文件的递交、修改、撤回</w:t>
      </w:r>
    </w:p>
    <w:p>
      <w:pPr>
        <w:pStyle w:val="9"/>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（一）电子响应磋商文件的递交 </w:t>
      </w:r>
    </w:p>
    <w:p>
      <w:pPr>
        <w:pStyle w:val="9"/>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网上递交：供应商应按照本项目采购文件和“政采云”平台的要求编制、加密后在响应文件提交截止时间前上传至云南省政府采购云平台（https://login.zcygov.cn），响应文件提交截止时间前未完成响应文件上传的，视为撤回响应文件。供应商在“政采云”平台提交电子版响应文件时，请填写参加远程采购活动经办人联系方式。 </w:t>
      </w:r>
    </w:p>
    <w:p>
      <w:pPr>
        <w:pStyle w:val="9"/>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（二）电子磋商响应文件的修改与撤回 </w:t>
      </w:r>
    </w:p>
    <w:p>
      <w:pPr>
        <w:pStyle w:val="9"/>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1.在递交响应文件截止时间前，供应商可以修改或撤回已在网上递交的响应文件，无须书面形式通知采购人。 </w:t>
      </w:r>
    </w:p>
    <w:p>
      <w:pPr>
        <w:pStyle w:val="9"/>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2.修改的响应文件应按照采购文件和“政采云”平台的要求进行编制、加密、标记和递交。 </w:t>
      </w:r>
    </w:p>
    <w:p>
      <w:pPr>
        <w:spacing w:line="360" w:lineRule="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十二、澄清、说明或者更正。</w:t>
      </w:r>
    </w:p>
    <w:p>
      <w:pPr>
        <w:pStyle w:val="16"/>
        <w:shd w:val="clear" w:color="auto" w:fill="FFFFFF"/>
        <w:spacing w:line="360" w:lineRule="auto"/>
        <w:rPr>
          <w:rFonts w:ascii="宋体" w:hAnsi="宋体"/>
          <w:color w:val="auto"/>
          <w:kern w:val="2"/>
          <w:sz w:val="28"/>
          <w:szCs w:val="28"/>
          <w:highlight w:val="none"/>
        </w:rPr>
      </w:pPr>
      <w:r>
        <w:rPr>
          <w:rFonts w:hint="eastAsia" w:ascii="宋体" w:hAnsi="宋体"/>
          <w:color w:val="auto"/>
          <w:kern w:val="2"/>
          <w:sz w:val="28"/>
          <w:szCs w:val="28"/>
          <w:highlight w:val="none"/>
        </w:rPr>
        <w:t xml:space="preserve">     磋</w:t>
      </w:r>
      <w:r>
        <w:rPr>
          <w:rFonts w:hint="eastAsia" w:ascii="宋体" w:hAnsi="宋体"/>
          <w:color w:val="auto"/>
          <w:sz w:val="28"/>
          <w:szCs w:val="28"/>
          <w:highlight w:val="none"/>
        </w:rPr>
        <w:t>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w:t>
      </w:r>
      <w:r>
        <w:rPr>
          <w:rFonts w:hint="eastAsia" w:ascii="宋体" w:hAnsi="宋体"/>
          <w:color w:val="auto"/>
          <w:kern w:val="2"/>
          <w:sz w:val="28"/>
          <w:szCs w:val="28"/>
          <w:highlight w:val="none"/>
        </w:rPr>
        <w:t>改变响应文件的实质性内容。</w:t>
      </w:r>
    </w:p>
    <w:p>
      <w:pPr>
        <w:pStyle w:val="16"/>
        <w:shd w:val="clear" w:color="auto" w:fill="FFFFFF"/>
        <w:spacing w:line="360" w:lineRule="auto"/>
        <w:rPr>
          <w:rFonts w:ascii="宋体" w:hAnsi="宋体"/>
          <w:color w:val="auto"/>
          <w:sz w:val="28"/>
          <w:szCs w:val="28"/>
          <w:highlight w:val="none"/>
        </w:rPr>
      </w:pPr>
      <w:r>
        <w:rPr>
          <w:rFonts w:hint="eastAsia" w:ascii="宋体" w:hAnsi="宋体"/>
          <w:color w:val="auto"/>
          <w:kern w:val="2"/>
          <w:sz w:val="28"/>
          <w:szCs w:val="28"/>
          <w:highlight w:val="none"/>
        </w:rPr>
        <w:t>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360" w:lineRule="auto"/>
        <w:rPr>
          <w:rFonts w:ascii="宋体" w:hAnsi="宋体" w:cs="宋体"/>
          <w:b/>
          <w:color w:val="auto"/>
          <w:sz w:val="28"/>
          <w:szCs w:val="28"/>
          <w:highlight w:val="none"/>
        </w:rPr>
      </w:pPr>
      <w:r>
        <w:rPr>
          <w:rFonts w:hint="eastAsia" w:ascii="宋体" w:hAnsi="宋体" w:cs="宋体"/>
          <w:b/>
          <w:color w:val="auto"/>
          <w:kern w:val="0"/>
          <w:sz w:val="28"/>
          <w:szCs w:val="28"/>
          <w:highlight w:val="none"/>
        </w:rPr>
        <w:t>十三、磋商及评审</w:t>
      </w:r>
    </w:p>
    <w:p>
      <w:pPr>
        <w:spacing w:line="360" w:lineRule="auto"/>
        <w:ind w:firstLine="562" w:firstLineChars="200"/>
        <w:rPr>
          <w:rFonts w:ascii="宋体" w:hAnsi="宋体" w:cs="宋体"/>
          <w:b/>
          <w:color w:val="auto"/>
          <w:kern w:val="0"/>
          <w:sz w:val="28"/>
          <w:szCs w:val="28"/>
          <w:highlight w:val="none"/>
        </w:rPr>
      </w:pPr>
      <w:bookmarkStart w:id="30" w:name="_Toc9393"/>
      <w:r>
        <w:rPr>
          <w:rFonts w:hint="eastAsia" w:ascii="宋体" w:hAnsi="宋体" w:cs="宋体"/>
          <w:b/>
          <w:color w:val="auto"/>
          <w:kern w:val="0"/>
          <w:sz w:val="28"/>
          <w:szCs w:val="28"/>
          <w:highlight w:val="none"/>
        </w:rPr>
        <w:t>（一）磋商程序</w:t>
      </w:r>
      <w:bookmarkEnd w:id="30"/>
    </w:p>
    <w:p>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1.代理机构将在“竞争性磋商公告”规定的时间和地点</w:t>
      </w:r>
      <w:r>
        <w:rPr>
          <w:rFonts w:hint="eastAsia" w:ascii="宋体" w:hAnsi="宋体" w:cs="宋体"/>
          <w:color w:val="auto"/>
          <w:sz w:val="28"/>
          <w:szCs w:val="28"/>
          <w:highlight w:val="none"/>
          <w:lang w:val="en-US" w:eastAsia="zh-CN"/>
        </w:rPr>
        <w:t>进行</w:t>
      </w:r>
      <w:r>
        <w:rPr>
          <w:rFonts w:hint="eastAsia" w:ascii="宋体" w:hAnsi="宋体" w:eastAsia="宋体" w:cs="宋体"/>
          <w:color w:val="auto"/>
          <w:sz w:val="28"/>
          <w:szCs w:val="28"/>
          <w:highlight w:val="none"/>
        </w:rPr>
        <w:t>磋商，供应商的法定代表人或其委托代理人应按时参加。</w:t>
      </w:r>
    </w:p>
    <w:p>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2.电子开标及响应文件解密</w:t>
      </w:r>
    </w:p>
    <w:p>
      <w:pPr>
        <w:widowControl/>
        <w:spacing w:line="360" w:lineRule="auto"/>
        <w:ind w:firstLine="562" w:firstLineChars="200"/>
        <w:jc w:val="left"/>
        <w:rPr>
          <w:rFonts w:ascii="宋体" w:hAnsi="宋体" w:cs="宋体"/>
          <w:color w:val="auto"/>
          <w:sz w:val="28"/>
          <w:szCs w:val="28"/>
          <w:highlight w:val="none"/>
        </w:rPr>
      </w:pPr>
      <w:r>
        <w:rPr>
          <w:rFonts w:hint="eastAsia" w:ascii="宋体" w:hAnsi="宋体" w:cs="宋体"/>
          <w:b/>
          <w:bCs/>
          <w:color w:val="auto"/>
          <w:kern w:val="0"/>
          <w:sz w:val="28"/>
          <w:szCs w:val="28"/>
          <w:highlight w:val="none"/>
        </w:rPr>
        <w:t>（1）响应文件解密：</w:t>
      </w:r>
      <w:r>
        <w:rPr>
          <w:rFonts w:hint="eastAsia" w:ascii="宋体" w:hAnsi="宋体" w:cs="宋体"/>
          <w:color w:val="auto"/>
          <w:sz w:val="28"/>
          <w:szCs w:val="28"/>
          <w:highlight w:val="none"/>
        </w:rPr>
        <w:t xml:space="preserve">采购代理机构依托电子交易平台发起开始解密指令，供应商须使用加密时所用的 CA 锁按平台提示和磋商文件的规定登录到“政 </w:t>
      </w:r>
    </w:p>
    <w:p>
      <w:pPr>
        <w:widowControl/>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采云”平台电子开标大厅签到，并在发起解密指令之时起</w:t>
      </w:r>
      <w:r>
        <w:rPr>
          <w:rFonts w:hint="eastAsia" w:ascii="宋体" w:hAnsi="宋体" w:cs="宋体"/>
          <w:color w:val="auto"/>
          <w:sz w:val="28"/>
          <w:szCs w:val="28"/>
          <w:highlight w:val="none"/>
          <w:lang w:val="en-US" w:eastAsia="zh-CN"/>
        </w:rPr>
        <w:t>在规定时间</w:t>
      </w:r>
      <w:r>
        <w:rPr>
          <w:rFonts w:hint="eastAsia" w:ascii="宋体" w:hAnsi="宋体" w:cs="宋体"/>
          <w:color w:val="auto"/>
          <w:sz w:val="28"/>
          <w:szCs w:val="28"/>
          <w:highlight w:val="none"/>
        </w:rPr>
        <w:t xml:space="preserve">内完成对电子响应文件在线解密。 </w:t>
      </w:r>
    </w:p>
    <w:p>
      <w:pPr>
        <w:widowControl/>
        <w:spacing w:line="360" w:lineRule="auto"/>
        <w:ind w:firstLine="422" w:firstLineChars="150"/>
        <w:jc w:val="left"/>
        <w:rPr>
          <w:rFonts w:ascii="宋体" w:hAnsi="宋体" w:cs="宋体"/>
          <w:color w:val="auto"/>
          <w:sz w:val="28"/>
          <w:szCs w:val="28"/>
          <w:highlight w:val="none"/>
        </w:rPr>
      </w:pPr>
      <w:r>
        <w:rPr>
          <w:rFonts w:hint="eastAsia" w:ascii="宋体" w:hAnsi="宋体" w:cs="宋体"/>
          <w:b/>
          <w:bCs/>
          <w:color w:val="auto"/>
          <w:kern w:val="0"/>
          <w:sz w:val="28"/>
          <w:szCs w:val="28"/>
          <w:highlight w:val="none"/>
        </w:rPr>
        <w:t>（2）供应</w:t>
      </w:r>
      <w:r>
        <w:rPr>
          <w:rFonts w:hint="eastAsia" w:ascii="宋体" w:hAnsi="宋体" w:cs="宋体"/>
          <w:b/>
          <w:bCs/>
          <w:color w:val="auto"/>
          <w:sz w:val="28"/>
          <w:szCs w:val="28"/>
          <w:highlight w:val="none"/>
        </w:rPr>
        <w:t>商未预留联系方式或预留联系方式无效，导致代理机构无法联系到供应商进行解密的，视为撤回响应文件。</w:t>
      </w:r>
      <w:r>
        <w:rPr>
          <w:rFonts w:hint="eastAsia" w:ascii="宋体" w:hAnsi="宋体" w:cs="宋体"/>
          <w:color w:val="auto"/>
          <w:sz w:val="28"/>
          <w:szCs w:val="28"/>
          <w:highlight w:val="none"/>
        </w:rPr>
        <w:t xml:space="preserve"> </w:t>
      </w:r>
    </w:p>
    <w:p>
      <w:pPr>
        <w:widowControl/>
        <w:spacing w:line="360" w:lineRule="auto"/>
        <w:ind w:firstLine="700" w:firstLineChars="25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如供应商成功解密响应文件，但未在“政采云”电子开标大厅参加开标的，视同认可开标过程和结果，由此产生的后果由供应商自行负责。 </w:t>
      </w:r>
    </w:p>
    <w:p>
      <w:pPr>
        <w:widowControl/>
        <w:spacing w:line="360" w:lineRule="auto"/>
        <w:ind w:firstLine="420" w:firstLineChars="150"/>
        <w:jc w:val="left"/>
        <w:rPr>
          <w:rFonts w:ascii="宋体" w:hAnsi="宋体" w:cs="宋体"/>
          <w:color w:val="auto"/>
          <w:sz w:val="28"/>
          <w:szCs w:val="28"/>
          <w:highlight w:val="none"/>
        </w:rPr>
      </w:pPr>
      <w:r>
        <w:rPr>
          <w:rFonts w:hint="eastAsia" w:ascii="宋体" w:hAnsi="宋体" w:cs="宋体"/>
          <w:color w:val="auto"/>
          <w:sz w:val="28"/>
          <w:szCs w:val="28"/>
          <w:highlight w:val="none"/>
        </w:rPr>
        <w:t>（3）供应商代表对开标过程和开标记录有疑义，以及认为采购人、采购代理机构相关工作人员有需要回避的情形的，应在线提出询问或者回避申请。采购人、采购代理机构对供应商代表提出的询问或者回避申请应当及时处理。</w:t>
      </w:r>
    </w:p>
    <w:p>
      <w:pPr>
        <w:widowControl/>
        <w:spacing w:line="360" w:lineRule="auto"/>
        <w:ind w:firstLine="560" w:firstLineChars="200"/>
        <w:jc w:val="left"/>
        <w:rPr>
          <w:rFonts w:ascii="宋体" w:hAnsi="宋体" w:cs="宋体"/>
          <w:b/>
          <w:color w:val="auto"/>
          <w:kern w:val="0"/>
          <w:sz w:val="28"/>
          <w:szCs w:val="28"/>
          <w:highlight w:val="none"/>
        </w:rPr>
      </w:pPr>
      <w:r>
        <w:rPr>
          <w:rFonts w:hint="eastAsia" w:ascii="宋体" w:hAnsi="宋体" w:cs="宋体"/>
          <w:color w:val="auto"/>
          <w:sz w:val="28"/>
          <w:szCs w:val="28"/>
          <w:highlight w:val="none"/>
        </w:rPr>
        <w:t>3.磋商：磋商小组与通过资格审查和符合性审查的单位进行磋商，供应商在规定的时间内报第二轮报价，第二轮报价即最终报价，磋商小组将按供应商的最终报价计算供应商的报价得分。</w:t>
      </w:r>
      <w:bookmarkStart w:id="31" w:name="_Toc1754"/>
    </w:p>
    <w:p>
      <w:pPr>
        <w:spacing w:line="360" w:lineRule="auto"/>
        <w:ind w:firstLine="562" w:firstLineChars="20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（二）评审</w:t>
      </w:r>
      <w:bookmarkEnd w:id="31"/>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1.评审由竞争性磋商小组（以下简称磋商小组）负责。磋商小组从</w:t>
      </w:r>
      <w:r>
        <w:rPr>
          <w:rFonts w:hint="eastAsia" w:ascii="宋体" w:hAnsi="宋体" w:cs="宋体"/>
          <w:bCs/>
          <w:color w:val="auto"/>
          <w:kern w:val="0"/>
          <w:sz w:val="28"/>
          <w:szCs w:val="28"/>
          <w:highlight w:val="none"/>
        </w:rPr>
        <w:t>专家库中随机抽取2人，采购人1人，共3人组成</w:t>
      </w:r>
      <w:r>
        <w:rPr>
          <w:rFonts w:hint="eastAsia" w:ascii="宋体" w:hAnsi="宋体" w:cs="宋体"/>
          <w:color w:val="auto"/>
          <w:sz w:val="28"/>
          <w:szCs w:val="28"/>
          <w:highlight w:val="none"/>
        </w:rPr>
        <w:t>。</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2.评审原则</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磋商小组根据供应商的响应文件，对通过资格审查、符合性评审、磋商的供应商的响应文件进行综合评分，按照评审得分由高到低顺序推荐成交候选供应商。</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3.评审</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磋商小组按照“评审办法”规定的</w:t>
      </w:r>
      <w:r>
        <w:rPr>
          <w:rFonts w:hint="eastAsia" w:ascii="宋体" w:hAnsi="宋体" w:cs="宋体"/>
          <w:color w:val="auto"/>
          <w:sz w:val="28"/>
          <w:szCs w:val="28"/>
          <w:highlight w:val="none"/>
          <w:lang w:val="en-US" w:eastAsia="zh-CN"/>
        </w:rPr>
        <w:t>评审</w:t>
      </w:r>
      <w:r>
        <w:rPr>
          <w:rFonts w:hint="eastAsia" w:ascii="宋体" w:hAnsi="宋体" w:cs="宋体"/>
          <w:color w:val="auto"/>
          <w:sz w:val="28"/>
          <w:szCs w:val="28"/>
          <w:highlight w:val="none"/>
        </w:rPr>
        <w:t>方法、评审因素、标准和程序对响应文件进行评审。</w:t>
      </w:r>
    </w:p>
    <w:p>
      <w:pPr>
        <w:spacing w:line="360" w:lineRule="auto"/>
        <w:rPr>
          <w:rFonts w:ascii="宋体" w:hAnsi="宋体" w:cs="宋体"/>
          <w:b/>
          <w:bCs/>
          <w:color w:val="auto"/>
          <w:kern w:val="0"/>
          <w:sz w:val="28"/>
          <w:szCs w:val="28"/>
          <w:highlight w:val="none"/>
        </w:rPr>
      </w:pPr>
      <w:r>
        <w:rPr>
          <w:rFonts w:hint="eastAsia" w:ascii="宋体" w:hAnsi="宋体" w:cs="宋体"/>
          <w:b/>
          <w:bCs/>
          <w:color w:val="auto"/>
          <w:sz w:val="28"/>
          <w:szCs w:val="28"/>
          <w:highlight w:val="none"/>
        </w:rPr>
        <w:t xml:space="preserve">   </w:t>
      </w:r>
      <w:bookmarkStart w:id="32" w:name="_Toc28082"/>
      <w:r>
        <w:rPr>
          <w:rFonts w:hint="eastAsia" w:ascii="宋体" w:hAnsi="宋体" w:cs="宋体"/>
          <w:b/>
          <w:bCs/>
          <w:color w:val="auto"/>
          <w:kern w:val="0"/>
          <w:sz w:val="28"/>
          <w:szCs w:val="28"/>
          <w:highlight w:val="none"/>
        </w:rPr>
        <w:t>（三）评审过程的保密</w:t>
      </w:r>
      <w:bookmarkEnd w:id="32"/>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磋商开始后，直到授予供应商合同止，凡是属于审查、澄清、评审和比较的有关资料以及成交建议等内容均应保密，参与磋商会议的各方应遵守工作纪律，不得向供应商或其他无关的人员泄露评审情况和评审中获悉商业秘密。</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供应商在评审过程中，所进行的力图影响评审结果的不公正活动，可能导致其响应文件被按无效处理。</w:t>
      </w:r>
    </w:p>
    <w:p>
      <w:pPr>
        <w:spacing w:line="360" w:lineRule="auto"/>
        <w:rPr>
          <w:rFonts w:ascii="宋体" w:hAnsi="宋体" w:cs="宋体"/>
          <w:b/>
          <w:bCs/>
          <w:color w:val="auto"/>
          <w:sz w:val="28"/>
          <w:szCs w:val="28"/>
          <w:highlight w:val="none"/>
        </w:rPr>
      </w:pPr>
      <w:r>
        <w:rPr>
          <w:rFonts w:hint="eastAsia" w:ascii="宋体" w:hAnsi="宋体" w:cs="宋体"/>
          <w:color w:val="auto"/>
          <w:sz w:val="28"/>
          <w:szCs w:val="28"/>
          <w:highlight w:val="none"/>
        </w:rPr>
        <w:t xml:space="preserve">    </w:t>
      </w:r>
      <w:bookmarkStart w:id="33" w:name="OLE_LINK12"/>
      <w:r>
        <w:rPr>
          <w:rFonts w:hint="eastAsia" w:ascii="宋体" w:hAnsi="宋体" w:cs="宋体"/>
          <w:b/>
          <w:bCs/>
          <w:color w:val="auto"/>
          <w:kern w:val="0"/>
          <w:sz w:val="28"/>
          <w:szCs w:val="28"/>
          <w:highlight w:val="none"/>
        </w:rPr>
        <w:t>（四）出现</w:t>
      </w:r>
      <w:r>
        <w:rPr>
          <w:rFonts w:hint="eastAsia" w:ascii="宋体" w:hAnsi="宋体" w:cs="宋体"/>
          <w:b/>
          <w:bCs/>
          <w:color w:val="auto"/>
          <w:sz w:val="28"/>
          <w:szCs w:val="28"/>
          <w:highlight w:val="none"/>
        </w:rPr>
        <w:t>下列情形之一的，采购人或者代理机构应当</w:t>
      </w:r>
      <w:bookmarkStart w:id="34" w:name="OLE_LINK2"/>
      <w:r>
        <w:rPr>
          <w:rFonts w:hint="eastAsia" w:ascii="宋体" w:hAnsi="宋体" w:cs="宋体"/>
          <w:b/>
          <w:bCs/>
          <w:color w:val="auto"/>
          <w:sz w:val="28"/>
          <w:szCs w:val="28"/>
          <w:highlight w:val="none"/>
        </w:rPr>
        <w:t>终止竞争性磋商采购活动</w:t>
      </w:r>
      <w:bookmarkEnd w:id="34"/>
      <w:r>
        <w:rPr>
          <w:rFonts w:hint="eastAsia" w:ascii="宋体" w:hAnsi="宋体" w:cs="宋体"/>
          <w:b/>
          <w:bCs/>
          <w:color w:val="auto"/>
          <w:sz w:val="28"/>
          <w:szCs w:val="28"/>
          <w:highlight w:val="none"/>
        </w:rPr>
        <w:t>，发布项目终止公告并说明原因，重新开展采购活动:</w:t>
      </w:r>
    </w:p>
    <w:p>
      <w:pPr>
        <w:spacing w:line="360" w:lineRule="auto"/>
        <w:ind w:firstLine="560" w:firstLineChars="20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1.因情况变化，不再符合规定的竞争性磋商采购方式适用情形的；</w:t>
      </w:r>
    </w:p>
    <w:p>
      <w:pPr>
        <w:spacing w:line="360" w:lineRule="auto"/>
        <w:ind w:firstLine="560" w:firstLineChars="20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2.出现影响采购公正的违法、违规行为的；</w:t>
      </w:r>
    </w:p>
    <w:p>
      <w:pPr>
        <w:spacing w:line="360" w:lineRule="auto"/>
        <w:ind w:firstLine="560" w:firstLineChars="20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lang w:val="en-US" w:eastAsia="zh-CN"/>
        </w:rPr>
        <w:t>3.</w:t>
      </w:r>
      <w:r>
        <w:rPr>
          <w:rFonts w:hint="eastAsia" w:ascii="宋体" w:hAnsi="宋体" w:cs="宋体"/>
          <w:bCs/>
          <w:color w:val="auto"/>
          <w:sz w:val="28"/>
          <w:szCs w:val="28"/>
          <w:highlight w:val="none"/>
        </w:rPr>
        <w:t>除“市场竞争不充分的科研项目，以及需要扶持的科技成果转化项目，提交最后报价的磋商响应人可以为2家”，以及“政府购买服务项目（含政府和社会资本合作项目）在采购过程中符合要求的磋商响应人（社会资本）只有2家”的情形外，以及在采购过程中符合要求的磋商响应人或者报价未超过采购预算的磋商响应人不足3家的。</w:t>
      </w:r>
    </w:p>
    <w:bookmarkEnd w:id="33"/>
    <w:p>
      <w:pPr>
        <w:spacing w:line="360" w:lineRule="auto"/>
        <w:rPr>
          <w:rFonts w:ascii="宋体" w:hAnsi="宋体" w:cs="宋体"/>
          <w:b/>
          <w:color w:val="auto"/>
          <w:sz w:val="28"/>
          <w:szCs w:val="28"/>
          <w:highlight w:val="none"/>
        </w:rPr>
      </w:pPr>
      <w:bookmarkStart w:id="35" w:name="_Toc19744"/>
      <w:bookmarkStart w:id="36" w:name="_Toc437094951"/>
      <w:bookmarkStart w:id="37" w:name="_Toc86124069"/>
      <w:bookmarkStart w:id="38" w:name="_Toc13190"/>
      <w:bookmarkStart w:id="39" w:name="_Toc21407"/>
      <w:r>
        <w:rPr>
          <w:rFonts w:hint="eastAsia" w:ascii="宋体" w:hAnsi="宋体" w:cs="宋体"/>
          <w:b/>
          <w:color w:val="auto"/>
          <w:sz w:val="28"/>
          <w:szCs w:val="28"/>
          <w:highlight w:val="none"/>
        </w:rPr>
        <w:t>十四、成交结果</w:t>
      </w:r>
      <w:bookmarkEnd w:id="35"/>
      <w:bookmarkEnd w:id="36"/>
      <w:bookmarkEnd w:id="37"/>
    </w:p>
    <w:p>
      <w:pPr>
        <w:spacing w:line="360" w:lineRule="auto"/>
        <w:ind w:firstLine="560" w:firstLineChars="200"/>
        <w:rPr>
          <w:rFonts w:ascii="宋体" w:hAnsi="宋体" w:cs="宋体"/>
          <w:color w:val="auto"/>
          <w:sz w:val="28"/>
          <w:szCs w:val="28"/>
          <w:highlight w:val="none"/>
        </w:rPr>
      </w:pPr>
      <w:bookmarkStart w:id="40" w:name="_Toc437094952"/>
      <w:bookmarkStart w:id="41" w:name="_Toc29494"/>
      <w:bookmarkStart w:id="42" w:name="_Toc86124070"/>
      <w:r>
        <w:rPr>
          <w:rFonts w:hint="eastAsia" w:ascii="宋体" w:hAnsi="宋体" w:cs="宋体"/>
          <w:color w:val="auto"/>
          <w:sz w:val="28"/>
          <w:szCs w:val="28"/>
          <w:highlight w:val="none"/>
        </w:rPr>
        <w:t>（一）成交供应商的确定</w:t>
      </w:r>
      <w:bookmarkEnd w:id="40"/>
      <w:bookmarkEnd w:id="41"/>
      <w:bookmarkEnd w:id="42"/>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1.代理机构在评审结束后2个工作日内将评审报告送采购人确认。</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2.采购人在收到评审报告后5个工作日内，从评审报告提出的成交候选供应商</w:t>
      </w:r>
      <w:r>
        <w:rPr>
          <w:rFonts w:hint="eastAsia" w:ascii="宋体" w:hAnsi="宋体" w:cs="宋体"/>
          <w:color w:val="auto"/>
          <w:sz w:val="28"/>
          <w:szCs w:val="28"/>
          <w:highlight w:val="none"/>
          <w:lang w:val="en-US" w:eastAsia="zh-CN"/>
        </w:rPr>
        <w:t>中</w:t>
      </w:r>
      <w:r>
        <w:rPr>
          <w:rFonts w:hint="eastAsia" w:ascii="宋体" w:hAnsi="宋体" w:cs="宋体"/>
          <w:color w:val="auto"/>
          <w:sz w:val="28"/>
          <w:szCs w:val="28"/>
          <w:highlight w:val="none"/>
        </w:rPr>
        <w:t>，按照评审报告中推荐的成交候选供应商顺序确定1名成交供应商。</w:t>
      </w:r>
    </w:p>
    <w:p>
      <w:pPr>
        <w:spacing w:line="360" w:lineRule="auto"/>
        <w:ind w:firstLine="560" w:firstLineChars="200"/>
        <w:rPr>
          <w:rFonts w:ascii="宋体" w:hAnsi="宋体" w:cs="宋体"/>
          <w:color w:val="auto"/>
          <w:sz w:val="28"/>
          <w:szCs w:val="28"/>
          <w:highlight w:val="none"/>
        </w:rPr>
      </w:pPr>
      <w:bookmarkStart w:id="43" w:name="_Toc19430"/>
      <w:bookmarkStart w:id="44" w:name="_Toc437094953"/>
      <w:r>
        <w:rPr>
          <w:rFonts w:hint="eastAsia" w:ascii="宋体" w:hAnsi="宋体" w:cs="宋体"/>
          <w:color w:val="auto"/>
          <w:sz w:val="28"/>
          <w:szCs w:val="28"/>
          <w:highlight w:val="none"/>
        </w:rPr>
        <w:t>（二）成交通知书</w:t>
      </w:r>
      <w:bookmarkEnd w:id="43"/>
      <w:bookmarkEnd w:id="44"/>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1.成交供应商确定后，成交结果由代理机构在云南省政府采购网（http://www.yngp.com/）上进行公示。</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2.公示期1个工作日，发出成交结果公告的同时发出成交通知书。</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3.成交通知书是合同的一个组成部分。</w:t>
      </w:r>
      <w:bookmarkStart w:id="45" w:name="_Toc29230"/>
      <w:bookmarkStart w:id="46" w:name="_Toc437094954"/>
      <w:bookmarkStart w:id="47" w:name="_Toc86124072"/>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（三）签订合同</w:t>
      </w:r>
      <w:bookmarkEnd w:id="45"/>
      <w:bookmarkEnd w:id="46"/>
      <w:bookmarkEnd w:id="47"/>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1.采购人与成交供应商应当在成交通知书发出之日起30日内，按照磋商文件确定的合同文本以及采购标的、服务要求等事项签订政府采购合同。</w:t>
      </w:r>
    </w:p>
    <w:p>
      <w:pPr>
        <w:pStyle w:val="16"/>
        <w:shd w:val="clear" w:color="auto" w:fill="FFFFFF"/>
        <w:spacing w:line="360" w:lineRule="auto"/>
        <w:ind w:firstLine="480"/>
        <w:rPr>
          <w:rFonts w:ascii="宋体" w:hAnsi="宋体"/>
          <w:color w:val="auto"/>
          <w:kern w:val="2"/>
          <w:sz w:val="28"/>
          <w:szCs w:val="28"/>
          <w:highlight w:val="none"/>
        </w:rPr>
      </w:pPr>
      <w:r>
        <w:rPr>
          <w:rFonts w:hint="eastAsia" w:ascii="宋体" w:hAnsi="宋体"/>
          <w:color w:val="auto"/>
          <w:kern w:val="2"/>
          <w:sz w:val="28"/>
          <w:szCs w:val="28"/>
          <w:highlight w:val="none"/>
        </w:rPr>
        <w:t>2.成交供应商因不可抗力或者自身原因不能履行政府采购合同的，采购人可以与排位在成交供应商之后第一位的成交候选供应商签订政府采购合同，也可以重新开展采购活动。拒绝签订政府采购合同的成交供应商不得参加对该项目重新开展的采购活动。</w:t>
      </w:r>
    </w:p>
    <w:p>
      <w:pPr>
        <w:snapToGrid w:val="0"/>
        <w:spacing w:line="360" w:lineRule="auto"/>
        <w:outlineLvl w:val="2"/>
        <w:rPr>
          <w:rFonts w:ascii="宋体" w:hAnsi="宋体" w:cs="宋体"/>
          <w:b/>
          <w:color w:val="auto"/>
          <w:sz w:val="28"/>
          <w:szCs w:val="28"/>
          <w:highlight w:val="none"/>
        </w:rPr>
      </w:pPr>
      <w:r>
        <w:rPr>
          <w:rFonts w:hint="eastAsia" w:ascii="宋体" w:hAnsi="宋体" w:cs="宋体"/>
          <w:b/>
          <w:color w:val="auto"/>
          <w:sz w:val="28"/>
          <w:szCs w:val="28"/>
          <w:highlight w:val="none"/>
        </w:rPr>
        <w:t>十五、质疑与投诉</w:t>
      </w:r>
    </w:p>
    <w:p>
      <w:pPr>
        <w:spacing w:line="360" w:lineRule="auto"/>
        <w:ind w:firstLine="562" w:firstLineChars="200"/>
        <w:jc w:val="left"/>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（一）质疑</w:t>
      </w:r>
    </w:p>
    <w:p>
      <w:pPr>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供应商认为采购文件、采购过程和中标、成交结果使自己的权益受到损害的，可以在知道或者应知其权益受到损害之日起七个工作日内，以书面形式向采购人提出质疑。供应商在法定质疑期内一次性提出针对同一采购程序环节的质疑。</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2.质疑的供应商（以下简称质疑供应商）应当是参与所质疑项目采购活动的供应商。</w:t>
      </w:r>
    </w:p>
    <w:p>
      <w:pPr>
        <w:snapToGrid w:val="0"/>
        <w:spacing w:line="360" w:lineRule="auto"/>
        <w:ind w:firstLine="560" w:firstLineChars="200"/>
        <w:rPr>
          <w:rFonts w:ascii="宋体" w:hAnsi="宋体"/>
          <w:color w:val="auto"/>
          <w:sz w:val="28"/>
          <w:szCs w:val="28"/>
          <w:highlight w:val="none"/>
          <w:shd w:val="clear" w:color="auto" w:fill="FFFFFF"/>
        </w:rPr>
      </w:pPr>
      <w:r>
        <w:rPr>
          <w:rFonts w:hint="eastAsia" w:ascii="宋体" w:hAnsi="宋体" w:cs="宋体"/>
          <w:color w:val="auto"/>
          <w:sz w:val="28"/>
          <w:szCs w:val="28"/>
          <w:highlight w:val="none"/>
        </w:rPr>
        <w:t>潜在供应商已依法获取其可质疑的采购文件的，可以对该</w:t>
      </w:r>
      <w:r>
        <w:rPr>
          <w:rFonts w:hint="eastAsia" w:ascii="宋体" w:hAnsi="宋体" w:cs="宋体"/>
          <w:color w:val="auto"/>
          <w:sz w:val="28"/>
          <w:szCs w:val="28"/>
          <w:highlight w:val="none"/>
          <w:lang w:val="en-US" w:eastAsia="zh-CN"/>
        </w:rPr>
        <w:t>采购</w:t>
      </w:r>
      <w:r>
        <w:rPr>
          <w:rFonts w:hint="eastAsia" w:ascii="宋体" w:hAnsi="宋体" w:cs="宋体"/>
          <w:color w:val="auto"/>
          <w:sz w:val="28"/>
          <w:szCs w:val="28"/>
          <w:highlight w:val="none"/>
        </w:rPr>
        <w:t>文件质疑。对采购文件质疑的，应当在获取采购文件或者采购文件公告期限届满之日起7个工作日内提出。</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3.供应商质疑应当提交质疑函和必要的证明材料。质疑函应当包括下列内容：</w:t>
      </w:r>
    </w:p>
    <w:p>
      <w:pPr>
        <w:pStyle w:val="16"/>
        <w:shd w:val="clear" w:color="auto" w:fill="FFFFFF"/>
        <w:spacing w:line="360" w:lineRule="auto"/>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　</w:t>
      </w:r>
      <w:r>
        <w:rPr>
          <w:rFonts w:ascii="宋体" w:hAnsi="宋体"/>
          <w:color w:val="auto"/>
          <w:kern w:val="2"/>
          <w:sz w:val="28"/>
          <w:szCs w:val="28"/>
          <w:highlight w:val="none"/>
        </w:rPr>
        <w:t xml:space="preserve"> </w:t>
      </w:r>
      <w:r>
        <w:rPr>
          <w:rFonts w:hint="eastAsia" w:ascii="宋体" w:hAnsi="宋体"/>
          <w:color w:val="auto"/>
          <w:kern w:val="2"/>
          <w:sz w:val="28"/>
          <w:szCs w:val="28"/>
          <w:highlight w:val="none"/>
        </w:rPr>
        <w:t>（1）供应商的姓名或者名称、地址、邮编、联系人及联系电话；</w:t>
      </w:r>
    </w:p>
    <w:p>
      <w:pPr>
        <w:pStyle w:val="16"/>
        <w:shd w:val="clear" w:color="auto" w:fill="FFFFFF"/>
        <w:spacing w:line="360" w:lineRule="auto"/>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　</w:t>
      </w:r>
      <w:r>
        <w:rPr>
          <w:rFonts w:ascii="宋体" w:hAnsi="宋体"/>
          <w:color w:val="auto"/>
          <w:kern w:val="2"/>
          <w:sz w:val="28"/>
          <w:szCs w:val="28"/>
          <w:highlight w:val="none"/>
        </w:rPr>
        <w:t xml:space="preserve"> </w:t>
      </w:r>
      <w:r>
        <w:rPr>
          <w:rFonts w:hint="eastAsia" w:ascii="宋体" w:hAnsi="宋体"/>
          <w:color w:val="auto"/>
          <w:kern w:val="2"/>
          <w:sz w:val="28"/>
          <w:szCs w:val="28"/>
          <w:highlight w:val="none"/>
        </w:rPr>
        <w:t>（2）质疑项目的名称；</w:t>
      </w:r>
    </w:p>
    <w:p>
      <w:pPr>
        <w:pStyle w:val="16"/>
        <w:shd w:val="clear" w:color="auto" w:fill="FFFFFF"/>
        <w:spacing w:line="360" w:lineRule="auto"/>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　</w:t>
      </w:r>
      <w:r>
        <w:rPr>
          <w:rFonts w:ascii="宋体" w:hAnsi="宋体"/>
          <w:color w:val="auto"/>
          <w:kern w:val="2"/>
          <w:sz w:val="28"/>
          <w:szCs w:val="28"/>
          <w:highlight w:val="none"/>
        </w:rPr>
        <w:t xml:space="preserve"> </w:t>
      </w:r>
      <w:r>
        <w:rPr>
          <w:rFonts w:hint="eastAsia" w:ascii="宋体" w:hAnsi="宋体"/>
          <w:color w:val="auto"/>
          <w:kern w:val="2"/>
          <w:sz w:val="28"/>
          <w:szCs w:val="28"/>
          <w:highlight w:val="none"/>
        </w:rPr>
        <w:t>（3）具体、明确的质疑事项和与质疑事项相关的请求；</w:t>
      </w:r>
    </w:p>
    <w:p>
      <w:pPr>
        <w:pStyle w:val="16"/>
        <w:shd w:val="clear" w:color="auto" w:fill="FFFFFF"/>
        <w:spacing w:line="360" w:lineRule="auto"/>
        <w:ind w:firstLine="420" w:firstLineChars="150"/>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（4）事实依据；</w:t>
      </w:r>
    </w:p>
    <w:p>
      <w:pPr>
        <w:pStyle w:val="16"/>
        <w:shd w:val="clear" w:color="auto" w:fill="FFFFFF"/>
        <w:spacing w:line="360" w:lineRule="auto"/>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　</w:t>
      </w:r>
      <w:r>
        <w:rPr>
          <w:rFonts w:ascii="宋体" w:hAnsi="宋体"/>
          <w:color w:val="auto"/>
          <w:kern w:val="2"/>
          <w:sz w:val="28"/>
          <w:szCs w:val="28"/>
          <w:highlight w:val="none"/>
        </w:rPr>
        <w:t xml:space="preserve"> </w:t>
      </w:r>
      <w:r>
        <w:rPr>
          <w:rFonts w:hint="eastAsia" w:ascii="宋体" w:hAnsi="宋体"/>
          <w:color w:val="auto"/>
          <w:kern w:val="2"/>
          <w:sz w:val="28"/>
          <w:szCs w:val="28"/>
          <w:highlight w:val="none"/>
        </w:rPr>
        <w:t>（5）必要的法律依据；</w:t>
      </w:r>
    </w:p>
    <w:p>
      <w:pPr>
        <w:pStyle w:val="16"/>
        <w:shd w:val="clear" w:color="auto" w:fill="FFFFFF"/>
        <w:spacing w:line="360" w:lineRule="auto"/>
        <w:jc w:val="both"/>
        <w:textAlignment w:val="baseline"/>
        <w:rPr>
          <w:rFonts w:ascii="宋体" w:hAnsi="宋体"/>
          <w:color w:val="auto"/>
          <w:kern w:val="2"/>
          <w:sz w:val="28"/>
          <w:szCs w:val="28"/>
          <w:highlight w:val="none"/>
        </w:rPr>
      </w:pPr>
      <w:r>
        <w:rPr>
          <w:rFonts w:hint="eastAsia" w:ascii="宋体" w:hAnsi="宋体"/>
          <w:color w:val="auto"/>
          <w:kern w:val="2"/>
          <w:sz w:val="28"/>
          <w:szCs w:val="28"/>
          <w:highlight w:val="none"/>
        </w:rPr>
        <w:t>　</w:t>
      </w:r>
      <w:r>
        <w:rPr>
          <w:rFonts w:ascii="宋体" w:hAnsi="宋体"/>
          <w:color w:val="auto"/>
          <w:kern w:val="2"/>
          <w:sz w:val="28"/>
          <w:szCs w:val="28"/>
          <w:highlight w:val="none"/>
        </w:rPr>
        <w:t xml:space="preserve"> </w:t>
      </w:r>
      <w:r>
        <w:rPr>
          <w:rFonts w:hint="eastAsia" w:ascii="宋体" w:hAnsi="宋体"/>
          <w:color w:val="auto"/>
          <w:kern w:val="2"/>
          <w:sz w:val="28"/>
          <w:szCs w:val="28"/>
          <w:highlight w:val="none"/>
        </w:rPr>
        <w:t>（6）提出质疑的日期。</w:t>
      </w:r>
    </w:p>
    <w:p>
      <w:pPr>
        <w:pStyle w:val="16"/>
        <w:shd w:val="clear" w:color="auto" w:fill="FFFFFF"/>
        <w:spacing w:line="360" w:lineRule="auto"/>
        <w:jc w:val="both"/>
        <w:textAlignment w:val="baseline"/>
        <w:rPr>
          <w:rFonts w:ascii="宋体" w:hAnsi="宋体"/>
          <w:color w:val="auto"/>
          <w:sz w:val="28"/>
          <w:szCs w:val="28"/>
          <w:highlight w:val="none"/>
        </w:rPr>
      </w:pPr>
      <w:r>
        <w:rPr>
          <w:rFonts w:hint="eastAsia" w:ascii="宋体" w:hAnsi="宋体"/>
          <w:color w:val="auto"/>
          <w:kern w:val="2"/>
          <w:sz w:val="28"/>
          <w:szCs w:val="28"/>
          <w:highlight w:val="none"/>
        </w:rPr>
        <w:t>　　供应商为自然人的，应当由本人签字；供应商为法人或者其他组织的，应当由法定代表人、主要负责人，或者其授权代表签字或者盖章，并加盖公章。</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4.接收质疑函的方式、联系电话和通讯地址</w:t>
      </w: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对磋商文件、采购过程、中标或者成交结果有质疑的应以书面形式递交至瑞丽市政府采购和出让中心，地址：瑞丽市新建路</w:t>
      </w:r>
      <w:r>
        <w:rPr>
          <w:rFonts w:hint="eastAsia" w:ascii="宋体" w:hAnsi="宋体" w:eastAsia="宋体" w:cs="宋体"/>
          <w:color w:val="auto"/>
          <w:sz w:val="28"/>
          <w:szCs w:val="28"/>
          <w:highlight w:val="none"/>
        </w:rPr>
        <w:t>2号瑞丽市民鑫服务中心五楼</w:t>
      </w:r>
      <w:r>
        <w:rPr>
          <w:rFonts w:hint="eastAsia" w:ascii="宋体" w:hAnsi="宋体" w:eastAsia="宋体" w:cs="宋体"/>
          <w:color w:val="auto"/>
          <w:sz w:val="28"/>
          <w:szCs w:val="28"/>
          <w:highlight w:val="none"/>
          <w:lang w:val="en-US" w:eastAsia="zh-CN"/>
        </w:rPr>
        <w:t>办公室</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联系电话：0692-4125123。</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5.采购人、代理机构不得拒收质疑供应商在法定质疑期内发出的质疑函，应当在收到质疑函后7个工作日内作出答复，并以书面形式通知质疑供应商和其他有关供应商。</w:t>
      </w:r>
    </w:p>
    <w:p>
      <w:pPr>
        <w:spacing w:line="360" w:lineRule="auto"/>
        <w:ind w:firstLine="562" w:firstLineChars="200"/>
        <w:jc w:val="left"/>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（二）投诉</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1.质疑供应商对采购人、代理机构的答复不满意，或者采购人、代理机构未在规定时间内作出答复的，可以在答复期满后15个工作日内向项目所在地财政部门提起投诉。</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2.投诉人投诉时,应当提交投诉书和必要的证明材料，并按照被投诉采购人、代理机构（以下简称被投诉人）和与投诉事项有关的供应商数量提供投诉书的副本。投诉书应当包括下列内容：</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（1）投诉人和被投诉人的姓名或者名称、通讯地址、邮编、联系人及联系电话；</w:t>
      </w:r>
    </w:p>
    <w:p>
      <w:pPr>
        <w:snapToGrid w:val="0"/>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　（2）质疑和质疑答复情况说明及相关证明材料；</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（3）具体、明确的投诉事项和与投诉事项相关的投诉请求；</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（4）事实依据；</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（5）法律依据；</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（6）提起投诉的日期。</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投诉人为自然人的，应当由本人签字；投诉人为法人或者其他组织的，应当由法定代表人、主要负责人，或者其授权代表签字或者盖章，并加盖公章。</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3.投诉人提起投诉应当符合下列条件：</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（1）提起投诉前已依法进行质疑；</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（2）投诉书内容符合本办法的规定；</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（3）在投诉有效期限内提起投诉；</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（4）同一投诉事项未经财政部门投诉处理；</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（5）财政部规定的其他条件。</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4.供应商投诉的事项不得超出已质疑事项的范围，但基于质疑答复内容提出的投诉事项除外。</w:t>
      </w:r>
    </w:p>
    <w:bookmarkEnd w:id="38"/>
    <w:bookmarkEnd w:id="39"/>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十六、小微企业及优先采购政策</w:t>
      </w:r>
    </w:p>
    <w:p>
      <w:pPr>
        <w:pStyle w:val="26"/>
        <w:ind w:firstLine="562" w:firstLineChars="200"/>
        <w:rPr>
          <w:color w:val="auto"/>
          <w:highlight w:val="none"/>
        </w:rPr>
      </w:pPr>
      <w:bookmarkStart w:id="48" w:name="_Toc16458"/>
      <w:bookmarkStart w:id="49" w:name="_Toc16987"/>
      <w:r>
        <w:rPr>
          <w:rFonts w:hint="eastAsia" w:ascii="宋体" w:hAnsi="宋体" w:cs="宋体"/>
          <w:b/>
          <w:bCs/>
          <w:color w:val="auto"/>
          <w:sz w:val="28"/>
          <w:szCs w:val="28"/>
          <w:highlight w:val="none"/>
        </w:rPr>
        <w:t>（一）小微企业</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2.符合中小企业划分标准的个体工商户，在政府采购活动中视同中小企业。</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w:t>
      </w:r>
      <w:r>
        <w:rPr>
          <w:rFonts w:ascii="宋体" w:hAnsi="宋体" w:cs="宋体"/>
          <w:color w:val="auto"/>
          <w:sz w:val="28"/>
          <w:szCs w:val="28"/>
          <w:highlight w:val="none"/>
        </w:rPr>
        <w:t>.</w:t>
      </w:r>
      <w:r>
        <w:rPr>
          <w:rFonts w:hint="eastAsia" w:ascii="宋体" w:hAnsi="宋体" w:cs="宋体"/>
          <w:color w:val="auto"/>
          <w:sz w:val="28"/>
          <w:szCs w:val="28"/>
          <w:highlight w:val="none"/>
        </w:rPr>
        <w:t>在政府采购活动中，磋商响应人提供的货物符合下列情形的，享受《关于印发&lt;政府采购促进中小企业发展管理办法&gt;的通知》（财库〔2020〕46号）规定的中小企业扶持政策：货物由中小企业制造，即货物由中小企业生产且使用该中小企业商号或者注册商标。</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4.在货物采购项目中，磋商响应人提供的货物既有中小企业制造货物，也有大型企业制造货物的，不享受本办法规定的中小企业扶持政策。</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中小企业参加政府采购活动，应当出具《关于印发&lt;政府采购促进中小企业发展管理办法&gt;的通知》（财库〔2020〕46号）规定的《中小企业声明函》（详见磋商响应文件格式），否则不得享受相关中小企业扶持政策。</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6.根据《关于印发&lt;政府采购促进中小企业发展管理办法&gt;的通知》（财库〔2020〕46号）规定享受扶持政策获得政府采购合同的，小微企业不得将合同分包给大中型企业，中型企业不得将合同分包给大型企业。</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7.根据《关于进一步加大政府采购支持中小企业力度的通知》（财库〔2022〕19号）规定，本项目针对小微企业报价给予10%的扣除，用扣除后的价格参与评审。</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即：评标价=投标报价×(1-10%)。</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8.根据《关于印发&lt;政府采购促进中小企业发展管理办法&gt;的通知》（财库〔2020〕46号）、《关于进一步加大政府采购支持中小企业力度的通知》（ 财库〔2022〕19号）规定，本项目允许大中型企业向一家或者多家小微企业分包，对于分包意向协议约定小微企业的合同份额占到合同总金额30%以上的，采购人、采购代理机构应当对大中型企业的报价给予4%的扣除，用扣除后的价格参加评审。即：评标价=投标报价×(1-4%)。</w:t>
      </w:r>
    </w:p>
    <w:p>
      <w:pPr>
        <w:snapToGrid w:val="0"/>
        <w:spacing w:line="360" w:lineRule="auto"/>
        <w:ind w:firstLine="560" w:firstLineChars="200"/>
        <w:rPr>
          <w:rFonts w:ascii="宋体" w:hAnsi="宋体" w:cs="宋体"/>
          <w:b/>
          <w:bCs/>
          <w:color w:val="auto"/>
          <w:sz w:val="28"/>
          <w:szCs w:val="28"/>
          <w:highlight w:val="none"/>
        </w:rPr>
      </w:pPr>
      <w:r>
        <w:rPr>
          <w:rFonts w:hint="eastAsia" w:ascii="宋体" w:hAnsi="宋体" w:cs="宋体"/>
          <w:color w:val="auto"/>
          <w:sz w:val="28"/>
          <w:szCs w:val="28"/>
          <w:highlight w:val="none"/>
        </w:rPr>
        <w:t>9.中标人享受本办法规定的中小企业扶持政策的，招标人、代理机构应当随中标结果公开中标人的《中小企业声明函》。磋商响应人按照本办法规定提供声明函内容不实的，属于提供虚假材料谋取中标，依照《中华人民共和国政府采购法》等国家有关规定追究相应责任。</w:t>
      </w:r>
    </w:p>
    <w:p>
      <w:pPr>
        <w:spacing w:line="360" w:lineRule="auto"/>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（二）监狱企业</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360" w:lineRule="auto"/>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（三）残疾人福利性单位</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根据《财政部 民政部 中国残疾人联合会关于促进残疾人就业政府采购政策的通知》（财库〔2017〕141号），享受政府采购支持政策的残疾人福利性单位应当同时满足以下条件：</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1.安置的残疾人占本单位在职职工人数的比例不低于25%（含25%），并且安置的残疾人人数不少于10人（含10人）；</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2.依法与安置的每位残疾人签订了一年以上（含一年）的劳动合同或服务协议；</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3.为安置的每位残疾人按月足额缴纳了基本养老保险、基本医疗保险、失业保险、工伤保险和生育保险等社会保险费；</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4.通过银行等金融机构向安置的每位残疾人，按月支付了不低于单位所在区县适用的经省级人民政府批准的月最低工资标准的工资；</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符合条件的残疾人福利性单位在参加政府采购活动时，应当提供《残疾人福利性单位声明函》，并对声明的真实性负责。</w:t>
      </w:r>
    </w:p>
    <w:p>
      <w:pPr>
        <w:snapToGrid w:val="0"/>
        <w:spacing w:line="360" w:lineRule="auto"/>
        <w:rPr>
          <w:rFonts w:hint="eastAsia" w:ascii="宋体" w:hAnsi="宋体" w:eastAsia="宋体" w:cs="宋体"/>
          <w:color w:val="auto"/>
          <w:sz w:val="28"/>
          <w:szCs w:val="28"/>
          <w:highlight w:val="none"/>
        </w:rPr>
      </w:pPr>
      <w:r>
        <w:rPr>
          <w:rFonts w:hint="eastAsia" w:ascii="宋体" w:hAnsi="宋体" w:cs="宋体"/>
          <w:b/>
          <w:color w:val="auto"/>
          <w:sz w:val="28"/>
          <w:szCs w:val="28"/>
          <w:highlight w:val="none"/>
        </w:rPr>
        <w:t>十</w:t>
      </w: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rPr>
        <w:t>、</w:t>
      </w:r>
      <w:r>
        <w:rPr>
          <w:rFonts w:hint="eastAsia" w:ascii="宋体" w:hAnsi="宋体" w:eastAsia="宋体" w:cs="宋体"/>
          <w:b/>
          <w:color w:val="auto"/>
          <w:sz w:val="28"/>
          <w:szCs w:val="28"/>
          <w:highlight w:val="none"/>
        </w:rPr>
        <w:t>其它事项</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（一）本项目行业划分：物业管理。</w:t>
      </w:r>
      <w:r>
        <w:rPr>
          <w:rFonts w:hint="default" w:ascii="宋体" w:hAnsi="宋体" w:eastAsia="宋体" w:cs="宋体"/>
          <w:color w:val="auto"/>
          <w:sz w:val="28"/>
          <w:szCs w:val="28"/>
          <w:highlight w:val="none"/>
        </w:rPr>
        <w:t>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（二）资格审查未通过告知事宜。请各投标人在中标公告发布期内关注自己在投标文件里预留的邮箱，投标人如资格审查未通过将会收到资格审查不通过的告知书。</w:t>
      </w:r>
    </w:p>
    <w:p>
      <w:pPr>
        <w:spacing w:line="360" w:lineRule="auto"/>
        <w:jc w:val="both"/>
        <w:rPr>
          <w:rFonts w:hint="eastAsia" w:ascii="宋体" w:hAnsi="宋体" w:eastAsia="宋体" w:cs="宋体"/>
          <w:color w:val="auto"/>
          <w:sz w:val="28"/>
          <w:szCs w:val="28"/>
          <w:highlight w:val="none"/>
        </w:rPr>
      </w:pPr>
    </w:p>
    <w:p>
      <w:pPr>
        <w:spacing w:line="360" w:lineRule="auto"/>
        <w:ind w:firstLine="560" w:firstLineChars="200"/>
        <w:jc w:val="center"/>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温馨提示</w:t>
      </w:r>
    </w:p>
    <w:p>
      <w:pPr>
        <w:spacing w:line="360" w:lineRule="auto"/>
        <w:ind w:firstLine="560" w:firstLineChars="200"/>
        <w:jc w:val="left"/>
        <w:rPr>
          <w:rFonts w:hint="eastAsia" w:ascii="宋体" w:hAnsi="宋体" w:eastAsia="宋体" w:cs="宋体"/>
          <w:color w:val="FF0000"/>
          <w:sz w:val="28"/>
          <w:szCs w:val="28"/>
          <w:highlight w:val="none"/>
        </w:rPr>
      </w:pPr>
    </w:p>
    <w:p>
      <w:pPr>
        <w:spacing w:line="360" w:lineRule="auto"/>
        <w:ind w:firstLine="560" w:firstLineChars="200"/>
        <w:jc w:val="left"/>
        <w:rPr>
          <w:rFonts w:hint="default" w:ascii="宋体" w:hAnsi="宋体" w:eastAsia="宋体" w:cs="宋体"/>
          <w:color w:val="FF0000"/>
          <w:sz w:val="28"/>
          <w:szCs w:val="28"/>
          <w:highlight w:val="none"/>
          <w:lang w:val="en-US" w:eastAsia="zh-CN"/>
        </w:rPr>
        <w:sectPr>
          <w:footerReference r:id="rId11" w:type="first"/>
          <w:footerReference r:id="rId10" w:type="default"/>
          <w:pgSz w:w="11905" w:h="16840"/>
          <w:pgMar w:top="1701" w:right="1440" w:bottom="1701" w:left="1213" w:header="1077" w:footer="850" w:gutter="0"/>
          <w:pgNumType w:fmt="decimal" w:start="1"/>
          <w:cols w:space="0" w:num="1"/>
          <w:docGrid w:linePitch="312" w:charSpace="0"/>
        </w:sectPr>
      </w:pPr>
      <w:bookmarkStart w:id="50" w:name="OLE_LINK9"/>
      <w:r>
        <w:rPr>
          <w:rFonts w:hint="eastAsia" w:ascii="宋体" w:hAnsi="宋体" w:eastAsia="宋体" w:cs="宋体"/>
          <w:color w:val="FF0000"/>
          <w:sz w:val="28"/>
          <w:szCs w:val="28"/>
          <w:highlight w:val="none"/>
          <w:lang w:val="en-US" w:eastAsia="zh-CN"/>
        </w:rPr>
        <w:t>为避免上传投标文件失误导致投标文件信息缺失、影响投标，建议在某一模块上传一份完整的投标文件，确保评审时可以查询到完整的投标文件</w:t>
      </w:r>
      <w:r>
        <w:rPr>
          <w:rFonts w:hint="eastAsia" w:ascii="宋体" w:hAnsi="宋体" w:cs="宋体"/>
          <w:color w:val="FF0000"/>
          <w:sz w:val="28"/>
          <w:szCs w:val="28"/>
          <w:highlight w:val="none"/>
          <w:lang w:val="en-US" w:eastAsia="zh-CN"/>
        </w:rPr>
        <w:t>。</w:t>
      </w:r>
    </w:p>
    <w:bookmarkEnd w:id="50"/>
    <w:p>
      <w:pPr>
        <w:numPr>
          <w:ilvl w:val="0"/>
          <w:numId w:val="2"/>
        </w:numPr>
        <w:spacing w:line="500" w:lineRule="exact"/>
        <w:jc w:val="center"/>
        <w:outlineLvl w:val="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 xml:space="preserve"> 采购项目要求</w:t>
      </w:r>
    </w:p>
    <w:p>
      <w:pPr>
        <w:pStyle w:val="8"/>
        <w:numPr>
          <w:ilvl w:val="0"/>
          <w:numId w:val="0"/>
        </w:numPr>
      </w:pP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为提升院区安全管理与环境卫生质量，保障医疗秩序平稳运行，现面向社会公开采购</w:t>
      </w:r>
      <w:r>
        <w:rPr>
          <w:rFonts w:hint="eastAsia" w:ascii="宋体" w:hAnsi="宋体" w:cs="宋体"/>
          <w:color w:val="auto"/>
          <w:sz w:val="28"/>
          <w:szCs w:val="28"/>
          <w:highlight w:val="none"/>
          <w:lang w:val="en-US" w:eastAsia="zh-CN"/>
        </w:rPr>
        <w:t>妇幼保健院</w:t>
      </w:r>
      <w:r>
        <w:rPr>
          <w:rFonts w:hint="eastAsia" w:ascii="宋体" w:hAnsi="宋体" w:eastAsia="宋体" w:cs="宋体"/>
          <w:color w:val="auto"/>
          <w:sz w:val="28"/>
          <w:szCs w:val="28"/>
          <w:highlight w:val="none"/>
          <w:lang w:val="en-US" w:eastAsia="zh-CN"/>
        </w:rPr>
        <w:t>保安、保洁物业管理服务，具体岗位及服务内容如下：</w:t>
      </w:r>
    </w:p>
    <w:p>
      <w:pPr>
        <w:pStyle w:val="28"/>
        <w:spacing w:line="360" w:lineRule="auto"/>
        <w:ind w:firstLine="56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一、保洁服务（11人）</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（一）清洁范围</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涵盖门诊楼、住院楼等公共区域（走廊、楼梯、电梯间、卫生间、会议室等）、院场、停车场、绿化带周边、重点区域（配电房、氧气机房），以及病房床单元、医疗区域等。</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清洁标准</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符合《医疗机构环境卫生管理规范》，无灰尘、蜘蛛网、无污渍、无垃圾杂物堆积、无异味、无积水。</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1、日常清洁</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地面清洁：定时清扫、湿拖地面，确保无垃圾、无污渍、无水渍，地面保持干爽。</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表面擦拭：擦拭门窗、墙面、家具表面，去除灰尘与手印，保持表面光洁。</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垃圾桶管理：清理并更换垃圾桶内垃圾袋，保持垃圾桶外观干净，垃圾不超过桶容量的3/4。</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布艺用品清洁：定期清洗窗帘、隔帘、床单、被罩等布艺用品，按需更换床单、被套，确保无异味、无污染。</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2、深度清洁与消毒</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高频接触面消毒：对门把手、电梯按钮、水龙头等高频接触面，每日至少消毒2次，使用符合标准的消毒剂。</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卫生间深度清洁：使用专业清洁剂与消毒剂，对马桶、洗手池、地面等进行深度清洁与消毒，确保无污垢、无异味。</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3、特殊区域管理</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手术室、产房、实验室等特殊区域：按照相关规定进行专项清洁与消毒，避免交叉污染。手术前后及每日需进行严格清洁消毒，包括地面、墙面、设备及检验类可重复使用耗材的全面清洁消毒。</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垃圾处理：严格遵循医疗废物分类管理要求，医疗垃圾使用专用包装物，生活垃圾使用黑色包装物，确保安全无害化处理。</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4、应急响应</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建立快速响应机制，按医疗废物规范对突发污染事件（如呕吐物、血液污染等）进行即时清理与消毒。</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定期进行培训和应急演练，提升团队应对突发事件的能力。</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5、环境美化与绿化</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保持医院内外绿化带的整洁与美观，定期修剪、除杂草、浇水、清积水、除虫。</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洗浆</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1、工作服；2、被服；3、母婴康养中心月子服、婴儿服；4、病号服等织物；</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分类清洗、消毒、收发服务（污染与普通分开处理）。</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耗材要求</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自行配备符合国家标准的清洁剂、垃圾袋、清洁工具、防护用品等保洁用耗材。</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其他要求</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医废暂存间管理；针对部分临床科室提供上收下送服务；建立消毒使用管理台账等。</w:t>
      </w:r>
    </w:p>
    <w:p>
      <w:pPr>
        <w:pStyle w:val="28"/>
        <w:spacing w:line="360" w:lineRule="auto"/>
        <w:ind w:firstLine="56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二、保安服务（9人）</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 出入口固定岗</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主入口岗：每班至少安排一名保安人员于医院主入口/大门处值守，负责人员与车辆进出管理，维持秩序，树立医院安全第一形象。</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主出口：每班至少安排一名保安人员于医院主要出口值守，形成出入管控闭环，防止无关人员随意进出。</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（二）关键部门固定岗</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监控控制室岗：每班至少安排一名保安人员，全天（24小时制）候值守监控控制室，熟练掌握设备操作，并做好相关记录。</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（三）动态巡逻岗</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设立巡逻班，执行不间断的院内巡逻任务。巡逻范围必须覆盖全院所有区域，包括但不限于：</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各楼层门诊、候诊区、收费/取药窗口等人流密集区域。住院部各病区等特殊区域。行政办公区、后勤保障区（如药库、设备间、配电房等）。地下室、地面停车场及所有外围区域。</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巡逻应突出重点时段与重点部位，增加夜间巡逻频次，确保无安全盲区。巡逻人员需负责检查消防设施、安全通道、门窗锁闭等安全情况，并及时发现、报告及先行处置各类安全隐患和治安问题。</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（四）证件需求</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1、持有保安证（全部）；</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2、持有中级消防证（监控方向）至少一人。</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（五）补充职责与服务范围</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除上述岗位职责外，保安服务还应包括但不限于以下内容：</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1、车辆与交通秩序管理岗位：负责院内车辆引导、停放管理，确保急救通道、消防通道时刻畅通。</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2、突发事件应急处置：具备处理医闹、纠纷、盗窃、寻衅滋事等突发事件的能力，能迅速响应并采取初步控制措施，同时及时报警并配合公安机关工作。</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3、秩序维护与便民服务：在高峰时段协助疏导人流，维护挂号、收费、检验等窗口的良好秩序。同时，应为来院患者及家属提供必要的问询、指引等便民服务。</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4、安全监控协管：配合医院安防监控系统，对监控中发现的异常情况能够快速做出反应与核实（24小时在岗）。</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5、夜间安全保障：加强夜间全院区的安全布控、巡逻，对住院部、重点科室、财务室等重要场所进行重点防范。</w:t>
      </w:r>
    </w:p>
    <w:p>
      <w:pPr>
        <w:pStyle w:val="28"/>
        <w:spacing w:line="360" w:lineRule="auto"/>
        <w:ind w:firstLine="560"/>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val="en-US" w:eastAsia="zh-CN"/>
        </w:rPr>
        <w:t>三、服务期限：</w:t>
      </w:r>
      <w:r>
        <w:rPr>
          <w:rFonts w:hint="eastAsia" w:ascii="宋体" w:hAnsi="宋体" w:eastAsia="宋体" w:cs="宋体"/>
          <w:color w:val="auto"/>
          <w:sz w:val="28"/>
          <w:szCs w:val="28"/>
          <w:highlight w:val="none"/>
          <w:lang w:val="en-US" w:eastAsia="zh-CN"/>
        </w:rPr>
        <w:t>自合同签订之日起3年</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一采三年，合同一年一签）。</w:t>
      </w:r>
    </w:p>
    <w:p>
      <w:pPr>
        <w:pStyle w:val="28"/>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四、预算金额</w:t>
      </w:r>
      <w:r>
        <w:rPr>
          <w:rFonts w:hint="eastAsia" w:ascii="宋体" w:hAnsi="宋体" w:eastAsia="宋体" w:cs="宋体"/>
          <w:color w:val="auto"/>
          <w:sz w:val="28"/>
          <w:szCs w:val="28"/>
          <w:highlight w:val="none"/>
          <w:lang w:val="en-US" w:eastAsia="zh-CN"/>
        </w:rPr>
        <w:t>：56万元</w:t>
      </w:r>
      <w:r>
        <w:rPr>
          <w:rFonts w:hint="eastAsia" w:ascii="宋体" w:hAnsi="宋体" w:cs="宋体"/>
          <w:color w:val="auto"/>
          <w:sz w:val="28"/>
          <w:szCs w:val="28"/>
          <w:highlight w:val="none"/>
          <w:lang w:val="en-US" w:eastAsia="zh-CN"/>
        </w:rPr>
        <w:t>/年</w:t>
      </w:r>
      <w:bookmarkStart w:id="97" w:name="_GoBack"/>
      <w:bookmarkEnd w:id="97"/>
      <w:r>
        <w:rPr>
          <w:rFonts w:hint="eastAsia" w:ascii="宋体" w:hAnsi="宋体" w:eastAsia="宋体" w:cs="宋体"/>
          <w:color w:val="auto"/>
          <w:sz w:val="28"/>
          <w:szCs w:val="28"/>
          <w:highlight w:val="none"/>
          <w:lang w:val="en-US" w:eastAsia="zh-CN"/>
        </w:rPr>
        <w:t>（此为最高限价）。</w:t>
      </w:r>
    </w:p>
    <w:p>
      <w:pPr>
        <w:pStyle w:val="28"/>
        <w:spacing w:line="360" w:lineRule="auto"/>
        <w:ind w:firstLine="560"/>
        <w:rPr>
          <w:rFonts w:hint="default"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五、服务地点：</w:t>
      </w:r>
      <w:r>
        <w:rPr>
          <w:rFonts w:hint="eastAsia" w:ascii="宋体" w:hAnsi="宋体" w:eastAsia="宋体" w:cs="宋体"/>
          <w:color w:val="auto"/>
          <w:sz w:val="28"/>
          <w:szCs w:val="28"/>
          <w:highlight w:val="none"/>
          <w:lang w:val="en-US" w:eastAsia="zh-CN"/>
        </w:rPr>
        <w:t>德宏州瑞丽市团结路86号。</w:t>
      </w:r>
    </w:p>
    <w:p>
      <w:pPr>
        <w:pStyle w:val="28"/>
        <w:spacing w:line="360" w:lineRule="auto"/>
        <w:ind w:firstLine="560"/>
        <w:rPr>
          <w:rFonts w:hint="eastAsia" w:ascii="宋体" w:hAnsi="宋体" w:cs="宋体"/>
          <w:b/>
          <w:bCs/>
          <w:color w:val="auto"/>
          <w:kern w:val="0"/>
          <w:sz w:val="32"/>
          <w:szCs w:val="32"/>
          <w:highlight w:val="none"/>
        </w:rPr>
      </w:pPr>
      <w:r>
        <w:rPr>
          <w:rFonts w:hint="eastAsia" w:ascii="宋体" w:hAnsi="宋体" w:eastAsia="宋体" w:cs="宋体"/>
          <w:b/>
          <w:bCs/>
          <w:color w:val="auto"/>
          <w:sz w:val="28"/>
          <w:szCs w:val="28"/>
          <w:highlight w:val="none"/>
          <w:lang w:val="en-US" w:eastAsia="zh-CN"/>
        </w:rPr>
        <w:t>六、付款方式：</w:t>
      </w:r>
      <w:r>
        <w:rPr>
          <w:rFonts w:hint="eastAsia" w:ascii="宋体" w:hAnsi="宋体" w:eastAsia="宋体" w:cs="宋体"/>
          <w:color w:val="auto"/>
          <w:sz w:val="28"/>
          <w:szCs w:val="28"/>
          <w:highlight w:val="none"/>
          <w:lang w:val="en-US" w:eastAsia="zh-CN"/>
        </w:rPr>
        <w:t>合同签订后，按月支付，共分12个月支付，每月采购人对中标人合同执行情况进行考核（考核内容见附件：保安保洁工作考核表），考核结果≥90分的，支付当月费用的100%；考核结果≥80分＜90</w:t>
      </w:r>
      <w:r>
        <w:rPr>
          <w:rFonts w:hint="eastAsia" w:ascii="宋体" w:hAnsi="宋体" w:cs="宋体"/>
          <w:color w:val="auto"/>
          <w:sz w:val="28"/>
          <w:szCs w:val="28"/>
          <w:highlight w:val="none"/>
          <w:lang w:val="en-US" w:eastAsia="zh-CN"/>
        </w:rPr>
        <w:t>分</w:t>
      </w:r>
      <w:r>
        <w:rPr>
          <w:rFonts w:hint="eastAsia" w:ascii="宋体" w:hAnsi="宋体" w:eastAsia="宋体" w:cs="宋体"/>
          <w:color w:val="auto"/>
          <w:sz w:val="28"/>
          <w:szCs w:val="28"/>
          <w:highlight w:val="none"/>
          <w:lang w:val="en-US" w:eastAsia="zh-CN"/>
        </w:rPr>
        <w:t>的，支付当月费用的90%；考核结果≥70分＜80分的，支付当月费用的80%；考核结果≥60分＜70分的，支付当月费用的70%；考核结果≥50分＜60分的，支付当月费用的60%；考核结果＜50分的，支付当月费用的50%。根据考核结果与中标人实际结算服务费用，中标人确认无误后开</w:t>
      </w:r>
      <w:r>
        <w:rPr>
          <w:rFonts w:hint="eastAsia" w:ascii="宋体" w:hAnsi="宋体" w:cs="宋体"/>
          <w:color w:val="auto"/>
          <w:sz w:val="28"/>
          <w:szCs w:val="28"/>
          <w:highlight w:val="none"/>
          <w:lang w:val="en-US" w:eastAsia="zh-CN"/>
        </w:rPr>
        <w:t>具</w:t>
      </w:r>
      <w:r>
        <w:rPr>
          <w:rFonts w:hint="eastAsia" w:ascii="宋体" w:hAnsi="宋体" w:eastAsia="宋体" w:cs="宋体"/>
          <w:color w:val="auto"/>
          <w:sz w:val="28"/>
          <w:szCs w:val="28"/>
          <w:highlight w:val="none"/>
          <w:lang w:val="en-US" w:eastAsia="zh-CN"/>
        </w:rPr>
        <w:t>合法票据，采购人在接受中标人票据后的7个工作日内将上月实际发生的所有后勤物业管理（考核后的）费用支付给中标人。</w:t>
      </w:r>
    </w:p>
    <w:tbl>
      <w:tblPr>
        <w:tblStyle w:val="18"/>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974"/>
        <w:gridCol w:w="2167"/>
        <w:gridCol w:w="567"/>
        <w:gridCol w:w="1513"/>
        <w:gridCol w:w="696"/>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95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瑞丽市妇幼保健院保安保洁物业管理服务考评表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考评周期：        年   月                                      被考评服务单位：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考评人：                  考评日期：</w:t>
            </w: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复核人：    </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582"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考核模块</w:t>
            </w:r>
          </w:p>
        </w:tc>
        <w:tc>
          <w:tcPr>
            <w:tcW w:w="1044"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考核项目</w:t>
            </w:r>
          </w:p>
        </w:tc>
        <w:tc>
          <w:tcPr>
            <w:tcW w:w="2766"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考核标准</w:t>
            </w:r>
          </w:p>
        </w:tc>
        <w:tc>
          <w:tcPr>
            <w:tcW w:w="567"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分值</w:t>
            </w:r>
          </w:p>
        </w:tc>
        <w:tc>
          <w:tcPr>
            <w:tcW w:w="1937"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扣分标准</w:t>
            </w:r>
          </w:p>
        </w:tc>
        <w:tc>
          <w:tcPr>
            <w:tcW w:w="649"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实得分</w:t>
            </w:r>
          </w:p>
        </w:tc>
        <w:tc>
          <w:tcPr>
            <w:tcW w:w="955" w:type="dxa"/>
            <w:tcBorders>
              <w:top w:val="single" w:color="000000" w:sz="4" w:space="0"/>
              <w:left w:val="single" w:color="000000" w:sz="4" w:space="0"/>
              <w:bottom w:val="single" w:color="000000" w:sz="4" w:space="0"/>
              <w:right w:val="single" w:color="000000" w:sz="4" w:space="0"/>
            </w:tcBorders>
            <w:shd w:val="clear" w:color="auto" w:fill="9ED3A4"/>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考核备注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Style w:val="30"/>
                <w:lang w:val="en-US" w:eastAsia="zh-CN" w:bidi="ar"/>
              </w:rPr>
              <w:t>保洁服务（</w:t>
            </w:r>
            <w:r>
              <w:rPr>
                <w:rStyle w:val="31"/>
                <w:rFonts w:eastAsia="等线"/>
                <w:lang w:val="en-US" w:eastAsia="zh-CN" w:bidi="ar"/>
              </w:rPr>
              <w:t>50</w:t>
            </w:r>
            <w:r>
              <w:rPr>
                <w:rStyle w:val="30"/>
                <w:lang w:val="en-US" w:eastAsia="zh-CN" w:bidi="ar"/>
              </w:rPr>
              <w:t>分）</w:t>
            </w: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清洁范围全覆盖</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门诊楼、住院楼等公共区域、院场、停车场、绿化带周边、配电房、氧气机房等重点区域、病房及医疗区域清洁全覆盖，无遗漏区域；保持医院内外绿化带的整洁与美观，定期修剪、除杂草、浇水、清积水、除虫；全域无垃圾、杂草。</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每发现</w:t>
            </w:r>
            <w:r>
              <w:rPr>
                <w:rStyle w:val="33"/>
                <w:rFonts w:eastAsia="等线"/>
                <w:lang w:val="en-US" w:eastAsia="zh-CN" w:bidi="ar"/>
              </w:rPr>
              <w:t>1</w:t>
            </w:r>
            <w:r>
              <w:rPr>
                <w:rStyle w:val="32"/>
                <w:rFonts w:ascii="宋体" w:hAnsi="宋体" w:eastAsia="宋体" w:cs="宋体"/>
                <w:sz w:val="24"/>
                <w:szCs w:val="24"/>
                <w:lang w:val="en-US" w:eastAsia="zh-CN" w:bidi="ar"/>
              </w:rPr>
              <w:t>处遗漏清洁区域，扣</w:t>
            </w:r>
            <w:r>
              <w:rPr>
                <w:rStyle w:val="33"/>
                <w:rFonts w:eastAsia="等线"/>
                <w:lang w:val="en-US" w:eastAsia="zh-CN" w:bidi="ar"/>
              </w:rPr>
              <w:t>1</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2"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日常清洁达标</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符合《医疗机构环境卫生管理规范》，地面干爽无垃圾</w:t>
            </w:r>
            <w:r>
              <w:rPr>
                <w:rStyle w:val="35"/>
                <w:rFonts w:eastAsia="等线"/>
                <w:lang w:val="en-US" w:eastAsia="zh-CN" w:bidi="ar"/>
              </w:rPr>
              <w:t>/</w:t>
            </w:r>
            <w:r>
              <w:rPr>
                <w:rStyle w:val="34"/>
                <w:lang w:val="en-US" w:eastAsia="zh-CN" w:bidi="ar"/>
              </w:rPr>
              <w:t>污渍</w:t>
            </w:r>
            <w:r>
              <w:rPr>
                <w:rStyle w:val="35"/>
                <w:rFonts w:eastAsia="等线"/>
                <w:lang w:val="en-US" w:eastAsia="zh-CN" w:bidi="ar"/>
              </w:rPr>
              <w:t>/</w:t>
            </w:r>
            <w:r>
              <w:rPr>
                <w:rStyle w:val="34"/>
                <w:lang w:val="en-US" w:eastAsia="zh-CN" w:bidi="ar"/>
              </w:rPr>
              <w:t>水渍；门窗、墙面、家具表面光洁无灰尘/蜘蛛网/手印；垃圾桶外观干净，垃圾不超桶容量</w:t>
            </w:r>
            <w:r>
              <w:rPr>
                <w:rStyle w:val="35"/>
                <w:rFonts w:eastAsia="等线"/>
                <w:lang w:val="en-US" w:eastAsia="zh-CN" w:bidi="ar"/>
              </w:rPr>
              <w:t>3/4</w:t>
            </w:r>
            <w:r>
              <w:rPr>
                <w:rStyle w:val="34"/>
                <w:lang w:val="en-US" w:eastAsia="zh-CN" w:bidi="ar"/>
              </w:rPr>
              <w:t>；定期清洗窗帘、隔帘、床单、被罩等布艺用品，按需更换床单、被套，确保无异味、无污染。</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每发现</w:t>
            </w:r>
            <w:r>
              <w:rPr>
                <w:rStyle w:val="33"/>
                <w:rFonts w:eastAsia="等线"/>
                <w:lang w:val="en-US" w:eastAsia="zh-CN" w:bidi="ar"/>
              </w:rPr>
              <w:t>1</w:t>
            </w:r>
            <w:r>
              <w:rPr>
                <w:rStyle w:val="32"/>
                <w:rFonts w:ascii="宋体" w:hAnsi="宋体" w:eastAsia="宋体" w:cs="宋体"/>
                <w:sz w:val="24"/>
                <w:szCs w:val="24"/>
                <w:lang w:val="en-US" w:eastAsia="zh-CN" w:bidi="ar"/>
              </w:rPr>
              <w:t>处地面不达标扣</w:t>
            </w:r>
            <w:r>
              <w:rPr>
                <w:rStyle w:val="33"/>
                <w:rFonts w:eastAsia="等线"/>
                <w:lang w:val="en-US" w:eastAsia="zh-CN" w:bidi="ar"/>
              </w:rPr>
              <w:t>0.5</w:t>
            </w:r>
            <w:r>
              <w:rPr>
                <w:rStyle w:val="32"/>
                <w:rFonts w:ascii="宋体" w:hAnsi="宋体" w:eastAsia="宋体" w:cs="宋体"/>
                <w:sz w:val="24"/>
                <w:szCs w:val="24"/>
                <w:lang w:val="en-US" w:eastAsia="zh-CN" w:bidi="ar"/>
              </w:rPr>
              <w:t>分；每发现</w:t>
            </w:r>
            <w:r>
              <w:rPr>
                <w:rStyle w:val="33"/>
                <w:rFonts w:eastAsia="等线"/>
                <w:lang w:val="en-US" w:eastAsia="zh-CN" w:bidi="ar"/>
              </w:rPr>
              <w:t>1</w:t>
            </w:r>
            <w:r>
              <w:rPr>
                <w:rStyle w:val="32"/>
                <w:rFonts w:ascii="宋体" w:hAnsi="宋体" w:eastAsia="宋体" w:cs="宋体"/>
                <w:sz w:val="24"/>
                <w:szCs w:val="24"/>
                <w:lang w:val="en-US" w:eastAsia="zh-CN" w:bidi="ar"/>
              </w:rPr>
              <w:t>处表面有灰尘</w:t>
            </w:r>
            <w:r>
              <w:rPr>
                <w:rStyle w:val="33"/>
                <w:rFonts w:eastAsia="等线"/>
                <w:lang w:val="en-US" w:eastAsia="zh-CN" w:bidi="ar"/>
              </w:rPr>
              <w:t>/</w:t>
            </w:r>
            <w:r>
              <w:rPr>
                <w:rStyle w:val="32"/>
                <w:rFonts w:ascii="宋体" w:hAnsi="宋体" w:eastAsia="宋体" w:cs="宋体"/>
                <w:sz w:val="24"/>
                <w:szCs w:val="24"/>
                <w:lang w:val="en-US" w:eastAsia="zh-CN" w:bidi="ar"/>
              </w:rPr>
              <w:t>手印扣</w:t>
            </w:r>
            <w:r>
              <w:rPr>
                <w:rStyle w:val="33"/>
                <w:rFonts w:eastAsia="等线"/>
                <w:lang w:val="en-US" w:eastAsia="zh-CN" w:bidi="ar"/>
              </w:rPr>
              <w:t>0.5</w:t>
            </w:r>
            <w:r>
              <w:rPr>
                <w:rStyle w:val="32"/>
                <w:rFonts w:ascii="宋体" w:hAnsi="宋体" w:eastAsia="宋体" w:cs="宋体"/>
                <w:sz w:val="24"/>
                <w:szCs w:val="24"/>
                <w:lang w:val="en-US" w:eastAsia="zh-CN" w:bidi="ar"/>
              </w:rPr>
              <w:t>分；垃圾桶违规</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0.5</w:t>
            </w:r>
            <w:r>
              <w:rPr>
                <w:rStyle w:val="32"/>
                <w:rFonts w:ascii="宋体" w:hAnsi="宋体" w:eastAsia="宋体" w:cs="宋体"/>
                <w:sz w:val="24"/>
                <w:szCs w:val="24"/>
                <w:lang w:val="en-US" w:eastAsia="zh-CN" w:bidi="ar"/>
              </w:rPr>
              <w:t>分；窗帘、隔帘、床单、被罩等布艺用品未及时处理</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3"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深度清洁与消毒</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门把手、电梯按钮、水龙头等高频接触面每日消毒</w:t>
            </w:r>
            <w:r>
              <w:rPr>
                <w:rStyle w:val="35"/>
                <w:rFonts w:eastAsia="等线"/>
                <w:lang w:val="en-US" w:eastAsia="zh-CN" w:bidi="ar"/>
              </w:rPr>
              <w:t>≥2</w:t>
            </w:r>
            <w:r>
              <w:rPr>
                <w:rStyle w:val="34"/>
                <w:lang w:val="en-US" w:eastAsia="zh-CN" w:bidi="ar"/>
              </w:rPr>
              <w:t>次，有消毒记录；卫生间深度清洁消毒，无污垢</w:t>
            </w:r>
            <w:r>
              <w:rPr>
                <w:rStyle w:val="35"/>
                <w:rFonts w:eastAsia="等线"/>
                <w:lang w:val="en-US" w:eastAsia="zh-CN" w:bidi="ar"/>
              </w:rPr>
              <w:t>/</w:t>
            </w:r>
            <w:r>
              <w:rPr>
                <w:rStyle w:val="34"/>
                <w:lang w:val="en-US" w:eastAsia="zh-CN" w:bidi="ar"/>
              </w:rPr>
              <w:t>异味，使用专业清洁</w:t>
            </w:r>
            <w:r>
              <w:rPr>
                <w:rStyle w:val="35"/>
                <w:rFonts w:eastAsia="等线"/>
                <w:lang w:val="en-US" w:eastAsia="zh-CN" w:bidi="ar"/>
              </w:rPr>
              <w:t>/</w:t>
            </w:r>
            <w:r>
              <w:rPr>
                <w:rStyle w:val="34"/>
                <w:lang w:val="en-US" w:eastAsia="zh-CN" w:bidi="ar"/>
              </w:rPr>
              <w:t>消毒剂。</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高频接触面未按频次消毒，</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分，无记录扣1分；卫生间有污垢</w:t>
            </w:r>
            <w:r>
              <w:rPr>
                <w:rStyle w:val="33"/>
                <w:rFonts w:eastAsia="等线"/>
                <w:lang w:val="en-US" w:eastAsia="zh-CN" w:bidi="ar"/>
              </w:rPr>
              <w:t>/</w:t>
            </w:r>
            <w:r>
              <w:rPr>
                <w:rStyle w:val="32"/>
                <w:rFonts w:ascii="宋体" w:hAnsi="宋体" w:eastAsia="宋体" w:cs="宋体"/>
                <w:sz w:val="24"/>
                <w:szCs w:val="24"/>
                <w:lang w:val="en-US" w:eastAsia="zh-CN" w:bidi="ar"/>
              </w:rPr>
              <w:t>异味</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分；未使用合规药剂扣2分；扣完为止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特殊区域管理</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手术室、产房、实验室等特殊区域按照相关规定进行专项清洁与消毒，避免交叉污染。手术前后及每日需进行严格清洁消毒，包括地面、墙面、设备及检验类可重复使用耗材的全面清洁消毒。</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特殊区域未按流程消毒</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分；发现交叉污染隐患扣</w:t>
            </w:r>
            <w:r>
              <w:rPr>
                <w:rStyle w:val="33"/>
                <w:rFonts w:eastAsia="等线"/>
                <w:lang w:val="en-US" w:eastAsia="zh-CN" w:bidi="ar"/>
              </w:rPr>
              <w:t>3-6</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垃圾与医废处理</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严格遵循医疗废物分类管理要求，医疗垃圾用专用包装物，生活垃圾用黑色包装物，安全无害化处理，无混装、泄漏情况</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垃圾混装</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2</w:t>
            </w:r>
            <w:r>
              <w:rPr>
                <w:rStyle w:val="32"/>
                <w:rFonts w:ascii="宋体" w:hAnsi="宋体" w:eastAsia="宋体" w:cs="宋体"/>
                <w:sz w:val="24"/>
                <w:szCs w:val="24"/>
                <w:lang w:val="en-US" w:eastAsia="zh-CN" w:bidi="ar"/>
              </w:rPr>
              <w:t>分；包装物使用违规</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分；出现泄漏扣</w:t>
            </w:r>
            <w:r>
              <w:rPr>
                <w:rStyle w:val="33"/>
                <w:rFonts w:eastAsia="等线"/>
                <w:lang w:val="en-US" w:eastAsia="zh-CN" w:bidi="ar"/>
              </w:rPr>
              <w:t>3-7</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应急响应</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建立快速响应机制，突发污染事件（呕吐物、血液污染等）即时清理消毒；定期开展培训和应急演练，有演练</w:t>
            </w:r>
            <w:r>
              <w:rPr>
                <w:rStyle w:val="35"/>
                <w:rFonts w:eastAsia="等线"/>
                <w:lang w:val="en-US" w:eastAsia="zh-CN" w:bidi="ar"/>
              </w:rPr>
              <w:t>/</w:t>
            </w:r>
            <w:r>
              <w:rPr>
                <w:rStyle w:val="34"/>
                <w:lang w:val="en-US" w:eastAsia="zh-CN" w:bidi="ar"/>
              </w:rPr>
              <w:t>培训记录</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突发污染未即时处理</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分；未开展培训</w:t>
            </w:r>
            <w:r>
              <w:rPr>
                <w:rStyle w:val="33"/>
                <w:rFonts w:eastAsia="等线"/>
                <w:lang w:val="en-US" w:eastAsia="zh-CN" w:bidi="ar"/>
              </w:rPr>
              <w:t>/</w:t>
            </w:r>
            <w:r>
              <w:rPr>
                <w:rStyle w:val="32"/>
                <w:rFonts w:ascii="宋体" w:hAnsi="宋体" w:eastAsia="宋体" w:cs="宋体"/>
                <w:sz w:val="24"/>
                <w:szCs w:val="24"/>
                <w:lang w:val="en-US" w:eastAsia="zh-CN" w:bidi="ar"/>
              </w:rPr>
              <w:t>演练、无记录扣</w:t>
            </w:r>
            <w:r>
              <w:rPr>
                <w:rStyle w:val="33"/>
                <w:rFonts w:eastAsia="等线"/>
                <w:lang w:val="en-US" w:eastAsia="zh-CN" w:bidi="ar"/>
              </w:rPr>
              <w:t>4</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洗浆服务</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工作服、被服、母婴康养中心月子服、婴儿服、病号服等分类清洗消毒，污染与普通分开处理，收发及时，织物无破损</w:t>
            </w:r>
            <w:r>
              <w:rPr>
                <w:rStyle w:val="35"/>
                <w:rFonts w:eastAsia="等线"/>
                <w:lang w:val="en-US" w:eastAsia="zh-CN" w:bidi="ar"/>
              </w:rPr>
              <w:t>/</w:t>
            </w:r>
            <w:r>
              <w:rPr>
                <w:rStyle w:val="34"/>
                <w:lang w:val="en-US" w:eastAsia="zh-CN" w:bidi="ar"/>
              </w:rPr>
              <w:t>异味</w:t>
            </w:r>
            <w:r>
              <w:rPr>
                <w:rStyle w:val="35"/>
                <w:rFonts w:eastAsia="等线"/>
                <w:lang w:val="en-US" w:eastAsia="zh-CN" w:bidi="ar"/>
              </w:rPr>
              <w:t>/</w:t>
            </w:r>
            <w:r>
              <w:rPr>
                <w:rStyle w:val="34"/>
                <w:lang w:val="en-US" w:eastAsia="zh-CN" w:bidi="ar"/>
              </w:rPr>
              <w:t>残留污渍</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未分类清洗消毒扣</w:t>
            </w:r>
            <w:r>
              <w:rPr>
                <w:rStyle w:val="33"/>
                <w:rFonts w:eastAsia="等线"/>
                <w:lang w:val="en-US" w:eastAsia="zh-CN" w:bidi="ar"/>
              </w:rPr>
              <w:t>3</w:t>
            </w:r>
            <w:r>
              <w:rPr>
                <w:rStyle w:val="32"/>
                <w:rFonts w:ascii="宋体" w:hAnsi="宋体" w:eastAsia="宋体" w:cs="宋体"/>
                <w:sz w:val="24"/>
                <w:szCs w:val="24"/>
                <w:lang w:val="en-US" w:eastAsia="zh-CN" w:bidi="ar"/>
              </w:rPr>
              <w:t>分；收发不及时</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1</w:t>
            </w:r>
            <w:r>
              <w:rPr>
                <w:rStyle w:val="32"/>
                <w:rFonts w:ascii="宋体" w:hAnsi="宋体" w:eastAsia="宋体" w:cs="宋体"/>
                <w:sz w:val="24"/>
                <w:szCs w:val="24"/>
                <w:lang w:val="en-US" w:eastAsia="zh-CN" w:bidi="ar"/>
              </w:rPr>
              <w:t>分；织物不合格</w:t>
            </w:r>
            <w:r>
              <w:rPr>
                <w:rStyle w:val="33"/>
                <w:rFonts w:eastAsia="等线"/>
                <w:lang w:val="en-US" w:eastAsia="zh-CN" w:bidi="ar"/>
              </w:rPr>
              <w:t>1</w:t>
            </w:r>
            <w:r>
              <w:rPr>
                <w:rStyle w:val="32"/>
                <w:rFonts w:ascii="宋体" w:hAnsi="宋体" w:eastAsia="宋体" w:cs="宋体"/>
                <w:sz w:val="24"/>
                <w:szCs w:val="24"/>
                <w:lang w:val="en-US" w:eastAsia="zh-CN" w:bidi="ar"/>
              </w:rPr>
              <w:t>件扣</w:t>
            </w:r>
            <w:r>
              <w:rPr>
                <w:rStyle w:val="33"/>
                <w:rFonts w:eastAsia="等线"/>
                <w:lang w:val="en-US" w:eastAsia="zh-CN" w:bidi="ar"/>
              </w:rPr>
              <w:t>0.5</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耗材与台账管理</w:t>
            </w:r>
          </w:p>
        </w:tc>
        <w:tc>
          <w:tcPr>
            <w:tcW w:w="2766"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自行配备符合国家标准的清洁剂、垃圾袋、清洁工具、防护用品等保洁用耗材；建立消毒、医废处理等登记台账，台账完整、记录规范；规范做好医废暂存间管理；</w:t>
            </w:r>
          </w:p>
        </w:tc>
        <w:tc>
          <w:tcPr>
            <w:tcW w:w="56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D2F4F2"/>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耗材</w:t>
            </w:r>
            <w:r>
              <w:rPr>
                <w:rStyle w:val="33"/>
                <w:rFonts w:eastAsia="等线"/>
                <w:lang w:val="en-US" w:eastAsia="zh-CN" w:bidi="ar"/>
              </w:rPr>
              <w:t>/</w:t>
            </w:r>
            <w:r>
              <w:rPr>
                <w:rStyle w:val="32"/>
                <w:rFonts w:ascii="宋体" w:hAnsi="宋体" w:eastAsia="宋体" w:cs="宋体"/>
                <w:sz w:val="24"/>
                <w:szCs w:val="24"/>
                <w:lang w:val="en-US" w:eastAsia="zh-CN" w:bidi="ar"/>
              </w:rPr>
              <w:t>防护用品不合规扣</w:t>
            </w:r>
            <w:r>
              <w:rPr>
                <w:rStyle w:val="33"/>
                <w:rFonts w:eastAsia="等线"/>
                <w:lang w:val="en-US" w:eastAsia="zh-CN" w:bidi="ar"/>
              </w:rPr>
              <w:t>2</w:t>
            </w:r>
            <w:r>
              <w:rPr>
                <w:rStyle w:val="32"/>
                <w:rFonts w:ascii="宋体" w:hAnsi="宋体" w:eastAsia="宋体" w:cs="宋体"/>
                <w:sz w:val="24"/>
                <w:szCs w:val="24"/>
                <w:lang w:val="en-US" w:eastAsia="zh-CN" w:bidi="ar"/>
              </w:rPr>
              <w:t>分；台账缺失</w:t>
            </w:r>
            <w:r>
              <w:rPr>
                <w:rStyle w:val="33"/>
                <w:rFonts w:eastAsia="等线"/>
                <w:lang w:val="en-US" w:eastAsia="zh-CN" w:bidi="ar"/>
              </w:rPr>
              <w:t>/</w:t>
            </w:r>
            <w:r>
              <w:rPr>
                <w:rStyle w:val="32"/>
                <w:rFonts w:ascii="宋体" w:hAnsi="宋体" w:eastAsia="宋体" w:cs="宋体"/>
                <w:sz w:val="24"/>
                <w:szCs w:val="24"/>
                <w:lang w:val="en-US" w:eastAsia="zh-CN" w:bidi="ar"/>
              </w:rPr>
              <w:t>记录不规范扣1分；医废暂存间管理混乱扣</w:t>
            </w:r>
            <w:r>
              <w:rPr>
                <w:rStyle w:val="33"/>
                <w:rFonts w:eastAsia="等线"/>
                <w:lang w:val="en-US" w:eastAsia="zh-CN" w:bidi="ar"/>
              </w:rPr>
              <w:t>1</w:t>
            </w:r>
            <w:r>
              <w:rPr>
                <w:rStyle w:val="32"/>
                <w:rFonts w:ascii="宋体" w:hAnsi="宋体" w:eastAsia="宋体" w:cs="宋体"/>
                <w:sz w:val="24"/>
                <w:szCs w:val="24"/>
                <w:lang w:val="en-US" w:eastAsia="zh-CN" w:bidi="ar"/>
              </w:rPr>
              <w:t>分；上收下送服务不到位</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1</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D2F4F2"/>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1582"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收送服务</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配合临床科室提供上收下送服务。</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根据临床科室需要做好上收下送工作，未收送1次扣2分</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Style w:val="30"/>
                <w:lang w:val="en-US" w:eastAsia="zh-CN" w:bidi="ar"/>
              </w:rPr>
              <w:t>保安服务（</w:t>
            </w:r>
            <w:r>
              <w:rPr>
                <w:rStyle w:val="31"/>
                <w:rFonts w:eastAsia="等线"/>
                <w:lang w:val="en-US" w:eastAsia="zh-CN" w:bidi="ar"/>
              </w:rPr>
              <w:t>50</w:t>
            </w:r>
            <w:r>
              <w:rPr>
                <w:rStyle w:val="30"/>
                <w:lang w:val="en-US" w:eastAsia="zh-CN" w:bidi="ar"/>
              </w:rPr>
              <w:t>分）</w:t>
            </w: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出入口固定岗值守</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主入口岗：每班至少安排一名保安人员于医院主入口/大门处值守，负责人员与车辆进出管理，维持秩序，树立医院安全第一形象。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主出口：每班至少安排一名保安人员于医院主要出口值守，形成出入管控闭环，防止无关人员随意进出。</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岗亭无人值守</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3</w:t>
            </w:r>
            <w:r>
              <w:rPr>
                <w:rStyle w:val="32"/>
                <w:rFonts w:ascii="宋体" w:hAnsi="宋体" w:eastAsia="宋体" w:cs="宋体"/>
                <w:sz w:val="24"/>
                <w:szCs w:val="24"/>
                <w:lang w:val="en-US" w:eastAsia="zh-CN" w:bidi="ar"/>
              </w:rPr>
              <w:t>分；管理混乱、无关人员随意进出</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关键部门固定岗</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监控控制室</w:t>
            </w:r>
            <w:r>
              <w:rPr>
                <w:rStyle w:val="35"/>
                <w:rFonts w:eastAsia="等线"/>
                <w:lang w:val="en-US" w:eastAsia="zh-CN" w:bidi="ar"/>
              </w:rPr>
              <w:t>24</w:t>
            </w:r>
            <w:r>
              <w:rPr>
                <w:rStyle w:val="34"/>
                <w:lang w:val="en-US" w:eastAsia="zh-CN" w:bidi="ar"/>
              </w:rPr>
              <w:t>小时专人值守，人员熟练操作设备，做好设备运行、值守记录，记录完整</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监控室非</w:t>
            </w:r>
            <w:r>
              <w:rPr>
                <w:rStyle w:val="33"/>
                <w:rFonts w:eastAsia="等线"/>
                <w:lang w:val="en-US" w:eastAsia="zh-CN" w:bidi="ar"/>
              </w:rPr>
              <w:t>24</w:t>
            </w:r>
            <w:r>
              <w:rPr>
                <w:rStyle w:val="32"/>
                <w:rFonts w:ascii="宋体" w:hAnsi="宋体" w:eastAsia="宋体" w:cs="宋体"/>
                <w:sz w:val="24"/>
                <w:szCs w:val="24"/>
                <w:lang w:val="en-US" w:eastAsia="zh-CN" w:bidi="ar"/>
              </w:rPr>
              <w:t>小时值守</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5</w:t>
            </w:r>
            <w:r>
              <w:rPr>
                <w:rStyle w:val="32"/>
                <w:rFonts w:ascii="宋体" w:hAnsi="宋体" w:eastAsia="宋体" w:cs="宋体"/>
                <w:sz w:val="24"/>
                <w:szCs w:val="24"/>
                <w:lang w:val="en-US" w:eastAsia="zh-CN" w:bidi="ar"/>
              </w:rPr>
              <w:t>分；设备操作不熟练</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分；记录缺失</w:t>
            </w:r>
            <w:r>
              <w:rPr>
                <w:rStyle w:val="33"/>
                <w:rFonts w:eastAsia="等线"/>
                <w:lang w:val="en-US" w:eastAsia="zh-CN" w:bidi="ar"/>
              </w:rPr>
              <w:t>/</w:t>
            </w:r>
            <w:r>
              <w:rPr>
                <w:rStyle w:val="32"/>
                <w:rFonts w:ascii="宋体" w:hAnsi="宋体" w:eastAsia="宋体" w:cs="宋体"/>
                <w:sz w:val="24"/>
                <w:szCs w:val="24"/>
                <w:lang w:val="en-US" w:eastAsia="zh-CN" w:bidi="ar"/>
              </w:rPr>
              <w:t>不规范扣</w:t>
            </w:r>
            <w:r>
              <w:rPr>
                <w:rStyle w:val="33"/>
                <w:rFonts w:eastAsia="等线"/>
                <w:lang w:val="en-US" w:eastAsia="zh-CN" w:bidi="ar"/>
              </w:rPr>
              <w:t>1-2</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2"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动态巡逻岗</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巡逻班不间断院内巡逻，覆盖全院所有区域；突出重点时段</w:t>
            </w:r>
            <w:r>
              <w:rPr>
                <w:rStyle w:val="35"/>
                <w:rFonts w:eastAsia="等线"/>
                <w:lang w:val="en-US" w:eastAsia="zh-CN" w:bidi="ar"/>
              </w:rPr>
              <w:t>/</w:t>
            </w:r>
            <w:r>
              <w:rPr>
                <w:rStyle w:val="34"/>
                <w:lang w:val="en-US" w:eastAsia="zh-CN" w:bidi="ar"/>
              </w:rPr>
              <w:t>部位，增加夜间巡逻频次；检查消防设施、安全通道、门窗锁闭，及时发现并报告</w:t>
            </w:r>
            <w:r>
              <w:rPr>
                <w:rStyle w:val="35"/>
                <w:rFonts w:eastAsia="等线"/>
                <w:lang w:val="en-US" w:eastAsia="zh-CN" w:bidi="ar"/>
              </w:rPr>
              <w:t>/</w:t>
            </w:r>
            <w:r>
              <w:rPr>
                <w:rStyle w:val="34"/>
                <w:lang w:val="en-US" w:eastAsia="zh-CN" w:bidi="ar"/>
              </w:rPr>
              <w:t>处置安全隐患，有巡逻记录</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巡逻未覆盖区域</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2</w:t>
            </w:r>
            <w:r>
              <w:rPr>
                <w:rStyle w:val="32"/>
                <w:rFonts w:ascii="宋体" w:hAnsi="宋体" w:eastAsia="宋体" w:cs="宋体"/>
                <w:sz w:val="24"/>
                <w:szCs w:val="24"/>
                <w:lang w:val="en-US" w:eastAsia="zh-CN" w:bidi="ar"/>
              </w:rPr>
              <w:t>分；夜间巡逻频次不足</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分；未检查安全设施</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分；发现隐患未处置</w:t>
            </w:r>
            <w:r>
              <w:rPr>
                <w:rStyle w:val="33"/>
                <w:rFonts w:eastAsia="等线"/>
                <w:lang w:val="en-US" w:eastAsia="zh-CN" w:bidi="ar"/>
              </w:rPr>
              <w:t>/</w:t>
            </w:r>
            <w:r>
              <w:rPr>
                <w:rStyle w:val="32"/>
                <w:rFonts w:ascii="宋体" w:hAnsi="宋体" w:eastAsia="宋体" w:cs="宋体"/>
                <w:sz w:val="24"/>
                <w:szCs w:val="24"/>
                <w:lang w:val="en-US" w:eastAsia="zh-CN" w:bidi="ar"/>
              </w:rPr>
              <w:t>报告</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3</w:t>
            </w:r>
            <w:r>
              <w:rPr>
                <w:rStyle w:val="32"/>
                <w:rFonts w:ascii="宋体" w:hAnsi="宋体" w:eastAsia="宋体" w:cs="宋体"/>
                <w:sz w:val="24"/>
                <w:szCs w:val="24"/>
                <w:lang w:val="en-US" w:eastAsia="zh-CN" w:bidi="ar"/>
              </w:rPr>
              <w:t>分；无巡逻记录扣</w:t>
            </w:r>
            <w:r>
              <w:rPr>
                <w:rStyle w:val="33"/>
                <w:rFonts w:eastAsia="等线"/>
                <w:lang w:val="en-US" w:eastAsia="zh-CN" w:bidi="ar"/>
              </w:rPr>
              <w:t>3</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人员证件资质</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所有保安人员持有效保安证，证件齐全且在有效期内</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保安无证上岗</w:t>
            </w:r>
            <w:r>
              <w:rPr>
                <w:rStyle w:val="33"/>
                <w:rFonts w:eastAsia="等线"/>
                <w:lang w:val="en-US" w:eastAsia="zh-CN" w:bidi="ar"/>
              </w:rPr>
              <w:t>1</w:t>
            </w:r>
            <w:r>
              <w:rPr>
                <w:rStyle w:val="32"/>
                <w:rFonts w:ascii="宋体" w:hAnsi="宋体" w:eastAsia="宋体" w:cs="宋体"/>
                <w:sz w:val="24"/>
                <w:szCs w:val="24"/>
                <w:lang w:val="en-US" w:eastAsia="zh-CN" w:bidi="ar"/>
              </w:rPr>
              <w:t>人扣</w:t>
            </w:r>
            <w:r>
              <w:rPr>
                <w:rStyle w:val="33"/>
                <w:rFonts w:eastAsia="等线"/>
                <w:lang w:val="en-US" w:eastAsia="zh-CN" w:bidi="ar"/>
              </w:rPr>
              <w:t>3</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车辆与交通管理</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做好院内车辆引导、停放管理；急救通道、消防通道时刻畅通，无占用、堵塞情况</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车辆停放混乱</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1</w:t>
            </w:r>
            <w:r>
              <w:rPr>
                <w:rStyle w:val="32"/>
                <w:rFonts w:ascii="宋体" w:hAnsi="宋体" w:eastAsia="宋体" w:cs="宋体"/>
                <w:sz w:val="24"/>
                <w:szCs w:val="24"/>
                <w:lang w:val="en-US" w:eastAsia="zh-CN" w:bidi="ar"/>
              </w:rPr>
              <w:t>分；急救</w:t>
            </w:r>
            <w:r>
              <w:rPr>
                <w:rStyle w:val="33"/>
                <w:rFonts w:eastAsia="等线"/>
                <w:lang w:val="en-US" w:eastAsia="zh-CN" w:bidi="ar"/>
              </w:rPr>
              <w:t>/</w:t>
            </w:r>
            <w:r>
              <w:rPr>
                <w:rStyle w:val="32"/>
                <w:rFonts w:ascii="宋体" w:hAnsi="宋体" w:eastAsia="宋体" w:cs="宋体"/>
                <w:sz w:val="24"/>
                <w:szCs w:val="24"/>
                <w:lang w:val="en-US" w:eastAsia="zh-CN" w:bidi="ar"/>
              </w:rPr>
              <w:t>消防通道堵塞</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3-6</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突发事件应急处置</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具备处理医闹、纠纷、盗窃、寻衅滋事等突发事件的能力，能迅速响应并采取初步控制措施，同时及时报警并配合公安机关工作。</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突发事件响应不及时</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3</w:t>
            </w:r>
            <w:r>
              <w:rPr>
                <w:rStyle w:val="32"/>
                <w:rFonts w:ascii="宋体" w:hAnsi="宋体" w:eastAsia="宋体" w:cs="宋体"/>
                <w:sz w:val="24"/>
                <w:szCs w:val="24"/>
                <w:lang w:val="en-US" w:eastAsia="zh-CN" w:bidi="ar"/>
              </w:rPr>
              <w:t>分；处置不当造成不良影响扣</w:t>
            </w:r>
            <w:r>
              <w:rPr>
                <w:rStyle w:val="33"/>
                <w:rFonts w:eastAsia="等线"/>
                <w:lang w:val="en-US" w:eastAsia="zh-CN" w:bidi="ar"/>
              </w:rPr>
              <w:t>3-6</w:t>
            </w:r>
            <w:r>
              <w:rPr>
                <w:rStyle w:val="32"/>
                <w:rFonts w:ascii="宋体" w:hAnsi="宋体" w:eastAsia="宋体" w:cs="宋体"/>
                <w:sz w:val="24"/>
                <w:szCs w:val="24"/>
                <w:lang w:val="en-US" w:eastAsia="zh-CN" w:bidi="ar"/>
              </w:rPr>
              <w:t>分；未配合公安工作扣</w:t>
            </w:r>
            <w:r>
              <w:rPr>
                <w:rStyle w:val="33"/>
                <w:rFonts w:eastAsia="等线"/>
                <w:lang w:val="en-US" w:eastAsia="zh-CN" w:bidi="ar"/>
              </w:rPr>
              <w:t>2</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秩序维护与便民服务</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高峰时段疏导人流，维护挂号、收费等窗口秩序；为患者</w:t>
            </w:r>
            <w:r>
              <w:rPr>
                <w:rStyle w:val="35"/>
                <w:rFonts w:eastAsia="等线"/>
                <w:lang w:val="en-US" w:eastAsia="zh-CN" w:bidi="ar"/>
              </w:rPr>
              <w:t>/</w:t>
            </w:r>
            <w:r>
              <w:rPr>
                <w:rStyle w:val="34"/>
                <w:lang w:val="en-US" w:eastAsia="zh-CN" w:bidi="ar"/>
              </w:rPr>
              <w:t>家属提供问询、指引等便民服务，服务态度良好</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窗口秩序混乱未疏导</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1</w:t>
            </w:r>
            <w:r>
              <w:rPr>
                <w:rStyle w:val="32"/>
                <w:rFonts w:ascii="宋体" w:hAnsi="宋体" w:eastAsia="宋体" w:cs="宋体"/>
                <w:sz w:val="24"/>
                <w:szCs w:val="24"/>
                <w:lang w:val="en-US" w:eastAsia="zh-CN" w:bidi="ar"/>
              </w:rPr>
              <w:t>分；服务态度恶劣被投诉</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分；未提供便民服务扣</w:t>
            </w:r>
            <w:r>
              <w:rPr>
                <w:rStyle w:val="33"/>
                <w:rFonts w:eastAsia="等线"/>
                <w:lang w:val="en-US" w:eastAsia="zh-CN" w:bidi="ar"/>
              </w:rPr>
              <w:t>1</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安全监控协管</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配合医院安防监控系统，对监控中异常情况快速反应、核实，</w:t>
            </w:r>
            <w:r>
              <w:rPr>
                <w:rStyle w:val="35"/>
                <w:rFonts w:eastAsia="等线"/>
                <w:lang w:val="en-US" w:eastAsia="zh-CN" w:bidi="ar"/>
              </w:rPr>
              <w:t>24</w:t>
            </w:r>
            <w:r>
              <w:rPr>
                <w:rStyle w:val="34"/>
                <w:lang w:val="en-US" w:eastAsia="zh-CN" w:bidi="ar"/>
              </w:rPr>
              <w:t>小时在岗响应，有核实记录</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监控异常未及时反应</w:t>
            </w:r>
            <w:r>
              <w:rPr>
                <w:rStyle w:val="33"/>
                <w:rFonts w:eastAsia="等线"/>
                <w:lang w:val="en-US" w:eastAsia="zh-CN" w:bidi="ar"/>
              </w:rPr>
              <w:t>/</w:t>
            </w:r>
            <w:r>
              <w:rPr>
                <w:rStyle w:val="32"/>
                <w:rFonts w:ascii="宋体" w:hAnsi="宋体" w:eastAsia="宋体" w:cs="宋体"/>
                <w:sz w:val="24"/>
                <w:szCs w:val="24"/>
                <w:lang w:val="en-US" w:eastAsia="zh-CN" w:bidi="ar"/>
              </w:rPr>
              <w:t>核实</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w:t>
            </w:r>
            <w:r>
              <w:rPr>
                <w:rStyle w:val="32"/>
                <w:rFonts w:ascii="宋体" w:hAnsi="宋体" w:eastAsia="宋体" w:cs="宋体"/>
                <w:sz w:val="24"/>
                <w:szCs w:val="24"/>
                <w:lang w:val="en-US" w:eastAsia="zh-CN" w:bidi="ar"/>
              </w:rPr>
              <w:t>分；无核实记录扣</w:t>
            </w:r>
            <w:r>
              <w:rPr>
                <w:rStyle w:val="33"/>
                <w:rFonts w:eastAsia="等线"/>
                <w:lang w:val="en-US" w:eastAsia="zh-CN" w:bidi="ar"/>
              </w:rPr>
              <w:t>2</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eastAsia" w:ascii="等线" w:hAnsi="等线" w:eastAsia="等线" w:cs="等线"/>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夜间安全保障</w:t>
            </w:r>
          </w:p>
        </w:tc>
        <w:tc>
          <w:tcPr>
            <w:tcW w:w="2766"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加强夜间全院区安全布控，对住院部、重点科室、财务室等重要场所重点防范，无安全漏洞</w:t>
            </w:r>
          </w:p>
        </w:tc>
        <w:tc>
          <w:tcPr>
            <w:tcW w:w="56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夜间重要场所未重点防范</w:t>
            </w:r>
            <w:r>
              <w:rPr>
                <w:rStyle w:val="33"/>
                <w:rFonts w:eastAsia="等线"/>
                <w:lang w:val="en-US" w:eastAsia="zh-CN" w:bidi="ar"/>
              </w:rPr>
              <w:t>1</w:t>
            </w:r>
            <w:r>
              <w:rPr>
                <w:rStyle w:val="32"/>
                <w:rFonts w:ascii="宋体" w:hAnsi="宋体" w:eastAsia="宋体" w:cs="宋体"/>
                <w:sz w:val="24"/>
                <w:szCs w:val="24"/>
                <w:lang w:val="en-US" w:eastAsia="zh-CN" w:bidi="ar"/>
              </w:rPr>
              <w:t>处扣</w:t>
            </w:r>
            <w:r>
              <w:rPr>
                <w:rStyle w:val="33"/>
                <w:rFonts w:eastAsia="等线"/>
                <w:lang w:val="en-US" w:eastAsia="zh-CN" w:bidi="ar"/>
              </w:rPr>
              <w:t>1</w:t>
            </w:r>
            <w:r>
              <w:rPr>
                <w:rStyle w:val="32"/>
                <w:rFonts w:ascii="宋体" w:hAnsi="宋体" w:eastAsia="宋体" w:cs="宋体"/>
                <w:sz w:val="24"/>
                <w:szCs w:val="24"/>
                <w:lang w:val="en-US" w:eastAsia="zh-CN" w:bidi="ar"/>
              </w:rPr>
              <w:t>分；出现安全漏洞</w:t>
            </w:r>
            <w:r>
              <w:rPr>
                <w:rStyle w:val="33"/>
                <w:rFonts w:eastAsia="等线"/>
                <w:lang w:val="en-US" w:eastAsia="zh-CN" w:bidi="ar"/>
              </w:rPr>
              <w:t>1</w:t>
            </w:r>
            <w:r>
              <w:rPr>
                <w:rStyle w:val="32"/>
                <w:rFonts w:ascii="宋体" w:hAnsi="宋体" w:eastAsia="宋体" w:cs="宋体"/>
                <w:sz w:val="24"/>
                <w:szCs w:val="24"/>
                <w:lang w:val="en-US" w:eastAsia="zh-CN" w:bidi="ar"/>
              </w:rPr>
              <w:t>次扣</w:t>
            </w:r>
            <w:r>
              <w:rPr>
                <w:rStyle w:val="33"/>
                <w:rFonts w:eastAsia="等线"/>
                <w:lang w:val="en-US" w:eastAsia="zh-CN" w:bidi="ar"/>
              </w:rPr>
              <w:t>2-4</w:t>
            </w:r>
            <w:r>
              <w:rPr>
                <w:rStyle w:val="32"/>
                <w:rFonts w:ascii="宋体" w:hAnsi="宋体" w:eastAsia="宋体" w:cs="宋体"/>
                <w:sz w:val="24"/>
                <w:szCs w:val="24"/>
                <w:lang w:val="en-US" w:eastAsia="zh-CN" w:bidi="ar"/>
              </w:rPr>
              <w:t>分；扣完为止</w:t>
            </w:r>
          </w:p>
        </w:tc>
        <w:tc>
          <w:tcPr>
            <w:tcW w:w="649"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E3F2D9"/>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加减分项（无基础分）</w:t>
            </w:r>
          </w:p>
        </w:tc>
        <w:tc>
          <w:tcPr>
            <w:tcW w:w="1044"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加分项</w:t>
            </w:r>
          </w:p>
        </w:tc>
        <w:tc>
          <w:tcPr>
            <w:tcW w:w="2766"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35"/>
                <w:rFonts w:eastAsia="宋体"/>
                <w:lang w:val="en-US" w:eastAsia="zh-CN" w:bidi="ar"/>
              </w:rPr>
              <w:t>1</w:t>
            </w:r>
            <w:r>
              <w:rPr>
                <w:rStyle w:val="36"/>
                <w:lang w:val="en-US" w:eastAsia="zh-CN" w:bidi="ar"/>
              </w:rPr>
              <w:t>、</w:t>
            </w:r>
            <w:r>
              <w:rPr>
                <w:rStyle w:val="34"/>
                <w:lang w:val="en-US" w:eastAsia="zh-CN" w:bidi="ar"/>
              </w:rPr>
              <w:t>服务期间获医院书面表扬、患者家属锦旗</w:t>
            </w:r>
            <w:r>
              <w:rPr>
                <w:rStyle w:val="35"/>
                <w:rFonts w:eastAsia="宋体"/>
                <w:lang w:val="en-US" w:eastAsia="zh-CN" w:bidi="ar"/>
              </w:rPr>
              <w:t>/</w:t>
            </w:r>
            <w:r>
              <w:rPr>
                <w:rStyle w:val="34"/>
                <w:lang w:val="en-US" w:eastAsia="zh-CN" w:bidi="ar"/>
              </w:rPr>
              <w:t>表扬信，每次加</w:t>
            </w:r>
            <w:r>
              <w:rPr>
                <w:rStyle w:val="35"/>
                <w:rFonts w:eastAsia="宋体"/>
                <w:lang w:val="en-US" w:eastAsia="zh-CN" w:bidi="ar"/>
              </w:rPr>
              <w:t>2-5</w:t>
            </w:r>
            <w:r>
              <w:rPr>
                <w:rStyle w:val="34"/>
                <w:lang w:val="en-US" w:eastAsia="zh-CN" w:bidi="ar"/>
              </w:rPr>
              <w:t>分；</w:t>
            </w:r>
            <w:r>
              <w:rPr>
                <w:rStyle w:val="35"/>
                <w:rFonts w:eastAsia="宋体"/>
                <w:lang w:val="en-US" w:eastAsia="zh-CN" w:bidi="ar"/>
              </w:rPr>
              <w:t>2</w:t>
            </w:r>
            <w:r>
              <w:rPr>
                <w:rStyle w:val="36"/>
                <w:lang w:val="en-US" w:eastAsia="zh-CN" w:bidi="ar"/>
              </w:rPr>
              <w:t>、</w:t>
            </w:r>
            <w:r>
              <w:rPr>
                <w:rStyle w:val="34"/>
                <w:lang w:val="en-US" w:eastAsia="zh-CN" w:bidi="ar"/>
              </w:rPr>
              <w:t>及时发现重大安全隐患</w:t>
            </w:r>
            <w:r>
              <w:rPr>
                <w:rStyle w:val="35"/>
                <w:rFonts w:eastAsia="宋体"/>
                <w:lang w:val="en-US" w:eastAsia="zh-CN" w:bidi="ar"/>
              </w:rPr>
              <w:t>/</w:t>
            </w:r>
            <w:r>
              <w:rPr>
                <w:rStyle w:val="34"/>
                <w:lang w:val="en-US" w:eastAsia="zh-CN" w:bidi="ar"/>
              </w:rPr>
              <w:t>避免医疗环境事故，每次加</w:t>
            </w:r>
            <w:r>
              <w:rPr>
                <w:rStyle w:val="35"/>
                <w:rFonts w:eastAsia="宋体"/>
                <w:lang w:val="en-US" w:eastAsia="zh-CN" w:bidi="ar"/>
              </w:rPr>
              <w:t>3-6</w:t>
            </w:r>
            <w:r>
              <w:rPr>
                <w:rStyle w:val="34"/>
                <w:lang w:val="en-US" w:eastAsia="zh-CN" w:bidi="ar"/>
              </w:rPr>
              <w:t>分；</w:t>
            </w:r>
          </w:p>
        </w:tc>
        <w:tc>
          <w:tcPr>
            <w:tcW w:w="567"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default" w:ascii="Arial" w:hAnsi="Arial" w:eastAsia="宋体" w:cs="Arial"/>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FFF3CA"/>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按实际情况加分，填写佐证材料</w:t>
            </w:r>
          </w:p>
        </w:tc>
        <w:tc>
          <w:tcPr>
            <w:tcW w:w="649"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eastAsia" w:ascii="等线" w:hAnsi="等线" w:eastAsia="等线" w:cs="等线"/>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eastAsia" w:ascii="等线" w:hAnsi="等线" w:eastAsia="等线" w:cs="等线"/>
                <w:b/>
                <w:bCs/>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扣分项</w:t>
            </w:r>
          </w:p>
        </w:tc>
        <w:tc>
          <w:tcPr>
            <w:tcW w:w="2766"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1、因服务不到位被医院</w:t>
            </w:r>
            <w:r>
              <w:rPr>
                <w:rStyle w:val="35"/>
                <w:rFonts w:eastAsia="等线"/>
                <w:lang w:val="en-US" w:eastAsia="zh-CN" w:bidi="ar"/>
              </w:rPr>
              <w:t>/</w:t>
            </w:r>
            <w:r>
              <w:rPr>
                <w:rStyle w:val="34"/>
                <w:lang w:val="en-US" w:eastAsia="zh-CN" w:bidi="ar"/>
              </w:rPr>
              <w:t>患者家属有效投诉，每次扣</w:t>
            </w:r>
            <w:r>
              <w:rPr>
                <w:rStyle w:val="35"/>
                <w:rFonts w:eastAsia="等线"/>
                <w:lang w:val="en-US" w:eastAsia="zh-CN" w:bidi="ar"/>
              </w:rPr>
              <w:t>3-5</w:t>
            </w:r>
            <w:r>
              <w:rPr>
                <w:rStyle w:val="34"/>
                <w:lang w:val="en-US" w:eastAsia="zh-CN" w:bidi="ar"/>
              </w:rPr>
              <w:t>分；</w:t>
            </w:r>
            <w:r>
              <w:rPr>
                <w:rStyle w:val="35"/>
                <w:rFonts w:eastAsia="等线"/>
                <w:lang w:val="en-US" w:eastAsia="zh-CN" w:bidi="ar"/>
              </w:rPr>
              <w:t>2</w:t>
            </w:r>
            <w:r>
              <w:rPr>
                <w:rStyle w:val="36"/>
                <w:lang w:val="en-US" w:eastAsia="zh-CN" w:bidi="ar"/>
              </w:rPr>
              <w:t>、</w:t>
            </w:r>
            <w:r>
              <w:rPr>
                <w:rStyle w:val="34"/>
                <w:lang w:val="en-US" w:eastAsia="zh-CN" w:bidi="ar"/>
              </w:rPr>
              <w:t>医废处理违规、消防通道堵塞等重大问题，每次扣</w:t>
            </w:r>
            <w:r>
              <w:rPr>
                <w:rStyle w:val="35"/>
                <w:rFonts w:eastAsia="等线"/>
                <w:lang w:val="en-US" w:eastAsia="zh-CN" w:bidi="ar"/>
              </w:rPr>
              <w:t>5-10</w:t>
            </w:r>
            <w:r>
              <w:rPr>
                <w:rStyle w:val="34"/>
                <w:lang w:val="en-US" w:eastAsia="zh-CN" w:bidi="ar"/>
              </w:rPr>
              <w:t>分；</w:t>
            </w:r>
            <w:r>
              <w:rPr>
                <w:rStyle w:val="35"/>
                <w:rFonts w:eastAsia="等线"/>
                <w:lang w:val="en-US" w:eastAsia="zh-CN" w:bidi="ar"/>
              </w:rPr>
              <w:t>3</w:t>
            </w:r>
            <w:r>
              <w:rPr>
                <w:rStyle w:val="36"/>
                <w:lang w:val="en-US" w:eastAsia="zh-CN" w:bidi="ar"/>
              </w:rPr>
              <w:t>、</w:t>
            </w:r>
            <w:r>
              <w:rPr>
                <w:rStyle w:val="34"/>
                <w:lang w:val="en-US" w:eastAsia="zh-CN" w:bidi="ar"/>
              </w:rPr>
              <w:t>脱岗、旷工，每人次扣</w:t>
            </w:r>
            <w:r>
              <w:rPr>
                <w:rStyle w:val="35"/>
                <w:rFonts w:eastAsia="等线"/>
                <w:lang w:val="en-US" w:eastAsia="zh-CN" w:bidi="ar"/>
              </w:rPr>
              <w:t>5</w:t>
            </w:r>
            <w:r>
              <w:rPr>
                <w:rStyle w:val="34"/>
                <w:lang w:val="en-US" w:eastAsia="zh-CN" w:bidi="ar"/>
              </w:rPr>
              <w:t>分；</w:t>
            </w:r>
            <w:r>
              <w:rPr>
                <w:rStyle w:val="35"/>
                <w:rFonts w:eastAsia="等线"/>
                <w:lang w:val="en-US" w:eastAsia="zh-CN" w:bidi="ar"/>
              </w:rPr>
              <w:t>4</w:t>
            </w:r>
            <w:r>
              <w:rPr>
                <w:rStyle w:val="36"/>
                <w:lang w:val="en-US" w:eastAsia="zh-CN" w:bidi="ar"/>
              </w:rPr>
              <w:t>、</w:t>
            </w:r>
            <w:r>
              <w:rPr>
                <w:rStyle w:val="34"/>
                <w:lang w:val="en-US" w:eastAsia="zh-CN" w:bidi="ar"/>
              </w:rPr>
              <w:t>处置突发事件失误造成医院财产损失</w:t>
            </w:r>
            <w:r>
              <w:rPr>
                <w:rStyle w:val="35"/>
                <w:rFonts w:eastAsia="等线"/>
                <w:lang w:val="en-US" w:eastAsia="zh-CN" w:bidi="ar"/>
              </w:rPr>
              <w:t>/</w:t>
            </w:r>
            <w:r>
              <w:rPr>
                <w:rStyle w:val="34"/>
                <w:lang w:val="en-US" w:eastAsia="zh-CN" w:bidi="ar"/>
              </w:rPr>
              <w:t>人员伤害，每次扣</w:t>
            </w:r>
            <w:r>
              <w:rPr>
                <w:rStyle w:val="35"/>
                <w:rFonts w:eastAsia="等线"/>
                <w:lang w:val="en-US" w:eastAsia="zh-CN" w:bidi="ar"/>
              </w:rPr>
              <w:t>10-20</w:t>
            </w:r>
            <w:r>
              <w:rPr>
                <w:rStyle w:val="34"/>
                <w:lang w:val="en-US" w:eastAsia="zh-CN" w:bidi="ar"/>
              </w:rPr>
              <w:t>分；</w:t>
            </w:r>
            <w:r>
              <w:rPr>
                <w:rStyle w:val="37"/>
                <w:lang w:val="en-US" w:eastAsia="zh-CN" w:bidi="ar"/>
              </w:rPr>
              <w:t>扣分无上限，可扣至总分</w:t>
            </w:r>
            <w:r>
              <w:rPr>
                <w:rStyle w:val="38"/>
                <w:rFonts w:eastAsia="等线"/>
                <w:lang w:val="en-US" w:eastAsia="zh-CN" w:bidi="ar"/>
              </w:rPr>
              <w:t>0</w:t>
            </w:r>
            <w:r>
              <w:rPr>
                <w:rStyle w:val="37"/>
                <w:lang w:val="en-US" w:eastAsia="zh-CN" w:bidi="ar"/>
              </w:rPr>
              <w:t>分</w:t>
            </w:r>
          </w:p>
        </w:tc>
        <w:tc>
          <w:tcPr>
            <w:tcW w:w="567"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default" w:ascii="Arial" w:hAnsi="Arial" w:eastAsia="宋体" w:cs="Arial"/>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FFF3CA"/>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按实际情况扣分，填写问题描述</w:t>
            </w:r>
          </w:p>
        </w:tc>
        <w:tc>
          <w:tcPr>
            <w:tcW w:w="649"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eastAsia" w:ascii="等线" w:hAnsi="等线" w:eastAsia="等线" w:cs="等线"/>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FF3CA"/>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考评结论</w:t>
            </w:r>
          </w:p>
        </w:tc>
        <w:tc>
          <w:tcPr>
            <w:tcW w:w="1044"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合计得分</w:t>
            </w:r>
          </w:p>
        </w:tc>
        <w:tc>
          <w:tcPr>
            <w:tcW w:w="2766"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34"/>
                <w:lang w:val="en-US" w:eastAsia="zh-CN" w:bidi="ar"/>
              </w:rPr>
              <w:t>最终得分</w:t>
            </w:r>
            <w:r>
              <w:rPr>
                <w:rStyle w:val="35"/>
                <w:rFonts w:eastAsia="等线"/>
                <w:lang w:val="en-US" w:eastAsia="zh-CN" w:bidi="ar"/>
              </w:rPr>
              <w:t>=</w:t>
            </w:r>
            <w:r>
              <w:rPr>
                <w:rStyle w:val="34"/>
                <w:lang w:val="en-US" w:eastAsia="zh-CN" w:bidi="ar"/>
              </w:rPr>
              <w:t>保洁实得分</w:t>
            </w:r>
            <w:r>
              <w:rPr>
                <w:rStyle w:val="35"/>
                <w:rFonts w:eastAsia="等线"/>
                <w:lang w:val="en-US" w:eastAsia="zh-CN" w:bidi="ar"/>
              </w:rPr>
              <w:t>+</w:t>
            </w:r>
            <w:r>
              <w:rPr>
                <w:rStyle w:val="34"/>
                <w:lang w:val="en-US" w:eastAsia="zh-CN" w:bidi="ar"/>
              </w:rPr>
              <w:t>保安实得分</w:t>
            </w:r>
            <w:r>
              <w:rPr>
                <w:rStyle w:val="35"/>
                <w:rFonts w:eastAsia="等线"/>
                <w:lang w:val="en-US" w:eastAsia="zh-CN" w:bidi="ar"/>
              </w:rPr>
              <w:t>+</w:t>
            </w:r>
            <w:r>
              <w:rPr>
                <w:rStyle w:val="34"/>
                <w:lang w:val="en-US" w:eastAsia="zh-CN" w:bidi="ar"/>
              </w:rPr>
              <w:t>加分</w:t>
            </w:r>
            <w:r>
              <w:rPr>
                <w:rStyle w:val="35"/>
                <w:rFonts w:eastAsia="等线"/>
                <w:lang w:val="en-US" w:eastAsia="zh-CN" w:bidi="ar"/>
              </w:rPr>
              <w:t>-</w:t>
            </w:r>
            <w:r>
              <w:rPr>
                <w:rStyle w:val="34"/>
                <w:lang w:val="en-US" w:eastAsia="zh-CN" w:bidi="ar"/>
              </w:rPr>
              <w:t>扣分</w:t>
            </w:r>
          </w:p>
        </w:tc>
        <w:tc>
          <w:tcPr>
            <w:tcW w:w="567"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Arial" w:hAnsi="Arial" w:eastAsia="宋体" w:cs="Arial"/>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left"/>
              <w:rPr>
                <w:rFonts w:hint="default" w:ascii="Arial" w:hAnsi="Arial" w:eastAsia="宋体" w:cs="Arial"/>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EE796"/>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最终得分：</w:t>
            </w:r>
            <w:r>
              <w:rPr>
                <w:rStyle w:val="33"/>
                <w:rFonts w:eastAsia="等线"/>
                <w:lang w:val="en-US" w:eastAsia="zh-CN" w:bidi="ar"/>
              </w:rPr>
              <w:t>___</w:t>
            </w:r>
          </w:p>
        </w:tc>
        <w:tc>
          <w:tcPr>
            <w:tcW w:w="955"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eastAsia" w:ascii="等线" w:hAnsi="等线" w:eastAsia="等线" w:cs="等线"/>
                <w:b/>
                <w:bCs/>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考评等级</w:t>
            </w:r>
          </w:p>
        </w:tc>
        <w:tc>
          <w:tcPr>
            <w:tcW w:w="2766"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Style w:val="35"/>
                <w:rFonts w:eastAsia="宋体"/>
                <w:lang w:val="en-US" w:eastAsia="zh-CN" w:bidi="ar"/>
              </w:rPr>
              <w:t>□</w:t>
            </w:r>
            <w:r>
              <w:rPr>
                <w:rStyle w:val="34"/>
                <w:lang w:val="en-US" w:eastAsia="zh-CN" w:bidi="ar"/>
              </w:rPr>
              <w:t>优秀（</w:t>
            </w:r>
            <w:r>
              <w:rPr>
                <w:rStyle w:val="35"/>
                <w:rFonts w:eastAsia="宋体"/>
                <w:lang w:val="en-US" w:eastAsia="zh-CN" w:bidi="ar"/>
              </w:rPr>
              <w:t>≥90</w:t>
            </w:r>
            <w:r>
              <w:rPr>
                <w:rStyle w:val="34"/>
                <w:lang w:val="en-US" w:eastAsia="zh-CN" w:bidi="ar"/>
              </w:rPr>
              <w:t xml:space="preserve">分） </w:t>
            </w:r>
            <w:r>
              <w:rPr>
                <w:rStyle w:val="35"/>
                <w:rFonts w:eastAsia="宋体"/>
                <w:lang w:val="en-US" w:eastAsia="zh-CN" w:bidi="ar"/>
              </w:rPr>
              <w:t>□</w:t>
            </w:r>
            <w:r>
              <w:rPr>
                <w:rStyle w:val="34"/>
                <w:lang w:val="en-US" w:eastAsia="zh-CN" w:bidi="ar"/>
              </w:rPr>
              <w:t>良好（</w:t>
            </w:r>
            <w:r>
              <w:rPr>
                <w:rStyle w:val="35"/>
                <w:rFonts w:eastAsia="宋体"/>
                <w:lang w:val="en-US" w:eastAsia="zh-CN" w:bidi="ar"/>
              </w:rPr>
              <w:t>80-89</w:t>
            </w:r>
            <w:r>
              <w:rPr>
                <w:rStyle w:val="34"/>
                <w:lang w:val="en-US" w:eastAsia="zh-CN" w:bidi="ar"/>
              </w:rPr>
              <w:t xml:space="preserve">分） </w:t>
            </w:r>
            <w:r>
              <w:rPr>
                <w:rStyle w:val="35"/>
                <w:rFonts w:eastAsia="宋体"/>
                <w:lang w:val="en-US" w:eastAsia="zh-CN" w:bidi="ar"/>
              </w:rPr>
              <w:t>□</w:t>
            </w:r>
            <w:r>
              <w:rPr>
                <w:rStyle w:val="34"/>
                <w:lang w:val="en-US" w:eastAsia="zh-CN" w:bidi="ar"/>
              </w:rPr>
              <w:t>合格（</w:t>
            </w:r>
            <w:r>
              <w:rPr>
                <w:rStyle w:val="35"/>
                <w:rFonts w:eastAsia="宋体"/>
                <w:lang w:val="en-US" w:eastAsia="zh-CN" w:bidi="ar"/>
              </w:rPr>
              <w:t>70-79</w:t>
            </w:r>
            <w:r>
              <w:rPr>
                <w:rStyle w:val="34"/>
                <w:lang w:val="en-US" w:eastAsia="zh-CN" w:bidi="ar"/>
              </w:rPr>
              <w:t xml:space="preserve">分） </w:t>
            </w:r>
            <w:r>
              <w:rPr>
                <w:rStyle w:val="35"/>
                <w:rFonts w:eastAsia="宋体"/>
                <w:lang w:val="en-US" w:eastAsia="zh-CN" w:bidi="ar"/>
              </w:rPr>
              <w:t>□</w:t>
            </w:r>
            <w:r>
              <w:rPr>
                <w:rStyle w:val="34"/>
                <w:lang w:val="en-US" w:eastAsia="zh-CN" w:bidi="ar"/>
              </w:rPr>
              <w:t>不合格（＜</w:t>
            </w:r>
            <w:r>
              <w:rPr>
                <w:rStyle w:val="35"/>
                <w:rFonts w:eastAsia="宋体"/>
                <w:lang w:val="en-US" w:eastAsia="zh-CN" w:bidi="ar"/>
              </w:rPr>
              <w:t>70</w:t>
            </w:r>
            <w:r>
              <w:rPr>
                <w:rStyle w:val="34"/>
                <w:lang w:val="en-US" w:eastAsia="zh-CN" w:bidi="ar"/>
              </w:rPr>
              <w:t>分）</w:t>
            </w:r>
          </w:p>
        </w:tc>
        <w:tc>
          <w:tcPr>
            <w:tcW w:w="567"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Arial" w:hAnsi="Arial" w:eastAsia="宋体" w:cs="Arial"/>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FCE4D3"/>
            <w:vAlign w:val="bottom"/>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不合格需限期整改，整改不到位按合同约定处理</w:t>
            </w:r>
          </w:p>
        </w:tc>
        <w:tc>
          <w:tcPr>
            <w:tcW w:w="649"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Calibri" w:hAnsi="Calibri" w:eastAsia="宋体" w:cs="Calibri"/>
                <w:i w:val="0"/>
                <w:iCs w:val="0"/>
                <w:color w:val="000000"/>
                <w:sz w:val="21"/>
                <w:szCs w:val="2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eastAsia" w:ascii="等线" w:hAnsi="等线" w:eastAsia="等线" w:cs="等线"/>
                <w:b/>
                <w:bCs/>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32"/>
                <w:rFonts w:ascii="宋体" w:hAnsi="宋体" w:eastAsia="宋体" w:cs="宋体"/>
                <w:sz w:val="24"/>
                <w:szCs w:val="24"/>
                <w:lang w:val="en-US" w:eastAsia="zh-CN" w:bidi="ar"/>
              </w:rPr>
              <w:t>考评意见</w:t>
            </w:r>
            <w:r>
              <w:rPr>
                <w:rStyle w:val="33"/>
                <w:rFonts w:eastAsia="等线"/>
                <w:lang w:val="en-US" w:eastAsia="zh-CN" w:bidi="ar"/>
              </w:rPr>
              <w:t>/</w:t>
            </w:r>
            <w:r>
              <w:rPr>
                <w:rStyle w:val="32"/>
                <w:rFonts w:ascii="宋体" w:hAnsi="宋体" w:eastAsia="宋体" w:cs="宋体"/>
                <w:sz w:val="24"/>
                <w:szCs w:val="24"/>
                <w:lang w:val="en-US" w:eastAsia="zh-CN" w:bidi="ar"/>
              </w:rPr>
              <w:t>整改要求</w:t>
            </w:r>
          </w:p>
        </w:tc>
        <w:tc>
          <w:tcPr>
            <w:tcW w:w="2766" w:type="dxa"/>
            <w:tcBorders>
              <w:top w:val="single" w:color="000000" w:sz="4" w:space="0"/>
              <w:left w:val="single" w:color="000000" w:sz="4" w:space="0"/>
              <w:bottom w:val="single" w:color="000000" w:sz="4" w:space="0"/>
              <w:right w:val="single" w:color="000000" w:sz="4" w:space="0"/>
            </w:tcBorders>
            <w:shd w:val="clear" w:color="auto" w:fill="FCE4D3"/>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（填写整体评价、存在主要问题、限期整改时间及要求）</w:t>
            </w:r>
          </w:p>
        </w:tc>
        <w:tc>
          <w:tcPr>
            <w:tcW w:w="567"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Arial" w:hAnsi="Arial" w:eastAsia="宋体" w:cs="Arial"/>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left"/>
              <w:rPr>
                <w:rFonts w:hint="default" w:ascii="Arial" w:hAnsi="Arial" w:eastAsia="宋体" w:cs="Arial"/>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CE4D3"/>
            <w:vAlign w:val="center"/>
          </w:tcPr>
          <w:p>
            <w:pPr>
              <w:jc w:val="center"/>
              <w:rPr>
                <w:rFonts w:hint="default" w:ascii="Calibri" w:hAnsi="Calibri" w:eastAsia="宋体" w:cs="Calibri"/>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CE4D3"/>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被考评服务负责人签字：                                   </w:t>
            </w: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考评单位签字：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95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考评使用说明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1、本考评表由总务科执行考评，每月1次，考评时需现场核查、留存照片/记录等佐证材料，做到扣分有依据、加分有凭证；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2、考核备注栏需详细填写问题具体位置、发生时间、整改情况等信息，便于后续追溯和整改复查；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3、被考评单位对考评结果有异议的，可在3个工作日内提出复核申请，由医院重新核查评定；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4、考评结果连续2次不合格的，医院可依据物业服务合同约定，采取约谈、扣款、终止合同等措施。</w:t>
            </w:r>
          </w:p>
        </w:tc>
      </w:tr>
    </w:tbl>
    <w:p>
      <w:pPr>
        <w:pStyle w:val="27"/>
        <w:spacing w:line="460" w:lineRule="exact"/>
        <w:ind w:firstLine="0" w:firstLineChars="0"/>
        <w:jc w:val="center"/>
        <w:rPr>
          <w:rFonts w:hint="eastAsia" w:ascii="宋体" w:hAnsi="宋体" w:cs="宋体"/>
          <w:b/>
          <w:bCs/>
          <w:color w:val="auto"/>
          <w:kern w:val="0"/>
          <w:sz w:val="32"/>
          <w:szCs w:val="32"/>
          <w:highlight w:val="none"/>
        </w:rPr>
      </w:pPr>
    </w:p>
    <w:p>
      <w:pPr>
        <w:pStyle w:val="27"/>
        <w:spacing w:line="460" w:lineRule="exact"/>
        <w:ind w:firstLine="0" w:firstLineChars="0"/>
        <w:jc w:val="both"/>
        <w:rPr>
          <w:rFonts w:hint="eastAsia" w:ascii="宋体" w:hAnsi="宋体" w:cs="宋体"/>
          <w:b/>
          <w:bCs/>
          <w:color w:val="auto"/>
          <w:kern w:val="0"/>
          <w:sz w:val="32"/>
          <w:szCs w:val="32"/>
          <w:highlight w:val="none"/>
        </w:rPr>
      </w:pPr>
    </w:p>
    <w:p>
      <w:pPr>
        <w:pStyle w:val="27"/>
        <w:spacing w:line="460" w:lineRule="exact"/>
        <w:ind w:firstLine="0" w:firstLineChars="0"/>
        <w:jc w:val="center"/>
        <w:rPr>
          <w:rFonts w:ascii="宋体" w:hAnsi="宋体" w:cs="宋体"/>
          <w:b/>
          <w:bCs/>
          <w:color w:val="auto"/>
          <w:kern w:val="0"/>
          <w:szCs w:val="32"/>
          <w:highlight w:val="none"/>
        </w:rPr>
      </w:pPr>
      <w:r>
        <w:rPr>
          <w:rFonts w:hint="eastAsia" w:ascii="宋体" w:hAnsi="宋体" w:cs="宋体"/>
          <w:b/>
          <w:bCs/>
          <w:color w:val="auto"/>
          <w:kern w:val="0"/>
          <w:sz w:val="32"/>
          <w:szCs w:val="32"/>
          <w:highlight w:val="none"/>
        </w:rPr>
        <w:t>第四章   评审办法</w:t>
      </w:r>
      <w:bookmarkEnd w:id="48"/>
      <w:bookmarkEnd w:id="49"/>
    </w:p>
    <w:p>
      <w:pPr>
        <w:pStyle w:val="17"/>
        <w:spacing w:before="0" w:after="0" w:line="360" w:lineRule="auto"/>
        <w:jc w:val="left"/>
        <w:outlineLvl w:val="9"/>
        <w:rPr>
          <w:rFonts w:ascii="宋体" w:hAnsi="宋体" w:cs="宋体"/>
          <w:color w:val="auto"/>
          <w:sz w:val="28"/>
          <w:szCs w:val="28"/>
          <w:highlight w:val="none"/>
        </w:rPr>
      </w:pPr>
      <w:bookmarkStart w:id="51" w:name="_Toc7161"/>
      <w:bookmarkStart w:id="52" w:name="_Toc291944756"/>
      <w:bookmarkStart w:id="53" w:name="_Toc16382"/>
      <w:bookmarkStart w:id="54" w:name="_Toc436845166"/>
      <w:bookmarkStart w:id="55" w:name="_Toc17411"/>
      <w:r>
        <w:rPr>
          <w:rFonts w:hint="eastAsia" w:ascii="宋体" w:hAnsi="宋体" w:cs="宋体"/>
          <w:color w:val="auto"/>
          <w:sz w:val="28"/>
          <w:szCs w:val="28"/>
          <w:highlight w:val="none"/>
        </w:rPr>
        <w:t>一、概述</w:t>
      </w:r>
      <w:bookmarkEnd w:id="51"/>
      <w:bookmarkEnd w:id="52"/>
      <w:bookmarkEnd w:id="53"/>
      <w:bookmarkEnd w:id="54"/>
      <w:bookmarkEnd w:id="55"/>
    </w:p>
    <w:p>
      <w:pPr>
        <w:pStyle w:val="28"/>
        <w:spacing w:line="360" w:lineRule="auto"/>
        <w:ind w:firstLine="560"/>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（一）根据《中华人民共和国政府采购法》《政府采购竞争性磋商采购方式管理暂行办法》等有关法律法规的精神及本次采购文件的规定，遵循公平、公正、科学、择优的原则，特制定本办法。</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（二）本次采购采用竞争性磋商采购方式进行，磋商由依法组成的磋商小组负责完成。</w:t>
      </w:r>
      <w:r>
        <w:rPr>
          <w:rFonts w:hint="eastAsia" w:ascii="宋体" w:hAnsi="宋体" w:cs="宋体"/>
          <w:bCs/>
          <w:color w:val="auto"/>
          <w:sz w:val="28"/>
          <w:szCs w:val="28"/>
          <w:highlight w:val="none"/>
        </w:rPr>
        <w:t>磋商小组根据招标项目特点</w:t>
      </w:r>
      <w:r>
        <w:rPr>
          <w:rFonts w:hint="eastAsia" w:ascii="宋体" w:hAnsi="宋体" w:cs="宋体"/>
          <w:bCs/>
          <w:color w:val="auto"/>
          <w:kern w:val="0"/>
          <w:sz w:val="28"/>
          <w:szCs w:val="28"/>
          <w:highlight w:val="none"/>
        </w:rPr>
        <w:t>从专家库中随机抽取2人，</w:t>
      </w:r>
      <w:r>
        <w:rPr>
          <w:rFonts w:hint="eastAsia" w:ascii="宋体" w:hAnsi="宋体" w:cs="宋体"/>
          <w:color w:val="auto"/>
          <w:sz w:val="28"/>
          <w:szCs w:val="28"/>
          <w:highlight w:val="none"/>
        </w:rPr>
        <w:t>采购单位代表</w:t>
      </w:r>
      <w:r>
        <w:rPr>
          <w:rFonts w:hint="eastAsia" w:ascii="宋体" w:hAnsi="宋体" w:cs="宋体"/>
          <w:bCs/>
          <w:color w:val="auto"/>
          <w:kern w:val="0"/>
          <w:sz w:val="28"/>
          <w:szCs w:val="28"/>
          <w:highlight w:val="none"/>
        </w:rPr>
        <w:t>1人，共3人组成</w:t>
      </w:r>
      <w:r>
        <w:rPr>
          <w:rFonts w:hint="eastAsia" w:ascii="宋体" w:hAnsi="宋体" w:cs="宋体"/>
          <w:color w:val="auto"/>
          <w:sz w:val="28"/>
          <w:szCs w:val="28"/>
          <w:highlight w:val="none"/>
        </w:rPr>
        <w:t>。</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（三）本次采购的评标采用综合评分法。本次磋商是以磋商文件为依据，按公正、科学、客观、平等竞争的要求，推荐技术先进、报价合理、经验丰富、信誉良好、售后服务好、及综合实力强的成交人。</w:t>
      </w:r>
    </w:p>
    <w:p>
      <w:pPr>
        <w:pStyle w:val="3"/>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参与评审工作的所有人员必须遵守《中华人民共和国政府采购法》及有关采购的</w:t>
      </w:r>
      <w:r>
        <w:rPr>
          <w:rFonts w:hint="eastAsia" w:ascii="宋体" w:hAnsi="宋体" w:cs="宋体"/>
          <w:color w:val="auto"/>
          <w:sz w:val="28"/>
          <w:szCs w:val="28"/>
          <w:highlight w:val="none"/>
          <w:lang w:val="en-US" w:eastAsia="zh-CN"/>
        </w:rPr>
        <w:t>政策</w:t>
      </w:r>
      <w:r>
        <w:rPr>
          <w:rFonts w:hint="eastAsia" w:ascii="宋体" w:hAnsi="宋体" w:cs="宋体"/>
          <w:color w:val="auto"/>
          <w:sz w:val="28"/>
          <w:szCs w:val="28"/>
          <w:highlight w:val="none"/>
        </w:rPr>
        <w:t>法规的规定，以确保评标的公平、公正。</w:t>
      </w:r>
      <w:bookmarkStart w:id="56" w:name="_Toc291944757"/>
      <w:bookmarkStart w:id="57" w:name="_Toc3399"/>
      <w:bookmarkStart w:id="58" w:name="_Toc9459"/>
      <w:bookmarkStart w:id="59" w:name="_Toc436845167"/>
      <w:bookmarkStart w:id="60" w:name="_Toc7178"/>
    </w:p>
    <w:p>
      <w:pPr>
        <w:pStyle w:val="17"/>
        <w:spacing w:before="0" w:after="0" w:line="360" w:lineRule="auto"/>
        <w:jc w:val="left"/>
        <w:outlineLvl w:val="9"/>
        <w:rPr>
          <w:rFonts w:ascii="宋体" w:hAnsi="宋体" w:cs="宋体"/>
          <w:color w:val="auto"/>
          <w:sz w:val="28"/>
          <w:szCs w:val="28"/>
          <w:highlight w:val="none"/>
        </w:rPr>
      </w:pPr>
      <w:r>
        <w:rPr>
          <w:rFonts w:hint="eastAsia" w:ascii="宋体" w:hAnsi="宋体" w:cs="宋体"/>
          <w:color w:val="auto"/>
          <w:sz w:val="28"/>
          <w:szCs w:val="28"/>
          <w:highlight w:val="none"/>
        </w:rPr>
        <w:t>二、</w:t>
      </w:r>
      <w:bookmarkEnd w:id="56"/>
      <w:r>
        <w:rPr>
          <w:rFonts w:hint="eastAsia" w:ascii="宋体" w:hAnsi="宋体" w:cs="宋体"/>
          <w:color w:val="auto"/>
          <w:sz w:val="28"/>
          <w:szCs w:val="28"/>
          <w:highlight w:val="none"/>
        </w:rPr>
        <w:t>评审工作程序</w:t>
      </w:r>
      <w:bookmarkEnd w:id="57"/>
      <w:bookmarkEnd w:id="58"/>
      <w:bookmarkEnd w:id="59"/>
      <w:bookmarkEnd w:id="60"/>
    </w:p>
    <w:p>
      <w:pPr>
        <w:spacing w:line="360" w:lineRule="auto"/>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（一）磋商小组的组建：</w:t>
      </w:r>
      <w:r>
        <w:rPr>
          <w:rFonts w:hint="eastAsia" w:ascii="宋体" w:hAnsi="宋体" w:cs="宋体"/>
          <w:color w:val="auto"/>
          <w:sz w:val="28"/>
          <w:szCs w:val="28"/>
          <w:highlight w:val="none"/>
        </w:rPr>
        <w:t>采购人根据《中华人民共和国政府采购法》及财政部有关法律法规、规章和本采购文件的规定，结合本采购项目的特点组建磋商小组。</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评审专家应当遵守评审工作纪律，不得泄露评审情况和评审中获悉的商业秘密。</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磋商小组在评审过程中发现服务商有行贿、提供虚假材料或者串通等违法行为的，应当及时向财政部门报告。</w:t>
      </w:r>
    </w:p>
    <w:p>
      <w:pPr>
        <w:pStyle w:val="15"/>
        <w:spacing w:after="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评审专家在评审过程中受到非法干涉的，应当及时向财政等部门举报。</w:t>
      </w:r>
    </w:p>
    <w:p>
      <w:pPr>
        <w:pStyle w:val="15"/>
        <w:spacing w:after="0"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（二）磋商小组审阅响应文件：</w:t>
      </w:r>
    </w:p>
    <w:p>
      <w:pPr>
        <w:pStyle w:val="15"/>
        <w:spacing w:after="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依据法律法规和磋商文件的规定，磋商小组将依据供应商的响应文件中的资格证明，对照供应商的资格要求对供应商进行资格审查,以确定其是否具备磋商资格。如果供应商不具备磋商资格,不满足磋商文件所规定的资格标准或提供资格证明文件不全的,其响应无效。</w:t>
      </w:r>
    </w:p>
    <w:p>
      <w:pPr>
        <w:pStyle w:val="15"/>
        <w:spacing w:after="0"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磋商小组依据磋商文件的规定，对响应文件的有效性、完整性和对磋商文件的响应程度进行审查，以确定是否对磋商文件的要求做出实质性响应。未对磋商文件做实质性响应的供应商，</w:t>
      </w:r>
      <w:r>
        <w:rPr>
          <w:rFonts w:hint="eastAsia" w:ascii="宋体" w:hAnsi="宋体" w:cs="宋体"/>
          <w:color w:val="auto"/>
          <w:sz w:val="28"/>
          <w:szCs w:val="28"/>
          <w:highlight w:val="none"/>
        </w:rPr>
        <w:t>其响应无效</w:t>
      </w:r>
      <w:r>
        <w:rPr>
          <w:rFonts w:hint="eastAsia" w:ascii="宋体" w:hAnsi="宋体" w:cs="宋体"/>
          <w:color w:val="auto"/>
          <w:sz w:val="28"/>
          <w:szCs w:val="28"/>
          <w:highlight w:val="none"/>
          <w:lang w:val="zh-CN"/>
        </w:rPr>
        <w:t>。</w:t>
      </w:r>
    </w:p>
    <w:p>
      <w:pPr>
        <w:pStyle w:val="15"/>
        <w:spacing w:after="0"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（三）磋商开始，与供应商磋商各项内容：</w:t>
      </w:r>
    </w:p>
    <w:p>
      <w:pPr>
        <w:pStyle w:val="15"/>
        <w:spacing w:after="0"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磋商小组所有成员按照磋商文件要求与单一供应商分别进行磋商。磋商小组可根据供应商的报价，响应内容及磋商的情况，给予每个正在参加磋商的供应商相同的机会。</w:t>
      </w:r>
    </w:p>
    <w:p>
      <w:pPr>
        <w:pStyle w:val="15"/>
        <w:spacing w:after="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w:t>
      </w:r>
      <w:r>
        <w:rPr>
          <w:rFonts w:ascii="宋体" w:hAnsi="宋体" w:cs="宋体"/>
          <w:color w:val="auto"/>
          <w:sz w:val="28"/>
          <w:szCs w:val="28"/>
          <w:highlight w:val="none"/>
        </w:rPr>
        <w:t>.</w:t>
      </w:r>
      <w:r>
        <w:rPr>
          <w:rFonts w:hint="eastAsia" w:ascii="宋体" w:hAnsi="宋体" w:cs="宋体"/>
          <w:color w:val="auto"/>
          <w:sz w:val="28"/>
          <w:szCs w:val="28"/>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pPr>
        <w:pStyle w:val="15"/>
        <w:spacing w:after="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w:t>
      </w:r>
      <w:r>
        <w:rPr>
          <w:rFonts w:ascii="宋体" w:hAnsi="宋体" w:cs="宋体"/>
          <w:color w:val="auto"/>
          <w:sz w:val="28"/>
          <w:szCs w:val="28"/>
          <w:highlight w:val="none"/>
        </w:rPr>
        <w:t>.</w:t>
      </w:r>
      <w:r>
        <w:rPr>
          <w:rFonts w:hint="eastAsia" w:ascii="宋体" w:hAnsi="宋体" w:cs="宋体"/>
          <w:color w:val="auto"/>
          <w:sz w:val="28"/>
          <w:szCs w:val="28"/>
          <w:highlight w:val="none"/>
        </w:rPr>
        <w:t xml:space="preserve">对磋商文件做出的实质性变动是磋商文件的有效组成部分，磋商小组应当及时以书面形式同时通知所有参加磋商的供应商。 </w:t>
      </w:r>
    </w:p>
    <w:p>
      <w:pPr>
        <w:pStyle w:val="15"/>
        <w:spacing w:after="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w:t>
      </w:r>
      <w:r>
        <w:rPr>
          <w:rFonts w:ascii="宋体" w:hAnsi="宋体" w:cs="宋体"/>
          <w:color w:val="auto"/>
          <w:sz w:val="28"/>
          <w:szCs w:val="28"/>
          <w:highlight w:val="none"/>
        </w:rPr>
        <w:t>.</w:t>
      </w:r>
      <w:r>
        <w:rPr>
          <w:rFonts w:hint="eastAsia" w:ascii="宋体" w:hAnsi="宋体" w:cs="宋体"/>
          <w:color w:val="auto"/>
          <w:sz w:val="28"/>
          <w:szCs w:val="28"/>
          <w:highlight w:val="none"/>
        </w:rPr>
        <w:t>供应商应当按照磋商文件的变动情况和磋商小组的要求重新提交响应文件的新内容，并由其全权代表签章。</w:t>
      </w:r>
    </w:p>
    <w:p>
      <w:pPr>
        <w:pStyle w:val="15"/>
        <w:spacing w:after="0" w:line="360" w:lineRule="auto"/>
        <w:ind w:firstLine="560" w:firstLineChars="200"/>
        <w:rPr>
          <w:rFonts w:hint="eastAsia" w:ascii="宋体" w:hAnsi="宋体" w:eastAsia="宋体" w:cs="宋体"/>
          <w:b/>
          <w:bCs w:val="0"/>
          <w:color w:val="auto"/>
          <w:sz w:val="28"/>
          <w:szCs w:val="28"/>
          <w:highlight w:val="none"/>
          <w:lang w:val="zh-CN" w:eastAsia="zh-CN"/>
        </w:rPr>
      </w:pPr>
      <w:r>
        <w:rPr>
          <w:rFonts w:hint="eastAsia" w:ascii="宋体" w:hAnsi="宋体" w:cs="宋体"/>
          <w:color w:val="auto"/>
          <w:sz w:val="28"/>
          <w:szCs w:val="28"/>
          <w:highlight w:val="none"/>
        </w:rPr>
        <w:t>4</w:t>
      </w:r>
      <w:r>
        <w:rPr>
          <w:rFonts w:ascii="宋体" w:hAnsi="宋体" w:cs="宋体"/>
          <w:color w:val="auto"/>
          <w:sz w:val="28"/>
          <w:szCs w:val="28"/>
          <w:highlight w:val="none"/>
        </w:rPr>
        <w:t>.</w:t>
      </w:r>
      <w:r>
        <w:rPr>
          <w:rFonts w:hint="eastAsia" w:ascii="宋体" w:hAnsi="宋体" w:cs="宋体"/>
          <w:color w:val="auto"/>
          <w:sz w:val="28"/>
          <w:szCs w:val="28"/>
          <w:highlight w:val="none"/>
        </w:rPr>
        <w:t>磋商结束后，磋商小组应当要求所有实质性响应的供应商在规定时间内提交最后报价，提交最后报价的供应商不得少于 3 家。</w:t>
      </w:r>
      <w:r>
        <w:rPr>
          <w:rFonts w:hint="eastAsia" w:ascii="宋体" w:hAnsi="宋体" w:cs="宋体"/>
          <w:b/>
          <w:bCs/>
          <w:color w:val="auto"/>
          <w:sz w:val="28"/>
          <w:szCs w:val="28"/>
          <w:highlight w:val="none"/>
        </w:rPr>
        <w:t>其中，市场竞争不充分的科研项目、需要扶持的科技成果转化项目，提交最后报价的供应商可以为 2 家；政府购买服务项目（含政府和社会资本合作项目），在采购过程中符合要求的供应商（社会资本）可以为 2 家。</w:t>
      </w:r>
    </w:p>
    <w:p>
      <w:pPr>
        <w:pStyle w:val="15"/>
        <w:spacing w:after="0"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（四）综合评分。</w:t>
      </w:r>
      <w:r>
        <w:rPr>
          <w:rFonts w:hint="eastAsia" w:ascii="宋体" w:hAnsi="宋体" w:cs="宋体"/>
          <w:color w:val="auto"/>
          <w:sz w:val="28"/>
          <w:szCs w:val="28"/>
          <w:highlight w:val="none"/>
        </w:rPr>
        <w:t>由磋商小组采用综合评分法对通过资格审查、符合性评审的响应文件进行综合评分。</w:t>
      </w:r>
    </w:p>
    <w:p>
      <w:pPr>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（五）评审中出现下列情形之一的，</w:t>
      </w:r>
      <w:r>
        <w:rPr>
          <w:rFonts w:hint="default" w:ascii="宋体" w:hAnsi="宋体" w:eastAsia="宋体" w:cs="宋体"/>
          <w:b/>
          <w:bCs/>
          <w:color w:val="auto"/>
          <w:kern w:val="2"/>
          <w:sz w:val="28"/>
          <w:szCs w:val="28"/>
          <w:highlight w:val="none"/>
          <w:lang w:val="en-US" w:eastAsia="zh-CN" w:bidi="ar-SA"/>
        </w:rPr>
        <w:t>磋商小组</w:t>
      </w:r>
      <w:r>
        <w:rPr>
          <w:rFonts w:hint="eastAsia" w:ascii="宋体" w:hAnsi="宋体" w:eastAsia="宋体" w:cs="宋体"/>
          <w:b/>
          <w:bCs/>
          <w:color w:val="auto"/>
          <w:kern w:val="2"/>
          <w:sz w:val="28"/>
          <w:szCs w:val="28"/>
          <w:highlight w:val="none"/>
          <w:lang w:val="en-US" w:eastAsia="zh-CN" w:bidi="ar-SA"/>
        </w:rPr>
        <w:t>应当启动异常低价投标（响应）审查程序：</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pPr>
        <w:spacing w:line="360" w:lineRule="auto"/>
        <w:ind w:firstLine="560" w:firstLineChars="200"/>
        <w:rPr>
          <w:rFonts w:hint="default"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3.投标（响应）报价低于采购项目最高限价45%的，即投标（响应）报价&lt;采购项目最高限价×45%；</w:t>
      </w:r>
    </w:p>
    <w:p>
      <w:pPr>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bCs/>
          <w:color w:val="auto"/>
          <w:sz w:val="28"/>
          <w:szCs w:val="28"/>
          <w:highlight w:val="none"/>
          <w:lang w:val="en-US" w:eastAsia="zh-CN"/>
        </w:rPr>
        <w:t>4.磋商小组基于专业判断，认为供应商报价过低，有可能影响产品质量或者不能诚信履约的其他情形。</w:t>
      </w:r>
    </w:p>
    <w:p>
      <w:pPr>
        <w:pStyle w:val="15"/>
        <w:spacing w:after="0" w:line="360" w:lineRule="auto"/>
        <w:ind w:firstLine="562" w:firstLineChars="200"/>
        <w:rPr>
          <w:rFonts w:ascii="宋体" w:hAnsi="宋体" w:cs="宋体"/>
          <w:color w:val="auto"/>
          <w:sz w:val="28"/>
          <w:szCs w:val="28"/>
          <w:highlight w:val="none"/>
          <w:lang w:val="zh-CN"/>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）确定成交供应商。</w:t>
      </w:r>
    </w:p>
    <w:p>
      <w:pPr>
        <w:pStyle w:val="15"/>
        <w:spacing w:after="0"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rPr>
        <w:t>）采购人与成交供应商签订合同。</w:t>
      </w:r>
    </w:p>
    <w:p>
      <w:pPr>
        <w:pStyle w:val="15"/>
        <w:spacing w:after="0" w:line="36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三、磋商内容</w:t>
      </w:r>
    </w:p>
    <w:p>
      <w:pPr>
        <w:spacing w:line="360" w:lineRule="auto"/>
        <w:ind w:firstLine="560" w:firstLineChars="200"/>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（一）服务内容：</w:t>
      </w:r>
      <w:r>
        <w:rPr>
          <w:rFonts w:hint="eastAsia" w:ascii="宋体" w:hAnsi="宋体" w:cs="宋体"/>
          <w:color w:val="auto"/>
          <w:sz w:val="28"/>
          <w:szCs w:val="28"/>
          <w:highlight w:val="none"/>
          <w:lang w:val="en-US" w:eastAsia="zh-CN"/>
        </w:rPr>
        <w:t>瑞丽市妇幼保健院保安、保洁物业管理服务采购项目</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（二）价格、服务承诺及保证等。</w:t>
      </w:r>
    </w:p>
    <w:p>
      <w:pPr>
        <w:pStyle w:val="15"/>
        <w:spacing w:after="0"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四、评审原则与评审方法</w:t>
      </w:r>
    </w:p>
    <w:p>
      <w:pPr>
        <w:pStyle w:val="15"/>
        <w:spacing w:after="0"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   （一）评审原则</w:t>
      </w:r>
    </w:p>
    <w:p>
      <w:pPr>
        <w:pStyle w:val="15"/>
        <w:spacing w:after="0"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w:t>
      </w:r>
      <w:r>
        <w:rPr>
          <w:rFonts w:ascii="宋体" w:hAnsi="宋体" w:cs="宋体"/>
          <w:bCs/>
          <w:color w:val="auto"/>
          <w:sz w:val="28"/>
          <w:szCs w:val="28"/>
          <w:highlight w:val="none"/>
        </w:rPr>
        <w:t>.</w:t>
      </w:r>
      <w:r>
        <w:rPr>
          <w:rFonts w:hint="eastAsia" w:ascii="宋体" w:hAnsi="宋体" w:cs="宋体"/>
          <w:bCs/>
          <w:color w:val="auto"/>
          <w:sz w:val="28"/>
          <w:szCs w:val="28"/>
          <w:highlight w:val="none"/>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5"/>
        <w:spacing w:after="0" w:line="360" w:lineRule="auto"/>
        <w:ind w:firstLine="560" w:firstLineChars="200"/>
        <w:rPr>
          <w:rFonts w:ascii="宋体" w:hAnsi="宋体" w:cs="宋体"/>
          <w:bCs/>
          <w:color w:val="auto"/>
          <w:sz w:val="28"/>
          <w:szCs w:val="28"/>
          <w:highlight w:val="none"/>
          <w:lang w:val="zh-CN"/>
        </w:rPr>
      </w:pPr>
      <w:r>
        <w:rPr>
          <w:rFonts w:hint="eastAsia" w:ascii="宋体" w:hAnsi="宋体" w:cs="宋体"/>
          <w:bCs/>
          <w:color w:val="auto"/>
          <w:sz w:val="28"/>
          <w:szCs w:val="28"/>
          <w:highlight w:val="none"/>
          <w:lang w:val="zh-CN"/>
        </w:rPr>
        <w:t>2</w:t>
      </w:r>
      <w:r>
        <w:rPr>
          <w:rFonts w:ascii="宋体" w:hAnsi="宋体" w:cs="宋体"/>
          <w:bCs/>
          <w:color w:val="auto"/>
          <w:sz w:val="28"/>
          <w:szCs w:val="28"/>
          <w:highlight w:val="none"/>
          <w:lang w:val="zh-CN"/>
        </w:rPr>
        <w:t>.</w:t>
      </w:r>
      <w:r>
        <w:rPr>
          <w:rFonts w:hint="eastAsia" w:ascii="宋体" w:hAnsi="宋体" w:cs="宋体"/>
          <w:bCs/>
          <w:color w:val="auto"/>
          <w:sz w:val="28"/>
          <w:szCs w:val="28"/>
          <w:highlight w:val="none"/>
          <w:lang w:val="zh-CN"/>
        </w:rPr>
        <w:t>磋商小组应当根据综合评分情况，按照评审得分由高到低顺序推荐3名以上成交候选供应商，并编写评审报告。</w:t>
      </w:r>
    </w:p>
    <w:p>
      <w:pPr>
        <w:pStyle w:val="15"/>
        <w:spacing w:after="0" w:line="360" w:lineRule="auto"/>
        <w:ind w:firstLine="548" w:firstLineChars="196"/>
        <w:rPr>
          <w:rFonts w:ascii="宋体" w:hAnsi="宋体" w:cs="宋体"/>
          <w:b/>
          <w:color w:val="auto"/>
          <w:sz w:val="28"/>
          <w:szCs w:val="28"/>
          <w:highlight w:val="none"/>
        </w:rPr>
      </w:pPr>
      <w:r>
        <w:rPr>
          <w:rFonts w:hint="eastAsia" w:ascii="宋体" w:hAnsi="宋体" w:cs="宋体"/>
          <w:bCs/>
          <w:color w:val="auto"/>
          <w:sz w:val="28"/>
          <w:szCs w:val="28"/>
          <w:highlight w:val="none"/>
          <w:lang w:val="zh-CN"/>
        </w:rPr>
        <w:t>3</w:t>
      </w:r>
      <w:r>
        <w:rPr>
          <w:rFonts w:ascii="宋体" w:hAnsi="宋体" w:cs="宋体"/>
          <w:bCs/>
          <w:color w:val="auto"/>
          <w:sz w:val="28"/>
          <w:szCs w:val="28"/>
          <w:highlight w:val="none"/>
          <w:lang w:val="zh-CN"/>
        </w:rPr>
        <w:t>.</w:t>
      </w:r>
      <w:r>
        <w:rPr>
          <w:rFonts w:hint="eastAsia" w:ascii="宋体" w:hAnsi="宋体" w:cs="宋体"/>
          <w:bCs/>
          <w:color w:val="auto"/>
          <w:sz w:val="28"/>
          <w:szCs w:val="28"/>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（二）评审标准</w:t>
      </w:r>
    </w:p>
    <w:p>
      <w:pPr>
        <w:tabs>
          <w:tab w:val="left" w:pos="840"/>
        </w:tabs>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中华人民共和国政府采购法》《中华人民共和国政府采购法实施条例》《政府采购竞争性磋商采购方式管理暂行办法》等及省、州有关规定，磋商小组成员按照客观、公正、谨慎的原则，根据磋商文件规定的评审程序、评审方法和评审标准进行独立评审。根据排名先后确定成交候选供应商。</w:t>
      </w:r>
    </w:p>
    <w:p>
      <w:pPr>
        <w:pStyle w:val="15"/>
        <w:spacing w:after="0"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五、响应文件的澄清</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磋商小组有权书面要求（必须由评审委员会专家签字）供应商对响应文件中含义不明确、对同类问题表述不一致或者有明显文字和计算错误的内容等作必要的澄清、说明或者补正。澄清、说明或者补正不得超出磋商响应文件的范围或者改变磋商响应文件的实质性内容。</w:t>
      </w:r>
    </w:p>
    <w:p>
      <w:pPr>
        <w:spacing w:line="360" w:lineRule="auto"/>
        <w:ind w:firstLine="560" w:firstLineChars="200"/>
        <w:rPr>
          <w:rFonts w:hint="eastAsia" w:ascii="宋体" w:hAnsi="宋体" w:cs="宋体"/>
          <w:color w:val="auto"/>
          <w:spacing w:val="-2"/>
          <w:sz w:val="28"/>
          <w:szCs w:val="28"/>
          <w:highlight w:val="none"/>
        </w:rPr>
      </w:pPr>
      <w:r>
        <w:rPr>
          <w:rFonts w:hint="eastAsia" w:ascii="宋体" w:hAnsi="宋体" w:cs="宋体"/>
          <w:color w:val="auto"/>
          <w:sz w:val="28"/>
          <w:szCs w:val="28"/>
          <w:highlight w:val="none"/>
        </w:rPr>
        <w:t>（二）</w:t>
      </w:r>
      <w:r>
        <w:rPr>
          <w:rFonts w:hint="eastAsia" w:ascii="宋体" w:hAnsi="宋体" w:cs="宋体"/>
          <w:color w:val="auto"/>
          <w:spacing w:val="-2"/>
          <w:sz w:val="28"/>
          <w:szCs w:val="28"/>
          <w:highlight w:val="none"/>
        </w:rPr>
        <w:t>供应商必须按照磋商小组会通知的澄清内容和时间作出澄清。澄清的问题须作书面答复，该答复经服务商的法定代表人或委托代理人的签字认可，将作为响应文件内容的一部分。若该供应商未在规定时间内作出澄清，响应无效。</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（三）磋商小组会并非对每个服务商都作澄清要求。</w:t>
      </w:r>
    </w:p>
    <w:p>
      <w:pPr>
        <w:pStyle w:val="15"/>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六、评审内容</w:t>
      </w:r>
    </w:p>
    <w:p>
      <w:pPr>
        <w:adjustRightInd w:val="0"/>
        <w:snapToGrid w:val="0"/>
        <w:spacing w:line="440" w:lineRule="exact"/>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t>评审办法附表一（资格评审指标表）</w:t>
      </w:r>
    </w:p>
    <w:tbl>
      <w:tblPr>
        <w:tblStyle w:val="18"/>
        <w:tblW w:w="9670" w:type="dxa"/>
        <w:jc w:val="center"/>
        <w:tblLayout w:type="fixed"/>
        <w:tblCellMar>
          <w:top w:w="0" w:type="dxa"/>
          <w:left w:w="108" w:type="dxa"/>
          <w:bottom w:w="0" w:type="dxa"/>
          <w:right w:w="108" w:type="dxa"/>
        </w:tblCellMar>
      </w:tblPr>
      <w:tblGrid>
        <w:gridCol w:w="516"/>
        <w:gridCol w:w="1134"/>
        <w:gridCol w:w="8020"/>
      </w:tblGrid>
      <w:tr>
        <w:tblPrEx>
          <w:tblCellMar>
            <w:top w:w="0" w:type="dxa"/>
            <w:left w:w="108" w:type="dxa"/>
            <w:bottom w:w="0" w:type="dxa"/>
            <w:right w:w="108" w:type="dxa"/>
          </w:tblCellMar>
        </w:tblPrEx>
        <w:trPr>
          <w:trHeight w:val="512" w:hRule="atLeast"/>
          <w:jc w:val="center"/>
        </w:trPr>
        <w:tc>
          <w:tcPr>
            <w:tcW w:w="516"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cs="宋体"/>
                <w:b/>
                <w:bCs/>
                <w:color w:val="auto"/>
                <w:spacing w:val="-4"/>
                <w:kern w:val="0"/>
                <w:sz w:val="24"/>
                <w:szCs w:val="24"/>
                <w:highlight w:val="none"/>
              </w:rPr>
            </w:pPr>
            <w:r>
              <w:rPr>
                <w:rFonts w:hint="eastAsia" w:ascii="宋体" w:hAnsi="宋体" w:cs="宋体"/>
                <w:b/>
                <w:bCs/>
                <w:color w:val="auto"/>
                <w:spacing w:val="-4"/>
                <w:kern w:val="0"/>
                <w:sz w:val="24"/>
                <w:szCs w:val="24"/>
                <w:highlight w:val="none"/>
              </w:rPr>
              <w:t>序号</w:t>
            </w:r>
          </w:p>
        </w:tc>
        <w:tc>
          <w:tcPr>
            <w:tcW w:w="1134"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cs="宋体"/>
                <w:b/>
                <w:bCs/>
                <w:color w:val="auto"/>
                <w:spacing w:val="-4"/>
                <w:kern w:val="0"/>
                <w:sz w:val="24"/>
                <w:szCs w:val="24"/>
                <w:highlight w:val="none"/>
              </w:rPr>
            </w:pPr>
            <w:r>
              <w:rPr>
                <w:rFonts w:hint="eastAsia" w:ascii="宋体" w:hAnsi="宋体" w:cs="宋体"/>
                <w:b/>
                <w:bCs/>
                <w:color w:val="auto"/>
                <w:spacing w:val="-4"/>
                <w:kern w:val="0"/>
                <w:sz w:val="24"/>
                <w:szCs w:val="24"/>
                <w:highlight w:val="none"/>
              </w:rPr>
              <w:t>评审因素</w:t>
            </w:r>
          </w:p>
        </w:tc>
        <w:tc>
          <w:tcPr>
            <w:tcW w:w="802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cs="宋体"/>
                <w:b/>
                <w:bCs/>
                <w:color w:val="auto"/>
                <w:spacing w:val="-4"/>
                <w:kern w:val="0"/>
                <w:sz w:val="24"/>
                <w:szCs w:val="24"/>
                <w:highlight w:val="none"/>
              </w:rPr>
            </w:pPr>
            <w:r>
              <w:rPr>
                <w:rFonts w:hint="eastAsia" w:ascii="宋体" w:hAnsi="宋体" w:cs="宋体"/>
                <w:b/>
                <w:bCs/>
                <w:color w:val="auto"/>
                <w:spacing w:val="-4"/>
                <w:kern w:val="0"/>
                <w:sz w:val="24"/>
                <w:szCs w:val="24"/>
                <w:highlight w:val="none"/>
              </w:rPr>
              <w:t>资格评审标准</w:t>
            </w:r>
          </w:p>
        </w:tc>
      </w:tr>
      <w:tr>
        <w:tblPrEx>
          <w:tblCellMar>
            <w:top w:w="0" w:type="dxa"/>
            <w:left w:w="108" w:type="dxa"/>
            <w:bottom w:w="0" w:type="dxa"/>
            <w:right w:w="108" w:type="dxa"/>
          </w:tblCellMar>
        </w:tblPrEx>
        <w:trPr>
          <w:trHeight w:val="67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营业执照</w:t>
            </w:r>
          </w:p>
        </w:tc>
        <w:tc>
          <w:tcPr>
            <w:tcW w:w="8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pacing w:val="-4"/>
                <w:kern w:val="0"/>
                <w:sz w:val="24"/>
                <w:szCs w:val="24"/>
                <w:highlight w:val="none"/>
                <w:lang w:val="zh-CN"/>
              </w:rPr>
            </w:pPr>
            <w:r>
              <w:rPr>
                <w:rFonts w:hint="eastAsia" w:ascii="宋体" w:hAnsi="宋体" w:eastAsia="宋体" w:cs="宋体"/>
                <w:color w:val="auto"/>
                <w:kern w:val="2"/>
                <w:sz w:val="24"/>
                <w:szCs w:val="24"/>
                <w:highlight w:val="none"/>
                <w:lang w:val="en-US" w:eastAsia="zh-CN" w:bidi="ar-SA"/>
              </w:rPr>
              <w:t>提供自然人有效身份证明或法人或者其他组织有效的营业执照等证明文件。</w:t>
            </w:r>
          </w:p>
        </w:tc>
      </w:tr>
      <w:tr>
        <w:tblPrEx>
          <w:tblCellMar>
            <w:top w:w="0" w:type="dxa"/>
            <w:left w:w="108" w:type="dxa"/>
            <w:bottom w:w="0" w:type="dxa"/>
            <w:right w:w="108" w:type="dxa"/>
          </w:tblCellMar>
        </w:tblPrEx>
        <w:trPr>
          <w:trHeight w:val="67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财务情况</w:t>
            </w:r>
          </w:p>
        </w:tc>
        <w:tc>
          <w:tcPr>
            <w:tcW w:w="8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 w:val="24"/>
                <w:szCs w:val="28"/>
                <w:highlight w:val="none"/>
              </w:rPr>
            </w:pPr>
            <w:r>
              <w:rPr>
                <w:rFonts w:hint="eastAsia" w:ascii="宋体" w:hAnsi="宋体" w:eastAsia="宋体" w:cs="宋体"/>
                <w:color w:val="auto"/>
                <w:kern w:val="2"/>
                <w:sz w:val="24"/>
                <w:szCs w:val="24"/>
                <w:highlight w:val="none"/>
                <w:lang w:val="en-US" w:eastAsia="zh-CN" w:bidi="ar-SA"/>
              </w:rPr>
              <w:t>具有良好的商业信誉和健全的财务会计制度。提供证明材料，内容可为以下两者之一：①提供202</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年或202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的财务状况报告（至少包含审计报告、资产负债表、利润表、现金流量表），成立未满1年或成立至今未产生经营活动的投标人提供自成立至今的财务报表或财务情况说明；②提供自投标文件提交截止时间前三个月内基本开户银行出具的资信证明。</w:t>
            </w:r>
          </w:p>
        </w:tc>
      </w:tr>
      <w:tr>
        <w:tblPrEx>
          <w:tblCellMar>
            <w:top w:w="0" w:type="dxa"/>
            <w:left w:w="108" w:type="dxa"/>
            <w:bottom w:w="0" w:type="dxa"/>
            <w:right w:w="108" w:type="dxa"/>
          </w:tblCellMar>
        </w:tblPrEx>
        <w:trPr>
          <w:trHeight w:val="67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olor w:val="auto"/>
                <w:sz w:val="24"/>
                <w:szCs w:val="24"/>
                <w:highlight w:val="none"/>
              </w:rPr>
              <w:t>税收和社保要求</w:t>
            </w:r>
          </w:p>
        </w:tc>
        <w:tc>
          <w:tcPr>
            <w:tcW w:w="8020" w:type="dxa"/>
            <w:tcBorders>
              <w:top w:val="single" w:color="auto" w:sz="4" w:space="0"/>
              <w:left w:val="single" w:color="auto" w:sz="4" w:space="0"/>
              <w:bottom w:val="single" w:color="auto" w:sz="4" w:space="0"/>
              <w:right w:val="single" w:color="auto" w:sz="4" w:space="0"/>
            </w:tcBorders>
            <w:vAlign w:val="center"/>
          </w:tcPr>
          <w:p>
            <w:pPr>
              <w:pStyle w:val="2"/>
              <w:widowControl/>
              <w:spacing w:after="0" w:line="360" w:lineRule="exact"/>
              <w:ind w:firstLine="0" w:firstLineChars="0"/>
              <w:jc w:val="left"/>
              <w:rPr>
                <w:rFonts w:ascii="宋体" w:hAnsi="宋体" w:cs="宋体"/>
                <w:color w:val="auto"/>
                <w:sz w:val="24"/>
                <w:szCs w:val="28"/>
                <w:highlight w:val="none"/>
              </w:rPr>
            </w:pPr>
            <w:r>
              <w:rPr>
                <w:rFonts w:hint="eastAsia" w:ascii="宋体" w:hAnsi="宋体" w:eastAsia="宋体" w:cs="宋体"/>
                <w:color w:val="auto"/>
                <w:kern w:val="2"/>
                <w:sz w:val="24"/>
                <w:szCs w:val="24"/>
                <w:highlight w:val="none"/>
                <w:lang w:val="en-US" w:eastAsia="zh-CN" w:bidi="ar-SA"/>
              </w:rPr>
              <w:t>提供202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1月至今任意一个月依法缴纳税收和社会保障资金的缴纳凭证（如公司成立未满一个月的提供成立以来的税收和社会保障资金缴纳凭证或相关情况说明；依法免税或不需要缴纳社会保障资金的投标响应人，应提供相应文件或情况说明证明其依法免税或不需要缴纳社会保障资金）的材料。</w:t>
            </w:r>
          </w:p>
        </w:tc>
      </w:tr>
      <w:tr>
        <w:tblPrEx>
          <w:tblCellMar>
            <w:top w:w="0" w:type="dxa"/>
            <w:left w:w="108" w:type="dxa"/>
            <w:bottom w:w="0" w:type="dxa"/>
            <w:right w:w="108" w:type="dxa"/>
          </w:tblCellMar>
        </w:tblPrEx>
        <w:trPr>
          <w:trHeight w:val="67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无重大违法记录声明</w:t>
            </w:r>
          </w:p>
        </w:tc>
        <w:tc>
          <w:tcPr>
            <w:tcW w:w="8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参与本次政府采购活动前三年内（自本项目公告发布之日起前3年内），在经营活动中没有重大违法记录（重大违法记录是指投标响应人因违法经营受到刑事处罚或者责令停产停业、吊销许可证或者执照、较大数额罚款等行政处罚）的书面声明。</w:t>
            </w:r>
          </w:p>
        </w:tc>
      </w:tr>
      <w:tr>
        <w:tblPrEx>
          <w:tblCellMar>
            <w:top w:w="0" w:type="dxa"/>
            <w:left w:w="108" w:type="dxa"/>
            <w:bottom w:w="0" w:type="dxa"/>
            <w:right w:w="108" w:type="dxa"/>
          </w:tblCellMar>
        </w:tblPrEx>
        <w:trPr>
          <w:trHeight w:val="67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专业技术能力</w:t>
            </w:r>
          </w:p>
        </w:tc>
        <w:tc>
          <w:tcPr>
            <w:tcW w:w="80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提供具备履行合同所必需的专业技术能力的证明材料或承诺书。</w:t>
            </w:r>
          </w:p>
        </w:tc>
      </w:tr>
      <w:tr>
        <w:tblPrEx>
          <w:tblCellMar>
            <w:top w:w="0" w:type="dxa"/>
            <w:left w:w="108" w:type="dxa"/>
            <w:bottom w:w="0" w:type="dxa"/>
            <w:right w:w="108" w:type="dxa"/>
          </w:tblCellMar>
        </w:tblPrEx>
        <w:trPr>
          <w:trHeight w:val="214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信誉要求</w:t>
            </w:r>
          </w:p>
        </w:tc>
        <w:tc>
          <w:tcPr>
            <w:tcW w:w="8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①在“信用中国http://www.creditchina.gov.cn”、中未被列入：失信被执行人、重大税收违法案件当事人名单、政府采购严重违法失信行为；②在“中国政府采购网http://www.ccgp.gov.cn/”中未被列入：政府采购严重违法失信行为记录名单；（注：以上网站查询均由采购人或采购代理机构在资格评审时查询，投标人无须提供，若供应商有不良信誉，视为不满足资格要求。）</w:t>
            </w:r>
          </w:p>
        </w:tc>
      </w:tr>
      <w:tr>
        <w:tblPrEx>
          <w:tblCellMar>
            <w:top w:w="0" w:type="dxa"/>
            <w:left w:w="108" w:type="dxa"/>
            <w:bottom w:w="0" w:type="dxa"/>
            <w:right w:w="108" w:type="dxa"/>
          </w:tblCellMar>
        </w:tblPrEx>
        <w:trPr>
          <w:trHeight w:val="2148"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color w:val="auto"/>
                <w:sz w:val="24"/>
                <w:szCs w:val="24"/>
                <w:highlight w:val="none"/>
              </w:rPr>
            </w:pPr>
            <w:r>
              <w:rPr>
                <w:rFonts w:hint="default" w:ascii="宋体" w:hAnsi="宋体" w:eastAsia="宋体" w:cs="宋体"/>
                <w:color w:val="auto"/>
                <w:sz w:val="24"/>
                <w:szCs w:val="24"/>
                <w:highlight w:val="none"/>
                <w:lang w:val="en-US" w:eastAsia="zh-CN"/>
              </w:rPr>
              <w:t>本项目专门面向中小</w:t>
            </w:r>
            <w:r>
              <w:rPr>
                <w:rFonts w:hint="eastAsia" w:ascii="宋体" w:hAnsi="宋体" w:eastAsia="宋体" w:cs="宋体"/>
                <w:color w:val="auto"/>
                <w:sz w:val="24"/>
                <w:szCs w:val="24"/>
                <w:highlight w:val="none"/>
                <w:lang w:val="en-US" w:eastAsia="zh-CN"/>
              </w:rPr>
              <w:t>微</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lang w:val="en-US" w:eastAsia="zh-CN"/>
              </w:rPr>
              <w:t>采购</w:t>
            </w:r>
          </w:p>
        </w:tc>
        <w:tc>
          <w:tcPr>
            <w:tcW w:w="80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须按要求填写《中小企业声明函》（残疾人福利性单位声明函、监狱企业证明文件），监狱企业、残疾人福利性单位视同小型或微型企业。</w:t>
            </w:r>
          </w:p>
          <w:p>
            <w:pPr>
              <w:widowControl/>
              <w:spacing w:line="360" w:lineRule="exact"/>
              <w:jc w:val="left"/>
              <w:rPr>
                <w:rFonts w:hint="eastAsia" w:ascii="宋体" w:hAnsi="宋体" w:eastAsia="宋体" w:cs="宋体"/>
                <w:color w:val="auto"/>
                <w:sz w:val="24"/>
                <w:szCs w:val="24"/>
                <w:highlight w:val="none"/>
                <w:lang w:val="en-US" w:eastAsia="zh-CN"/>
              </w:rPr>
            </w:pPr>
          </w:p>
        </w:tc>
      </w:tr>
    </w:tbl>
    <w:p>
      <w:pPr>
        <w:adjustRightInd w:val="0"/>
        <w:snapToGrid w:val="0"/>
        <w:spacing w:before="154" w:beforeLines="50" w:line="440" w:lineRule="exact"/>
        <w:rPr>
          <w:rFonts w:ascii="宋体" w:hAnsi="宋体" w:cs="宋体"/>
          <w:b/>
          <w:bCs w:val="0"/>
          <w:color w:val="auto"/>
          <w:kern w:val="10"/>
          <w:sz w:val="28"/>
          <w:szCs w:val="28"/>
          <w:highlight w:val="none"/>
        </w:rPr>
      </w:pPr>
      <w:r>
        <w:rPr>
          <w:rFonts w:hint="eastAsia" w:ascii="宋体" w:hAnsi="宋体" w:cs="宋体"/>
          <w:b/>
          <w:bCs w:val="0"/>
          <w:color w:val="auto"/>
          <w:kern w:val="10"/>
          <w:sz w:val="28"/>
          <w:szCs w:val="28"/>
          <w:highlight w:val="none"/>
        </w:rPr>
        <w:t>注：1.以上资格评审文件都需加盖公司电子签章；</w:t>
      </w:r>
    </w:p>
    <w:p>
      <w:pPr>
        <w:adjustRightInd w:val="0"/>
        <w:snapToGrid w:val="0"/>
        <w:spacing w:before="154" w:beforeLines="50" w:line="440" w:lineRule="exact"/>
        <w:ind w:firstLine="562" w:firstLineChars="200"/>
        <w:rPr>
          <w:rFonts w:ascii="宋体" w:hAnsi="宋体" w:cs="宋体"/>
          <w:b/>
          <w:bCs w:val="0"/>
          <w:color w:val="auto"/>
          <w:kern w:val="10"/>
          <w:sz w:val="28"/>
          <w:szCs w:val="28"/>
          <w:highlight w:val="none"/>
        </w:rPr>
      </w:pPr>
      <w:r>
        <w:rPr>
          <w:rFonts w:hint="eastAsia" w:ascii="宋体" w:hAnsi="宋体" w:cs="宋体"/>
          <w:b/>
          <w:bCs w:val="0"/>
          <w:color w:val="auto"/>
          <w:kern w:val="10"/>
          <w:sz w:val="28"/>
          <w:szCs w:val="28"/>
          <w:highlight w:val="none"/>
        </w:rPr>
        <w:t>2.未通过资格评审的单位不得进入符合性评审。</w:t>
      </w:r>
    </w:p>
    <w:p>
      <w:pPr>
        <w:adjustRightInd w:val="0"/>
        <w:snapToGrid w:val="0"/>
        <w:spacing w:before="154" w:beforeLines="50" w:line="440" w:lineRule="exact"/>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t>评审办法附表二（符合性评审指标表）</w:t>
      </w:r>
    </w:p>
    <w:tbl>
      <w:tblPr>
        <w:tblStyle w:val="18"/>
        <w:tblW w:w="9522" w:type="dxa"/>
        <w:jc w:val="center"/>
        <w:tblLayout w:type="fixed"/>
        <w:tblCellMar>
          <w:top w:w="0" w:type="dxa"/>
          <w:left w:w="108" w:type="dxa"/>
          <w:bottom w:w="0" w:type="dxa"/>
          <w:right w:w="108" w:type="dxa"/>
        </w:tblCellMar>
      </w:tblPr>
      <w:tblGrid>
        <w:gridCol w:w="709"/>
        <w:gridCol w:w="2268"/>
        <w:gridCol w:w="6545"/>
      </w:tblGrid>
      <w:tr>
        <w:tblPrEx>
          <w:tblCellMar>
            <w:top w:w="0" w:type="dxa"/>
            <w:left w:w="108" w:type="dxa"/>
            <w:bottom w:w="0" w:type="dxa"/>
            <w:right w:w="108" w:type="dxa"/>
          </w:tblCellMar>
        </w:tblPrEx>
        <w:trPr>
          <w:trHeight w:val="489" w:hRule="atLeast"/>
          <w:jc w:val="center"/>
        </w:trPr>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6545"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符合性评审标准</w:t>
            </w:r>
          </w:p>
        </w:tc>
      </w:tr>
      <w:tr>
        <w:tblPrEx>
          <w:tblCellMar>
            <w:top w:w="0" w:type="dxa"/>
            <w:left w:w="108" w:type="dxa"/>
            <w:bottom w:w="0" w:type="dxa"/>
            <w:right w:w="108" w:type="dxa"/>
          </w:tblCellMar>
        </w:tblPrEx>
        <w:trPr>
          <w:trHeight w:val="5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响应文件签字、盖章</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须按磋商文件要求签字或盖章</w:t>
            </w:r>
          </w:p>
        </w:tc>
      </w:tr>
      <w:tr>
        <w:tblPrEx>
          <w:tblCellMar>
            <w:top w:w="0" w:type="dxa"/>
            <w:left w:w="108" w:type="dxa"/>
            <w:bottom w:w="0" w:type="dxa"/>
            <w:right w:w="108" w:type="dxa"/>
          </w:tblCellMar>
        </w:tblPrEx>
        <w:trPr>
          <w:trHeight w:val="50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响应文件格式</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须按规定的格式填写，内容须齐全且关键字迹须清楚</w:t>
            </w:r>
          </w:p>
        </w:tc>
      </w:tr>
      <w:tr>
        <w:tblPrEx>
          <w:tblCellMar>
            <w:top w:w="0" w:type="dxa"/>
            <w:left w:w="108" w:type="dxa"/>
            <w:bottom w:w="0" w:type="dxa"/>
            <w:right w:w="108" w:type="dxa"/>
          </w:tblCellMar>
        </w:tblPrEx>
        <w:trPr>
          <w:trHeight w:val="51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响应文件有效期须满足磋商文件要求</w:t>
            </w:r>
          </w:p>
        </w:tc>
      </w:tr>
      <w:tr>
        <w:tblPrEx>
          <w:tblCellMar>
            <w:top w:w="0" w:type="dxa"/>
            <w:left w:w="108" w:type="dxa"/>
            <w:bottom w:w="0" w:type="dxa"/>
            <w:right w:w="108" w:type="dxa"/>
          </w:tblCellMar>
        </w:tblPrEx>
        <w:trPr>
          <w:trHeight w:val="7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磋商报价</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供应商须提供一份响应文件，在一份响应文件中对同一招标的服务只有一个报价</w:t>
            </w:r>
          </w:p>
        </w:tc>
      </w:tr>
      <w:tr>
        <w:tblPrEx>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价格</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磋商报价不得高于采购预算价</w:t>
            </w:r>
          </w:p>
        </w:tc>
      </w:tr>
      <w:tr>
        <w:tblPrEx>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澄清要求</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供应商须照要求对响应文件进行澄清、说明或者补正</w:t>
            </w:r>
          </w:p>
        </w:tc>
      </w:tr>
      <w:tr>
        <w:tblPrEx>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实质性响应要求</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供应商须对磋商文件作出实质性响应</w:t>
            </w:r>
          </w:p>
        </w:tc>
      </w:tr>
      <w:tr>
        <w:tblPrEx>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法律法规相关规定</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须遵守法律法规规定的相关条款</w:t>
            </w:r>
          </w:p>
        </w:tc>
      </w:tr>
      <w:tr>
        <w:tblPrEx>
          <w:tblCellMar>
            <w:top w:w="0" w:type="dxa"/>
            <w:left w:w="108" w:type="dxa"/>
            <w:bottom w:w="0" w:type="dxa"/>
            <w:right w:w="108" w:type="dxa"/>
          </w:tblCellMar>
        </w:tblPrEx>
        <w:trPr>
          <w:trHeight w:val="5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其他情形</w:t>
            </w:r>
          </w:p>
        </w:tc>
        <w:tc>
          <w:tcPr>
            <w:tcW w:w="6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磋商小组认为不存在应当作无效投标的其他情况</w:t>
            </w:r>
          </w:p>
        </w:tc>
      </w:tr>
    </w:tbl>
    <w:p>
      <w:pPr>
        <w:adjustRightInd w:val="0"/>
        <w:snapToGrid w:val="0"/>
        <w:spacing w:before="154" w:beforeLines="50" w:line="440" w:lineRule="exact"/>
        <w:ind w:firstLine="280" w:firstLineChars="100"/>
        <w:rPr>
          <w:rFonts w:ascii="宋体" w:hAnsi="宋体" w:cs="宋体"/>
          <w:b/>
          <w:color w:val="auto"/>
          <w:kern w:val="10"/>
          <w:sz w:val="28"/>
          <w:szCs w:val="28"/>
          <w:highlight w:val="none"/>
        </w:rPr>
      </w:pPr>
      <w:r>
        <w:rPr>
          <w:rFonts w:hint="eastAsia" w:ascii="宋体" w:hAnsi="宋体" w:cs="宋体"/>
          <w:bCs/>
          <w:color w:val="auto"/>
          <w:kern w:val="10"/>
          <w:sz w:val="28"/>
          <w:szCs w:val="28"/>
          <w:highlight w:val="none"/>
        </w:rPr>
        <w:t>注：未通过符合性评审的单位不得进入综合评分阶段。</w:t>
      </w:r>
      <w:r>
        <w:rPr>
          <w:rFonts w:hint="eastAsia" w:ascii="宋体" w:hAnsi="宋体" w:cs="宋体"/>
          <w:b/>
          <w:color w:val="auto"/>
          <w:kern w:val="10"/>
          <w:sz w:val="28"/>
          <w:szCs w:val="28"/>
          <w:highlight w:val="none"/>
        </w:rPr>
        <w:t xml:space="preserve">      </w:t>
      </w:r>
    </w:p>
    <w:p>
      <w:pPr>
        <w:adjustRightInd w:val="0"/>
        <w:snapToGrid w:val="0"/>
        <w:spacing w:line="44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pPr>
        <w:adjustRightInd w:val="0"/>
        <w:snapToGrid w:val="0"/>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评审办法附表三（综合评分指标）</w:t>
      </w:r>
    </w:p>
    <w:tbl>
      <w:tblPr>
        <w:tblStyle w:val="18"/>
        <w:tblW w:w="948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80"/>
        <w:gridCol w:w="795"/>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5" w:type="dxa"/>
            <w:vAlign w:val="center"/>
          </w:tcPr>
          <w:p>
            <w:pPr>
              <w:pStyle w:val="2"/>
              <w:spacing w:after="0" w:line="360" w:lineRule="exact"/>
              <w:ind w:firstLine="0" w:firstLine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780" w:type="dxa"/>
            <w:vAlign w:val="center"/>
          </w:tcPr>
          <w:p>
            <w:pPr>
              <w:pStyle w:val="2"/>
              <w:spacing w:after="0" w:line="360" w:lineRule="exact"/>
              <w:ind w:firstLine="0" w:firstLine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评审项目</w:t>
            </w:r>
          </w:p>
        </w:tc>
        <w:tc>
          <w:tcPr>
            <w:tcW w:w="795" w:type="dxa"/>
            <w:vAlign w:val="center"/>
          </w:tcPr>
          <w:p>
            <w:pPr>
              <w:pStyle w:val="2"/>
              <w:spacing w:after="0" w:line="360" w:lineRule="exact"/>
              <w:ind w:firstLine="0" w:firstLine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标准分</w:t>
            </w:r>
          </w:p>
        </w:tc>
        <w:tc>
          <w:tcPr>
            <w:tcW w:w="7350" w:type="dxa"/>
            <w:vAlign w:val="center"/>
          </w:tcPr>
          <w:p>
            <w:pPr>
              <w:pStyle w:val="2"/>
              <w:spacing w:after="0" w:line="360" w:lineRule="exact"/>
              <w:ind w:firstLine="0" w:firstLine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80" w:type="dxa"/>
            <w:gridSpan w:val="4"/>
            <w:vAlign w:val="center"/>
          </w:tcPr>
          <w:p>
            <w:pPr>
              <w:pStyle w:val="2"/>
              <w:spacing w:after="0" w:line="360" w:lineRule="exact"/>
              <w:ind w:firstLine="0" w:firstLineChars="0"/>
              <w:jc w:val="left"/>
              <w:rPr>
                <w:rFonts w:ascii="宋体" w:hAnsi="宋体" w:cs="宋体"/>
                <w:bCs/>
                <w:color w:val="auto"/>
                <w:sz w:val="24"/>
                <w:szCs w:val="24"/>
                <w:highlight w:val="none"/>
              </w:rPr>
            </w:pPr>
            <w:r>
              <w:rPr>
                <w:rFonts w:hint="eastAsia" w:ascii="宋体" w:hAnsi="宋体" w:cs="宋体"/>
                <w:b/>
                <w:color w:val="auto"/>
                <w:sz w:val="24"/>
                <w:szCs w:val="24"/>
                <w:highlight w:val="none"/>
              </w:rPr>
              <w:t>磋商报价评分（</w:t>
            </w:r>
            <w:r>
              <w:rPr>
                <w:rFonts w:hint="default" w:ascii="宋体" w:hAnsi="宋体" w:cs="宋体"/>
                <w:b/>
                <w:color w:val="auto"/>
                <w:sz w:val="24"/>
                <w:szCs w:val="24"/>
                <w:highlight w:val="none"/>
                <w:lang w:val="en-US"/>
              </w:rPr>
              <w:t>20</w:t>
            </w:r>
            <w:r>
              <w:rPr>
                <w:rFonts w:hint="eastAsia" w:ascii="宋体" w:hAnsi="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spacing w:line="36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780" w:type="dxa"/>
            <w:vAlign w:val="center"/>
          </w:tcPr>
          <w:p>
            <w:pPr>
              <w:spacing w:line="360" w:lineRule="exact"/>
              <w:jc w:val="center"/>
              <w:rPr>
                <w:rFonts w:ascii="宋体" w:hAnsi="宋体" w:cs="宋体"/>
                <w:bCs/>
                <w:color w:val="auto"/>
                <w:sz w:val="24"/>
                <w:szCs w:val="24"/>
                <w:highlight w:val="none"/>
              </w:rPr>
            </w:pPr>
            <w:r>
              <w:rPr>
                <w:rFonts w:hint="eastAsia" w:ascii="宋体" w:hAnsi="宋体" w:cs="宋体"/>
                <w:color w:val="auto"/>
                <w:sz w:val="24"/>
                <w:szCs w:val="24"/>
                <w:highlight w:val="none"/>
              </w:rPr>
              <w:t>磋商报价</w:t>
            </w:r>
          </w:p>
        </w:tc>
        <w:tc>
          <w:tcPr>
            <w:tcW w:w="795" w:type="dxa"/>
            <w:vAlign w:val="center"/>
          </w:tcPr>
          <w:p>
            <w:pPr>
              <w:spacing w:line="360" w:lineRule="exact"/>
              <w:jc w:val="center"/>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7350" w:type="dxa"/>
            <w:vAlign w:val="center"/>
          </w:tcPr>
          <w:p>
            <w:pPr>
              <w:pStyle w:val="2"/>
              <w:spacing w:after="0" w:line="360" w:lineRule="exact"/>
              <w:ind w:firstLine="0" w:firstLineChars="0"/>
              <w:jc w:val="left"/>
              <w:rPr>
                <w:rFonts w:ascii="宋体" w:hAnsi="宋体" w:cs="宋体"/>
                <w:bCs/>
                <w:color w:val="auto"/>
                <w:sz w:val="24"/>
                <w:szCs w:val="24"/>
                <w:highlight w:val="none"/>
              </w:rPr>
            </w:pPr>
            <w:r>
              <w:rPr>
                <w:rFonts w:hint="eastAsia" w:ascii="宋体" w:hAnsi="宋体" w:cs="宋体"/>
                <w:bCs/>
                <w:color w:val="auto"/>
                <w:sz w:val="24"/>
                <w:szCs w:val="24"/>
                <w:highlight w:val="none"/>
              </w:rPr>
              <w:t>(评标基准价/磋商报价)×磋商报价分值（小数点保留两位）</w:t>
            </w:r>
          </w:p>
          <w:p>
            <w:pPr>
              <w:pStyle w:val="2"/>
              <w:spacing w:after="0" w:line="360" w:lineRule="exact"/>
              <w:ind w:firstLine="0" w:firstLineChars="0"/>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rPr>
              <w:t>评标基准价：以满足磋商文件要求且投标价格最低的有效磋商报价为评标基准价，其价格分为满分，其他磋商响应人的价格统一按上述磋</w:t>
            </w:r>
            <w:r>
              <w:rPr>
                <w:rFonts w:hint="eastAsia" w:ascii="宋体" w:hAnsi="宋体" w:eastAsia="宋体" w:cs="宋体"/>
                <w:bCs/>
                <w:color w:val="auto"/>
                <w:sz w:val="24"/>
                <w:szCs w:val="24"/>
                <w:highlight w:val="none"/>
              </w:rPr>
              <w:t>商报价公式计算。</w:t>
            </w:r>
          </w:p>
          <w:p>
            <w:pPr>
              <w:pStyle w:val="2"/>
              <w:spacing w:after="0" w:line="3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pPr>
              <w:pStyle w:val="2"/>
              <w:spacing w:after="0" w:line="3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①磋商报价超过采购预算价，按无效标书处理；</w:t>
            </w:r>
          </w:p>
          <w:p>
            <w:pPr>
              <w:pStyle w:val="2"/>
              <w:spacing w:after="0" w:line="3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②计算结果不为整数时保留2位小数；</w:t>
            </w:r>
          </w:p>
          <w:p>
            <w:pPr>
              <w:pStyle w:val="2"/>
              <w:spacing w:after="0" w:line="360" w:lineRule="exact"/>
              <w:ind w:firstLine="0" w:firstLineChars="0"/>
              <w:jc w:val="left"/>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③注：执行《</w:t>
            </w:r>
            <w:r>
              <w:rPr>
                <w:rFonts w:hint="eastAsia" w:ascii="宋体" w:hAnsi="宋体" w:cs="宋体"/>
                <w:bCs/>
                <w:color w:val="auto"/>
                <w:sz w:val="24"/>
                <w:szCs w:val="24"/>
                <w:highlight w:val="none"/>
              </w:rPr>
              <w:t>中小企业划型标准规定》《政府采购促进中小企业发展管理办法》(财库[2020]46号)《财政部关于进一步加大政府采购支持中小企业力度的通知》（财库﹝2022﹞19 号），小微企业、监狱企业、残疾人福利性单位，对所投产品、工程或者服务供应商的价格给予10%的扣除，用扣除后的价格参与评审。</w:t>
            </w:r>
          </w:p>
          <w:p>
            <w:pPr>
              <w:pStyle w:val="2"/>
              <w:spacing w:after="0" w:line="360" w:lineRule="exact"/>
              <w:ind w:firstLine="0" w:firstLineChars="0"/>
              <w:jc w:val="left"/>
              <w:rPr>
                <w:rFonts w:ascii="宋体"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④</w:t>
            </w:r>
            <w:r>
              <w:rPr>
                <w:rFonts w:hint="eastAsia" w:ascii="宋体" w:hAnsi="宋体" w:eastAsia="宋体" w:cs="宋体"/>
                <w:bCs/>
                <w:color w:val="auto"/>
                <w:sz w:val="24"/>
                <w:szCs w:val="24"/>
                <w:highlight w:val="none"/>
              </w:rPr>
              <w:t>、投标人仅能获得一种政策的价格扣除，不重复享受。</w:t>
            </w:r>
            <w:r>
              <w:rPr>
                <w:rFonts w:hint="eastAsia" w:ascii="宋体" w:hAnsi="宋体" w:cs="宋体"/>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80" w:type="dxa"/>
            <w:gridSpan w:val="4"/>
            <w:vAlign w:val="center"/>
          </w:tcPr>
          <w:p>
            <w:pPr>
              <w:pStyle w:val="2"/>
              <w:spacing w:after="0" w:line="360" w:lineRule="exact"/>
              <w:ind w:firstLine="0" w:firstLineChars="0"/>
              <w:jc w:val="left"/>
              <w:rPr>
                <w:rFonts w:ascii="宋体" w:hAnsi="宋体" w:cs="宋体"/>
                <w:bCs/>
                <w:color w:val="auto"/>
                <w:sz w:val="24"/>
                <w:szCs w:val="24"/>
                <w:highlight w:val="none"/>
              </w:rPr>
            </w:pPr>
            <w:r>
              <w:rPr>
                <w:rFonts w:hint="eastAsia" w:ascii="宋体" w:hAnsi="宋体" w:cs="宋体"/>
                <w:b/>
                <w:color w:val="auto"/>
                <w:sz w:val="24"/>
                <w:szCs w:val="24"/>
                <w:highlight w:val="none"/>
              </w:rPr>
              <w:t>技术、商务部分评分（</w:t>
            </w:r>
            <w:r>
              <w:rPr>
                <w:rFonts w:hint="default" w:ascii="宋体" w:hAnsi="宋体" w:cs="宋体"/>
                <w:b/>
                <w:color w:val="auto"/>
                <w:sz w:val="24"/>
                <w:szCs w:val="24"/>
                <w:highlight w:val="none"/>
                <w:lang w:val="en-US"/>
              </w:rPr>
              <w:t>80</w:t>
            </w:r>
            <w:r>
              <w:rPr>
                <w:rFonts w:hint="eastAsia" w:ascii="宋体" w:hAnsi="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5" w:type="dxa"/>
            <w:vAlign w:val="center"/>
          </w:tcPr>
          <w:p>
            <w:pPr>
              <w:widowControl/>
              <w:spacing w:line="36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80" w:type="dxa"/>
            <w:vAlign w:val="center"/>
          </w:tcPr>
          <w:p>
            <w:pPr>
              <w:widowControl/>
              <w:spacing w:line="360" w:lineRule="exact"/>
              <w:jc w:val="center"/>
              <w:textAlignment w:val="center"/>
              <w:rPr>
                <w:rFonts w:ascii="宋体" w:hAnsi="宋体" w:cs="宋体"/>
                <w:color w:val="auto"/>
                <w:sz w:val="24"/>
                <w:szCs w:val="24"/>
                <w:highlight w:val="none"/>
              </w:rPr>
            </w:pPr>
            <w:bookmarkStart w:id="61" w:name="OLE_LINK1"/>
            <w:r>
              <w:rPr>
                <w:rFonts w:hint="eastAsia" w:ascii="宋体" w:hAnsi="宋体" w:eastAsia="宋体" w:cs="宋体"/>
                <w:color w:val="auto"/>
                <w:sz w:val="24"/>
                <w:szCs w:val="24"/>
                <w:highlight w:val="none"/>
                <w:lang w:val="en-US" w:eastAsia="zh-CN"/>
              </w:rPr>
              <w:t>项目管理及服务方案</w:t>
            </w:r>
            <w:bookmarkEnd w:id="61"/>
          </w:p>
        </w:tc>
        <w:tc>
          <w:tcPr>
            <w:tcW w:w="795" w:type="dxa"/>
            <w:vAlign w:val="center"/>
          </w:tcPr>
          <w:p>
            <w:pPr>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7350" w:type="dxa"/>
            <w:vAlign w:val="center"/>
          </w:tcPr>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根据投标人针对本项目提供的项目管理及服务方案进行评审，内容包含：①项目总体服务理念；②结合本</w:t>
            </w:r>
            <w:r>
              <w:rPr>
                <w:rFonts w:hint="eastAsia" w:ascii="宋体" w:hAnsi="宋体" w:cs="宋体"/>
                <w:bCs/>
                <w:color w:val="auto"/>
                <w:sz w:val="24"/>
                <w:szCs w:val="24"/>
                <w:highlight w:val="none"/>
                <w:lang w:val="en-US" w:eastAsia="zh-CN"/>
              </w:rPr>
              <w:t>采购项目要求</w:t>
            </w:r>
            <w:r>
              <w:rPr>
                <w:rFonts w:hint="eastAsia" w:ascii="宋体" w:hAnsi="宋体" w:eastAsia="宋体" w:cs="宋体"/>
                <w:bCs/>
                <w:color w:val="auto"/>
                <w:sz w:val="24"/>
                <w:szCs w:val="24"/>
                <w:highlight w:val="none"/>
                <w:lang w:val="en-US" w:eastAsia="zh-CN"/>
              </w:rPr>
              <w:t>，制定项目管理方案）；③投诉及意见建议处理方案；④卫生保洁服务方案；⑤公共秩序维护服务方案；⑥门岗保安服务方案；⑦医院环境绿化方案。</w:t>
            </w:r>
          </w:p>
          <w:p>
            <w:pPr>
              <w:pStyle w:val="2"/>
              <w:spacing w:after="0" w:line="360" w:lineRule="exact"/>
              <w:ind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项目管理及服务方案包含上述7个方面内容且描述无缺陷的得35分，每缺少一项内容的扣5分；每个单项内容中每存在一处缺陷扣2分，单项分值扣完为止。未提供不得分。</w:t>
            </w:r>
          </w:p>
          <w:p>
            <w:pPr>
              <w:pStyle w:val="2"/>
              <w:spacing w:after="0" w:line="360" w:lineRule="exact"/>
              <w:ind w:firstLine="482" w:firstLineChars="200"/>
              <w:jc w:val="left"/>
              <w:rPr>
                <w:rFonts w:ascii="宋体" w:hAnsi="宋体" w:cs="宋体"/>
                <w:color w:val="auto"/>
                <w:sz w:val="24"/>
                <w:szCs w:val="24"/>
                <w:highlight w:val="none"/>
              </w:rPr>
            </w:pPr>
            <w:r>
              <w:rPr>
                <w:rFonts w:hint="eastAsia" w:ascii="宋体" w:hAnsi="宋体" w:eastAsia="宋体" w:cs="宋体"/>
                <w:b/>
                <w:bCs w:val="0"/>
                <w:color w:val="auto"/>
                <w:sz w:val="24"/>
                <w:szCs w:val="24"/>
                <w:highlight w:val="none"/>
                <w:lang w:val="en-US" w:eastAsia="zh-CN"/>
              </w:rPr>
              <w:t>注：缺陷是指存在项目名称错误、地点区域错误、内容不完整、不符合项目实际情况、内容与项目需求无关、存在无针对性情况、方案内容矛盾或表述前后不一致、方案内容简略或不具体或仅有框架标题、适用的标准（方法）错误、存在明显复制其他项目内容的情况、可操作性不强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5" w:type="dxa"/>
            <w:vAlign w:val="center"/>
          </w:tcPr>
          <w:p>
            <w:pPr>
              <w:widowControl/>
              <w:spacing w:line="36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80" w:type="dxa"/>
            <w:vAlign w:val="center"/>
          </w:tcPr>
          <w:p>
            <w:pPr>
              <w:widowControl/>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zh-TW"/>
              </w:rPr>
              <w:t>履约能</w:t>
            </w:r>
            <w:r>
              <w:rPr>
                <w:rFonts w:hint="eastAsia" w:ascii="宋体" w:hAnsi="宋体" w:cs="宋体"/>
                <w:color w:val="auto"/>
                <w:sz w:val="24"/>
                <w:szCs w:val="24"/>
                <w:highlight w:val="none"/>
                <w:lang w:val="zh-TW" w:eastAsia="zh-TW"/>
              </w:rPr>
              <w:t>力</w:t>
            </w:r>
          </w:p>
        </w:tc>
        <w:tc>
          <w:tcPr>
            <w:tcW w:w="795" w:type="dxa"/>
            <w:vAlign w:val="center"/>
          </w:tcPr>
          <w:p>
            <w:pPr>
              <w:widowControl/>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7350" w:type="dxa"/>
            <w:vAlign w:val="center"/>
          </w:tcPr>
          <w:p>
            <w:pPr>
              <w:widowControl/>
              <w:spacing w:line="360" w:lineRule="exact"/>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1.根据投标人拟派的服务团队人员进行评审评分。（8分）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1.保安服务：</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①男女不限，9人</w:t>
            </w:r>
            <w:r>
              <w:rPr>
                <w:rFonts w:hint="default" w:ascii="宋体" w:hAnsi="宋体" w:cs="宋体"/>
                <w:bCs/>
                <w:color w:val="auto"/>
                <w:sz w:val="24"/>
                <w:szCs w:val="24"/>
                <w:highlight w:val="none"/>
                <w:lang w:val="en-US" w:eastAsia="zh-CN"/>
              </w:rPr>
              <w:t>,</w:t>
            </w:r>
            <w:r>
              <w:rPr>
                <w:rFonts w:ascii="宋体" w:hAnsi="宋体" w:eastAsia="宋体" w:cs="宋体"/>
                <w:sz w:val="24"/>
                <w:szCs w:val="24"/>
              </w:rPr>
              <w:t>身体健康、胜任岗位</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②所有保安人员必须经过相关合规培训机构培训合格并取得《保安证》（</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③所派监控控制室人员，须具备相关部门核发的</w:t>
            </w:r>
            <w:r>
              <w:rPr>
                <w:rFonts w:hint="eastAsia" w:ascii="宋体" w:hAnsi="宋体" w:cs="宋体"/>
                <w:bCs/>
                <w:color w:val="auto"/>
                <w:sz w:val="24"/>
                <w:szCs w:val="24"/>
                <w:highlight w:val="none"/>
                <w:lang w:val="en-US" w:eastAsia="zh-CN"/>
              </w:rPr>
              <w:t>中级消防</w:t>
            </w:r>
            <w:r>
              <w:rPr>
                <w:rFonts w:hint="eastAsia" w:ascii="宋体" w:hAnsi="宋体" w:eastAsia="宋体" w:cs="宋体"/>
                <w:bCs/>
                <w:color w:val="auto"/>
                <w:sz w:val="24"/>
                <w:szCs w:val="24"/>
                <w:highlight w:val="none"/>
                <w:lang w:val="en-US" w:eastAsia="zh-CN"/>
              </w:rPr>
              <w:t>证（</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pPr>
              <w:pStyle w:val="2"/>
              <w:spacing w:after="0" w:line="36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2.保洁服务</w:t>
            </w:r>
          </w:p>
          <w:p>
            <w:pPr>
              <w:pStyle w:val="2"/>
              <w:spacing w:after="0" w:line="36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①男女不限，1</w:t>
            </w:r>
            <w:r>
              <w:rPr>
                <w:rFonts w:hint="eastAsia" w:ascii="宋体" w:hAnsi="宋体" w:cs="宋体"/>
                <w:bCs/>
                <w:color w:val="auto"/>
                <w:sz w:val="24"/>
                <w:szCs w:val="24"/>
                <w:highlight w:val="none"/>
                <w:lang w:val="en-US" w:eastAsia="zh-CN"/>
              </w:rPr>
              <w:t>1人</w:t>
            </w:r>
            <w:r>
              <w:rPr>
                <w:rFonts w:hint="default" w:ascii="宋体" w:hAnsi="宋体" w:cs="宋体"/>
                <w:bCs/>
                <w:color w:val="auto"/>
                <w:sz w:val="24"/>
                <w:szCs w:val="24"/>
                <w:highlight w:val="none"/>
                <w:lang w:val="en-US" w:eastAsia="zh-CN"/>
              </w:rPr>
              <w:t>,</w:t>
            </w:r>
            <w:r>
              <w:rPr>
                <w:rFonts w:ascii="宋体" w:hAnsi="宋体" w:eastAsia="宋体" w:cs="宋体"/>
                <w:sz w:val="24"/>
                <w:szCs w:val="24"/>
              </w:rPr>
              <w:t>身体健康、胜任岗位</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pPr>
              <w:widowControl/>
              <w:spacing w:line="360" w:lineRule="exact"/>
              <w:ind w:firstLine="482" w:firstLineChars="20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注：需提供人员相应证书及</w:t>
            </w:r>
            <w:r>
              <w:rPr>
                <w:rFonts w:hint="eastAsia" w:ascii="宋体" w:hAnsi="宋体" w:cs="宋体"/>
                <w:b/>
                <w:bCs/>
                <w:color w:val="auto"/>
                <w:sz w:val="24"/>
                <w:szCs w:val="24"/>
                <w:highlight w:val="none"/>
                <w:lang w:val="en-US" w:eastAsia="zh-CN"/>
              </w:rPr>
              <w:t>工作合同复印件等证明</w:t>
            </w:r>
            <w:r>
              <w:rPr>
                <w:rFonts w:hint="eastAsia" w:ascii="宋体" w:hAnsi="宋体" w:eastAsia="宋体" w:cs="宋体"/>
                <w:b/>
                <w:bCs/>
                <w:color w:val="auto"/>
                <w:sz w:val="24"/>
                <w:szCs w:val="24"/>
                <w:highlight w:val="none"/>
                <w:lang w:val="en-US" w:eastAsia="zh-CN"/>
              </w:rPr>
              <w:t>材料。证书扫描不清晰无法核对、所配备人员与采购需求不一致的不得分。</w:t>
            </w:r>
          </w:p>
          <w:p>
            <w:pPr>
              <w:autoSpaceDE w:val="0"/>
              <w:autoSpaceDN w:val="0"/>
              <w:adjustRightInd w:val="0"/>
              <w:spacing w:line="3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、针对本项目装备配置（</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zh-TW" w:eastAsia="zh-CN"/>
              </w:rPr>
            </w:pPr>
            <w:r>
              <w:rPr>
                <w:rFonts w:hint="eastAsia" w:ascii="宋体" w:hAnsi="宋体" w:eastAsia="宋体" w:cs="宋体"/>
                <w:bCs/>
                <w:color w:val="auto"/>
                <w:sz w:val="24"/>
                <w:szCs w:val="24"/>
                <w:highlight w:val="none"/>
                <w:lang w:val="en-US" w:eastAsia="zh-CN"/>
              </w:rPr>
              <w:t>根据“第三章 采购项目要求</w:t>
            </w:r>
            <w:r>
              <w:rPr>
                <w:rFonts w:hint="eastAsia" w:ascii="宋体" w:hAnsi="宋体" w:cs="宋体"/>
                <w:bCs/>
                <w:color w:val="auto"/>
                <w:sz w:val="24"/>
                <w:szCs w:val="24"/>
                <w:highlight w:val="none"/>
                <w:lang w:val="en-US" w:eastAsia="zh-CN"/>
              </w:rPr>
              <w:t>，投标人提供</w:t>
            </w:r>
            <w:r>
              <w:rPr>
                <w:rFonts w:hint="eastAsia" w:ascii="宋体" w:hAnsi="宋体" w:eastAsia="宋体" w:cs="宋体"/>
                <w:bCs/>
                <w:color w:val="auto"/>
                <w:sz w:val="24"/>
                <w:szCs w:val="24"/>
                <w:highlight w:val="none"/>
                <w:lang w:val="en-US" w:eastAsia="zh-CN"/>
              </w:rPr>
              <w:t>拟投入本项目的装备配置清单。拟投入的装备配置内容完整详细、合理，数量充足，完全满足本项目服务需求的得5分；拟投入的装备配置有缺漏、没有清晰的数量配置或数量配置不够，难以满足本项目需求的扣2分。无拟投入装备配置的不得分。</w:t>
            </w:r>
          </w:p>
          <w:p>
            <w:pPr>
              <w:autoSpaceDE w:val="0"/>
              <w:autoSpaceDN w:val="0"/>
              <w:adjustRightInd w:val="0"/>
              <w:spacing w:line="360" w:lineRule="exact"/>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管理制度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en-US" w:eastAsia="zh-CN"/>
              </w:rPr>
              <w:t>文件要求和</w:t>
            </w:r>
            <w:r>
              <w:rPr>
                <w:rFonts w:hint="eastAsia" w:ascii="宋体" w:hAnsi="宋体" w:cs="宋体"/>
                <w:bCs/>
                <w:color w:val="auto"/>
                <w:sz w:val="24"/>
                <w:szCs w:val="24"/>
                <w:highlight w:val="none"/>
                <w:lang w:val="en-US" w:eastAsia="zh-CN"/>
              </w:rPr>
              <w:t>磋商</w:t>
            </w:r>
            <w:r>
              <w:rPr>
                <w:rFonts w:hint="eastAsia" w:ascii="宋体" w:hAnsi="宋体" w:eastAsia="宋体" w:cs="宋体"/>
                <w:bCs/>
                <w:color w:val="auto"/>
                <w:sz w:val="24"/>
                <w:szCs w:val="24"/>
                <w:highlight w:val="none"/>
                <w:lang w:val="en-US" w:eastAsia="zh-CN"/>
              </w:rPr>
              <w:t>文件响应情况，对投标人提供的内部管理规章制度进行综合评价,其中包括:①管理架构；②管理章程；③管理模式；④管理制度；⑤奖惩制度。</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以上5项内容描述详细、完整、严谨的，每项得1分；内容不够严谨、基本详细的，每项得0.5分；内容不完整、不全面、描述差或未提供一项的不得分。</w:t>
            </w:r>
          </w:p>
          <w:p>
            <w:pPr>
              <w:pStyle w:val="26"/>
              <w:spacing w:line="36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rPr>
              <w:t>应急预案（</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分）</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投标人提供的应急预案，包括：1、应急保障能力；2、突发公共事件应急预案（重大疫情、传染病处理等）；3、日常安全事故应急预案（停电、停水等）；4、大型灾难事件应急预案（地震、雷电、暴雨等）；5、重大活动应急预案（各类突击检查等）；6、</w:t>
            </w:r>
            <w:bookmarkStart w:id="62" w:name="OLE_LINK13"/>
            <w:r>
              <w:rPr>
                <w:rFonts w:hint="eastAsia" w:ascii="宋体" w:hAnsi="宋体" w:eastAsia="宋体" w:cs="宋体"/>
                <w:bCs/>
                <w:color w:val="auto"/>
                <w:sz w:val="24"/>
                <w:szCs w:val="24"/>
                <w:highlight w:val="none"/>
                <w:lang w:val="en-US" w:eastAsia="zh-CN"/>
              </w:rPr>
              <w:t>突发勤卫应急预案</w:t>
            </w:r>
            <w:bookmarkEnd w:id="62"/>
            <w:r>
              <w:rPr>
                <w:rFonts w:hint="eastAsia" w:ascii="宋体" w:hAnsi="宋体" w:eastAsia="宋体" w:cs="宋体"/>
                <w:bCs/>
                <w:color w:val="auto"/>
                <w:sz w:val="24"/>
                <w:szCs w:val="24"/>
                <w:highlight w:val="none"/>
                <w:lang w:val="en-US" w:eastAsia="zh-CN"/>
              </w:rPr>
              <w:t>（病人跌倒、运送途中应急事件处理等）。以上6个方面，经评定相关方案内容详尽、明确、清晰，阐述细致、透彻、条理清楚、思路清晰，对项目实际情况和关键难点</w:t>
            </w:r>
            <w:r>
              <w:rPr>
                <w:rFonts w:hint="eastAsia" w:ascii="宋体" w:hAnsi="宋体" w:cs="宋体"/>
                <w:bCs/>
                <w:color w:val="auto"/>
                <w:sz w:val="24"/>
                <w:szCs w:val="24"/>
                <w:highlight w:val="none"/>
                <w:lang w:val="en-US" w:eastAsia="zh-CN"/>
              </w:rPr>
              <w:t>把握</w:t>
            </w:r>
            <w:r>
              <w:rPr>
                <w:rFonts w:hint="eastAsia" w:ascii="宋体" w:hAnsi="宋体" w:eastAsia="宋体" w:cs="宋体"/>
                <w:bCs/>
                <w:color w:val="auto"/>
                <w:sz w:val="24"/>
                <w:szCs w:val="24"/>
                <w:highlight w:val="none"/>
                <w:lang w:val="en-US" w:eastAsia="zh-CN"/>
              </w:rPr>
              <w:t>充分，方案合理有效、有针对性、可行性和可操作性，没有不足的得12分，每缺少一个方面或某一方面内容不满足采购需求的扣2分,每个方面有内容存在不足的扣1分。</w:t>
            </w:r>
          </w:p>
          <w:p>
            <w:pPr>
              <w:autoSpaceDE w:val="0"/>
              <w:autoSpaceDN w:val="0"/>
              <w:adjustRightInd w:val="0"/>
              <w:spacing w:line="360" w:lineRule="exact"/>
              <w:ind w:firstLine="482" w:firstLineChars="200"/>
              <w:jc w:val="left"/>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注:不足是指:相关内容生搬硬造，阐述存在逻辑错误，前后矛盾;涉及内容无重点，未能体现出本项目的特点或与实际需求不完全相符;语言错误或存在歧义;违约责任承诺处罚措施内容不具体或不明确或无具体罚款金额;内容过于简略针对性和可行性欠缺;任意1项缺陷或假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5" w:type="dxa"/>
            <w:vAlign w:val="center"/>
          </w:tcPr>
          <w:p>
            <w:pPr>
              <w:widowControl/>
              <w:spacing w:line="360" w:lineRule="exact"/>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80" w:type="dxa"/>
            <w:vAlign w:val="center"/>
          </w:tcPr>
          <w:p>
            <w:pPr>
              <w:widowControl/>
              <w:spacing w:line="360" w:lineRule="exact"/>
              <w:jc w:val="center"/>
              <w:textAlignment w:val="center"/>
              <w:rPr>
                <w:rFonts w:ascii="宋体" w:hAnsi="宋体" w:cs="宋体"/>
                <w:color w:val="auto"/>
                <w:sz w:val="24"/>
                <w:szCs w:val="24"/>
                <w:highlight w:val="none"/>
                <w:lang w:val="zh-TW"/>
              </w:rPr>
            </w:pPr>
            <w:r>
              <w:rPr>
                <w:rFonts w:hint="eastAsia" w:ascii="宋体" w:hAnsi="宋体" w:cs="宋体"/>
                <w:color w:val="auto"/>
                <w:sz w:val="24"/>
                <w:szCs w:val="24"/>
                <w:highlight w:val="none"/>
              </w:rPr>
              <w:t>违约责任及保证措施</w:t>
            </w:r>
          </w:p>
        </w:tc>
        <w:tc>
          <w:tcPr>
            <w:tcW w:w="795" w:type="dxa"/>
            <w:vAlign w:val="center"/>
          </w:tcPr>
          <w:p>
            <w:pPr>
              <w:widowControl/>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7350" w:type="dxa"/>
            <w:vAlign w:val="center"/>
          </w:tcPr>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根据投标人提供的质量保障措施及违约责任承诺，包括：1、质量保障措施方案及承诺；2、违约责任承诺及处罚措施。</w:t>
            </w:r>
          </w:p>
          <w:p>
            <w:pPr>
              <w:pStyle w:val="2"/>
              <w:spacing w:after="0" w:line="3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2个方面，经评定相关方案内容详尽、明确、清晰，阐述细致、透彻、条理清楚、思路清晰，对项目实际情况和关键难点把握充分，方案合理有效、有针对性、可行性和可操作性，没有不足的得10分，每缺少一个方面或某一方面内容不满足采购需求的扣5分，每个方面有内容存在不足的扣2分。</w:t>
            </w:r>
          </w:p>
          <w:p>
            <w:pPr>
              <w:pStyle w:val="2"/>
              <w:spacing w:after="0" w:line="360" w:lineRule="exact"/>
              <w:ind w:firstLine="482" w:firstLineChars="200"/>
              <w:jc w:val="left"/>
              <w:rPr>
                <w:rFonts w:ascii="宋体" w:hAnsi="宋体" w:cs="宋体"/>
                <w:color w:val="auto"/>
                <w:sz w:val="24"/>
                <w:szCs w:val="24"/>
                <w:highlight w:val="none"/>
              </w:rPr>
            </w:pPr>
            <w:r>
              <w:rPr>
                <w:rFonts w:hint="eastAsia" w:ascii="宋体" w:hAnsi="宋体" w:eastAsia="宋体" w:cs="宋体"/>
                <w:b/>
                <w:bCs w:val="0"/>
                <w:color w:val="auto"/>
                <w:sz w:val="24"/>
                <w:szCs w:val="24"/>
                <w:highlight w:val="none"/>
                <w:lang w:val="en-US" w:eastAsia="zh-CN"/>
              </w:rPr>
              <w:t>注：不足是指：相关内容生搬硬造，阐述 存在逻辑错误，前后矛盾；涉及内容无重点，未能体现出本项目的特点或与实际需求不完全相符；语言错误或存在歧义；违约责任承诺处罚措施内容不具体或不明确或无具体罚款金额；内容过于简略针对性和可行性欠缺；任意1项缺陷或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5" w:type="dxa"/>
            <w:vAlign w:val="center"/>
          </w:tcPr>
          <w:p>
            <w:pPr>
              <w:widowControl/>
              <w:spacing w:line="36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80" w:type="dxa"/>
            <w:vAlign w:val="center"/>
          </w:tcPr>
          <w:p>
            <w:pPr>
              <w:widowControl/>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795" w:type="dxa"/>
            <w:vAlign w:val="center"/>
          </w:tcPr>
          <w:p>
            <w:pPr>
              <w:widowControl/>
              <w:spacing w:line="360" w:lineRule="exact"/>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7350" w:type="dxa"/>
            <w:vAlign w:val="center"/>
          </w:tcPr>
          <w:p>
            <w:pPr>
              <w:widowControl/>
              <w:spacing w:line="360" w:lineRule="exact"/>
              <w:ind w:firstLine="480" w:firstLineChars="200"/>
              <w:jc w:val="left"/>
              <w:textAlignment w:val="center"/>
              <w:rPr>
                <w:rFonts w:ascii="宋体" w:hAnsi="宋体" w:cs="宋体"/>
                <w:color w:val="auto"/>
                <w:sz w:val="24"/>
                <w:szCs w:val="24"/>
                <w:highlight w:val="none"/>
              </w:rPr>
            </w:pPr>
            <w:bookmarkStart w:id="63" w:name="OLE_LINK3"/>
            <w:r>
              <w:rPr>
                <w:rFonts w:hint="eastAsia" w:ascii="宋体" w:hAnsi="宋体" w:cs="宋体"/>
                <w:color w:val="auto"/>
                <w:sz w:val="24"/>
                <w:szCs w:val="24"/>
                <w:highlight w:val="none"/>
              </w:rPr>
              <w:t>供应商于20</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年至今具有从事</w:t>
            </w:r>
            <w:r>
              <w:rPr>
                <w:rFonts w:hint="eastAsia" w:ascii="宋体" w:hAnsi="宋体" w:cs="宋体"/>
                <w:color w:val="auto"/>
                <w:sz w:val="24"/>
                <w:szCs w:val="24"/>
                <w:highlight w:val="none"/>
                <w:lang w:val="en-US" w:eastAsia="zh-CN"/>
              </w:rPr>
              <w:t>类似项目</w:t>
            </w:r>
            <w:r>
              <w:rPr>
                <w:rFonts w:hint="eastAsia" w:ascii="宋体" w:hAnsi="宋体" w:cs="宋体"/>
                <w:color w:val="auto"/>
                <w:sz w:val="24"/>
                <w:szCs w:val="24"/>
                <w:highlight w:val="none"/>
              </w:rPr>
              <w:t>的经验，每提供一个业绩得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分。提</w:t>
            </w:r>
            <w:r>
              <w:rPr>
                <w:rFonts w:hint="eastAsia" w:ascii="宋体" w:hAnsi="宋体" w:eastAsia="宋体" w:cs="宋体"/>
                <w:color w:val="auto"/>
                <w:sz w:val="24"/>
                <w:szCs w:val="24"/>
                <w:highlight w:val="none"/>
              </w:rPr>
              <w:t>供中标通知书或服务合同扫描件</w:t>
            </w:r>
            <w:r>
              <w:rPr>
                <w:rFonts w:hint="eastAsia" w:ascii="宋体" w:hAnsi="宋体" w:eastAsia="宋体" w:cs="宋体"/>
                <w:color w:val="auto"/>
                <w:sz w:val="24"/>
                <w:szCs w:val="24"/>
                <w:highlight w:val="none"/>
                <w:lang w:val="en-US" w:eastAsia="zh-CN"/>
              </w:rPr>
              <w:t>（合同首页、标的及金额所在页及合同签字盖章页）</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35" w:type="dxa"/>
            <w:gridSpan w:val="2"/>
            <w:vAlign w:val="center"/>
          </w:tcPr>
          <w:p>
            <w:pPr>
              <w:widowControl/>
              <w:spacing w:line="360" w:lineRule="exact"/>
              <w:jc w:val="center"/>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合 计</w:t>
            </w:r>
          </w:p>
        </w:tc>
        <w:tc>
          <w:tcPr>
            <w:tcW w:w="8145" w:type="dxa"/>
            <w:gridSpan w:val="2"/>
            <w:vAlign w:val="center"/>
          </w:tcPr>
          <w:p>
            <w:pPr>
              <w:pStyle w:val="26"/>
              <w:spacing w:line="36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100分</w:t>
            </w:r>
          </w:p>
        </w:tc>
      </w:tr>
    </w:tbl>
    <w:p>
      <w:pPr>
        <w:pStyle w:val="11"/>
        <w:tabs>
          <w:tab w:val="left" w:pos="540"/>
        </w:tabs>
        <w:adjustRightInd w:val="0"/>
        <w:spacing w:line="460" w:lineRule="exact"/>
        <w:ind w:left="0" w:leftChars="0" w:firstLine="562" w:firstLineChars="200"/>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1.本次磋商采用综合评分法。</w:t>
      </w:r>
      <w:r>
        <w:rPr>
          <w:rFonts w:hint="eastAsia" w:ascii="宋体" w:hAnsi="宋体" w:eastAsia="宋体" w:cs="宋体"/>
          <w:color w:val="auto"/>
          <w:kern w:val="2"/>
          <w:sz w:val="28"/>
          <w:szCs w:val="28"/>
          <w:highlight w:val="none"/>
        </w:rPr>
        <w:t>磋商小组将根据评审办法计算出各供应商的综合得分，按得分由高到低推荐成交候选人排序；</w:t>
      </w:r>
      <w:r>
        <w:rPr>
          <w:rFonts w:hint="eastAsia" w:ascii="宋体" w:hAnsi="宋体" w:eastAsia="宋体" w:cs="宋体"/>
          <w:color w:val="auto"/>
          <w:kern w:val="2"/>
          <w:sz w:val="28"/>
          <w:szCs w:val="28"/>
          <w:highlight w:val="none"/>
          <w:lang w:val="zh-CN"/>
        </w:rPr>
        <w:t>评审得分相同的，按照最后报价由低到高的顺序推荐。评审得分且最后报价相同的，按照</w:t>
      </w:r>
      <w:r>
        <w:rPr>
          <w:rFonts w:hint="eastAsia" w:ascii="宋体" w:hAnsi="宋体" w:eastAsia="宋体" w:cs="宋体"/>
          <w:color w:val="auto"/>
          <w:kern w:val="2"/>
          <w:sz w:val="28"/>
          <w:szCs w:val="28"/>
          <w:highlight w:val="none"/>
        </w:rPr>
        <w:t>服务方案</w:t>
      </w:r>
      <w:r>
        <w:rPr>
          <w:rFonts w:hint="eastAsia" w:ascii="宋体" w:hAnsi="宋体" w:eastAsia="宋体" w:cs="宋体"/>
          <w:color w:val="auto"/>
          <w:kern w:val="2"/>
          <w:sz w:val="28"/>
          <w:szCs w:val="28"/>
          <w:highlight w:val="none"/>
          <w:lang w:val="zh-CN"/>
        </w:rPr>
        <w:t>优劣顺序推荐</w:t>
      </w:r>
      <w:r>
        <w:rPr>
          <w:rFonts w:hint="eastAsia" w:ascii="宋体" w:hAnsi="宋体" w:eastAsia="宋体" w:cs="宋体"/>
          <w:color w:val="auto"/>
          <w:kern w:val="2"/>
          <w:sz w:val="28"/>
          <w:szCs w:val="28"/>
          <w:highlight w:val="none"/>
        </w:rPr>
        <w:t>。最终磋商小组将根据评审后的总得分由高到低顺序排列推荐3个成交候选人。</w:t>
      </w:r>
    </w:p>
    <w:p>
      <w:pPr>
        <w:pStyle w:val="10"/>
        <w:tabs>
          <w:tab w:val="left" w:pos="2472"/>
        </w:tabs>
        <w:spacing w:line="460" w:lineRule="exact"/>
        <w:ind w:firstLine="562" w:firstLineChars="200"/>
        <w:rPr>
          <w:rFonts w:hAnsi="宋体" w:cs="宋体"/>
          <w:b/>
          <w:bCs/>
          <w:color w:val="auto"/>
          <w:sz w:val="28"/>
          <w:szCs w:val="28"/>
          <w:highlight w:val="none"/>
        </w:rPr>
      </w:pPr>
      <w:bookmarkStart w:id="64" w:name="_Toc432194884"/>
      <w:bookmarkStart w:id="65" w:name="_Toc432106534"/>
      <w:r>
        <w:rPr>
          <w:rFonts w:hint="eastAsia" w:hAnsi="宋体" w:cs="宋体"/>
          <w:b/>
          <w:bCs/>
          <w:color w:val="auto"/>
          <w:sz w:val="28"/>
          <w:szCs w:val="28"/>
          <w:highlight w:val="none"/>
        </w:rPr>
        <w:t>2.评分</w:t>
      </w:r>
      <w:bookmarkEnd w:id="64"/>
      <w:bookmarkEnd w:id="65"/>
    </w:p>
    <w:p>
      <w:pPr>
        <w:pStyle w:val="10"/>
        <w:tabs>
          <w:tab w:val="left" w:pos="2472"/>
        </w:tabs>
        <w:spacing w:line="46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（1）</w:t>
      </w:r>
      <w:r>
        <w:rPr>
          <w:rFonts w:hint="eastAsia" w:hAnsi="宋体" w:cs="宋体"/>
          <w:color w:val="auto"/>
          <w:kern w:val="0"/>
          <w:sz w:val="28"/>
          <w:szCs w:val="28"/>
          <w:highlight w:val="none"/>
        </w:rPr>
        <w:t>磋商小组</w:t>
      </w:r>
      <w:r>
        <w:rPr>
          <w:rFonts w:hint="eastAsia" w:hAnsi="宋体" w:cs="宋体"/>
          <w:color w:val="auto"/>
          <w:sz w:val="28"/>
          <w:szCs w:val="28"/>
          <w:highlight w:val="none"/>
        </w:rPr>
        <w:t>按评分标准规定的评审因素和分值进行打分，并计算出供应商的磋商总得分。</w:t>
      </w:r>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（2）技术、商务部分得分由磋商小组成员独立评分，</w:t>
      </w:r>
      <w:r>
        <w:rPr>
          <w:rFonts w:hint="eastAsia" w:ascii="宋体" w:hAnsi="宋体" w:cs="宋体"/>
          <w:bCs/>
          <w:color w:val="auto"/>
          <w:sz w:val="28"/>
          <w:szCs w:val="28"/>
          <w:highlight w:val="none"/>
        </w:rPr>
        <w:t>供应商各项评分因素得分为该项因素各评委评分的算术平均值（保留小数点后两位）</w:t>
      </w:r>
      <w:r>
        <w:rPr>
          <w:rFonts w:hint="eastAsia" w:ascii="宋体" w:hAnsi="宋体" w:cs="宋体"/>
          <w:color w:val="auto"/>
          <w:sz w:val="28"/>
          <w:szCs w:val="28"/>
          <w:highlight w:val="none"/>
        </w:rPr>
        <w:t>，小数点后第三位“四舍五入”。</w:t>
      </w:r>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根据《财政部关于进一步规范政府采购评审工作有关问题的通知（财库〔2012〕69号）》的规定，评审结果汇总完成后，采购人、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磋商小组应当现场修改评审结果，并在评审报告中明确记载。</w:t>
      </w:r>
    </w:p>
    <w:p>
      <w:pPr>
        <w:pStyle w:val="10"/>
        <w:tabs>
          <w:tab w:val="left" w:pos="2472"/>
        </w:tabs>
        <w:spacing w:line="460" w:lineRule="exact"/>
        <w:ind w:firstLine="562" w:firstLineChars="200"/>
        <w:rPr>
          <w:rFonts w:hAnsi="宋体" w:cs="宋体"/>
          <w:b/>
          <w:bCs/>
          <w:color w:val="auto"/>
          <w:sz w:val="28"/>
          <w:szCs w:val="28"/>
          <w:highlight w:val="none"/>
        </w:rPr>
      </w:pPr>
      <w:bookmarkStart w:id="66" w:name="_Toc432194885"/>
      <w:bookmarkStart w:id="67" w:name="_Toc321836413"/>
      <w:bookmarkStart w:id="68" w:name="_Toc432106535"/>
      <w:r>
        <w:rPr>
          <w:rFonts w:hint="eastAsia" w:hAnsi="宋体" w:cs="宋体"/>
          <w:b/>
          <w:bCs/>
          <w:color w:val="auto"/>
          <w:sz w:val="28"/>
          <w:szCs w:val="28"/>
          <w:highlight w:val="none"/>
        </w:rPr>
        <w:t>七、 磋商结果</w:t>
      </w:r>
      <w:bookmarkEnd w:id="66"/>
      <w:bookmarkEnd w:id="67"/>
      <w:bookmarkEnd w:id="68"/>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（一）磋商小组按最终得分由高到低顺序推荐成交候选人。</w:t>
      </w:r>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（二）提出书面评审报告。</w:t>
      </w:r>
    </w:p>
    <w:p>
      <w:pPr>
        <w:spacing w:line="4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（三）采购人根据磋商小组提出的书面评审报告和推荐的成交候选人名单，确定成交人。</w:t>
      </w:r>
    </w:p>
    <w:p>
      <w:pPr>
        <w:spacing w:line="46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磋商小组发现采购文件存在歧义、重大缺陷导致评审工作无法进行，或者采购文件内容违反国家有关规定的，要停止评审工作并向采购人或代理机构书面说明情况，采购人或代理机构应当修改采购文件后重新组织采购活动；发现供应商提供虚假材料、串通等违法违规行为的，要及时向采购人或代理机构报告。</w:t>
      </w:r>
      <w:bookmarkStart w:id="69" w:name="_Toc19756"/>
      <w:bookmarkStart w:id="70" w:name="_Toc21051"/>
      <w:bookmarkStart w:id="71" w:name="_Toc5368"/>
      <w:bookmarkStart w:id="72" w:name="_Toc28359"/>
    </w:p>
    <w:p>
      <w:pPr>
        <w:pStyle w:val="2"/>
        <w:spacing w:after="154" w:afterLines="50" w:line="360" w:lineRule="auto"/>
        <w:ind w:firstLine="0" w:firstLineChars="0"/>
        <w:jc w:val="center"/>
        <w:outlineLvl w:val="0"/>
        <w:rPr>
          <w:rFonts w:ascii="宋体" w:hAnsi="宋体" w:cs="宋体"/>
          <w:b/>
          <w:color w:val="auto"/>
          <w:sz w:val="28"/>
          <w:szCs w:val="28"/>
          <w:highlight w:val="none"/>
        </w:rPr>
      </w:pPr>
      <w:bookmarkStart w:id="73" w:name="_Toc15008"/>
      <w:r>
        <w:rPr>
          <w:rFonts w:hint="eastAsia" w:ascii="宋体" w:hAnsi="宋体" w:cs="宋体"/>
          <w:b/>
          <w:bCs/>
          <w:color w:val="auto"/>
          <w:sz w:val="28"/>
          <w:szCs w:val="28"/>
          <w:highlight w:val="none"/>
        </w:rPr>
        <w:br w:type="page"/>
      </w:r>
      <w:bookmarkEnd w:id="69"/>
      <w:bookmarkEnd w:id="70"/>
      <w:bookmarkEnd w:id="71"/>
      <w:bookmarkEnd w:id="73"/>
      <w:bookmarkStart w:id="74" w:name="_Toc24700"/>
      <w:bookmarkStart w:id="75" w:name="_Toc5125"/>
      <w:bookmarkStart w:id="76" w:name="_Toc17369"/>
      <w:bookmarkStart w:id="77" w:name="_Toc12700"/>
      <w:r>
        <w:rPr>
          <w:rFonts w:hint="eastAsia" w:ascii="宋体" w:hAnsi="宋体" w:cs="宋体"/>
          <w:b/>
          <w:color w:val="auto"/>
          <w:kern w:val="2"/>
          <w:szCs w:val="32"/>
          <w:highlight w:val="none"/>
        </w:rPr>
        <w:t>第五章  合同条款</w:t>
      </w:r>
      <w:bookmarkEnd w:id="74"/>
      <w:bookmarkEnd w:id="75"/>
    </w:p>
    <w:p>
      <w:pPr>
        <w:autoSpaceDE w:val="0"/>
        <w:autoSpaceDN w:val="0"/>
        <w:adjustRightInd w:val="0"/>
        <w:spacing w:line="360" w:lineRule="auto"/>
        <w:ind w:firstLine="562" w:firstLineChars="200"/>
        <w:jc w:val="center"/>
        <w:outlineLvl w:val="1"/>
        <w:rPr>
          <w:rFonts w:ascii="宋体" w:hAnsi="宋体" w:cs="宋体"/>
          <w:b/>
          <w:bCs/>
          <w:color w:val="auto"/>
          <w:sz w:val="28"/>
          <w:szCs w:val="28"/>
          <w:highlight w:val="none"/>
        </w:rPr>
      </w:pPr>
      <w:bookmarkStart w:id="78" w:name="_Toc487640053"/>
      <w:bookmarkStart w:id="79" w:name="_Toc536105647"/>
      <w:bookmarkStart w:id="80" w:name="_Toc456964909"/>
      <w:bookmarkStart w:id="81" w:name="_Toc9933471"/>
      <w:bookmarkStart w:id="82" w:name="_Toc9933508"/>
      <w:bookmarkStart w:id="83" w:name="_Toc292983025"/>
      <w:r>
        <w:rPr>
          <w:rFonts w:hint="eastAsia" w:ascii="宋体" w:hAnsi="宋体" w:cs="宋体"/>
          <w:b/>
          <w:bCs/>
          <w:color w:val="auto"/>
          <w:sz w:val="28"/>
          <w:szCs w:val="28"/>
          <w:highlight w:val="none"/>
        </w:rPr>
        <w:t>合同书样式及主要条款</w:t>
      </w:r>
      <w:bookmarkEnd w:id="78"/>
      <w:bookmarkEnd w:id="79"/>
      <w:bookmarkEnd w:id="80"/>
      <w:bookmarkEnd w:id="81"/>
      <w:bookmarkEnd w:id="82"/>
      <w:bookmarkEnd w:id="83"/>
      <w:r>
        <w:rPr>
          <w:rFonts w:hint="eastAsia" w:ascii="宋体" w:hAnsi="宋体" w:cs="宋体"/>
          <w:b/>
          <w:bCs/>
          <w:color w:val="auto"/>
          <w:sz w:val="28"/>
          <w:szCs w:val="28"/>
          <w:highlight w:val="none"/>
        </w:rPr>
        <w:t>（仅供参考）</w:t>
      </w:r>
    </w:p>
    <w:p>
      <w:pPr>
        <w:pStyle w:val="2"/>
        <w:spacing w:after="0" w:line="360" w:lineRule="auto"/>
        <w:ind w:firstLine="0" w:firstLineChars="0"/>
        <w:outlineLvl w:val="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甲方: </w:t>
      </w:r>
      <w:r>
        <w:rPr>
          <w:rFonts w:hint="eastAsia" w:ascii="宋体" w:hAnsi="宋体" w:cs="宋体"/>
          <w:color w:val="auto"/>
          <w:sz w:val="28"/>
          <w:szCs w:val="28"/>
          <w:highlight w:val="none"/>
          <w:u w:val="single"/>
        </w:rPr>
        <w:t xml:space="preserve">                                              </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乙方: </w:t>
      </w:r>
      <w:r>
        <w:rPr>
          <w:rFonts w:hint="eastAsia" w:ascii="宋体" w:hAnsi="宋体" w:cs="宋体"/>
          <w:color w:val="auto"/>
          <w:sz w:val="28"/>
          <w:szCs w:val="28"/>
          <w:highlight w:val="none"/>
          <w:u w:val="single"/>
        </w:rPr>
        <w:t xml:space="preserve">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根据《中华人民共和国民法典》、及其他有关法律、行政法规，遵循平等、自愿、公平和诚实信用的原则，结合本项目具体情况，经过双方协定达成一致，签订以下合同条款：</w:t>
      </w:r>
    </w:p>
    <w:p>
      <w:pPr>
        <w:pStyle w:val="26"/>
        <w:spacing w:line="360" w:lineRule="auto"/>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1.合同文件</w:t>
      </w:r>
    </w:p>
    <w:p>
      <w:pPr>
        <w:pStyle w:val="26"/>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本合同包含下列文件</w:t>
      </w:r>
    </w:p>
    <w:p>
      <w:pPr>
        <w:pStyle w:val="26"/>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 本合同</w:t>
      </w:r>
    </w:p>
    <w:p>
      <w:pPr>
        <w:pStyle w:val="26"/>
        <w:spacing w:line="360" w:lineRule="auto"/>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2.合同标的及价格</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w:t>
      </w:r>
      <w:r>
        <w:rPr>
          <w:rFonts w:hint="eastAsia" w:ascii="宋体" w:hAnsi="宋体" w:cs="宋体"/>
          <w:bCs/>
          <w:color w:val="auto"/>
          <w:sz w:val="28"/>
          <w:szCs w:val="28"/>
          <w:highlight w:val="none"/>
        </w:rPr>
        <w:t xml:space="preserve"> 本合同总价为人民币</w:t>
      </w:r>
      <w:r>
        <w:rPr>
          <w:rFonts w:hint="eastAsia" w:ascii="宋体" w:hAnsi="宋体" w:cs="宋体"/>
          <w:bCs/>
          <w:color w:val="auto"/>
          <w:sz w:val="28"/>
          <w:szCs w:val="28"/>
          <w:highlight w:val="none"/>
          <w:u w:val="single"/>
        </w:rPr>
        <w:t xml:space="preserve">          元</w:t>
      </w:r>
      <w:r>
        <w:rPr>
          <w:rFonts w:hint="eastAsia" w:ascii="宋体" w:hAnsi="宋体" w:cs="宋体"/>
          <w:color w:val="auto"/>
          <w:sz w:val="28"/>
          <w:szCs w:val="28"/>
          <w:highlight w:val="none"/>
        </w:rPr>
        <w:t>（大写人民币</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上述合同总价包括：</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3.付款方式：</w:t>
      </w:r>
    </w:p>
    <w:p>
      <w:pPr>
        <w:spacing w:line="360" w:lineRule="auto"/>
        <w:ind w:firstLine="562" w:firstLineChars="200"/>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4.服务内容：</w:t>
      </w:r>
    </w:p>
    <w:p>
      <w:pPr>
        <w:tabs>
          <w:tab w:val="left" w:pos="900"/>
        </w:tabs>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5.服务期限：</w:t>
      </w:r>
    </w:p>
    <w:p>
      <w:pPr>
        <w:tabs>
          <w:tab w:val="left" w:pos="900"/>
        </w:tabs>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6.服务承诺</w:t>
      </w:r>
      <w:bookmarkStart w:id="84" w:name="_Toc453704309"/>
      <w:bookmarkStart w:id="85" w:name="_Toc31681"/>
      <w:r>
        <w:rPr>
          <w:rFonts w:hint="eastAsia" w:ascii="宋体" w:hAnsi="宋体" w:cs="宋体"/>
          <w:b/>
          <w:color w:val="auto"/>
          <w:sz w:val="28"/>
          <w:szCs w:val="28"/>
          <w:highlight w:val="none"/>
        </w:rPr>
        <w:t>：</w:t>
      </w:r>
    </w:p>
    <w:p>
      <w:pPr>
        <w:tabs>
          <w:tab w:val="left" w:pos="900"/>
        </w:tabs>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7.其他事项</w:t>
      </w:r>
      <w:bookmarkEnd w:id="84"/>
      <w:bookmarkEnd w:id="85"/>
      <w:r>
        <w:rPr>
          <w:rFonts w:hint="eastAsia" w:ascii="宋体" w:hAnsi="宋体" w:cs="宋体"/>
          <w:b/>
          <w:color w:val="auto"/>
          <w:sz w:val="28"/>
          <w:szCs w:val="28"/>
          <w:highlight w:val="none"/>
        </w:rPr>
        <w:t>：</w:t>
      </w:r>
    </w:p>
    <w:p>
      <w:pPr>
        <w:tabs>
          <w:tab w:val="left" w:pos="900"/>
        </w:tabs>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8. 索赔</w:t>
      </w:r>
    </w:p>
    <w:p>
      <w:pPr>
        <w:spacing w:line="360" w:lineRule="auto"/>
        <w:ind w:firstLine="418"/>
        <w:rPr>
          <w:rFonts w:ascii="宋体" w:hAnsi="宋体" w:cs="宋体"/>
          <w:color w:val="auto"/>
          <w:kern w:val="1"/>
          <w:sz w:val="28"/>
          <w:szCs w:val="28"/>
          <w:highlight w:val="none"/>
        </w:rPr>
      </w:pPr>
      <w:r>
        <w:rPr>
          <w:rFonts w:hint="eastAsia" w:ascii="宋体" w:hAnsi="宋体" w:cs="宋体"/>
          <w:color w:val="auto"/>
          <w:kern w:val="1"/>
          <w:sz w:val="28"/>
          <w:szCs w:val="28"/>
          <w:highlight w:val="none"/>
        </w:rPr>
        <w:t>8.1在本合同“服务”使用期内，如发现乙方提供的“服务”不符合合同规定时，甲方有权凭有关管理部门的检验证书或验收文件向乙方提出索赔。乙方应负担由此产生的费用和损失</w:t>
      </w:r>
      <w:r>
        <w:rPr>
          <w:rFonts w:hint="eastAsia" w:ascii="宋体" w:hAnsi="宋体" w:cs="宋体"/>
          <w:color w:val="auto"/>
          <w:sz w:val="28"/>
          <w:szCs w:val="28"/>
          <w:highlight w:val="none"/>
        </w:rPr>
        <w:t>。</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8.2 乙方赔偿由乙方违约引起的甲方所受损失。</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8.3 乙方应在收到甲方索赔要求后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日内作出回复。乙方应在甲方发出索赔通知后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日内，按照甲方同意的方法解决索赔事宜。</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8.4 如果乙方在收到甲方索赔要求后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日内未能作出回复，该索赔要求将被视为已被乙方接受。如乙方未能在甲方发出索赔通知后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日内或甲方同意的延长期限内，按照甲方同意的上述规定的方法解决索赔事宜，甲方有权从乙方开具的履约保证金及设备保修金中扣回或要求乙方支付索赔金额。</w:t>
      </w:r>
    </w:p>
    <w:p>
      <w:pPr>
        <w:spacing w:line="360" w:lineRule="auto"/>
        <w:rPr>
          <w:rFonts w:ascii="宋体" w:hAnsi="宋体" w:cs="宋体"/>
          <w:b/>
          <w:color w:val="auto"/>
          <w:kern w:val="1"/>
          <w:sz w:val="28"/>
          <w:szCs w:val="28"/>
          <w:highlight w:val="none"/>
        </w:rPr>
      </w:pPr>
      <w:bookmarkStart w:id="86" w:name="_Toc181673968"/>
      <w:bookmarkEnd w:id="86"/>
      <w:r>
        <w:rPr>
          <w:rFonts w:hint="eastAsia" w:ascii="宋体" w:hAnsi="宋体" w:cs="宋体"/>
          <w:b/>
          <w:color w:val="auto"/>
          <w:kern w:val="1"/>
          <w:sz w:val="28"/>
          <w:szCs w:val="28"/>
          <w:highlight w:val="none"/>
        </w:rPr>
        <w:t>9</w:t>
      </w:r>
      <w:bookmarkStart w:id="87" w:name="_Toc47151588"/>
      <w:bookmarkEnd w:id="87"/>
      <w:r>
        <w:rPr>
          <w:rFonts w:hint="eastAsia" w:ascii="宋体" w:hAnsi="宋体" w:cs="宋体"/>
          <w:b/>
          <w:color w:val="auto"/>
          <w:kern w:val="1"/>
          <w:sz w:val="28"/>
          <w:szCs w:val="28"/>
          <w:highlight w:val="none"/>
        </w:rPr>
        <w:t>.履约保证金（本项目不适用）</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9.1 乙方应在与甲方签定合同</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日内，向</w:t>
      </w:r>
      <w:r>
        <w:rPr>
          <w:rFonts w:hint="eastAsia" w:ascii="宋体" w:hAnsi="宋体" w:cs="宋体"/>
          <w:color w:val="auto"/>
          <w:sz w:val="28"/>
          <w:szCs w:val="28"/>
          <w:highlight w:val="none"/>
          <w:lang w:val="en-US" w:eastAsia="zh-CN"/>
        </w:rPr>
        <w:t>甲</w:t>
      </w:r>
      <w:r>
        <w:rPr>
          <w:rFonts w:hint="eastAsia" w:ascii="宋体" w:hAnsi="宋体" w:cs="宋体"/>
          <w:color w:val="auto"/>
          <w:sz w:val="28"/>
          <w:szCs w:val="28"/>
          <w:highlight w:val="none"/>
        </w:rPr>
        <w:t>方提交履约保证金，并要求：</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9.1.1. 履约保证金金额为合同总价的百分之</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9.1.2 履约保证金采用银行保函、支票、现金方式提交。</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9.2 如果乙方在合同有效期内未能履行本合同项下乙方的义务，甲方有权从履约保证金中扣除或追索。</w:t>
      </w:r>
    </w:p>
    <w:p>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9.3 本合同规定的服务期期满后，履约保函失效，履约保证金甲方退还乙方。</w:t>
      </w:r>
    </w:p>
    <w:p>
      <w:pPr>
        <w:spacing w:line="360" w:lineRule="auto"/>
        <w:jc w:val="left"/>
        <w:rPr>
          <w:rFonts w:hint="default" w:ascii="宋体" w:hAnsi="宋体" w:cs="宋体"/>
          <w:b/>
          <w:color w:val="auto"/>
          <w:kern w:val="1"/>
          <w:sz w:val="28"/>
          <w:szCs w:val="28"/>
          <w:highlight w:val="none"/>
          <w:lang w:val="en-US"/>
        </w:rPr>
      </w:pPr>
      <w:r>
        <w:rPr>
          <w:rFonts w:hint="eastAsia" w:ascii="宋体" w:hAnsi="宋体" w:cs="宋体"/>
          <w:b/>
          <w:color w:val="auto"/>
          <w:kern w:val="1"/>
          <w:sz w:val="28"/>
          <w:szCs w:val="28"/>
          <w:highlight w:val="none"/>
        </w:rPr>
        <w:t>10.不可抗力</w:t>
      </w:r>
    </w:p>
    <w:p>
      <w:pPr>
        <w:spacing w:line="360" w:lineRule="auto"/>
        <w:jc w:val="left"/>
        <w:rPr>
          <w:rFonts w:ascii="宋体" w:hAnsi="宋体" w:cs="宋体"/>
          <w:color w:val="auto"/>
          <w:kern w:val="1"/>
          <w:sz w:val="28"/>
          <w:szCs w:val="28"/>
          <w:highlight w:val="none"/>
        </w:rPr>
      </w:pPr>
      <w:r>
        <w:rPr>
          <w:rFonts w:hint="eastAsia" w:ascii="宋体" w:hAnsi="宋体" w:cs="宋体"/>
          <w:b/>
          <w:color w:val="auto"/>
          <w:kern w:val="1"/>
          <w:sz w:val="28"/>
          <w:szCs w:val="28"/>
          <w:highlight w:val="none"/>
        </w:rPr>
        <w:t xml:space="preserve">    </w:t>
      </w:r>
      <w:r>
        <w:rPr>
          <w:rFonts w:hint="eastAsia" w:ascii="宋体" w:hAnsi="宋体" w:cs="宋体"/>
          <w:color w:val="auto"/>
          <w:kern w:val="1"/>
          <w:sz w:val="28"/>
          <w:szCs w:val="28"/>
          <w:highlight w:val="none"/>
        </w:rPr>
        <w:t>如部分或者全部因下列人力不可控制的原因而致使合同义务没有或延迟履行,合同各方均不承担任何违约责任，包括且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w:t>
      </w:r>
      <w:r>
        <w:rPr>
          <w:rFonts w:hint="eastAsia" w:ascii="宋体" w:hAnsi="宋体" w:cs="宋体"/>
          <w:color w:val="auto"/>
          <w:kern w:val="1"/>
          <w:sz w:val="28"/>
          <w:szCs w:val="28"/>
          <w:highlight w:val="none"/>
          <w:u w:val="single"/>
        </w:rPr>
        <w:t xml:space="preserve">       </w:t>
      </w:r>
      <w:r>
        <w:rPr>
          <w:rFonts w:hint="eastAsia" w:ascii="宋体" w:hAnsi="宋体" w:cs="宋体"/>
          <w:color w:val="auto"/>
          <w:kern w:val="1"/>
          <w:sz w:val="28"/>
          <w:szCs w:val="28"/>
          <w:highlight w:val="none"/>
        </w:rPr>
        <w:t>天，而且合同双方未能就本合同的进一步执行和修改达成合同的话，任何一方在向另一方提前</w:t>
      </w:r>
      <w:r>
        <w:rPr>
          <w:rFonts w:hint="eastAsia" w:ascii="宋体" w:hAnsi="宋体" w:cs="宋体"/>
          <w:color w:val="auto"/>
          <w:kern w:val="1"/>
          <w:sz w:val="28"/>
          <w:szCs w:val="28"/>
          <w:highlight w:val="none"/>
          <w:u w:val="single"/>
        </w:rPr>
        <w:t xml:space="preserve">    </w:t>
      </w:r>
      <w:r>
        <w:rPr>
          <w:rFonts w:hint="eastAsia" w:ascii="宋体" w:hAnsi="宋体" w:cs="宋体"/>
          <w:color w:val="auto"/>
          <w:kern w:val="1"/>
          <w:sz w:val="28"/>
          <w:szCs w:val="28"/>
          <w:highlight w:val="none"/>
        </w:rPr>
        <w:t>天发出书面通知之后，可以解除本合同。</w:t>
      </w:r>
    </w:p>
    <w:p>
      <w:pPr>
        <w:spacing w:line="360" w:lineRule="auto"/>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11.违约责任</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kern w:val="1"/>
          <w:sz w:val="28"/>
          <w:szCs w:val="28"/>
          <w:highlight w:val="none"/>
        </w:rPr>
        <w:t xml:space="preserve">11.1 </w:t>
      </w:r>
      <w:r>
        <w:rPr>
          <w:rFonts w:hint="eastAsia" w:ascii="宋体" w:hAnsi="宋体" w:cs="宋体"/>
          <w:color w:val="auto"/>
          <w:sz w:val="28"/>
          <w:szCs w:val="28"/>
          <w:highlight w:val="none"/>
        </w:rPr>
        <w:t>如果乙方有下述违约行为，在不妨碍甲方其它救济手段的情况下，甲方可以向乙方发出书面违约通知，全部或部分地终止合同，并要求乙方</w:t>
      </w:r>
      <w:r>
        <w:rPr>
          <w:rFonts w:hint="eastAsia" w:ascii="宋体" w:hAnsi="宋体" w:cs="宋体"/>
          <w:color w:val="auto"/>
          <w:kern w:val="1"/>
          <w:sz w:val="28"/>
          <w:szCs w:val="28"/>
          <w:highlight w:val="none"/>
        </w:rPr>
        <w:t>承担合同总金额的</w:t>
      </w:r>
      <w:r>
        <w:rPr>
          <w:rFonts w:hint="eastAsia" w:ascii="宋体" w:hAnsi="宋体" w:cs="宋体"/>
          <w:color w:val="auto"/>
          <w:kern w:val="1"/>
          <w:sz w:val="28"/>
          <w:szCs w:val="28"/>
          <w:highlight w:val="none"/>
          <w:u w:val="single"/>
        </w:rPr>
        <w:t xml:space="preserve">   %</w:t>
      </w:r>
      <w:r>
        <w:rPr>
          <w:rFonts w:hint="eastAsia" w:ascii="宋体" w:hAnsi="宋体" w:cs="宋体"/>
          <w:color w:val="auto"/>
          <w:kern w:val="1"/>
          <w:sz w:val="28"/>
          <w:szCs w:val="28"/>
          <w:highlight w:val="none"/>
        </w:rPr>
        <w:t>的违约金</w:t>
      </w:r>
      <w:r>
        <w:rPr>
          <w:rFonts w:hint="eastAsia" w:ascii="宋体" w:hAnsi="宋体" w:cs="宋体"/>
          <w:color w:val="auto"/>
          <w:sz w:val="28"/>
          <w:szCs w:val="28"/>
          <w:highlight w:val="none"/>
        </w:rPr>
        <w:t>。</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11.1.1 乙方在合同规定的服务期间后_</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__日内仍履行服务； </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11.1.2 乙方未能履行合同项下任何其它义务，并且在收到甲方违约通知后_</w:t>
      </w:r>
      <w:r>
        <w:rPr>
          <w:rFonts w:hint="eastAsia" w:ascii="宋体" w:hAnsi="宋体" w:cs="宋体"/>
          <w:color w:val="auto"/>
          <w:sz w:val="28"/>
          <w:szCs w:val="28"/>
          <w:highlight w:val="none"/>
          <w:u w:val="single"/>
        </w:rPr>
        <w:t>_ _</w:t>
      </w:r>
      <w:r>
        <w:rPr>
          <w:rFonts w:hint="eastAsia" w:ascii="宋体" w:hAnsi="宋体" w:cs="宋体"/>
          <w:color w:val="auto"/>
          <w:sz w:val="28"/>
          <w:szCs w:val="28"/>
          <w:highlight w:val="none"/>
        </w:rPr>
        <w:t>_日内仍未能对其违约行为做出补救。</w:t>
      </w:r>
    </w:p>
    <w:p>
      <w:pPr>
        <w:spacing w:line="360" w:lineRule="auto"/>
        <w:ind w:firstLine="480"/>
        <w:rPr>
          <w:rFonts w:ascii="宋体" w:hAnsi="宋体" w:cs="宋体"/>
          <w:color w:val="auto"/>
          <w:kern w:val="1"/>
          <w:sz w:val="28"/>
          <w:szCs w:val="28"/>
          <w:highlight w:val="none"/>
        </w:rPr>
      </w:pPr>
      <w:r>
        <w:rPr>
          <w:rFonts w:hint="eastAsia" w:ascii="宋体" w:hAnsi="宋体" w:cs="宋体"/>
          <w:color w:val="auto"/>
          <w:sz w:val="28"/>
          <w:szCs w:val="28"/>
          <w:highlight w:val="none"/>
        </w:rPr>
        <w:t xml:space="preserve">11.2  </w:t>
      </w:r>
      <w:r>
        <w:rPr>
          <w:rFonts w:hint="eastAsia" w:ascii="宋体" w:hAnsi="宋体" w:cs="宋体"/>
          <w:color w:val="auto"/>
          <w:kern w:val="1"/>
          <w:sz w:val="28"/>
          <w:szCs w:val="28"/>
          <w:highlight w:val="none"/>
        </w:rPr>
        <w:t>由于乙方原因未能按期向甲方交付验收合格的“服务”时，每逾1天，乙方向甲方支付合同金额</w:t>
      </w:r>
      <w:r>
        <w:rPr>
          <w:rFonts w:hint="eastAsia" w:ascii="宋体" w:hAnsi="宋体" w:cs="宋体"/>
          <w:color w:val="auto"/>
          <w:kern w:val="1"/>
          <w:sz w:val="28"/>
          <w:szCs w:val="28"/>
          <w:highlight w:val="none"/>
          <w:u w:val="single"/>
        </w:rPr>
        <w:t xml:space="preserve">    %</w:t>
      </w:r>
      <w:r>
        <w:rPr>
          <w:rFonts w:hint="eastAsia" w:ascii="宋体" w:hAnsi="宋体" w:cs="宋体"/>
          <w:color w:val="auto"/>
          <w:kern w:val="1"/>
          <w:sz w:val="28"/>
          <w:szCs w:val="28"/>
          <w:highlight w:val="none"/>
        </w:rPr>
        <w:t>的违约金。</w:t>
      </w:r>
    </w:p>
    <w:p>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11.3  在甲方全部或部分终止合同的情况下，甲方可以以适当的条件取得与未按合同规定交付的设备和/或服务，乙方应承担甲方由此发生的额外费用。</w:t>
      </w:r>
    </w:p>
    <w:p>
      <w:pPr>
        <w:spacing w:line="360" w:lineRule="auto"/>
        <w:ind w:firstLine="480"/>
        <w:rPr>
          <w:rFonts w:ascii="宋体" w:hAnsi="宋体" w:cs="宋体"/>
          <w:color w:val="auto"/>
          <w:kern w:val="1"/>
          <w:sz w:val="28"/>
          <w:szCs w:val="28"/>
          <w:highlight w:val="none"/>
        </w:rPr>
      </w:pPr>
      <w:r>
        <w:rPr>
          <w:rFonts w:hint="eastAsia" w:ascii="宋体" w:hAnsi="宋体" w:cs="宋体"/>
          <w:color w:val="auto"/>
          <w:sz w:val="28"/>
          <w:szCs w:val="28"/>
          <w:highlight w:val="none"/>
        </w:rPr>
        <w:t>11.4</w:t>
      </w:r>
      <w:r>
        <w:rPr>
          <w:rFonts w:hint="eastAsia" w:ascii="宋体" w:hAnsi="宋体" w:cs="宋体"/>
          <w:color w:val="auto"/>
          <w:kern w:val="1"/>
          <w:sz w:val="28"/>
          <w:szCs w:val="28"/>
          <w:highlight w:val="none"/>
        </w:rPr>
        <w:t>合同签订后，双方均不得无故更改或终止合同。若因一方原因而导致合同无法继续履行，违约方应赔偿因此而给守约方带来的损失，并承担合同金额的</w:t>
      </w:r>
      <w:r>
        <w:rPr>
          <w:rFonts w:hint="eastAsia" w:ascii="宋体" w:hAnsi="宋体" w:cs="宋体"/>
          <w:color w:val="auto"/>
          <w:kern w:val="1"/>
          <w:sz w:val="28"/>
          <w:szCs w:val="28"/>
          <w:highlight w:val="none"/>
          <w:u w:val="single"/>
        </w:rPr>
        <w:t xml:space="preserve">   %</w:t>
      </w:r>
      <w:r>
        <w:rPr>
          <w:rFonts w:hint="eastAsia" w:ascii="宋体" w:hAnsi="宋体" w:cs="宋体"/>
          <w:color w:val="auto"/>
          <w:kern w:val="1"/>
          <w:sz w:val="28"/>
          <w:szCs w:val="28"/>
          <w:highlight w:val="none"/>
        </w:rPr>
        <w:t>的违约金。</w:t>
      </w:r>
    </w:p>
    <w:p>
      <w:pPr>
        <w:spacing w:line="360" w:lineRule="auto"/>
        <w:ind w:firstLine="479"/>
        <w:rPr>
          <w:rFonts w:ascii="宋体" w:hAnsi="宋体" w:cs="宋体"/>
          <w:color w:val="auto"/>
          <w:kern w:val="1"/>
          <w:sz w:val="28"/>
          <w:szCs w:val="28"/>
          <w:highlight w:val="none"/>
        </w:rPr>
      </w:pPr>
      <w:r>
        <w:rPr>
          <w:rFonts w:hint="eastAsia" w:ascii="宋体" w:hAnsi="宋体" w:cs="宋体"/>
          <w:b/>
          <w:color w:val="auto"/>
          <w:kern w:val="1"/>
          <w:sz w:val="28"/>
          <w:szCs w:val="28"/>
          <w:highlight w:val="none"/>
        </w:rPr>
        <w:t>12.</w:t>
      </w:r>
      <w:r>
        <w:rPr>
          <w:rFonts w:hint="eastAsia" w:ascii="宋体" w:hAnsi="宋体" w:cs="宋体"/>
          <w:color w:val="auto"/>
          <w:kern w:val="1"/>
          <w:sz w:val="28"/>
          <w:szCs w:val="28"/>
          <w:highlight w:val="none"/>
        </w:rPr>
        <w:t>公开</w:t>
      </w:r>
    </w:p>
    <w:p>
      <w:pPr>
        <w:spacing w:line="360" w:lineRule="auto"/>
        <w:ind w:firstLine="478"/>
        <w:rPr>
          <w:rFonts w:ascii="宋体" w:hAnsi="宋体" w:cs="宋体"/>
          <w:color w:val="auto"/>
          <w:kern w:val="1"/>
          <w:sz w:val="28"/>
          <w:szCs w:val="28"/>
          <w:highlight w:val="none"/>
        </w:rPr>
      </w:pPr>
      <w:r>
        <w:rPr>
          <w:rFonts w:hint="eastAsia" w:ascii="宋体" w:hAnsi="宋体" w:cs="宋体"/>
          <w:color w:val="auto"/>
          <w:kern w:val="1"/>
          <w:sz w:val="28"/>
          <w:szCs w:val="28"/>
          <w:highlight w:val="none"/>
        </w:rPr>
        <w:t>任何一方，如果没有得到另一方的书面同意，不得对外公布任何与本合同有关的消息。</w:t>
      </w:r>
    </w:p>
    <w:p>
      <w:pPr>
        <w:spacing w:line="360" w:lineRule="auto"/>
        <w:ind w:firstLine="562" w:firstLineChars="200"/>
        <w:outlineLvl w:val="0"/>
        <w:rPr>
          <w:rFonts w:ascii="宋体" w:hAnsi="宋体" w:cs="宋体"/>
          <w:b/>
          <w:color w:val="auto"/>
          <w:sz w:val="28"/>
          <w:szCs w:val="28"/>
          <w:highlight w:val="none"/>
        </w:rPr>
      </w:pPr>
      <w:r>
        <w:rPr>
          <w:rFonts w:hint="eastAsia" w:ascii="宋体" w:hAnsi="宋体" w:cs="宋体"/>
          <w:b/>
          <w:color w:val="auto"/>
          <w:sz w:val="28"/>
          <w:szCs w:val="28"/>
          <w:highlight w:val="none"/>
        </w:rPr>
        <w:t>13.合同的份数及其它</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13.1.本合同一式</w:t>
      </w:r>
      <w:r>
        <w:rPr>
          <w:rFonts w:hint="eastAsia" w:ascii="宋体" w:hAnsi="宋体" w:cs="宋体"/>
          <w:color w:val="auto"/>
          <w:sz w:val="28"/>
          <w:szCs w:val="28"/>
          <w:highlight w:val="none"/>
          <w:u w:val="single"/>
        </w:rPr>
        <w:t xml:space="preserve">  叁 </w:t>
      </w:r>
      <w:r>
        <w:rPr>
          <w:rFonts w:hint="eastAsia" w:ascii="宋体" w:hAnsi="宋体" w:cs="宋体"/>
          <w:color w:val="auto"/>
          <w:sz w:val="28"/>
          <w:szCs w:val="28"/>
          <w:highlight w:val="none"/>
        </w:rPr>
        <w:t>份，甲方持</w:t>
      </w:r>
      <w:r>
        <w:rPr>
          <w:rFonts w:hint="eastAsia" w:ascii="宋体" w:hAnsi="宋体" w:cs="宋体"/>
          <w:color w:val="auto"/>
          <w:sz w:val="28"/>
          <w:szCs w:val="28"/>
          <w:highlight w:val="none"/>
          <w:u w:val="single"/>
        </w:rPr>
        <w:t xml:space="preserve">  贰 </w:t>
      </w:r>
      <w:r>
        <w:rPr>
          <w:rFonts w:hint="eastAsia" w:ascii="宋体" w:hAnsi="宋体" w:cs="宋体"/>
          <w:color w:val="auto"/>
          <w:sz w:val="28"/>
          <w:szCs w:val="28"/>
          <w:highlight w:val="none"/>
        </w:rPr>
        <w:t>份，乙方持</w:t>
      </w:r>
      <w:r>
        <w:rPr>
          <w:rFonts w:hint="eastAsia" w:ascii="宋体" w:hAnsi="宋体" w:cs="宋体"/>
          <w:color w:val="auto"/>
          <w:sz w:val="28"/>
          <w:szCs w:val="28"/>
          <w:highlight w:val="none"/>
          <w:u w:val="single"/>
        </w:rPr>
        <w:t xml:space="preserve">  壹 </w:t>
      </w:r>
      <w:r>
        <w:rPr>
          <w:rFonts w:hint="eastAsia" w:ascii="宋体" w:hAnsi="宋体" w:cs="宋体"/>
          <w:color w:val="auto"/>
          <w:sz w:val="28"/>
          <w:szCs w:val="28"/>
          <w:highlight w:val="none"/>
        </w:rPr>
        <w:t>份，具有同等法律效力。</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13.2.本合同未尽事宜，应由双方友好协商解决。如需对本合同及其附件作任何修改或补充，须由双方以书面做出为有效。修改或补充文件与本合同有不一致的，以修改或补充文件为准。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13.3.未经合同另一方书面同意，一方不得转让本合同项下的任何权利和义务。</w:t>
      </w:r>
    </w:p>
    <w:p>
      <w:pPr>
        <w:spacing w:line="360" w:lineRule="auto"/>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13.4.本合同自双方法定代表人或其委托代理人签字盖章之日起生效，至验收完毕付清全部合同款时终止。</w:t>
      </w:r>
    </w:p>
    <w:p>
      <w:pPr>
        <w:spacing w:line="360" w:lineRule="auto"/>
        <w:outlineLvl w:val="0"/>
        <w:rPr>
          <w:rFonts w:ascii="宋体" w:hAnsi="宋体" w:cs="宋体"/>
          <w:b/>
          <w:color w:val="auto"/>
          <w:sz w:val="28"/>
          <w:szCs w:val="28"/>
          <w:highlight w:val="none"/>
        </w:rPr>
      </w:pP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甲方（公章）：                       乙方（公章）：</w:t>
      </w: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法定代表人：                        法定代表人：</w:t>
      </w: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委托代理人：                        委托代理人：</w:t>
      </w: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开户银行：                          开户银行：</w:t>
      </w: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账号：                              账号：</w:t>
      </w:r>
    </w:p>
    <w:p>
      <w:pPr>
        <w:spacing w:line="360" w:lineRule="auto"/>
        <w:jc w:val="left"/>
        <w:rPr>
          <w:rFonts w:ascii="宋体" w:hAnsi="宋体" w:cs="宋体"/>
          <w:color w:val="auto"/>
          <w:sz w:val="28"/>
          <w:szCs w:val="28"/>
          <w:highlight w:val="none"/>
        </w:rPr>
      </w:pPr>
    </w:p>
    <w:p>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签订日期：</w:t>
      </w:r>
    </w:p>
    <w:p>
      <w:pPr>
        <w:widowControl/>
        <w:spacing w:line="360" w:lineRule="auto"/>
        <w:rPr>
          <w:rFonts w:ascii="宋体" w:hAnsi="宋体" w:cs="宋体"/>
          <w:color w:val="auto"/>
          <w:sz w:val="28"/>
          <w:szCs w:val="28"/>
          <w:highlight w:val="none"/>
        </w:rPr>
        <w:sectPr>
          <w:footerReference r:id="rId14" w:type="first"/>
          <w:headerReference r:id="rId12" w:type="default"/>
          <w:footerReference r:id="rId13" w:type="default"/>
          <w:pgSz w:w="11906" w:h="16838"/>
          <w:pgMar w:top="1474" w:right="1134" w:bottom="1474" w:left="1104" w:header="850" w:footer="1587" w:gutter="170"/>
          <w:pgNumType w:start="1"/>
          <w:cols w:space="708" w:num="1"/>
          <w:titlePg/>
          <w:docGrid w:type="lines" w:linePitch="309" w:charSpace="0"/>
        </w:sectPr>
      </w:pPr>
      <w:r>
        <w:rPr>
          <w:rFonts w:hint="eastAsia" w:ascii="宋体" w:hAnsi="宋体" w:cs="宋体"/>
          <w:color w:val="auto"/>
          <w:sz w:val="28"/>
          <w:szCs w:val="28"/>
          <w:highlight w:val="none"/>
        </w:rPr>
        <w:t>签订地点：</w:t>
      </w:r>
    </w:p>
    <w:p>
      <w:pPr>
        <w:widowControl/>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第六章 </w:t>
      </w:r>
      <w:bookmarkStart w:id="88" w:name="_Toc1545"/>
      <w:r>
        <w:rPr>
          <w:rFonts w:hint="eastAsia" w:ascii="宋体" w:hAnsi="宋体" w:cs="宋体"/>
          <w:b/>
          <w:color w:val="auto"/>
          <w:sz w:val="32"/>
          <w:szCs w:val="32"/>
          <w:highlight w:val="none"/>
        </w:rPr>
        <w:t>磋商响应文件格式</w:t>
      </w:r>
      <w:bookmarkEnd w:id="72"/>
      <w:bookmarkEnd w:id="76"/>
      <w:bookmarkEnd w:id="77"/>
      <w:bookmarkEnd w:id="88"/>
    </w:p>
    <w:p>
      <w:pPr>
        <w:ind w:left="560"/>
        <w:rPr>
          <w:rFonts w:ascii="宋体" w:hAnsi="宋体" w:cs="宋体"/>
          <w:color w:val="auto"/>
          <w:sz w:val="24"/>
          <w:highlight w:val="none"/>
        </w:rPr>
      </w:pPr>
      <w:r>
        <w:rPr>
          <w:rFonts w:hint="eastAsia" w:ascii="宋体" w:hAnsi="宋体" w:cs="宋体"/>
          <w:color w:val="auto"/>
          <w:sz w:val="32"/>
          <w:szCs w:val="32"/>
          <w:highlight w:val="none"/>
        </w:rPr>
        <w:t>封面</w:t>
      </w:r>
      <w:bookmarkStart w:id="89" w:name="_Toc277254058"/>
    </w:p>
    <w:p>
      <w:pPr>
        <w:spacing w:line="500" w:lineRule="exact"/>
        <w:jc w:val="center"/>
        <w:rPr>
          <w:rFonts w:ascii="宋体" w:hAnsi="宋体" w:cs="宋体"/>
          <w:b/>
          <w:bCs/>
          <w:color w:val="auto"/>
          <w:sz w:val="36"/>
          <w:szCs w:val="36"/>
          <w:highlight w:val="none"/>
        </w:rPr>
      </w:pPr>
    </w:p>
    <w:p>
      <w:pPr>
        <w:spacing w:line="540" w:lineRule="exact"/>
        <w:jc w:val="center"/>
        <w:rPr>
          <w:rFonts w:ascii="宋体" w:hAnsi="宋体" w:cs="宋体"/>
          <w:b/>
          <w:bCs/>
          <w:color w:val="auto"/>
          <w:sz w:val="36"/>
          <w:szCs w:val="36"/>
          <w:highlight w:val="none"/>
        </w:rPr>
      </w:pPr>
    </w:p>
    <w:p>
      <w:pPr>
        <w:rPr>
          <w:rFonts w:ascii="宋体" w:hAnsi="宋体" w:cs="宋体"/>
          <w:color w:val="auto"/>
          <w:sz w:val="48"/>
          <w:szCs w:val="48"/>
          <w:highlight w:val="none"/>
        </w:rPr>
      </w:pPr>
    </w:p>
    <w:p>
      <w:pPr>
        <w:jc w:val="center"/>
        <w:rPr>
          <w:rFonts w:ascii="宋体" w:hAnsi="宋体" w:cs="宋体"/>
          <w:color w:val="auto"/>
          <w:sz w:val="48"/>
          <w:szCs w:val="48"/>
          <w:highlight w:val="none"/>
        </w:rPr>
      </w:pPr>
    </w:p>
    <w:p>
      <w:pPr>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 </w:t>
      </w:r>
      <w:r>
        <w:rPr>
          <w:rFonts w:hint="eastAsia" w:ascii="宋体" w:hAnsi="宋体" w:cs="宋体"/>
          <w:color w:val="auto"/>
          <w:sz w:val="48"/>
          <w:szCs w:val="48"/>
          <w:highlight w:val="none"/>
          <w:lang w:val="en-US" w:eastAsia="zh-CN"/>
        </w:rPr>
        <w:t xml:space="preserve">磋 商 </w:t>
      </w:r>
      <w:r>
        <w:rPr>
          <w:rFonts w:hint="eastAsia" w:ascii="宋体" w:hAnsi="宋体" w:cs="宋体"/>
          <w:color w:val="auto"/>
          <w:sz w:val="48"/>
          <w:szCs w:val="48"/>
          <w:highlight w:val="none"/>
        </w:rPr>
        <w:t>响 应 文 件</w:t>
      </w:r>
    </w:p>
    <w:p>
      <w:pPr>
        <w:jc w:val="center"/>
        <w:rPr>
          <w:rFonts w:ascii="宋体" w:hAnsi="宋体" w:cs="宋体"/>
          <w:color w:val="auto"/>
          <w:sz w:val="32"/>
          <w:szCs w:val="32"/>
          <w:highlight w:val="none"/>
        </w:rPr>
      </w:pPr>
    </w:p>
    <w:p>
      <w:pPr>
        <w:jc w:val="center"/>
        <w:rPr>
          <w:rFonts w:ascii="宋体" w:hAnsi="宋体" w:cs="宋体"/>
          <w:color w:val="auto"/>
          <w:sz w:val="32"/>
          <w:szCs w:val="32"/>
          <w:highlight w:val="none"/>
        </w:rPr>
      </w:pPr>
    </w:p>
    <w:p>
      <w:pPr>
        <w:rPr>
          <w:rFonts w:ascii="宋体" w:hAnsi="宋体" w:cs="宋体"/>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项目名称：</w:t>
      </w:r>
      <w:r>
        <w:rPr>
          <w:rFonts w:hint="eastAsia" w:ascii="宋体" w:hAnsi="宋体" w:cs="宋体"/>
          <w:kern w:val="0"/>
          <w:sz w:val="28"/>
          <w:szCs w:val="28"/>
          <w:lang w:val="en-US" w:eastAsia="zh-CN" w:bidi="ar-SA"/>
        </w:rPr>
        <w:t>瑞丽市妇幼保健院保安、保洁物业管理服务采购项目</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交易编号：RLCG（磋）2026-00</w:t>
      </w:r>
      <w:r>
        <w:rPr>
          <w:rFonts w:hint="eastAsia" w:ascii="宋体" w:hAnsi="宋体" w:cs="宋体"/>
          <w:kern w:val="0"/>
          <w:sz w:val="28"/>
          <w:szCs w:val="28"/>
          <w:lang w:val="en-US" w:eastAsia="zh-CN" w:bidi="ar-SA"/>
        </w:rPr>
        <w:t>4</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供应商全称(加盖电子公章)：</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地    址：</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 系 人：</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联系电话：</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邮    箱：</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日    期：</w:t>
      </w:r>
    </w:p>
    <w:p>
      <w:pPr>
        <w:keepNext w:val="0"/>
        <w:keepLines w:val="0"/>
        <w:pageBreakBefore w:val="0"/>
        <w:widowControl w:val="0"/>
        <w:kinsoku/>
        <w:wordWrap/>
        <w:overflowPunct/>
        <w:topLinePunct w:val="0"/>
        <w:autoSpaceDE/>
        <w:autoSpaceDN/>
        <w:bidi w:val="0"/>
        <w:adjustRightInd/>
        <w:snapToGrid/>
        <w:spacing w:after="154" w:afterLines="50" w:line="520" w:lineRule="exact"/>
        <w:jc w:val="both"/>
        <w:textAlignment w:val="auto"/>
        <w:rPr>
          <w:rFonts w:hint="eastAsia" w:ascii="宋体" w:hAnsi="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after="154" w:afterLines="50" w:line="520" w:lineRule="exact"/>
        <w:jc w:val="center"/>
        <w:textAlignment w:val="auto"/>
        <w:rPr>
          <w:rFonts w:hint="eastAsia" w:ascii="宋体" w:hAnsi="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after="154" w:afterLines="50" w:line="520" w:lineRule="exact"/>
        <w:jc w:val="center"/>
        <w:textAlignment w:val="auto"/>
        <w:rPr>
          <w:rFonts w:hint="eastAsia" w:ascii="宋体" w:hAnsi="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after="154" w:afterLines="50" w:line="520" w:lineRule="exact"/>
        <w:jc w:val="center"/>
        <w:textAlignment w:val="auto"/>
        <w:rPr>
          <w:rFonts w:ascii="宋体" w:hAnsi="宋体" w:cs="宋体"/>
          <w:b/>
          <w:color w:val="auto"/>
          <w:sz w:val="28"/>
          <w:szCs w:val="28"/>
          <w:highlight w:val="none"/>
        </w:rPr>
      </w:pPr>
      <w:r>
        <w:rPr>
          <w:rFonts w:hint="eastAsia" w:ascii="宋体" w:hAnsi="宋体" w:cs="宋体"/>
          <w:b/>
          <w:bCs/>
          <w:color w:val="auto"/>
          <w:sz w:val="30"/>
          <w:szCs w:val="30"/>
          <w:highlight w:val="none"/>
        </w:rPr>
        <w:t xml:space="preserve">第一部分 </w:t>
      </w:r>
      <w:bookmarkStart w:id="90" w:name="_Toc26907"/>
      <w:r>
        <w:rPr>
          <w:rFonts w:hint="eastAsia" w:ascii="宋体" w:hAnsi="宋体" w:cs="宋体"/>
          <w:b/>
          <w:bCs/>
          <w:color w:val="auto"/>
          <w:sz w:val="30"/>
          <w:szCs w:val="30"/>
          <w:highlight w:val="none"/>
        </w:rPr>
        <w:t>资格</w:t>
      </w:r>
      <w:bookmarkEnd w:id="90"/>
      <w:r>
        <w:rPr>
          <w:rFonts w:hint="eastAsia" w:ascii="宋体" w:hAnsi="宋体" w:cs="宋体"/>
          <w:b/>
          <w:bCs/>
          <w:color w:val="auto"/>
          <w:sz w:val="30"/>
          <w:szCs w:val="30"/>
          <w:highlight w:val="none"/>
        </w:rPr>
        <w:t>文件格式</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bCs/>
          <w:color w:val="auto"/>
          <w:sz w:val="28"/>
          <w:szCs w:val="28"/>
          <w:highlight w:val="none"/>
        </w:rPr>
      </w:pPr>
      <w:r>
        <w:rPr>
          <w:rFonts w:hint="eastAsia" w:ascii="宋体" w:hAnsi="宋体" w:cs="宋体"/>
          <w:b/>
          <w:color w:val="auto"/>
          <w:sz w:val="28"/>
          <w:szCs w:val="28"/>
          <w:highlight w:val="none"/>
        </w:rPr>
        <w:t>一、资格证明文件（供应商需提供以下资料并加盖单位公章）</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（一）具有独立承担民事责任的能力：提供自然人有效身份证明或法人或者其他组织有效的营业执照等证明文件。</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（二）具有良好的商业信誉和健全的财务会计制度：提供证明材料，内容可为以下两者之一：①提供202</w:t>
      </w:r>
      <w:r>
        <w:rPr>
          <w:rFonts w:hint="eastAsia" w:ascii="宋体" w:hAnsi="宋体" w:cs="宋体"/>
          <w:kern w:val="0"/>
          <w:sz w:val="28"/>
          <w:szCs w:val="28"/>
          <w:lang w:val="en-US" w:eastAsia="zh-CN" w:bidi="ar-SA"/>
        </w:rPr>
        <w:t>4</w:t>
      </w:r>
      <w:r>
        <w:rPr>
          <w:rFonts w:hint="eastAsia" w:ascii="宋体" w:hAnsi="宋体" w:eastAsia="宋体" w:cs="宋体"/>
          <w:kern w:val="0"/>
          <w:sz w:val="28"/>
          <w:szCs w:val="28"/>
          <w:lang w:val="en-US" w:eastAsia="zh-CN" w:bidi="ar-SA"/>
        </w:rPr>
        <w:t>年或202</w:t>
      </w:r>
      <w:r>
        <w:rPr>
          <w:rFonts w:hint="eastAsia" w:ascii="宋体" w:hAnsi="宋体" w:cs="宋体"/>
          <w:kern w:val="0"/>
          <w:sz w:val="28"/>
          <w:szCs w:val="28"/>
          <w:lang w:val="en-US" w:eastAsia="zh-CN" w:bidi="ar-SA"/>
        </w:rPr>
        <w:t>5</w:t>
      </w:r>
      <w:r>
        <w:rPr>
          <w:rFonts w:hint="eastAsia" w:ascii="宋体" w:hAnsi="宋体" w:eastAsia="宋体" w:cs="宋体"/>
          <w:kern w:val="0"/>
          <w:sz w:val="28"/>
          <w:szCs w:val="28"/>
          <w:lang w:val="en-US" w:eastAsia="zh-CN" w:bidi="ar-SA"/>
        </w:rPr>
        <w:t>年的财务状况报告（至少包含审计报告、资产负债表、利润表、现金流量表），成立未满1年或成立至今未产生经营活动的投标人提供自成立至今的财务报表或财务情况说明；②提供自投标文件提交截止时间前三个月内基本开户银行出具的资信证明。</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（三）税收和社保要求：提供202</w:t>
      </w:r>
      <w:r>
        <w:rPr>
          <w:rFonts w:hint="eastAsia" w:ascii="宋体" w:hAnsi="宋体" w:cs="宋体"/>
          <w:kern w:val="0"/>
          <w:sz w:val="28"/>
          <w:szCs w:val="28"/>
          <w:lang w:val="en-US" w:eastAsia="zh-CN" w:bidi="ar-SA"/>
        </w:rPr>
        <w:t>5</w:t>
      </w:r>
      <w:r>
        <w:rPr>
          <w:rFonts w:hint="eastAsia" w:ascii="宋体" w:hAnsi="宋体" w:eastAsia="宋体" w:cs="宋体"/>
          <w:kern w:val="0"/>
          <w:sz w:val="28"/>
          <w:szCs w:val="28"/>
          <w:lang w:val="en-US" w:eastAsia="zh-CN" w:bidi="ar-SA"/>
        </w:rPr>
        <w:t>年1月至今任意一个月依法缴纳税收和社会保障资金的缴纳凭证（如公司成立未满一个月的提供成立以来的税收和社会保障资金缴纳凭证或相关情况说明；依法免税或不需要缴纳社会保障资金的投标响应人，应提供相应文件或情况说明证明其依法免税或不需要缴纳社会保障资金）的材料。</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四）无重大违法记录声明：参与本次政府采购活动前三年内（自本项目公告发布之日起前3年内），在经营活动中没有重大违法记录（重大违法记录是指投标响应人因违法经营受到刑事处罚或者责令停产停业、吊销许可证或者执照、较大数额罚款等行政处罚）的书面声明。</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（五）专业技术能力：提供具备履行合同所必需的专业技术能力的证明材料或承诺书。</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六）信誉要求：①在“信用中国http://www.creditchina.gov.cn”、中未被列入：失信被执行人、重大税收违法案件当事人名单、政府采购严重违法失信行为；②在“中国政府采购网http://www.ccgp.gov.cn/”中未被列入：政府采购严重违法失信行为记录名单；（注：以上网站查询均由采购人或采购代理机构在资格评审时查询，投标人无须提供，若供应商有不良信誉，视为不满足资格要求。）</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注意：以上证明材料须提供完整</w:t>
      </w:r>
    </w:p>
    <w:p>
      <w:pPr>
        <w:pStyle w:val="2"/>
        <w:ind w:firstLine="0" w:firstLineChars="0"/>
        <w:jc w:val="center"/>
        <w:rPr>
          <w:b/>
          <w:bCs/>
          <w:color w:val="auto"/>
          <w:sz w:val="28"/>
          <w:szCs w:val="28"/>
          <w:highlight w:val="none"/>
        </w:rPr>
      </w:pPr>
      <w:r>
        <w:rPr>
          <w:rFonts w:hint="eastAsia" w:ascii="宋体" w:hAnsi="宋体" w:cs="宋体"/>
          <w:b/>
          <w:color w:val="auto"/>
          <w:kern w:val="2"/>
          <w:sz w:val="28"/>
          <w:szCs w:val="28"/>
          <w:highlight w:val="none"/>
        </w:rPr>
        <w:t>二、小微企业证明材料</w:t>
      </w:r>
    </w:p>
    <w:p>
      <w:pPr>
        <w:widowControl/>
        <w:wordWrap w:val="0"/>
        <w:jc w:val="center"/>
        <w:rPr>
          <w:rFonts w:ascii="宋体" w:hAnsi="宋体" w:cs="宋体"/>
          <w:color w:val="auto"/>
          <w:sz w:val="24"/>
          <w:highlight w:val="none"/>
        </w:rPr>
      </w:pPr>
      <w:r>
        <w:rPr>
          <w:rFonts w:hint="eastAsia" w:ascii="宋体" w:hAnsi="宋体"/>
          <w:b/>
          <w:color w:val="auto"/>
          <w:sz w:val="28"/>
          <w:szCs w:val="28"/>
          <w:highlight w:val="none"/>
        </w:rPr>
        <w:t>中小企业声明函</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本公司郑重声明，根据《政府采购促进中小企业发展管理办法》（财库﹝2020﹞46号）的规定，本公司参加（单位名称）的（项目名称）采购活动，</w:t>
      </w:r>
      <w:r>
        <w:rPr>
          <w:rFonts w:hint="eastAsia" w:ascii="宋体" w:hAnsi="宋体" w:cs="宋体"/>
          <w:kern w:val="0"/>
          <w:sz w:val="28"/>
          <w:szCs w:val="28"/>
          <w:lang w:val="en-US" w:eastAsia="zh-CN" w:bidi="ar-SA"/>
        </w:rPr>
        <w:t>服务</w:t>
      </w:r>
      <w:r>
        <w:rPr>
          <w:rFonts w:hint="eastAsia" w:ascii="宋体" w:hAnsi="宋体" w:eastAsia="宋体" w:cs="宋体"/>
          <w:kern w:val="0"/>
          <w:sz w:val="28"/>
          <w:szCs w:val="28"/>
          <w:lang w:val="en-US" w:eastAsia="zh-CN" w:bidi="ar-SA"/>
        </w:rPr>
        <w:t>全部由符合政策要求的中小企业承接。具体情况如下：</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1.（标的名称），属于（采购文件中明确的所属行业）；承接企业为（企业名称），从业人员     人，营业收入为     万元，资产总额为     万元，属于（中型企业、小型企业、微型企业）；</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2.（标的名称），属于（采购文件中明确的所属行业）；承接企业为（企业名称），从业人员     人，营业收入为     万元，资产总额为     万元，属于（中型企业、小型企业、微型企业）；</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本企业对上述声明内容的真实性负责。如有虚假，将依法承担相应责任。</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                                              企业名称（盖章）：</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                                  日期：</w:t>
      </w:r>
    </w:p>
    <w:p>
      <w:pPr>
        <w:pStyle w:val="4"/>
        <w:ind w:firstLine="0" w:firstLineChars="0"/>
        <w:rPr>
          <w:rFonts w:ascii="宋体" w:hAnsi="宋体" w:cs="宋体"/>
          <w:b/>
          <w:bCs/>
          <w:color w:val="auto"/>
          <w:sz w:val="28"/>
          <w:szCs w:val="28"/>
          <w:highlight w:val="none"/>
        </w:rPr>
      </w:pPr>
      <w:r>
        <w:rPr>
          <w:rFonts w:ascii="宋体" w:hAnsi="宋体" w:cs="宋体"/>
          <w:b/>
          <w:bCs/>
          <w:color w:val="auto"/>
          <w:sz w:val="28"/>
          <w:szCs w:val="28"/>
          <w:highlight w:val="none"/>
        </w:rPr>
        <w:t>备注：第1.项的从业人员、营业收入、资产总额填报上一年度数据，无上一年度数据的新成立企业可不填报。</w:t>
      </w:r>
    </w:p>
    <w:p>
      <w:pPr>
        <w:pStyle w:val="16"/>
        <w:spacing w:line="500" w:lineRule="exact"/>
        <w:rPr>
          <w:rFonts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注：不属于中小微企业的此项不用填写</w:t>
      </w:r>
      <w:r>
        <w:rPr>
          <w:rFonts w:hint="default" w:ascii="宋体" w:hAnsi="宋体" w:eastAsia="宋体" w:cs="宋体"/>
          <w:b/>
          <w:bCs/>
          <w:color w:val="auto"/>
          <w:kern w:val="2"/>
          <w:sz w:val="28"/>
          <w:szCs w:val="28"/>
          <w:highlight w:val="none"/>
          <w:lang w:val="en-US" w:eastAsia="zh-CN" w:bidi="ar-SA"/>
        </w:rPr>
        <w:t>但必须保留《中小企业声明函》格式，并按要求在指定位置盖章。</w:t>
      </w:r>
    </w:p>
    <w:p>
      <w:pPr>
        <w:widowControl/>
        <w:wordWrap w:val="0"/>
        <w:jc w:val="center"/>
        <w:rPr>
          <w:rFonts w:hint="eastAsia" w:ascii="宋体" w:hAnsi="宋体"/>
          <w:b/>
          <w:color w:val="auto"/>
          <w:sz w:val="28"/>
          <w:szCs w:val="28"/>
          <w:highlight w:val="none"/>
        </w:rPr>
      </w:pPr>
    </w:p>
    <w:p>
      <w:pPr>
        <w:widowControl/>
        <w:wordWrap w:val="0"/>
        <w:jc w:val="center"/>
        <w:rPr>
          <w:rFonts w:hint="eastAsia" w:ascii="宋体" w:hAnsi="宋体"/>
          <w:b/>
          <w:color w:val="auto"/>
          <w:sz w:val="28"/>
          <w:szCs w:val="28"/>
          <w:highlight w:val="none"/>
        </w:rPr>
      </w:pPr>
    </w:p>
    <w:p>
      <w:pPr>
        <w:widowControl/>
        <w:wordWrap w:val="0"/>
        <w:jc w:val="center"/>
        <w:rPr>
          <w:rFonts w:hint="eastAsia" w:ascii="宋体" w:hAnsi="宋体"/>
          <w:b/>
          <w:color w:val="auto"/>
          <w:sz w:val="28"/>
          <w:szCs w:val="28"/>
          <w:highlight w:val="none"/>
        </w:rPr>
      </w:pPr>
    </w:p>
    <w:p>
      <w:pPr>
        <w:widowControl/>
        <w:wordWrap w:val="0"/>
        <w:jc w:val="center"/>
        <w:rPr>
          <w:rFonts w:hint="eastAsia" w:ascii="宋体" w:hAnsi="宋体"/>
          <w:b/>
          <w:color w:val="auto"/>
          <w:sz w:val="28"/>
          <w:szCs w:val="28"/>
          <w:highlight w:val="none"/>
        </w:rPr>
      </w:pPr>
    </w:p>
    <w:p>
      <w:pPr>
        <w:widowControl/>
        <w:wordWrap w:val="0"/>
        <w:jc w:val="center"/>
        <w:rPr>
          <w:rFonts w:ascii="宋体" w:hAnsi="宋体"/>
          <w:b/>
          <w:color w:val="auto"/>
          <w:spacing w:val="6"/>
          <w:sz w:val="28"/>
          <w:szCs w:val="28"/>
          <w:highlight w:val="none"/>
        </w:rPr>
      </w:pPr>
      <w:r>
        <w:rPr>
          <w:rFonts w:hint="eastAsia" w:ascii="宋体" w:hAnsi="宋体"/>
          <w:b/>
          <w:color w:val="auto"/>
          <w:sz w:val="28"/>
          <w:szCs w:val="28"/>
          <w:highlight w:val="none"/>
        </w:rPr>
        <w:t>残疾人福利性单位声明函</w:t>
      </w:r>
    </w:p>
    <w:p>
      <w:pPr>
        <w:wordWrap w:val="0"/>
        <w:spacing w:line="588" w:lineRule="exact"/>
        <w:rPr>
          <w:rFonts w:ascii="宋体" w:hAnsi="宋体"/>
          <w:color w:val="auto"/>
          <w:sz w:val="24"/>
          <w:highlight w:val="none"/>
        </w:rPr>
      </w:pPr>
      <w:r>
        <w:rPr>
          <w:rFonts w:hint="eastAsia" w:ascii="宋体" w:hAnsi="宋体"/>
          <w:b/>
          <w:color w:val="auto"/>
          <w:spacing w:val="6"/>
          <w:sz w:val="30"/>
          <w:szCs w:val="30"/>
          <w:highlight w:val="none"/>
        </w:rPr>
        <w:t xml:space="preserve">    </w:t>
      </w:r>
      <w:r>
        <w:rPr>
          <w:rFonts w:hint="eastAsia" w:ascii="宋体" w:hAns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 xml:space="preserve"> </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 xml:space="preserve">               单位名称（盖章）：</w:t>
      </w:r>
    </w:p>
    <w:p>
      <w:pPr>
        <w:widowControl/>
        <w:wordWrap w:val="0"/>
        <w:spacing w:line="400" w:lineRule="exact"/>
        <w:ind w:firstLine="2760" w:firstLineChars="1150"/>
        <w:rPr>
          <w:rFonts w:ascii="宋体" w:hAnsi="宋体"/>
          <w:color w:val="auto"/>
          <w:sz w:val="24"/>
          <w:highlight w:val="none"/>
        </w:rPr>
      </w:pPr>
      <w:r>
        <w:rPr>
          <w:rFonts w:hint="eastAsia" w:ascii="宋体" w:hAnsi="宋体"/>
          <w:color w:val="auto"/>
          <w:sz w:val="24"/>
          <w:highlight w:val="none"/>
        </w:rPr>
        <w:t>日  期：</w:t>
      </w:r>
    </w:p>
    <w:p>
      <w:pPr>
        <w:widowControl/>
        <w:wordWrap w:val="0"/>
        <w:spacing w:line="400" w:lineRule="exact"/>
        <w:rPr>
          <w:rFonts w:ascii="宋体" w:hAnsi="宋体"/>
          <w:color w:val="auto"/>
          <w:sz w:val="24"/>
          <w:highlight w:val="none"/>
        </w:rPr>
      </w:pPr>
      <w:r>
        <w:rPr>
          <w:rFonts w:hint="eastAsia" w:ascii="宋体" w:hAnsi="宋体"/>
          <w:color w:val="auto"/>
          <w:sz w:val="24"/>
          <w:highlight w:val="none"/>
        </w:rPr>
        <w:t xml:space="preserve"> </w:t>
      </w:r>
    </w:p>
    <w:p>
      <w:pPr>
        <w:widowControl/>
        <w:wordWrap w:val="0"/>
        <w:spacing w:line="400" w:lineRule="exact"/>
        <w:rPr>
          <w:rFonts w:ascii="宋体" w:hAnsi="宋体"/>
          <w:color w:val="auto"/>
          <w:sz w:val="24"/>
          <w:highlight w:val="none"/>
        </w:rPr>
      </w:pPr>
      <w:r>
        <w:rPr>
          <w:rFonts w:hint="eastAsia" w:ascii="宋体" w:hAnsi="宋体"/>
          <w:color w:val="auto"/>
          <w:sz w:val="24"/>
          <w:highlight w:val="none"/>
        </w:rPr>
        <w:t>注：符合条件的残疾人福利性单位在参加政府采购活动时，应当按《三部门联合发布关于促进残疾人就业政府采购政策的通知》（财库〔2017〕141 号）提供规定的《残疾人福利性单位声明函》，并对声明的真实性负责</w:t>
      </w:r>
    </w:p>
    <w:p>
      <w:pPr>
        <w:rPr>
          <w:color w:val="auto"/>
          <w:highlight w:val="none"/>
        </w:rPr>
      </w:pPr>
    </w:p>
    <w:p>
      <w:pPr>
        <w:widowControl/>
        <w:wordWrap w:val="0"/>
        <w:jc w:val="center"/>
        <w:rPr>
          <w:rFonts w:ascii="宋体" w:hAnsi="宋体"/>
          <w:color w:val="auto"/>
          <w:spacing w:val="6"/>
          <w:sz w:val="28"/>
          <w:szCs w:val="28"/>
          <w:highlight w:val="none"/>
        </w:rPr>
      </w:pPr>
      <w:r>
        <w:rPr>
          <w:rFonts w:hint="eastAsia" w:ascii="宋体" w:hAnsi="宋体"/>
          <w:b/>
          <w:color w:val="auto"/>
          <w:sz w:val="28"/>
          <w:szCs w:val="28"/>
          <w:highlight w:val="none"/>
        </w:rPr>
        <w:t>监狱企业证明文件</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 xml:space="preserve"> </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 xml:space="preserve"> </w:t>
      </w:r>
    </w:p>
    <w:p>
      <w:pPr>
        <w:widowControl/>
        <w:wordWrap w:val="0"/>
        <w:spacing w:line="400" w:lineRule="exact"/>
        <w:ind w:firstLine="470" w:firstLineChars="196"/>
        <w:rPr>
          <w:rFonts w:ascii="宋体" w:hAnsi="宋体"/>
          <w:color w:val="auto"/>
          <w:sz w:val="24"/>
          <w:highlight w:val="none"/>
        </w:rPr>
      </w:pPr>
      <w:r>
        <w:rPr>
          <w:rFonts w:hint="eastAsia" w:ascii="宋体" w:hAnsi="宋体"/>
          <w:color w:val="auto"/>
          <w:sz w:val="24"/>
          <w:highlight w:val="none"/>
        </w:rPr>
        <w:t>注：符合条件的监狱企业在参加政府采购活动时，应当按《财政部 司法部关于政府采购支持监狱企业发展有关问题的通知》（财库[2014]68 号）提供规定的《监狱企业证明文件》（扫描件加盖磋商响应人电子公章），并对提供的证明文件真实性负责。</w:t>
      </w:r>
    </w:p>
    <w:p>
      <w:pPr>
        <w:pStyle w:val="8"/>
        <w:rPr>
          <w:color w:val="auto"/>
          <w:highlight w:val="none"/>
        </w:rPr>
        <w:sectPr>
          <w:footerReference r:id="rId16" w:type="first"/>
          <w:footerReference r:id="rId15" w:type="default"/>
          <w:pgSz w:w="11906" w:h="16838"/>
          <w:pgMar w:top="1474" w:right="1134" w:bottom="1474" w:left="1104" w:header="851" w:footer="1587" w:gutter="170"/>
          <w:pgNumType w:fmt="decimal"/>
          <w:cols w:space="708" w:num="1"/>
          <w:titlePg/>
          <w:docGrid w:type="lines" w:linePitch="309" w:charSpace="0"/>
        </w:sectPr>
      </w:pPr>
    </w:p>
    <w:p>
      <w:pPr>
        <w:spacing w:after="156" w:afterLines="50"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商务报价</w:t>
      </w:r>
    </w:p>
    <w:p>
      <w:pPr>
        <w:spacing w:after="156" w:afterLines="50" w:line="500" w:lineRule="exact"/>
        <w:jc w:val="center"/>
        <w:rPr>
          <w:rFonts w:ascii="宋体" w:hAnsi="宋体" w:cs="宋体"/>
          <w:b/>
          <w:bCs/>
          <w:color w:val="auto"/>
          <w:sz w:val="30"/>
          <w:szCs w:val="30"/>
          <w:highlight w:val="none"/>
        </w:rPr>
      </w:pPr>
    </w:p>
    <w:p>
      <w:pPr>
        <w:spacing w:after="156" w:afterLines="50"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w:t>
      </w:r>
      <w:bookmarkStart w:id="91" w:name="OLE_LINK8"/>
      <w:r>
        <w:rPr>
          <w:rFonts w:hint="eastAsia" w:ascii="宋体" w:hAnsi="宋体" w:cs="宋体"/>
          <w:b/>
          <w:bCs/>
          <w:color w:val="auto"/>
          <w:sz w:val="30"/>
          <w:szCs w:val="30"/>
          <w:highlight w:val="none"/>
        </w:rPr>
        <w:t>报价（唱标）一览表</w:t>
      </w:r>
      <w:bookmarkEnd w:id="91"/>
    </w:p>
    <w:tbl>
      <w:tblPr>
        <w:tblStyle w:val="18"/>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Merge w:val="restart"/>
            <w:vAlign w:val="center"/>
          </w:tcPr>
          <w:p>
            <w:pPr>
              <w:spacing w:line="560" w:lineRule="exact"/>
              <w:jc w:val="center"/>
              <w:rPr>
                <w:rFonts w:hint="default" w:eastAsia="宋体"/>
                <w:bCs/>
                <w:color w:val="auto"/>
                <w:sz w:val="28"/>
                <w:szCs w:val="28"/>
                <w:highlight w:val="none"/>
                <w:u w:val="single"/>
                <w:lang w:val="en-US" w:eastAsia="zh-CN"/>
              </w:rPr>
            </w:pPr>
            <w:r>
              <w:rPr>
                <w:color w:val="auto"/>
                <w:sz w:val="28"/>
                <w:szCs w:val="28"/>
                <w:highlight w:val="none"/>
              </w:rPr>
              <w:t>磋商报价</w:t>
            </w:r>
            <w:r>
              <w:rPr>
                <w:rFonts w:hint="eastAsia"/>
                <w:color w:val="auto"/>
                <w:sz w:val="28"/>
                <w:szCs w:val="28"/>
                <w:highlight w:val="none"/>
                <w:lang w:val="en-US" w:eastAsia="zh-CN"/>
              </w:rPr>
              <w:t>/年</w:t>
            </w:r>
          </w:p>
        </w:tc>
        <w:tc>
          <w:tcPr>
            <w:tcW w:w="6780" w:type="dxa"/>
            <w:vAlign w:val="center"/>
          </w:tcPr>
          <w:p>
            <w:pPr>
              <w:spacing w:line="560" w:lineRule="exact"/>
              <w:rPr>
                <w:bCs/>
                <w:color w:val="auto"/>
                <w:sz w:val="28"/>
                <w:szCs w:val="28"/>
                <w:highlight w:val="none"/>
                <w:u w:val="single"/>
              </w:rPr>
            </w:pPr>
            <w:r>
              <w:rPr>
                <w:color w:val="auto"/>
                <w:sz w:val="28"/>
                <w:szCs w:val="28"/>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Merge w:val="continue"/>
          </w:tcPr>
          <w:p>
            <w:pPr>
              <w:spacing w:line="560" w:lineRule="exact"/>
              <w:jc w:val="center"/>
              <w:rPr>
                <w:bCs/>
                <w:color w:val="auto"/>
                <w:sz w:val="28"/>
                <w:szCs w:val="28"/>
                <w:highlight w:val="none"/>
                <w:u w:val="single"/>
              </w:rPr>
            </w:pPr>
          </w:p>
        </w:tc>
        <w:tc>
          <w:tcPr>
            <w:tcW w:w="6780" w:type="dxa"/>
            <w:vAlign w:val="center"/>
          </w:tcPr>
          <w:p>
            <w:pPr>
              <w:spacing w:line="560" w:lineRule="exact"/>
              <w:rPr>
                <w:bCs/>
                <w:color w:val="auto"/>
                <w:sz w:val="28"/>
                <w:szCs w:val="28"/>
                <w:highlight w:val="none"/>
                <w:u w:val="single"/>
              </w:rPr>
            </w:pPr>
            <w:r>
              <w:rPr>
                <w:color w:val="auto"/>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Align w:val="center"/>
          </w:tcPr>
          <w:p>
            <w:pPr>
              <w:spacing w:line="560" w:lineRule="exact"/>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项目名称</w:t>
            </w:r>
          </w:p>
        </w:tc>
        <w:tc>
          <w:tcPr>
            <w:tcW w:w="6780" w:type="dxa"/>
            <w:vAlign w:val="center"/>
          </w:tcPr>
          <w:p>
            <w:pPr>
              <w:spacing w:line="560" w:lineRule="exact"/>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03" w:type="dxa"/>
            <w:vAlign w:val="center"/>
          </w:tcPr>
          <w:p>
            <w:pPr>
              <w:spacing w:line="560" w:lineRule="exact"/>
              <w:jc w:val="center"/>
              <w:rPr>
                <w:rFonts w:hint="default"/>
                <w:color w:val="auto"/>
                <w:sz w:val="28"/>
                <w:szCs w:val="28"/>
                <w:highlight w:val="none"/>
                <w:lang w:val="en-US"/>
              </w:rPr>
            </w:pPr>
            <w:r>
              <w:rPr>
                <w:rFonts w:hint="eastAsia"/>
                <w:color w:val="auto"/>
                <w:sz w:val="28"/>
                <w:szCs w:val="28"/>
                <w:highlight w:val="none"/>
                <w:lang w:val="en-US" w:eastAsia="zh-CN"/>
              </w:rPr>
              <w:t>服务时间</w:t>
            </w:r>
          </w:p>
        </w:tc>
        <w:tc>
          <w:tcPr>
            <w:tcW w:w="6780" w:type="dxa"/>
            <w:vAlign w:val="center"/>
          </w:tcPr>
          <w:p>
            <w:pPr>
              <w:spacing w:line="560" w:lineRule="exact"/>
              <w:rPr>
                <w:color w:val="auto"/>
                <w:sz w:val="28"/>
                <w:szCs w:val="28"/>
                <w:highlight w:val="none"/>
              </w:rPr>
            </w:pPr>
          </w:p>
        </w:tc>
      </w:tr>
    </w:tbl>
    <w:p>
      <w:pPr>
        <w:autoSpaceDE w:val="0"/>
        <w:autoSpaceDN w:val="0"/>
        <w:spacing w:line="400" w:lineRule="exact"/>
        <w:rPr>
          <w:rFonts w:ascii="宋体" w:hAnsi="宋体" w:cs="宋体"/>
          <w:bCs/>
          <w:color w:val="auto"/>
          <w:sz w:val="28"/>
          <w:szCs w:val="28"/>
          <w:highlight w:val="none"/>
        </w:rPr>
      </w:pPr>
    </w:p>
    <w:p>
      <w:pPr>
        <w:autoSpaceDE w:val="0"/>
        <w:autoSpaceDN w:val="0"/>
        <w:spacing w:line="400" w:lineRule="exact"/>
        <w:rPr>
          <w:rFonts w:ascii="宋体" w:hAnsi="宋体" w:cs="宋体"/>
          <w:bCs/>
          <w:color w:val="auto"/>
          <w:sz w:val="28"/>
          <w:szCs w:val="28"/>
          <w:highlight w:val="none"/>
        </w:rPr>
      </w:pPr>
    </w:p>
    <w:p>
      <w:pPr>
        <w:autoSpaceDE w:val="0"/>
        <w:autoSpaceDN w:val="0"/>
        <w:spacing w:line="400" w:lineRule="exact"/>
        <w:rPr>
          <w:rFonts w:ascii="宋体" w:hAnsi="宋体" w:cs="宋体"/>
          <w:bCs/>
          <w:color w:val="auto"/>
          <w:sz w:val="28"/>
          <w:szCs w:val="28"/>
          <w:highlight w:val="none"/>
        </w:rPr>
      </w:pPr>
      <w:r>
        <w:rPr>
          <w:rFonts w:hint="eastAsia" w:ascii="宋体" w:hAnsi="宋体" w:cs="宋体"/>
          <w:bCs/>
          <w:color w:val="auto"/>
          <w:sz w:val="28"/>
          <w:szCs w:val="28"/>
          <w:highlight w:val="none"/>
        </w:rPr>
        <w:t>说明：</w:t>
      </w:r>
    </w:p>
    <w:p>
      <w:pPr>
        <w:autoSpaceDE w:val="0"/>
        <w:autoSpaceDN w:val="0"/>
        <w:spacing w:line="4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1、磋商报价应为人民币含税价。该报价包括：税金、工资、服务所需器材、工作服及相关的各种费用，如有漏报，视同已包含在报价中，采购人不再支付任何费用； </w:t>
      </w:r>
    </w:p>
    <w:p>
      <w:pPr>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供应商全称（加盖电子公章）：</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法定代表人或其委托代理人（签字或电子签名或电子签章）：</w:t>
      </w:r>
    </w:p>
    <w:p>
      <w:pPr>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500" w:lineRule="exact"/>
        <w:jc w:val="center"/>
        <w:rPr>
          <w:rFonts w:ascii="宋体" w:hAnsi="宋体" w:cs="宋体"/>
          <w:b/>
          <w:color w:val="auto"/>
          <w:sz w:val="28"/>
          <w:szCs w:val="28"/>
          <w:highlight w:val="none"/>
        </w:rPr>
      </w:pPr>
    </w:p>
    <w:p>
      <w:pPr>
        <w:spacing w:line="500" w:lineRule="exact"/>
        <w:jc w:val="center"/>
        <w:rPr>
          <w:rFonts w:ascii="宋体" w:hAnsi="宋体" w:cs="宋体"/>
          <w:b/>
          <w:color w:val="auto"/>
          <w:sz w:val="28"/>
          <w:szCs w:val="28"/>
          <w:highlight w:val="none"/>
        </w:rPr>
      </w:pPr>
    </w:p>
    <w:p>
      <w:pPr>
        <w:spacing w:line="500" w:lineRule="exact"/>
        <w:jc w:val="center"/>
        <w:rPr>
          <w:rFonts w:ascii="宋体" w:hAnsi="宋体" w:cs="宋体"/>
          <w:b/>
          <w:color w:val="auto"/>
          <w:sz w:val="28"/>
          <w:szCs w:val="28"/>
          <w:highlight w:val="none"/>
        </w:rPr>
      </w:pPr>
    </w:p>
    <w:p>
      <w:pPr>
        <w:spacing w:line="500" w:lineRule="exact"/>
        <w:jc w:val="center"/>
        <w:rPr>
          <w:rFonts w:ascii="宋体" w:hAnsi="宋体" w:cs="宋体"/>
          <w:b/>
          <w:color w:val="auto"/>
          <w:sz w:val="28"/>
          <w:szCs w:val="28"/>
          <w:highlight w:val="none"/>
        </w:rPr>
      </w:pPr>
    </w:p>
    <w:p>
      <w:pPr>
        <w:pStyle w:val="8"/>
        <w:rPr>
          <w:rFonts w:ascii="宋体" w:hAnsi="宋体" w:cs="宋体"/>
          <w:b/>
          <w:color w:val="auto"/>
          <w:sz w:val="28"/>
          <w:szCs w:val="28"/>
          <w:highlight w:val="none"/>
        </w:rPr>
      </w:pPr>
    </w:p>
    <w:p>
      <w:bookmarkStart w:id="92" w:name="_Toc14327"/>
      <w:bookmarkStart w:id="93" w:name="_Toc22629"/>
    </w:p>
    <w:p>
      <w:pPr>
        <w:pStyle w:val="2"/>
      </w:pPr>
    </w:p>
    <w:p>
      <w:pPr>
        <w:pStyle w:val="8"/>
        <w:ind w:left="0" w:leftChars="0" w:firstLine="0" w:firstLineChars="0"/>
      </w:pPr>
    </w:p>
    <w:p>
      <w:pPr>
        <w:numPr>
          <w:ilvl w:val="0"/>
          <w:numId w:val="0"/>
        </w:numPr>
        <w:spacing w:line="460" w:lineRule="exact"/>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磋商响应承诺书</w:t>
      </w:r>
    </w:p>
    <w:p>
      <w:pPr>
        <w:pStyle w:val="8"/>
        <w:numPr>
          <w:ilvl w:val="0"/>
          <w:numId w:val="0"/>
        </w:numPr>
      </w:pPr>
    </w:p>
    <w:p>
      <w:pPr>
        <w:spacing w:line="46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（采购人）      </w:t>
      </w:r>
    </w:p>
    <w:p>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我单位决定参加</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竞争性磋商，并提交响应文件。并承诺如下：</w:t>
      </w:r>
    </w:p>
    <w:p>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1.我公司符合《中华人民共和国政府采购法》第二十二条的规定。</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2.响应文件有效期为递交响应文件截止</w:t>
      </w:r>
      <w:r>
        <w:rPr>
          <w:rFonts w:hint="eastAsia" w:ascii="宋体" w:hAnsi="宋体" w:cs="宋体"/>
          <w:color w:val="auto"/>
          <w:sz w:val="28"/>
          <w:szCs w:val="28"/>
          <w:highlight w:val="none"/>
          <w:lang w:val="en-US" w:eastAsia="zh-CN"/>
        </w:rPr>
        <w:t>之</w:t>
      </w:r>
      <w:r>
        <w:rPr>
          <w:rFonts w:hint="eastAsia" w:ascii="宋体" w:hAnsi="宋体" w:cs="宋体"/>
          <w:color w:val="auto"/>
          <w:sz w:val="28"/>
          <w:szCs w:val="28"/>
          <w:highlight w:val="none"/>
        </w:rPr>
        <w:t>日起90天。</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3.我方已经详细地阅读了全部磋商文件及其附件，包括澄清及更正文件。我方已完全清晰理解磋商文件的要求，不存在任何含糊不清和误解之处，同意放弃对这些文件所提出异议和质疑的权利。</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4.若我方出现磋商文件中所列的保证金不予退还的情形，我方同意保证金不用退还给我方。</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5.我方承诺在本次磋商会中现场提交的原件和响应文件中提供的扫描文件均为真实和准确的，绝无任何虚假、伪造和夸大的成份，否则，愿承担相应的后果和法律责任。</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6.我方完全服从和尊重磋商小组所作的成交结果，同时清楚理解到报价最低并非意味着必定获得成交的资格。</w:t>
      </w:r>
    </w:p>
    <w:p>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7.我方所供服务质量达到国家及行业验收合格标准。保证严格按照国家及有关部门规定实施；</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8.完全满足“第三章  采购项目要求”的实质性条款。</w:t>
      </w:r>
    </w:p>
    <w:p>
      <w:pPr>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9.一旦我方成交，我们将根据采购文件、响应文件及其有效补充文件的规定，严格按照《合同法》履行自己的责任和义务。 </w:t>
      </w:r>
    </w:p>
    <w:p>
      <w:pPr>
        <w:spacing w:line="460" w:lineRule="exact"/>
        <w:rPr>
          <w:rFonts w:ascii="宋体" w:hAnsi="宋体" w:cs="宋体"/>
          <w:color w:val="auto"/>
          <w:sz w:val="28"/>
          <w:szCs w:val="28"/>
          <w:highlight w:val="none"/>
        </w:rPr>
      </w:pPr>
      <w:r>
        <w:rPr>
          <w:rFonts w:hint="eastAsia" w:ascii="宋体" w:hAnsi="宋体" w:cs="宋体"/>
          <w:color w:val="auto"/>
          <w:sz w:val="28"/>
          <w:szCs w:val="28"/>
          <w:highlight w:val="none"/>
        </w:rPr>
        <w:t>供应商全称（加盖电子公章）：</w:t>
      </w:r>
      <w:r>
        <w:rPr>
          <w:rFonts w:hint="eastAsia" w:ascii="宋体" w:hAnsi="宋体" w:cs="宋体"/>
          <w:color w:val="auto"/>
          <w:sz w:val="28"/>
          <w:szCs w:val="28"/>
          <w:highlight w:val="none"/>
          <w:u w:val="single"/>
        </w:rPr>
        <w:t>　　　　　　　　　　　　</w:t>
      </w:r>
    </w:p>
    <w:p>
      <w:pPr>
        <w:spacing w:line="46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法定代表人或其委托代理人（签字或电子签名或电子签章）：</w:t>
      </w:r>
      <w:r>
        <w:rPr>
          <w:rFonts w:hint="eastAsia" w:ascii="宋体" w:hAnsi="宋体" w:cs="宋体"/>
          <w:color w:val="auto"/>
          <w:sz w:val="28"/>
          <w:szCs w:val="28"/>
          <w:highlight w:val="none"/>
          <w:u w:val="single"/>
        </w:rPr>
        <w:t>　　　　　　　　　　</w:t>
      </w:r>
    </w:p>
    <w:p>
      <w:pPr>
        <w:spacing w:line="46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单位地址：</w:t>
      </w:r>
      <w:r>
        <w:rPr>
          <w:rFonts w:hint="eastAsia" w:ascii="宋体" w:hAnsi="宋体" w:cs="宋体"/>
          <w:color w:val="auto"/>
          <w:sz w:val="28"/>
          <w:szCs w:val="28"/>
          <w:highlight w:val="none"/>
          <w:u w:val="single"/>
        </w:rPr>
        <w:t xml:space="preserve">                                      </w:t>
      </w:r>
    </w:p>
    <w:p>
      <w:pPr>
        <w:spacing w:line="460" w:lineRule="exact"/>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rPr>
        <w:t> </w:t>
      </w:r>
    </w:p>
    <w:p>
      <w:pPr>
        <w:spacing w:line="460" w:lineRule="exact"/>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p>
    <w:p>
      <w:pPr>
        <w:spacing w:line="460" w:lineRule="exact"/>
        <w:jc w:val="left"/>
        <w:rPr>
          <w:rFonts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pacing w:line="500" w:lineRule="exact"/>
        <w:rPr>
          <w:rFonts w:hint="eastAsia" w:ascii="宋体" w:hAnsi="宋体" w:cs="宋体"/>
          <w:b/>
          <w:color w:val="auto"/>
          <w:sz w:val="28"/>
          <w:szCs w:val="28"/>
          <w:highlight w:val="none"/>
          <w:lang w:eastAsia="zh-CN"/>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、法定代表人资格证明及供应商法定代表人授权书</w:t>
      </w:r>
      <w:bookmarkEnd w:id="92"/>
      <w:bookmarkEnd w:id="93"/>
    </w:p>
    <w:p>
      <w:pPr>
        <w:spacing w:line="500" w:lineRule="exact"/>
        <w:ind w:firstLine="562" w:firstLineChars="200"/>
        <w:jc w:val="center"/>
        <w:rPr>
          <w:rFonts w:ascii="宋体" w:hAnsi="宋体" w:cs="宋体"/>
          <w:b/>
          <w:bCs/>
          <w:color w:val="auto"/>
          <w:sz w:val="28"/>
          <w:szCs w:val="28"/>
          <w:highlight w:val="none"/>
        </w:rPr>
      </w:pPr>
    </w:p>
    <w:p>
      <w:pPr>
        <w:spacing w:line="50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（一）法定代表人资格证明书</w:t>
      </w:r>
    </w:p>
    <w:p>
      <w:pPr>
        <w:spacing w:line="500" w:lineRule="exact"/>
        <w:ind w:firstLine="562" w:firstLineChars="200"/>
        <w:jc w:val="center"/>
        <w:rPr>
          <w:rFonts w:ascii="宋体" w:hAnsi="宋体" w:cs="宋体"/>
          <w:b/>
          <w:color w:val="auto"/>
          <w:sz w:val="28"/>
          <w:szCs w:val="28"/>
          <w:highlight w:val="none"/>
        </w:rPr>
      </w:pPr>
    </w:p>
    <w:p>
      <w:pPr>
        <w:spacing w:line="500" w:lineRule="exact"/>
        <w:ind w:firstLine="560" w:firstLineChars="200"/>
        <w:rPr>
          <w:rFonts w:ascii="宋体" w:hAnsi="宋体" w:cs="宋体"/>
          <w:color w:val="auto"/>
          <w:sz w:val="28"/>
          <w:szCs w:val="28"/>
          <w:highlight w:val="none"/>
        </w:rPr>
      </w:pP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姓名：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性别：</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职务：</w:t>
      </w:r>
      <w:r>
        <w:rPr>
          <w:rFonts w:hint="eastAsia" w:ascii="宋体" w:hAnsi="宋体" w:cs="宋体"/>
          <w:color w:val="auto"/>
          <w:sz w:val="28"/>
          <w:szCs w:val="28"/>
          <w:highlight w:val="none"/>
          <w:u w:val="single"/>
        </w:rPr>
        <w:t xml:space="preserve">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（供应商）的法定代表人。</w:t>
      </w:r>
    </w:p>
    <w:p>
      <w:pPr>
        <w:spacing w:line="360" w:lineRule="auto"/>
        <w:rPr>
          <w:rFonts w:ascii="宋体" w:hAnsi="宋体" w:cs="宋体"/>
          <w:color w:val="auto"/>
          <w:sz w:val="28"/>
          <w:szCs w:val="28"/>
          <w:highlight w:val="none"/>
        </w:rPr>
      </w:pPr>
    </w:p>
    <w:p>
      <w:pPr>
        <w:spacing w:line="360" w:lineRule="auto"/>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特此证明</w:t>
      </w:r>
    </w:p>
    <w:p>
      <w:pPr>
        <w:spacing w:line="360" w:lineRule="auto"/>
        <w:ind w:firstLine="5460" w:firstLineChars="1950"/>
        <w:rPr>
          <w:rFonts w:ascii="宋体" w:hAnsi="宋体" w:cs="宋体"/>
          <w:color w:val="auto"/>
          <w:sz w:val="28"/>
          <w:szCs w:val="28"/>
          <w:highlight w:val="none"/>
        </w:rPr>
      </w:pPr>
    </w:p>
    <w:p>
      <w:pPr>
        <w:spacing w:line="360" w:lineRule="auto"/>
        <w:ind w:firstLine="5460" w:firstLineChars="1950"/>
        <w:rPr>
          <w:rFonts w:ascii="宋体" w:hAnsi="宋体" w:cs="宋体"/>
          <w:color w:val="auto"/>
          <w:sz w:val="28"/>
          <w:szCs w:val="28"/>
          <w:highlight w:val="none"/>
        </w:rPr>
      </w:pPr>
      <w:r>
        <w:rPr>
          <w:rFonts w:hint="eastAsia" w:ascii="宋体" w:hAnsi="宋体" w:cs="宋体"/>
          <w:color w:val="auto"/>
          <w:sz w:val="28"/>
          <w:szCs w:val="28"/>
          <w:highlight w:val="none"/>
        </w:rPr>
        <w:t xml:space="preserve">   供应商全称（加盖电子公章）： </w:t>
      </w:r>
    </w:p>
    <w:p>
      <w:pPr>
        <w:spacing w:line="360" w:lineRule="auto"/>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注：附法定代表人身份证（正、反面）扫描件。</w:t>
      </w: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（二）供应商法定代表人授权书</w:t>
      </w:r>
    </w:p>
    <w:p>
      <w:pPr>
        <w:spacing w:line="500" w:lineRule="exact"/>
        <w:ind w:firstLine="840" w:firstLineChars="300"/>
        <w:rPr>
          <w:rFonts w:ascii="宋体" w:hAnsi="宋体" w:cs="宋体"/>
          <w:b/>
          <w:bCs/>
          <w:color w:val="auto"/>
          <w:sz w:val="28"/>
          <w:szCs w:val="28"/>
          <w:highlight w:val="none"/>
          <w:u w:val="single"/>
        </w:rPr>
      </w:pPr>
      <w:r>
        <w:rPr>
          <w:rFonts w:hint="eastAsia" w:ascii="宋体" w:hAnsi="宋体" w:cs="宋体"/>
          <w:color w:val="auto"/>
          <w:sz w:val="28"/>
          <w:szCs w:val="28"/>
          <w:highlight w:val="none"/>
        </w:rPr>
        <w:t>本授权委托书声明：我（姓名）系（供应商名称）的法定代表人，现授权委托我单位的 （姓名）为我公司代理人，以公司名义参加</w:t>
      </w:r>
      <w:r>
        <w:rPr>
          <w:rFonts w:hint="eastAsia" w:ascii="宋体" w:hAnsi="宋体" w:cs="宋体"/>
          <w:color w:val="auto"/>
          <w:kern w:val="0"/>
          <w:sz w:val="28"/>
          <w:szCs w:val="28"/>
          <w:highlight w:val="none"/>
          <w:u w:val="single"/>
        </w:rPr>
        <w:t>（采购项目名称）</w:t>
      </w:r>
      <w:r>
        <w:rPr>
          <w:rFonts w:hint="eastAsia" w:ascii="宋体" w:hAnsi="宋体" w:cs="宋体"/>
          <w:color w:val="auto"/>
          <w:sz w:val="28"/>
          <w:szCs w:val="28"/>
          <w:highlight w:val="none"/>
        </w:rPr>
        <w:t>的投标活动。代理人在开标、评标过程中所签署的一切文件和处理与之有关的一切事务，我均予以承认。</w:t>
      </w:r>
    </w:p>
    <w:p>
      <w:pPr>
        <w:spacing w:line="50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代理人</w:t>
      </w:r>
      <w:r>
        <w:rPr>
          <w:rFonts w:hint="eastAsia" w:ascii="宋体" w:hAnsi="宋体" w:cs="宋体"/>
          <w:color w:val="auto"/>
          <w:kern w:val="0"/>
          <w:sz w:val="28"/>
          <w:szCs w:val="28"/>
          <w:highlight w:val="none"/>
          <w:lang w:bidi="ar"/>
        </w:rPr>
        <w:t>（签字或电子签名）：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性别：</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年龄：</w:t>
      </w:r>
      <w:r>
        <w:rPr>
          <w:rFonts w:hint="eastAsia" w:ascii="宋体" w:hAnsi="宋体" w:cs="宋体"/>
          <w:color w:val="auto"/>
          <w:sz w:val="28"/>
          <w:szCs w:val="28"/>
          <w:highlight w:val="none"/>
          <w:u w:val="single"/>
        </w:rPr>
        <w:t xml:space="preserve">     </w:t>
      </w:r>
    </w:p>
    <w:p>
      <w:pPr>
        <w:spacing w:line="50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部  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职务：</w:t>
      </w:r>
      <w:r>
        <w:rPr>
          <w:rFonts w:hint="eastAsia" w:ascii="宋体" w:hAnsi="宋体" w:cs="宋体"/>
          <w:color w:val="auto"/>
          <w:sz w:val="28"/>
          <w:szCs w:val="28"/>
          <w:highlight w:val="none"/>
          <w:u w:val="single"/>
        </w:rPr>
        <w:t xml:space="preserve">                 </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代理人无转</w:t>
      </w:r>
      <w:r>
        <w:rPr>
          <w:rFonts w:hint="eastAsia" w:ascii="宋体" w:hAnsi="宋体" w:cs="宋体"/>
          <w:color w:val="auto"/>
          <w:sz w:val="28"/>
          <w:szCs w:val="28"/>
          <w:highlight w:val="none"/>
          <w:lang w:val="en-US" w:eastAsia="zh-CN"/>
        </w:rPr>
        <w:t>委托</w:t>
      </w:r>
      <w:r>
        <w:rPr>
          <w:rFonts w:hint="eastAsia" w:ascii="宋体" w:hAnsi="宋体" w:cs="宋体"/>
          <w:color w:val="auto"/>
          <w:sz w:val="28"/>
          <w:szCs w:val="28"/>
          <w:highlight w:val="none"/>
        </w:rPr>
        <w:t>权。特此委托。</w:t>
      </w:r>
    </w:p>
    <w:p>
      <w:pPr>
        <w:spacing w:line="500" w:lineRule="exact"/>
        <w:ind w:firstLine="560" w:firstLineChars="200"/>
        <w:rPr>
          <w:rFonts w:ascii="宋体" w:hAnsi="宋体" w:cs="宋体"/>
          <w:color w:val="auto"/>
          <w:sz w:val="28"/>
          <w:szCs w:val="28"/>
          <w:highlight w:val="none"/>
        </w:rPr>
      </w:pPr>
    </w:p>
    <w:p>
      <w:pPr>
        <w:spacing w:line="50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供应商全称（加盖电子公章）：</w:t>
      </w:r>
      <w:r>
        <w:rPr>
          <w:rFonts w:hint="eastAsia" w:ascii="宋体" w:hAnsi="宋体" w:cs="宋体"/>
          <w:color w:val="auto"/>
          <w:sz w:val="28"/>
          <w:szCs w:val="28"/>
          <w:highlight w:val="none"/>
          <w:u w:val="single"/>
        </w:rPr>
        <w:t xml:space="preserve">                               </w:t>
      </w:r>
    </w:p>
    <w:p>
      <w:pPr>
        <w:spacing w:line="50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法定代表人（签字或电子签名或电子签章）： </w:t>
      </w:r>
      <w:r>
        <w:rPr>
          <w:rFonts w:hint="eastAsia" w:ascii="宋体" w:hAnsi="宋体" w:cs="宋体"/>
          <w:color w:val="auto"/>
          <w:sz w:val="28"/>
          <w:szCs w:val="28"/>
          <w:highlight w:val="none"/>
          <w:u w:val="single"/>
        </w:rPr>
        <w:t xml:space="preserve">                            </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500" w:lineRule="exact"/>
        <w:ind w:firstLine="4480" w:firstLineChars="1600"/>
        <w:rPr>
          <w:rFonts w:ascii="宋体" w:hAnsi="宋体" w:cs="宋体"/>
          <w:color w:val="auto"/>
          <w:sz w:val="28"/>
          <w:szCs w:val="28"/>
          <w:highlight w:val="none"/>
        </w:rPr>
      </w:pPr>
    </w:p>
    <w:p>
      <w:pPr>
        <w:spacing w:line="360" w:lineRule="auto"/>
        <w:ind w:firstLine="562" w:firstLineChars="200"/>
        <w:rPr>
          <w:rFonts w:ascii="宋体" w:hAnsi="宋体" w:cs="宋体"/>
          <w:color w:val="auto"/>
          <w:sz w:val="28"/>
          <w:szCs w:val="28"/>
          <w:highlight w:val="none"/>
        </w:rPr>
      </w:pPr>
      <w:r>
        <w:rPr>
          <w:rFonts w:hint="eastAsia" w:ascii="宋体" w:hAnsi="宋体" w:cs="宋体"/>
          <w:b/>
          <w:color w:val="auto"/>
          <w:sz w:val="28"/>
          <w:szCs w:val="28"/>
          <w:highlight w:val="none"/>
        </w:rPr>
        <w:t>注：附授权委托人身份证（正、反面）扫描件，如由法定代表人亲自签署磋商响应文件并参与相关活动，则不需要办理授权。如由被授权的代理人签署上述文件，则必须按本格式规定填报并提交授权书，否则被授权的代理人将不被认可。</w:t>
      </w:r>
    </w:p>
    <w:p>
      <w:pPr>
        <w:spacing w:line="360" w:lineRule="auto"/>
        <w:ind w:firstLine="281" w:firstLineChars="100"/>
        <w:rPr>
          <w:rFonts w:hint="eastAsia" w:eastAsia="宋体"/>
          <w:color w:val="auto"/>
          <w:highlight w:val="none"/>
          <w:lang w:val="en-US" w:eastAsia="zh-CN"/>
        </w:rPr>
      </w:pPr>
      <w:r>
        <w:rPr>
          <w:rFonts w:hint="eastAsia" w:ascii="宋体" w:hAnsi="宋体" w:cs="宋体"/>
          <w:b/>
          <w:color w:val="auto"/>
          <w:sz w:val="28"/>
          <w:szCs w:val="28"/>
          <w:highlight w:val="none"/>
        </w:rPr>
        <w:br w:type="page"/>
      </w:r>
      <w:bookmarkStart w:id="94" w:name="_Toc3316"/>
      <w:bookmarkStart w:id="95" w:name="_Toc3011"/>
    </w:p>
    <w:p>
      <w:pPr>
        <w:pStyle w:val="6"/>
        <w:jc w:val="center"/>
        <w:rPr>
          <w:rFonts w:ascii="宋体" w:hAnsi="宋体" w:cs="宋体"/>
          <w:bCs w:val="0"/>
          <w:color w:val="auto"/>
          <w:kern w:val="0"/>
          <w:sz w:val="28"/>
          <w:szCs w:val="28"/>
          <w:highlight w:val="none"/>
          <w:lang w:val="zh-CN"/>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w:t>
      </w:r>
      <w:r>
        <w:rPr>
          <w:rFonts w:hint="eastAsia" w:hAnsi="宋体" w:cs="宋体"/>
          <w:bCs w:val="0"/>
          <w:color w:val="auto"/>
          <w:kern w:val="0"/>
          <w:sz w:val="28"/>
          <w:szCs w:val="28"/>
          <w:highlight w:val="none"/>
          <w:lang w:val="zh-CN"/>
        </w:rPr>
        <w:t>最后磋商报价</w:t>
      </w:r>
      <w:r>
        <w:rPr>
          <w:rFonts w:hint="eastAsia" w:ascii="宋体" w:hAnsi="宋体" w:cs="宋体"/>
          <w:bCs w:val="0"/>
          <w:color w:val="auto"/>
          <w:kern w:val="0"/>
          <w:sz w:val="28"/>
          <w:szCs w:val="28"/>
          <w:highlight w:val="none"/>
          <w:lang w:val="zh-CN"/>
        </w:rPr>
        <w:t>承诺书</w:t>
      </w:r>
    </w:p>
    <w:p>
      <w:pPr>
        <w:jc w:val="center"/>
        <w:rPr>
          <w:rFonts w:ascii="宋体" w:hAnsi="宋体"/>
          <w:b/>
          <w:bCs/>
          <w:color w:val="auto"/>
          <w:sz w:val="28"/>
          <w:szCs w:val="28"/>
          <w:highlight w:val="none"/>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color w:val="auto"/>
          <w:sz w:val="28"/>
          <w:szCs w:val="28"/>
          <w:highlight w:val="none"/>
        </w:rPr>
      </w:pPr>
      <w:r>
        <w:rPr>
          <w:rFonts w:hint="eastAsia" w:ascii="宋体" w:hAnsi="宋体" w:cs="宋体"/>
          <w:color w:val="auto"/>
          <w:sz w:val="28"/>
          <w:szCs w:val="28"/>
          <w:highlight w:val="none"/>
        </w:rPr>
        <w:t>致：（采购人）</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color w:val="auto"/>
          <w:sz w:val="28"/>
          <w:szCs w:val="28"/>
          <w:highlight w:val="none"/>
        </w:rPr>
      </w:pPr>
      <w:r>
        <w:rPr>
          <w:rFonts w:hint="eastAsia" w:ascii="宋体" w:hAnsi="宋体" w:cs="宋体"/>
          <w:color w:val="auto"/>
          <w:sz w:val="28"/>
          <w:szCs w:val="28"/>
          <w:highlight w:val="none"/>
        </w:rPr>
        <w:t>根据贵方   （项目名称）   项目竞争性磋商文件，经磋商后，愿意按磋商文件提出的采购内容、承包方式和有关要求，以最后总报价为        元</w:t>
      </w:r>
      <w:r>
        <w:rPr>
          <w:rFonts w:hint="eastAsia" w:ascii="宋体" w:hAnsi="宋体" w:cs="宋体"/>
          <w:color w:val="auto"/>
          <w:sz w:val="28"/>
          <w:szCs w:val="28"/>
          <w:highlight w:val="none"/>
          <w:lang w:val="en-US" w:eastAsia="zh-CN"/>
        </w:rPr>
        <w:t>/年</w:t>
      </w:r>
      <w:r>
        <w:rPr>
          <w:rFonts w:hint="eastAsia" w:ascii="宋体" w:hAnsi="宋体" w:cs="宋体"/>
          <w:color w:val="auto"/>
          <w:sz w:val="28"/>
          <w:szCs w:val="28"/>
          <w:highlight w:val="none"/>
        </w:rPr>
        <w:t>（大写：                     ）做出承诺，如果成交，我单位将忠实地履行我方竞争性磋商申请文件的承诺，在规定时间内与贵单位签订采购合同，承诺我方应承担的全部责任和义务。</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其他承诺：               </w:t>
      </w:r>
    </w:p>
    <w:p>
      <w:pPr>
        <w:spacing w:line="360" w:lineRule="auto"/>
        <w:rPr>
          <w:rFonts w:ascii="宋体" w:hAnsi="宋体" w:cs="宋体"/>
          <w:color w:val="auto"/>
          <w:sz w:val="28"/>
          <w:szCs w:val="28"/>
          <w:highlight w:val="none"/>
        </w:rPr>
      </w:pPr>
      <w:bookmarkStart w:id="96" w:name="OLE_LINK10"/>
    </w:p>
    <w:bookmarkEnd w:id="96"/>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磋商响应人（加盖公章）：_____________________________  </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法定代表人（签字或盖章）：___________________________</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授权委托人（签字）：_________________________________                             </w:t>
      </w: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注：</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1.最后磋商报价承诺书不需要附在竞争性磋商响应文件中；</w:t>
      </w:r>
    </w:p>
    <w:p>
      <w:pPr>
        <w:spacing w:line="360" w:lineRule="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rPr>
        <w:t>2.最后磋商报价承诺书应单独打印，并加盖单位公章，如磋商小组在最后磋商报价中开启需要上传报价的“其他附件”，则供应商报价时需将本承诺书上传至“其他附件”中，若磋商小组在最后磋商报价中未开启上传“其他附件”，则本承诺书无需上传</w:t>
      </w:r>
      <w:r>
        <w:rPr>
          <w:rFonts w:hint="eastAsia" w:ascii="宋体" w:hAnsi="宋体" w:eastAsia="宋体" w:cs="宋体"/>
          <w:b/>
          <w:bCs/>
          <w:color w:val="auto"/>
          <w:sz w:val="28"/>
          <w:szCs w:val="28"/>
          <w:highlight w:val="none"/>
        </w:rPr>
        <w:t>。</w:t>
      </w:r>
    </w:p>
    <w:p>
      <w:pPr>
        <w:numPr>
          <w:ilvl w:val="0"/>
          <w:numId w:val="3"/>
        </w:num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技术商务文件</w:t>
      </w:r>
    </w:p>
    <w:p>
      <w:pPr>
        <w:spacing w:line="360" w:lineRule="auto"/>
        <w:jc w:val="center"/>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项目管理及服务方案</w:t>
      </w:r>
    </w:p>
    <w:p>
      <w:pPr>
        <w:spacing w:line="500" w:lineRule="exact"/>
        <w:jc w:val="center"/>
        <w:rPr>
          <w:rFonts w:ascii="Akzidenz Grotesk" w:eastAsia="Akzidenz Grotesk"/>
          <w:b/>
          <w:bCs/>
          <w:color w:val="auto"/>
          <w:kern w:val="0"/>
          <w:sz w:val="24"/>
          <w:highlight w:val="none"/>
        </w:rPr>
      </w:pPr>
      <w:r>
        <w:rPr>
          <w:rFonts w:hint="eastAsia" w:ascii="Akzidenz Grotesk" w:eastAsia="Akzidenz Grotesk"/>
          <w:b/>
          <w:bCs/>
          <w:color w:val="auto"/>
          <w:kern w:val="0"/>
          <w:sz w:val="24"/>
          <w:highlight w:val="none"/>
        </w:rPr>
        <w:t>（按照评分办法要求作出相应说明，格式自拟）</w:t>
      </w:r>
    </w:p>
    <w:p>
      <w:pPr>
        <w:widowControl/>
        <w:spacing w:line="460" w:lineRule="exact"/>
        <w:jc w:val="center"/>
        <w:textAlignment w:val="center"/>
        <w:rPr>
          <w:rFonts w:ascii="宋体"/>
          <w:b/>
          <w:bCs/>
          <w:color w:val="auto"/>
          <w:sz w:val="24"/>
          <w:highlight w:val="none"/>
        </w:rPr>
      </w:pPr>
    </w:p>
    <w:p>
      <w:pPr>
        <w:widowControl/>
        <w:spacing w:line="460" w:lineRule="exact"/>
        <w:jc w:val="center"/>
        <w:textAlignment w:val="center"/>
        <w:rPr>
          <w:rFonts w:ascii="宋体"/>
          <w:b/>
          <w:bCs/>
          <w:color w:val="auto"/>
          <w:sz w:val="24"/>
          <w:highlight w:val="none"/>
        </w:rPr>
      </w:pPr>
    </w:p>
    <w:p>
      <w:pPr>
        <w:widowControl/>
        <w:spacing w:line="460" w:lineRule="exact"/>
        <w:jc w:val="center"/>
        <w:textAlignment w:val="center"/>
        <w:rPr>
          <w:rFonts w:ascii="宋体"/>
          <w:b/>
          <w:bCs/>
          <w:color w:val="auto"/>
          <w:sz w:val="24"/>
          <w:highlight w:val="none"/>
        </w:rPr>
      </w:pPr>
    </w:p>
    <w:p>
      <w:pPr>
        <w:spacing w:line="360" w:lineRule="auto"/>
        <w:jc w:val="center"/>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二、</w:t>
      </w:r>
      <w:r>
        <w:rPr>
          <w:rFonts w:hint="eastAsia" w:ascii="宋体" w:hAnsi="宋体" w:cs="宋体"/>
          <w:b/>
          <w:color w:val="auto"/>
          <w:sz w:val="28"/>
          <w:szCs w:val="28"/>
          <w:highlight w:val="none"/>
          <w:lang w:val="en-US" w:eastAsia="zh-CN"/>
        </w:rPr>
        <w:t>履约能力</w:t>
      </w:r>
    </w:p>
    <w:p>
      <w:pPr>
        <w:pStyle w:val="26"/>
        <w:jc w:val="center"/>
        <w:rPr>
          <w:color w:val="auto"/>
          <w:highlight w:val="none"/>
        </w:rPr>
      </w:pPr>
      <w:r>
        <w:rPr>
          <w:b/>
          <w:bCs/>
          <w:color w:val="auto"/>
          <w:highlight w:val="none"/>
        </w:rPr>
        <w:t>（按照评分办法要求作出相应</w:t>
      </w:r>
      <w:r>
        <w:rPr>
          <w:rFonts w:hint="eastAsia"/>
          <w:b/>
          <w:bCs/>
          <w:color w:val="auto"/>
          <w:highlight w:val="none"/>
        </w:rPr>
        <w:t>说明，</w:t>
      </w:r>
      <w:r>
        <w:rPr>
          <w:rFonts w:hint="eastAsia" w:hAnsi="宋体"/>
          <w:b/>
          <w:bCs/>
          <w:color w:val="auto"/>
          <w:highlight w:val="none"/>
        </w:rPr>
        <w:t>格式自拟</w:t>
      </w:r>
      <w:r>
        <w:rPr>
          <w:b/>
          <w:bCs/>
          <w:color w:val="auto"/>
          <w:highlight w:val="none"/>
        </w:rPr>
        <w:t>）</w:t>
      </w:r>
    </w:p>
    <w:p>
      <w:pPr>
        <w:spacing w:line="500" w:lineRule="exact"/>
        <w:jc w:val="center"/>
        <w:rPr>
          <w:rFonts w:ascii="宋体" w:hAnsi="宋体" w:cs="宋体"/>
          <w:b/>
          <w:color w:val="auto"/>
          <w:sz w:val="24"/>
          <w:highlight w:val="none"/>
        </w:rPr>
      </w:pPr>
    </w:p>
    <w:p>
      <w:pPr>
        <w:spacing w:line="500" w:lineRule="exact"/>
        <w:jc w:val="center"/>
        <w:rPr>
          <w:rFonts w:ascii="宋体" w:hAnsi="宋体" w:cs="宋体"/>
          <w:b/>
          <w:color w:val="auto"/>
          <w:sz w:val="24"/>
          <w:highlight w:val="none"/>
        </w:rPr>
      </w:pPr>
    </w:p>
    <w:p>
      <w:pPr>
        <w:spacing w:line="500" w:lineRule="exact"/>
        <w:jc w:val="center"/>
        <w:rPr>
          <w:rFonts w:ascii="宋体" w:hAnsi="宋体" w:cs="宋体"/>
          <w:b/>
          <w:color w:val="auto"/>
          <w:sz w:val="24"/>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三、</w:t>
      </w:r>
      <w:r>
        <w:rPr>
          <w:rFonts w:hint="eastAsia" w:ascii="宋体" w:hAnsi="宋体" w:cs="宋体"/>
          <w:b/>
          <w:color w:val="auto"/>
          <w:sz w:val="28"/>
          <w:szCs w:val="28"/>
          <w:highlight w:val="none"/>
          <w:lang w:val="en-US" w:eastAsia="zh-CN"/>
        </w:rPr>
        <w:t>违约责任及保证措施</w:t>
      </w:r>
    </w:p>
    <w:p>
      <w:pPr>
        <w:spacing w:line="500" w:lineRule="exact"/>
        <w:jc w:val="center"/>
        <w:rPr>
          <w:rFonts w:ascii="宋体" w:hAnsi="宋体" w:cs="宋体"/>
          <w:b/>
          <w:color w:val="auto"/>
          <w:sz w:val="28"/>
          <w:szCs w:val="28"/>
          <w:highlight w:val="none"/>
        </w:rPr>
        <w:sectPr>
          <w:footerReference r:id="rId18" w:type="first"/>
          <w:footerReference r:id="rId17" w:type="default"/>
          <w:pgSz w:w="11906" w:h="16838"/>
          <w:pgMar w:top="1474" w:right="1134" w:bottom="1474" w:left="1104" w:header="851" w:footer="1587" w:gutter="170"/>
          <w:cols w:space="708" w:num="1"/>
          <w:titlePg/>
          <w:docGrid w:type="lines" w:linePitch="309" w:charSpace="0"/>
        </w:sectPr>
      </w:pPr>
      <w:r>
        <w:rPr>
          <w:rFonts w:ascii="Akzidenz Grotesk" w:eastAsia="Akzidenz Grotesk"/>
          <w:b/>
          <w:bCs/>
          <w:color w:val="auto"/>
          <w:kern w:val="0"/>
          <w:sz w:val="24"/>
          <w:highlight w:val="none"/>
        </w:rPr>
        <w:t>（按照评分办法要求作出相应</w:t>
      </w:r>
      <w:r>
        <w:rPr>
          <w:rFonts w:hint="eastAsia" w:ascii="Akzidenz Grotesk" w:eastAsia="Akzidenz Grotesk"/>
          <w:b/>
          <w:bCs/>
          <w:color w:val="auto"/>
          <w:kern w:val="0"/>
          <w:sz w:val="24"/>
          <w:highlight w:val="none"/>
        </w:rPr>
        <w:t>说明，格式自拟</w:t>
      </w:r>
      <w:r>
        <w:rPr>
          <w:rFonts w:ascii="Akzidenz Grotesk" w:eastAsia="Akzidenz Grotesk"/>
          <w:b/>
          <w:bCs/>
          <w:color w:val="auto"/>
          <w:kern w:val="0"/>
          <w:sz w:val="24"/>
          <w:highlight w:val="none"/>
        </w:rPr>
        <w:t>）</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、类似业绩</w:t>
      </w:r>
    </w:p>
    <w:tbl>
      <w:tblPr>
        <w:tblStyle w:val="18"/>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70"/>
        <w:gridCol w:w="1800"/>
        <w:gridCol w:w="1244"/>
        <w:gridCol w:w="181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5" w:type="dxa"/>
            <w:vAlign w:val="center"/>
          </w:tcPr>
          <w:p>
            <w:pPr>
              <w:spacing w:line="4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序号</w:t>
            </w:r>
          </w:p>
        </w:tc>
        <w:tc>
          <w:tcPr>
            <w:tcW w:w="1570" w:type="dxa"/>
            <w:vAlign w:val="center"/>
          </w:tcPr>
          <w:p>
            <w:pPr>
              <w:spacing w:line="4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服务单位</w:t>
            </w:r>
          </w:p>
        </w:tc>
        <w:tc>
          <w:tcPr>
            <w:tcW w:w="1800" w:type="dxa"/>
            <w:vAlign w:val="center"/>
          </w:tcPr>
          <w:p>
            <w:pPr>
              <w:spacing w:line="4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合同签订时间</w:t>
            </w:r>
          </w:p>
        </w:tc>
        <w:tc>
          <w:tcPr>
            <w:tcW w:w="1244" w:type="dxa"/>
            <w:vAlign w:val="center"/>
          </w:tcPr>
          <w:p>
            <w:pPr>
              <w:spacing w:line="3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联系人</w:t>
            </w:r>
          </w:p>
        </w:tc>
        <w:tc>
          <w:tcPr>
            <w:tcW w:w="1816" w:type="dxa"/>
            <w:vAlign w:val="center"/>
          </w:tcPr>
          <w:p>
            <w:pPr>
              <w:spacing w:line="4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联系电话</w:t>
            </w:r>
          </w:p>
        </w:tc>
        <w:tc>
          <w:tcPr>
            <w:tcW w:w="1118" w:type="dxa"/>
            <w:vAlign w:val="center"/>
          </w:tcPr>
          <w:p>
            <w:pPr>
              <w:spacing w:line="40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35" w:type="dxa"/>
            <w:vAlign w:val="center"/>
          </w:tcPr>
          <w:p>
            <w:pPr>
              <w:spacing w:before="154" w:beforeLines="50" w:after="154" w:afterLines="50" w:line="400" w:lineRule="exact"/>
              <w:jc w:val="center"/>
              <w:rPr>
                <w:rFonts w:ascii="宋体" w:hAnsi="宋体"/>
                <w:color w:val="auto"/>
                <w:sz w:val="28"/>
                <w:szCs w:val="28"/>
                <w:highlight w:val="none"/>
              </w:rPr>
            </w:pPr>
          </w:p>
        </w:tc>
        <w:tc>
          <w:tcPr>
            <w:tcW w:w="1570" w:type="dxa"/>
          </w:tcPr>
          <w:p>
            <w:pPr>
              <w:spacing w:before="154" w:beforeLines="50" w:after="154" w:afterLines="50" w:line="400" w:lineRule="exact"/>
              <w:jc w:val="center"/>
              <w:rPr>
                <w:rFonts w:ascii="宋体" w:hAnsi="宋体"/>
                <w:color w:val="auto"/>
                <w:sz w:val="28"/>
                <w:szCs w:val="28"/>
                <w:highlight w:val="none"/>
              </w:rPr>
            </w:pPr>
          </w:p>
        </w:tc>
        <w:tc>
          <w:tcPr>
            <w:tcW w:w="1800" w:type="dxa"/>
            <w:vAlign w:val="center"/>
          </w:tcPr>
          <w:p>
            <w:pPr>
              <w:spacing w:before="154" w:beforeLines="50" w:after="154" w:afterLines="50" w:line="400" w:lineRule="exact"/>
              <w:jc w:val="center"/>
              <w:rPr>
                <w:rFonts w:ascii="宋体" w:hAnsi="宋体"/>
                <w:color w:val="auto"/>
                <w:sz w:val="28"/>
                <w:szCs w:val="28"/>
                <w:highlight w:val="none"/>
              </w:rPr>
            </w:pPr>
          </w:p>
        </w:tc>
        <w:tc>
          <w:tcPr>
            <w:tcW w:w="1244" w:type="dxa"/>
            <w:vAlign w:val="center"/>
          </w:tcPr>
          <w:p>
            <w:pPr>
              <w:spacing w:before="154" w:beforeLines="50" w:after="154" w:afterLines="50" w:line="400" w:lineRule="exact"/>
              <w:jc w:val="center"/>
              <w:rPr>
                <w:rFonts w:ascii="宋体" w:hAnsi="宋体"/>
                <w:color w:val="auto"/>
                <w:sz w:val="28"/>
                <w:szCs w:val="28"/>
                <w:highlight w:val="none"/>
              </w:rPr>
            </w:pPr>
          </w:p>
        </w:tc>
        <w:tc>
          <w:tcPr>
            <w:tcW w:w="1816" w:type="dxa"/>
            <w:vAlign w:val="center"/>
          </w:tcPr>
          <w:p>
            <w:pPr>
              <w:spacing w:before="154" w:beforeLines="50" w:after="154" w:afterLines="50" w:line="400" w:lineRule="exact"/>
              <w:jc w:val="center"/>
              <w:rPr>
                <w:rFonts w:ascii="宋体" w:hAnsi="宋体"/>
                <w:color w:val="auto"/>
                <w:sz w:val="28"/>
                <w:szCs w:val="28"/>
                <w:highlight w:val="none"/>
              </w:rPr>
            </w:pPr>
          </w:p>
        </w:tc>
        <w:tc>
          <w:tcPr>
            <w:tcW w:w="1118" w:type="dxa"/>
            <w:vAlign w:val="center"/>
          </w:tcPr>
          <w:p>
            <w:pPr>
              <w:spacing w:before="154" w:beforeLines="50" w:after="154" w:afterLines="50" w:line="400" w:lineRule="exact"/>
              <w:jc w:val="center"/>
              <w:rPr>
                <w:rFonts w:ascii="宋体" w:hAnsi="宋体"/>
                <w:color w:val="auto"/>
                <w:sz w:val="28"/>
                <w:szCs w:val="28"/>
                <w:highlight w:val="none"/>
              </w:rPr>
            </w:pPr>
          </w:p>
        </w:tc>
      </w:tr>
    </w:tbl>
    <w:p>
      <w:pPr>
        <w:snapToGrid w:val="0"/>
        <w:spacing w:line="500" w:lineRule="exac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注：须按照此表填写顺序提供业绩证明材料，业绩证明材料指20</w:t>
      </w:r>
      <w:r>
        <w:rPr>
          <w:rFonts w:hint="eastAsia" w:ascii="宋体" w:hAnsi="宋体" w:eastAsia="宋体" w:cs="Times New Roman"/>
          <w:color w:val="auto"/>
          <w:sz w:val="28"/>
          <w:szCs w:val="28"/>
          <w:highlight w:val="none"/>
          <w:lang w:val="en-US" w:eastAsia="zh-CN"/>
        </w:rPr>
        <w:t>2</w:t>
      </w:r>
      <w:r>
        <w:rPr>
          <w:rFonts w:hint="eastAsia" w:ascii="宋体" w:hAnsi="宋体" w:cs="Times New Roman"/>
          <w:color w:val="auto"/>
          <w:sz w:val="28"/>
          <w:szCs w:val="28"/>
          <w:highlight w:val="none"/>
          <w:lang w:val="en-US" w:eastAsia="zh-CN"/>
        </w:rPr>
        <w:t>1</w:t>
      </w:r>
      <w:r>
        <w:rPr>
          <w:rFonts w:hint="eastAsia" w:ascii="宋体" w:hAnsi="宋体" w:eastAsia="宋体" w:cs="Times New Roman"/>
          <w:color w:val="auto"/>
          <w:sz w:val="28"/>
          <w:szCs w:val="28"/>
          <w:highlight w:val="none"/>
        </w:rPr>
        <w:t>年至今具有从事</w:t>
      </w:r>
      <w:r>
        <w:rPr>
          <w:rFonts w:hint="eastAsia" w:ascii="宋体" w:hAnsi="宋体" w:eastAsia="宋体" w:cs="Times New Roman"/>
          <w:color w:val="auto"/>
          <w:sz w:val="28"/>
          <w:szCs w:val="28"/>
          <w:highlight w:val="none"/>
          <w:lang w:val="en-US" w:eastAsia="zh-CN"/>
        </w:rPr>
        <w:t>类似项目</w:t>
      </w:r>
      <w:r>
        <w:rPr>
          <w:rFonts w:hint="eastAsia" w:ascii="宋体" w:hAnsi="宋体" w:eastAsia="宋体" w:cs="Times New Roman"/>
          <w:color w:val="auto"/>
          <w:sz w:val="28"/>
          <w:szCs w:val="28"/>
          <w:highlight w:val="none"/>
        </w:rPr>
        <w:t>的中标通知书或服务合同扫描件</w:t>
      </w:r>
      <w:r>
        <w:rPr>
          <w:rFonts w:hint="eastAsia" w:ascii="宋体" w:hAnsi="宋体" w:eastAsia="宋体" w:cs="Times New Roman"/>
          <w:color w:val="auto"/>
          <w:sz w:val="28"/>
          <w:szCs w:val="28"/>
          <w:highlight w:val="none"/>
          <w:lang w:val="en-US" w:eastAsia="zh-CN"/>
        </w:rPr>
        <w:t>（合同首页、标的及金额所在页及合同签字盖章页）</w:t>
      </w:r>
      <w:r>
        <w:rPr>
          <w:rFonts w:hint="eastAsia" w:ascii="宋体" w:hAnsi="宋体" w:eastAsia="宋体" w:cs="Times New Roman"/>
          <w:color w:val="auto"/>
          <w:sz w:val="28"/>
          <w:szCs w:val="28"/>
          <w:highlight w:val="none"/>
        </w:rPr>
        <w:t>。</w:t>
      </w:r>
    </w:p>
    <w:p>
      <w:pPr>
        <w:snapToGrid w:val="0"/>
        <w:spacing w:line="5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pStyle w:val="2"/>
        <w:numPr>
          <w:ilvl w:val="0"/>
          <w:numId w:val="0"/>
        </w:numPr>
        <w:ind w:leftChars="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五、信用承诺书</w:t>
      </w:r>
    </w:p>
    <w:p>
      <w:pPr>
        <w:pStyle w:val="2"/>
        <w:numPr>
          <w:ilvl w:val="0"/>
          <w:numId w:val="0"/>
        </w:numPr>
        <w:ind w:leftChars="0"/>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投标人信用承诺书</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为营造公开、公平、公正、诚实守信的公共资源交易环境，树立诚信守法的投标人形象，本人代表本单位作出以下承诺：</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一、本单位对所提交的单位基本信息、负责人、项目负责人、技术负责人、从业资质和资格、业绩、财务状况、信誉等所有资料，均合法、真实、准确、有效，无任何伪造、修改、虚假成</w:t>
      </w:r>
      <w:r>
        <w:rPr>
          <w:rFonts w:hint="eastAsia" w:ascii="宋体" w:hAnsi="宋体" w:cs="Times New Roman"/>
          <w:color w:val="auto"/>
          <w:kern w:val="2"/>
          <w:sz w:val="28"/>
          <w:szCs w:val="28"/>
          <w:highlight w:val="none"/>
          <w:lang w:val="en-US" w:eastAsia="zh-CN" w:bidi="ar-SA"/>
        </w:rPr>
        <w:t>分</w:t>
      </w:r>
      <w:r>
        <w:rPr>
          <w:rFonts w:hint="eastAsia" w:ascii="宋体" w:hAnsi="宋体" w:eastAsia="宋体" w:cs="Times New Roman"/>
          <w:color w:val="auto"/>
          <w:kern w:val="2"/>
          <w:sz w:val="28"/>
          <w:szCs w:val="28"/>
          <w:highlight w:val="none"/>
          <w:lang w:val="en-US" w:eastAsia="zh-CN" w:bidi="ar-SA"/>
        </w:rPr>
        <w:t>，并对所提供资料的真实性负责；</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二、严格依照国家和省、州关于招标投标的法律、法规、规章、规范性文件，开展公共资源招标投标活动；积极履行社会责任，促进廉政建设；</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三、严格遵守即时信息公示规定，及时维护和更新按规定需在政府相关网站登记的企（事）业信息或其他公示信息；</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四、自我约束、自我管理，守合同、重信用，不参与围标串标、弄虚作假、骗取中标、干扰评标、违约毁约等行为，自觉维护公共资源招标投标的良好秩序；</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五、自觉接受政府、行业组织、社会公众、新闻舆论的监督；</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六、本单位自愿接受招标投标综合监督管理机构和有关行政监督部门的依法检查。如发生违法违规或不良行为，自愿接受招标投标综合监督管理机构和有关行政监督部门依法给予的行政处罚（处理），并依法承担赔偿责任和刑事责任；</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七、本人已认真阅读了上述承诺，并向本单位员工作了宣传教育。</w:t>
      </w:r>
    </w:p>
    <w:p>
      <w:pPr>
        <w:widowControl/>
        <w:wordWrap w:val="0"/>
        <w:topLinePunct/>
        <w:adjustRightInd w:val="0"/>
        <w:snapToGrid w:val="0"/>
        <w:ind w:firstLine="480"/>
        <w:jc w:val="left"/>
        <w:rPr>
          <w:rFonts w:hint="eastAsia" w:ascii="宋体" w:hAnsi="宋体" w:eastAsia="宋体" w:cs="Times New Roman"/>
          <w:color w:val="auto"/>
          <w:kern w:val="2"/>
          <w:sz w:val="28"/>
          <w:szCs w:val="28"/>
          <w:highlight w:val="none"/>
          <w:lang w:val="en-US" w:eastAsia="zh-CN" w:bidi="ar-SA"/>
        </w:rPr>
      </w:pPr>
    </w:p>
    <w:p>
      <w:pPr>
        <w:widowControl/>
        <w:wordWrap w:val="0"/>
        <w:topLinePunct/>
        <w:adjustRightInd w:val="0"/>
        <w:snapToGrid w:val="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 xml:space="preserve">法定代表人或其委托代理人：（电子签章或签字）        </w:t>
      </w:r>
    </w:p>
    <w:p>
      <w:pPr>
        <w:widowControl/>
        <w:wordWrap w:val="0"/>
        <w:topLinePunct/>
        <w:adjustRightInd w:val="0"/>
        <w:snapToGrid w:val="0"/>
        <w:jc w:val="left"/>
        <w:rPr>
          <w:rFonts w:hint="eastAsia" w:ascii="宋体" w:hAnsi="宋体" w:eastAsia="宋体" w:cs="Times New Roman"/>
          <w:color w:val="auto"/>
          <w:kern w:val="2"/>
          <w:sz w:val="28"/>
          <w:szCs w:val="28"/>
          <w:highlight w:val="none"/>
          <w:lang w:val="en-US" w:eastAsia="zh-CN" w:bidi="ar-SA"/>
        </w:rPr>
      </w:pPr>
    </w:p>
    <w:p>
      <w:pPr>
        <w:widowControl/>
        <w:wordWrap w:val="0"/>
        <w:topLinePunct/>
        <w:adjustRightInd w:val="0"/>
        <w:snapToGrid w:val="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单位名称（盖章）：</w:t>
      </w:r>
    </w:p>
    <w:p>
      <w:pPr>
        <w:widowControl/>
        <w:wordWrap w:val="0"/>
        <w:topLinePunct/>
        <w:adjustRightInd w:val="0"/>
        <w:snapToGrid w:val="0"/>
        <w:jc w:val="left"/>
        <w:rPr>
          <w:rFonts w:hint="eastAsia" w:ascii="宋体" w:hAnsi="宋体" w:eastAsia="宋体" w:cs="Times New Roman"/>
          <w:color w:val="auto"/>
          <w:kern w:val="2"/>
          <w:sz w:val="28"/>
          <w:szCs w:val="28"/>
          <w:highlight w:val="none"/>
          <w:lang w:val="en-US" w:eastAsia="zh-CN" w:bidi="ar-SA"/>
        </w:rPr>
      </w:pPr>
    </w:p>
    <w:p>
      <w:pPr>
        <w:widowControl/>
        <w:wordWrap w:val="0"/>
        <w:topLinePunct/>
        <w:adjustRightInd w:val="0"/>
        <w:snapToGrid w:val="0"/>
        <w:ind w:firstLine="5600" w:firstLineChars="200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年    月    日</w:t>
      </w:r>
    </w:p>
    <w:p>
      <w:pPr>
        <w:snapToGrid w:val="0"/>
        <w:spacing w:line="500" w:lineRule="exact"/>
        <w:jc w:val="center"/>
        <w:rPr>
          <w:rFonts w:hint="eastAsia" w:ascii="宋体" w:hAnsi="宋体" w:cs="宋体"/>
          <w:b/>
          <w:color w:val="auto"/>
          <w:sz w:val="28"/>
          <w:szCs w:val="28"/>
          <w:highlight w:val="none"/>
          <w:lang w:val="en-US" w:eastAsia="zh-CN"/>
        </w:rPr>
      </w:pPr>
    </w:p>
    <w:p>
      <w:pPr>
        <w:snapToGrid w:val="0"/>
        <w:spacing w:line="500" w:lineRule="exact"/>
        <w:jc w:val="center"/>
        <w:rPr>
          <w:rFonts w:hint="eastAsia" w:ascii="宋体" w:hAnsi="宋体" w:cs="宋体"/>
          <w:b/>
          <w:color w:val="auto"/>
          <w:sz w:val="28"/>
          <w:szCs w:val="28"/>
          <w:highlight w:val="none"/>
          <w:lang w:val="en-US" w:eastAsia="zh-CN"/>
        </w:rPr>
      </w:pPr>
    </w:p>
    <w:p>
      <w:pPr>
        <w:snapToGrid w:val="0"/>
        <w:spacing w:line="500" w:lineRule="exact"/>
        <w:jc w:val="center"/>
        <w:rPr>
          <w:rFonts w:hint="eastAsia" w:ascii="宋体" w:hAnsi="宋体" w:cs="宋体"/>
          <w:b/>
          <w:color w:val="auto"/>
          <w:sz w:val="28"/>
          <w:szCs w:val="28"/>
          <w:highlight w:val="none"/>
          <w:lang w:val="en-US" w:eastAsia="zh-CN"/>
        </w:rPr>
      </w:pPr>
    </w:p>
    <w:p>
      <w:pPr>
        <w:snapToGrid w:val="0"/>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六</w:t>
      </w:r>
      <w:r>
        <w:rPr>
          <w:rFonts w:hint="eastAsia" w:ascii="宋体" w:hAnsi="宋体" w:cs="宋体"/>
          <w:b/>
          <w:color w:val="auto"/>
          <w:sz w:val="28"/>
          <w:szCs w:val="28"/>
          <w:highlight w:val="none"/>
        </w:rPr>
        <w:t>、磋商文件要求以及供应商认为有必要提供的资料</w:t>
      </w:r>
    </w:p>
    <w:bookmarkEnd w:id="89"/>
    <w:bookmarkEnd w:id="94"/>
    <w:bookmarkEnd w:id="9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kzidenz Grotesk">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sz w:val="21"/>
        <w:szCs w:val="21"/>
      </w:rPr>
    </w:pPr>
    <w:r>
      <w:rPr>
        <w:rFonts w:hint="eastAsia" w:ascii="宋体" w:hAnsi="宋体"/>
        <w:sz w:val="21"/>
        <w:szCs w:val="21"/>
      </w:rPr>
      <w:t>云南工程咨询有限公司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2815590</wp:posOffset>
              </wp:positionH>
              <wp:positionV relativeFrom="paragraph">
                <wp:posOffset>-614045</wp:posOffset>
              </wp:positionV>
              <wp:extent cx="1075690" cy="614045"/>
              <wp:effectExtent l="0" t="0" r="0" b="0"/>
              <wp:wrapNone/>
              <wp:docPr id="7" name="文本框 61"/>
              <wp:cNvGraphicFramePr/>
              <a:graphic xmlns:a="http://schemas.openxmlformats.org/drawingml/2006/main">
                <a:graphicData uri="http://schemas.microsoft.com/office/word/2010/wordprocessingShape">
                  <wps:wsp>
                    <wps:cNvSpPr txBox="1"/>
                    <wps:spPr>
                      <a:xfrm flipV="1">
                        <a:off x="0" y="0"/>
                        <a:ext cx="1075690" cy="614045"/>
                      </a:xfrm>
                      <a:prstGeom prst="rect">
                        <a:avLst/>
                      </a:prstGeom>
                      <a:noFill/>
                      <a:ln>
                        <a:noFill/>
                      </a:ln>
                    </wps:spPr>
                    <wps:txbx>
                      <w:txbxContent>
                        <w:p>
                          <w:pPr>
                            <w:pStyle w:val="12"/>
                          </w:pPr>
                        </w:p>
                      </w:txbxContent>
                    </wps:txbx>
                    <wps:bodyPr wrap="square" lIns="0" tIns="0" rIns="0" bIns="0" upright="1">
                      <a:noAutofit/>
                    </wps:bodyPr>
                  </wps:wsp>
                </a:graphicData>
              </a:graphic>
            </wp:anchor>
          </w:drawing>
        </mc:Choice>
        <mc:Fallback>
          <w:pict>
            <v:shape id="文本框 61" o:spid="_x0000_s1026" o:spt="202" type="#_x0000_t202" style="position:absolute;left:0pt;flip:y;margin-left:221.7pt;margin-top:-48.35pt;height:48.35pt;width:84.7pt;mso-position-horizontal-relative:margin;z-index:251666432;mso-width-relative:page;mso-height-relative:page;" filled="f" stroked="f" coordsize="21600,21600" o:gfxdata="UEsDBAoAAAAAAIdO4kAAAAAAAAAAAAAAAAAEAAAAZHJzL1BLAwQUAAAACACHTuJASKbkY9cAAAAI&#10;AQAADwAAAGRycy9kb3ducmV2LnhtbE2PQU7DMBBF90jcwRokdq2dEKU0xKkQCAkWLCg9gBsPcSAe&#10;R7Hbhp6eYQXL0Ty9/3+9mf0gjjjFPpCGbKlAILXB9tRp2L0/LW5BxGTImiEQavjGCJvm8qI2lQ0n&#10;esPjNnWCJRQro8GlNFZSxtahN3EZRiT+fYTJm8Tn1Ek7mRPL/SBzpUrpTU+c4MyIDw7br+3Ba1Bz&#10;9uJeXf68u189muxz7c/nzmt9fZWpOxAJ5/QHw299rg4Nd9qHA9koBg1FcVMwqmGxLlcgmCiznMfs&#10;WQ+yqeX/Ac0PUEsDBBQAAAAIAIdO4kCkHzmS1gEAAKUDAAAOAAAAZHJzL2Uyb0RvYy54bWytU8GO&#10;0zAQvSPxD5bvNOlqtwtR0xWoWoSEAGmBu+vYjSXbY2ynSX8A/oATF+77Xf0Oxk5SYLnsgYs1nhm/&#10;mfdmvL4ZjCYH4YMCW9PloqREWA6Nsvuafvp4++w5JSEy2zANVtT0KAK92Tx9su5dJS6gBd0ITxDE&#10;hqp3NW1jdFVRBN4Kw8ICnLAYlOANi3j1+6LxrEd0o4uLslwVPfjGeeAiBPRuxyCdEP1jAEFKxcUW&#10;eGeEjSOqF5pFpBRa5QLd5G6lFDy+lzKISHRNkWnMJxZBe5fOYrNm1d4z1yo+tcAe08IDToYpi0XP&#10;UFsWGem8+gfKKO4hgIwLDqYYiWRFkMWyfKDNXcucyFxQ6uDOoof/B8vfHT54opqaXlNimcGBn75/&#10;O/24P/38SlbLpE/vQoVpdw4T4/AKBtya2R/QmWgP0hsitXKfUzB5kBrBTNT5eNZZDJHw9Ly8vlq9&#10;wBDH2Gp5WV5eJcBixEmvnQ/xtQBDklFTj3PMqOzwNsQxdU5J6RZuldZ5ltr+5UDM5CkSibHZZMVh&#10;N0zMdtAckViPK1DT8KVjXlCi31jUOO3LbPjZ2M1G57zat9jcyNfCyy6CVLm7VGMEnkrj9DK/adPS&#10;evx5z1m/f9f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im5GPXAAAACAEAAA8AAAAAAAAAAQAg&#10;AAAAIgAAAGRycy9kb3ducmV2LnhtbFBLAQIUABQAAAAIAIdO4kCkHzmS1gEAAKUDAAAOAAAAAAAA&#10;AAEAIAAAACYBAABkcnMvZTJvRG9jLnhtbFBLBQYAAAAABgAGAFkBAABuBQAAAAA=&#10;">
              <v:fill on="f" focussize="0,0"/>
              <v:stroke on="f"/>
              <v:imagedata o:title=""/>
              <o:lock v:ext="edit" aspectratio="f"/>
              <v:textbox inset="0mm,0mm,0mm,0mm">
                <w:txbxContent>
                  <w:p>
                    <w:pPr>
                      <w:pStyle w:val="12"/>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3574415</wp:posOffset>
              </wp:positionH>
              <wp:positionV relativeFrom="paragraph">
                <wp:posOffset>-1409700</wp:posOffset>
              </wp:positionV>
              <wp:extent cx="139700" cy="130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97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111pt;height:10.3pt;width:11pt;mso-position-horizontal-relative:margin;z-index:251667456;mso-width-relative:page;mso-height-relative:page;" filled="f" stroked="f" coordsize="21600,21600" o:gfxdata="UEsDBAoAAAAAAIdO4kAAAAAAAAAAAAAAAAAEAAAAZHJzL1BLAwQUAAAACACHTuJAxXk5cNoAAAAN&#10;AQAADwAAAGRycy9kb3ducmV2LnhtbE2Py07DMBBF90j8gzVI7Fo7VluVEKcLHjsepbQS7Jx4SCJi&#10;O7KdtPw90xUs587RfRSbk+3ZhCF23inI5gIYutqbzjUK9u+PszWwmLQzuvcOFfxghE15eVHo3Pij&#10;e8NplxpGJi7mWkGb0pBzHusWrY5zP6Cj35cPVic6Q8NN0Ecytz2XQqy41Z2jhFYPeNdi/b0brYL+&#10;I4anSqTP6b55TttXPh4eshelrq8ycQss4Sn9wXCuT9WhpE6VH52JrFewXMkbQhXMpJS0ipDlekFS&#10;dZZEtgBeFvz/ivIXUEsDBBQAAAAIAIdO4kB2eAkYMQIAAFUEAAAOAAAAZHJzL2Uyb0RvYy54bWyt&#10;VMFu1DAQvSPxD5bvNNmuKGXVbLV0VYRU0UoFcfY6ThPJ9hjb26R8APwBJy7c+a5+B8/OZosKhx64&#10;eCeemTfz3oz35HQwmt0qHzqyFZ8dlJwpK6nu7E3FP344f3HMWYjC1kKTVRW/U4GfLp8/O+ndQh1S&#10;S7pWngHEhkXvKt7G6BZFEWSrjAgH5JSFsyFvRMSnvylqL3qgG10cluVR0ZOvnSepQsDtenTyHaJ/&#10;CiA1TSfVmuTWKBtHVK+0iKAU2s4FvszdNo2S8bJpgopMVxxMYz5RBPYmncXyRCxuvHBtJ3ctiKe0&#10;8IiTEZ1F0T3UWkTBtr77C8p00lOgJh5IMsVIJCsCFrPykTbXrXAqc4HUwe1FD/8PVr6/vfKsqyuO&#10;sVthMPD779/uf/y6//mVHSd5ehcWiLp2iIvDGxqwNNN9wGViPTTepF/wYfBD3Lu9uGqITKak+etX&#10;JTwSrtm8PJ5l8YuHZOdDfKvIsGRU3GN2WVJxexEiGkHoFJJqWTrvtM7z05b1FT+avyxzwt6DDG2R&#10;mCiMrSYrDpthx2tD9R1oeRr3Ijh53qH4hQjxSngsAvrFU4mXOBpNKEI7i7OW/Jd/3ad4zAdeznos&#10;VsXD563wijP9zmJygIyT4SdjMxl2a84IuzrDI3Qym0jwUU9m48l8wgtapSpwCStRq+JxMs/iuN54&#10;gVKtVjkIu+ZEvLDXTiboUb7VNlLTZWWTLKMWO7WwbVnw3ctI6/znd456+D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eTlw2gAAAA0BAAAPAAAAAAAAAAEAIAAAACIAAABkcnMvZG93bnJldi54&#10;bWxQSwECFAAUAAAACACHTuJAdngJGDECAABVBAAADgAAAAAAAAABACAAAAApAQAAZHJzL2Uyb0Rv&#10;Yy54bWxQSwUGAAAAAAYABgBZAQAAzAUAAAAA&#10;">
              <v:fill on="f" focussize="0,0"/>
              <v:stroke on="f" weight="0.5pt"/>
              <v:imagedata o:title=""/>
              <o:lock v:ext="edit" aspectratio="f"/>
              <v:textbox inset="0mm,0mm,0mm,0mm">
                <w:txbxContent>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w:t>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m28fgAQAAxQMAAA4AAABkcnMvZTJvRG9jLnhtbK1TwY7TMBC9&#10;I/EPlu802SJBFTVdAdUiJARICx/gOk5jyfZY9rRJ+QD4A05cuPNd/Y4dO0kXlsseuCRjz/jNe8/j&#10;9fVgDTuqEDW4ml8tSs6Uk9Bot6/5l883z1acRRSuEQacqvlJRX69efpk3ftKLaED06jACMTFqvc1&#10;7xB9VRRRdsqKuACvHCVbCFYgLcO+aILoCd2aYlmWL4oeQuMDSBUj7W7HJJ8Qw2MAoW21VFuQB6sc&#10;jqhBGYEkKXbaR77JbNtWSfzYtlEhMzUnpZi/1ITiXfoWm7Wo9kH4TsuJgngMhQearNCOml6gtgIF&#10;OwT9D5TVMkCEFhcSbDEKyY6QiqvygTe3nfAqayGro7+YHv8frPxw/BSYbmgSlpw5YenGzz++n3/+&#10;Pv/6xp4nf3ofKyq79VSIw2sYqHbej7SZZA9tsOlPghjlyd3TxV01IJPp0Gq5WpWUkpSbF4Rf3B/3&#10;IeJbBZaloOaBri+7Ko7vI46lc0nq5uBGG5Ov0DjWJw0vqcFfKUI3jpokFSPbFOGwGyZpO2hOpCzA&#10;OBv0MijoIHzlrKe5qLmjZ8CZeefI9jRCcxDmYDcHwkk6WHPkbAzfYB61RCj6VwckvllGojD2nZjR&#10;7WYjpklM4/PnOlfdv77N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In3a/TAAAABQEAAA8AAAAA&#10;AAAAAQAgAAAAIgAAAGRycy9kb3ducmV2LnhtbFBLAQIUABQAAAAIAIdO4kDf5tvH4AEAAMUDAAAO&#10;AAAAAAAAAAEAIAAAACIBAABkcnMvZTJvRG9jLnhtbFBLBQYAAAAABgAGAFkBAAB0BQAAAAA=&#10;">
              <v:fill on="f" focussize="0,0"/>
              <v:stroke on="f" weight="1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obYxcgBAACa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XdF&#10;nz5AjWmPARPT8MYPuDVZt+wHdGbag4o2f5EQwTiqe76qK4dERH60Xq3XFYYExuYL4rDb8xAhvZXe&#10;kmw0NOL4iqr89B7SmDqn5GrOP2h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aG2MXIAQAAmgMAAA4AAAAAAAAAAQAgAAAAHgEAAGRycy9lMm9Eb2Mu&#10;eG1sUEsFBgAAAAAGAAYAWQEAAFgFAAAAAA==&#10;">
              <v:fill on="f" focussize="0,0"/>
              <v:stroke on="f"/>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posOffset>2815590</wp:posOffset>
              </wp:positionH>
              <wp:positionV relativeFrom="paragraph">
                <wp:posOffset>-614045</wp:posOffset>
              </wp:positionV>
              <wp:extent cx="1075690" cy="614045"/>
              <wp:effectExtent l="0" t="0" r="0" b="0"/>
              <wp:wrapNone/>
              <wp:docPr id="3" name="文本框 61"/>
              <wp:cNvGraphicFramePr/>
              <a:graphic xmlns:a="http://schemas.openxmlformats.org/drawingml/2006/main">
                <a:graphicData uri="http://schemas.microsoft.com/office/word/2010/wordprocessingShape">
                  <wps:wsp>
                    <wps:cNvSpPr txBox="1"/>
                    <wps:spPr>
                      <a:xfrm flipV="1">
                        <a:off x="0" y="0"/>
                        <a:ext cx="1075690" cy="614045"/>
                      </a:xfrm>
                      <a:prstGeom prst="rect">
                        <a:avLst/>
                      </a:prstGeom>
                      <a:noFill/>
                      <a:ln>
                        <a:noFill/>
                      </a:ln>
                    </wps:spPr>
                    <wps:txbx>
                      <w:txbxContent>
                        <w:p>
                          <w:pPr>
                            <w:pStyle w:val="12"/>
                          </w:pPr>
                        </w:p>
                      </w:txbxContent>
                    </wps:txbx>
                    <wps:bodyPr wrap="square" lIns="0" tIns="0" rIns="0" bIns="0" upright="1">
                      <a:noAutofit/>
                    </wps:bodyPr>
                  </wps:wsp>
                </a:graphicData>
              </a:graphic>
            </wp:anchor>
          </w:drawing>
        </mc:Choice>
        <mc:Fallback>
          <w:pict>
            <v:shape id="文本框 61" o:spid="_x0000_s1026" o:spt="202" type="#_x0000_t202" style="position:absolute;left:0pt;flip:y;margin-left:221.7pt;margin-top:-48.35pt;height:48.35pt;width:84.7pt;mso-position-horizontal-relative:margin;z-index:251661312;mso-width-relative:page;mso-height-relative:page;" filled="f" stroked="f" coordsize="21600,21600" o:gfxdata="UEsDBAoAAAAAAIdO4kAAAAAAAAAAAAAAAAAEAAAAZHJzL1BLAwQUAAAACACHTuJASKbkY9cAAAAI&#10;AQAADwAAAGRycy9kb3ducmV2LnhtbE2PQU7DMBBF90jcwRokdq2dEKU0xKkQCAkWLCg9gBsPcSAe&#10;R7Hbhp6eYQXL0Ty9/3+9mf0gjjjFPpCGbKlAILXB9tRp2L0/LW5BxGTImiEQavjGCJvm8qI2lQ0n&#10;esPjNnWCJRQro8GlNFZSxtahN3EZRiT+fYTJm8Tn1Ek7mRPL/SBzpUrpTU+c4MyIDw7br+3Ba1Bz&#10;9uJeXf68u189muxz7c/nzmt9fZWpOxAJ5/QHw299rg4Nd9qHA9koBg1FcVMwqmGxLlcgmCiznMfs&#10;WQ+yqeX/Ac0PUEsDBBQAAAAIAIdO4kAjScCV1gEAAKUDAAAOAAAAZHJzL2Uyb0RvYy54bWytU82O&#10;EzEMviPxDlHuNNNlt8Co0xWoWoSEAGmBe5pJOpGSOCSZzvQF4A04cdk7z9XnwJmfAstlD1wix3Y+&#10;+/vsrK97a8hBhqjBVXS5KCiRTkCt3b6inz7ePHlOSUzc1dyAkxU9ykivN48frTtfygtowNQyEARx&#10;sex8RZuUfMlYFI20PC7AS4dBBcHyhNewZ3XgHaJbwy6KYsU6CLUPIGSM6N2OQTohhocAglJayC2I&#10;1kqXRtQgDU9IKTbaR7oZulVKivReqSgTMRVFpmk4sQjau3yyzZqX+8B9o8XUAn9IC/c4Wa4dFj1D&#10;bXnipA36HyirRYAIKi0EWDYSGRRBFsvinja3Dfdy4IJSR38WPf4/WPHu8CEQXVf0KSWOWxz46fu3&#10;04+fp7uvZLXM+nQ+lph26zEx9a+gx62Z/RGdmXavgiXKaP85B7MHqRHMRJ2PZ51ln4jIz4tnV6sX&#10;GBIYWy0vi8urDMhGnPzah5heS7AkGxUNOMcBlR/exjSmzik53cGNNmaYpXF/ORAze1gmMTabrdTv&#10;+onZDuojEutwBSoav7Q8SErMG4ca532ZjTAbu9lofdD7Bpsb+Tp42SZQeugu1xiBp9I4vYHftGl5&#10;Pf68D1m/f9f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im5GPXAAAACAEAAA8AAAAAAAAAAQAg&#10;AAAAIgAAAGRycy9kb3ducmV2LnhtbFBLAQIUABQAAAAIAIdO4kAjScCV1gEAAKUDAAAOAAAAAAAA&#10;AAEAIAAAACYBAABkcnMvZTJvRG9jLnhtbFBLBQYAAAAABgAGAFkBAABuBQAAAAA=&#10;">
              <v:fill on="f" focussize="0,0"/>
              <v:stroke on="f"/>
              <v:imagedata o:title=""/>
              <o:lock v:ext="edit" aspectratio="f"/>
              <v:textbox inset="0mm,0mm,0mm,0mm">
                <w:txbxContent>
                  <w:p>
                    <w:pPr>
                      <w:pStyle w:val="12"/>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3574415</wp:posOffset>
              </wp:positionH>
              <wp:positionV relativeFrom="paragraph">
                <wp:posOffset>-1409700</wp:posOffset>
              </wp:positionV>
              <wp:extent cx="139700" cy="130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970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111pt;height:10.3pt;width:11pt;mso-position-horizontal-relative:margin;z-index:251662336;mso-width-relative:page;mso-height-relative:page;" filled="f" stroked="f" coordsize="21600,21600" o:gfxdata="UEsDBAoAAAAAAIdO4kAAAAAAAAAAAAAAAAAEAAAAZHJzL1BLAwQUAAAACACHTuJAxXk5cNoAAAAN&#10;AQAADwAAAGRycy9kb3ducmV2LnhtbE2Py07DMBBF90j8gzVI7Fo7VluVEKcLHjsepbQS7Jx4SCJi&#10;O7KdtPw90xUs587RfRSbk+3ZhCF23inI5gIYutqbzjUK9u+PszWwmLQzuvcOFfxghE15eVHo3Pij&#10;e8NplxpGJi7mWkGb0pBzHusWrY5zP6Cj35cPVic6Q8NN0Ecytz2XQqy41Z2jhFYPeNdi/b0brYL+&#10;I4anSqTP6b55TttXPh4eshelrq8ycQss4Sn9wXCuT9WhpE6VH52JrFewXMkbQhXMpJS0ipDlekFS&#10;dZZEtgBeFvz/ivIXUEsDBBQAAAAIAIdO4kCIf/UJMAIAAFUEAAAOAAAAZHJzL2Uyb0RvYy54bWyt&#10;VMFu1DAQvSPxD5bvNNmuKGXVbLV0VYRU0UoFcfY6ThPJ9hjb26R8APwBJy7c+a5+B89OdosKhx64&#10;eF88M29m3oz35HQwmt0qHzqyFZ8dlJwpK6nu7E3FP344f3HMWYjC1kKTVRW/U4GfLp8/O+ndQh1S&#10;S7pWnoHEhkXvKt7G6BZFEWSrjAgH5JSFsSFvRMSnvylqL3qwG10cluVR0ZOvnSepQsDtejTyidE/&#10;hZCappNqTXJrlI0jq1daRLQU2s4FvszVNo2S8bJpgopMVxydxnwiCfAmncXyRCxuvHBtJ6cSxFNK&#10;eNSTEZ1F0j3VWkTBtr77i8p00lOgJh5IMsXYSFYEXczKR9pct8Kp3AukDm4vevh/tPL97ZVnXY1N&#10;4MwKg4Hff/92/+PX/c+vbJbk6V1YwOvawS8Ob2hIrtN9wGXqemi8Sb/oh8EOce/24qohMpmC5q9f&#10;lbBImGbz8niWxS8egp0P8a0iwxKouMfssqTi9iJEJITrziXlsnTeaZ3npy3rK340f1nmgL0FEdoi&#10;MLUwlppQHDbDVP+G6ju05Wnci+DkeYfkFyLEK+GxCKgXTyVe4mg0IQlNiLOW/Jd/3Sd/zAdWznos&#10;VsXD563wijP9zmJyoIw74HdgswN2a84Iu4ppoJoMEeCj3sHGk/mEF7RKWWASViJXxeMOnsVxvfEC&#10;pVqtshN2zYl4Ya+dTNSjfKttpKbLyiZZRi0mtbBtWfDpZaR1/vM7ez38G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V5OXDaAAAADQEAAA8AAAAAAAAAAQAgAAAAIgAAAGRycy9kb3ducmV2Lnht&#10;bFBLAQIUABQAAAAIAIdO4kCIf/UJMAIAAFUEAAAOAAAAAAAAAAEAIAAAACkBAABkcnMvZTJvRG9j&#10;LnhtbFBLBQYAAAAABgAGAFkBAADLBQAAAAA=&#10;">
              <v:fill on="f" focussize="0,0"/>
              <v:stroke on="f" weight="0.5pt"/>
              <v:imagedata o:title=""/>
              <o:lock v:ext="edit" aspectratio="f"/>
              <v:textbox inset="0mm,0mm,0mm,0mm">
                <w:txbxConten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wrap="none" lIns="0" tIns="0" rIns="0" bIns="0" upright="1">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BiWckBAACaAwAADgAAAGRycy9lMm9Eb2MueG1srVNLbtswEN0XyB0I&#10;7mPJXhiGYDlIYKQoEKQF0h6ApkiLAH/g0JZ8gfYGXXXTfc/lc3RISXabbrLohhrODN/MezNa3/VG&#10;k6MIoJyt6XxWUiIsd42y+5p++fx4u6IEIrMN086Kmp4E0LvNzbt15yuxcK3TjQgEQSxUna9pG6Ov&#10;igJ4KwyDmfPCYlC6YFjEa9gXTWAdohtdLMpyWXQuND44LgDQux2CdEQMbwF0Uiouto4fjLBxQA1C&#10;s4iUoFUe6CZ3K6Xg8aOUICLRNUWmMZ9YBO1dOovNmlX7wHyr+NgCe0sLrzgZpiwWvUBtWWTkENQ/&#10;UEbx4MDJOOPOFAORrAiymJevtHlpmReZC0oN/iI6/D9Y/nz8FIhqarqkxDKDAz9//3b+8ev88ytZ&#10;Zn06DxWmvXhMjP2D63Frkm7JD+hMtHsZTPoiIYJxVPd0UVf0kfD0aLVYrUoMcYxNF8Qprs99gPhe&#10;OEOSUdOA48uqsuMTxCF1SknVrHtUWucRavuXAzGTp7j2mKzY7/qx8Z1rTsinw8nX1OKiU6I/WBQ2&#10;LclkhMnYTcbBB7VvsbV57gv8/SFiE7m3VGGAHQvjyDK7cb3STvx5z1nX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EGJZyQEAAJo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left"/>
    </w:pPr>
    <w:r>
      <w:rPr>
        <w:rFonts w:hint="eastAsia"/>
      </w:rPr>
      <w:t>瑞丽市政府采购和出让中心竞争性磋商文件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left"/>
    </w:pPr>
    <w:r>
      <w:rPr>
        <w:rFonts w:hint="eastAsia"/>
      </w:rPr>
      <w:t>瑞丽市政府采购和出让中心竞争性磋商文件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left"/>
    </w:pPr>
    <w:r>
      <w:rPr>
        <w:rFonts w:hint="eastAsia"/>
      </w:rPr>
      <w:t>瑞丽市政府采购和出让中心竞争性磋商文件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375A1"/>
    <w:multiLevelType w:val="singleLevel"/>
    <w:tmpl w:val="F9E375A1"/>
    <w:lvl w:ilvl="0" w:tentative="0">
      <w:start w:val="3"/>
      <w:numFmt w:val="chineseCounting"/>
      <w:suff w:val="space"/>
      <w:lvlText w:val="第%1部分"/>
      <w:lvlJc w:val="left"/>
      <w:rPr>
        <w:rFonts w:hint="eastAsia"/>
      </w:rPr>
    </w:lvl>
  </w:abstractNum>
  <w:abstractNum w:abstractNumId="1">
    <w:nsid w:val="45EB074B"/>
    <w:multiLevelType w:val="singleLevel"/>
    <w:tmpl w:val="45EB074B"/>
    <w:lvl w:ilvl="0" w:tentative="0">
      <w:start w:val="1"/>
      <w:numFmt w:val="chineseCounting"/>
      <w:suff w:val="nothing"/>
      <w:lvlText w:val="%1、"/>
      <w:lvlJc w:val="left"/>
      <w:pPr>
        <w:ind w:left="630"/>
      </w:pPr>
      <w:rPr>
        <w:rFonts w:hint="eastAsia"/>
      </w:rPr>
    </w:lvl>
  </w:abstractNum>
  <w:abstractNum w:abstractNumId="2">
    <w:nsid w:val="72851031"/>
    <w:multiLevelType w:val="singleLevel"/>
    <w:tmpl w:val="72851031"/>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ZjEyNGQ1YWQ2MmIxODhkMGY1M2Y2NWJlMjc5NTAifQ=="/>
    <w:docVar w:name="DocumentID" w:val="{2DD18548-10ED-4D91-8F99-521E9910CAFC}"/>
    <w:docVar w:name="DocumentName" w:val="瑞丽市机关事务管理局市行政服务中心电梯采购项目成交公告"/>
  </w:docVars>
  <w:rsids>
    <w:rsidRoot w:val="7EE06DAB"/>
    <w:rsid w:val="006154DC"/>
    <w:rsid w:val="007D62EE"/>
    <w:rsid w:val="00C563C0"/>
    <w:rsid w:val="00FF4AB2"/>
    <w:rsid w:val="015D59F5"/>
    <w:rsid w:val="01713AEC"/>
    <w:rsid w:val="01A344C1"/>
    <w:rsid w:val="01AD00CE"/>
    <w:rsid w:val="01BA51E5"/>
    <w:rsid w:val="01E925F2"/>
    <w:rsid w:val="01E95658"/>
    <w:rsid w:val="021E1762"/>
    <w:rsid w:val="02323BAA"/>
    <w:rsid w:val="025739FF"/>
    <w:rsid w:val="025D6BED"/>
    <w:rsid w:val="029C7035"/>
    <w:rsid w:val="02DB4B9B"/>
    <w:rsid w:val="02F61B44"/>
    <w:rsid w:val="032853BC"/>
    <w:rsid w:val="032D650E"/>
    <w:rsid w:val="03580CF0"/>
    <w:rsid w:val="0365741F"/>
    <w:rsid w:val="03E84175"/>
    <w:rsid w:val="04706F60"/>
    <w:rsid w:val="049C4F1D"/>
    <w:rsid w:val="04FF173F"/>
    <w:rsid w:val="051261E1"/>
    <w:rsid w:val="051F6190"/>
    <w:rsid w:val="05577EAF"/>
    <w:rsid w:val="058B0AF5"/>
    <w:rsid w:val="05D27896"/>
    <w:rsid w:val="06091535"/>
    <w:rsid w:val="06434355"/>
    <w:rsid w:val="06624721"/>
    <w:rsid w:val="06CE2C50"/>
    <w:rsid w:val="06F56377"/>
    <w:rsid w:val="070B3D9D"/>
    <w:rsid w:val="072C725E"/>
    <w:rsid w:val="075F3828"/>
    <w:rsid w:val="07672E32"/>
    <w:rsid w:val="07830DF7"/>
    <w:rsid w:val="07AC353E"/>
    <w:rsid w:val="07D85320"/>
    <w:rsid w:val="07F933E3"/>
    <w:rsid w:val="08051A37"/>
    <w:rsid w:val="081B19DC"/>
    <w:rsid w:val="082038E6"/>
    <w:rsid w:val="083A0C0C"/>
    <w:rsid w:val="08533D34"/>
    <w:rsid w:val="0863552B"/>
    <w:rsid w:val="08CB1337"/>
    <w:rsid w:val="08EC33BB"/>
    <w:rsid w:val="093C56FD"/>
    <w:rsid w:val="094C572A"/>
    <w:rsid w:val="09DB613A"/>
    <w:rsid w:val="09F337E1"/>
    <w:rsid w:val="0A0440BF"/>
    <w:rsid w:val="0A1A6F23"/>
    <w:rsid w:val="0A222023"/>
    <w:rsid w:val="0A2B7E3A"/>
    <w:rsid w:val="0A5C4B0D"/>
    <w:rsid w:val="0A9F3AE0"/>
    <w:rsid w:val="0AD30054"/>
    <w:rsid w:val="0ADF5165"/>
    <w:rsid w:val="0AE51B78"/>
    <w:rsid w:val="0B0F2966"/>
    <w:rsid w:val="0B13156C"/>
    <w:rsid w:val="0B1A2FC8"/>
    <w:rsid w:val="0B83184E"/>
    <w:rsid w:val="0BDF5CF2"/>
    <w:rsid w:val="0BF212CC"/>
    <w:rsid w:val="0C1856E4"/>
    <w:rsid w:val="0C314090"/>
    <w:rsid w:val="0C4E7DBD"/>
    <w:rsid w:val="0C5B1651"/>
    <w:rsid w:val="0C7241D2"/>
    <w:rsid w:val="0C9D2956"/>
    <w:rsid w:val="0CE20630"/>
    <w:rsid w:val="0CEE7CC6"/>
    <w:rsid w:val="0D006A41"/>
    <w:rsid w:val="0D194566"/>
    <w:rsid w:val="0D427477"/>
    <w:rsid w:val="0D4F31E3"/>
    <w:rsid w:val="0D512692"/>
    <w:rsid w:val="0DA0129A"/>
    <w:rsid w:val="0DC16F2D"/>
    <w:rsid w:val="0DDF2139"/>
    <w:rsid w:val="0DE74463"/>
    <w:rsid w:val="0DEE7869"/>
    <w:rsid w:val="0E005C19"/>
    <w:rsid w:val="0E19582D"/>
    <w:rsid w:val="0E2829DD"/>
    <w:rsid w:val="0E3A41D5"/>
    <w:rsid w:val="0E44309D"/>
    <w:rsid w:val="0EC07A7C"/>
    <w:rsid w:val="0EE05EF8"/>
    <w:rsid w:val="0EE71797"/>
    <w:rsid w:val="0F2729AB"/>
    <w:rsid w:val="0F714162"/>
    <w:rsid w:val="0F840D2D"/>
    <w:rsid w:val="0F9E7FC2"/>
    <w:rsid w:val="0FA12732"/>
    <w:rsid w:val="0FEE2832"/>
    <w:rsid w:val="101722B6"/>
    <w:rsid w:val="106A4A85"/>
    <w:rsid w:val="106D0B81"/>
    <w:rsid w:val="10817E99"/>
    <w:rsid w:val="11350618"/>
    <w:rsid w:val="113C7F55"/>
    <w:rsid w:val="118273C5"/>
    <w:rsid w:val="119B26BB"/>
    <w:rsid w:val="11A021F8"/>
    <w:rsid w:val="11F66601"/>
    <w:rsid w:val="123C6334"/>
    <w:rsid w:val="12A65AFE"/>
    <w:rsid w:val="12B96010"/>
    <w:rsid w:val="12BF15EA"/>
    <w:rsid w:val="133E099F"/>
    <w:rsid w:val="137C6286"/>
    <w:rsid w:val="13872098"/>
    <w:rsid w:val="138A564C"/>
    <w:rsid w:val="13A670CA"/>
    <w:rsid w:val="13F06245"/>
    <w:rsid w:val="14316CAE"/>
    <w:rsid w:val="1475649E"/>
    <w:rsid w:val="14911F98"/>
    <w:rsid w:val="149312D1"/>
    <w:rsid w:val="14997957"/>
    <w:rsid w:val="149A6190"/>
    <w:rsid w:val="14A3156B"/>
    <w:rsid w:val="14A32AD4"/>
    <w:rsid w:val="14AF537E"/>
    <w:rsid w:val="14B57287"/>
    <w:rsid w:val="14D75E10"/>
    <w:rsid w:val="14DD4BC8"/>
    <w:rsid w:val="14E60336"/>
    <w:rsid w:val="159F4A8F"/>
    <w:rsid w:val="15AD6BDD"/>
    <w:rsid w:val="15CD44D1"/>
    <w:rsid w:val="15FE22BC"/>
    <w:rsid w:val="166825CE"/>
    <w:rsid w:val="16841A81"/>
    <w:rsid w:val="16977DB2"/>
    <w:rsid w:val="16D8355A"/>
    <w:rsid w:val="16E36DB9"/>
    <w:rsid w:val="16E70825"/>
    <w:rsid w:val="174B5FC7"/>
    <w:rsid w:val="17650D6F"/>
    <w:rsid w:val="178C31AD"/>
    <w:rsid w:val="17ED1F4D"/>
    <w:rsid w:val="180266AA"/>
    <w:rsid w:val="1824217E"/>
    <w:rsid w:val="18355624"/>
    <w:rsid w:val="184E7EED"/>
    <w:rsid w:val="187C2AA7"/>
    <w:rsid w:val="18B47ED5"/>
    <w:rsid w:val="18C035AA"/>
    <w:rsid w:val="18D944D4"/>
    <w:rsid w:val="18E7126B"/>
    <w:rsid w:val="18F56002"/>
    <w:rsid w:val="19475A95"/>
    <w:rsid w:val="194E1F14"/>
    <w:rsid w:val="1988764B"/>
    <w:rsid w:val="19D94077"/>
    <w:rsid w:val="1A437ED6"/>
    <w:rsid w:val="1A877692"/>
    <w:rsid w:val="1AA90718"/>
    <w:rsid w:val="1ABF357B"/>
    <w:rsid w:val="1B06446D"/>
    <w:rsid w:val="1B6922CA"/>
    <w:rsid w:val="1B81532C"/>
    <w:rsid w:val="1B905946"/>
    <w:rsid w:val="1BD318B3"/>
    <w:rsid w:val="1BD53A48"/>
    <w:rsid w:val="1C7047C0"/>
    <w:rsid w:val="1C816553"/>
    <w:rsid w:val="1C92426F"/>
    <w:rsid w:val="1CE41EDC"/>
    <w:rsid w:val="1CEF6B87"/>
    <w:rsid w:val="1CF45F42"/>
    <w:rsid w:val="1D0667AD"/>
    <w:rsid w:val="1D1E7678"/>
    <w:rsid w:val="1D9A0D11"/>
    <w:rsid w:val="1DA13024"/>
    <w:rsid w:val="1DB66989"/>
    <w:rsid w:val="1DCD0774"/>
    <w:rsid w:val="1DF63B37"/>
    <w:rsid w:val="1E09747B"/>
    <w:rsid w:val="1E1862AA"/>
    <w:rsid w:val="1E1B38F9"/>
    <w:rsid w:val="1E302A17"/>
    <w:rsid w:val="1E761E86"/>
    <w:rsid w:val="1ED27D22"/>
    <w:rsid w:val="1F602DE6"/>
    <w:rsid w:val="1F854D0E"/>
    <w:rsid w:val="1FE223DD"/>
    <w:rsid w:val="1FFD4E25"/>
    <w:rsid w:val="20274E84"/>
    <w:rsid w:val="202752F4"/>
    <w:rsid w:val="203046DB"/>
    <w:rsid w:val="209E2790"/>
    <w:rsid w:val="210E49B4"/>
    <w:rsid w:val="21561F3F"/>
    <w:rsid w:val="21C734F7"/>
    <w:rsid w:val="22914245"/>
    <w:rsid w:val="22A21F61"/>
    <w:rsid w:val="22DB33C0"/>
    <w:rsid w:val="22F619EB"/>
    <w:rsid w:val="233F351A"/>
    <w:rsid w:val="236C4EAD"/>
    <w:rsid w:val="23D557D6"/>
    <w:rsid w:val="2441618A"/>
    <w:rsid w:val="247D4CEA"/>
    <w:rsid w:val="248D10AB"/>
    <w:rsid w:val="24B73BCA"/>
    <w:rsid w:val="24C6060B"/>
    <w:rsid w:val="24CD3D52"/>
    <w:rsid w:val="24ED62A3"/>
    <w:rsid w:val="24F07227"/>
    <w:rsid w:val="25457FB6"/>
    <w:rsid w:val="25544D4D"/>
    <w:rsid w:val="255C215A"/>
    <w:rsid w:val="25A94457"/>
    <w:rsid w:val="25C61809"/>
    <w:rsid w:val="25E5683B"/>
    <w:rsid w:val="2626463B"/>
    <w:rsid w:val="263739D8"/>
    <w:rsid w:val="269862DE"/>
    <w:rsid w:val="26E61C61"/>
    <w:rsid w:val="274E643E"/>
    <w:rsid w:val="27527B62"/>
    <w:rsid w:val="277272C6"/>
    <w:rsid w:val="286F20F4"/>
    <w:rsid w:val="28AC2526"/>
    <w:rsid w:val="293F2D39"/>
    <w:rsid w:val="298C7FAE"/>
    <w:rsid w:val="29AE0DEF"/>
    <w:rsid w:val="29BA4C02"/>
    <w:rsid w:val="29E2295A"/>
    <w:rsid w:val="2A1D6EA4"/>
    <w:rsid w:val="2A5D7C8E"/>
    <w:rsid w:val="2A766639"/>
    <w:rsid w:val="2A9071E3"/>
    <w:rsid w:val="2B281768"/>
    <w:rsid w:val="2B4260F9"/>
    <w:rsid w:val="2B821FEF"/>
    <w:rsid w:val="2B9508A1"/>
    <w:rsid w:val="2BB45CC1"/>
    <w:rsid w:val="2BC639DD"/>
    <w:rsid w:val="2BE274E6"/>
    <w:rsid w:val="2BEC6A86"/>
    <w:rsid w:val="2C402B67"/>
    <w:rsid w:val="2C420DA8"/>
    <w:rsid w:val="2C6D2EF1"/>
    <w:rsid w:val="2CE10CB2"/>
    <w:rsid w:val="2D5D213C"/>
    <w:rsid w:val="2DAB4ECB"/>
    <w:rsid w:val="2E157DAA"/>
    <w:rsid w:val="2E3C1B78"/>
    <w:rsid w:val="2F292920"/>
    <w:rsid w:val="2F6F6D61"/>
    <w:rsid w:val="2F8B2E0E"/>
    <w:rsid w:val="2F907296"/>
    <w:rsid w:val="2FC17A65"/>
    <w:rsid w:val="2FFA4747"/>
    <w:rsid w:val="300F55E6"/>
    <w:rsid w:val="3072201D"/>
    <w:rsid w:val="30AF69FF"/>
    <w:rsid w:val="30DD2333"/>
    <w:rsid w:val="30E402A4"/>
    <w:rsid w:val="310039F9"/>
    <w:rsid w:val="310A0D01"/>
    <w:rsid w:val="3119121A"/>
    <w:rsid w:val="315C5288"/>
    <w:rsid w:val="31D8756E"/>
    <w:rsid w:val="31F9420D"/>
    <w:rsid w:val="326822C2"/>
    <w:rsid w:val="326C2EC7"/>
    <w:rsid w:val="32907C03"/>
    <w:rsid w:val="32E82354"/>
    <w:rsid w:val="334825A3"/>
    <w:rsid w:val="339574B1"/>
    <w:rsid w:val="33AF47D8"/>
    <w:rsid w:val="33C543B0"/>
    <w:rsid w:val="33D96E79"/>
    <w:rsid w:val="33EE55C1"/>
    <w:rsid w:val="340267E0"/>
    <w:rsid w:val="34041CE3"/>
    <w:rsid w:val="34136B9D"/>
    <w:rsid w:val="344E0E5E"/>
    <w:rsid w:val="3453506B"/>
    <w:rsid w:val="34921484"/>
    <w:rsid w:val="34AE217C"/>
    <w:rsid w:val="34C74DA8"/>
    <w:rsid w:val="34D7553F"/>
    <w:rsid w:val="34F1185E"/>
    <w:rsid w:val="35DC07E1"/>
    <w:rsid w:val="36163427"/>
    <w:rsid w:val="361A6E50"/>
    <w:rsid w:val="36576160"/>
    <w:rsid w:val="368A620A"/>
    <w:rsid w:val="36BD1AC4"/>
    <w:rsid w:val="36E40869"/>
    <w:rsid w:val="371812F1"/>
    <w:rsid w:val="371E7900"/>
    <w:rsid w:val="37587B5C"/>
    <w:rsid w:val="37FF15EF"/>
    <w:rsid w:val="38096516"/>
    <w:rsid w:val="38CC1C3C"/>
    <w:rsid w:val="390C2A26"/>
    <w:rsid w:val="3923264B"/>
    <w:rsid w:val="393051E4"/>
    <w:rsid w:val="393825F0"/>
    <w:rsid w:val="39440601"/>
    <w:rsid w:val="39886E45"/>
    <w:rsid w:val="39BF24C9"/>
    <w:rsid w:val="39E06281"/>
    <w:rsid w:val="39FC5BB1"/>
    <w:rsid w:val="3A0C25C8"/>
    <w:rsid w:val="3A1C2863"/>
    <w:rsid w:val="3A1C2929"/>
    <w:rsid w:val="3A75655C"/>
    <w:rsid w:val="3A7B60FF"/>
    <w:rsid w:val="3AA008BD"/>
    <w:rsid w:val="3AA62938"/>
    <w:rsid w:val="3AE21327"/>
    <w:rsid w:val="3AEF0D7F"/>
    <w:rsid w:val="3B7B0051"/>
    <w:rsid w:val="3C3641D7"/>
    <w:rsid w:val="3C464471"/>
    <w:rsid w:val="3C955EB2"/>
    <w:rsid w:val="3C9B0FAE"/>
    <w:rsid w:val="3CF3065F"/>
    <w:rsid w:val="3D014BA4"/>
    <w:rsid w:val="3D285E35"/>
    <w:rsid w:val="3D8E220A"/>
    <w:rsid w:val="3E433B0B"/>
    <w:rsid w:val="3EDE2E31"/>
    <w:rsid w:val="3EE5603F"/>
    <w:rsid w:val="3F4E2026"/>
    <w:rsid w:val="3F5605BF"/>
    <w:rsid w:val="3F5C7F8B"/>
    <w:rsid w:val="3F881599"/>
    <w:rsid w:val="3F9503E1"/>
    <w:rsid w:val="3FDE6257"/>
    <w:rsid w:val="3FE64552"/>
    <w:rsid w:val="400042FD"/>
    <w:rsid w:val="4004001B"/>
    <w:rsid w:val="402F4D5C"/>
    <w:rsid w:val="409E221E"/>
    <w:rsid w:val="40CE13E2"/>
    <w:rsid w:val="40DE261A"/>
    <w:rsid w:val="41340D87"/>
    <w:rsid w:val="413E4F19"/>
    <w:rsid w:val="42330CA9"/>
    <w:rsid w:val="42332EA8"/>
    <w:rsid w:val="423825D5"/>
    <w:rsid w:val="42BB570A"/>
    <w:rsid w:val="43201BD3"/>
    <w:rsid w:val="432205B2"/>
    <w:rsid w:val="432263B4"/>
    <w:rsid w:val="43382755"/>
    <w:rsid w:val="43590463"/>
    <w:rsid w:val="43CC3AB9"/>
    <w:rsid w:val="43E2516D"/>
    <w:rsid w:val="4407792B"/>
    <w:rsid w:val="444D481C"/>
    <w:rsid w:val="44934F90"/>
    <w:rsid w:val="44A816B2"/>
    <w:rsid w:val="44BD3BD6"/>
    <w:rsid w:val="44EC561F"/>
    <w:rsid w:val="451B19F1"/>
    <w:rsid w:val="452602A2"/>
    <w:rsid w:val="456D6663"/>
    <w:rsid w:val="45C00E7A"/>
    <w:rsid w:val="45C046FE"/>
    <w:rsid w:val="45D4745F"/>
    <w:rsid w:val="460F1C96"/>
    <w:rsid w:val="4611468C"/>
    <w:rsid w:val="467045F2"/>
    <w:rsid w:val="46DE06F3"/>
    <w:rsid w:val="4729044D"/>
    <w:rsid w:val="474E5159"/>
    <w:rsid w:val="47927E7C"/>
    <w:rsid w:val="47BA05B5"/>
    <w:rsid w:val="483855A7"/>
    <w:rsid w:val="485E084A"/>
    <w:rsid w:val="48835206"/>
    <w:rsid w:val="48CC6426"/>
    <w:rsid w:val="49080B7C"/>
    <w:rsid w:val="494E643B"/>
    <w:rsid w:val="499A0251"/>
    <w:rsid w:val="499A27D0"/>
    <w:rsid w:val="499E428F"/>
    <w:rsid w:val="49F51830"/>
    <w:rsid w:val="4A031344"/>
    <w:rsid w:val="4A061AFF"/>
    <w:rsid w:val="4A2410AF"/>
    <w:rsid w:val="4A253068"/>
    <w:rsid w:val="4A7B1ABE"/>
    <w:rsid w:val="4AE00EAC"/>
    <w:rsid w:val="4AF354FC"/>
    <w:rsid w:val="4B28675E"/>
    <w:rsid w:val="4B375749"/>
    <w:rsid w:val="4B4E5319"/>
    <w:rsid w:val="4B6607C1"/>
    <w:rsid w:val="4BD71D7A"/>
    <w:rsid w:val="4BFD1B7D"/>
    <w:rsid w:val="4C141798"/>
    <w:rsid w:val="4C1C049B"/>
    <w:rsid w:val="4C26757B"/>
    <w:rsid w:val="4CC92607"/>
    <w:rsid w:val="4CCA7EF7"/>
    <w:rsid w:val="4CCC6E0F"/>
    <w:rsid w:val="4CCF7D0E"/>
    <w:rsid w:val="4CF7253D"/>
    <w:rsid w:val="4D1F5594"/>
    <w:rsid w:val="4D3D03C8"/>
    <w:rsid w:val="4D53256B"/>
    <w:rsid w:val="4D7D11B1"/>
    <w:rsid w:val="4DBC70EE"/>
    <w:rsid w:val="4DBE0083"/>
    <w:rsid w:val="4DC13C49"/>
    <w:rsid w:val="4DC61225"/>
    <w:rsid w:val="4DED58C8"/>
    <w:rsid w:val="4E04238F"/>
    <w:rsid w:val="4E0525E6"/>
    <w:rsid w:val="4E116B08"/>
    <w:rsid w:val="4E5C584D"/>
    <w:rsid w:val="4E6C5236"/>
    <w:rsid w:val="4EB57CB4"/>
    <w:rsid w:val="4ED24CED"/>
    <w:rsid w:val="4F0F5F50"/>
    <w:rsid w:val="4F147FCE"/>
    <w:rsid w:val="4F16610B"/>
    <w:rsid w:val="4F2F2DD1"/>
    <w:rsid w:val="4F5764B9"/>
    <w:rsid w:val="4F5C6940"/>
    <w:rsid w:val="4F9F296A"/>
    <w:rsid w:val="4F9F432E"/>
    <w:rsid w:val="4FF91545"/>
    <w:rsid w:val="500E553F"/>
    <w:rsid w:val="50216A78"/>
    <w:rsid w:val="503C7A30"/>
    <w:rsid w:val="50766910"/>
    <w:rsid w:val="508C0AB4"/>
    <w:rsid w:val="50CF4A20"/>
    <w:rsid w:val="50E55DC8"/>
    <w:rsid w:val="51274842"/>
    <w:rsid w:val="514F4075"/>
    <w:rsid w:val="517B61BE"/>
    <w:rsid w:val="518122C6"/>
    <w:rsid w:val="51A72505"/>
    <w:rsid w:val="51D15E9C"/>
    <w:rsid w:val="51E732EF"/>
    <w:rsid w:val="51F11680"/>
    <w:rsid w:val="51F574AB"/>
    <w:rsid w:val="51FE5112"/>
    <w:rsid w:val="520A47A8"/>
    <w:rsid w:val="52EE4A1B"/>
    <w:rsid w:val="52F60A01"/>
    <w:rsid w:val="530733C6"/>
    <w:rsid w:val="53455429"/>
    <w:rsid w:val="53672562"/>
    <w:rsid w:val="537B5903"/>
    <w:rsid w:val="53801D8B"/>
    <w:rsid w:val="538A011C"/>
    <w:rsid w:val="53917AA7"/>
    <w:rsid w:val="53BD3DEE"/>
    <w:rsid w:val="541A79B6"/>
    <w:rsid w:val="54A808F4"/>
    <w:rsid w:val="551E1924"/>
    <w:rsid w:val="553E2CF1"/>
    <w:rsid w:val="557A563F"/>
    <w:rsid w:val="55924389"/>
    <w:rsid w:val="55A067CE"/>
    <w:rsid w:val="55B37268"/>
    <w:rsid w:val="55C1116C"/>
    <w:rsid w:val="55FE1DA7"/>
    <w:rsid w:val="56000B25"/>
    <w:rsid w:val="56486D1B"/>
    <w:rsid w:val="5649479D"/>
    <w:rsid w:val="564B484B"/>
    <w:rsid w:val="566E1159"/>
    <w:rsid w:val="567974EA"/>
    <w:rsid w:val="567E71F5"/>
    <w:rsid w:val="56DF2712"/>
    <w:rsid w:val="57B376EC"/>
    <w:rsid w:val="57B66EF2"/>
    <w:rsid w:val="584C323F"/>
    <w:rsid w:val="584D4799"/>
    <w:rsid w:val="585B1CB5"/>
    <w:rsid w:val="58646611"/>
    <w:rsid w:val="586F5D06"/>
    <w:rsid w:val="58863D47"/>
    <w:rsid w:val="58AB3F87"/>
    <w:rsid w:val="58B23912"/>
    <w:rsid w:val="58FC2A8C"/>
    <w:rsid w:val="59140133"/>
    <w:rsid w:val="591E2B31"/>
    <w:rsid w:val="59350668"/>
    <w:rsid w:val="5943797D"/>
    <w:rsid w:val="59805264"/>
    <w:rsid w:val="59907A7D"/>
    <w:rsid w:val="599E4814"/>
    <w:rsid w:val="59A30C9C"/>
    <w:rsid w:val="59E71298"/>
    <w:rsid w:val="59EA6E92"/>
    <w:rsid w:val="59EE791A"/>
    <w:rsid w:val="59F62CA4"/>
    <w:rsid w:val="5A1631D9"/>
    <w:rsid w:val="5A211168"/>
    <w:rsid w:val="5A4E5F07"/>
    <w:rsid w:val="5A8262B5"/>
    <w:rsid w:val="5AFD0E97"/>
    <w:rsid w:val="5B0E5360"/>
    <w:rsid w:val="5B28530D"/>
    <w:rsid w:val="5B482651"/>
    <w:rsid w:val="5B8416B2"/>
    <w:rsid w:val="5B8D1AC1"/>
    <w:rsid w:val="5BF426AF"/>
    <w:rsid w:val="5C1874A6"/>
    <w:rsid w:val="5C2A63AC"/>
    <w:rsid w:val="5C38447A"/>
    <w:rsid w:val="5C533F59"/>
    <w:rsid w:val="5C6D0993"/>
    <w:rsid w:val="5C8B16FE"/>
    <w:rsid w:val="5CC83DC7"/>
    <w:rsid w:val="5CD41DD8"/>
    <w:rsid w:val="5CE23404"/>
    <w:rsid w:val="5D0A22B2"/>
    <w:rsid w:val="5D113EA1"/>
    <w:rsid w:val="5D211ED7"/>
    <w:rsid w:val="5D2B35FF"/>
    <w:rsid w:val="5D643C45"/>
    <w:rsid w:val="5D712F5B"/>
    <w:rsid w:val="5D823E2B"/>
    <w:rsid w:val="5DD63F84"/>
    <w:rsid w:val="5E417DB0"/>
    <w:rsid w:val="5E72057F"/>
    <w:rsid w:val="5E782489"/>
    <w:rsid w:val="5E7919F9"/>
    <w:rsid w:val="5EBE06C9"/>
    <w:rsid w:val="5ED8702A"/>
    <w:rsid w:val="5EE42EBC"/>
    <w:rsid w:val="5EEE6572"/>
    <w:rsid w:val="5F125F0A"/>
    <w:rsid w:val="5F1871E8"/>
    <w:rsid w:val="5FC70EB1"/>
    <w:rsid w:val="5FD92450"/>
    <w:rsid w:val="60467201"/>
    <w:rsid w:val="609B59DA"/>
    <w:rsid w:val="60C55551"/>
    <w:rsid w:val="60CC075F"/>
    <w:rsid w:val="61204966"/>
    <w:rsid w:val="612E74FF"/>
    <w:rsid w:val="614416A2"/>
    <w:rsid w:val="618D7518"/>
    <w:rsid w:val="61D20541"/>
    <w:rsid w:val="62184EFE"/>
    <w:rsid w:val="62202A47"/>
    <w:rsid w:val="625D7BF0"/>
    <w:rsid w:val="62700E0F"/>
    <w:rsid w:val="628D164B"/>
    <w:rsid w:val="62B56081"/>
    <w:rsid w:val="62E73159"/>
    <w:rsid w:val="631C6D2A"/>
    <w:rsid w:val="63685B24"/>
    <w:rsid w:val="637C1D17"/>
    <w:rsid w:val="638E7F62"/>
    <w:rsid w:val="639F01FD"/>
    <w:rsid w:val="63AD4F94"/>
    <w:rsid w:val="63D657A4"/>
    <w:rsid w:val="642E206A"/>
    <w:rsid w:val="64A52AD4"/>
    <w:rsid w:val="64AC4EB7"/>
    <w:rsid w:val="64C604D1"/>
    <w:rsid w:val="64DB275A"/>
    <w:rsid w:val="64EF239C"/>
    <w:rsid w:val="650755D0"/>
    <w:rsid w:val="65104BDB"/>
    <w:rsid w:val="651616ED"/>
    <w:rsid w:val="6567306B"/>
    <w:rsid w:val="657C558F"/>
    <w:rsid w:val="657E2C91"/>
    <w:rsid w:val="6584588D"/>
    <w:rsid w:val="65982A27"/>
    <w:rsid w:val="65D8494E"/>
    <w:rsid w:val="65EE6AFA"/>
    <w:rsid w:val="65F27D47"/>
    <w:rsid w:val="66090676"/>
    <w:rsid w:val="660B1ECA"/>
    <w:rsid w:val="66155A93"/>
    <w:rsid w:val="664A412A"/>
    <w:rsid w:val="674D0098"/>
    <w:rsid w:val="67B01CAC"/>
    <w:rsid w:val="67EB660D"/>
    <w:rsid w:val="68355788"/>
    <w:rsid w:val="68623CCE"/>
    <w:rsid w:val="68991C29"/>
    <w:rsid w:val="69172385"/>
    <w:rsid w:val="69280014"/>
    <w:rsid w:val="6968303F"/>
    <w:rsid w:val="698F0627"/>
    <w:rsid w:val="69950BC7"/>
    <w:rsid w:val="69A93FE5"/>
    <w:rsid w:val="69E55BC4"/>
    <w:rsid w:val="69F1552C"/>
    <w:rsid w:val="6A605D12"/>
    <w:rsid w:val="6ACB406F"/>
    <w:rsid w:val="6B0A3FAC"/>
    <w:rsid w:val="6B356FEF"/>
    <w:rsid w:val="6BA37623"/>
    <w:rsid w:val="6BDC589A"/>
    <w:rsid w:val="6C903ECB"/>
    <w:rsid w:val="6CB8716B"/>
    <w:rsid w:val="6CCF6E89"/>
    <w:rsid w:val="6CF9160E"/>
    <w:rsid w:val="6D6967E7"/>
    <w:rsid w:val="6D7E5C2F"/>
    <w:rsid w:val="6D7F1132"/>
    <w:rsid w:val="6DA74875"/>
    <w:rsid w:val="6DB34A93"/>
    <w:rsid w:val="6DDB184C"/>
    <w:rsid w:val="6DE20811"/>
    <w:rsid w:val="6E4224F5"/>
    <w:rsid w:val="6E4965FC"/>
    <w:rsid w:val="6E4F7FF6"/>
    <w:rsid w:val="6E6A23B4"/>
    <w:rsid w:val="6E886664"/>
    <w:rsid w:val="6EA63EC8"/>
    <w:rsid w:val="6EA81E99"/>
    <w:rsid w:val="6F734DE5"/>
    <w:rsid w:val="6F794770"/>
    <w:rsid w:val="6FE422BE"/>
    <w:rsid w:val="6FE43E1F"/>
    <w:rsid w:val="6FEE7FB2"/>
    <w:rsid w:val="6FF46638"/>
    <w:rsid w:val="700468D2"/>
    <w:rsid w:val="702C4C74"/>
    <w:rsid w:val="706B6F49"/>
    <w:rsid w:val="70A00E78"/>
    <w:rsid w:val="70C87ECB"/>
    <w:rsid w:val="70EB5859"/>
    <w:rsid w:val="710A7485"/>
    <w:rsid w:val="71291AA1"/>
    <w:rsid w:val="714040DC"/>
    <w:rsid w:val="719018DC"/>
    <w:rsid w:val="71C346B5"/>
    <w:rsid w:val="71DA42DA"/>
    <w:rsid w:val="71EA0CF1"/>
    <w:rsid w:val="72486767"/>
    <w:rsid w:val="72632F3A"/>
    <w:rsid w:val="72BD41BA"/>
    <w:rsid w:val="72F53670"/>
    <w:rsid w:val="732F1389"/>
    <w:rsid w:val="733777E5"/>
    <w:rsid w:val="733E1093"/>
    <w:rsid w:val="736425A4"/>
    <w:rsid w:val="73D47918"/>
    <w:rsid w:val="740D1C70"/>
    <w:rsid w:val="7443665D"/>
    <w:rsid w:val="74546174"/>
    <w:rsid w:val="746C40D1"/>
    <w:rsid w:val="749E4C10"/>
    <w:rsid w:val="74A33469"/>
    <w:rsid w:val="74E077E1"/>
    <w:rsid w:val="74F72EF3"/>
    <w:rsid w:val="74FF2D4A"/>
    <w:rsid w:val="75211AFE"/>
    <w:rsid w:val="757B56CA"/>
    <w:rsid w:val="758D46EB"/>
    <w:rsid w:val="75BC07EF"/>
    <w:rsid w:val="75C848DB"/>
    <w:rsid w:val="75D528E1"/>
    <w:rsid w:val="75E02001"/>
    <w:rsid w:val="75F72A95"/>
    <w:rsid w:val="76211F1F"/>
    <w:rsid w:val="770F3562"/>
    <w:rsid w:val="784864DE"/>
    <w:rsid w:val="7861548E"/>
    <w:rsid w:val="78DF5D5C"/>
    <w:rsid w:val="78F05FA9"/>
    <w:rsid w:val="79294ED6"/>
    <w:rsid w:val="792A2958"/>
    <w:rsid w:val="796B33C1"/>
    <w:rsid w:val="79FC1788"/>
    <w:rsid w:val="79FE0E72"/>
    <w:rsid w:val="7A0422BB"/>
    <w:rsid w:val="7A3B6881"/>
    <w:rsid w:val="7A587B47"/>
    <w:rsid w:val="7A877DEB"/>
    <w:rsid w:val="7AB114DA"/>
    <w:rsid w:val="7AE451AC"/>
    <w:rsid w:val="7AFD52C6"/>
    <w:rsid w:val="7B3C7DB9"/>
    <w:rsid w:val="7B4F485C"/>
    <w:rsid w:val="7B7D052B"/>
    <w:rsid w:val="7B9D2D04"/>
    <w:rsid w:val="7BB035FB"/>
    <w:rsid w:val="7BB63836"/>
    <w:rsid w:val="7BC0102D"/>
    <w:rsid w:val="7BDD53C4"/>
    <w:rsid w:val="7C4250E9"/>
    <w:rsid w:val="7C635BB6"/>
    <w:rsid w:val="7C640B20"/>
    <w:rsid w:val="7CD05C51"/>
    <w:rsid w:val="7CF6426C"/>
    <w:rsid w:val="7CF92699"/>
    <w:rsid w:val="7D145441"/>
    <w:rsid w:val="7D4B339D"/>
    <w:rsid w:val="7D844B1D"/>
    <w:rsid w:val="7D952517"/>
    <w:rsid w:val="7DB90387"/>
    <w:rsid w:val="7DDB2C8C"/>
    <w:rsid w:val="7E3732AC"/>
    <w:rsid w:val="7E5A355A"/>
    <w:rsid w:val="7E6A739A"/>
    <w:rsid w:val="7EA50680"/>
    <w:rsid w:val="7EC64BFF"/>
    <w:rsid w:val="7EE06DAB"/>
    <w:rsid w:val="7F2E0FB4"/>
    <w:rsid w:val="7F330CBF"/>
    <w:rsid w:val="7F7052A0"/>
    <w:rsid w:val="7F8F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firstLine="420" w:firstLineChars="200"/>
    </w:pPr>
  </w:style>
  <w:style w:type="paragraph" w:styleId="3">
    <w:name w:val="Body Text Indent"/>
    <w:basedOn w:val="1"/>
    <w:next w:val="2"/>
    <w:qFormat/>
    <w:uiPriority w:val="0"/>
    <w:pPr>
      <w:ind w:firstLine="630"/>
    </w:pPr>
    <w:rPr>
      <w:kern w:val="0"/>
      <w:sz w:val="32"/>
    </w:rPr>
  </w:style>
  <w:style w:type="paragraph" w:styleId="4">
    <w:name w:val="Body Text First Indent"/>
    <w:basedOn w:val="5"/>
    <w:next w:val="1"/>
    <w:qFormat/>
    <w:uiPriority w:val="0"/>
    <w:pPr>
      <w:ind w:firstLine="420" w:firstLineChars="100"/>
    </w:pPr>
    <w:rPr>
      <w:rFonts w:ascii="Cambria Math" w:hAnsi="Cambria Math"/>
      <w:szCs w:val="21"/>
    </w:rPr>
  </w:style>
  <w:style w:type="paragraph" w:styleId="5">
    <w:name w:val="Body Text"/>
    <w:basedOn w:val="1"/>
    <w:next w:val="1"/>
    <w:qFormat/>
    <w:uiPriority w:val="0"/>
    <w:rPr>
      <w:rFonts w:ascii="宋体" w:hAnsi="宋体"/>
      <w:sz w:val="24"/>
    </w:rPr>
  </w:style>
  <w:style w:type="paragraph" w:styleId="8">
    <w:name w:val="Normal Indent"/>
    <w:basedOn w:val="1"/>
    <w:next w:val="1"/>
    <w:qFormat/>
    <w:uiPriority w:val="0"/>
    <w:pPr>
      <w:widowControl/>
      <w:ind w:firstLine="420"/>
      <w:jc w:val="left"/>
    </w:pPr>
    <w:rPr>
      <w:kern w:val="0"/>
      <w:szCs w:val="20"/>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Plain Text"/>
    <w:basedOn w:val="1"/>
    <w:next w:val="1"/>
    <w:qFormat/>
    <w:uiPriority w:val="0"/>
    <w:rPr>
      <w:rFonts w:ascii="宋体" w:hAnsi="Courier New"/>
      <w:szCs w:val="20"/>
    </w:rPr>
  </w:style>
  <w:style w:type="paragraph" w:styleId="11">
    <w:name w:val="Body Text Indent 2"/>
    <w:basedOn w:val="1"/>
    <w:qFormat/>
    <w:uiPriority w:val="0"/>
    <w:pPr>
      <w:spacing w:line="60" w:lineRule="auto"/>
      <w:ind w:firstLine="128" w:firstLineChars="128"/>
    </w:pPr>
    <w:rPr>
      <w:rFonts w:ascii="仿宋_GB2312" w:eastAsia="仿宋_GB2312"/>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jc w:val="left"/>
    </w:pPr>
    <w:rPr>
      <w:rFonts w:ascii="Verdana" w:hAnsi="Verdana" w:cs="宋体"/>
      <w:kern w:val="0"/>
      <w:sz w:val="24"/>
    </w:rPr>
  </w:style>
  <w:style w:type="paragraph" w:styleId="17">
    <w:name w:val="Title"/>
    <w:basedOn w:val="1"/>
    <w:next w:val="1"/>
    <w:qFormat/>
    <w:uiPriority w:val="10"/>
    <w:pPr>
      <w:spacing w:before="240" w:after="60"/>
      <w:jc w:val="center"/>
      <w:outlineLvl w:val="0"/>
    </w:pPr>
    <w:rPr>
      <w:rFonts w:ascii="Cambria" w:hAnsi="Cambria"/>
      <w:b/>
      <w:bCs/>
      <w:kern w:val="0"/>
      <w:sz w:val="32"/>
      <w:szCs w:val="32"/>
    </w:r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图表目录1"/>
    <w:basedOn w:val="23"/>
    <w:next w:val="23"/>
    <w:qFormat/>
    <w:uiPriority w:val="0"/>
    <w:pPr>
      <w:ind w:left="400" w:leftChars="200" w:hanging="200" w:hanging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24"/>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4">
    <w:name w:val="正文 New"/>
    <w:next w:val="2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p141"/>
    <w:qFormat/>
    <w:uiPriority w:val="0"/>
    <w:rPr>
      <w:sz w:val="21"/>
      <w:szCs w:val="21"/>
    </w:rPr>
  </w:style>
  <w:style w:type="paragraph" w:customStyle="1" w:styleId="26">
    <w:name w:val="Default"/>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paragraph" w:customStyle="1" w:styleId="27">
    <w:name w:val="列出段落11"/>
    <w:basedOn w:val="1"/>
    <w:qFormat/>
    <w:uiPriority w:val="99"/>
    <w:pPr>
      <w:ind w:firstLine="420" w:firstLineChars="200"/>
    </w:pPr>
    <w:rPr>
      <w:rFonts w:ascii="Calibri" w:hAnsi="Calibri" w:cs="黑体"/>
      <w:szCs w:val="22"/>
    </w:rPr>
  </w:style>
  <w:style w:type="paragraph" w:customStyle="1" w:styleId="28">
    <w:name w:val="_Style 26"/>
    <w:basedOn w:val="1"/>
    <w:qFormat/>
    <w:uiPriority w:val="1"/>
    <w:pPr>
      <w:widowControl/>
      <w:jc w:val="left"/>
    </w:pPr>
    <w:rPr>
      <w:rFonts w:ascii="Verdana" w:hAnsi="Verdana"/>
      <w:kern w:val="0"/>
      <w:sz w:val="24"/>
      <w:szCs w:val="22"/>
      <w:lang w:eastAsia="en-US" w:bidi="en-US"/>
    </w:rPr>
  </w:style>
  <w:style w:type="paragraph" w:customStyle="1" w:styleId="29">
    <w:name w:val="列出段落1"/>
    <w:basedOn w:val="1"/>
    <w:qFormat/>
    <w:uiPriority w:val="99"/>
    <w:pPr>
      <w:ind w:firstLine="420" w:firstLineChars="200"/>
    </w:pPr>
    <w:rPr>
      <w:rFonts w:ascii="Calibri" w:hAnsi="Calibri" w:cs="黑体"/>
      <w:szCs w:val="22"/>
    </w:rPr>
  </w:style>
  <w:style w:type="character" w:customStyle="1" w:styleId="30">
    <w:name w:val="font101"/>
    <w:basedOn w:val="19"/>
    <w:qFormat/>
    <w:uiPriority w:val="0"/>
    <w:rPr>
      <w:rFonts w:hint="eastAsia" w:ascii="等线" w:hAnsi="等线" w:eastAsia="等线" w:cs="等线"/>
      <w:b/>
      <w:bCs/>
      <w:color w:val="000000"/>
      <w:sz w:val="24"/>
      <w:szCs w:val="24"/>
      <w:u w:val="none"/>
    </w:rPr>
  </w:style>
  <w:style w:type="character" w:customStyle="1" w:styleId="31">
    <w:name w:val="font31"/>
    <w:basedOn w:val="19"/>
    <w:qFormat/>
    <w:uiPriority w:val="0"/>
    <w:rPr>
      <w:rFonts w:ascii="Arial" w:hAnsi="Arial" w:cs="Arial"/>
      <w:b/>
      <w:bCs/>
      <w:color w:val="000000"/>
      <w:sz w:val="24"/>
      <w:szCs w:val="24"/>
      <w:u w:val="none"/>
    </w:rPr>
  </w:style>
  <w:style w:type="character" w:customStyle="1" w:styleId="32">
    <w:name w:val="font112"/>
    <w:basedOn w:val="19"/>
    <w:qFormat/>
    <w:uiPriority w:val="0"/>
    <w:rPr>
      <w:rFonts w:hint="eastAsia" w:ascii="等线" w:hAnsi="等线" w:eastAsia="等线" w:cs="等线"/>
      <w:color w:val="000000"/>
      <w:sz w:val="22"/>
      <w:szCs w:val="22"/>
      <w:u w:val="none"/>
    </w:rPr>
  </w:style>
  <w:style w:type="character" w:customStyle="1" w:styleId="33">
    <w:name w:val="font131"/>
    <w:basedOn w:val="19"/>
    <w:qFormat/>
    <w:uiPriority w:val="0"/>
    <w:rPr>
      <w:rFonts w:hint="default" w:ascii="Arial" w:hAnsi="Arial" w:cs="Arial"/>
      <w:color w:val="000000"/>
      <w:sz w:val="22"/>
      <w:szCs w:val="22"/>
      <w:u w:val="none"/>
    </w:rPr>
  </w:style>
  <w:style w:type="character" w:customStyle="1" w:styleId="34">
    <w:name w:val="font121"/>
    <w:basedOn w:val="19"/>
    <w:qFormat/>
    <w:uiPriority w:val="0"/>
    <w:rPr>
      <w:rFonts w:hint="eastAsia" w:ascii="等线" w:hAnsi="等线" w:eastAsia="等线" w:cs="等线"/>
      <w:color w:val="000000"/>
      <w:sz w:val="22"/>
      <w:szCs w:val="22"/>
      <w:u w:val="none"/>
    </w:rPr>
  </w:style>
  <w:style w:type="character" w:customStyle="1" w:styleId="35">
    <w:name w:val="font171"/>
    <w:basedOn w:val="19"/>
    <w:qFormat/>
    <w:uiPriority w:val="0"/>
    <w:rPr>
      <w:rFonts w:hint="default" w:ascii="Arial" w:hAnsi="Arial" w:cs="Arial"/>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2"/>
      <w:szCs w:val="22"/>
      <w:u w:val="none"/>
    </w:rPr>
  </w:style>
  <w:style w:type="character" w:customStyle="1" w:styleId="37">
    <w:name w:val="font181"/>
    <w:basedOn w:val="19"/>
    <w:qFormat/>
    <w:uiPriority w:val="0"/>
    <w:rPr>
      <w:rFonts w:hint="eastAsia" w:ascii="等线" w:hAnsi="等线" w:eastAsia="等线" w:cs="等线"/>
      <w:b/>
      <w:bCs/>
      <w:color w:val="000000"/>
      <w:sz w:val="22"/>
      <w:szCs w:val="22"/>
      <w:u w:val="none"/>
    </w:rPr>
  </w:style>
  <w:style w:type="character" w:customStyle="1" w:styleId="38">
    <w:name w:val="font141"/>
    <w:basedOn w:val="19"/>
    <w:qFormat/>
    <w:uiPriority w:val="0"/>
    <w:rPr>
      <w:rFonts w:hint="default" w:ascii="Arial" w:hAnsi="Arial" w:cs="Arial"/>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51</Pages>
  <Words>23962</Words>
  <Characters>25412</Characters>
  <Lines>0</Lines>
  <Paragraphs>0</Paragraphs>
  <TotalTime>249</TotalTime>
  <ScaleCrop>false</ScaleCrop>
  <LinksUpToDate>false</LinksUpToDate>
  <CharactersWithSpaces>28438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2024-05-07T03:38:00Z</dcterms:created>
  <dc:creator>Lenovo</dc:creator>
  <cp:lastModifiedBy>偶尔合群</cp:lastModifiedBy>
  <dcterms:modified xsi:type="dcterms:W3CDTF">2026-05-15T07:47:07Z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2CE499D359134B3EBC39877BD359F213_13</vt:lpwstr>
  </property>
</Properties>
</file>