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4242">
      <w:pPr>
        <w:pStyle w:val="12"/>
        <w:tabs>
          <w:tab w:val="left" w:pos="1050"/>
        </w:tabs>
        <w:jc w:val="left"/>
        <w:rPr>
          <w:rFonts w:hint="eastAsia" w:ascii="仿宋" w:hAnsi="仿宋" w:eastAsia="仿宋" w:cs="仿宋"/>
          <w:b/>
          <w:bCs/>
          <w:sz w:val="48"/>
          <w:szCs w:val="48"/>
          <w:highlight w:val="none"/>
        </w:rPr>
      </w:pPr>
      <w:r>
        <w:rPr>
          <w:rFonts w:hint="eastAsia" w:ascii="仿宋" w:hAnsi="仿宋" w:eastAsia="仿宋" w:cs="仿宋"/>
          <w:b/>
          <w:sz w:val="48"/>
          <w:szCs w:val="48"/>
          <w:highlight w:val="none"/>
        </w:rPr>
        <w:drawing>
          <wp:inline distT="0" distB="0" distL="0" distR="0">
            <wp:extent cx="1285875" cy="1195705"/>
            <wp:effectExtent l="0" t="0" r="9525" b="2540"/>
            <wp:docPr id="4" name="图片 4"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公司标志"/>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r>
        <w:rPr>
          <w:rFonts w:hint="eastAsia" w:ascii="仿宋" w:hAnsi="仿宋" w:eastAsia="仿宋" w:cs="仿宋"/>
          <w:b/>
          <w:sz w:val="48"/>
          <w:szCs w:val="48"/>
          <w:highlight w:val="none"/>
        </w:rPr>
        <w:t xml:space="preserve">  </w:t>
      </w:r>
    </w:p>
    <w:p w14:paraId="74BB0A15">
      <w:pPr>
        <w:pStyle w:val="12"/>
        <w:jc w:val="center"/>
        <w:rPr>
          <w:rFonts w:hint="eastAsia" w:ascii="仿宋" w:hAnsi="仿宋" w:eastAsia="仿宋" w:cs="仿宋"/>
          <w:b/>
          <w:bCs/>
          <w:sz w:val="48"/>
          <w:szCs w:val="48"/>
          <w:highlight w:val="none"/>
        </w:rPr>
      </w:pPr>
    </w:p>
    <w:p w14:paraId="19DE3385">
      <w:pPr>
        <w:spacing w:line="600" w:lineRule="auto"/>
        <w:jc w:val="center"/>
        <w:rPr>
          <w:rFonts w:hint="eastAsia" w:ascii="仿宋" w:hAnsi="仿宋" w:eastAsia="仿宋" w:cs="仿宋"/>
          <w:highlight w:val="none"/>
        </w:rPr>
      </w:pPr>
      <w:r>
        <w:rPr>
          <w:rFonts w:hint="eastAsia" w:ascii="仿宋" w:hAnsi="仿宋" w:eastAsia="仿宋" w:cs="仿宋"/>
          <w:b/>
          <w:bCs/>
          <w:sz w:val="48"/>
          <w:szCs w:val="48"/>
          <w:highlight w:val="none"/>
          <w:lang w:eastAsia="zh-CN"/>
        </w:rPr>
        <w:t>新疆福海县阔克-锡泊渡一带1：5万综合物探普查物探技术服务项目</w:t>
      </w:r>
    </w:p>
    <w:p w14:paraId="4948C886">
      <w:pPr>
        <w:spacing w:line="600" w:lineRule="auto"/>
        <w:rPr>
          <w:rFonts w:hint="eastAsia" w:ascii="仿宋" w:hAnsi="仿宋" w:eastAsia="仿宋" w:cs="仿宋"/>
          <w:highlight w:val="none"/>
        </w:rPr>
      </w:pPr>
    </w:p>
    <w:p w14:paraId="0E1FCCD6">
      <w:pPr>
        <w:pStyle w:val="12"/>
        <w:spacing w:line="600" w:lineRule="auto"/>
        <w:rPr>
          <w:rFonts w:hint="eastAsia" w:ascii="仿宋" w:hAnsi="仿宋" w:eastAsia="仿宋" w:cs="仿宋"/>
          <w:highlight w:val="none"/>
        </w:rPr>
      </w:pPr>
    </w:p>
    <w:p w14:paraId="6BC5586D">
      <w:pPr>
        <w:spacing w:line="600" w:lineRule="auto"/>
        <w:jc w:val="center"/>
        <w:rPr>
          <w:rFonts w:hint="eastAsia" w:ascii="仿宋" w:hAnsi="仿宋" w:eastAsia="仿宋" w:cs="仿宋"/>
          <w:b/>
          <w:color w:val="auto"/>
          <w:sz w:val="72"/>
          <w:szCs w:val="72"/>
          <w:highlight w:val="none"/>
        </w:rPr>
      </w:pPr>
      <w:r>
        <w:rPr>
          <w:rFonts w:hint="eastAsia" w:ascii="仿宋" w:hAnsi="仿宋" w:eastAsia="仿宋" w:cs="仿宋"/>
          <w:b/>
          <w:sz w:val="72"/>
          <w:szCs w:val="72"/>
          <w:highlight w:val="none"/>
        </w:rPr>
        <w:t xml:space="preserve">招 标 文 </w:t>
      </w:r>
      <w:r>
        <w:rPr>
          <w:rFonts w:hint="eastAsia" w:ascii="仿宋" w:hAnsi="仿宋" w:eastAsia="仿宋" w:cs="仿宋"/>
          <w:b/>
          <w:color w:val="auto"/>
          <w:sz w:val="72"/>
          <w:szCs w:val="72"/>
          <w:highlight w:val="none"/>
        </w:rPr>
        <w:t>件</w:t>
      </w:r>
    </w:p>
    <w:p w14:paraId="496B24D6">
      <w:pPr>
        <w:adjustRightInd w:val="0"/>
        <w:snapToGrid w:val="0"/>
        <w:spacing w:line="600" w:lineRule="auto"/>
        <w:jc w:val="center"/>
        <w:rPr>
          <w:rFonts w:hint="eastAsia" w:ascii="仿宋" w:hAnsi="仿宋" w:eastAsia="仿宋" w:cs="仿宋"/>
          <w:b/>
          <w:color w:val="auto"/>
          <w:sz w:val="28"/>
          <w:szCs w:val="18"/>
          <w:highlight w:val="none"/>
        </w:rPr>
      </w:pPr>
      <w:r>
        <w:rPr>
          <w:rFonts w:hint="eastAsia" w:ascii="仿宋" w:hAnsi="仿宋" w:eastAsia="仿宋" w:cs="仿宋"/>
          <w:b/>
          <w:color w:val="auto"/>
          <w:sz w:val="28"/>
          <w:szCs w:val="18"/>
          <w:highlight w:val="none"/>
        </w:rPr>
        <w:t>（项目编号：</w:t>
      </w:r>
      <w:r>
        <w:rPr>
          <w:rFonts w:hint="eastAsia" w:ascii="仿宋" w:hAnsi="仿宋" w:eastAsia="仿宋" w:cs="仿宋"/>
          <w:b/>
          <w:color w:val="auto"/>
          <w:sz w:val="28"/>
          <w:szCs w:val="18"/>
          <w:highlight w:val="none"/>
          <w:lang w:val="en-US" w:eastAsia="zh-CN"/>
        </w:rPr>
        <w:t>XJXSJ-2026(ZC)-148</w:t>
      </w:r>
      <w:r>
        <w:rPr>
          <w:rFonts w:hint="eastAsia" w:ascii="仿宋" w:hAnsi="仿宋" w:eastAsia="仿宋" w:cs="仿宋"/>
          <w:b/>
          <w:color w:val="auto"/>
          <w:sz w:val="28"/>
          <w:szCs w:val="18"/>
          <w:highlight w:val="none"/>
        </w:rPr>
        <w:t>）</w:t>
      </w:r>
    </w:p>
    <w:p w14:paraId="430C25DB">
      <w:pPr>
        <w:adjustRightInd w:val="0"/>
        <w:snapToGrid w:val="0"/>
        <w:spacing w:line="480" w:lineRule="auto"/>
        <w:rPr>
          <w:rFonts w:hint="eastAsia" w:ascii="仿宋" w:hAnsi="仿宋" w:eastAsia="仿宋" w:cs="仿宋"/>
          <w:b/>
          <w:sz w:val="32"/>
          <w:highlight w:val="none"/>
        </w:rPr>
      </w:pPr>
      <w:r>
        <w:rPr>
          <w:rFonts w:hint="eastAsia" w:ascii="仿宋" w:hAnsi="仿宋" w:eastAsia="仿宋" w:cs="仿宋"/>
          <w:b/>
          <w:sz w:val="32"/>
          <w:highlight w:val="none"/>
        </w:rPr>
        <w:t xml:space="preserve">     </w:t>
      </w:r>
    </w:p>
    <w:p w14:paraId="2DC0825C">
      <w:pPr>
        <w:spacing w:line="480" w:lineRule="auto"/>
        <w:ind w:firstLine="420"/>
        <w:rPr>
          <w:rFonts w:hint="eastAsia" w:ascii="仿宋" w:hAnsi="仿宋" w:eastAsia="仿宋" w:cs="仿宋"/>
          <w:sz w:val="28"/>
          <w:szCs w:val="28"/>
          <w:highlight w:val="none"/>
        </w:rPr>
      </w:pPr>
    </w:p>
    <w:tbl>
      <w:tblPr>
        <w:tblStyle w:val="42"/>
        <w:tblpPr w:leftFromText="180" w:rightFromText="180" w:vertAnchor="text" w:horzAnchor="margin" w:tblpY="400"/>
        <w:tblW w:w="9399" w:type="dxa"/>
        <w:tblInd w:w="0" w:type="dxa"/>
        <w:tblLayout w:type="fixed"/>
        <w:tblCellMar>
          <w:top w:w="0" w:type="dxa"/>
          <w:left w:w="108" w:type="dxa"/>
          <w:bottom w:w="0" w:type="dxa"/>
          <w:right w:w="108" w:type="dxa"/>
        </w:tblCellMar>
      </w:tblPr>
      <w:tblGrid>
        <w:gridCol w:w="1756"/>
        <w:gridCol w:w="7643"/>
      </w:tblGrid>
      <w:tr w14:paraId="60DED848">
        <w:tblPrEx>
          <w:tblCellMar>
            <w:top w:w="0" w:type="dxa"/>
            <w:left w:w="108" w:type="dxa"/>
            <w:bottom w:w="0" w:type="dxa"/>
            <w:right w:w="108" w:type="dxa"/>
          </w:tblCellMar>
        </w:tblPrEx>
        <w:trPr>
          <w:trHeight w:val="1459" w:hRule="atLeast"/>
        </w:trPr>
        <w:tc>
          <w:tcPr>
            <w:tcW w:w="1756" w:type="dxa"/>
            <w:vAlign w:val="center"/>
          </w:tcPr>
          <w:p w14:paraId="7AC67508">
            <w:pPr>
              <w:tabs>
                <w:tab w:val="left" w:pos="8504"/>
              </w:tabs>
              <w:spacing w:line="600" w:lineRule="auto"/>
              <w:rPr>
                <w:rFonts w:hint="eastAsia" w:ascii="仿宋" w:hAnsi="仿宋" w:eastAsia="仿宋" w:cs="仿宋"/>
                <w:b/>
                <w:spacing w:val="14"/>
                <w:sz w:val="28"/>
                <w:szCs w:val="28"/>
                <w:highlight w:val="none"/>
              </w:rPr>
            </w:pPr>
            <w:r>
              <w:rPr>
                <w:rFonts w:hint="eastAsia" w:ascii="仿宋" w:hAnsi="仿宋" w:eastAsia="仿宋" w:cs="仿宋"/>
                <w:b/>
                <w:spacing w:val="14"/>
                <w:sz w:val="28"/>
                <w:szCs w:val="28"/>
                <w:highlight w:val="none"/>
              </w:rPr>
              <w:t>采 购 人：</w:t>
            </w:r>
          </w:p>
          <w:p w14:paraId="2B9205AF">
            <w:pPr>
              <w:tabs>
                <w:tab w:val="left" w:pos="8504"/>
              </w:tabs>
              <w:spacing w:line="600" w:lineRule="auto"/>
              <w:rPr>
                <w:rFonts w:hint="eastAsia" w:ascii="仿宋" w:hAnsi="仿宋" w:eastAsia="仿宋" w:cs="仿宋"/>
                <w:b/>
                <w:spacing w:val="14"/>
                <w:sz w:val="28"/>
                <w:szCs w:val="28"/>
                <w:highlight w:val="none"/>
              </w:rPr>
            </w:pPr>
            <w:r>
              <w:rPr>
                <w:rFonts w:hint="eastAsia" w:ascii="仿宋" w:hAnsi="仿宋" w:eastAsia="仿宋" w:cs="仿宋"/>
                <w:b/>
                <w:spacing w:val="14"/>
                <w:sz w:val="28"/>
                <w:szCs w:val="28"/>
                <w:highlight w:val="none"/>
              </w:rPr>
              <w:t>采购代理：</w:t>
            </w:r>
          </w:p>
        </w:tc>
        <w:tc>
          <w:tcPr>
            <w:tcW w:w="7643" w:type="dxa"/>
            <w:vAlign w:val="center"/>
          </w:tcPr>
          <w:p w14:paraId="2420343C">
            <w:pPr>
              <w:tabs>
                <w:tab w:val="left" w:pos="8504"/>
              </w:tabs>
              <w:spacing w:line="600" w:lineRule="auto"/>
              <w:rPr>
                <w:rFonts w:hint="eastAsia" w:ascii="仿宋" w:hAnsi="仿宋" w:eastAsia="仿宋" w:cs="仿宋"/>
                <w:b/>
                <w:spacing w:val="14"/>
                <w:sz w:val="28"/>
                <w:szCs w:val="28"/>
                <w:highlight w:val="none"/>
                <w:lang w:eastAsia="zh-CN"/>
              </w:rPr>
            </w:pPr>
            <w:r>
              <w:rPr>
                <w:rFonts w:hint="eastAsia" w:ascii="仿宋" w:hAnsi="仿宋" w:eastAsia="仿宋" w:cs="仿宋"/>
                <w:b/>
                <w:spacing w:val="14"/>
                <w:sz w:val="28"/>
                <w:szCs w:val="28"/>
                <w:highlight w:val="none"/>
                <w:lang w:eastAsia="zh-CN"/>
              </w:rPr>
              <w:t>新疆维吾尔自治区地质局地球物理化学探矿中心</w:t>
            </w:r>
          </w:p>
          <w:p w14:paraId="11BDC5EA">
            <w:pPr>
              <w:tabs>
                <w:tab w:val="left" w:pos="8504"/>
              </w:tabs>
              <w:spacing w:line="600" w:lineRule="auto"/>
              <w:rPr>
                <w:rFonts w:hint="eastAsia" w:ascii="仿宋" w:hAnsi="仿宋" w:eastAsia="仿宋" w:cs="仿宋"/>
                <w:highlight w:val="none"/>
              </w:rPr>
            </w:pPr>
            <w:r>
              <w:rPr>
                <w:rFonts w:hint="eastAsia" w:ascii="仿宋" w:hAnsi="仿宋" w:eastAsia="仿宋" w:cs="仿宋"/>
                <w:b/>
                <w:spacing w:val="14"/>
                <w:sz w:val="28"/>
                <w:szCs w:val="28"/>
                <w:highlight w:val="none"/>
              </w:rPr>
              <w:t>新疆新世纪招标有限公司</w:t>
            </w:r>
          </w:p>
        </w:tc>
      </w:tr>
    </w:tbl>
    <w:p w14:paraId="5119DED0">
      <w:pPr>
        <w:spacing w:line="480" w:lineRule="auto"/>
        <w:ind w:firstLine="3514" w:firstLineChars="1250"/>
        <w:rPr>
          <w:rFonts w:hint="eastAsia" w:ascii="仿宋" w:hAnsi="仿宋" w:eastAsia="仿宋" w:cs="仿宋"/>
          <w:b/>
          <w:sz w:val="28"/>
          <w:szCs w:val="28"/>
          <w:highlight w:val="none"/>
        </w:rPr>
      </w:pPr>
    </w:p>
    <w:p w14:paraId="6684C207">
      <w:pPr>
        <w:spacing w:line="480" w:lineRule="auto"/>
        <w:ind w:firstLine="3514" w:firstLineChars="1250"/>
        <w:rPr>
          <w:rFonts w:hint="eastAsia" w:ascii="仿宋" w:hAnsi="仿宋" w:eastAsia="仿宋" w:cs="仿宋"/>
          <w:b/>
          <w:sz w:val="28"/>
          <w:szCs w:val="28"/>
          <w:highlight w:val="none"/>
        </w:rPr>
      </w:pPr>
    </w:p>
    <w:p w14:paraId="584BCD31">
      <w:pPr>
        <w:spacing w:line="480" w:lineRule="auto"/>
        <w:ind w:firstLine="3514" w:firstLineChars="1250"/>
        <w:rPr>
          <w:rFonts w:hint="eastAsia" w:ascii="仿宋" w:hAnsi="仿宋" w:eastAsia="仿宋" w:cs="仿宋"/>
          <w:sz w:val="48"/>
          <w:szCs w:val="48"/>
          <w:highlight w:val="none"/>
        </w:rPr>
      </w:pPr>
      <w:r>
        <w:rPr>
          <w:rFonts w:hint="eastAsia" w:ascii="仿宋" w:hAnsi="仿宋" w:eastAsia="仿宋" w:cs="仿宋"/>
          <w:b/>
          <w:sz w:val="28"/>
          <w:szCs w:val="28"/>
          <w:highlight w:val="none"/>
        </w:rPr>
        <w:t>二〇二</w:t>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rPr>
        <w:t>月</w:t>
      </w:r>
    </w:p>
    <w:p w14:paraId="258C071D">
      <w:pPr>
        <w:widowControl/>
        <w:jc w:val="left"/>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br w:type="page"/>
      </w:r>
    </w:p>
    <w:p w14:paraId="7F985402">
      <w:pPr>
        <w:jc w:val="center"/>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目录</w:t>
      </w:r>
    </w:p>
    <w:p w14:paraId="6325E162">
      <w:pPr>
        <w:pStyle w:val="25"/>
        <w:tabs>
          <w:tab w:val="right" w:leader="dot" w:pos="9354"/>
        </w:tabs>
        <w:rPr>
          <w:highlight w:val="none"/>
        </w:rPr>
      </w:pPr>
      <w:r>
        <w:rPr>
          <w:rStyle w:val="52"/>
          <w:rFonts w:hint="eastAsia" w:ascii="仿宋" w:hAnsi="仿宋" w:eastAsia="仿宋" w:cs="仿宋"/>
          <w:b/>
          <w:color w:val="auto"/>
          <w:sz w:val="24"/>
          <w:highlight w:val="none"/>
        </w:rPr>
        <w:fldChar w:fldCharType="begin"/>
      </w:r>
      <w:r>
        <w:rPr>
          <w:rStyle w:val="52"/>
          <w:rFonts w:hint="eastAsia" w:ascii="仿宋" w:hAnsi="仿宋" w:eastAsia="仿宋" w:cs="仿宋"/>
          <w:b/>
          <w:color w:val="auto"/>
          <w:sz w:val="24"/>
          <w:highlight w:val="none"/>
        </w:rPr>
        <w:instrText xml:space="preserve">TOC \o "1-3" \h \u </w:instrText>
      </w:r>
      <w:r>
        <w:rPr>
          <w:rStyle w:val="52"/>
          <w:rFonts w:hint="eastAsia" w:ascii="仿宋" w:hAnsi="仿宋" w:eastAsia="仿宋" w:cs="仿宋"/>
          <w:b/>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_Toc1186 </w:instrText>
      </w:r>
      <w:r>
        <w:rPr>
          <w:rFonts w:hint="eastAsia" w:ascii="仿宋" w:hAnsi="仿宋" w:eastAsia="仿宋" w:cs="仿宋"/>
          <w:highlight w:val="none"/>
        </w:rPr>
        <w:fldChar w:fldCharType="separate"/>
      </w:r>
      <w:r>
        <w:rPr>
          <w:rFonts w:hint="eastAsia" w:ascii="仿宋" w:hAnsi="仿宋" w:eastAsia="仿宋" w:cs="仿宋"/>
          <w:bCs/>
          <w:szCs w:val="28"/>
          <w:highlight w:val="none"/>
        </w:rPr>
        <w:t>公开招标公告</w:t>
      </w:r>
      <w:r>
        <w:rPr>
          <w:highlight w:val="none"/>
        </w:rPr>
        <w:tab/>
      </w:r>
      <w:r>
        <w:rPr>
          <w:highlight w:val="none"/>
        </w:rPr>
        <w:fldChar w:fldCharType="begin"/>
      </w:r>
      <w:r>
        <w:rPr>
          <w:highlight w:val="none"/>
        </w:rPr>
        <w:instrText xml:space="preserve"> PAGEREF _Toc1186 \h </w:instrText>
      </w:r>
      <w:r>
        <w:rPr>
          <w:highlight w:val="none"/>
        </w:rPr>
        <w:fldChar w:fldCharType="separate"/>
      </w:r>
      <w:r>
        <w:rPr>
          <w:highlight w:val="none"/>
        </w:rPr>
        <w:t>1</w:t>
      </w:r>
      <w:r>
        <w:rPr>
          <w:highlight w:val="none"/>
        </w:rPr>
        <w:fldChar w:fldCharType="end"/>
      </w:r>
      <w:r>
        <w:rPr>
          <w:rFonts w:hint="eastAsia" w:ascii="仿宋" w:hAnsi="仿宋" w:eastAsia="仿宋" w:cs="仿宋"/>
          <w:color w:val="auto"/>
          <w:highlight w:val="none"/>
        </w:rPr>
        <w:fldChar w:fldCharType="end"/>
      </w:r>
    </w:p>
    <w:p w14:paraId="234559F0">
      <w:pPr>
        <w:pStyle w:val="25"/>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_Toc31961 </w:instrText>
      </w:r>
      <w:r>
        <w:rPr>
          <w:rFonts w:hint="eastAsia" w:ascii="仿宋" w:hAnsi="仿宋" w:eastAsia="仿宋" w:cs="仿宋"/>
          <w:highlight w:val="none"/>
        </w:rPr>
        <w:fldChar w:fldCharType="separate"/>
      </w:r>
      <w:r>
        <w:rPr>
          <w:rFonts w:hint="eastAsia" w:ascii="仿宋" w:hAnsi="仿宋" w:eastAsia="仿宋" w:cs="仿宋"/>
          <w:szCs w:val="28"/>
          <w:highlight w:val="none"/>
        </w:rPr>
        <w:t>投标人须知前附表</w:t>
      </w:r>
      <w:r>
        <w:rPr>
          <w:highlight w:val="none"/>
        </w:rPr>
        <w:tab/>
      </w:r>
      <w:r>
        <w:rPr>
          <w:highlight w:val="none"/>
        </w:rPr>
        <w:fldChar w:fldCharType="begin"/>
      </w:r>
      <w:r>
        <w:rPr>
          <w:highlight w:val="none"/>
        </w:rPr>
        <w:instrText xml:space="preserve"> PAGEREF _Toc31961 \h </w:instrText>
      </w:r>
      <w:r>
        <w:rPr>
          <w:highlight w:val="none"/>
        </w:rPr>
        <w:fldChar w:fldCharType="separate"/>
      </w:r>
      <w:r>
        <w:rPr>
          <w:highlight w:val="none"/>
        </w:rPr>
        <w:t>4</w:t>
      </w:r>
      <w:r>
        <w:rPr>
          <w:highlight w:val="none"/>
        </w:rPr>
        <w:fldChar w:fldCharType="end"/>
      </w:r>
      <w:r>
        <w:rPr>
          <w:rFonts w:hint="eastAsia" w:ascii="仿宋" w:hAnsi="仿宋" w:eastAsia="仿宋" w:cs="仿宋"/>
          <w:highlight w:val="none"/>
        </w:rPr>
        <w:fldChar w:fldCharType="end"/>
      </w:r>
    </w:p>
    <w:p w14:paraId="138A025D">
      <w:pPr>
        <w:pStyle w:val="25"/>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_Toc21391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第一章 投标人须知</w:t>
      </w:r>
      <w:r>
        <w:rPr>
          <w:highlight w:val="none"/>
        </w:rPr>
        <w:tab/>
      </w:r>
      <w:r>
        <w:rPr>
          <w:highlight w:val="none"/>
        </w:rPr>
        <w:fldChar w:fldCharType="begin"/>
      </w:r>
      <w:r>
        <w:rPr>
          <w:highlight w:val="none"/>
        </w:rPr>
        <w:instrText xml:space="preserve"> PAGEREF _Toc21391 \h </w:instrText>
      </w:r>
      <w:r>
        <w:rPr>
          <w:highlight w:val="none"/>
        </w:rPr>
        <w:fldChar w:fldCharType="separate"/>
      </w:r>
      <w:r>
        <w:rPr>
          <w:highlight w:val="none"/>
        </w:rPr>
        <w:t>9</w:t>
      </w:r>
      <w:r>
        <w:rPr>
          <w:highlight w:val="none"/>
        </w:rPr>
        <w:fldChar w:fldCharType="end"/>
      </w:r>
      <w:r>
        <w:rPr>
          <w:rFonts w:hint="eastAsia" w:ascii="仿宋" w:hAnsi="仿宋" w:eastAsia="仿宋" w:cs="仿宋"/>
          <w:highlight w:val="none"/>
        </w:rPr>
        <w:fldChar w:fldCharType="end"/>
      </w:r>
    </w:p>
    <w:p w14:paraId="5B264432">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_Toc3661 </w:instrText>
      </w:r>
      <w:r>
        <w:rPr>
          <w:rFonts w:hint="eastAsia" w:ascii="仿宋" w:hAnsi="仿宋" w:eastAsia="仿宋" w:cs="仿宋"/>
          <w:highlight w:val="none"/>
        </w:rPr>
        <w:fldChar w:fldCharType="separate"/>
      </w:r>
      <w:r>
        <w:rPr>
          <w:rFonts w:hint="eastAsia" w:ascii="仿宋" w:hAnsi="仿宋" w:eastAsia="仿宋" w:cs="仿宋"/>
          <w:szCs w:val="24"/>
          <w:highlight w:val="none"/>
        </w:rPr>
        <w:t>1．总则</w:t>
      </w:r>
      <w:r>
        <w:rPr>
          <w:highlight w:val="none"/>
        </w:rPr>
        <w:tab/>
      </w:r>
      <w:r>
        <w:rPr>
          <w:highlight w:val="none"/>
        </w:rPr>
        <w:fldChar w:fldCharType="begin"/>
      </w:r>
      <w:r>
        <w:rPr>
          <w:highlight w:val="none"/>
        </w:rPr>
        <w:instrText xml:space="preserve"> PAGEREF _Toc3661 \h </w:instrText>
      </w:r>
      <w:r>
        <w:rPr>
          <w:highlight w:val="none"/>
        </w:rPr>
        <w:fldChar w:fldCharType="separate"/>
      </w:r>
      <w:r>
        <w:rPr>
          <w:highlight w:val="none"/>
        </w:rPr>
        <w:t>9</w:t>
      </w:r>
      <w:r>
        <w:rPr>
          <w:highlight w:val="none"/>
        </w:rPr>
        <w:fldChar w:fldCharType="end"/>
      </w:r>
      <w:r>
        <w:rPr>
          <w:rFonts w:hint="eastAsia" w:ascii="仿宋" w:hAnsi="仿宋" w:eastAsia="仿宋" w:cs="仿宋"/>
          <w:highlight w:val="none"/>
        </w:rPr>
        <w:fldChar w:fldCharType="end"/>
      </w:r>
    </w:p>
    <w:p w14:paraId="5661A8AD">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_Toc27298 </w:instrText>
      </w:r>
      <w:r>
        <w:rPr>
          <w:rFonts w:hint="eastAsia" w:ascii="仿宋" w:hAnsi="仿宋" w:eastAsia="仿宋" w:cs="仿宋"/>
          <w:highlight w:val="none"/>
        </w:rPr>
        <w:fldChar w:fldCharType="separate"/>
      </w:r>
      <w:r>
        <w:rPr>
          <w:rFonts w:hint="eastAsia" w:ascii="仿宋" w:hAnsi="仿宋" w:eastAsia="仿宋" w:cs="仿宋"/>
          <w:szCs w:val="24"/>
          <w:highlight w:val="none"/>
        </w:rPr>
        <w:t>2．招标文件</w:t>
      </w:r>
      <w:r>
        <w:rPr>
          <w:highlight w:val="none"/>
        </w:rPr>
        <w:tab/>
      </w:r>
      <w:r>
        <w:rPr>
          <w:highlight w:val="none"/>
        </w:rPr>
        <w:fldChar w:fldCharType="begin"/>
      </w:r>
      <w:r>
        <w:rPr>
          <w:highlight w:val="none"/>
        </w:rPr>
        <w:instrText xml:space="preserve"> PAGEREF _Toc27298 \h </w:instrText>
      </w:r>
      <w:r>
        <w:rPr>
          <w:highlight w:val="none"/>
        </w:rPr>
        <w:fldChar w:fldCharType="separate"/>
      </w:r>
      <w:r>
        <w:rPr>
          <w:highlight w:val="none"/>
        </w:rPr>
        <w:t>11</w:t>
      </w:r>
      <w:r>
        <w:rPr>
          <w:highlight w:val="none"/>
        </w:rPr>
        <w:fldChar w:fldCharType="end"/>
      </w:r>
      <w:r>
        <w:rPr>
          <w:rFonts w:hint="eastAsia" w:ascii="仿宋" w:hAnsi="仿宋" w:eastAsia="仿宋" w:cs="仿宋"/>
          <w:highlight w:val="none"/>
        </w:rPr>
        <w:fldChar w:fldCharType="end"/>
      </w:r>
    </w:p>
    <w:p w14:paraId="1F2AE8B4">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_Toc5223 </w:instrText>
      </w:r>
      <w:r>
        <w:rPr>
          <w:rFonts w:hint="eastAsia" w:ascii="仿宋" w:hAnsi="仿宋" w:eastAsia="仿宋" w:cs="仿宋"/>
          <w:highlight w:val="none"/>
        </w:rPr>
        <w:fldChar w:fldCharType="separate"/>
      </w:r>
      <w:r>
        <w:rPr>
          <w:rFonts w:hint="eastAsia" w:ascii="仿宋" w:hAnsi="仿宋" w:eastAsia="仿宋" w:cs="仿宋"/>
          <w:szCs w:val="24"/>
          <w:highlight w:val="none"/>
        </w:rPr>
        <w:t>3．投标文件</w:t>
      </w:r>
      <w:r>
        <w:rPr>
          <w:highlight w:val="none"/>
        </w:rPr>
        <w:tab/>
      </w:r>
      <w:r>
        <w:rPr>
          <w:highlight w:val="none"/>
        </w:rPr>
        <w:fldChar w:fldCharType="begin"/>
      </w:r>
      <w:r>
        <w:rPr>
          <w:highlight w:val="none"/>
        </w:rPr>
        <w:instrText xml:space="preserve"> PAGEREF _Toc5223 \h </w:instrText>
      </w:r>
      <w:r>
        <w:rPr>
          <w:highlight w:val="none"/>
        </w:rPr>
        <w:fldChar w:fldCharType="separate"/>
      </w:r>
      <w:r>
        <w:rPr>
          <w:highlight w:val="none"/>
        </w:rPr>
        <w:t>12</w:t>
      </w:r>
      <w:r>
        <w:rPr>
          <w:highlight w:val="none"/>
        </w:rPr>
        <w:fldChar w:fldCharType="end"/>
      </w:r>
      <w:r>
        <w:rPr>
          <w:rFonts w:hint="eastAsia" w:ascii="仿宋" w:hAnsi="仿宋" w:eastAsia="仿宋" w:cs="仿宋"/>
          <w:highlight w:val="none"/>
        </w:rPr>
        <w:fldChar w:fldCharType="end"/>
      </w:r>
    </w:p>
    <w:p w14:paraId="33BE5838">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_Toc28025 </w:instrText>
      </w:r>
      <w:r>
        <w:rPr>
          <w:rFonts w:hint="eastAsia" w:ascii="仿宋" w:hAnsi="仿宋" w:eastAsia="仿宋" w:cs="仿宋"/>
          <w:highlight w:val="none"/>
        </w:rPr>
        <w:fldChar w:fldCharType="separate"/>
      </w:r>
      <w:r>
        <w:rPr>
          <w:rFonts w:hint="eastAsia" w:ascii="仿宋" w:hAnsi="仿宋" w:eastAsia="仿宋" w:cs="仿宋"/>
          <w:szCs w:val="24"/>
          <w:highlight w:val="none"/>
        </w:rPr>
        <w:t>4．投标</w:t>
      </w:r>
      <w:r>
        <w:rPr>
          <w:highlight w:val="none"/>
        </w:rPr>
        <w:tab/>
      </w:r>
      <w:r>
        <w:rPr>
          <w:highlight w:val="none"/>
        </w:rPr>
        <w:fldChar w:fldCharType="begin"/>
      </w:r>
      <w:r>
        <w:rPr>
          <w:highlight w:val="none"/>
        </w:rPr>
        <w:instrText xml:space="preserve"> PAGEREF _Toc28025 \h </w:instrText>
      </w:r>
      <w:r>
        <w:rPr>
          <w:highlight w:val="none"/>
        </w:rPr>
        <w:fldChar w:fldCharType="separate"/>
      </w:r>
      <w:r>
        <w:rPr>
          <w:highlight w:val="none"/>
        </w:rPr>
        <w:t>15</w:t>
      </w:r>
      <w:r>
        <w:rPr>
          <w:highlight w:val="none"/>
        </w:rPr>
        <w:fldChar w:fldCharType="end"/>
      </w:r>
      <w:r>
        <w:rPr>
          <w:rFonts w:hint="eastAsia" w:ascii="仿宋" w:hAnsi="仿宋" w:eastAsia="仿宋" w:cs="仿宋"/>
          <w:highlight w:val="none"/>
        </w:rPr>
        <w:fldChar w:fldCharType="end"/>
      </w:r>
    </w:p>
    <w:p w14:paraId="22FD6271">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_Toc26385 </w:instrText>
      </w:r>
      <w:r>
        <w:rPr>
          <w:rFonts w:hint="eastAsia" w:ascii="仿宋" w:hAnsi="仿宋" w:eastAsia="仿宋" w:cs="仿宋"/>
          <w:highlight w:val="none"/>
        </w:rPr>
        <w:fldChar w:fldCharType="separate"/>
      </w:r>
      <w:r>
        <w:rPr>
          <w:rFonts w:hint="eastAsia" w:ascii="仿宋" w:hAnsi="仿宋" w:eastAsia="仿宋" w:cs="仿宋"/>
          <w:szCs w:val="24"/>
          <w:highlight w:val="none"/>
        </w:rPr>
        <w:t>5．开标</w:t>
      </w:r>
      <w:r>
        <w:rPr>
          <w:highlight w:val="none"/>
        </w:rPr>
        <w:tab/>
      </w:r>
      <w:r>
        <w:rPr>
          <w:highlight w:val="none"/>
        </w:rPr>
        <w:fldChar w:fldCharType="begin"/>
      </w:r>
      <w:r>
        <w:rPr>
          <w:highlight w:val="none"/>
        </w:rPr>
        <w:instrText xml:space="preserve"> PAGEREF _Toc26385 \h </w:instrText>
      </w:r>
      <w:r>
        <w:rPr>
          <w:highlight w:val="none"/>
        </w:rPr>
        <w:fldChar w:fldCharType="separate"/>
      </w:r>
      <w:r>
        <w:rPr>
          <w:highlight w:val="none"/>
        </w:rPr>
        <w:t>16</w:t>
      </w:r>
      <w:r>
        <w:rPr>
          <w:highlight w:val="none"/>
        </w:rPr>
        <w:fldChar w:fldCharType="end"/>
      </w:r>
      <w:r>
        <w:rPr>
          <w:rFonts w:hint="eastAsia" w:ascii="仿宋" w:hAnsi="仿宋" w:eastAsia="仿宋" w:cs="仿宋"/>
          <w:highlight w:val="none"/>
        </w:rPr>
        <w:fldChar w:fldCharType="end"/>
      </w:r>
    </w:p>
    <w:p w14:paraId="612825CF">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_Toc5139 </w:instrText>
      </w:r>
      <w:r>
        <w:rPr>
          <w:rFonts w:hint="eastAsia" w:ascii="仿宋" w:hAnsi="仿宋" w:eastAsia="仿宋" w:cs="仿宋"/>
          <w:highlight w:val="none"/>
        </w:rPr>
        <w:fldChar w:fldCharType="separate"/>
      </w:r>
      <w:r>
        <w:rPr>
          <w:rFonts w:hint="eastAsia" w:ascii="仿宋" w:hAnsi="仿宋" w:eastAsia="仿宋" w:cs="仿宋"/>
          <w:szCs w:val="24"/>
          <w:highlight w:val="none"/>
        </w:rPr>
        <w:t>6．评标</w:t>
      </w:r>
      <w:r>
        <w:rPr>
          <w:highlight w:val="none"/>
        </w:rPr>
        <w:tab/>
      </w:r>
      <w:r>
        <w:rPr>
          <w:highlight w:val="none"/>
        </w:rPr>
        <w:fldChar w:fldCharType="begin"/>
      </w:r>
      <w:r>
        <w:rPr>
          <w:highlight w:val="none"/>
        </w:rPr>
        <w:instrText xml:space="preserve"> PAGEREF _Toc5139 \h </w:instrText>
      </w:r>
      <w:r>
        <w:rPr>
          <w:highlight w:val="none"/>
        </w:rPr>
        <w:fldChar w:fldCharType="separate"/>
      </w:r>
      <w:r>
        <w:rPr>
          <w:highlight w:val="none"/>
        </w:rPr>
        <w:t>16</w:t>
      </w:r>
      <w:r>
        <w:rPr>
          <w:highlight w:val="none"/>
        </w:rPr>
        <w:fldChar w:fldCharType="end"/>
      </w:r>
      <w:r>
        <w:rPr>
          <w:rFonts w:hint="eastAsia" w:ascii="仿宋" w:hAnsi="仿宋" w:eastAsia="仿宋" w:cs="仿宋"/>
          <w:highlight w:val="none"/>
        </w:rPr>
        <w:fldChar w:fldCharType="end"/>
      </w:r>
    </w:p>
    <w:p w14:paraId="3BD5C64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_Toc1820 </w:instrText>
      </w:r>
      <w:r>
        <w:rPr>
          <w:rFonts w:hint="eastAsia" w:ascii="仿宋" w:hAnsi="仿宋" w:eastAsia="仿宋" w:cs="仿宋"/>
          <w:highlight w:val="none"/>
        </w:rPr>
        <w:fldChar w:fldCharType="separate"/>
      </w:r>
      <w:r>
        <w:rPr>
          <w:rFonts w:hint="eastAsia" w:ascii="仿宋" w:hAnsi="仿宋" w:eastAsia="仿宋" w:cs="仿宋"/>
          <w:szCs w:val="24"/>
          <w:highlight w:val="none"/>
        </w:rPr>
        <w:t>7．定标及合同授予</w:t>
      </w:r>
      <w:r>
        <w:rPr>
          <w:highlight w:val="none"/>
        </w:rPr>
        <w:tab/>
      </w:r>
      <w:r>
        <w:rPr>
          <w:highlight w:val="none"/>
        </w:rPr>
        <w:fldChar w:fldCharType="begin"/>
      </w:r>
      <w:r>
        <w:rPr>
          <w:highlight w:val="none"/>
        </w:rPr>
        <w:instrText xml:space="preserve"> PAGEREF _Toc1820 \h </w:instrText>
      </w:r>
      <w:r>
        <w:rPr>
          <w:highlight w:val="none"/>
        </w:rPr>
        <w:fldChar w:fldCharType="separate"/>
      </w:r>
      <w:r>
        <w:rPr>
          <w:highlight w:val="none"/>
        </w:rPr>
        <w:t>17</w:t>
      </w:r>
      <w:r>
        <w:rPr>
          <w:highlight w:val="none"/>
        </w:rPr>
        <w:fldChar w:fldCharType="end"/>
      </w:r>
      <w:r>
        <w:rPr>
          <w:rFonts w:hint="eastAsia" w:ascii="仿宋" w:hAnsi="仿宋" w:eastAsia="仿宋" w:cs="仿宋"/>
          <w:highlight w:val="none"/>
        </w:rPr>
        <w:fldChar w:fldCharType="end"/>
      </w:r>
    </w:p>
    <w:p w14:paraId="77B157B1">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_Toc10630 </w:instrText>
      </w:r>
      <w:r>
        <w:rPr>
          <w:rFonts w:hint="eastAsia" w:ascii="仿宋" w:hAnsi="仿宋" w:eastAsia="仿宋" w:cs="仿宋"/>
          <w:highlight w:val="none"/>
        </w:rPr>
        <w:fldChar w:fldCharType="separate"/>
      </w:r>
      <w:r>
        <w:rPr>
          <w:rFonts w:hint="eastAsia" w:ascii="仿宋" w:hAnsi="仿宋" w:eastAsia="仿宋" w:cs="仿宋"/>
          <w:szCs w:val="24"/>
          <w:highlight w:val="none"/>
        </w:rPr>
        <w:t>8．纪律和监督</w:t>
      </w:r>
      <w:r>
        <w:rPr>
          <w:highlight w:val="none"/>
        </w:rPr>
        <w:tab/>
      </w:r>
      <w:r>
        <w:rPr>
          <w:highlight w:val="none"/>
        </w:rPr>
        <w:fldChar w:fldCharType="begin"/>
      </w:r>
      <w:r>
        <w:rPr>
          <w:highlight w:val="none"/>
        </w:rPr>
        <w:instrText xml:space="preserve"> PAGEREF _Toc10630 \h </w:instrText>
      </w:r>
      <w:r>
        <w:rPr>
          <w:highlight w:val="none"/>
        </w:rPr>
        <w:fldChar w:fldCharType="separate"/>
      </w:r>
      <w:r>
        <w:rPr>
          <w:highlight w:val="none"/>
        </w:rPr>
        <w:t>18</w:t>
      </w:r>
      <w:r>
        <w:rPr>
          <w:highlight w:val="none"/>
        </w:rPr>
        <w:fldChar w:fldCharType="end"/>
      </w:r>
      <w:r>
        <w:rPr>
          <w:rFonts w:hint="eastAsia" w:ascii="仿宋" w:hAnsi="仿宋" w:eastAsia="仿宋" w:cs="仿宋"/>
          <w:highlight w:val="none"/>
        </w:rPr>
        <w:fldChar w:fldCharType="end"/>
      </w:r>
    </w:p>
    <w:p w14:paraId="2CBB25E8">
      <w:pPr>
        <w:pStyle w:val="25"/>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_Toc21164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第二章 评标办法</w:t>
      </w:r>
      <w:r>
        <w:rPr>
          <w:highlight w:val="none"/>
        </w:rPr>
        <w:tab/>
      </w:r>
      <w:r>
        <w:rPr>
          <w:highlight w:val="none"/>
        </w:rPr>
        <w:fldChar w:fldCharType="begin"/>
      </w:r>
      <w:r>
        <w:rPr>
          <w:highlight w:val="none"/>
        </w:rPr>
        <w:instrText xml:space="preserve"> PAGEREF _Toc21164 \h </w:instrText>
      </w:r>
      <w:r>
        <w:rPr>
          <w:highlight w:val="none"/>
        </w:rPr>
        <w:fldChar w:fldCharType="separate"/>
      </w:r>
      <w:r>
        <w:rPr>
          <w:highlight w:val="none"/>
        </w:rPr>
        <w:t>19</w:t>
      </w:r>
      <w:r>
        <w:rPr>
          <w:highlight w:val="none"/>
        </w:rPr>
        <w:fldChar w:fldCharType="end"/>
      </w:r>
      <w:r>
        <w:rPr>
          <w:rFonts w:hint="eastAsia" w:ascii="仿宋" w:hAnsi="仿宋" w:eastAsia="仿宋" w:cs="仿宋"/>
          <w:highlight w:val="none"/>
        </w:rPr>
        <w:fldChar w:fldCharType="end"/>
      </w:r>
    </w:p>
    <w:p w14:paraId="3E51A2F0">
      <w:pPr>
        <w:pStyle w:val="17"/>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_Toc23868 </w:instrText>
      </w:r>
      <w:r>
        <w:rPr>
          <w:rFonts w:hint="eastAsia" w:ascii="仿宋" w:hAnsi="仿宋" w:eastAsia="仿宋" w:cs="仿宋"/>
          <w:highlight w:val="none"/>
        </w:rPr>
        <w:fldChar w:fldCharType="separate"/>
      </w:r>
      <w:r>
        <w:rPr>
          <w:rFonts w:hint="eastAsia" w:ascii="仿宋" w:hAnsi="仿宋" w:eastAsia="仿宋" w:cs="仿宋"/>
          <w:szCs w:val="28"/>
          <w:highlight w:val="none"/>
        </w:rPr>
        <w:t>评审办法前附表</w:t>
      </w:r>
      <w:r>
        <w:rPr>
          <w:highlight w:val="none"/>
        </w:rPr>
        <w:tab/>
      </w:r>
      <w:r>
        <w:rPr>
          <w:highlight w:val="none"/>
        </w:rPr>
        <w:fldChar w:fldCharType="begin"/>
      </w:r>
      <w:r>
        <w:rPr>
          <w:highlight w:val="none"/>
        </w:rPr>
        <w:instrText xml:space="preserve"> PAGEREF _Toc23868 \h </w:instrText>
      </w:r>
      <w:r>
        <w:rPr>
          <w:highlight w:val="none"/>
        </w:rPr>
        <w:fldChar w:fldCharType="separate"/>
      </w:r>
      <w:r>
        <w:rPr>
          <w:highlight w:val="none"/>
        </w:rPr>
        <w:t>19</w:t>
      </w:r>
      <w:r>
        <w:rPr>
          <w:highlight w:val="none"/>
        </w:rPr>
        <w:fldChar w:fldCharType="end"/>
      </w:r>
      <w:r>
        <w:rPr>
          <w:rFonts w:hint="eastAsia" w:ascii="仿宋" w:hAnsi="仿宋" w:eastAsia="仿宋" w:cs="仿宋"/>
          <w:highlight w:val="none"/>
        </w:rPr>
        <w:fldChar w:fldCharType="end"/>
      </w:r>
    </w:p>
    <w:p w14:paraId="11CF54D2">
      <w:pPr>
        <w:pStyle w:val="17"/>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_Toc17904 </w:instrText>
      </w:r>
      <w:r>
        <w:rPr>
          <w:rFonts w:hint="eastAsia" w:ascii="仿宋" w:hAnsi="仿宋" w:eastAsia="仿宋" w:cs="仿宋"/>
          <w:highlight w:val="none"/>
        </w:rPr>
        <w:fldChar w:fldCharType="separate"/>
      </w:r>
      <w:r>
        <w:rPr>
          <w:rFonts w:hint="eastAsia" w:ascii="仿宋" w:hAnsi="仿宋" w:eastAsia="仿宋" w:cs="仿宋"/>
          <w:szCs w:val="24"/>
          <w:highlight w:val="none"/>
        </w:rPr>
        <w:t>1. 评标方法</w:t>
      </w:r>
      <w:r>
        <w:rPr>
          <w:highlight w:val="none"/>
        </w:rPr>
        <w:tab/>
      </w:r>
      <w:r>
        <w:rPr>
          <w:highlight w:val="none"/>
        </w:rPr>
        <w:fldChar w:fldCharType="begin"/>
      </w:r>
      <w:r>
        <w:rPr>
          <w:highlight w:val="none"/>
        </w:rPr>
        <w:instrText xml:space="preserve"> PAGEREF _Toc17904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695A5C78">
      <w:pPr>
        <w:pStyle w:val="17"/>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_Toc25431 </w:instrText>
      </w:r>
      <w:r>
        <w:rPr>
          <w:rFonts w:hint="eastAsia" w:ascii="仿宋" w:hAnsi="仿宋" w:eastAsia="仿宋" w:cs="仿宋"/>
          <w:highlight w:val="none"/>
        </w:rPr>
        <w:fldChar w:fldCharType="separate"/>
      </w:r>
      <w:r>
        <w:rPr>
          <w:rFonts w:hint="eastAsia" w:ascii="仿宋" w:hAnsi="仿宋" w:eastAsia="仿宋" w:cs="仿宋"/>
          <w:szCs w:val="24"/>
          <w:highlight w:val="none"/>
        </w:rPr>
        <w:t>2. 评标标准</w:t>
      </w:r>
      <w:r>
        <w:rPr>
          <w:highlight w:val="none"/>
        </w:rPr>
        <w:tab/>
      </w:r>
      <w:r>
        <w:rPr>
          <w:highlight w:val="none"/>
        </w:rPr>
        <w:fldChar w:fldCharType="begin"/>
      </w:r>
      <w:r>
        <w:rPr>
          <w:highlight w:val="none"/>
        </w:rPr>
        <w:instrText xml:space="preserve"> PAGEREF _Toc25431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34313C43">
      <w:pPr>
        <w:pStyle w:val="17"/>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_Toc29324 </w:instrText>
      </w:r>
      <w:r>
        <w:rPr>
          <w:rFonts w:hint="eastAsia" w:ascii="仿宋" w:hAnsi="仿宋" w:eastAsia="仿宋" w:cs="仿宋"/>
          <w:highlight w:val="none"/>
        </w:rPr>
        <w:fldChar w:fldCharType="separate"/>
      </w:r>
      <w:r>
        <w:rPr>
          <w:rFonts w:hint="eastAsia" w:ascii="仿宋" w:hAnsi="仿宋" w:eastAsia="仿宋" w:cs="仿宋"/>
          <w:szCs w:val="24"/>
          <w:highlight w:val="none"/>
        </w:rPr>
        <w:t>3. 评标程序</w:t>
      </w:r>
      <w:r>
        <w:rPr>
          <w:highlight w:val="none"/>
        </w:rPr>
        <w:tab/>
      </w:r>
      <w:r>
        <w:rPr>
          <w:highlight w:val="none"/>
        </w:rPr>
        <w:fldChar w:fldCharType="begin"/>
      </w:r>
      <w:r>
        <w:rPr>
          <w:highlight w:val="none"/>
        </w:rPr>
        <w:instrText xml:space="preserve"> PAGEREF _Toc29324 \h </w:instrText>
      </w:r>
      <w:r>
        <w:rPr>
          <w:highlight w:val="none"/>
        </w:rPr>
        <w:fldChar w:fldCharType="separate"/>
      </w:r>
      <w:r>
        <w:rPr>
          <w:highlight w:val="none"/>
        </w:rPr>
        <w:t>23</w:t>
      </w:r>
      <w:r>
        <w:rPr>
          <w:highlight w:val="none"/>
        </w:rPr>
        <w:fldChar w:fldCharType="end"/>
      </w:r>
      <w:r>
        <w:rPr>
          <w:rFonts w:hint="eastAsia" w:ascii="仿宋" w:hAnsi="仿宋" w:eastAsia="仿宋" w:cs="仿宋"/>
          <w:highlight w:val="none"/>
        </w:rPr>
        <w:fldChar w:fldCharType="end"/>
      </w:r>
    </w:p>
    <w:p w14:paraId="1D04A6ED">
      <w:pPr>
        <w:pStyle w:val="25"/>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_Toc1253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第三章 合同条款</w:t>
      </w:r>
      <w:r>
        <w:rPr>
          <w:highlight w:val="none"/>
        </w:rPr>
        <w:tab/>
      </w:r>
      <w:r>
        <w:rPr>
          <w:highlight w:val="none"/>
        </w:rPr>
        <w:fldChar w:fldCharType="begin"/>
      </w:r>
      <w:r>
        <w:rPr>
          <w:highlight w:val="none"/>
        </w:rPr>
        <w:instrText xml:space="preserve"> PAGEREF _Toc1253 \h </w:instrText>
      </w:r>
      <w:r>
        <w:rPr>
          <w:highlight w:val="none"/>
        </w:rPr>
        <w:fldChar w:fldCharType="separate"/>
      </w:r>
      <w:r>
        <w:rPr>
          <w:highlight w:val="none"/>
        </w:rPr>
        <w:t>30</w:t>
      </w:r>
      <w:r>
        <w:rPr>
          <w:highlight w:val="none"/>
        </w:rPr>
        <w:fldChar w:fldCharType="end"/>
      </w:r>
      <w:r>
        <w:rPr>
          <w:rFonts w:hint="eastAsia" w:ascii="仿宋" w:hAnsi="仿宋" w:eastAsia="仿宋" w:cs="仿宋"/>
          <w:highlight w:val="none"/>
        </w:rPr>
        <w:fldChar w:fldCharType="end"/>
      </w:r>
    </w:p>
    <w:p w14:paraId="3375A58A">
      <w:pPr>
        <w:pStyle w:val="25"/>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_Toc27487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第四章 服务标准和要求</w:t>
      </w:r>
      <w:r>
        <w:rPr>
          <w:highlight w:val="none"/>
        </w:rPr>
        <w:tab/>
      </w:r>
      <w:r>
        <w:rPr>
          <w:highlight w:val="none"/>
        </w:rPr>
        <w:fldChar w:fldCharType="begin"/>
      </w:r>
      <w:r>
        <w:rPr>
          <w:highlight w:val="none"/>
        </w:rPr>
        <w:instrText xml:space="preserve"> PAGEREF _Toc27487 \h </w:instrText>
      </w:r>
      <w:r>
        <w:rPr>
          <w:highlight w:val="none"/>
        </w:rPr>
        <w:fldChar w:fldCharType="separate"/>
      </w:r>
      <w:r>
        <w:rPr>
          <w:highlight w:val="none"/>
        </w:rPr>
        <w:t>41</w:t>
      </w:r>
      <w:r>
        <w:rPr>
          <w:highlight w:val="none"/>
        </w:rPr>
        <w:fldChar w:fldCharType="end"/>
      </w:r>
      <w:r>
        <w:rPr>
          <w:rFonts w:hint="eastAsia" w:ascii="仿宋" w:hAnsi="仿宋" w:eastAsia="仿宋" w:cs="仿宋"/>
          <w:highlight w:val="none"/>
        </w:rPr>
        <w:fldChar w:fldCharType="end"/>
      </w:r>
    </w:p>
    <w:p w14:paraId="1E69DC2E">
      <w:pPr>
        <w:pStyle w:val="25"/>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_Toc1807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第五章 投标文件格式</w:t>
      </w:r>
      <w:r>
        <w:rPr>
          <w:highlight w:val="none"/>
        </w:rPr>
        <w:tab/>
      </w:r>
      <w:r>
        <w:rPr>
          <w:highlight w:val="none"/>
        </w:rPr>
        <w:fldChar w:fldCharType="begin"/>
      </w:r>
      <w:r>
        <w:rPr>
          <w:highlight w:val="none"/>
        </w:rPr>
        <w:instrText xml:space="preserve"> PAGEREF _Toc1807 \h </w:instrText>
      </w:r>
      <w:r>
        <w:rPr>
          <w:highlight w:val="none"/>
        </w:rPr>
        <w:fldChar w:fldCharType="separate"/>
      </w:r>
      <w:r>
        <w:rPr>
          <w:highlight w:val="none"/>
        </w:rPr>
        <w:t>41</w:t>
      </w:r>
      <w:r>
        <w:rPr>
          <w:highlight w:val="none"/>
        </w:rPr>
        <w:fldChar w:fldCharType="end"/>
      </w:r>
      <w:r>
        <w:rPr>
          <w:rFonts w:hint="eastAsia" w:ascii="仿宋" w:hAnsi="仿宋" w:eastAsia="仿宋" w:cs="仿宋"/>
          <w:highlight w:val="none"/>
        </w:rPr>
        <w:fldChar w:fldCharType="end"/>
      </w:r>
    </w:p>
    <w:p w14:paraId="027A0F9B">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_Toc3990 </w:instrText>
      </w:r>
      <w:r>
        <w:rPr>
          <w:rFonts w:hint="eastAsia" w:ascii="仿宋" w:hAnsi="仿宋" w:eastAsia="仿宋" w:cs="仿宋"/>
          <w:highlight w:val="none"/>
        </w:rPr>
        <w:fldChar w:fldCharType="separate"/>
      </w:r>
      <w:r>
        <w:rPr>
          <w:rFonts w:hint="eastAsia" w:ascii="仿宋" w:hAnsi="仿宋" w:eastAsia="仿宋" w:cs="仿宋"/>
          <w:szCs w:val="24"/>
          <w:highlight w:val="none"/>
        </w:rPr>
        <w:t>目录</w:t>
      </w:r>
      <w:r>
        <w:rPr>
          <w:highlight w:val="none"/>
        </w:rPr>
        <w:tab/>
      </w:r>
      <w:r>
        <w:rPr>
          <w:highlight w:val="none"/>
        </w:rPr>
        <w:fldChar w:fldCharType="begin"/>
      </w:r>
      <w:r>
        <w:rPr>
          <w:highlight w:val="none"/>
        </w:rPr>
        <w:instrText xml:space="preserve"> PAGEREF _Toc3990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492D9E2A">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_Toc18537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一、投标函</w:t>
      </w:r>
      <w:r>
        <w:rPr>
          <w:highlight w:val="none"/>
        </w:rPr>
        <w:tab/>
      </w:r>
      <w:r>
        <w:rPr>
          <w:highlight w:val="none"/>
        </w:rPr>
        <w:fldChar w:fldCharType="begin"/>
      </w:r>
      <w:r>
        <w:rPr>
          <w:highlight w:val="none"/>
        </w:rPr>
        <w:instrText xml:space="preserve"> PAGEREF _Toc18537 \h </w:instrText>
      </w:r>
      <w:r>
        <w:rPr>
          <w:highlight w:val="none"/>
        </w:rPr>
        <w:fldChar w:fldCharType="separate"/>
      </w:r>
      <w:r>
        <w:rPr>
          <w:highlight w:val="none"/>
        </w:rPr>
        <w:t>52</w:t>
      </w:r>
      <w:r>
        <w:rPr>
          <w:highlight w:val="none"/>
        </w:rPr>
        <w:fldChar w:fldCharType="end"/>
      </w:r>
      <w:r>
        <w:rPr>
          <w:rFonts w:hint="eastAsia" w:ascii="仿宋" w:hAnsi="仿宋" w:eastAsia="仿宋" w:cs="仿宋"/>
          <w:highlight w:val="none"/>
        </w:rPr>
        <w:fldChar w:fldCharType="end"/>
      </w:r>
    </w:p>
    <w:p w14:paraId="5006291B">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_Toc14116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二、开标一览表</w:t>
      </w:r>
      <w:r>
        <w:rPr>
          <w:highlight w:val="none"/>
        </w:rPr>
        <w:tab/>
      </w:r>
      <w:r>
        <w:rPr>
          <w:highlight w:val="none"/>
        </w:rPr>
        <w:fldChar w:fldCharType="begin"/>
      </w:r>
      <w:r>
        <w:rPr>
          <w:highlight w:val="none"/>
        </w:rPr>
        <w:instrText xml:space="preserve"> PAGEREF _Toc14116 \h </w:instrText>
      </w:r>
      <w:r>
        <w:rPr>
          <w:highlight w:val="none"/>
        </w:rPr>
        <w:fldChar w:fldCharType="separate"/>
      </w:r>
      <w:r>
        <w:rPr>
          <w:highlight w:val="none"/>
        </w:rPr>
        <w:t>53</w:t>
      </w:r>
      <w:r>
        <w:rPr>
          <w:highlight w:val="none"/>
        </w:rPr>
        <w:fldChar w:fldCharType="end"/>
      </w:r>
      <w:r>
        <w:rPr>
          <w:rFonts w:hint="eastAsia" w:ascii="仿宋" w:hAnsi="仿宋" w:eastAsia="仿宋" w:cs="仿宋"/>
          <w:highlight w:val="none"/>
        </w:rPr>
        <w:fldChar w:fldCharType="end"/>
      </w:r>
    </w:p>
    <w:p w14:paraId="0B8CD40C">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_Toc11784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三、投标价格明细表</w:t>
      </w:r>
      <w:r>
        <w:rPr>
          <w:highlight w:val="none"/>
        </w:rPr>
        <w:tab/>
      </w:r>
      <w:r>
        <w:rPr>
          <w:highlight w:val="none"/>
        </w:rPr>
        <w:fldChar w:fldCharType="begin"/>
      </w:r>
      <w:r>
        <w:rPr>
          <w:highlight w:val="none"/>
        </w:rPr>
        <w:instrText xml:space="preserve"> PAGEREF _Toc11784 \h </w:instrText>
      </w:r>
      <w:r>
        <w:rPr>
          <w:highlight w:val="none"/>
        </w:rPr>
        <w:fldChar w:fldCharType="separate"/>
      </w:r>
      <w:r>
        <w:rPr>
          <w:highlight w:val="none"/>
        </w:rPr>
        <w:t>54</w:t>
      </w:r>
      <w:r>
        <w:rPr>
          <w:highlight w:val="none"/>
        </w:rPr>
        <w:fldChar w:fldCharType="end"/>
      </w:r>
      <w:r>
        <w:rPr>
          <w:rFonts w:hint="eastAsia" w:ascii="仿宋" w:hAnsi="仿宋" w:eastAsia="仿宋" w:cs="仿宋"/>
          <w:highlight w:val="none"/>
        </w:rPr>
        <w:fldChar w:fldCharType="end"/>
      </w:r>
    </w:p>
    <w:p w14:paraId="3FD468B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_Toc5136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四、商务条款偏离表</w:t>
      </w:r>
      <w:r>
        <w:rPr>
          <w:highlight w:val="none"/>
        </w:rPr>
        <w:tab/>
      </w:r>
      <w:r>
        <w:rPr>
          <w:highlight w:val="none"/>
        </w:rPr>
        <w:fldChar w:fldCharType="begin"/>
      </w:r>
      <w:r>
        <w:rPr>
          <w:highlight w:val="none"/>
        </w:rPr>
        <w:instrText xml:space="preserve"> PAGEREF _Toc5136 \h </w:instrText>
      </w:r>
      <w:r>
        <w:rPr>
          <w:highlight w:val="none"/>
        </w:rPr>
        <w:fldChar w:fldCharType="separate"/>
      </w:r>
      <w:r>
        <w:rPr>
          <w:highlight w:val="none"/>
        </w:rPr>
        <w:t>55</w:t>
      </w:r>
      <w:r>
        <w:rPr>
          <w:highlight w:val="none"/>
        </w:rPr>
        <w:fldChar w:fldCharType="end"/>
      </w:r>
      <w:r>
        <w:rPr>
          <w:rFonts w:hint="eastAsia" w:ascii="仿宋" w:hAnsi="仿宋" w:eastAsia="仿宋" w:cs="仿宋"/>
          <w:highlight w:val="none"/>
        </w:rPr>
        <w:fldChar w:fldCharType="end"/>
      </w:r>
    </w:p>
    <w:p w14:paraId="595B29CF">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_Toc1549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五、技术条款偏离表</w:t>
      </w:r>
      <w:r>
        <w:rPr>
          <w:highlight w:val="none"/>
        </w:rPr>
        <w:tab/>
      </w:r>
      <w:r>
        <w:rPr>
          <w:highlight w:val="none"/>
        </w:rPr>
        <w:fldChar w:fldCharType="begin"/>
      </w:r>
      <w:r>
        <w:rPr>
          <w:highlight w:val="none"/>
        </w:rPr>
        <w:instrText xml:space="preserve"> PAGEREF _Toc1549 \h </w:instrText>
      </w:r>
      <w:r>
        <w:rPr>
          <w:highlight w:val="none"/>
        </w:rPr>
        <w:fldChar w:fldCharType="separate"/>
      </w:r>
      <w:r>
        <w:rPr>
          <w:highlight w:val="none"/>
        </w:rPr>
        <w:t>56</w:t>
      </w:r>
      <w:r>
        <w:rPr>
          <w:highlight w:val="none"/>
        </w:rPr>
        <w:fldChar w:fldCharType="end"/>
      </w:r>
      <w:r>
        <w:rPr>
          <w:rFonts w:hint="eastAsia" w:ascii="仿宋" w:hAnsi="仿宋" w:eastAsia="仿宋" w:cs="仿宋"/>
          <w:highlight w:val="none"/>
        </w:rPr>
        <w:fldChar w:fldCharType="end"/>
      </w:r>
    </w:p>
    <w:p w14:paraId="67231384">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_Toc30533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六、法定代表人身份证明书</w:t>
      </w:r>
      <w:r>
        <w:rPr>
          <w:highlight w:val="none"/>
        </w:rPr>
        <w:tab/>
      </w:r>
      <w:r>
        <w:rPr>
          <w:highlight w:val="none"/>
        </w:rPr>
        <w:fldChar w:fldCharType="begin"/>
      </w:r>
      <w:r>
        <w:rPr>
          <w:highlight w:val="none"/>
        </w:rPr>
        <w:instrText xml:space="preserve"> PAGEREF _Toc30533 \h </w:instrText>
      </w:r>
      <w:r>
        <w:rPr>
          <w:highlight w:val="none"/>
        </w:rPr>
        <w:fldChar w:fldCharType="separate"/>
      </w:r>
      <w:r>
        <w:rPr>
          <w:highlight w:val="none"/>
        </w:rPr>
        <w:t>57</w:t>
      </w:r>
      <w:r>
        <w:rPr>
          <w:highlight w:val="none"/>
        </w:rPr>
        <w:fldChar w:fldCharType="end"/>
      </w:r>
      <w:r>
        <w:rPr>
          <w:rFonts w:hint="eastAsia" w:ascii="仿宋" w:hAnsi="仿宋" w:eastAsia="仿宋" w:cs="仿宋"/>
          <w:highlight w:val="none"/>
        </w:rPr>
        <w:fldChar w:fldCharType="end"/>
      </w:r>
    </w:p>
    <w:p w14:paraId="5E921908">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_Toc29637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七、法定代表人授权委托书</w:t>
      </w:r>
      <w:r>
        <w:rPr>
          <w:highlight w:val="none"/>
        </w:rPr>
        <w:tab/>
      </w:r>
      <w:r>
        <w:rPr>
          <w:highlight w:val="none"/>
        </w:rPr>
        <w:fldChar w:fldCharType="begin"/>
      </w:r>
      <w:r>
        <w:rPr>
          <w:highlight w:val="none"/>
        </w:rPr>
        <w:instrText xml:space="preserve"> PAGEREF _Toc29637 \h </w:instrText>
      </w:r>
      <w:r>
        <w:rPr>
          <w:highlight w:val="none"/>
        </w:rPr>
        <w:fldChar w:fldCharType="separate"/>
      </w:r>
      <w:r>
        <w:rPr>
          <w:highlight w:val="none"/>
        </w:rPr>
        <w:t>58</w:t>
      </w:r>
      <w:r>
        <w:rPr>
          <w:highlight w:val="none"/>
        </w:rPr>
        <w:fldChar w:fldCharType="end"/>
      </w:r>
      <w:r>
        <w:rPr>
          <w:rFonts w:hint="eastAsia" w:ascii="仿宋" w:hAnsi="仿宋" w:eastAsia="仿宋" w:cs="仿宋"/>
          <w:highlight w:val="none"/>
        </w:rPr>
        <w:fldChar w:fldCharType="end"/>
      </w:r>
    </w:p>
    <w:p w14:paraId="4B2BEF74">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_Toc23743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八、投标人基本情况</w:t>
      </w:r>
      <w:r>
        <w:rPr>
          <w:highlight w:val="none"/>
        </w:rPr>
        <w:tab/>
      </w:r>
      <w:r>
        <w:rPr>
          <w:highlight w:val="none"/>
        </w:rPr>
        <w:fldChar w:fldCharType="begin"/>
      </w:r>
      <w:r>
        <w:rPr>
          <w:highlight w:val="none"/>
        </w:rPr>
        <w:instrText xml:space="preserve"> PAGEREF _Toc23743 \h </w:instrText>
      </w:r>
      <w:r>
        <w:rPr>
          <w:highlight w:val="none"/>
        </w:rPr>
        <w:fldChar w:fldCharType="separate"/>
      </w:r>
      <w:r>
        <w:rPr>
          <w:highlight w:val="none"/>
        </w:rPr>
        <w:t>59</w:t>
      </w:r>
      <w:r>
        <w:rPr>
          <w:highlight w:val="none"/>
        </w:rPr>
        <w:fldChar w:fldCharType="end"/>
      </w:r>
      <w:r>
        <w:rPr>
          <w:rFonts w:hint="eastAsia" w:ascii="仿宋" w:hAnsi="仿宋" w:eastAsia="仿宋" w:cs="仿宋"/>
          <w:highlight w:val="none"/>
        </w:rPr>
        <w:fldChar w:fldCharType="end"/>
      </w:r>
    </w:p>
    <w:p w14:paraId="6DA2A879">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_Toc22928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8.1、法人或者其他组织的营业执照等证明文件，自然人的身份证明</w:t>
      </w:r>
      <w:r>
        <w:rPr>
          <w:highlight w:val="none"/>
        </w:rPr>
        <w:tab/>
      </w:r>
      <w:r>
        <w:rPr>
          <w:highlight w:val="none"/>
        </w:rPr>
        <w:fldChar w:fldCharType="begin"/>
      </w:r>
      <w:r>
        <w:rPr>
          <w:highlight w:val="none"/>
        </w:rPr>
        <w:instrText xml:space="preserve"> PAGEREF _Toc22928 \h </w:instrText>
      </w:r>
      <w:r>
        <w:rPr>
          <w:highlight w:val="none"/>
        </w:rPr>
        <w:fldChar w:fldCharType="separate"/>
      </w:r>
      <w:r>
        <w:rPr>
          <w:highlight w:val="none"/>
        </w:rPr>
        <w:t>60</w:t>
      </w:r>
      <w:r>
        <w:rPr>
          <w:highlight w:val="none"/>
        </w:rPr>
        <w:fldChar w:fldCharType="end"/>
      </w:r>
      <w:r>
        <w:rPr>
          <w:rFonts w:hint="eastAsia" w:ascii="仿宋" w:hAnsi="仿宋" w:eastAsia="仿宋" w:cs="仿宋"/>
          <w:highlight w:val="none"/>
        </w:rPr>
        <w:fldChar w:fldCharType="end"/>
      </w:r>
    </w:p>
    <w:p w14:paraId="52031DB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_Toc591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8.2、财务状况报告，依法缴纳税收和社会保障资金的相关材料</w:t>
      </w:r>
      <w:r>
        <w:rPr>
          <w:highlight w:val="none"/>
        </w:rPr>
        <w:tab/>
      </w:r>
      <w:r>
        <w:rPr>
          <w:highlight w:val="none"/>
        </w:rPr>
        <w:fldChar w:fldCharType="begin"/>
      </w:r>
      <w:r>
        <w:rPr>
          <w:highlight w:val="none"/>
        </w:rPr>
        <w:instrText xml:space="preserve"> PAGEREF _Toc591 \h </w:instrText>
      </w:r>
      <w:r>
        <w:rPr>
          <w:highlight w:val="none"/>
        </w:rPr>
        <w:fldChar w:fldCharType="separate"/>
      </w:r>
      <w:r>
        <w:rPr>
          <w:highlight w:val="none"/>
        </w:rPr>
        <w:t>61</w:t>
      </w:r>
      <w:r>
        <w:rPr>
          <w:highlight w:val="none"/>
        </w:rPr>
        <w:fldChar w:fldCharType="end"/>
      </w:r>
      <w:r>
        <w:rPr>
          <w:rFonts w:hint="eastAsia" w:ascii="仿宋" w:hAnsi="仿宋" w:eastAsia="仿宋" w:cs="仿宋"/>
          <w:highlight w:val="none"/>
        </w:rPr>
        <w:fldChar w:fldCharType="end"/>
      </w:r>
    </w:p>
    <w:p w14:paraId="6990CDD3">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_Toc5928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8.3、具备履行合同所必需的设备和专业技术能力的证明材料</w:t>
      </w:r>
      <w:r>
        <w:rPr>
          <w:highlight w:val="none"/>
        </w:rPr>
        <w:tab/>
      </w:r>
      <w:r>
        <w:rPr>
          <w:highlight w:val="none"/>
        </w:rPr>
        <w:fldChar w:fldCharType="begin"/>
      </w:r>
      <w:r>
        <w:rPr>
          <w:highlight w:val="none"/>
        </w:rPr>
        <w:instrText xml:space="preserve"> PAGEREF _Toc5928 \h </w:instrText>
      </w:r>
      <w:r>
        <w:rPr>
          <w:highlight w:val="none"/>
        </w:rPr>
        <w:fldChar w:fldCharType="separate"/>
      </w:r>
      <w:r>
        <w:rPr>
          <w:highlight w:val="none"/>
        </w:rPr>
        <w:t>62</w:t>
      </w:r>
      <w:r>
        <w:rPr>
          <w:highlight w:val="none"/>
        </w:rPr>
        <w:fldChar w:fldCharType="end"/>
      </w:r>
      <w:r>
        <w:rPr>
          <w:rFonts w:hint="eastAsia" w:ascii="仿宋" w:hAnsi="仿宋" w:eastAsia="仿宋" w:cs="仿宋"/>
          <w:highlight w:val="none"/>
        </w:rPr>
        <w:fldChar w:fldCharType="end"/>
      </w:r>
    </w:p>
    <w:p w14:paraId="08C59579">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_Toc9548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8.4、参加政府采购活动前3年内在经营活动中没有重大违法记录的书面声明</w:t>
      </w:r>
      <w:r>
        <w:rPr>
          <w:highlight w:val="none"/>
        </w:rPr>
        <w:tab/>
      </w:r>
      <w:r>
        <w:rPr>
          <w:highlight w:val="none"/>
        </w:rPr>
        <w:fldChar w:fldCharType="begin"/>
      </w:r>
      <w:r>
        <w:rPr>
          <w:highlight w:val="none"/>
        </w:rPr>
        <w:instrText xml:space="preserve"> PAGEREF _Toc9548 \h </w:instrText>
      </w:r>
      <w:r>
        <w:rPr>
          <w:highlight w:val="none"/>
        </w:rPr>
        <w:fldChar w:fldCharType="separate"/>
      </w:r>
      <w:r>
        <w:rPr>
          <w:highlight w:val="none"/>
        </w:rPr>
        <w:t>63</w:t>
      </w:r>
      <w:r>
        <w:rPr>
          <w:highlight w:val="none"/>
        </w:rPr>
        <w:fldChar w:fldCharType="end"/>
      </w:r>
      <w:r>
        <w:rPr>
          <w:rFonts w:hint="eastAsia" w:ascii="仿宋" w:hAnsi="仿宋" w:eastAsia="仿宋" w:cs="仿宋"/>
          <w:highlight w:val="none"/>
        </w:rPr>
        <w:fldChar w:fldCharType="end"/>
      </w:r>
    </w:p>
    <w:p w14:paraId="13CB0662">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_Toc26372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8.5、具备法律、行政法规规定的其他条件的证明材料</w:t>
      </w:r>
      <w:r>
        <w:rPr>
          <w:highlight w:val="none"/>
        </w:rPr>
        <w:tab/>
      </w:r>
      <w:r>
        <w:rPr>
          <w:highlight w:val="none"/>
        </w:rPr>
        <w:fldChar w:fldCharType="begin"/>
      </w:r>
      <w:r>
        <w:rPr>
          <w:highlight w:val="none"/>
        </w:rPr>
        <w:instrText xml:space="preserve"> PAGEREF _Toc26372 \h </w:instrText>
      </w:r>
      <w:r>
        <w:rPr>
          <w:highlight w:val="none"/>
        </w:rPr>
        <w:fldChar w:fldCharType="separate"/>
      </w:r>
      <w:r>
        <w:rPr>
          <w:highlight w:val="none"/>
        </w:rPr>
        <w:t>64</w:t>
      </w:r>
      <w:r>
        <w:rPr>
          <w:highlight w:val="none"/>
        </w:rPr>
        <w:fldChar w:fldCharType="end"/>
      </w:r>
      <w:r>
        <w:rPr>
          <w:rFonts w:hint="eastAsia" w:ascii="仿宋" w:hAnsi="仿宋" w:eastAsia="仿宋" w:cs="仿宋"/>
          <w:highlight w:val="none"/>
        </w:rPr>
        <w:fldChar w:fldCharType="end"/>
      </w:r>
    </w:p>
    <w:p w14:paraId="0B898F19">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_Toc9955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九、</w:t>
      </w:r>
      <w:r>
        <w:rPr>
          <w:rFonts w:hint="eastAsia" w:ascii="仿宋" w:hAnsi="仿宋" w:eastAsia="仿宋" w:cs="仿宋"/>
          <w:bCs/>
          <w:szCs w:val="24"/>
          <w:highlight w:val="none"/>
          <w:shd w:val="clear" w:color="auto" w:fill="FFFFFF" w:themeFill="background1"/>
        </w:rPr>
        <w:t>投标人近三年类似项目业绩表</w:t>
      </w:r>
      <w:r>
        <w:rPr>
          <w:highlight w:val="none"/>
        </w:rPr>
        <w:tab/>
      </w:r>
      <w:r>
        <w:rPr>
          <w:highlight w:val="none"/>
        </w:rPr>
        <w:fldChar w:fldCharType="begin"/>
      </w:r>
      <w:r>
        <w:rPr>
          <w:highlight w:val="none"/>
        </w:rPr>
        <w:instrText xml:space="preserve"> PAGEREF _Toc9955 \h </w:instrText>
      </w:r>
      <w:r>
        <w:rPr>
          <w:highlight w:val="none"/>
        </w:rPr>
        <w:fldChar w:fldCharType="separate"/>
      </w:r>
      <w:r>
        <w:rPr>
          <w:highlight w:val="none"/>
        </w:rPr>
        <w:t>67</w:t>
      </w:r>
      <w:r>
        <w:rPr>
          <w:highlight w:val="none"/>
        </w:rPr>
        <w:fldChar w:fldCharType="end"/>
      </w:r>
      <w:r>
        <w:rPr>
          <w:rFonts w:hint="eastAsia" w:ascii="仿宋" w:hAnsi="仿宋" w:eastAsia="仿宋" w:cs="仿宋"/>
          <w:highlight w:val="none"/>
        </w:rPr>
        <w:fldChar w:fldCharType="end"/>
      </w:r>
    </w:p>
    <w:p w14:paraId="653929F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_Toc15333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w:t>
      </w:r>
      <w:r>
        <w:rPr>
          <w:rFonts w:hint="eastAsia" w:ascii="仿宋" w:hAnsi="仿宋" w:eastAsia="仿宋" w:cs="仿宋"/>
          <w:bCs/>
          <w:szCs w:val="24"/>
          <w:highlight w:val="none"/>
          <w:shd w:val="clear" w:color="auto" w:fill="FFFFFF" w:themeFill="background1"/>
        </w:rPr>
        <w:t>项目负责人简历表</w:t>
      </w:r>
      <w:r>
        <w:rPr>
          <w:highlight w:val="none"/>
        </w:rPr>
        <w:tab/>
      </w:r>
      <w:r>
        <w:rPr>
          <w:highlight w:val="none"/>
        </w:rPr>
        <w:fldChar w:fldCharType="begin"/>
      </w:r>
      <w:r>
        <w:rPr>
          <w:highlight w:val="none"/>
        </w:rPr>
        <w:instrText xml:space="preserve"> PAGEREF _Toc15333 \h </w:instrText>
      </w:r>
      <w:r>
        <w:rPr>
          <w:highlight w:val="none"/>
        </w:rPr>
        <w:fldChar w:fldCharType="separate"/>
      </w:r>
      <w:r>
        <w:rPr>
          <w:highlight w:val="none"/>
        </w:rPr>
        <w:t>68</w:t>
      </w:r>
      <w:r>
        <w:rPr>
          <w:highlight w:val="none"/>
        </w:rPr>
        <w:fldChar w:fldCharType="end"/>
      </w:r>
      <w:r>
        <w:rPr>
          <w:rFonts w:hint="eastAsia" w:ascii="仿宋" w:hAnsi="仿宋" w:eastAsia="仿宋" w:cs="仿宋"/>
          <w:highlight w:val="none"/>
        </w:rPr>
        <w:fldChar w:fldCharType="end"/>
      </w:r>
    </w:p>
    <w:p w14:paraId="3A87EAD3">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_Toc5101 </w:instrText>
      </w:r>
      <w:r>
        <w:rPr>
          <w:rFonts w:hint="eastAsia" w:ascii="仿宋" w:hAnsi="仿宋" w:eastAsia="仿宋" w:cs="仿宋"/>
          <w:highlight w:val="none"/>
        </w:rPr>
        <w:fldChar w:fldCharType="separate"/>
      </w:r>
      <w:r>
        <w:rPr>
          <w:rFonts w:hint="eastAsia" w:ascii="仿宋" w:hAnsi="仿宋" w:eastAsia="仿宋" w:cs="仿宋"/>
          <w:bCs/>
          <w:szCs w:val="24"/>
          <w:highlight w:val="none"/>
          <w:shd w:val="clear" w:color="auto" w:fill="FFFFFF" w:themeFill="background1"/>
        </w:rPr>
        <w:t>十一、拟派本项目服务人员情况表</w:t>
      </w:r>
      <w:r>
        <w:rPr>
          <w:highlight w:val="none"/>
        </w:rPr>
        <w:tab/>
      </w:r>
      <w:r>
        <w:rPr>
          <w:highlight w:val="none"/>
        </w:rPr>
        <w:fldChar w:fldCharType="begin"/>
      </w:r>
      <w:r>
        <w:rPr>
          <w:highlight w:val="none"/>
        </w:rPr>
        <w:instrText xml:space="preserve"> PAGEREF _Toc5101 \h </w:instrText>
      </w:r>
      <w:r>
        <w:rPr>
          <w:highlight w:val="none"/>
        </w:rPr>
        <w:fldChar w:fldCharType="separate"/>
      </w:r>
      <w:r>
        <w:rPr>
          <w:highlight w:val="none"/>
        </w:rPr>
        <w:t>69</w:t>
      </w:r>
      <w:r>
        <w:rPr>
          <w:highlight w:val="none"/>
        </w:rPr>
        <w:fldChar w:fldCharType="end"/>
      </w:r>
      <w:r>
        <w:rPr>
          <w:rFonts w:hint="eastAsia" w:ascii="仿宋" w:hAnsi="仿宋" w:eastAsia="仿宋" w:cs="仿宋"/>
          <w:highlight w:val="none"/>
        </w:rPr>
        <w:fldChar w:fldCharType="end"/>
      </w:r>
    </w:p>
    <w:p w14:paraId="2819EEEC">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_Toc18396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十二、</w:t>
      </w:r>
      <w:r>
        <w:rPr>
          <w:rFonts w:hint="eastAsia" w:ascii="仿宋" w:hAnsi="仿宋" w:eastAsia="仿宋" w:cs="仿宋"/>
          <w:bCs/>
          <w:szCs w:val="24"/>
          <w:highlight w:val="none"/>
          <w:shd w:val="clear" w:color="auto" w:fill="FFFFFF" w:themeFill="background1"/>
        </w:rPr>
        <w:t>服务方案</w:t>
      </w:r>
      <w:r>
        <w:rPr>
          <w:highlight w:val="none"/>
        </w:rPr>
        <w:tab/>
      </w:r>
      <w:r>
        <w:rPr>
          <w:highlight w:val="none"/>
        </w:rPr>
        <w:fldChar w:fldCharType="begin"/>
      </w:r>
      <w:r>
        <w:rPr>
          <w:highlight w:val="none"/>
        </w:rPr>
        <w:instrText xml:space="preserve"> PAGEREF _Toc18396 \h </w:instrText>
      </w:r>
      <w:r>
        <w:rPr>
          <w:highlight w:val="none"/>
        </w:rPr>
        <w:fldChar w:fldCharType="separate"/>
      </w:r>
      <w:r>
        <w:rPr>
          <w:highlight w:val="none"/>
        </w:rPr>
        <w:t>70</w:t>
      </w:r>
      <w:r>
        <w:rPr>
          <w:highlight w:val="none"/>
        </w:rPr>
        <w:fldChar w:fldCharType="end"/>
      </w:r>
      <w:r>
        <w:rPr>
          <w:rFonts w:hint="eastAsia" w:ascii="仿宋" w:hAnsi="仿宋" w:eastAsia="仿宋" w:cs="仿宋"/>
          <w:highlight w:val="none"/>
        </w:rPr>
        <w:fldChar w:fldCharType="end"/>
      </w:r>
    </w:p>
    <w:p w14:paraId="6A400B77">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_Toc13425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十三、其他需要提交的资料</w:t>
      </w:r>
      <w:r>
        <w:rPr>
          <w:highlight w:val="none"/>
        </w:rPr>
        <w:tab/>
      </w:r>
      <w:r>
        <w:rPr>
          <w:highlight w:val="none"/>
        </w:rPr>
        <w:fldChar w:fldCharType="begin"/>
      </w:r>
      <w:r>
        <w:rPr>
          <w:highlight w:val="none"/>
        </w:rPr>
        <w:instrText xml:space="preserve"> PAGEREF _Toc13425 \h </w:instrText>
      </w:r>
      <w:r>
        <w:rPr>
          <w:highlight w:val="none"/>
        </w:rPr>
        <w:fldChar w:fldCharType="separate"/>
      </w:r>
      <w:r>
        <w:rPr>
          <w:highlight w:val="none"/>
        </w:rPr>
        <w:t>70</w:t>
      </w:r>
      <w:r>
        <w:rPr>
          <w:highlight w:val="none"/>
        </w:rPr>
        <w:fldChar w:fldCharType="end"/>
      </w:r>
      <w:r>
        <w:rPr>
          <w:rFonts w:hint="eastAsia" w:ascii="仿宋" w:hAnsi="仿宋" w:eastAsia="仿宋" w:cs="仿宋"/>
          <w:highlight w:val="none"/>
        </w:rPr>
        <w:fldChar w:fldCharType="end"/>
      </w:r>
    </w:p>
    <w:p w14:paraId="1614ADFC">
      <w:pPr>
        <w:pStyle w:val="25"/>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_Toc24631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第六章 补充条款</w:t>
      </w:r>
      <w:r>
        <w:rPr>
          <w:highlight w:val="none"/>
        </w:rPr>
        <w:tab/>
      </w:r>
      <w:r>
        <w:rPr>
          <w:highlight w:val="none"/>
        </w:rPr>
        <w:fldChar w:fldCharType="begin"/>
      </w:r>
      <w:r>
        <w:rPr>
          <w:highlight w:val="none"/>
        </w:rPr>
        <w:instrText xml:space="preserve"> PAGEREF _Toc24631 \h </w:instrText>
      </w:r>
      <w:r>
        <w:rPr>
          <w:highlight w:val="none"/>
        </w:rPr>
        <w:fldChar w:fldCharType="separate"/>
      </w:r>
      <w:r>
        <w:rPr>
          <w:highlight w:val="none"/>
        </w:rPr>
        <w:t>71</w:t>
      </w:r>
      <w:r>
        <w:rPr>
          <w:highlight w:val="none"/>
        </w:rPr>
        <w:fldChar w:fldCharType="end"/>
      </w:r>
      <w:r>
        <w:rPr>
          <w:rFonts w:hint="eastAsia" w:ascii="仿宋" w:hAnsi="仿宋" w:eastAsia="仿宋" w:cs="仿宋"/>
          <w:highlight w:val="none"/>
        </w:rPr>
        <w:fldChar w:fldCharType="end"/>
      </w:r>
    </w:p>
    <w:p w14:paraId="688AAADA">
      <w:pPr>
        <w:pStyle w:val="25"/>
        <w:tabs>
          <w:tab w:val="right" w:leader="dot" w:pos="9344"/>
        </w:tabs>
        <w:spacing w:line="276" w:lineRule="auto"/>
        <w:rPr>
          <w:rFonts w:hint="eastAsia" w:ascii="仿宋" w:hAnsi="仿宋" w:eastAsia="仿宋" w:cs="仿宋"/>
          <w:b/>
          <w:bCs/>
          <w:highlight w:val="none"/>
        </w:rPr>
        <w:sectPr>
          <w:footerReference r:id="rId6" w:type="first"/>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highlight w:val="none"/>
        </w:rPr>
        <w:fldChar w:fldCharType="end"/>
      </w:r>
    </w:p>
    <w:p w14:paraId="7A518CD3">
      <w:pPr>
        <w:keepNext/>
        <w:widowControl/>
        <w:spacing w:after="120" w:afterLines="50" w:line="360" w:lineRule="auto"/>
        <w:jc w:val="center"/>
        <w:outlineLvl w:val="0"/>
        <w:rPr>
          <w:rFonts w:hint="eastAsia" w:ascii="仿宋" w:hAnsi="仿宋" w:eastAsia="仿宋" w:cs="仿宋"/>
          <w:b/>
          <w:bCs/>
          <w:color w:val="000000"/>
          <w:sz w:val="28"/>
          <w:szCs w:val="28"/>
          <w:highlight w:val="none"/>
        </w:rPr>
      </w:pPr>
      <w:bookmarkStart w:id="0" w:name="_Toc1186"/>
      <w:r>
        <w:rPr>
          <w:rFonts w:hint="eastAsia" w:ascii="仿宋" w:hAnsi="仿宋" w:eastAsia="仿宋" w:cs="仿宋"/>
          <w:b/>
          <w:bCs/>
          <w:color w:val="000000"/>
          <w:sz w:val="28"/>
          <w:szCs w:val="28"/>
          <w:highlight w:val="none"/>
        </w:rPr>
        <w:t>新疆福海县阔克-锡泊渡一带1：5万综合物探普查物探技术服务项目公开招标公告</w:t>
      </w:r>
      <w:bookmarkEnd w:id="0"/>
    </w:p>
    <w:p w14:paraId="1A38DB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项目概况</w:t>
      </w:r>
    </w:p>
    <w:p w14:paraId="78B16D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新疆福海县阔克-锡泊渡一带1：5万综合物探普查物探技术服务项目招标项目的潜在投标人应在政采云平台http://www.zcygov.cn获取招标文件，并于</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08</w:t>
      </w:r>
      <w:r>
        <w:rPr>
          <w:rFonts w:hint="eastAsia" w:ascii="仿宋" w:hAnsi="仿宋" w:eastAsia="仿宋" w:cs="仿宋"/>
          <w:color w:val="FF0000"/>
          <w:kern w:val="0"/>
          <w:sz w:val="24"/>
          <w:szCs w:val="24"/>
          <w:highlight w:val="none"/>
          <w:lang w:eastAsia="zh-CN"/>
        </w:rPr>
        <w:t>日11:00（北京时间）</w:t>
      </w:r>
      <w:r>
        <w:rPr>
          <w:rFonts w:hint="eastAsia" w:ascii="仿宋" w:hAnsi="仿宋" w:eastAsia="仿宋" w:cs="仿宋"/>
          <w:kern w:val="0"/>
          <w:sz w:val="24"/>
          <w:szCs w:val="24"/>
          <w:highlight w:val="none"/>
        </w:rPr>
        <w:t>前递交投标文件。</w:t>
      </w:r>
    </w:p>
    <w:p w14:paraId="359659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一、项目基本情况</w:t>
      </w:r>
    </w:p>
    <w:p w14:paraId="777A13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kern w:val="0"/>
          <w:sz w:val="24"/>
          <w:szCs w:val="24"/>
          <w:highlight w:val="none"/>
        </w:rPr>
        <w:t>招标方式：公开招标</w:t>
      </w:r>
    </w:p>
    <w:p w14:paraId="4ECCDB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项目编号：</w:t>
      </w:r>
      <w:r>
        <w:rPr>
          <w:rFonts w:hint="eastAsia" w:ascii="仿宋" w:hAnsi="仿宋" w:eastAsia="仿宋" w:cs="仿宋"/>
          <w:color w:val="auto"/>
          <w:kern w:val="0"/>
          <w:sz w:val="24"/>
          <w:szCs w:val="24"/>
          <w:highlight w:val="none"/>
          <w:lang w:val="en-US" w:eastAsia="zh-CN"/>
        </w:rPr>
        <w:t>XJXSJ-2026(ZC)-148</w:t>
      </w:r>
    </w:p>
    <w:p w14:paraId="7E444CF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color w:val="auto"/>
          <w:kern w:val="0"/>
          <w:sz w:val="24"/>
          <w:szCs w:val="24"/>
          <w:highlight w:val="none"/>
        </w:rPr>
        <w:t>项目名称：新疆福海县阔克-锡泊渡一带1：</w:t>
      </w:r>
      <w:r>
        <w:rPr>
          <w:rFonts w:hint="eastAsia" w:ascii="仿宋" w:hAnsi="仿宋" w:eastAsia="仿宋" w:cs="仿宋"/>
          <w:kern w:val="0"/>
          <w:sz w:val="24"/>
          <w:szCs w:val="24"/>
          <w:highlight w:val="none"/>
        </w:rPr>
        <w:t>5万综合物探普查物探技术服务项目</w:t>
      </w:r>
    </w:p>
    <w:p w14:paraId="51F573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预算金额（元）：</w:t>
      </w:r>
      <w:r>
        <w:rPr>
          <w:rFonts w:hint="eastAsia" w:ascii="仿宋" w:hAnsi="仿宋" w:eastAsia="仿宋" w:cs="仿宋"/>
          <w:kern w:val="0"/>
          <w:sz w:val="24"/>
          <w:szCs w:val="24"/>
          <w:highlight w:val="none"/>
          <w:lang w:val="en-US" w:eastAsia="zh-CN"/>
        </w:rPr>
        <w:t>3955600</w:t>
      </w:r>
    </w:p>
    <w:p w14:paraId="7AFCBB9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最高限价（元）：</w:t>
      </w:r>
      <w:r>
        <w:rPr>
          <w:rFonts w:hint="eastAsia" w:ascii="仿宋" w:hAnsi="仿宋" w:eastAsia="仿宋" w:cs="仿宋"/>
          <w:kern w:val="0"/>
          <w:sz w:val="24"/>
          <w:szCs w:val="24"/>
          <w:highlight w:val="none"/>
          <w:lang w:val="en-US" w:eastAsia="zh-CN"/>
        </w:rPr>
        <w:t>3955600</w:t>
      </w:r>
    </w:p>
    <w:p w14:paraId="34155F55">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采购需求：</w:t>
      </w:r>
    </w:p>
    <w:p w14:paraId="11063B3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数量:不限</w:t>
      </w:r>
    </w:p>
    <w:p w14:paraId="06DC08F0">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简要规格描述或项目基本概况介绍、用途：</w:t>
      </w:r>
      <w:r>
        <w:rPr>
          <w:rFonts w:hint="eastAsia" w:ascii="仿宋" w:hAnsi="仿宋" w:eastAsia="仿宋" w:cs="仿宋"/>
          <w:bCs/>
          <w:sz w:val="24"/>
          <w:szCs w:val="24"/>
          <w:highlight w:val="none"/>
          <w:lang w:eastAsia="zh-CN"/>
        </w:rPr>
        <w:t>具体采购要求详见招标文件</w:t>
      </w:r>
      <w:r>
        <w:rPr>
          <w:rFonts w:hint="eastAsia" w:ascii="仿宋" w:hAnsi="仿宋" w:eastAsia="仿宋" w:cs="仿宋"/>
          <w:color w:val="000000"/>
          <w:sz w:val="24"/>
          <w:szCs w:val="24"/>
          <w:highlight w:val="none"/>
          <w:lang w:val="en-US" w:eastAsia="zh-CN"/>
        </w:rPr>
        <w:t>第四章服务标准和要求</w:t>
      </w:r>
      <w:r>
        <w:rPr>
          <w:rFonts w:hint="eastAsia" w:ascii="仿宋" w:hAnsi="仿宋" w:eastAsia="仿宋" w:cs="仿宋"/>
          <w:bCs/>
          <w:sz w:val="24"/>
          <w:szCs w:val="24"/>
          <w:highlight w:val="none"/>
          <w:lang w:eastAsia="zh-CN"/>
        </w:rPr>
        <w:t>。</w:t>
      </w:r>
    </w:p>
    <w:p w14:paraId="766781C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p w14:paraId="3BE3F9E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shd w:val="clear" w:color="auto" w:fill="FFFFFF" w:themeFill="background1"/>
          <w:lang w:eastAsia="zh-CN"/>
        </w:rPr>
      </w:pPr>
      <w:r>
        <w:rPr>
          <w:rFonts w:hint="eastAsia" w:ascii="仿宋" w:hAnsi="仿宋" w:eastAsia="仿宋" w:cs="仿宋"/>
          <w:kern w:val="0"/>
          <w:sz w:val="24"/>
          <w:szCs w:val="24"/>
          <w:highlight w:val="none"/>
        </w:rPr>
        <w:t>合同履约期限：</w:t>
      </w:r>
      <w:r>
        <w:rPr>
          <w:rFonts w:hint="eastAsia" w:ascii="仿宋" w:hAnsi="仿宋" w:eastAsia="仿宋" w:cs="仿宋"/>
          <w:bCs/>
          <w:sz w:val="24"/>
          <w:szCs w:val="24"/>
          <w:highlight w:val="none"/>
          <w:lang w:eastAsia="zh-CN"/>
        </w:rPr>
        <w:t>自签订合同之日起至</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11</w:t>
      </w:r>
      <w:r>
        <w:rPr>
          <w:rFonts w:hint="eastAsia" w:ascii="仿宋" w:hAnsi="仿宋" w:eastAsia="仿宋" w:cs="仿宋"/>
          <w:bCs/>
          <w:sz w:val="24"/>
          <w:szCs w:val="24"/>
          <w:highlight w:val="none"/>
        </w:rPr>
        <w:t>月3</w:t>
      </w:r>
      <w:r>
        <w:rPr>
          <w:rFonts w:hint="eastAsia" w:ascii="仿宋" w:hAnsi="仿宋" w:eastAsia="仿宋" w:cs="仿宋"/>
          <w:bCs/>
          <w:sz w:val="24"/>
          <w:szCs w:val="24"/>
          <w:highlight w:val="none"/>
          <w:lang w:val="en-US" w:eastAsia="zh-CN"/>
        </w:rPr>
        <w:t>0</w:t>
      </w:r>
      <w:r>
        <w:rPr>
          <w:rFonts w:hint="eastAsia" w:ascii="仿宋" w:hAnsi="仿宋" w:eastAsia="仿宋" w:cs="仿宋"/>
          <w:bCs/>
          <w:sz w:val="24"/>
          <w:szCs w:val="24"/>
          <w:highlight w:val="none"/>
        </w:rPr>
        <w:t>日</w:t>
      </w:r>
      <w:r>
        <w:rPr>
          <w:rFonts w:hint="eastAsia" w:ascii="仿宋" w:hAnsi="仿宋" w:eastAsia="仿宋" w:cs="仿宋"/>
          <w:kern w:val="0"/>
          <w:sz w:val="24"/>
          <w:szCs w:val="24"/>
          <w:highlight w:val="none"/>
          <w:lang w:val="en-US" w:eastAsia="zh-CN"/>
        </w:rPr>
        <w:t>。</w:t>
      </w:r>
    </w:p>
    <w:p w14:paraId="4457565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不接受</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联合体投标。</w:t>
      </w:r>
    </w:p>
    <w:p w14:paraId="2A6126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二、申请人的资格要求：</w:t>
      </w:r>
    </w:p>
    <w:p w14:paraId="1FB5FF22">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1.满足《中华人民共和国政府采购法》第二十二条规定；</w:t>
      </w:r>
    </w:p>
    <w:p w14:paraId="16305CA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2.落实政府采购政策需满足的资格要求：符合政府采购优先（节约能源、保护环境）采购政策及促进中小企业（监狱企业、残疾人福利性单位）发展政策的，依据规定给予评审优惠。</w:t>
      </w:r>
    </w:p>
    <w:p w14:paraId="4DDC894F">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3.本项目的特定资格要求：</w:t>
      </w:r>
    </w:p>
    <w:p w14:paraId="402EE752">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投标人须具备有效的《安全生产许可证》。</w:t>
      </w:r>
    </w:p>
    <w:p w14:paraId="7FE0406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如在“信用中国”网站（www.creditchina.gov.cn）、中国政府采购网（www.ccgp.gov.cn）等渠道被列入失信被执行人、重大税收违法失信主体、政府采购严重违法失信行为记录名单及其它不符合《中华人民共和国政府采购法》第二十二条规定条件的</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，尚在处罚期内的将被拒绝参加本次</w:t>
      </w:r>
      <w:r>
        <w:rPr>
          <w:rFonts w:hint="eastAsia" w:ascii="仿宋" w:hAnsi="仿宋" w:eastAsia="仿宋" w:cs="仿宋"/>
          <w:kern w:val="0"/>
          <w:sz w:val="24"/>
          <w:szCs w:val="24"/>
          <w:highlight w:val="none"/>
          <w:lang w:eastAsia="zh-CN"/>
        </w:rPr>
        <w:t>招标</w:t>
      </w:r>
      <w:r>
        <w:rPr>
          <w:rFonts w:hint="eastAsia" w:ascii="仿宋" w:hAnsi="仿宋" w:eastAsia="仿宋" w:cs="仿宋"/>
          <w:kern w:val="0"/>
          <w:sz w:val="24"/>
          <w:szCs w:val="24"/>
          <w:highlight w:val="none"/>
        </w:rPr>
        <w:t>活动。</w:t>
      </w:r>
    </w:p>
    <w:p w14:paraId="2CBE7F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三、获取招标文件</w:t>
      </w:r>
    </w:p>
    <w:p w14:paraId="087BA46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时间：202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13</w:t>
      </w:r>
      <w:r>
        <w:rPr>
          <w:rFonts w:hint="eastAsia" w:ascii="仿宋" w:hAnsi="仿宋" w:eastAsia="仿宋" w:cs="仿宋"/>
          <w:color w:val="FF0000"/>
          <w:kern w:val="0"/>
          <w:sz w:val="24"/>
          <w:szCs w:val="24"/>
          <w:highlight w:val="none"/>
        </w:rPr>
        <w:t>日至202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20</w:t>
      </w:r>
      <w:r>
        <w:rPr>
          <w:rFonts w:hint="eastAsia" w:ascii="仿宋" w:hAnsi="仿宋" w:eastAsia="仿宋" w:cs="仿宋"/>
          <w:color w:val="FF0000"/>
          <w:kern w:val="0"/>
          <w:sz w:val="24"/>
          <w:szCs w:val="24"/>
          <w:highlight w:val="none"/>
        </w:rPr>
        <w:t>日，每天上午00:00至1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:00，下午1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:00至23:59（北京时间，法定节假日除外）</w:t>
      </w:r>
    </w:p>
    <w:p w14:paraId="11C86A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地点：政采云平台http://www.zcygov.cn</w:t>
      </w:r>
    </w:p>
    <w:p w14:paraId="41EE59B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方式：免费获取，</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登陆政采云账户（网址：https://www.zcygov.cn/）,在线申请获取招标文件（登录政府采购云平台→采购项目→获取采购文件→申请，审核通过后可下载招标文件，如有操作性问题，可与政采云在线客服进行咨询，咨询电话：95763</w:t>
      </w:r>
    </w:p>
    <w:p w14:paraId="179FC2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售价（元）：0</w:t>
      </w:r>
    </w:p>
    <w:p w14:paraId="778EE0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四、提交投标文件截止时间、开标时间和地点</w:t>
      </w:r>
    </w:p>
    <w:p w14:paraId="737281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提交投标文件截止时间：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08</w:t>
      </w:r>
      <w:r>
        <w:rPr>
          <w:rFonts w:hint="eastAsia" w:ascii="仿宋" w:hAnsi="仿宋" w:eastAsia="仿宋" w:cs="仿宋"/>
          <w:color w:val="FF0000"/>
          <w:kern w:val="0"/>
          <w:sz w:val="24"/>
          <w:szCs w:val="24"/>
          <w:highlight w:val="none"/>
          <w:lang w:eastAsia="zh-CN"/>
        </w:rPr>
        <w:t>日11:00（北京时间）</w:t>
      </w:r>
    </w:p>
    <w:p w14:paraId="0B4FC5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215"/>
          <w:rFonts w:hint="eastAsia" w:ascii="仿宋" w:hAnsi="仿宋" w:eastAsia="仿宋" w:cs="仿宋"/>
          <w:sz w:val="24"/>
          <w:szCs w:val="24"/>
          <w:highlight w:val="none"/>
        </w:rPr>
      </w:pPr>
      <w:r>
        <w:rPr>
          <w:rFonts w:hint="eastAsia" w:ascii="仿宋" w:hAnsi="仿宋" w:eastAsia="仿宋" w:cs="仿宋"/>
          <w:kern w:val="0"/>
          <w:sz w:val="24"/>
          <w:szCs w:val="24"/>
          <w:highlight w:val="none"/>
        </w:rPr>
        <w:t>投标地点：</w:t>
      </w:r>
      <w:bookmarkStart w:id="1" w:name="_Hlk129254397"/>
      <w:r>
        <w:rPr>
          <w:rStyle w:val="215"/>
          <w:rFonts w:hint="eastAsia" w:ascii="仿宋" w:hAnsi="仿宋" w:eastAsia="仿宋" w:cs="仿宋"/>
          <w:sz w:val="24"/>
          <w:szCs w:val="24"/>
          <w:highlight w:val="none"/>
          <w:lang w:eastAsia="zh-CN"/>
        </w:rPr>
        <w:t>投标人</w:t>
      </w:r>
      <w:r>
        <w:rPr>
          <w:rStyle w:val="215"/>
          <w:rFonts w:hint="eastAsia" w:ascii="仿宋" w:hAnsi="仿宋" w:eastAsia="仿宋" w:cs="仿宋"/>
          <w:sz w:val="24"/>
          <w:szCs w:val="24"/>
          <w:highlight w:val="none"/>
        </w:rPr>
        <w:t>应在此之前将加密的投标文件上传至政采云平台对应位置 (逾期送达或不符合规定的投标文件将被拒绝接收)。</w:t>
      </w:r>
      <w:bookmarkEnd w:id="1"/>
    </w:p>
    <w:p w14:paraId="2B6139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开标时间：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08</w:t>
      </w:r>
      <w:r>
        <w:rPr>
          <w:rFonts w:hint="eastAsia" w:ascii="仿宋" w:hAnsi="仿宋" w:eastAsia="仿宋" w:cs="仿宋"/>
          <w:color w:val="FF0000"/>
          <w:kern w:val="0"/>
          <w:sz w:val="24"/>
          <w:szCs w:val="24"/>
          <w:highlight w:val="none"/>
          <w:lang w:eastAsia="zh-CN"/>
        </w:rPr>
        <w:t>日11:00（北京时间）</w:t>
      </w:r>
    </w:p>
    <w:p w14:paraId="331C87B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开标地点：</w:t>
      </w:r>
      <w:r>
        <w:rPr>
          <w:rStyle w:val="215"/>
          <w:rFonts w:hint="eastAsia" w:ascii="仿宋" w:hAnsi="仿宋" w:eastAsia="仿宋" w:cs="仿宋"/>
          <w:sz w:val="24"/>
          <w:szCs w:val="24"/>
          <w:highlight w:val="none"/>
        </w:rPr>
        <w:t>政采云平台https://www.zcygov.cn/不见面开标大厅</w:t>
      </w:r>
    </w:p>
    <w:p w14:paraId="0968F2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五、公告期限</w:t>
      </w:r>
    </w:p>
    <w:p w14:paraId="50EB03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自本公告发布之日起5个工作日。</w:t>
      </w:r>
    </w:p>
    <w:p w14:paraId="4C74D2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六、其他补充事宜</w:t>
      </w:r>
    </w:p>
    <w:p w14:paraId="0BA5642E">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1.本项目实行电子招投标，</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须登录政采云平台申请获取采购文件，并需要使用CA锁，登录政采云电子投标客户端制作投标文件，若</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参与投标,自行承担与投标有关的一切费用。</w:t>
      </w:r>
    </w:p>
    <w:p w14:paraId="7769A20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2.各</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应在开标前确保是新疆维吾尔自治区政府采购网正式注册入库的</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，并完成CA数字证书申领。因未注册入库、未办理CA数字证书等原因造成无法投标或投标失败等后果的由</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自行承担</w:t>
      </w:r>
    </w:p>
    <w:p w14:paraId="308C235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可前往新疆政府采购网（http://www.ccgp-xinjiang.gov.cn/）下载专区，下载政采云电子投标客户端，安装完成后，可通过账号密码或CA登录客户端进行投标文件制作。</w:t>
      </w:r>
    </w:p>
    <w:p w14:paraId="3375C79F">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在开标时须携带制作加密电子投标文件所使用的CA锁，电脑须提前配置好浏览器，以便开标时在线解密。</w:t>
      </w:r>
    </w:p>
    <w:p w14:paraId="304D5343">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5.投标</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应当在投标截止时间前，将生成的“电子加密投标文件”上传递交至“政府采购云平台”，投标截止时间以后上传递交的投标文件将被“政府采购云平台”拒收。</w:t>
      </w:r>
    </w:p>
    <w:p w14:paraId="4B2D5703">
      <w:pPr>
        <w:keepNext w:val="0"/>
        <w:keepLines w:val="0"/>
        <w:pageBreakBefore w:val="0"/>
        <w:widowControl/>
        <w:tabs>
          <w:tab w:val="left" w:pos="71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七、对本次采购提出询问，请按以下方式联系</w:t>
      </w:r>
    </w:p>
    <w:p w14:paraId="09782B9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1.采购人信息</w:t>
      </w:r>
    </w:p>
    <w:p w14:paraId="17665F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名 称：</w:t>
      </w:r>
      <w:r>
        <w:rPr>
          <w:rFonts w:hint="eastAsia" w:ascii="仿宋" w:hAnsi="仿宋" w:eastAsia="仿宋" w:cs="仿宋"/>
          <w:color w:val="auto"/>
          <w:kern w:val="0"/>
          <w:sz w:val="24"/>
          <w:szCs w:val="24"/>
          <w:highlight w:val="none"/>
          <w:lang w:eastAsia="zh-CN"/>
        </w:rPr>
        <w:t>新疆维吾尔自治区地质局地球物理化学探矿中心</w:t>
      </w:r>
    </w:p>
    <w:p w14:paraId="695C603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地址：</w:t>
      </w:r>
      <w:r>
        <w:rPr>
          <w:rFonts w:hint="eastAsia" w:ascii="仿宋" w:hAnsi="仿宋" w:eastAsia="仿宋" w:cs="仿宋"/>
          <w:color w:val="auto"/>
          <w:sz w:val="24"/>
          <w:szCs w:val="24"/>
          <w:highlight w:val="none"/>
          <w:lang w:eastAsia="zh-CN"/>
        </w:rPr>
        <w:t>乌鲁木齐市沙依巴克区西虹西路1018号</w:t>
      </w:r>
    </w:p>
    <w:p w14:paraId="07401A9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项目联系人：</w:t>
      </w:r>
      <w:r>
        <w:rPr>
          <w:rFonts w:hint="eastAsia" w:ascii="仿宋" w:hAnsi="仿宋" w:eastAsia="仿宋" w:cs="仿宋"/>
          <w:kern w:val="0"/>
          <w:sz w:val="24"/>
          <w:szCs w:val="24"/>
          <w:highlight w:val="none"/>
          <w:lang w:val="en-US" w:eastAsia="zh-CN"/>
        </w:rPr>
        <w:t>叶祥鹏</w:t>
      </w:r>
    </w:p>
    <w:p w14:paraId="44AA46A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项目联系方式：</w:t>
      </w:r>
      <w:r>
        <w:rPr>
          <w:rFonts w:hint="eastAsia" w:ascii="仿宋" w:hAnsi="仿宋" w:eastAsia="仿宋" w:cs="仿宋"/>
          <w:kern w:val="0"/>
          <w:sz w:val="24"/>
          <w:szCs w:val="24"/>
          <w:highlight w:val="none"/>
          <w:lang w:val="en-US" w:eastAsia="zh-CN"/>
        </w:rPr>
        <w:t>18599408007</w:t>
      </w:r>
    </w:p>
    <w:p w14:paraId="6713E2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2.采购代理机构信息</w:t>
      </w:r>
    </w:p>
    <w:p w14:paraId="539A1AE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名称：新疆新世纪招标有限公司</w:t>
      </w:r>
    </w:p>
    <w:p w14:paraId="2A3A58B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地址：乌鲁木齐市新兴街20号凤凰科技大厦五楼</w:t>
      </w:r>
    </w:p>
    <w:p w14:paraId="32FD51F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联系方式：</w:t>
      </w:r>
      <w:r>
        <w:rPr>
          <w:rFonts w:hint="eastAsia" w:ascii="仿宋" w:hAnsi="仿宋" w:eastAsia="仿宋" w:cs="仿宋"/>
          <w:kern w:val="0"/>
          <w:sz w:val="24"/>
          <w:szCs w:val="24"/>
          <w:highlight w:val="none"/>
          <w:lang w:val="en-US" w:eastAsia="zh-CN"/>
        </w:rPr>
        <w:t>19190107263、17609941920</w:t>
      </w:r>
    </w:p>
    <w:p w14:paraId="79CDA9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3.项目联系方式</w:t>
      </w:r>
    </w:p>
    <w:p w14:paraId="6C23A6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项目联系人：</w:t>
      </w:r>
      <w:r>
        <w:rPr>
          <w:rFonts w:hint="eastAsia" w:ascii="仿宋" w:hAnsi="仿宋" w:eastAsia="仿宋" w:cs="仿宋"/>
          <w:kern w:val="0"/>
          <w:sz w:val="24"/>
          <w:szCs w:val="24"/>
          <w:highlight w:val="none"/>
          <w:lang w:val="en-US" w:eastAsia="zh-CN"/>
        </w:rPr>
        <w:t>陈泉旭、闵俊瑀</w:t>
      </w:r>
    </w:p>
    <w:p w14:paraId="7A2E1E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项目联系方式：</w:t>
      </w:r>
      <w:r>
        <w:rPr>
          <w:rFonts w:hint="eastAsia" w:ascii="仿宋" w:hAnsi="仿宋" w:eastAsia="仿宋" w:cs="仿宋"/>
          <w:kern w:val="0"/>
          <w:sz w:val="24"/>
          <w:szCs w:val="24"/>
          <w:highlight w:val="none"/>
          <w:lang w:val="en-US" w:eastAsia="zh-CN"/>
        </w:rPr>
        <w:t>19190107263、17609941920</w:t>
      </w:r>
    </w:p>
    <w:p w14:paraId="413D1C85">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2DAA0668">
      <w:pPr>
        <w:spacing w:line="440" w:lineRule="exact"/>
        <w:jc w:val="center"/>
        <w:outlineLvl w:val="0"/>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投标人须知前附表</w:t>
      </w:r>
    </w:p>
    <w:tbl>
      <w:tblPr>
        <w:tblStyle w:val="43"/>
        <w:tblpPr w:leftFromText="180" w:rightFromText="180" w:vertAnchor="text" w:horzAnchor="page" w:tblpXSpec="center" w:tblpY="425"/>
        <w:tblOverlap w:val="never"/>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4"/>
        <w:gridCol w:w="1573"/>
        <w:gridCol w:w="6212"/>
      </w:tblGrid>
      <w:tr w14:paraId="4045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tcBorders>
              <w:top w:val="single" w:color="auto" w:sz="4" w:space="0"/>
              <w:left w:val="single" w:color="auto" w:sz="4" w:space="0"/>
              <w:bottom w:val="single" w:color="auto" w:sz="4" w:space="0"/>
              <w:right w:val="single" w:color="auto" w:sz="4" w:space="0"/>
            </w:tcBorders>
            <w:shd w:val="clear" w:color="auto" w:fill="FFFFFF"/>
            <w:vAlign w:val="center"/>
          </w:tcPr>
          <w:p w14:paraId="333E7870">
            <w:pPr>
              <w:spacing w:line="360" w:lineRule="auto"/>
              <w:jc w:val="center"/>
              <w:rPr>
                <w:rFonts w:hint="eastAsia" w:ascii="仿宋" w:hAnsi="仿宋" w:eastAsia="仿宋" w:cs="仿宋"/>
                <w:b/>
                <w:bCs/>
                <w:color w:val="000000"/>
                <w:sz w:val="24"/>
                <w:szCs w:val="24"/>
                <w:highlight w:val="none"/>
              </w:rPr>
            </w:pPr>
            <w:bookmarkStart w:id="2" w:name="_Toc31961"/>
            <w:r>
              <w:rPr>
                <w:rFonts w:hint="eastAsia" w:ascii="仿宋" w:hAnsi="仿宋" w:eastAsia="仿宋" w:cs="仿宋"/>
                <w:b/>
                <w:bCs/>
                <w:color w:val="000000"/>
                <w:sz w:val="24"/>
                <w:szCs w:val="24"/>
                <w:highlight w:val="none"/>
              </w:rPr>
              <w:t>项号</w:t>
            </w:r>
          </w:p>
        </w:tc>
        <w:tc>
          <w:tcPr>
            <w:tcW w:w="458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4FE1C4">
            <w:pPr>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编列内容</w:t>
            </w:r>
          </w:p>
        </w:tc>
      </w:tr>
      <w:tr w14:paraId="1249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6" w:hRule="atLeast"/>
          <w:jc w:val="center"/>
        </w:trPr>
        <w:tc>
          <w:tcPr>
            <w:tcW w:w="415" w:type="pct"/>
            <w:vMerge w:val="restart"/>
            <w:tcBorders>
              <w:top w:val="single" w:color="auto" w:sz="4" w:space="0"/>
            </w:tcBorders>
            <w:shd w:val="clear" w:color="auto" w:fill="FFFFFF"/>
            <w:vAlign w:val="center"/>
          </w:tcPr>
          <w:p w14:paraId="7B092D64">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26" w:type="pct"/>
            <w:tcBorders>
              <w:top w:val="single" w:color="auto" w:sz="4" w:space="0"/>
            </w:tcBorders>
            <w:shd w:val="clear" w:color="auto" w:fill="FFFFFF"/>
            <w:vAlign w:val="center"/>
          </w:tcPr>
          <w:p w14:paraId="3BD42A9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3657" w:type="pct"/>
            <w:tcBorders>
              <w:top w:val="single" w:color="auto" w:sz="4" w:space="0"/>
            </w:tcBorders>
            <w:shd w:val="clear" w:color="auto" w:fill="FFFFFF"/>
            <w:vAlign w:val="center"/>
          </w:tcPr>
          <w:p w14:paraId="63FAE222">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rPr>
              <w:t>新疆福海县阔克-锡泊渡一带1：5万综合物探普查物探技术服务项目</w:t>
            </w:r>
          </w:p>
        </w:tc>
      </w:tr>
      <w:tr w14:paraId="59C7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vMerge w:val="continue"/>
            <w:shd w:val="clear" w:color="auto" w:fill="FFFFFF"/>
            <w:vAlign w:val="center"/>
          </w:tcPr>
          <w:p w14:paraId="4818D26D">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3B6B118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项目编号</w:t>
            </w:r>
          </w:p>
        </w:tc>
        <w:tc>
          <w:tcPr>
            <w:tcW w:w="3657" w:type="pct"/>
            <w:shd w:val="clear" w:color="auto" w:fill="FFFFFF"/>
            <w:vAlign w:val="center"/>
          </w:tcPr>
          <w:p w14:paraId="7D9A46D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XJXSJ-2026(ZC)-148</w:t>
            </w:r>
          </w:p>
        </w:tc>
      </w:tr>
      <w:tr w14:paraId="5DD6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vMerge w:val="continue"/>
            <w:shd w:val="clear" w:color="auto" w:fill="FFFFFF"/>
            <w:vAlign w:val="center"/>
          </w:tcPr>
          <w:p w14:paraId="6108ADE1">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4E7FE94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采购人</w:t>
            </w:r>
          </w:p>
        </w:tc>
        <w:tc>
          <w:tcPr>
            <w:tcW w:w="3657" w:type="pct"/>
            <w:shd w:val="clear" w:color="auto" w:fill="FFFFFF"/>
            <w:vAlign w:val="center"/>
          </w:tcPr>
          <w:p w14:paraId="70EC4C8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新疆维吾尔自治区地质局地球物理化学探矿中心</w:t>
            </w:r>
          </w:p>
        </w:tc>
      </w:tr>
      <w:tr w14:paraId="41CF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vMerge w:val="continue"/>
            <w:shd w:val="clear" w:color="auto" w:fill="FFFFFF"/>
            <w:vAlign w:val="center"/>
          </w:tcPr>
          <w:p w14:paraId="5029766D">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7971887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采购代理机构</w:t>
            </w:r>
          </w:p>
        </w:tc>
        <w:tc>
          <w:tcPr>
            <w:tcW w:w="3657" w:type="pct"/>
            <w:shd w:val="clear" w:color="auto" w:fill="FFFFFF"/>
            <w:vAlign w:val="center"/>
          </w:tcPr>
          <w:p w14:paraId="5D2ED7F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新疆新世纪招标有限公司</w:t>
            </w:r>
          </w:p>
        </w:tc>
      </w:tr>
      <w:tr w14:paraId="33EC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vMerge w:val="continue"/>
            <w:shd w:val="clear" w:color="auto" w:fill="FFFFFF"/>
            <w:vAlign w:val="center"/>
          </w:tcPr>
          <w:p w14:paraId="26823ED7">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256AD01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资金来源</w:t>
            </w:r>
          </w:p>
        </w:tc>
        <w:tc>
          <w:tcPr>
            <w:tcW w:w="3657" w:type="pct"/>
            <w:shd w:val="clear" w:color="auto" w:fill="FFFFFF"/>
            <w:vAlign w:val="center"/>
          </w:tcPr>
          <w:p w14:paraId="5616C8B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财政资金</w:t>
            </w:r>
          </w:p>
        </w:tc>
      </w:tr>
      <w:tr w14:paraId="76D4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vMerge w:val="continue"/>
            <w:shd w:val="clear" w:color="auto" w:fill="FFFFFF"/>
            <w:vAlign w:val="center"/>
          </w:tcPr>
          <w:p w14:paraId="761DC5CE">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54F7A70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采购预算金额</w:t>
            </w:r>
          </w:p>
        </w:tc>
        <w:tc>
          <w:tcPr>
            <w:tcW w:w="3657" w:type="pct"/>
            <w:shd w:val="clear" w:color="auto" w:fill="FFFFFF"/>
            <w:vAlign w:val="center"/>
          </w:tcPr>
          <w:p w14:paraId="4082E108">
            <w:pPr>
              <w:widowControl/>
              <w:spacing w:line="360" w:lineRule="auto"/>
              <w:jc w:val="left"/>
              <w:rPr>
                <w:rFonts w:hint="default"/>
                <w:highlight w:val="none"/>
                <w:lang w:val="en-US" w:eastAsia="zh-CN"/>
              </w:rPr>
            </w:pPr>
            <w:r>
              <w:rPr>
                <w:rFonts w:hint="eastAsia" w:ascii="仿宋" w:hAnsi="仿宋" w:eastAsia="仿宋" w:cs="仿宋"/>
                <w:color w:val="000000"/>
                <w:sz w:val="24"/>
                <w:szCs w:val="24"/>
                <w:highlight w:val="none"/>
                <w:lang w:val="en-US" w:eastAsia="zh-CN"/>
              </w:rPr>
              <w:t>3955600.00元</w:t>
            </w:r>
          </w:p>
        </w:tc>
      </w:tr>
      <w:tr w14:paraId="5142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vMerge w:val="continue"/>
            <w:shd w:val="clear" w:color="auto" w:fill="FFFFFF"/>
            <w:vAlign w:val="center"/>
          </w:tcPr>
          <w:p w14:paraId="61B70A86">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1C84AEB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服务周期</w:t>
            </w:r>
          </w:p>
        </w:tc>
        <w:tc>
          <w:tcPr>
            <w:tcW w:w="3657" w:type="pct"/>
            <w:shd w:val="clear" w:color="auto" w:fill="FFFFFF"/>
            <w:vAlign w:val="center"/>
          </w:tcPr>
          <w:p w14:paraId="74DB0C95">
            <w:pPr>
              <w:widowControl/>
              <w:spacing w:line="360" w:lineRule="auto"/>
              <w:jc w:val="left"/>
              <w:rPr>
                <w:rFonts w:hint="eastAsia"/>
                <w:color w:val="auto"/>
                <w:highlight w:val="none"/>
                <w:lang w:val="en-US" w:eastAsia="zh-CN"/>
              </w:rPr>
            </w:pPr>
            <w:r>
              <w:rPr>
                <w:rFonts w:hint="eastAsia" w:ascii="仿宋" w:hAnsi="仿宋" w:eastAsia="仿宋" w:cs="仿宋"/>
                <w:color w:val="000000"/>
                <w:sz w:val="24"/>
                <w:szCs w:val="24"/>
                <w:highlight w:val="none"/>
                <w:lang w:val="en-US" w:eastAsia="zh-CN"/>
              </w:rPr>
              <w:t>自签订合同之日起至2026年11月30日。</w:t>
            </w:r>
          </w:p>
        </w:tc>
      </w:tr>
      <w:tr w14:paraId="3B5E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7B45F51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26" w:type="pct"/>
            <w:shd w:val="clear" w:color="auto" w:fill="FFFFFF"/>
            <w:vAlign w:val="center"/>
          </w:tcPr>
          <w:p w14:paraId="374DE74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采购范围</w:t>
            </w:r>
          </w:p>
        </w:tc>
        <w:tc>
          <w:tcPr>
            <w:tcW w:w="3657" w:type="pct"/>
            <w:shd w:val="clear" w:color="auto" w:fill="FFFFFF"/>
            <w:vAlign w:val="center"/>
          </w:tcPr>
          <w:p w14:paraId="14BAEB48">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rPr>
              <w:t>新疆福海县阔克-锡泊渡一带1：5万综合物探普查物探技术服务项目</w:t>
            </w:r>
            <w:r>
              <w:rPr>
                <w:rFonts w:hint="eastAsia" w:ascii="仿宋" w:hAnsi="仿宋" w:eastAsia="仿宋" w:cs="仿宋"/>
                <w:color w:val="000000"/>
                <w:sz w:val="24"/>
                <w:szCs w:val="24"/>
                <w:highlight w:val="none"/>
                <w:lang w:val="en-US" w:eastAsia="zh-CN"/>
              </w:rPr>
              <w:t>范围内的所有工作内容，关于采购范围的详细说明见招标文件第四章“服务标准和要求”。</w:t>
            </w:r>
          </w:p>
        </w:tc>
      </w:tr>
      <w:tr w14:paraId="4C31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vMerge w:val="restart"/>
            <w:shd w:val="clear" w:color="auto" w:fill="FFFFFF"/>
            <w:vAlign w:val="center"/>
          </w:tcPr>
          <w:p w14:paraId="4DBDB09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26" w:type="pct"/>
            <w:shd w:val="clear" w:color="auto" w:fill="FFFFFF"/>
            <w:vAlign w:val="center"/>
          </w:tcPr>
          <w:p w14:paraId="2F835AA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采购方式</w:t>
            </w:r>
          </w:p>
        </w:tc>
        <w:tc>
          <w:tcPr>
            <w:tcW w:w="3657" w:type="pct"/>
            <w:shd w:val="clear" w:color="auto" w:fill="FFFFFF"/>
            <w:vAlign w:val="center"/>
          </w:tcPr>
          <w:p w14:paraId="3D01BFD2">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公开招标</w:t>
            </w:r>
          </w:p>
        </w:tc>
      </w:tr>
      <w:tr w14:paraId="2F3A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vMerge w:val="continue"/>
            <w:shd w:val="clear" w:color="auto" w:fill="FFFFFF"/>
            <w:vAlign w:val="center"/>
          </w:tcPr>
          <w:p w14:paraId="0A6A8ECA">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319ED99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资格审查方式</w:t>
            </w:r>
          </w:p>
        </w:tc>
        <w:tc>
          <w:tcPr>
            <w:tcW w:w="3657" w:type="pct"/>
            <w:shd w:val="clear" w:color="auto" w:fill="FFFFFF"/>
            <w:vAlign w:val="center"/>
          </w:tcPr>
          <w:p w14:paraId="364663D8">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资格后审</w:t>
            </w:r>
          </w:p>
        </w:tc>
      </w:tr>
      <w:tr w14:paraId="67D0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vMerge w:val="restart"/>
            <w:shd w:val="clear" w:color="auto" w:fill="FFFFFF"/>
            <w:vAlign w:val="center"/>
          </w:tcPr>
          <w:p w14:paraId="24C7D07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26" w:type="pct"/>
            <w:shd w:val="clear" w:color="auto" w:fill="FFFFFF"/>
            <w:vAlign w:val="center"/>
          </w:tcPr>
          <w:p w14:paraId="0E2F2E87">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评标办法</w:t>
            </w:r>
          </w:p>
        </w:tc>
        <w:tc>
          <w:tcPr>
            <w:tcW w:w="3657" w:type="pct"/>
            <w:shd w:val="clear" w:color="auto" w:fill="FFFFFF"/>
            <w:vAlign w:val="center"/>
          </w:tcPr>
          <w:p w14:paraId="2866918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综合评分法</w:t>
            </w:r>
          </w:p>
        </w:tc>
      </w:tr>
      <w:tr w14:paraId="7CD1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vMerge w:val="continue"/>
            <w:shd w:val="clear" w:color="auto" w:fill="FFFFFF"/>
            <w:vAlign w:val="center"/>
          </w:tcPr>
          <w:p w14:paraId="67B964A9">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2F2D420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定标方法</w:t>
            </w:r>
          </w:p>
        </w:tc>
        <w:tc>
          <w:tcPr>
            <w:tcW w:w="3657" w:type="pct"/>
            <w:shd w:val="clear" w:color="auto" w:fill="FFFFFF"/>
            <w:vAlign w:val="center"/>
          </w:tcPr>
          <w:p w14:paraId="02CFE70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评标小组推荐三名中标候选人</w:t>
            </w:r>
          </w:p>
        </w:tc>
      </w:tr>
      <w:tr w14:paraId="172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123B286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926" w:type="pct"/>
            <w:shd w:val="clear" w:color="auto" w:fill="FFFFFF"/>
            <w:vAlign w:val="center"/>
          </w:tcPr>
          <w:p w14:paraId="66BD975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投标人最低资格条件和能力</w:t>
            </w:r>
          </w:p>
        </w:tc>
        <w:tc>
          <w:tcPr>
            <w:tcW w:w="3657" w:type="pct"/>
            <w:shd w:val="clear" w:color="auto" w:fill="FFFFFF"/>
            <w:vAlign w:val="center"/>
          </w:tcPr>
          <w:p w14:paraId="094103CE">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1.满足《中华人民共和国政府采购法》第二十二条规定；</w:t>
            </w:r>
          </w:p>
          <w:p w14:paraId="1C1F3EE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2.落实政府采购政策需满足的资格要求：符合政府采购优先（节约能源、保护环境）采购政策及促进中小企业（监狱企业、残疾人福利性单位）发展政策的，依据规定给予评审优惠。</w:t>
            </w:r>
          </w:p>
          <w:p w14:paraId="1F4F9390">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3.本项目的特定资格要求：</w:t>
            </w:r>
          </w:p>
          <w:p w14:paraId="3F8BDA2A">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（1）投标人须具备有效的《安全生产许可证》。</w:t>
            </w:r>
          </w:p>
          <w:p w14:paraId="60B9749A">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r>
      <w:tr w14:paraId="700A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615771C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926" w:type="pct"/>
            <w:shd w:val="clear" w:color="auto" w:fill="FFFFFF"/>
            <w:vAlign w:val="center"/>
          </w:tcPr>
          <w:p w14:paraId="5ECB8B9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招标文件费</w:t>
            </w:r>
          </w:p>
        </w:tc>
        <w:tc>
          <w:tcPr>
            <w:tcW w:w="3657" w:type="pct"/>
            <w:shd w:val="clear" w:color="auto" w:fill="FFFFFF"/>
            <w:vAlign w:val="center"/>
          </w:tcPr>
          <w:p w14:paraId="65BC38DC">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0元/份</w:t>
            </w:r>
          </w:p>
        </w:tc>
      </w:tr>
      <w:tr w14:paraId="1494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1A649D8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926" w:type="pct"/>
            <w:shd w:val="clear" w:color="auto" w:fill="FFFFFF"/>
            <w:vAlign w:val="center"/>
          </w:tcPr>
          <w:p w14:paraId="567A6AF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投标保证金</w:t>
            </w:r>
          </w:p>
        </w:tc>
        <w:tc>
          <w:tcPr>
            <w:tcW w:w="3657" w:type="pct"/>
            <w:shd w:val="clear" w:color="auto" w:fill="FFFFFF"/>
            <w:vAlign w:val="center"/>
          </w:tcPr>
          <w:p w14:paraId="286C2DA7">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79000.00元整</w:t>
            </w:r>
          </w:p>
          <w:p w14:paraId="3AD99C1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注：详见第一章3.4.2条</w:t>
            </w:r>
          </w:p>
        </w:tc>
      </w:tr>
      <w:tr w14:paraId="5BF3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60B6187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926" w:type="pct"/>
            <w:shd w:val="clear" w:color="auto" w:fill="FFFFFF"/>
            <w:vAlign w:val="center"/>
          </w:tcPr>
          <w:p w14:paraId="64F2AC3B">
            <w:pPr>
              <w:keepNext/>
              <w:widowControl/>
              <w:spacing w:line="360" w:lineRule="auto"/>
              <w:jc w:val="distribute"/>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现场踏勘</w:t>
            </w:r>
          </w:p>
        </w:tc>
        <w:tc>
          <w:tcPr>
            <w:tcW w:w="3657" w:type="pct"/>
            <w:shd w:val="clear" w:color="auto" w:fill="FFFFFF"/>
            <w:vAlign w:val="center"/>
          </w:tcPr>
          <w:p w14:paraId="7BF59F3B">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sym w:font="Wingdings 2" w:char="0052"/>
            </w:r>
            <w:r>
              <w:rPr>
                <w:rFonts w:hint="eastAsia" w:ascii="仿宋" w:hAnsi="仿宋" w:eastAsia="仿宋" w:cs="仿宋"/>
                <w:color w:val="000000"/>
                <w:sz w:val="24"/>
                <w:szCs w:val="24"/>
                <w:highlight w:val="none"/>
                <w:lang w:val="en-US" w:eastAsia="zh-CN"/>
              </w:rPr>
              <w:t>不组织</w:t>
            </w:r>
          </w:p>
          <w:p w14:paraId="4DC45BCF">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□统一组织</w:t>
            </w:r>
          </w:p>
        </w:tc>
      </w:tr>
      <w:tr w14:paraId="3BA7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0DBDC40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926" w:type="pct"/>
            <w:shd w:val="clear" w:color="auto" w:fill="FFFFFF"/>
            <w:vAlign w:val="center"/>
          </w:tcPr>
          <w:p w14:paraId="0A433EC0">
            <w:pPr>
              <w:keepNext/>
              <w:widowControl/>
              <w:spacing w:line="360" w:lineRule="auto"/>
              <w:jc w:val="distribute"/>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是否允许联合体投标</w:t>
            </w:r>
          </w:p>
        </w:tc>
        <w:tc>
          <w:tcPr>
            <w:tcW w:w="3657" w:type="pct"/>
            <w:shd w:val="clear" w:color="auto" w:fill="FFFFFF"/>
            <w:vAlign w:val="center"/>
          </w:tcPr>
          <w:p w14:paraId="41E84F1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☑否</w:t>
            </w:r>
          </w:p>
          <w:p w14:paraId="39C72151">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□是</w:t>
            </w:r>
          </w:p>
        </w:tc>
      </w:tr>
      <w:tr w14:paraId="6E2C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7549844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926" w:type="pct"/>
            <w:shd w:val="clear" w:color="auto" w:fill="FFFFFF"/>
            <w:vAlign w:val="center"/>
          </w:tcPr>
          <w:p w14:paraId="1B4B213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招标答疑</w:t>
            </w:r>
          </w:p>
        </w:tc>
        <w:tc>
          <w:tcPr>
            <w:tcW w:w="3657" w:type="pct"/>
            <w:shd w:val="clear" w:color="auto" w:fill="FFFFFF"/>
            <w:vAlign w:val="center"/>
          </w:tcPr>
          <w:p w14:paraId="310FDDC7">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提出询问的，应当在投标文件递交截止时间15日前以书面形式（加盖公章）递交至新疆新世纪招标有限公司，否则采购人不作任何解释。</w:t>
            </w:r>
          </w:p>
          <w:p w14:paraId="3E41A5F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提出质疑的，应当在获取招标文件或者招标公告期限届满之日起7个工作日内一次性以书面形式（按照财政部制定的质疑函范本编写）提出并递交至采购代理机构。</w:t>
            </w:r>
          </w:p>
          <w:p w14:paraId="684C98D0">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质疑接收人：陈泉旭；联系方式：19190107263。</w:t>
            </w:r>
          </w:p>
          <w:p w14:paraId="2B02A862">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3A52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4879D7B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926" w:type="pct"/>
            <w:shd w:val="clear" w:color="auto" w:fill="FFFFFF"/>
            <w:vAlign w:val="center"/>
          </w:tcPr>
          <w:p w14:paraId="45087A3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w:t>
            </w:r>
          </w:p>
        </w:tc>
        <w:tc>
          <w:tcPr>
            <w:tcW w:w="3657" w:type="pct"/>
            <w:shd w:val="clear" w:color="auto" w:fill="FFFFFF"/>
            <w:vAlign w:val="center"/>
          </w:tcPr>
          <w:p w14:paraId="1F4E34D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本次采购采用电子交易方式，电子交易平台为“政采云平台（https://www.zcygov.cn/）”。投标人参与本项目电子交易活动前，应注册成为政府采购云平台正式投标人。编制电子投标文件前还需申领CA证书并绑定账号。投标人应充分考虑完成平台注册、申领CA证书等所需的时间。因未注册入库、未办理CA数字证书等原因造成无法投标或投标失败等后果由投标人自行承担。</w:t>
            </w:r>
          </w:p>
          <w:p w14:paraId="5FD65BD8">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71F9825E">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3、加密的电子投标文件应在投标文件递交截止时间前通过政采云平台上传完成。逾期上传或者未上传指定地点的投标文件，不予受理。</w:t>
            </w:r>
          </w:p>
          <w:p w14:paraId="70CEE60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D633C3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5、如遇“政采云平台（https://www.zcygov.cn/）”电子交易规则调整，以最新要求为准。</w:t>
            </w:r>
          </w:p>
        </w:tc>
      </w:tr>
      <w:tr w14:paraId="3156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4720BA3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926" w:type="pct"/>
            <w:shd w:val="clear" w:color="auto" w:fill="FFFFFF"/>
            <w:vAlign w:val="center"/>
          </w:tcPr>
          <w:p w14:paraId="6925D79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w:t>
            </w:r>
          </w:p>
        </w:tc>
        <w:tc>
          <w:tcPr>
            <w:tcW w:w="3657" w:type="pct"/>
            <w:shd w:val="clear" w:color="auto" w:fill="FFFFFF"/>
            <w:vAlign w:val="center"/>
          </w:tcPr>
          <w:p w14:paraId="0E040885">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截止时间：</w:t>
            </w:r>
            <w:r>
              <w:rPr>
                <w:rFonts w:hint="eastAsia" w:ascii="仿宋" w:hAnsi="仿宋" w:eastAsia="仿宋" w:cs="仿宋"/>
                <w:color w:val="FF0000"/>
                <w:sz w:val="24"/>
                <w:szCs w:val="24"/>
                <w:highlight w:val="none"/>
                <w:u w:val="single"/>
                <w:lang w:val="en-US" w:eastAsia="zh-CN"/>
              </w:rPr>
              <w:t>2026年05月08日11:00（北京时间）</w:t>
            </w:r>
          </w:p>
          <w:p w14:paraId="71B0F2ED">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递交地点：加密的电子响应文件（.jmbs格式）应在投标文件递交截止时间前通过政采云平台上传完成。</w:t>
            </w:r>
          </w:p>
        </w:tc>
      </w:tr>
      <w:tr w14:paraId="6E81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7B362AF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926" w:type="pct"/>
            <w:shd w:val="clear" w:color="auto" w:fill="FFFFFF"/>
            <w:vAlign w:val="center"/>
          </w:tcPr>
          <w:p w14:paraId="7407543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开标</w:t>
            </w:r>
          </w:p>
        </w:tc>
        <w:tc>
          <w:tcPr>
            <w:tcW w:w="3657" w:type="pct"/>
            <w:shd w:val="clear" w:color="auto" w:fill="FFFFFF"/>
            <w:vAlign w:val="center"/>
          </w:tcPr>
          <w:p w14:paraId="671EC74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时间：</w:t>
            </w:r>
            <w:r>
              <w:rPr>
                <w:rFonts w:hint="eastAsia" w:ascii="仿宋" w:hAnsi="仿宋" w:eastAsia="仿宋" w:cs="仿宋"/>
                <w:color w:val="FF0000"/>
                <w:sz w:val="24"/>
                <w:szCs w:val="24"/>
                <w:highlight w:val="none"/>
                <w:u w:val="single"/>
                <w:lang w:val="en-US" w:eastAsia="zh-CN"/>
              </w:rPr>
              <w:t>2026年05月08日11:00（北京时间）</w:t>
            </w:r>
          </w:p>
          <w:p w14:paraId="1F2860E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地点：政采云平台（https://www.zcygov.cn/）</w:t>
            </w:r>
          </w:p>
        </w:tc>
      </w:tr>
      <w:tr w14:paraId="2051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369FF48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926" w:type="pct"/>
            <w:shd w:val="clear" w:color="auto" w:fill="FFFFFF"/>
            <w:vAlign w:val="center"/>
          </w:tcPr>
          <w:p w14:paraId="269D028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投标有效期</w:t>
            </w:r>
          </w:p>
        </w:tc>
        <w:tc>
          <w:tcPr>
            <w:tcW w:w="3657" w:type="pct"/>
            <w:shd w:val="clear" w:color="auto" w:fill="FFFFFF"/>
            <w:vAlign w:val="center"/>
          </w:tcPr>
          <w:p w14:paraId="0FBC6F9A">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自投标截止之日起90日历日</w:t>
            </w:r>
          </w:p>
        </w:tc>
      </w:tr>
      <w:tr w14:paraId="63BF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586E962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w:t>
            </w:r>
          </w:p>
        </w:tc>
        <w:tc>
          <w:tcPr>
            <w:tcW w:w="926" w:type="pct"/>
            <w:shd w:val="clear" w:color="auto" w:fill="FFFFFF"/>
            <w:vAlign w:val="center"/>
          </w:tcPr>
          <w:p w14:paraId="77FAFBC5">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公告发布媒体</w:t>
            </w:r>
          </w:p>
        </w:tc>
        <w:tc>
          <w:tcPr>
            <w:tcW w:w="3657" w:type="pct"/>
            <w:shd w:val="clear" w:color="auto" w:fill="FFFFFF"/>
            <w:vAlign w:val="center"/>
          </w:tcPr>
          <w:p w14:paraId="71CED029">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新疆政府采购网(http://www.ccgp-xinjiang.gov.cn/)</w:t>
            </w:r>
          </w:p>
        </w:tc>
      </w:tr>
      <w:tr w14:paraId="5C88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2DDBFBA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w:t>
            </w:r>
          </w:p>
        </w:tc>
        <w:tc>
          <w:tcPr>
            <w:tcW w:w="926" w:type="pct"/>
            <w:shd w:val="clear" w:color="auto" w:fill="FFFFFF"/>
            <w:vAlign w:val="center"/>
          </w:tcPr>
          <w:p w14:paraId="7E3E992B">
            <w:pPr>
              <w:keepNext/>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rPr>
              <w:t>履约保证金</w:t>
            </w:r>
          </w:p>
        </w:tc>
        <w:tc>
          <w:tcPr>
            <w:tcW w:w="3657" w:type="pct"/>
            <w:shd w:val="clear" w:color="auto" w:fill="FFFFFF"/>
            <w:vAlign w:val="center"/>
          </w:tcPr>
          <w:p w14:paraId="19AF724F">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☑不交纳</w:t>
            </w:r>
          </w:p>
          <w:p w14:paraId="76BE75EE">
            <w:pPr>
              <w:widowControl/>
              <w:spacing w:line="360" w:lineRule="auto"/>
              <w:jc w:val="left"/>
              <w:rPr>
                <w:rFonts w:hint="eastAsia"/>
                <w:highlight w:val="none"/>
                <w:lang w:val="en-US" w:eastAsia="zh-CN"/>
              </w:rPr>
            </w:pPr>
            <w:r>
              <w:rPr>
                <w:rFonts w:hint="eastAsia" w:ascii="仿宋" w:hAnsi="仿宋" w:eastAsia="仿宋" w:cs="仿宋"/>
                <w:color w:val="000000"/>
                <w:sz w:val="24"/>
                <w:szCs w:val="24"/>
                <w:highlight w:val="none"/>
                <w:lang w:val="en-US" w:eastAsia="zh-CN"/>
              </w:rPr>
              <w:t>□交纳</w:t>
            </w:r>
          </w:p>
        </w:tc>
      </w:tr>
      <w:tr w14:paraId="644C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335670C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p>
        </w:tc>
        <w:tc>
          <w:tcPr>
            <w:tcW w:w="926" w:type="pct"/>
            <w:shd w:val="clear" w:color="auto" w:fill="FFFFFF"/>
            <w:vAlign w:val="center"/>
          </w:tcPr>
          <w:p w14:paraId="2273692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中小企业政策说明</w:t>
            </w:r>
          </w:p>
        </w:tc>
        <w:tc>
          <w:tcPr>
            <w:tcW w:w="3657" w:type="pct"/>
            <w:shd w:val="clear" w:color="auto" w:fill="FFFFFF"/>
            <w:vAlign w:val="center"/>
          </w:tcPr>
          <w:p w14:paraId="3A213219">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8FCC0CD">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276249A">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3、在货物采购项目中，投标人提供的货物既有中小企业制造货物，也有大型企业制造货物的，不享受本办法规定的中小企业扶持政策。</w:t>
            </w:r>
          </w:p>
          <w:p w14:paraId="77A0BC2E">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4、以联合体形式参加政府采购活动，联合体各方均为中小企业的，联合体视同中小企业。其中，联合体各方均为小微企业的，联合体视同小微企业。</w:t>
            </w:r>
          </w:p>
          <w:p w14:paraId="224E576B">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5、投标人经享受扶持政策获得政府采购合同的，小微企业不得将合同分包给大中型企业，中型企业不得将合同分包给大型企业；</w:t>
            </w:r>
          </w:p>
          <w:p w14:paraId="7DB624F1">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6、本项目中小企业扶持政策：①、符合政府采购优先(节约能源、保护环境) 采购政策及促进中小企业(监狱企业、残疾人福利性单位) 发展政策的，依据规定给予评审优惠。②、因落实政府采购政策对小微企业、残疾人福利性单位、监狱企业的价格给予10%价格扣除；以扣除后的价格参与评审，不重复享受价格扣除政策。</w:t>
            </w:r>
          </w:p>
          <w:p w14:paraId="0DCC8A3E">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7、根据“关于印发中小企业划型标准规定的通知(工信部联企业〔2011〕300号)”等有关规定，本项目标的所属行业为</w:t>
            </w:r>
            <w:r>
              <w:rPr>
                <w:rFonts w:hint="eastAsia" w:ascii="仿宋" w:hAnsi="仿宋" w:eastAsia="仿宋" w:cs="仿宋"/>
                <w:b/>
                <w:bCs/>
                <w:kern w:val="0"/>
                <w:sz w:val="24"/>
                <w:szCs w:val="24"/>
                <w:highlight w:val="none"/>
                <w:u w:val="single"/>
              </w:rPr>
              <w:t>其他未列明行业。</w:t>
            </w:r>
          </w:p>
        </w:tc>
      </w:tr>
      <w:tr w14:paraId="7DCE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28B7F98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p>
        </w:tc>
        <w:tc>
          <w:tcPr>
            <w:tcW w:w="926" w:type="pct"/>
            <w:shd w:val="clear" w:color="auto" w:fill="FFFFFF"/>
            <w:vAlign w:val="center"/>
          </w:tcPr>
          <w:p w14:paraId="42B596A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招标代理费</w:t>
            </w:r>
          </w:p>
        </w:tc>
        <w:tc>
          <w:tcPr>
            <w:tcW w:w="3657" w:type="pct"/>
            <w:shd w:val="clear" w:color="auto" w:fill="FFFFFF"/>
            <w:vAlign w:val="center"/>
          </w:tcPr>
          <w:p w14:paraId="2DB55E35">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中标单位在收到中标通知书前，以中标价格为基准，计算标准和方法参照国家计委《招标代理服务费管理暂行办法》的通知(计价格[2002]1980号)下浮40%，由中标单位向新疆新世纪招标有限公司支付代理服务费。</w:t>
            </w:r>
          </w:p>
        </w:tc>
      </w:tr>
      <w:tr w14:paraId="5AF3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23A86FCC">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p>
        </w:tc>
        <w:tc>
          <w:tcPr>
            <w:tcW w:w="926" w:type="pct"/>
            <w:shd w:val="clear" w:color="auto" w:fill="FFFFFF"/>
            <w:vAlign w:val="center"/>
          </w:tcPr>
          <w:p w14:paraId="0875AE8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付款方式</w:t>
            </w:r>
          </w:p>
        </w:tc>
        <w:tc>
          <w:tcPr>
            <w:tcW w:w="3657" w:type="pct"/>
            <w:shd w:val="clear" w:color="auto" w:fill="FFFFFF"/>
            <w:vAlign w:val="center"/>
          </w:tcPr>
          <w:p w14:paraId="04A7A71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1、付款币种：本次招标所述的项目资金均以人民币支付。</w:t>
            </w:r>
          </w:p>
          <w:p w14:paraId="2245F47F">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2、付款方式：最终付款方式以后期与甲方签订合同为准。</w:t>
            </w:r>
          </w:p>
        </w:tc>
      </w:tr>
      <w:tr w14:paraId="1C67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5" w:type="pct"/>
            <w:shd w:val="clear" w:color="auto" w:fill="FFFFFF"/>
            <w:vAlign w:val="center"/>
          </w:tcPr>
          <w:p w14:paraId="06BC2BBA">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20</w:t>
            </w:r>
          </w:p>
        </w:tc>
        <w:tc>
          <w:tcPr>
            <w:tcW w:w="926" w:type="pct"/>
            <w:shd w:val="clear" w:color="auto" w:fill="FFFFFF"/>
            <w:vAlign w:val="center"/>
          </w:tcPr>
          <w:p w14:paraId="636845D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tc>
        <w:tc>
          <w:tcPr>
            <w:tcW w:w="3657" w:type="pct"/>
            <w:shd w:val="clear" w:color="auto" w:fill="FFFFFF"/>
            <w:vAlign w:val="center"/>
          </w:tcPr>
          <w:p w14:paraId="64B4A68C">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本表内容如与后文内容不一致处，以本表为准。</w:t>
            </w:r>
          </w:p>
        </w:tc>
      </w:tr>
      <w:bookmarkEnd w:id="2"/>
    </w:tbl>
    <w:p w14:paraId="344E556C">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0FFC1C28">
      <w:pPr>
        <w:spacing w:line="360" w:lineRule="auto"/>
        <w:jc w:val="center"/>
        <w:outlineLvl w:val="0"/>
        <w:rPr>
          <w:rFonts w:hint="eastAsia" w:ascii="仿宋" w:hAnsi="仿宋" w:eastAsia="仿宋" w:cs="仿宋"/>
          <w:b/>
          <w:sz w:val="28"/>
          <w:szCs w:val="28"/>
          <w:highlight w:val="none"/>
        </w:rPr>
      </w:pPr>
      <w:bookmarkStart w:id="3" w:name="_Toc21391"/>
      <w:r>
        <w:rPr>
          <w:rFonts w:hint="eastAsia" w:ascii="仿宋" w:hAnsi="仿宋" w:eastAsia="仿宋" w:cs="仿宋"/>
          <w:b/>
          <w:sz w:val="28"/>
          <w:szCs w:val="28"/>
          <w:highlight w:val="none"/>
        </w:rPr>
        <w:t>第一章 投标人须知</w:t>
      </w:r>
      <w:bookmarkEnd w:id="3"/>
      <w:bookmarkStart w:id="4" w:name="_BookMark_2"/>
      <w:bookmarkEnd w:id="4"/>
    </w:p>
    <w:p w14:paraId="7EDE3CD7">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5" w:name="_Toc3661"/>
      <w:bookmarkStart w:id="6" w:name="_Toc535592195"/>
      <w:r>
        <w:rPr>
          <w:rFonts w:hint="eastAsia" w:ascii="仿宋" w:hAnsi="仿宋" w:eastAsia="仿宋" w:cs="仿宋"/>
          <w:b/>
          <w:sz w:val="24"/>
          <w:szCs w:val="24"/>
          <w:highlight w:val="none"/>
        </w:rPr>
        <w:t>1．总则</w:t>
      </w:r>
      <w:bookmarkEnd w:id="5"/>
      <w:bookmarkEnd w:id="6"/>
    </w:p>
    <w:p w14:paraId="306B9AB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 招标项目概况</w:t>
      </w:r>
    </w:p>
    <w:p w14:paraId="79BF9F5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1.1.1项目名称：详见投标人须知前附表。</w:t>
      </w:r>
    </w:p>
    <w:p w14:paraId="496026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1.1.2项目编号：详见投标人须知前附表。</w:t>
      </w:r>
    </w:p>
    <w:p w14:paraId="09D0354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采购人：详见投标人须知前附表。</w:t>
      </w:r>
    </w:p>
    <w:p w14:paraId="2513F6F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采购代理机构：详见投标人须知前附表。</w:t>
      </w:r>
    </w:p>
    <w:p w14:paraId="4223BB1C">
      <w:pPr>
        <w:pStyle w:val="14"/>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w:t>
      </w:r>
      <w:r>
        <w:rPr>
          <w:rFonts w:hint="eastAsia" w:ascii="仿宋" w:hAnsi="仿宋" w:eastAsia="仿宋" w:cs="仿宋"/>
          <w:szCs w:val="24"/>
          <w:highlight w:val="none"/>
          <w:lang w:val="en-US" w:eastAsia="zh-CN"/>
        </w:rPr>
        <w:t>5</w:t>
      </w:r>
      <w:r>
        <w:rPr>
          <w:rFonts w:hint="eastAsia" w:ascii="仿宋" w:hAnsi="仿宋" w:eastAsia="仿宋" w:cs="仿宋"/>
          <w:szCs w:val="24"/>
          <w:highlight w:val="none"/>
        </w:rPr>
        <w:t>资金来源：详见投标人须知前附表。</w:t>
      </w:r>
    </w:p>
    <w:p w14:paraId="361A068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采购预算金额：详见投标人须知前附表。</w:t>
      </w:r>
    </w:p>
    <w:p w14:paraId="3D579D5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服务周期：详见投标人须知前附表。</w:t>
      </w:r>
    </w:p>
    <w:p w14:paraId="6F15296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1.2采购范围：详见投标人须知前附表。</w:t>
      </w:r>
    </w:p>
    <w:p w14:paraId="0C751C9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 采购方式和资格审查方式</w:t>
      </w:r>
    </w:p>
    <w:p w14:paraId="083D83D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1.3.1 采购方式：详见投标人须知前附表。</w:t>
      </w:r>
    </w:p>
    <w:p w14:paraId="0CFAFE2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1.3.2 资格审查方式：详见投标人须知前附表。</w:t>
      </w:r>
    </w:p>
    <w:p w14:paraId="53E4743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 评标办法及定标方法</w:t>
      </w:r>
    </w:p>
    <w:p w14:paraId="4712ADA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1.4.1 评标办法：详见投标人须知前附表。</w:t>
      </w:r>
    </w:p>
    <w:p w14:paraId="0BF3D80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1.4.2 定标方法：详见投标人须知前附表。</w:t>
      </w:r>
    </w:p>
    <w:p w14:paraId="7D60230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 投标人资格条件</w:t>
      </w:r>
    </w:p>
    <w:p w14:paraId="4B60889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1.5.1 投标人应具备承担本招标项目的资格条件，具体要求详见投标人须知前附表。</w:t>
      </w:r>
    </w:p>
    <w:p w14:paraId="1EF7F4D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753C7AF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1.5.3 投标人不得存在下列情形之一，否则相关投标均应被否决：</w:t>
      </w:r>
    </w:p>
    <w:p w14:paraId="3BA72EA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（1）与采购人存在利害关系可能影响招标公正性的法人、其他组织或者个人的；</w:t>
      </w:r>
    </w:p>
    <w:p w14:paraId="18139F6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（2）单位负责人为同一人或者存在控股、管理关系的不同单位，参加同一标段投标或者未划分标段的同一招标项目投标的；</w:t>
      </w:r>
    </w:p>
    <w:p w14:paraId="2F265BC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（3）法定代表人为同一个人的两个及两个以上法人，母公司、全资子公司及其控股公司，参加同一标段投标或者未划分标段的同一招标项目投标的；</w:t>
      </w:r>
    </w:p>
    <w:p w14:paraId="6CB16CE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（4）被责令停业的； </w:t>
      </w:r>
    </w:p>
    <w:p w14:paraId="1BC8EBB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（5）被暂停或取消投标资格的； </w:t>
      </w:r>
    </w:p>
    <w:p w14:paraId="7005C93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（6）财产被接管或冻结的；</w:t>
      </w:r>
    </w:p>
    <w:p w14:paraId="3C4A78A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（7）在最近三年内有骗取中标或严重违约或重大质量问题的；</w:t>
      </w:r>
    </w:p>
    <w:p w14:paraId="5E6FED9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（8）法律规定的其他情形。</w:t>
      </w:r>
      <w:bookmarkStart w:id="7" w:name="_BookMark_5"/>
      <w:bookmarkEnd w:id="7"/>
    </w:p>
    <w:p w14:paraId="3BC41BB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1.6费用承担</w:t>
      </w:r>
    </w:p>
    <w:p w14:paraId="68C8E72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1.6.1招标文件费：详见投标人须知前附表。</w:t>
      </w:r>
    </w:p>
    <w:p w14:paraId="7C10D9D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1.6.2投标人应承担其编制投标文件与递交投标文件所涉及的一切费用，无论投标结果如何，采购人及采购代理机构对上述费用不作任何补偿。采购代理咨询费由中标人支付。</w:t>
      </w:r>
    </w:p>
    <w:p w14:paraId="51295DE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1.7投标保证金：详见投标人须知前附表。</w:t>
      </w:r>
    </w:p>
    <w:p w14:paraId="3EC55E0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1.8踏勘现场</w:t>
      </w:r>
    </w:p>
    <w:p w14:paraId="00E9BC2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1.8.1 投标人须知前附表规定组织踏勘现场的，采购人或采购代理机构按投标人须知前附表规定的时间、地点组织投标人踏勘项目现场。 </w:t>
      </w:r>
    </w:p>
    <w:p w14:paraId="5C1CEFD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1.8.2 投标人踏勘现场发生的费用自理。</w:t>
      </w:r>
    </w:p>
    <w:p w14:paraId="087AD1A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1.8.3 除采购人或采购代理机构的原因外，投标人自行负责在踏勘现场中所发生的人员伤亡和财产损失。</w:t>
      </w:r>
    </w:p>
    <w:p w14:paraId="2FAC452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1.8.4 采购人或采购代理机构在踏勘现场中介绍的项目有关情况，供投标人在编制投标文件时参考，采购人或采购代理机构不对投标人据此作出的判断和决策负责。</w:t>
      </w:r>
    </w:p>
    <w:p w14:paraId="64AAE65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 是否允许联合体投标：详见投标人须知前附表。</w:t>
      </w:r>
    </w:p>
    <w:p w14:paraId="38EB63F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 招标答疑会和招标澄清答疑要求</w:t>
      </w:r>
    </w:p>
    <w:p w14:paraId="4091AB0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1.10.1 投标人若有疑问，应按投标人须知前附表规定的时间、方式向采购人或采购代理机构提出，要求采购人对招标文件予以澄清。</w:t>
      </w:r>
    </w:p>
    <w:p w14:paraId="2FCB344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1.10.2 采购人或采购代理机构将按照投标人须知前附表规定的时间方式对投标人的疑问作出统一的解答。</w:t>
      </w:r>
    </w:p>
    <w:p w14:paraId="2F5F830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1.11投标文件：详见投标人须知前附表。</w:t>
      </w:r>
    </w:p>
    <w:p w14:paraId="11B7493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1.12投标文件递交：详见投标人须知前附表。</w:t>
      </w:r>
    </w:p>
    <w:p w14:paraId="133DB1F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1.13开标：详见投标人须知前附表。</w:t>
      </w:r>
    </w:p>
    <w:p w14:paraId="56CD378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1.14投标有效期：详见投标人须知前附表。</w:t>
      </w:r>
    </w:p>
    <w:p w14:paraId="4171FC1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1.15公告发布媒体：详见投标人须知前附表。</w:t>
      </w:r>
    </w:p>
    <w:p w14:paraId="7449FCD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1.16履约保证金：详见投标人须知前附表。</w:t>
      </w:r>
    </w:p>
    <w:p w14:paraId="6D9950E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1.17中小企业政策说明：详见投标人须知前附表。</w:t>
      </w:r>
    </w:p>
    <w:p w14:paraId="29C5499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1.18</w:t>
      </w:r>
      <w:r>
        <w:rPr>
          <w:rFonts w:hint="eastAsia" w:ascii="仿宋" w:hAnsi="仿宋" w:eastAsia="仿宋" w:cs="仿宋"/>
          <w:color w:val="000000"/>
          <w:sz w:val="24"/>
          <w:szCs w:val="24"/>
          <w:highlight w:val="none"/>
        </w:rPr>
        <w:t>招标代理费</w:t>
      </w:r>
      <w:r>
        <w:rPr>
          <w:rFonts w:hint="eastAsia" w:ascii="仿宋" w:hAnsi="仿宋" w:eastAsia="仿宋" w:cs="仿宋"/>
          <w:kern w:val="0"/>
          <w:sz w:val="24"/>
          <w:szCs w:val="24"/>
          <w:highlight w:val="none"/>
        </w:rPr>
        <w:t>：详见投标人须知前附表。</w:t>
      </w:r>
    </w:p>
    <w:p w14:paraId="437B543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1.19</w:t>
      </w:r>
      <w:r>
        <w:rPr>
          <w:rFonts w:hint="eastAsia" w:ascii="仿宋" w:hAnsi="仿宋" w:eastAsia="仿宋" w:cs="仿宋"/>
          <w:color w:val="000000"/>
          <w:sz w:val="24"/>
          <w:szCs w:val="24"/>
          <w:highlight w:val="none"/>
        </w:rPr>
        <w:t>付款方式</w:t>
      </w:r>
      <w:r>
        <w:rPr>
          <w:rFonts w:hint="eastAsia" w:ascii="仿宋" w:hAnsi="仿宋" w:eastAsia="仿宋" w:cs="仿宋"/>
          <w:kern w:val="0"/>
          <w:sz w:val="24"/>
          <w:szCs w:val="24"/>
          <w:highlight w:val="none"/>
        </w:rPr>
        <w:t>：详见投标人须知前附表。</w:t>
      </w:r>
    </w:p>
    <w:p w14:paraId="6F6CCA9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1.20保密</w:t>
      </w:r>
    </w:p>
    <w:p w14:paraId="1F3D7C7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参与招标投标活动的各方应当对招标文件和投标文件中的商业和技术等秘密保密，否则应当承担相应的法律责任。</w:t>
      </w:r>
    </w:p>
    <w:p w14:paraId="7BF5E2D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1.21语言文字</w:t>
      </w:r>
    </w:p>
    <w:p w14:paraId="63E5EC1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除专用术语外，与招标投标有关的语言均应当使用中文。必要时专用术语应附有中文注释。</w:t>
      </w:r>
    </w:p>
    <w:p w14:paraId="43884F4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1.22计量单位</w:t>
      </w:r>
    </w:p>
    <w:p w14:paraId="4069D49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所有计量均采用中华人民共和国法定计量单位。</w:t>
      </w:r>
    </w:p>
    <w:p w14:paraId="0556A93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1.23偏离</w:t>
      </w:r>
    </w:p>
    <w:p w14:paraId="67F1A3A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投标文件与招标文件某些要求产生偏离的，偏离应当符合招标文件规定的偏离范围和幅度。</w:t>
      </w:r>
    </w:p>
    <w:p w14:paraId="2EAEBD1B">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8" w:name="_Toc535592196"/>
      <w:bookmarkStart w:id="9" w:name="_Toc27298"/>
      <w:r>
        <w:rPr>
          <w:rFonts w:hint="eastAsia" w:ascii="仿宋" w:hAnsi="仿宋" w:eastAsia="仿宋" w:cs="仿宋"/>
          <w:b/>
          <w:sz w:val="24"/>
          <w:szCs w:val="24"/>
          <w:highlight w:val="none"/>
        </w:rPr>
        <w:t>2．招标文件</w:t>
      </w:r>
      <w:bookmarkEnd w:id="8"/>
      <w:bookmarkEnd w:id="9"/>
    </w:p>
    <w:p w14:paraId="4985636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招标文件的组成</w:t>
      </w:r>
    </w:p>
    <w:p w14:paraId="680F638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（1）投标人须知；</w:t>
      </w:r>
    </w:p>
    <w:p w14:paraId="49275CD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（2）评标办法；</w:t>
      </w:r>
    </w:p>
    <w:p w14:paraId="3E758A4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（3）合同条款；</w:t>
      </w:r>
    </w:p>
    <w:p w14:paraId="4785B1D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（4）服务标准和要求；</w:t>
      </w:r>
    </w:p>
    <w:p w14:paraId="31B3673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（5）投标文件格式；</w:t>
      </w:r>
    </w:p>
    <w:p w14:paraId="35317E4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（6）补充条款。</w:t>
      </w:r>
    </w:p>
    <w:p w14:paraId="3F9EB50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根据本章第2.4款和第2.5款对招标文件所作的澄清、修改，构成招标文件的组成部分。</w:t>
      </w:r>
    </w:p>
    <w:p w14:paraId="119FF0A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招标文件的获取</w:t>
      </w:r>
    </w:p>
    <w:p w14:paraId="1FCE2A9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凡有意参加并符合投标人须知前附表“投标人资格条件和能力”的投标人，均可在采购代理机构获取招标文件。</w:t>
      </w:r>
    </w:p>
    <w:p w14:paraId="59FF43F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 招标文件的澄清</w:t>
      </w:r>
    </w:p>
    <w:p w14:paraId="2F99834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FE5C57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招标文件的澄清将按照投标人须知前附表规定的时间、方式发布，但不指明澄清问题的来源。</w:t>
      </w:r>
    </w:p>
    <w:p w14:paraId="5CB0D8A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2.4招标文件的修改</w:t>
      </w:r>
    </w:p>
    <w:p w14:paraId="2CCE1DE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2.4.1 招标文件的修改将按照投标人须知前附表规定的时间、方式发布，但不指明澄清问题的来源。</w:t>
      </w:r>
    </w:p>
    <w:p w14:paraId="4A9ABBA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2.4.2 在投标人须知前附表规定的截止时间前，无论出于何种原因，采购代理机构和采购人可主动地或在解答潜在投标人提出的澄清问题时对招标文件进行修改。</w:t>
      </w:r>
    </w:p>
    <w:p w14:paraId="5B01512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2.4.3 招标文件的修改部分是招标文件的组成部分对投标人具有约束力。</w:t>
      </w:r>
    </w:p>
    <w:p w14:paraId="244368E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2.4.4 为使投标人准备投标时有充分时间对招标文件的修改部分进行研究，采购人可适当推迟投标截止期。</w:t>
      </w:r>
    </w:p>
    <w:p w14:paraId="2687378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2.4.5 当采购人发放的招标文件及招标文件的答疑文件、修改文件、补充文件前后不一致，发生矛盾情况时，以最后发出的为准。</w:t>
      </w:r>
    </w:p>
    <w:p w14:paraId="08DB48E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E843EA4">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0" w:name="_BookMark_6"/>
      <w:bookmarkEnd w:id="10"/>
      <w:bookmarkStart w:id="11" w:name="_Toc535592197"/>
      <w:bookmarkStart w:id="12" w:name="_Toc5223"/>
      <w:r>
        <w:rPr>
          <w:rFonts w:hint="eastAsia" w:ascii="仿宋" w:hAnsi="仿宋" w:eastAsia="仿宋" w:cs="仿宋"/>
          <w:b/>
          <w:sz w:val="24"/>
          <w:szCs w:val="24"/>
          <w:highlight w:val="none"/>
        </w:rPr>
        <w:t>3．投标文件</w:t>
      </w:r>
      <w:bookmarkEnd w:id="11"/>
      <w:bookmarkEnd w:id="12"/>
    </w:p>
    <w:p w14:paraId="0C4C5A6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 投标文件的组成</w:t>
      </w:r>
    </w:p>
    <w:p w14:paraId="0332686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3.1.1投标文件应包括下列内容：</w:t>
      </w:r>
    </w:p>
    <w:p w14:paraId="6DCDC67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一、投标函</w:t>
      </w:r>
    </w:p>
    <w:p w14:paraId="589B6FF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二、开标一览表</w:t>
      </w:r>
    </w:p>
    <w:p w14:paraId="2937CF7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三、投标价格明细表</w:t>
      </w:r>
    </w:p>
    <w:p w14:paraId="4A3A7CA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四、商务条款偏离表</w:t>
      </w:r>
    </w:p>
    <w:p w14:paraId="1B59A9A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五、技术条款偏离表</w:t>
      </w:r>
    </w:p>
    <w:p w14:paraId="77F6878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六、法定代表人身份证明书</w:t>
      </w:r>
    </w:p>
    <w:p w14:paraId="52E0927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七、法定代表人授权委托书</w:t>
      </w:r>
    </w:p>
    <w:p w14:paraId="6B5FF5F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八、投标人基本情况</w:t>
      </w:r>
    </w:p>
    <w:p w14:paraId="140AD6A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8.1、法人或者其他组织的营业执照等证明文件，自然人的身份证明</w:t>
      </w:r>
    </w:p>
    <w:p w14:paraId="4525C33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8.2、财务状况报告，依法缴纳税收和社会保障资金的相关材料</w:t>
      </w:r>
    </w:p>
    <w:p w14:paraId="250A0FF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8.3、具备履行合同所必需的设备和专业技术能力的证明材料</w:t>
      </w:r>
    </w:p>
    <w:p w14:paraId="793E37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8.4、参加政府采购活动前3年内在经营活动中没有重大违法记录的书面声明</w:t>
      </w:r>
    </w:p>
    <w:p w14:paraId="7C91DEA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8.5、具备法律、行政法规规定的其他条件的证明材料</w:t>
      </w:r>
    </w:p>
    <w:p w14:paraId="1C53E4B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九、投标人近三年类似项目业绩表</w:t>
      </w:r>
    </w:p>
    <w:p w14:paraId="70B2E6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十、项目负责人简历表</w:t>
      </w:r>
    </w:p>
    <w:p w14:paraId="3783C4C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十一、拟派本项目服务人员情况表</w:t>
      </w:r>
    </w:p>
    <w:p w14:paraId="63A067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十二、服务方案</w:t>
      </w:r>
    </w:p>
    <w:p w14:paraId="47DB50A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十三、其他需要提交的资料</w:t>
      </w:r>
    </w:p>
    <w:p w14:paraId="196B5DD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3.1.2 投标人须知前附表规定不接受联合体投标的，或投标人没有组成联合体的，投标文件不包括本章所指的联合体协议书。 </w:t>
      </w:r>
    </w:p>
    <w:p w14:paraId="0439F7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投标价格</w:t>
      </w:r>
    </w:p>
    <w:p w14:paraId="62E0944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9F5324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投标人的投标价格不能超出本项目采购预算金额。</w:t>
      </w:r>
    </w:p>
    <w:p w14:paraId="4828383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 投标有效期</w:t>
      </w:r>
    </w:p>
    <w:p w14:paraId="3D70C91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3.3.1 在投标人须知前附表规定的投标有效期内，投标人不得要求撤销或修改其投标文件。</w:t>
      </w:r>
    </w:p>
    <w:p w14:paraId="461113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5E19016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3.3.3 投标保证金的有效期与投标有效期一致。</w:t>
      </w:r>
    </w:p>
    <w:p w14:paraId="0F59A1F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 投标保证金</w:t>
      </w:r>
    </w:p>
    <w:p w14:paraId="0357E27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2A82C976">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3.4.2</w:t>
      </w:r>
      <w:r>
        <w:rPr>
          <w:rFonts w:hint="eastAsia" w:ascii="仿宋" w:hAnsi="仿宋" w:eastAsia="仿宋" w:cs="仿宋"/>
          <w:sz w:val="24"/>
          <w:szCs w:val="24"/>
          <w:highlight w:val="none"/>
        </w:rPr>
        <w:t>投标保证金以支票、汇票、本票或者金融机构、担保机构出具的保函等非现金形式提交至采购代理机构。</w:t>
      </w:r>
    </w:p>
    <w:p w14:paraId="5F8EDFDE">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采购代理机构名称：新疆新世纪招标有限公司</w:t>
      </w:r>
    </w:p>
    <w:p w14:paraId="117BC497">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纳税人识别号：91650100726988855F</w:t>
      </w:r>
    </w:p>
    <w:p w14:paraId="73714D26">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开户行：中国农业银行乌鲁木齐新民西街支行</w:t>
      </w:r>
    </w:p>
    <w:p w14:paraId="272FBDAA">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账号：30014701040000595</w:t>
      </w:r>
    </w:p>
    <w:p w14:paraId="69BDF1BB">
      <w:pPr>
        <w:shd w:val="clear" w:color="auto" w:fill="FFFFFF"/>
        <w:snapToGrid w:val="0"/>
        <w:spacing w:line="384" w:lineRule="auto"/>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 投标保证金是为了保护采购人免遭因投标人的行为而蒙受损失。采购人在因投标人的行为受到损害时可根据相关法律规定没收投标人的投标保证金。</w:t>
      </w:r>
    </w:p>
    <w:p w14:paraId="4A5E82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59E72AE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3.4.5投标保证金有效期与投标有效期一致。</w:t>
      </w:r>
    </w:p>
    <w:p w14:paraId="074CEF4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3.4.6 有下列情形之一的，投标保证金不予退还：</w:t>
      </w:r>
    </w:p>
    <w:p w14:paraId="59E81C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（1）投标人在规定的投标有效期内撤销或修改其投标文件的；</w:t>
      </w:r>
    </w:p>
    <w:p w14:paraId="1CD3850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（2）中标人在收到中标通知书后，无正当理由拒签合同协议书或在签订合同时提出附加条件或者更改合同实质性内容的；</w:t>
      </w:r>
    </w:p>
    <w:p w14:paraId="74278A2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（3）未按招标文件规定提交履约保证金的。</w:t>
      </w:r>
    </w:p>
    <w:p w14:paraId="68F4DC8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 投标文件的编制</w:t>
      </w:r>
    </w:p>
    <w:p w14:paraId="1FF8E7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3.5.1投标文件应按第五章“投标文件格式”进行编写，如有必要，可以增加附页，作为投标文件的组成部分。</w:t>
      </w:r>
    </w:p>
    <w:p w14:paraId="572E63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3.5.2投标文件应当对招标文件有关采购范围、技术与服务要求等实质性内容做出响应。</w:t>
      </w:r>
    </w:p>
    <w:p w14:paraId="4DADFFB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bookmarkStart w:id="13" w:name="_BookMark_7"/>
      <w:bookmarkEnd w:id="13"/>
      <w:bookmarkStart w:id="14" w:name="_Toc535592198"/>
      <w:r>
        <w:rPr>
          <w:rFonts w:hint="eastAsia" w:ascii="仿宋" w:hAnsi="仿宋" w:eastAsia="仿宋" w:cs="仿宋"/>
          <w:kern w:val="0"/>
          <w:sz w:val="24"/>
          <w:szCs w:val="24"/>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083433E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3.5.4电子投标文件须使用投标人电子公章及法定代表人的电子签名。</w:t>
      </w:r>
    </w:p>
    <w:p w14:paraId="545142AD">
      <w:pPr>
        <w:widowControl/>
        <w:shd w:val="clear" w:color="auto" w:fill="FFFFFF"/>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sz w:val="24"/>
          <w:szCs w:val="24"/>
          <w:highlight w:val="none"/>
          <w:shd w:val="clear" w:color="auto" w:fill="FFFFFF" w:themeFill="background1"/>
        </w:rPr>
        <w:t>。</w:t>
      </w:r>
    </w:p>
    <w:p w14:paraId="349CFAE2">
      <w:pPr>
        <w:tabs>
          <w:tab w:val="center" w:pos="4832"/>
          <w:tab w:val="left" w:pos="7140"/>
        </w:tabs>
        <w:spacing w:line="360" w:lineRule="auto"/>
        <w:ind w:firstLine="470" w:firstLineChars="196"/>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3.5.6</w:t>
      </w:r>
      <w:r>
        <w:rPr>
          <w:rFonts w:hint="eastAsia" w:ascii="仿宋" w:hAnsi="仿宋" w:eastAsia="仿宋" w:cs="仿宋"/>
          <w:sz w:val="24"/>
          <w:szCs w:val="24"/>
          <w:highlight w:val="none"/>
          <w:shd w:val="clear" w:color="auto" w:fill="FFFFFF" w:themeFill="background1"/>
        </w:rPr>
        <w:t>未按招标文件要求签署和盖章的投标文件，其投标将被认定为投标无效。</w:t>
      </w:r>
    </w:p>
    <w:p w14:paraId="0B311A89">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5" w:name="_Toc28025"/>
      <w:r>
        <w:rPr>
          <w:rFonts w:hint="eastAsia" w:ascii="仿宋" w:hAnsi="仿宋" w:eastAsia="仿宋" w:cs="仿宋"/>
          <w:b/>
          <w:sz w:val="24"/>
          <w:szCs w:val="24"/>
          <w:highlight w:val="none"/>
        </w:rPr>
        <w:t>4．投标</w:t>
      </w:r>
      <w:bookmarkEnd w:id="14"/>
      <w:bookmarkEnd w:id="15"/>
    </w:p>
    <w:p w14:paraId="76AE2177">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bookmarkStart w:id="16" w:name="_BookMark_8"/>
      <w:bookmarkEnd w:id="16"/>
      <w:bookmarkStart w:id="17" w:name="_Toc535592199"/>
      <w:r>
        <w:rPr>
          <w:rFonts w:hint="eastAsia" w:ascii="仿宋" w:hAnsi="仿宋" w:eastAsia="仿宋" w:cs="仿宋"/>
          <w:bCs/>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3B6997A3">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AE2A8DE">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4.3投标文件的递交</w:t>
      </w:r>
    </w:p>
    <w:p w14:paraId="5B4343D0">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4.3.1加密的电子投标文件应在投标文件递交截止时间前通过政采云平台上传完成。逾期上传或者未上传指定地点的投标文件，采购人不予受理。</w:t>
      </w:r>
    </w:p>
    <w:p w14:paraId="2BE63976">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4.3.2采购人事先约定延长投标文件递交截止时间的，采购人与投标人以前的投标截止期方面的全部权利、责任和义务，将适用延长至新的投标截止期。</w:t>
      </w:r>
    </w:p>
    <w:p w14:paraId="19D997D9">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4.3.3投标人或其投标文件存在下列情形之一的，采购人对其投标文件不予受理：</w:t>
      </w:r>
    </w:p>
    <w:p w14:paraId="0E50A5D7">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（1）逾期上传的投标文件；</w:t>
      </w:r>
    </w:p>
    <w:p w14:paraId="6D6F01C0">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（2）未按招标文件要求加密的投标文件。</w:t>
      </w:r>
    </w:p>
    <w:p w14:paraId="20CF37FA">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4.4投标文件的修改与撤回</w:t>
      </w:r>
    </w:p>
    <w:p w14:paraId="7217601F">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A5DAA45">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4.5投标文件格式</w:t>
      </w:r>
    </w:p>
    <w:p w14:paraId="6D109C0E">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4.5.1投标文件格式见第五章。</w:t>
      </w:r>
    </w:p>
    <w:p w14:paraId="34B29FCC">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4.5.2投标人应使用本招标文件后面提供的投标文件格式填写，如不够用时，投标人可按同样格式自行编制和填补，如果本招标文件未提供格式的，投标人可自行编制。</w:t>
      </w:r>
    </w:p>
    <w:p w14:paraId="2C2BF48F">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8" w:name="_Toc26385"/>
      <w:r>
        <w:rPr>
          <w:rFonts w:hint="eastAsia" w:ascii="仿宋" w:hAnsi="仿宋" w:eastAsia="仿宋" w:cs="仿宋"/>
          <w:b/>
          <w:sz w:val="24"/>
          <w:szCs w:val="24"/>
          <w:highlight w:val="none"/>
        </w:rPr>
        <w:t>5．开标</w:t>
      </w:r>
      <w:bookmarkEnd w:id="17"/>
      <w:bookmarkEnd w:id="18"/>
    </w:p>
    <w:p w14:paraId="0DBCB88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5.1 开标时间和地点</w:t>
      </w:r>
    </w:p>
    <w:p w14:paraId="56BD1B3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采购人在投标人须知前附表规定的时间、地点公开开标，并邀请所有投标人的法定代表人或其授权委托人参加。</w:t>
      </w:r>
    </w:p>
    <w:p w14:paraId="1669B1E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5.2 开标程序</w:t>
      </w:r>
    </w:p>
    <w:p w14:paraId="5BBFE0F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按下列程序进行开标：</w:t>
      </w:r>
    </w:p>
    <w:p w14:paraId="6445C98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（1）投标人解密投标文件</w:t>
      </w:r>
    </w:p>
    <w:p w14:paraId="0AFFE6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（2）开启报价文件</w:t>
      </w:r>
    </w:p>
    <w:p w14:paraId="27702C1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（3）投标人线上签字确认</w:t>
      </w:r>
    </w:p>
    <w:p w14:paraId="626C3A4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（4）开标结束</w:t>
      </w:r>
    </w:p>
    <w:p w14:paraId="709499A3">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9" w:name="_BookMark_9"/>
      <w:bookmarkEnd w:id="19"/>
      <w:bookmarkStart w:id="20" w:name="_Toc5139"/>
      <w:bookmarkStart w:id="21" w:name="_Toc535592200"/>
      <w:r>
        <w:rPr>
          <w:rFonts w:hint="eastAsia" w:ascii="仿宋" w:hAnsi="仿宋" w:eastAsia="仿宋" w:cs="仿宋"/>
          <w:b/>
          <w:sz w:val="24"/>
          <w:szCs w:val="24"/>
          <w:highlight w:val="none"/>
        </w:rPr>
        <w:t>6．评标</w:t>
      </w:r>
      <w:bookmarkEnd w:id="20"/>
      <w:bookmarkEnd w:id="21"/>
    </w:p>
    <w:p w14:paraId="3A3D7F1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 评标小组</w:t>
      </w:r>
    </w:p>
    <w:p w14:paraId="5BAF9D0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6.1.1 评标由采购人按照《政府采购评标专家管理办法》财库〔2016〕198号，依法组建的评标小组负责。评标小组由采购人熟悉相关业务的代表，以及有关技术、经济等方面的专家组成。</w:t>
      </w:r>
    </w:p>
    <w:p w14:paraId="3E9FE99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6.1.2 评标小组成员有下列情形之一的，应当回避：</w:t>
      </w:r>
    </w:p>
    <w:p w14:paraId="2C17EF9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（1）参加采购活动前三年内,与投标人存在劳动关系,或者担任过投标人的董事、监事,或者是投标人的控股股东或实际控制人。</w:t>
      </w:r>
    </w:p>
    <w:p w14:paraId="27E1EAB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（2）与投标人的法定代表人或者负责人有夫妻、直系血亲、三代以内旁系血亲或者近姻亲关系。</w:t>
      </w:r>
    </w:p>
    <w:p w14:paraId="4C68FDE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（3）与投标人有其他可能影响政府采购活动公平、公正进行的关系。</w:t>
      </w:r>
    </w:p>
    <w:p w14:paraId="682C4C8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6.2 评标原则 </w:t>
      </w:r>
    </w:p>
    <w:p w14:paraId="3A00BE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评标活动遵循公平、公正、科学和择优的原则。</w:t>
      </w:r>
    </w:p>
    <w:p w14:paraId="582C1C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6.3 评标</w:t>
      </w:r>
    </w:p>
    <w:p w14:paraId="592D2EF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评标小组按照招标文件中规定的方法、评标因素、标准和程序对投标文件进行评标。</w:t>
      </w:r>
    </w:p>
    <w:p w14:paraId="36AB8E1E">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22" w:name="_BookMark_10"/>
      <w:bookmarkEnd w:id="22"/>
      <w:bookmarkStart w:id="23" w:name="_Toc535592201"/>
      <w:bookmarkStart w:id="24" w:name="_Toc1820"/>
      <w:r>
        <w:rPr>
          <w:rFonts w:hint="eastAsia" w:ascii="仿宋" w:hAnsi="仿宋" w:eastAsia="仿宋" w:cs="仿宋"/>
          <w:b/>
          <w:sz w:val="24"/>
          <w:szCs w:val="24"/>
          <w:highlight w:val="none"/>
        </w:rPr>
        <w:t>7．定标及合同授予</w:t>
      </w:r>
      <w:bookmarkEnd w:id="23"/>
      <w:bookmarkEnd w:id="24"/>
    </w:p>
    <w:p w14:paraId="531D22D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 定标方法</w:t>
      </w:r>
    </w:p>
    <w:p w14:paraId="7C6672B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05D4A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63514E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7.2中标结果公告</w:t>
      </w:r>
    </w:p>
    <w:p w14:paraId="5DDB119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CE0130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 履约保证金</w:t>
      </w:r>
    </w:p>
    <w:p w14:paraId="5533A1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22A86D0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7.3.2 中标人不能按要求提交履约保证金的，视为放弃中标，其投标保证金不予退还；给采购人造成的损失超过投标保证金数额的，中标人还应当对超过部分予以赔偿。</w:t>
      </w:r>
    </w:p>
    <w:p w14:paraId="73656F2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 签订合同</w:t>
      </w:r>
    </w:p>
    <w:p w14:paraId="0BD4A84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6C2130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7.4.2发出中标通知书后，采购人无正当理由拒签合同的，给中标人造成损失的，还应当赔偿中标人损失。</w:t>
      </w:r>
    </w:p>
    <w:p w14:paraId="6ADC223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7.4.3发出中标通知书后，中标人无正当理由拒签合同的，采购人取消其中标资格，其投标保证金不予退还；给采购人造成的损失超过投标保证金数额的，中标人还应当对超过部分予以赔偿。</w:t>
      </w:r>
    </w:p>
    <w:p w14:paraId="15C5E5EA">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25" w:name="_BookMark_11"/>
      <w:bookmarkEnd w:id="25"/>
      <w:bookmarkStart w:id="26" w:name="_Toc535592202"/>
      <w:bookmarkStart w:id="27" w:name="_Toc10630"/>
      <w:r>
        <w:rPr>
          <w:rFonts w:hint="eastAsia" w:ascii="仿宋" w:hAnsi="仿宋" w:eastAsia="仿宋" w:cs="仿宋"/>
          <w:b/>
          <w:sz w:val="24"/>
          <w:szCs w:val="24"/>
          <w:highlight w:val="none"/>
        </w:rPr>
        <w:t>8．纪律和监督</w:t>
      </w:r>
      <w:bookmarkEnd w:id="26"/>
      <w:bookmarkEnd w:id="27"/>
    </w:p>
    <w:p w14:paraId="4A04F24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8.1 对采购人的纪律要求</w:t>
      </w:r>
    </w:p>
    <w:p w14:paraId="6D3E2C3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采购人不得泄漏招标投标活动中应当保密的情况和资料，不得与投标人串通损害国家利益、社会公共利益或者他人合法权益。</w:t>
      </w:r>
    </w:p>
    <w:p w14:paraId="488CE98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8.2 对投标人的纪律要求</w:t>
      </w:r>
    </w:p>
    <w:p w14:paraId="6DF910B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4026C1F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8.3 对评标小组成员的纪律要求</w:t>
      </w:r>
    </w:p>
    <w:p w14:paraId="58C854B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1DB9202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 对与评标活动有关的工作人员的纪律要求</w:t>
      </w:r>
    </w:p>
    <w:p w14:paraId="104F1E9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2021C10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 监督</w:t>
      </w:r>
    </w:p>
    <w:p w14:paraId="2D0DFDCE">
      <w:pPr>
        <w:widowControl/>
        <w:shd w:val="clear" w:color="auto" w:fill="FFFFFF"/>
        <w:snapToGrid w:val="0"/>
        <w:spacing w:line="360" w:lineRule="auto"/>
        <w:ind w:firstLine="480" w:firstLineChars="200"/>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本项目的招标投标活动及其相关当事人应当接受有管辖权的监督部门依法实施的监督。</w:t>
      </w:r>
      <w:r>
        <w:rPr>
          <w:rFonts w:hint="eastAsia" w:ascii="仿宋" w:hAnsi="仿宋" w:eastAsia="仿宋" w:cs="仿宋"/>
          <w:bCs/>
          <w:kern w:val="0"/>
          <w:sz w:val="24"/>
          <w:szCs w:val="24"/>
          <w:highlight w:val="none"/>
        </w:rPr>
        <w:br w:type="page"/>
      </w:r>
    </w:p>
    <w:p w14:paraId="66EDE37B">
      <w:pPr>
        <w:widowControl/>
        <w:shd w:val="clear" w:color="auto" w:fill="FFFFFF"/>
        <w:snapToGrid w:val="0"/>
        <w:spacing w:line="360" w:lineRule="auto"/>
        <w:jc w:val="center"/>
        <w:outlineLvl w:val="0"/>
        <w:rPr>
          <w:rFonts w:hint="eastAsia" w:ascii="仿宋" w:hAnsi="仿宋" w:eastAsia="仿宋" w:cs="仿宋"/>
          <w:b/>
          <w:sz w:val="28"/>
          <w:szCs w:val="28"/>
          <w:highlight w:val="none"/>
        </w:rPr>
      </w:pPr>
      <w:bookmarkStart w:id="28" w:name="_Toc21164"/>
      <w:r>
        <w:rPr>
          <w:rFonts w:hint="eastAsia" w:ascii="仿宋" w:hAnsi="仿宋" w:eastAsia="仿宋" w:cs="仿宋"/>
          <w:b/>
          <w:sz w:val="28"/>
          <w:szCs w:val="28"/>
          <w:highlight w:val="none"/>
        </w:rPr>
        <w:t>第二章 评标办法</w:t>
      </w:r>
      <w:bookmarkEnd w:id="28"/>
    </w:p>
    <w:p w14:paraId="641BCEAC">
      <w:pPr>
        <w:tabs>
          <w:tab w:val="center" w:pos="4832"/>
          <w:tab w:val="left" w:pos="7140"/>
        </w:tabs>
        <w:spacing w:line="360" w:lineRule="auto"/>
        <w:jc w:val="center"/>
        <w:outlineLvl w:val="1"/>
        <w:rPr>
          <w:rFonts w:hint="eastAsia" w:ascii="仿宋" w:hAnsi="仿宋" w:eastAsia="仿宋" w:cs="仿宋"/>
          <w:b/>
          <w:sz w:val="28"/>
          <w:szCs w:val="28"/>
          <w:highlight w:val="none"/>
        </w:rPr>
      </w:pPr>
      <w:bookmarkStart w:id="29" w:name="_BookMark_1"/>
      <w:bookmarkEnd w:id="29"/>
      <w:bookmarkStart w:id="30" w:name="_Toc23868"/>
      <w:bookmarkStart w:id="31" w:name="_Toc58342531"/>
      <w:bookmarkStart w:id="32" w:name="_Toc501719166"/>
      <w:r>
        <w:rPr>
          <w:rFonts w:hint="eastAsia" w:ascii="仿宋" w:hAnsi="仿宋" w:eastAsia="仿宋" w:cs="仿宋"/>
          <w:b/>
          <w:sz w:val="28"/>
          <w:szCs w:val="28"/>
          <w:highlight w:val="none"/>
        </w:rPr>
        <w:t>评审办法前附表</w:t>
      </w:r>
      <w:bookmarkEnd w:id="30"/>
      <w:bookmarkEnd w:id="31"/>
    </w:p>
    <w:tbl>
      <w:tblPr>
        <w:tblStyle w:val="42"/>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53"/>
        <w:gridCol w:w="2519"/>
        <w:gridCol w:w="5260"/>
      </w:tblGrid>
      <w:tr w14:paraId="76225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131BA21B">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511" w:type="pct"/>
            <w:tcBorders>
              <w:tl2br w:val="nil"/>
              <w:tr2bl w:val="nil"/>
            </w:tcBorders>
            <w:tcMar>
              <w:top w:w="0" w:type="dxa"/>
              <w:left w:w="28" w:type="dxa"/>
              <w:bottom w:w="0" w:type="dxa"/>
              <w:right w:w="28" w:type="dxa"/>
            </w:tcMar>
            <w:vAlign w:val="center"/>
          </w:tcPr>
          <w:p w14:paraId="6B314243">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条款内容</w:t>
            </w:r>
          </w:p>
        </w:tc>
        <w:tc>
          <w:tcPr>
            <w:tcW w:w="3156" w:type="pct"/>
            <w:tcBorders>
              <w:tl2br w:val="nil"/>
              <w:tr2bl w:val="nil"/>
            </w:tcBorders>
            <w:tcMar>
              <w:top w:w="0" w:type="dxa"/>
              <w:left w:w="28" w:type="dxa"/>
              <w:bottom w:w="0" w:type="dxa"/>
              <w:right w:w="28" w:type="dxa"/>
            </w:tcMar>
            <w:vAlign w:val="center"/>
          </w:tcPr>
          <w:p w14:paraId="0EB84DC8">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编列内容</w:t>
            </w:r>
          </w:p>
        </w:tc>
      </w:tr>
      <w:tr w14:paraId="325F7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0" w:hRule="atLeast"/>
          <w:jc w:val="center"/>
        </w:trPr>
        <w:tc>
          <w:tcPr>
            <w:tcW w:w="332" w:type="pct"/>
            <w:tcBorders>
              <w:tl2br w:val="nil"/>
              <w:tr2bl w:val="nil"/>
            </w:tcBorders>
            <w:tcMar>
              <w:top w:w="0" w:type="dxa"/>
              <w:left w:w="28" w:type="dxa"/>
              <w:bottom w:w="0" w:type="dxa"/>
              <w:right w:w="28" w:type="dxa"/>
            </w:tcMar>
            <w:vAlign w:val="center"/>
          </w:tcPr>
          <w:p w14:paraId="4E64E8F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11" w:type="pct"/>
            <w:tcBorders>
              <w:tl2br w:val="nil"/>
              <w:tr2bl w:val="nil"/>
            </w:tcBorders>
            <w:tcMar>
              <w:top w:w="0" w:type="dxa"/>
              <w:left w:w="28" w:type="dxa"/>
              <w:bottom w:w="0" w:type="dxa"/>
              <w:right w:w="28" w:type="dxa"/>
            </w:tcMar>
            <w:vAlign w:val="center"/>
          </w:tcPr>
          <w:p w14:paraId="79E4CF8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分值构成及权重</w:t>
            </w:r>
          </w:p>
          <w:p w14:paraId="5896A6C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(总分100分)</w:t>
            </w:r>
          </w:p>
        </w:tc>
        <w:tc>
          <w:tcPr>
            <w:tcW w:w="3156" w:type="pct"/>
            <w:tcBorders>
              <w:tl2br w:val="nil"/>
              <w:tr2bl w:val="nil"/>
            </w:tcBorders>
            <w:tcMar>
              <w:top w:w="0" w:type="dxa"/>
              <w:left w:w="28" w:type="dxa"/>
              <w:bottom w:w="0" w:type="dxa"/>
              <w:right w:w="28" w:type="dxa"/>
            </w:tcMar>
            <w:vAlign w:val="center"/>
          </w:tcPr>
          <w:p w14:paraId="5678709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1.详细评审部分</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分</w:t>
            </w:r>
          </w:p>
          <w:p w14:paraId="7C683B0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2.投标报价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r>
      <w:tr w14:paraId="15FA1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 w:hRule="atLeast"/>
          <w:jc w:val="center"/>
        </w:trPr>
        <w:tc>
          <w:tcPr>
            <w:tcW w:w="332" w:type="pct"/>
            <w:tcBorders>
              <w:tl2br w:val="nil"/>
              <w:tr2bl w:val="nil"/>
            </w:tcBorders>
            <w:tcMar>
              <w:top w:w="0" w:type="dxa"/>
              <w:left w:w="28" w:type="dxa"/>
              <w:bottom w:w="0" w:type="dxa"/>
              <w:right w:w="28" w:type="dxa"/>
            </w:tcMar>
            <w:vAlign w:val="center"/>
          </w:tcPr>
          <w:p w14:paraId="05F8A9A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11" w:type="pct"/>
            <w:tcBorders>
              <w:tl2br w:val="nil"/>
              <w:tr2bl w:val="nil"/>
            </w:tcBorders>
            <w:tcMar>
              <w:top w:w="0" w:type="dxa"/>
              <w:left w:w="28" w:type="dxa"/>
              <w:bottom w:w="0" w:type="dxa"/>
              <w:right w:w="28" w:type="dxa"/>
            </w:tcMar>
            <w:vAlign w:val="center"/>
          </w:tcPr>
          <w:p w14:paraId="50717FC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w:t>
            </w:r>
          </w:p>
        </w:tc>
        <w:tc>
          <w:tcPr>
            <w:tcW w:w="3156" w:type="pct"/>
            <w:tcBorders>
              <w:tl2br w:val="nil"/>
              <w:tr2bl w:val="nil"/>
            </w:tcBorders>
            <w:tcMar>
              <w:top w:w="0" w:type="dxa"/>
              <w:left w:w="28" w:type="dxa"/>
              <w:bottom w:w="0" w:type="dxa"/>
              <w:right w:w="28" w:type="dxa"/>
            </w:tcMar>
            <w:vAlign w:val="center"/>
          </w:tcPr>
          <w:p w14:paraId="4470C01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详见《资格审查标准》</w:t>
            </w:r>
          </w:p>
        </w:tc>
      </w:tr>
      <w:tr w14:paraId="4F5A8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4EC8A04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11" w:type="pct"/>
            <w:tcBorders>
              <w:tl2br w:val="nil"/>
              <w:tr2bl w:val="nil"/>
            </w:tcBorders>
            <w:tcMar>
              <w:top w:w="0" w:type="dxa"/>
              <w:left w:w="28" w:type="dxa"/>
              <w:bottom w:w="0" w:type="dxa"/>
              <w:right w:w="28" w:type="dxa"/>
            </w:tcMar>
            <w:vAlign w:val="center"/>
          </w:tcPr>
          <w:p w14:paraId="43A353C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符合性审查</w:t>
            </w:r>
          </w:p>
        </w:tc>
        <w:tc>
          <w:tcPr>
            <w:tcW w:w="3156" w:type="pct"/>
            <w:tcBorders>
              <w:tl2br w:val="nil"/>
              <w:tr2bl w:val="nil"/>
            </w:tcBorders>
            <w:tcMar>
              <w:top w:w="0" w:type="dxa"/>
              <w:left w:w="28" w:type="dxa"/>
              <w:bottom w:w="0" w:type="dxa"/>
              <w:right w:w="28" w:type="dxa"/>
            </w:tcMar>
            <w:vAlign w:val="center"/>
          </w:tcPr>
          <w:p w14:paraId="1ED6F7C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详见《符合性审查标准》</w:t>
            </w:r>
          </w:p>
        </w:tc>
      </w:tr>
      <w:tr w14:paraId="5F4C1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2CF65CB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11" w:type="pct"/>
            <w:tcBorders>
              <w:tl2br w:val="nil"/>
              <w:tr2bl w:val="nil"/>
            </w:tcBorders>
            <w:tcMar>
              <w:top w:w="0" w:type="dxa"/>
              <w:left w:w="28" w:type="dxa"/>
              <w:bottom w:w="0" w:type="dxa"/>
              <w:right w:w="28" w:type="dxa"/>
            </w:tcMar>
            <w:vAlign w:val="center"/>
          </w:tcPr>
          <w:p w14:paraId="309548C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详细评审</w:t>
            </w:r>
          </w:p>
        </w:tc>
        <w:tc>
          <w:tcPr>
            <w:tcW w:w="3156" w:type="pct"/>
            <w:tcBorders>
              <w:tl2br w:val="nil"/>
              <w:tr2bl w:val="nil"/>
            </w:tcBorders>
            <w:tcMar>
              <w:top w:w="0" w:type="dxa"/>
              <w:left w:w="28" w:type="dxa"/>
              <w:bottom w:w="0" w:type="dxa"/>
              <w:right w:w="28" w:type="dxa"/>
            </w:tcMar>
            <w:vAlign w:val="center"/>
          </w:tcPr>
          <w:p w14:paraId="4106408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详见《详细评审标准》及本节第3.5款</w:t>
            </w:r>
          </w:p>
        </w:tc>
      </w:tr>
    </w:tbl>
    <w:p w14:paraId="047E2425">
      <w:pPr>
        <w:widowControl/>
        <w:shd w:val="clear" w:color="auto" w:fill="FFFFFF"/>
        <w:snapToGrid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《资格审查标准》</w:t>
      </w:r>
      <w:bookmarkEnd w:id="32"/>
    </w:p>
    <w:tbl>
      <w:tblPr>
        <w:tblStyle w:val="42"/>
        <w:tblW w:w="50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39"/>
        <w:gridCol w:w="3779"/>
        <w:gridCol w:w="3998"/>
      </w:tblGrid>
      <w:tr w14:paraId="799A3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1DA8D5A8">
            <w:pPr>
              <w:spacing w:line="360" w:lineRule="auto"/>
              <w:jc w:val="center"/>
              <w:rPr>
                <w:rFonts w:hint="eastAsia" w:ascii="仿宋" w:hAnsi="仿宋" w:eastAsia="仿宋" w:cs="仿宋"/>
                <w:b/>
                <w:bCs/>
                <w:sz w:val="24"/>
                <w:szCs w:val="24"/>
                <w:highlight w:val="none"/>
                <w:shd w:val="clear" w:color="auto" w:fill="FFFFFF" w:themeFill="background1"/>
              </w:rPr>
            </w:pPr>
            <w:bookmarkStart w:id="33" w:name="_Toc501719167"/>
            <w:r>
              <w:rPr>
                <w:rFonts w:hint="eastAsia" w:ascii="仿宋" w:hAnsi="仿宋" w:eastAsia="仿宋" w:cs="仿宋"/>
                <w:b/>
                <w:bCs/>
                <w:sz w:val="24"/>
                <w:szCs w:val="24"/>
                <w:highlight w:val="none"/>
                <w:shd w:val="clear" w:color="auto" w:fill="FFFFFF" w:themeFill="background1"/>
              </w:rPr>
              <w:t>序号</w:t>
            </w:r>
          </w:p>
        </w:tc>
        <w:tc>
          <w:tcPr>
            <w:tcW w:w="2272" w:type="pct"/>
            <w:tcBorders>
              <w:tl2br w:val="nil"/>
              <w:tr2bl w:val="nil"/>
            </w:tcBorders>
            <w:vAlign w:val="center"/>
          </w:tcPr>
          <w:p w14:paraId="545C04EC">
            <w:pPr>
              <w:spacing w:line="360" w:lineRule="auto"/>
              <w:jc w:val="center"/>
              <w:rPr>
                <w:rFonts w:hint="eastAsia" w:ascii="仿宋" w:hAnsi="仿宋" w:eastAsia="仿宋" w:cs="仿宋"/>
                <w:b/>
                <w:bCs/>
                <w:sz w:val="24"/>
                <w:szCs w:val="24"/>
                <w:highlight w:val="none"/>
                <w:shd w:val="clear" w:color="auto" w:fill="FFFFFF" w:themeFill="background1"/>
              </w:rPr>
            </w:pPr>
            <w:r>
              <w:rPr>
                <w:rFonts w:hint="eastAsia" w:ascii="仿宋" w:hAnsi="仿宋" w:eastAsia="仿宋" w:cs="仿宋"/>
                <w:b/>
                <w:bCs/>
                <w:sz w:val="24"/>
                <w:szCs w:val="24"/>
                <w:highlight w:val="none"/>
                <w:shd w:val="clear" w:color="auto" w:fill="FFFFFF" w:themeFill="background1"/>
              </w:rPr>
              <w:t>审查要求</w:t>
            </w:r>
          </w:p>
        </w:tc>
        <w:tc>
          <w:tcPr>
            <w:tcW w:w="2402" w:type="pct"/>
            <w:tcBorders>
              <w:tl2br w:val="nil"/>
              <w:tr2bl w:val="nil"/>
            </w:tcBorders>
            <w:vAlign w:val="center"/>
          </w:tcPr>
          <w:p w14:paraId="68C9609D">
            <w:pPr>
              <w:spacing w:line="360" w:lineRule="auto"/>
              <w:jc w:val="center"/>
              <w:rPr>
                <w:rFonts w:hint="eastAsia" w:ascii="仿宋" w:hAnsi="仿宋" w:eastAsia="仿宋" w:cs="仿宋"/>
                <w:b/>
                <w:bCs/>
                <w:sz w:val="24"/>
                <w:szCs w:val="24"/>
                <w:highlight w:val="none"/>
                <w:shd w:val="clear" w:color="auto" w:fill="FFFFFF" w:themeFill="background1"/>
              </w:rPr>
            </w:pPr>
            <w:r>
              <w:rPr>
                <w:rFonts w:hint="eastAsia" w:ascii="仿宋" w:hAnsi="仿宋" w:eastAsia="仿宋" w:cs="仿宋"/>
                <w:b/>
                <w:bCs/>
                <w:sz w:val="24"/>
                <w:szCs w:val="24"/>
                <w:highlight w:val="none"/>
                <w:shd w:val="clear" w:color="auto" w:fill="FFFFFF" w:themeFill="background1"/>
              </w:rPr>
              <w:t>要求说明</w:t>
            </w:r>
          </w:p>
        </w:tc>
      </w:tr>
      <w:tr w14:paraId="1262B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0478CB3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w:t>
            </w:r>
          </w:p>
        </w:tc>
        <w:tc>
          <w:tcPr>
            <w:tcW w:w="2272" w:type="pct"/>
            <w:tcBorders>
              <w:tl2br w:val="nil"/>
              <w:tr2bl w:val="nil"/>
            </w:tcBorders>
            <w:vAlign w:val="center"/>
          </w:tcPr>
          <w:p w14:paraId="6D1F81E9">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满足《中华人民共和国政府采购法》第二十二条规定。</w:t>
            </w:r>
          </w:p>
        </w:tc>
        <w:tc>
          <w:tcPr>
            <w:tcW w:w="2402" w:type="pct"/>
            <w:tcBorders>
              <w:tl2br w:val="nil"/>
              <w:tr2bl w:val="nil"/>
            </w:tcBorders>
            <w:vAlign w:val="center"/>
          </w:tcPr>
          <w:p w14:paraId="3EAE12E3">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517E5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624D96BE">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2</w:t>
            </w:r>
          </w:p>
        </w:tc>
        <w:tc>
          <w:tcPr>
            <w:tcW w:w="2272" w:type="pct"/>
            <w:tcBorders>
              <w:tl2br w:val="nil"/>
              <w:tr2bl w:val="nil"/>
            </w:tcBorders>
            <w:vAlign w:val="center"/>
          </w:tcPr>
          <w:p w14:paraId="1E7E062D">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000000"/>
                <w:sz w:val="24"/>
                <w:szCs w:val="24"/>
                <w:highlight w:val="none"/>
                <w:lang w:val="en-US" w:eastAsia="zh-CN"/>
              </w:rPr>
              <w:t>（1）投标人须具备有效的《安全生产许可证》。</w:t>
            </w:r>
          </w:p>
        </w:tc>
        <w:tc>
          <w:tcPr>
            <w:tcW w:w="2402" w:type="pct"/>
            <w:tcBorders>
              <w:tl2br w:val="nil"/>
              <w:tr2bl w:val="nil"/>
            </w:tcBorders>
            <w:vAlign w:val="center"/>
          </w:tcPr>
          <w:p w14:paraId="3C57304E">
            <w:pPr>
              <w:spacing w:line="360" w:lineRule="auto"/>
              <w:jc w:val="left"/>
              <w:rPr>
                <w:rFonts w:hint="default"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须提供证书扫描件。</w:t>
            </w:r>
          </w:p>
        </w:tc>
      </w:tr>
      <w:tr w14:paraId="08B63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14C716DE">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3</w:t>
            </w:r>
          </w:p>
        </w:tc>
        <w:tc>
          <w:tcPr>
            <w:tcW w:w="2272" w:type="pct"/>
            <w:tcBorders>
              <w:tl2br w:val="nil"/>
              <w:tr2bl w:val="nil"/>
            </w:tcBorders>
            <w:vAlign w:val="center"/>
          </w:tcPr>
          <w:p w14:paraId="37CA06FA">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r>
              <w:rPr>
                <w:rFonts w:hint="eastAsia" w:ascii="仿宋" w:hAnsi="仿宋" w:eastAsia="仿宋" w:cs="仿宋"/>
                <w:sz w:val="24"/>
                <w:szCs w:val="24"/>
                <w:highlight w:val="none"/>
                <w:shd w:val="clear" w:color="auto" w:fill="FFFFFF" w:themeFill="background1"/>
                <w:lang w:val="en-US" w:eastAsia="zh-CN"/>
              </w:rPr>
              <w:t>2</w:t>
            </w:r>
            <w:r>
              <w:rPr>
                <w:rFonts w:hint="eastAsia" w:ascii="仿宋" w:hAnsi="仿宋" w:eastAsia="仿宋" w:cs="仿宋"/>
                <w:sz w:val="24"/>
                <w:szCs w:val="24"/>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w:t>
            </w:r>
            <w:r>
              <w:rPr>
                <w:rFonts w:hint="eastAsia" w:ascii="仿宋" w:hAnsi="仿宋" w:eastAsia="仿宋" w:cs="仿宋"/>
                <w:sz w:val="24"/>
                <w:szCs w:val="24"/>
                <w:highlight w:val="none"/>
                <w:shd w:val="clear" w:color="auto" w:fill="FFFFFF" w:themeFill="background1"/>
                <w:lang w:eastAsia="zh-CN"/>
              </w:rPr>
              <w:t>招标</w:t>
            </w:r>
            <w:r>
              <w:rPr>
                <w:rFonts w:hint="eastAsia" w:ascii="仿宋" w:hAnsi="仿宋" w:eastAsia="仿宋" w:cs="仿宋"/>
                <w:sz w:val="24"/>
                <w:szCs w:val="24"/>
                <w:highlight w:val="none"/>
                <w:shd w:val="clear" w:color="auto" w:fill="FFFFFF" w:themeFill="background1"/>
              </w:rPr>
              <w:t>活动。</w:t>
            </w:r>
          </w:p>
        </w:tc>
        <w:tc>
          <w:tcPr>
            <w:tcW w:w="2402" w:type="pct"/>
            <w:tcBorders>
              <w:tl2br w:val="nil"/>
              <w:tr2bl w:val="nil"/>
            </w:tcBorders>
            <w:vAlign w:val="center"/>
          </w:tcPr>
          <w:p w14:paraId="255204DD">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以采购人或者采购代理机构查询记录为准。</w:t>
            </w:r>
          </w:p>
        </w:tc>
      </w:tr>
      <w:tr w14:paraId="7A433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433A49E5">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4</w:t>
            </w:r>
          </w:p>
        </w:tc>
        <w:tc>
          <w:tcPr>
            <w:tcW w:w="2272" w:type="pct"/>
            <w:tcBorders>
              <w:tl2br w:val="nil"/>
              <w:tr2bl w:val="nil"/>
            </w:tcBorders>
            <w:vAlign w:val="center"/>
          </w:tcPr>
          <w:p w14:paraId="511D483D">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投标保证金必须按照招标文件要求缴纳。</w:t>
            </w:r>
          </w:p>
        </w:tc>
        <w:tc>
          <w:tcPr>
            <w:tcW w:w="2402" w:type="pct"/>
            <w:tcBorders>
              <w:tl2br w:val="nil"/>
              <w:tr2bl w:val="nil"/>
            </w:tcBorders>
            <w:vAlign w:val="center"/>
          </w:tcPr>
          <w:p w14:paraId="2EA0F2F4">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保证金缴纳凭证：投标人可将本项目保证金支付的汇款凭证、支票、汇票</w:t>
            </w:r>
            <w:r>
              <w:rPr>
                <w:rFonts w:hint="eastAsia" w:ascii="仿宋" w:hAnsi="仿宋" w:eastAsia="仿宋" w:cs="仿宋"/>
                <w:sz w:val="24"/>
                <w:szCs w:val="24"/>
                <w:highlight w:val="none"/>
                <w:shd w:val="clear" w:color="auto" w:fill="FFFFFF" w:themeFill="background1"/>
                <w:lang w:eastAsia="zh-CN"/>
              </w:rPr>
              <w:t>、</w:t>
            </w:r>
            <w:r>
              <w:rPr>
                <w:rFonts w:hint="eastAsia" w:ascii="仿宋" w:hAnsi="仿宋" w:eastAsia="仿宋" w:cs="仿宋"/>
                <w:sz w:val="24"/>
                <w:szCs w:val="24"/>
                <w:highlight w:val="none"/>
                <w:shd w:val="clear" w:color="auto" w:fill="FFFFFF" w:themeFill="background1"/>
                <w:lang w:val="en-US" w:eastAsia="zh-CN"/>
              </w:rPr>
              <w:t>保函</w:t>
            </w:r>
            <w:r>
              <w:rPr>
                <w:rFonts w:hint="eastAsia" w:ascii="仿宋" w:hAnsi="仿宋" w:eastAsia="仿宋" w:cs="仿宋"/>
                <w:sz w:val="24"/>
                <w:szCs w:val="24"/>
                <w:highlight w:val="none"/>
                <w:shd w:val="clear" w:color="auto" w:fill="FFFFFF" w:themeFill="background1"/>
              </w:rPr>
              <w:t>或保证金收据的扫描件作为缴纳凭证制作在投标文件中。</w:t>
            </w:r>
          </w:p>
        </w:tc>
      </w:tr>
      <w:tr w14:paraId="60442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0" w:hRule="atLeast"/>
          <w:jc w:val="center"/>
        </w:trPr>
        <w:tc>
          <w:tcPr>
            <w:tcW w:w="5000" w:type="pct"/>
            <w:gridSpan w:val="3"/>
            <w:tcBorders>
              <w:tl2br w:val="nil"/>
              <w:tr2bl w:val="nil"/>
            </w:tcBorders>
            <w:vAlign w:val="center"/>
          </w:tcPr>
          <w:p w14:paraId="2BCCE95E">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28A9CE73">
      <w:pPr>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《符合性审查标准》</w:t>
      </w:r>
      <w:bookmarkEnd w:id="33"/>
    </w:p>
    <w:tbl>
      <w:tblPr>
        <w:tblStyle w:val="42"/>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66"/>
        <w:gridCol w:w="6683"/>
        <w:gridCol w:w="1047"/>
      </w:tblGrid>
      <w:tr w14:paraId="1A755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5" w:hRule="atLeast"/>
          <w:jc w:val="center"/>
        </w:trPr>
        <w:tc>
          <w:tcPr>
            <w:tcW w:w="341" w:type="pct"/>
            <w:tcBorders>
              <w:tl2br w:val="nil"/>
              <w:tr2bl w:val="nil"/>
            </w:tcBorders>
            <w:vAlign w:val="center"/>
          </w:tcPr>
          <w:p w14:paraId="347FB060">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序号</w:t>
            </w:r>
          </w:p>
        </w:tc>
        <w:tc>
          <w:tcPr>
            <w:tcW w:w="4028" w:type="pct"/>
            <w:tcBorders>
              <w:tl2br w:val="nil"/>
              <w:tr2bl w:val="nil"/>
            </w:tcBorders>
            <w:vAlign w:val="center"/>
          </w:tcPr>
          <w:p w14:paraId="11D627D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审查要求</w:t>
            </w:r>
          </w:p>
        </w:tc>
        <w:tc>
          <w:tcPr>
            <w:tcW w:w="630" w:type="pct"/>
            <w:tcBorders>
              <w:tl2br w:val="nil"/>
              <w:tr2bl w:val="nil"/>
            </w:tcBorders>
            <w:vAlign w:val="center"/>
          </w:tcPr>
          <w:p w14:paraId="65B9E508">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要求说明</w:t>
            </w:r>
          </w:p>
        </w:tc>
      </w:tr>
      <w:tr w14:paraId="1E6ED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7C62D2BD">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w:t>
            </w:r>
          </w:p>
        </w:tc>
        <w:tc>
          <w:tcPr>
            <w:tcW w:w="4028" w:type="pct"/>
            <w:tcBorders>
              <w:tl2br w:val="nil"/>
              <w:tr2bl w:val="nil"/>
            </w:tcBorders>
            <w:vAlign w:val="center"/>
          </w:tcPr>
          <w:p w14:paraId="36C2371C">
            <w:pPr>
              <w:widowControl/>
              <w:shd w:val="clear" w:color="auto" w:fill="FFFFFF"/>
              <w:snapToGrid w:val="0"/>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lang w:val="en-US" w:eastAsia="zh-CN"/>
              </w:rPr>
              <w:t>投标文件</w:t>
            </w:r>
            <w:r>
              <w:rPr>
                <w:rFonts w:hint="eastAsia" w:ascii="仿宋" w:hAnsi="仿宋" w:eastAsia="仿宋" w:cs="仿宋"/>
                <w:sz w:val="24"/>
                <w:szCs w:val="24"/>
                <w:highlight w:val="none"/>
                <w:shd w:val="clear" w:color="auto" w:fill="FFFFFF" w:themeFill="background1"/>
              </w:rPr>
              <w:t>必须按照</w:t>
            </w:r>
            <w:r>
              <w:rPr>
                <w:rFonts w:hint="eastAsia" w:ascii="仿宋" w:hAnsi="仿宋" w:eastAsia="仿宋" w:cs="仿宋"/>
                <w:sz w:val="24"/>
                <w:szCs w:val="24"/>
                <w:highlight w:val="none"/>
                <w:shd w:val="clear" w:color="auto" w:fill="FFFFFF" w:themeFill="background1"/>
                <w:lang w:val="en-US" w:eastAsia="zh-CN"/>
              </w:rPr>
              <w:t>招标</w:t>
            </w:r>
            <w:r>
              <w:rPr>
                <w:rFonts w:hint="eastAsia" w:ascii="仿宋" w:hAnsi="仿宋" w:eastAsia="仿宋" w:cs="仿宋"/>
                <w:sz w:val="24"/>
                <w:szCs w:val="24"/>
                <w:highlight w:val="none"/>
                <w:shd w:val="clear" w:color="auto" w:fill="FFFFFF" w:themeFill="background1"/>
              </w:rPr>
              <w:t>文件规定要求加盖</w:t>
            </w:r>
            <w:r>
              <w:rPr>
                <w:rFonts w:hint="eastAsia" w:ascii="仿宋" w:hAnsi="仿宋" w:eastAsia="仿宋" w:cs="仿宋"/>
                <w:sz w:val="24"/>
                <w:szCs w:val="24"/>
                <w:highlight w:val="none"/>
                <w:shd w:val="clear" w:color="auto" w:fill="FFFFFF" w:themeFill="background1"/>
                <w:lang w:val="en-US" w:eastAsia="zh-CN"/>
              </w:rPr>
              <w:t>投标人</w:t>
            </w:r>
            <w:r>
              <w:rPr>
                <w:rFonts w:hint="eastAsia" w:ascii="仿宋" w:hAnsi="仿宋" w:eastAsia="仿宋" w:cs="仿宋"/>
                <w:sz w:val="24"/>
                <w:szCs w:val="24"/>
                <w:highlight w:val="none"/>
                <w:shd w:val="clear" w:color="auto" w:fill="FFFFFF" w:themeFill="background1"/>
              </w:rPr>
              <w:t>、法定代表人电子印章；</w:t>
            </w:r>
          </w:p>
        </w:tc>
        <w:tc>
          <w:tcPr>
            <w:tcW w:w="630" w:type="pct"/>
            <w:tcBorders>
              <w:tl2br w:val="nil"/>
              <w:tr2bl w:val="nil"/>
            </w:tcBorders>
            <w:vAlign w:val="center"/>
          </w:tcPr>
          <w:p w14:paraId="3C97912B">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06D660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57F01AAE">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2</w:t>
            </w:r>
          </w:p>
        </w:tc>
        <w:tc>
          <w:tcPr>
            <w:tcW w:w="4028" w:type="pct"/>
            <w:tcBorders>
              <w:tl2br w:val="nil"/>
              <w:tr2bl w:val="nil"/>
            </w:tcBorders>
            <w:vAlign w:val="center"/>
          </w:tcPr>
          <w:p w14:paraId="35CD709E">
            <w:pPr>
              <w:widowControl/>
              <w:shd w:val="clear" w:color="auto" w:fill="FFFFFF"/>
              <w:snapToGrid w:val="0"/>
              <w:spacing w:line="360" w:lineRule="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项目负责人简历表必须提供；</w:t>
            </w:r>
          </w:p>
        </w:tc>
        <w:tc>
          <w:tcPr>
            <w:tcW w:w="630" w:type="pct"/>
            <w:tcBorders>
              <w:tl2br w:val="nil"/>
              <w:tr2bl w:val="nil"/>
            </w:tcBorders>
            <w:vAlign w:val="center"/>
          </w:tcPr>
          <w:p w14:paraId="11364868">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74E8B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651275C">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3</w:t>
            </w:r>
          </w:p>
        </w:tc>
        <w:tc>
          <w:tcPr>
            <w:tcW w:w="4028" w:type="pct"/>
            <w:tcBorders>
              <w:tl2br w:val="nil"/>
              <w:tr2bl w:val="nil"/>
            </w:tcBorders>
            <w:vAlign w:val="center"/>
          </w:tcPr>
          <w:p w14:paraId="0A7A3D79">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rPr>
              <w:t>拟派本项目主要服务人员情况表必须提供；</w:t>
            </w:r>
          </w:p>
        </w:tc>
        <w:tc>
          <w:tcPr>
            <w:tcW w:w="630" w:type="pct"/>
            <w:tcBorders>
              <w:tl2br w:val="nil"/>
              <w:tr2bl w:val="nil"/>
            </w:tcBorders>
            <w:vAlign w:val="center"/>
          </w:tcPr>
          <w:p w14:paraId="1235E06F">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26E7D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6D35CF7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4</w:t>
            </w:r>
          </w:p>
        </w:tc>
        <w:tc>
          <w:tcPr>
            <w:tcW w:w="4028" w:type="pct"/>
            <w:tcBorders>
              <w:tl2br w:val="nil"/>
              <w:tr2bl w:val="nil"/>
            </w:tcBorders>
            <w:vAlign w:val="center"/>
          </w:tcPr>
          <w:p w14:paraId="492FAF88">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rPr>
              <w:t>服务周期必须满足</w:t>
            </w:r>
            <w:r>
              <w:rPr>
                <w:rFonts w:hint="eastAsia" w:ascii="仿宋" w:hAnsi="仿宋" w:eastAsia="仿宋" w:cs="仿宋"/>
                <w:kern w:val="0"/>
                <w:sz w:val="24"/>
                <w:szCs w:val="24"/>
                <w:highlight w:val="none"/>
                <w:lang w:val="en-US" w:eastAsia="zh-CN"/>
              </w:rPr>
              <w:t>招标</w:t>
            </w:r>
            <w:r>
              <w:rPr>
                <w:rFonts w:hint="eastAsia" w:ascii="仿宋" w:hAnsi="仿宋" w:eastAsia="仿宋" w:cs="仿宋"/>
                <w:kern w:val="0"/>
                <w:sz w:val="24"/>
                <w:szCs w:val="24"/>
                <w:highlight w:val="none"/>
              </w:rPr>
              <w:t>文件要求；</w:t>
            </w:r>
          </w:p>
        </w:tc>
        <w:tc>
          <w:tcPr>
            <w:tcW w:w="630" w:type="pct"/>
            <w:tcBorders>
              <w:tl2br w:val="nil"/>
              <w:tr2bl w:val="nil"/>
            </w:tcBorders>
            <w:vAlign w:val="center"/>
          </w:tcPr>
          <w:p w14:paraId="69E3360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01AF8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9593D88">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5</w:t>
            </w:r>
          </w:p>
        </w:tc>
        <w:tc>
          <w:tcPr>
            <w:tcW w:w="4028" w:type="pct"/>
            <w:tcBorders>
              <w:tl2br w:val="nil"/>
              <w:tr2bl w:val="nil"/>
            </w:tcBorders>
            <w:vAlign w:val="center"/>
          </w:tcPr>
          <w:p w14:paraId="41F04586">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lang w:val="en-US" w:eastAsia="zh-CN"/>
              </w:rPr>
              <w:t>投标</w:t>
            </w:r>
            <w:r>
              <w:rPr>
                <w:rFonts w:hint="eastAsia" w:ascii="仿宋" w:hAnsi="仿宋" w:eastAsia="仿宋" w:cs="仿宋"/>
                <w:kern w:val="0"/>
                <w:sz w:val="24"/>
                <w:szCs w:val="24"/>
                <w:highlight w:val="none"/>
              </w:rPr>
              <w:t>价格不得超过</w:t>
            </w:r>
            <w:r>
              <w:rPr>
                <w:rFonts w:hint="eastAsia" w:ascii="仿宋" w:hAnsi="仿宋" w:eastAsia="仿宋" w:cs="仿宋"/>
                <w:kern w:val="0"/>
                <w:sz w:val="24"/>
                <w:szCs w:val="24"/>
                <w:highlight w:val="none"/>
                <w:lang w:val="en-US" w:eastAsia="zh-CN"/>
              </w:rPr>
              <w:t>投标人</w:t>
            </w:r>
            <w:r>
              <w:rPr>
                <w:rFonts w:hint="eastAsia" w:ascii="仿宋" w:hAnsi="仿宋" w:eastAsia="仿宋" w:cs="仿宋"/>
                <w:kern w:val="0"/>
                <w:sz w:val="24"/>
                <w:szCs w:val="24"/>
                <w:highlight w:val="none"/>
              </w:rPr>
              <w:t>须知前附表中的采购预算金额；</w:t>
            </w:r>
          </w:p>
        </w:tc>
        <w:tc>
          <w:tcPr>
            <w:tcW w:w="630" w:type="pct"/>
            <w:tcBorders>
              <w:tl2br w:val="nil"/>
              <w:tr2bl w:val="nil"/>
            </w:tcBorders>
            <w:vAlign w:val="center"/>
          </w:tcPr>
          <w:p w14:paraId="4DA150C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65E6CD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37F1673">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6</w:t>
            </w:r>
          </w:p>
        </w:tc>
        <w:tc>
          <w:tcPr>
            <w:tcW w:w="4028" w:type="pct"/>
            <w:tcBorders>
              <w:tl2br w:val="nil"/>
              <w:tr2bl w:val="nil"/>
            </w:tcBorders>
          </w:tcPr>
          <w:p w14:paraId="646B4C6C">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lang w:val="en-US" w:eastAsia="zh-CN"/>
              </w:rPr>
              <w:t>投标</w:t>
            </w:r>
            <w:r>
              <w:rPr>
                <w:rFonts w:hint="eastAsia" w:ascii="仿宋" w:hAnsi="仿宋" w:eastAsia="仿宋" w:cs="仿宋"/>
                <w:kern w:val="0"/>
                <w:sz w:val="24"/>
                <w:szCs w:val="24"/>
                <w:highlight w:val="none"/>
              </w:rPr>
              <w:t>文件没有不符合</w:t>
            </w:r>
            <w:r>
              <w:rPr>
                <w:rFonts w:hint="eastAsia" w:ascii="仿宋" w:hAnsi="仿宋" w:eastAsia="仿宋" w:cs="仿宋"/>
                <w:kern w:val="0"/>
                <w:sz w:val="24"/>
                <w:szCs w:val="24"/>
                <w:highlight w:val="none"/>
                <w:lang w:val="en-US" w:eastAsia="zh-CN"/>
              </w:rPr>
              <w:t>招标</w:t>
            </w:r>
            <w:r>
              <w:rPr>
                <w:rFonts w:hint="eastAsia" w:ascii="仿宋" w:hAnsi="仿宋" w:eastAsia="仿宋" w:cs="仿宋"/>
                <w:kern w:val="0"/>
                <w:sz w:val="24"/>
                <w:szCs w:val="24"/>
                <w:highlight w:val="none"/>
              </w:rPr>
              <w:t>文件实质性要求的。</w:t>
            </w:r>
          </w:p>
        </w:tc>
        <w:tc>
          <w:tcPr>
            <w:tcW w:w="630" w:type="pct"/>
            <w:tcBorders>
              <w:tl2br w:val="nil"/>
              <w:tr2bl w:val="nil"/>
            </w:tcBorders>
            <w:vAlign w:val="center"/>
          </w:tcPr>
          <w:p w14:paraId="3825679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26B9A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 w:hRule="atLeast"/>
          <w:jc w:val="center"/>
        </w:trPr>
        <w:tc>
          <w:tcPr>
            <w:tcW w:w="5000" w:type="pct"/>
            <w:gridSpan w:val="3"/>
            <w:tcBorders>
              <w:tl2br w:val="nil"/>
              <w:tr2bl w:val="nil"/>
            </w:tcBorders>
            <w:vAlign w:val="center"/>
          </w:tcPr>
          <w:p w14:paraId="3C97FB1E">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符合性审查中有一项不满足评审标准的，评标委员会将认定该投标人不通过符合性审查，不得进入下一阶段评审。并且不允许投标人通过修改或撤销其不符合要求的差异或保留，使之成为具有响应性的投标。</w:t>
            </w:r>
          </w:p>
        </w:tc>
      </w:tr>
    </w:tbl>
    <w:p w14:paraId="2CF1283A">
      <w:pPr>
        <w:spacing w:line="360" w:lineRule="auto"/>
        <w:jc w:val="center"/>
        <w:rPr>
          <w:rFonts w:hint="eastAsia" w:ascii="仿宋" w:hAnsi="仿宋" w:eastAsia="仿宋" w:cs="仿宋"/>
          <w:b/>
          <w:sz w:val="28"/>
          <w:szCs w:val="28"/>
          <w:highlight w:val="none"/>
        </w:rPr>
      </w:pPr>
    </w:p>
    <w:p w14:paraId="081BE18B">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《详细评审标准》</w:t>
      </w:r>
    </w:p>
    <w:tbl>
      <w:tblPr>
        <w:tblStyle w:val="42"/>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2"/>
        <w:gridCol w:w="1054"/>
        <w:gridCol w:w="778"/>
        <w:gridCol w:w="5683"/>
      </w:tblGrid>
      <w:tr w14:paraId="64E12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194" w:type="pct"/>
            <w:gridSpan w:val="2"/>
            <w:tcBorders>
              <w:tl2br w:val="nil"/>
              <w:tr2bl w:val="nil"/>
            </w:tcBorders>
            <w:noWrap w:val="0"/>
            <w:vAlign w:val="center"/>
          </w:tcPr>
          <w:p w14:paraId="08BCCB50">
            <w:pPr>
              <w:spacing w:line="360" w:lineRule="auto"/>
              <w:ind w:right="638" w:rightChars="304"/>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评分因素</w:t>
            </w:r>
          </w:p>
        </w:tc>
        <w:tc>
          <w:tcPr>
            <w:tcW w:w="458" w:type="pct"/>
            <w:tcBorders>
              <w:tl2br w:val="nil"/>
              <w:tr2bl w:val="nil"/>
            </w:tcBorders>
            <w:noWrap w:val="0"/>
            <w:vAlign w:val="center"/>
          </w:tcPr>
          <w:p w14:paraId="0233A1BC">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分值</w:t>
            </w:r>
          </w:p>
        </w:tc>
        <w:tc>
          <w:tcPr>
            <w:tcW w:w="3347" w:type="pct"/>
            <w:tcBorders>
              <w:tl2br w:val="nil"/>
              <w:tr2bl w:val="nil"/>
            </w:tcBorders>
            <w:noWrap w:val="0"/>
            <w:vAlign w:val="center"/>
          </w:tcPr>
          <w:p w14:paraId="758CC2FD">
            <w:pPr>
              <w:spacing w:line="360" w:lineRule="auto"/>
              <w:ind w:right="-31" w:rightChars="-15"/>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评分细则</w:t>
            </w:r>
          </w:p>
        </w:tc>
      </w:tr>
      <w:tr w14:paraId="4F6061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194" w:type="pct"/>
            <w:gridSpan w:val="2"/>
            <w:tcBorders>
              <w:tl2br w:val="nil"/>
              <w:tr2bl w:val="nil"/>
            </w:tcBorders>
            <w:noWrap w:val="0"/>
            <w:vAlign w:val="center"/>
          </w:tcPr>
          <w:p w14:paraId="2F67F50C">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价格部分（</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0分）</w:t>
            </w:r>
          </w:p>
        </w:tc>
        <w:tc>
          <w:tcPr>
            <w:tcW w:w="458" w:type="pct"/>
            <w:tcBorders>
              <w:tl2br w:val="nil"/>
              <w:tr2bl w:val="nil"/>
            </w:tcBorders>
            <w:noWrap w:val="0"/>
            <w:vAlign w:val="center"/>
          </w:tcPr>
          <w:p w14:paraId="2E428707">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0</w:t>
            </w:r>
          </w:p>
        </w:tc>
        <w:tc>
          <w:tcPr>
            <w:tcW w:w="3347" w:type="pct"/>
            <w:tcBorders>
              <w:tl2br w:val="nil"/>
              <w:tr2bl w:val="nil"/>
            </w:tcBorders>
            <w:noWrap w:val="0"/>
            <w:vAlign w:val="center"/>
          </w:tcPr>
          <w:p w14:paraId="49508908">
            <w:pPr>
              <w:pStyle w:val="23"/>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要求且投标价格最低的有效投标报价（即除低于成本报价以外的报价）为评标基准价。其他投标人的价格分统一按照下列公式计算：</w:t>
            </w:r>
          </w:p>
          <w:p w14:paraId="5EC24415">
            <w:pPr>
              <w:pStyle w:val="23"/>
              <w:spacing w:line="360" w:lineRule="auto"/>
              <w:ind w:right="-31" w:rightChars="-15"/>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投标报价得分=（评标基准价/投标报价）×价格满分分值</w:t>
            </w:r>
          </w:p>
        </w:tc>
      </w:tr>
      <w:tr w14:paraId="1054D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73" w:type="pct"/>
            <w:vMerge w:val="restart"/>
            <w:tcBorders>
              <w:tl2br w:val="nil"/>
              <w:tr2bl w:val="nil"/>
            </w:tcBorders>
            <w:noWrap w:val="0"/>
            <w:vAlign w:val="center"/>
          </w:tcPr>
          <w:p w14:paraId="268E618F">
            <w:pPr>
              <w:pStyle w:val="23"/>
              <w:spacing w:line="360" w:lineRule="auto"/>
              <w:ind w:right="-19" w:rightChars="-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620" w:type="pct"/>
            <w:tcBorders>
              <w:tl2br w:val="nil"/>
              <w:tr2bl w:val="nil"/>
            </w:tcBorders>
            <w:noWrap w:val="0"/>
            <w:vAlign w:val="center"/>
          </w:tcPr>
          <w:p w14:paraId="44FB88F4">
            <w:pPr>
              <w:pStyle w:val="23"/>
              <w:spacing w:line="360" w:lineRule="auto"/>
              <w:ind w:right="31" w:rightChars="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类似项目业绩</w:t>
            </w:r>
          </w:p>
        </w:tc>
        <w:tc>
          <w:tcPr>
            <w:tcW w:w="458" w:type="pct"/>
            <w:tcBorders>
              <w:tl2br w:val="nil"/>
              <w:tr2bl w:val="nil"/>
            </w:tcBorders>
            <w:noWrap w:val="0"/>
            <w:vAlign w:val="center"/>
          </w:tcPr>
          <w:p w14:paraId="54F9E0F2">
            <w:pPr>
              <w:pStyle w:val="23"/>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347" w:type="pct"/>
            <w:tcBorders>
              <w:tl2br w:val="nil"/>
              <w:tr2bl w:val="nil"/>
            </w:tcBorders>
            <w:noWrap w:val="0"/>
            <w:vAlign w:val="center"/>
          </w:tcPr>
          <w:p w14:paraId="262DF3E8">
            <w:pPr>
              <w:pStyle w:val="23"/>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投标人近三年（202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月1日-至今）类似</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业绩每提供1份得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分，须提供中标（成交）通知书</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包含首页、关键页、签字盖章页）</w:t>
            </w:r>
          </w:p>
          <w:p w14:paraId="7178846A">
            <w:pPr>
              <w:pStyle w:val="23"/>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注：1.未提供相关证明材料或提供证明材料不全者不得分。</w:t>
            </w:r>
          </w:p>
          <w:p w14:paraId="79CE97AE">
            <w:pPr>
              <w:pStyle w:val="23"/>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2.投标人提供虚假证明材料的，按虚假投标处理。</w:t>
            </w:r>
          </w:p>
        </w:tc>
      </w:tr>
      <w:tr w14:paraId="7CD20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73" w:type="pct"/>
            <w:vMerge w:val="continue"/>
            <w:tcBorders>
              <w:tl2br w:val="nil"/>
              <w:tr2bl w:val="nil"/>
            </w:tcBorders>
            <w:noWrap w:val="0"/>
            <w:vAlign w:val="center"/>
          </w:tcPr>
          <w:p w14:paraId="34283D24">
            <w:pPr>
              <w:pStyle w:val="23"/>
              <w:spacing w:line="360" w:lineRule="auto"/>
              <w:ind w:right="-19" w:rightChars="-9"/>
              <w:jc w:val="center"/>
              <w:rPr>
                <w:rFonts w:hint="eastAsia" w:ascii="仿宋" w:hAnsi="仿宋" w:eastAsia="仿宋" w:cs="仿宋"/>
                <w:color w:val="auto"/>
                <w:sz w:val="24"/>
                <w:szCs w:val="24"/>
                <w:highlight w:val="none"/>
              </w:rPr>
            </w:pPr>
          </w:p>
        </w:tc>
        <w:tc>
          <w:tcPr>
            <w:tcW w:w="620" w:type="pct"/>
            <w:tcBorders>
              <w:tl2br w:val="nil"/>
              <w:tr2bl w:val="nil"/>
            </w:tcBorders>
            <w:shd w:val="clear" w:color="auto" w:fill="auto"/>
            <w:noWrap w:val="0"/>
            <w:vAlign w:val="center"/>
          </w:tcPr>
          <w:p w14:paraId="5BDEEECF">
            <w:pPr>
              <w:pStyle w:val="18"/>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olor w:val="auto"/>
                <w:kern w:val="0"/>
                <w:sz w:val="24"/>
                <w:szCs w:val="24"/>
                <w:highlight w:val="none"/>
              </w:rPr>
              <w:t>相关仪器设备</w:t>
            </w:r>
          </w:p>
        </w:tc>
        <w:tc>
          <w:tcPr>
            <w:tcW w:w="458" w:type="pct"/>
            <w:tcBorders>
              <w:tl2br w:val="nil"/>
              <w:tr2bl w:val="nil"/>
            </w:tcBorders>
            <w:shd w:val="clear" w:color="auto" w:fill="auto"/>
            <w:noWrap w:val="0"/>
            <w:vAlign w:val="center"/>
          </w:tcPr>
          <w:p w14:paraId="315EAF10">
            <w:pPr>
              <w:pStyle w:val="23"/>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8</w:t>
            </w:r>
          </w:p>
        </w:tc>
        <w:tc>
          <w:tcPr>
            <w:tcW w:w="3347" w:type="pct"/>
            <w:tcBorders>
              <w:tl2br w:val="nil"/>
              <w:tr2bl w:val="nil"/>
            </w:tcBorders>
            <w:shd w:val="clear" w:color="auto" w:fill="auto"/>
            <w:noWrap w:val="0"/>
            <w:vAlign w:val="center"/>
          </w:tcPr>
          <w:p w14:paraId="64C319B8">
            <w:pPr>
              <w:keepNext w:val="0"/>
              <w:keepLines w:val="0"/>
              <w:widowControl/>
              <w:suppressLineNumbers w:val="0"/>
              <w:spacing w:before="0" w:beforeAutospacing="0" w:after="0" w:afterAutospacing="0" w:line="360" w:lineRule="auto"/>
              <w:ind w:left="0" w:leftChars="0" w:right="0" w:rightChars="0"/>
              <w:jc w:val="left"/>
              <w:textAlignment w:val="top"/>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rPr>
              <w:t>满足本</w:t>
            </w:r>
            <w:r>
              <w:rPr>
                <w:rFonts w:hint="eastAsia" w:ascii="仿宋" w:hAnsi="仿宋" w:eastAsia="仿宋"/>
                <w:color w:val="auto"/>
                <w:kern w:val="0"/>
                <w:sz w:val="24"/>
                <w:szCs w:val="24"/>
                <w:highlight w:val="none"/>
                <w:lang w:val="en-US" w:eastAsia="zh-CN"/>
              </w:rPr>
              <w:t>项目</w:t>
            </w:r>
            <w:r>
              <w:rPr>
                <w:rFonts w:hint="eastAsia" w:ascii="仿宋" w:hAnsi="仿宋" w:eastAsia="仿宋"/>
                <w:color w:val="auto"/>
                <w:kern w:val="0"/>
                <w:sz w:val="24"/>
                <w:szCs w:val="24"/>
                <w:highlight w:val="none"/>
              </w:rPr>
              <w:t>各项要求</w:t>
            </w:r>
            <w:r>
              <w:rPr>
                <w:rFonts w:hint="eastAsia" w:ascii="仿宋" w:hAnsi="仿宋" w:eastAsia="仿宋"/>
                <w:color w:val="auto"/>
                <w:kern w:val="0"/>
                <w:sz w:val="24"/>
                <w:szCs w:val="24"/>
                <w:highlight w:val="none"/>
                <w:lang w:val="en-US" w:eastAsia="zh-CN"/>
              </w:rPr>
              <w:t>的物探相关仪器设备，每提供一种与本项目服务有关的物探相关仪器设备得4分，最高得8分。</w:t>
            </w:r>
          </w:p>
          <w:p w14:paraId="5F63ED34">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注：须提供</w:t>
            </w:r>
            <w:r>
              <w:rPr>
                <w:rFonts w:hint="eastAsia" w:ascii="仿宋" w:hAnsi="仿宋" w:eastAsia="仿宋" w:cs="仿宋"/>
                <w:color w:val="auto"/>
                <w:sz w:val="24"/>
                <w:szCs w:val="24"/>
                <w:highlight w:val="none"/>
                <w:lang w:val="en-US" w:eastAsia="zh-CN"/>
              </w:rPr>
              <w:t>购买凭证（如购置发票或合同等）或租赁合同、</w:t>
            </w:r>
            <w:r>
              <w:rPr>
                <w:rFonts w:hint="eastAsia" w:ascii="仿宋" w:hAnsi="仿宋" w:eastAsia="仿宋"/>
                <w:color w:val="auto"/>
                <w:kern w:val="0"/>
                <w:sz w:val="24"/>
                <w:szCs w:val="24"/>
                <w:highlight w:val="none"/>
                <w:lang w:val="en-US" w:eastAsia="zh-CN"/>
              </w:rPr>
              <w:t>设备</w:t>
            </w:r>
            <w:r>
              <w:rPr>
                <w:rFonts w:hint="eastAsia" w:ascii="仿宋" w:hAnsi="仿宋" w:eastAsia="仿宋" w:cs="仿宋"/>
                <w:color w:val="auto"/>
                <w:sz w:val="24"/>
                <w:szCs w:val="24"/>
                <w:highlight w:val="none"/>
                <w:lang w:val="en-US" w:eastAsia="zh-CN"/>
              </w:rPr>
              <w:t>照片、设备清单</w:t>
            </w:r>
            <w:r>
              <w:rPr>
                <w:rFonts w:hint="eastAsia" w:ascii="仿宋" w:hAnsi="仿宋" w:eastAsia="仿宋" w:cs="仿宋"/>
                <w:color w:val="auto"/>
                <w:sz w:val="24"/>
                <w:szCs w:val="24"/>
                <w:highlight w:val="none"/>
                <w:lang w:eastAsia="zh-CN"/>
              </w:rPr>
              <w:t>。</w:t>
            </w:r>
          </w:p>
        </w:tc>
      </w:tr>
      <w:tr w14:paraId="5922EE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73" w:type="pct"/>
            <w:vMerge w:val="continue"/>
            <w:tcBorders>
              <w:tl2br w:val="nil"/>
              <w:tr2bl w:val="nil"/>
            </w:tcBorders>
            <w:noWrap w:val="0"/>
            <w:vAlign w:val="center"/>
          </w:tcPr>
          <w:p w14:paraId="54E0B207">
            <w:pPr>
              <w:pStyle w:val="23"/>
              <w:spacing w:line="360" w:lineRule="auto"/>
              <w:ind w:right="-19" w:rightChars="-9"/>
              <w:jc w:val="center"/>
              <w:rPr>
                <w:rFonts w:hint="eastAsia" w:ascii="仿宋" w:hAnsi="仿宋" w:eastAsia="仿宋" w:cs="仿宋"/>
                <w:color w:val="auto"/>
                <w:sz w:val="24"/>
                <w:szCs w:val="24"/>
                <w:highlight w:val="none"/>
              </w:rPr>
            </w:pPr>
          </w:p>
        </w:tc>
        <w:tc>
          <w:tcPr>
            <w:tcW w:w="620" w:type="pct"/>
            <w:tcBorders>
              <w:tl2br w:val="nil"/>
              <w:tr2bl w:val="nil"/>
            </w:tcBorders>
            <w:noWrap w:val="0"/>
            <w:vAlign w:val="center"/>
          </w:tcPr>
          <w:p w14:paraId="411120CA">
            <w:pPr>
              <w:pStyle w:val="18"/>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项目拟派团队</w:t>
            </w:r>
          </w:p>
        </w:tc>
        <w:tc>
          <w:tcPr>
            <w:tcW w:w="458" w:type="pct"/>
            <w:tcBorders>
              <w:tl2br w:val="nil"/>
              <w:tr2bl w:val="nil"/>
            </w:tcBorders>
            <w:noWrap w:val="0"/>
            <w:vAlign w:val="center"/>
          </w:tcPr>
          <w:p w14:paraId="40B7F572">
            <w:pPr>
              <w:pStyle w:val="23"/>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3347" w:type="pct"/>
            <w:tcBorders>
              <w:tl2br w:val="nil"/>
              <w:tr2bl w:val="nil"/>
            </w:tcBorders>
            <w:noWrap w:val="0"/>
            <w:vAlign w:val="center"/>
          </w:tcPr>
          <w:p w14:paraId="4227C414">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1.项目负责人具备地质相关专业高级职称，得5分；具备地质相关专业中级职称，得3分；中级以下或专业不符不得分。</w:t>
            </w:r>
          </w:p>
          <w:p w14:paraId="08378CCF">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2.项目拟派团队（不含项目负责人）中，每提供1名地质相关专业中级及以上职称人员，加1分。本项最高得5分。</w:t>
            </w:r>
          </w:p>
          <w:p w14:paraId="4EE107B6">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注：提供由投标人为其缴纳的近三个月内任意一月的社保缴纳证明或有效期内的劳动合同（或劳务协议）复印件，身份证及职称证书复印件，不提供不得分）</w:t>
            </w:r>
          </w:p>
        </w:tc>
      </w:tr>
      <w:tr w14:paraId="634224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73" w:type="pct"/>
            <w:vMerge w:val="restart"/>
            <w:tcBorders>
              <w:tl2br w:val="nil"/>
              <w:tr2bl w:val="nil"/>
            </w:tcBorders>
            <w:noWrap w:val="0"/>
            <w:vAlign w:val="center"/>
          </w:tcPr>
          <w:p w14:paraId="62D988BB">
            <w:pPr>
              <w:widowControl/>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部分(</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分)</w:t>
            </w:r>
          </w:p>
        </w:tc>
        <w:tc>
          <w:tcPr>
            <w:tcW w:w="620" w:type="pct"/>
            <w:tcBorders>
              <w:tl2br w:val="nil"/>
              <w:tr2bl w:val="nil"/>
            </w:tcBorders>
            <w:noWrap w:val="0"/>
            <w:vAlign w:val="center"/>
          </w:tcPr>
          <w:p w14:paraId="66043E50">
            <w:pPr>
              <w:pStyle w:val="23"/>
              <w:spacing w:line="360" w:lineRule="auto"/>
              <w:ind w:right="31" w:rightChars="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实施方案</w:t>
            </w:r>
          </w:p>
        </w:tc>
        <w:tc>
          <w:tcPr>
            <w:tcW w:w="458" w:type="pct"/>
            <w:tcBorders>
              <w:tl2br w:val="nil"/>
              <w:tr2bl w:val="nil"/>
            </w:tcBorders>
            <w:noWrap w:val="0"/>
            <w:vAlign w:val="center"/>
          </w:tcPr>
          <w:p w14:paraId="4A562D87">
            <w:pPr>
              <w:pStyle w:val="23"/>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3347" w:type="pct"/>
            <w:tcBorders>
              <w:tl2br w:val="nil"/>
              <w:tr2bl w:val="nil"/>
            </w:tcBorders>
            <w:noWrap w:val="0"/>
            <w:vAlign w:val="center"/>
          </w:tcPr>
          <w:p w14:paraId="2C81F465">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提供详细的项目实施方案包括：</w:t>
            </w: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项目前期资料收集及物资准备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②项目整体情况分析；③项目重点难点分析及解决方案；④数据采集目标;⑤组织架构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⑥数据处理与解释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⑦</w:t>
            </w:r>
            <w:r>
              <w:rPr>
                <w:rFonts w:hint="eastAsia" w:ascii="仿宋" w:hAnsi="仿宋" w:eastAsia="仿宋" w:cs="仿宋"/>
                <w:color w:val="auto"/>
                <w:sz w:val="24"/>
                <w:szCs w:val="24"/>
                <w:highlight w:val="none"/>
                <w:lang w:eastAsia="zh-CN"/>
              </w:rPr>
              <w:t>安全管理措施；</w:t>
            </w:r>
            <w:r>
              <w:rPr>
                <w:rFonts w:hint="eastAsia" w:ascii="仿宋" w:hAnsi="仿宋" w:eastAsia="仿宋" w:cs="仿宋"/>
                <w:color w:val="auto"/>
                <w:sz w:val="24"/>
                <w:szCs w:val="24"/>
                <w:highlight w:val="none"/>
                <w:lang w:val="en-US" w:eastAsia="zh-CN"/>
              </w:rPr>
              <w:t>⑧</w:t>
            </w:r>
            <w:r>
              <w:rPr>
                <w:rFonts w:hint="eastAsia" w:ascii="仿宋" w:hAnsi="仿宋" w:eastAsia="仿宋" w:cs="仿宋"/>
                <w:color w:val="auto"/>
                <w:sz w:val="24"/>
                <w:szCs w:val="24"/>
                <w:highlight w:val="none"/>
                <w:lang w:eastAsia="zh-CN"/>
              </w:rPr>
              <w:t>数据的产出标准和</w:t>
            </w:r>
            <w:r>
              <w:rPr>
                <w:rFonts w:hint="eastAsia" w:ascii="仿宋" w:hAnsi="仿宋" w:eastAsia="仿宋" w:cs="仿宋"/>
                <w:color w:val="auto"/>
                <w:sz w:val="24"/>
                <w:szCs w:val="24"/>
                <w:highlight w:val="none"/>
                <w:lang w:val="en-US" w:eastAsia="zh-CN"/>
              </w:rPr>
              <w:t>质量及预期成果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部分要素</w:t>
            </w:r>
            <w:r>
              <w:rPr>
                <w:rFonts w:hint="eastAsia" w:ascii="仿宋" w:hAnsi="仿宋" w:eastAsia="仿宋" w:cs="仿宋"/>
                <w:color w:val="auto"/>
                <w:sz w:val="24"/>
                <w:szCs w:val="24"/>
                <w:highlight w:val="none"/>
              </w:rPr>
              <w:t>。</w:t>
            </w:r>
          </w:p>
          <w:p w14:paraId="3F311EBD">
            <w:pPr>
              <w:pStyle w:val="23"/>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所有要素齐全且完全满足项目要求得</w:t>
            </w: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分;每缺少一项内容的扣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分;每有一处缺陷的扣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分;扣完为止，未提供不得分。(缺陷是指:存在不适用该项目实际情况的情形、凭空编造、内容前后不一致、前后逻辑错误、涉及的规范及标准错误、地点区域错误、内容缺失、不符合采购需求的任意一项)</w:t>
            </w:r>
          </w:p>
        </w:tc>
      </w:tr>
      <w:tr w14:paraId="41BEAD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73" w:type="pct"/>
            <w:vMerge w:val="continue"/>
            <w:tcBorders>
              <w:tl2br w:val="nil"/>
              <w:tr2bl w:val="nil"/>
            </w:tcBorders>
            <w:noWrap w:val="0"/>
            <w:vAlign w:val="center"/>
          </w:tcPr>
          <w:p w14:paraId="56875CAC">
            <w:pPr>
              <w:widowControl/>
              <w:spacing w:line="360" w:lineRule="auto"/>
              <w:jc w:val="left"/>
              <w:rPr>
                <w:rFonts w:hint="eastAsia" w:ascii="仿宋" w:hAnsi="仿宋" w:eastAsia="仿宋" w:cs="仿宋"/>
                <w:color w:val="auto"/>
                <w:sz w:val="24"/>
                <w:szCs w:val="24"/>
                <w:highlight w:val="none"/>
              </w:rPr>
            </w:pPr>
          </w:p>
        </w:tc>
        <w:tc>
          <w:tcPr>
            <w:tcW w:w="620" w:type="pct"/>
            <w:tcBorders>
              <w:tl2br w:val="nil"/>
              <w:tr2bl w:val="nil"/>
            </w:tcBorders>
            <w:noWrap w:val="0"/>
            <w:vAlign w:val="center"/>
          </w:tcPr>
          <w:p w14:paraId="6F2A4C54">
            <w:pPr>
              <w:pStyle w:val="23"/>
              <w:spacing w:line="360" w:lineRule="auto"/>
              <w:ind w:right="31" w:rightChars="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进度计划保障措施</w:t>
            </w:r>
          </w:p>
        </w:tc>
        <w:tc>
          <w:tcPr>
            <w:tcW w:w="458" w:type="pct"/>
            <w:tcBorders>
              <w:tl2br w:val="nil"/>
              <w:tr2bl w:val="nil"/>
            </w:tcBorders>
            <w:noWrap w:val="0"/>
            <w:vAlign w:val="center"/>
          </w:tcPr>
          <w:p w14:paraId="35A8A4E3">
            <w:pPr>
              <w:pStyle w:val="23"/>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3347" w:type="pct"/>
            <w:tcBorders>
              <w:tl2br w:val="nil"/>
              <w:tr2bl w:val="nil"/>
            </w:tcBorders>
            <w:noWrap w:val="0"/>
            <w:vAlign w:val="top"/>
          </w:tcPr>
          <w:p w14:paraId="765E69A5">
            <w:pPr>
              <w:pStyle w:val="23"/>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提供详细进度计划保障措施</w:t>
            </w:r>
            <w:r>
              <w:rPr>
                <w:rFonts w:hint="eastAsia" w:ascii="仿宋" w:hAnsi="仿宋" w:eastAsia="仿宋" w:cs="仿宋"/>
                <w:color w:val="auto"/>
                <w:sz w:val="24"/>
                <w:szCs w:val="24"/>
                <w:highlight w:val="none"/>
                <w:lang w:val="en-US" w:eastAsia="zh-CN"/>
              </w:rPr>
              <w:t>包括:①</w:t>
            </w:r>
            <w:r>
              <w:rPr>
                <w:rFonts w:hint="eastAsia" w:ascii="仿宋" w:hAnsi="仿宋" w:eastAsia="仿宋" w:cs="仿宋"/>
                <w:color w:val="auto"/>
                <w:sz w:val="24"/>
                <w:szCs w:val="24"/>
                <w:highlight w:val="none"/>
              </w:rPr>
              <w:t>项目实施的</w:t>
            </w:r>
            <w:r>
              <w:rPr>
                <w:rFonts w:hint="eastAsia" w:ascii="仿宋" w:hAnsi="仿宋" w:eastAsia="仿宋" w:cs="仿宋"/>
                <w:color w:val="auto"/>
                <w:sz w:val="24"/>
                <w:szCs w:val="24"/>
                <w:highlight w:val="none"/>
                <w:lang w:val="zh-CN"/>
              </w:rPr>
              <w:t>任务划分；</w:t>
            </w: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val="zh-CN"/>
              </w:rPr>
              <w:t>关键时间节点把握；</w:t>
            </w: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提供进度计划保障措施，</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部分要素。</w:t>
            </w:r>
          </w:p>
          <w:p w14:paraId="6DD60F7C">
            <w:pPr>
              <w:pStyle w:val="23"/>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所有要素齐全且完全满足项目要求得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分;每缺少一项内容的扣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分;每有一处缺陷的扣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分;扣完为止，未提供不得分。(缺陷是指:存在不适用该项目实际情况的情形、凭空编造、内容前后不一致、前后逻辑错误、涉及的规范及标准错误、地点区域错误、内容缺失、不符合采购需求的任意一项)</w:t>
            </w:r>
          </w:p>
        </w:tc>
      </w:tr>
      <w:tr w14:paraId="47A3E6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73" w:type="pct"/>
            <w:vMerge w:val="continue"/>
            <w:tcBorders>
              <w:tl2br w:val="nil"/>
              <w:tr2bl w:val="nil"/>
            </w:tcBorders>
            <w:noWrap w:val="0"/>
            <w:vAlign w:val="center"/>
          </w:tcPr>
          <w:p w14:paraId="147EDE92">
            <w:pPr>
              <w:widowControl/>
              <w:spacing w:line="360" w:lineRule="auto"/>
              <w:jc w:val="left"/>
              <w:rPr>
                <w:rFonts w:hint="eastAsia" w:ascii="仿宋" w:hAnsi="仿宋" w:eastAsia="仿宋" w:cs="仿宋"/>
                <w:color w:val="auto"/>
                <w:sz w:val="24"/>
                <w:szCs w:val="24"/>
                <w:highlight w:val="none"/>
              </w:rPr>
            </w:pPr>
          </w:p>
        </w:tc>
        <w:tc>
          <w:tcPr>
            <w:tcW w:w="620" w:type="pct"/>
            <w:tcBorders>
              <w:tl2br w:val="nil"/>
              <w:tr2bl w:val="nil"/>
            </w:tcBorders>
            <w:noWrap w:val="0"/>
            <w:vAlign w:val="center"/>
          </w:tcPr>
          <w:p w14:paraId="37DC82FC">
            <w:pPr>
              <w:pStyle w:val="23"/>
              <w:spacing w:line="360" w:lineRule="auto"/>
              <w:ind w:right="31" w:rightChars="15"/>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服务质量控制措施</w:t>
            </w:r>
          </w:p>
        </w:tc>
        <w:tc>
          <w:tcPr>
            <w:tcW w:w="458" w:type="pct"/>
            <w:tcBorders>
              <w:tl2br w:val="nil"/>
              <w:tr2bl w:val="nil"/>
            </w:tcBorders>
            <w:noWrap w:val="0"/>
            <w:vAlign w:val="center"/>
          </w:tcPr>
          <w:p w14:paraId="327DEECA">
            <w:pPr>
              <w:pStyle w:val="23"/>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w:t>
            </w:r>
          </w:p>
        </w:tc>
        <w:tc>
          <w:tcPr>
            <w:tcW w:w="3347" w:type="pct"/>
            <w:tcBorders>
              <w:tl2br w:val="nil"/>
              <w:tr2bl w:val="nil"/>
            </w:tcBorders>
            <w:noWrap w:val="0"/>
            <w:vAlign w:val="center"/>
          </w:tcPr>
          <w:p w14:paraId="48301971">
            <w:pPr>
              <w:pStyle w:val="23"/>
              <w:spacing w:line="360" w:lineRule="auto"/>
              <w:ind w:right="-31" w:rightChars="-1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服务质量控制措施包括但不限于：①质量管理组织机构；②团队人员职责分工；③成果质量保证措施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④</w:t>
            </w:r>
            <w:r>
              <w:rPr>
                <w:rFonts w:hint="eastAsia" w:ascii="仿宋" w:hAnsi="仿宋" w:eastAsia="仿宋" w:cs="仿宋"/>
                <w:color w:val="auto"/>
                <w:sz w:val="24"/>
                <w:szCs w:val="24"/>
                <w:highlight w:val="none"/>
                <w:lang w:val="en-US" w:eastAsia="zh-CN"/>
              </w:rPr>
              <w:t>仪器设备校准及环境控制情况</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部分要素</w:t>
            </w:r>
            <w:r>
              <w:rPr>
                <w:rFonts w:hint="eastAsia" w:ascii="仿宋" w:hAnsi="仿宋" w:eastAsia="仿宋" w:cs="仿宋"/>
                <w:color w:val="auto"/>
                <w:sz w:val="24"/>
                <w:szCs w:val="24"/>
                <w:highlight w:val="none"/>
                <w:lang w:eastAsia="zh-CN"/>
              </w:rPr>
              <w:t>。</w:t>
            </w:r>
          </w:p>
          <w:p w14:paraId="7576E2E9">
            <w:pPr>
              <w:pStyle w:val="23"/>
              <w:spacing w:line="360" w:lineRule="auto"/>
              <w:ind w:right="-31" w:rightChars="-1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所有要素齐全且完全满足项目要求得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分，每缺一个要素扣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分，每个要素里每有一处内容缺陷扣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未提供不得分。(缺陷是指:存在不适用该项目实际情况的情形、凭空编造、内容前后不一致、前后逻辑错误、涉及的规范及标准错误、地点区域错误、内容缺失、不符合采购需求的任意一项)。</w:t>
            </w:r>
          </w:p>
        </w:tc>
      </w:tr>
      <w:tr w14:paraId="29747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73" w:type="pct"/>
            <w:vMerge w:val="continue"/>
            <w:tcBorders>
              <w:tl2br w:val="nil"/>
              <w:tr2bl w:val="nil"/>
            </w:tcBorders>
            <w:noWrap w:val="0"/>
            <w:vAlign w:val="center"/>
          </w:tcPr>
          <w:p w14:paraId="70B0BC2C">
            <w:pPr>
              <w:widowControl/>
              <w:spacing w:line="360" w:lineRule="auto"/>
              <w:jc w:val="left"/>
              <w:rPr>
                <w:rFonts w:hint="eastAsia" w:ascii="仿宋" w:hAnsi="仿宋" w:eastAsia="仿宋" w:cs="仿宋"/>
                <w:color w:val="auto"/>
                <w:sz w:val="24"/>
                <w:szCs w:val="24"/>
                <w:highlight w:val="none"/>
              </w:rPr>
            </w:pPr>
          </w:p>
        </w:tc>
        <w:tc>
          <w:tcPr>
            <w:tcW w:w="620" w:type="pct"/>
            <w:tcBorders>
              <w:tl2br w:val="nil"/>
              <w:tr2bl w:val="nil"/>
            </w:tcBorders>
            <w:noWrap w:val="0"/>
            <w:vAlign w:val="center"/>
          </w:tcPr>
          <w:p w14:paraId="77850824">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内控制度措施</w:t>
            </w:r>
          </w:p>
        </w:tc>
        <w:tc>
          <w:tcPr>
            <w:tcW w:w="458" w:type="pct"/>
            <w:tcBorders>
              <w:tl2br w:val="nil"/>
              <w:tr2bl w:val="nil"/>
            </w:tcBorders>
            <w:noWrap w:val="0"/>
            <w:vAlign w:val="center"/>
          </w:tcPr>
          <w:p w14:paraId="03B182CA">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w:t>
            </w:r>
          </w:p>
        </w:tc>
        <w:tc>
          <w:tcPr>
            <w:tcW w:w="3347" w:type="pct"/>
            <w:tcBorders>
              <w:tl2br w:val="nil"/>
              <w:tr2bl w:val="nil"/>
            </w:tcBorders>
            <w:noWrap w:val="0"/>
            <w:vAlign w:val="center"/>
          </w:tcPr>
          <w:p w14:paraId="3BF582FA">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内控制度措施包括但不限于：①工作纪律及考核制度；②应急措施；③信息保密制度；④档案管理制度；4部分要素。</w:t>
            </w:r>
          </w:p>
          <w:p w14:paraId="096A3491">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有要素齐全且完全满足项目要求得16分，每缺一个要素扣4分，每个要素里每有一处内容缺陷扣2分（扣完为止），未提供不得分。(缺陷是指:存在不适用该项目实际情况的情形、凭空编造、内容前后不一致、前后逻辑错误、涉及的规范及标准错误、地点区域错误、内容缺失、不符合采购需求的任意一项)。</w:t>
            </w:r>
          </w:p>
        </w:tc>
      </w:tr>
    </w:tbl>
    <w:p w14:paraId="7A48D2C9">
      <w:pPr>
        <w:rPr>
          <w:rFonts w:hint="eastAsia" w:ascii="仿宋" w:hAnsi="仿宋" w:eastAsia="仿宋" w:cs="仿宋"/>
          <w:highlight w:val="none"/>
        </w:rPr>
      </w:pPr>
    </w:p>
    <w:p w14:paraId="1ADE3567">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34" w:name="_Toc17904"/>
      <w:r>
        <w:rPr>
          <w:rFonts w:hint="eastAsia" w:ascii="仿宋" w:hAnsi="仿宋" w:eastAsia="仿宋" w:cs="仿宋"/>
          <w:b/>
          <w:sz w:val="24"/>
          <w:szCs w:val="24"/>
          <w:highlight w:val="none"/>
        </w:rPr>
        <w:t>1. 评标方法</w:t>
      </w:r>
      <w:bookmarkEnd w:id="34"/>
    </w:p>
    <w:p w14:paraId="57F9B68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14:paraId="137EF545">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35" w:name="_Toc25431"/>
      <w:r>
        <w:rPr>
          <w:rFonts w:hint="eastAsia" w:ascii="仿宋" w:hAnsi="仿宋" w:eastAsia="仿宋" w:cs="仿宋"/>
          <w:b/>
          <w:sz w:val="24"/>
          <w:szCs w:val="24"/>
          <w:highlight w:val="none"/>
        </w:rPr>
        <w:t>2. 评标标准</w:t>
      </w:r>
      <w:bookmarkEnd w:id="35"/>
    </w:p>
    <w:p w14:paraId="297BF5D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资格审查：评标因素和评标标准见《资格审查标准》。</w:t>
      </w:r>
    </w:p>
    <w:p w14:paraId="6224CB67">
      <w:pPr>
        <w:widowControl/>
        <w:shd w:val="clear" w:color="auto" w:fill="FFFFFF"/>
        <w:snapToGrid w:val="0"/>
        <w:spacing w:line="360" w:lineRule="auto"/>
        <w:ind w:left="479" w:leftChars="228"/>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符合性审查：评标因素和评标标准见《符合性审查标准》。</w:t>
      </w:r>
    </w:p>
    <w:p w14:paraId="55D41529">
      <w:pPr>
        <w:widowControl/>
        <w:shd w:val="clear" w:color="auto" w:fill="FFFFFF"/>
        <w:snapToGrid w:val="0"/>
        <w:spacing w:line="360" w:lineRule="auto"/>
        <w:ind w:left="479" w:leftChars="228"/>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2.3详细评审：</w:t>
      </w:r>
    </w:p>
    <w:p w14:paraId="422E0D0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2.3.1详细评审：评标因素和评标标准见《详细评审标准》及本节第3.5款。</w:t>
      </w:r>
    </w:p>
    <w:p w14:paraId="1AEBDD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投标报价评分标准：</w:t>
      </w:r>
    </w:p>
    <w:p w14:paraId="2FEBE84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（1）分值构成及权重：见评标办法前附表。</w:t>
      </w:r>
    </w:p>
    <w:p w14:paraId="44D1361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（2）评标基准价计算：见评标办法前附表。</w:t>
      </w:r>
    </w:p>
    <w:p w14:paraId="4C3FB74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（3）投标报价得分的计算：见评标办法前附表。</w:t>
      </w:r>
    </w:p>
    <w:p w14:paraId="0305845A">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36" w:name="_Toc29324"/>
      <w:r>
        <w:rPr>
          <w:rFonts w:hint="eastAsia" w:ascii="仿宋" w:hAnsi="仿宋" w:eastAsia="仿宋" w:cs="仿宋"/>
          <w:b/>
          <w:sz w:val="24"/>
          <w:szCs w:val="24"/>
          <w:highlight w:val="none"/>
        </w:rPr>
        <w:t>3. 评标程序</w:t>
      </w:r>
      <w:bookmarkEnd w:id="36"/>
    </w:p>
    <w:p w14:paraId="4ACFE1DA">
      <w:pPr>
        <w:tabs>
          <w:tab w:val="center" w:pos="4832"/>
          <w:tab w:val="left" w:pos="7140"/>
        </w:tabs>
        <w:spacing w:line="360" w:lineRule="auto"/>
        <w:ind w:firstLine="470" w:firstLineChars="196"/>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3.1基本程序</w:t>
      </w:r>
    </w:p>
    <w:p w14:paraId="313A4A8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评标活动将按以下步骤进行：</w:t>
      </w:r>
    </w:p>
    <w:p w14:paraId="3FE4924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（1）评标准备</w:t>
      </w:r>
    </w:p>
    <w:p w14:paraId="24BB97C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（2）资格审查</w:t>
      </w:r>
    </w:p>
    <w:p w14:paraId="3B23227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（3）符合性审查</w:t>
      </w:r>
    </w:p>
    <w:p w14:paraId="4C2AE70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（4）详细评审</w:t>
      </w:r>
    </w:p>
    <w:p w14:paraId="0820FDD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（5）澄清、说明或补正</w:t>
      </w:r>
    </w:p>
    <w:p w14:paraId="1AF4035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（6）推荐中标候选人及提交评标报告</w:t>
      </w:r>
    </w:p>
    <w:p w14:paraId="67D7276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评标准备</w:t>
      </w:r>
    </w:p>
    <w:p w14:paraId="1D28B37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3.2.1评标小组成员签到</w:t>
      </w:r>
    </w:p>
    <w:p w14:paraId="3267933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评标小组成员到达评标现场时应当在签到表上签到以证明其出席。</w:t>
      </w:r>
    </w:p>
    <w:p w14:paraId="078B79A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评标小组的分工</w:t>
      </w:r>
    </w:p>
    <w:p w14:paraId="4D0E28C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3.2.2.1评标小组首先推选一名评标小组主任。评标小组主任负责评标活动的组织领导工作。评标小组主任与评标小组其他成员具有同等的评标权力。</w:t>
      </w:r>
    </w:p>
    <w:p w14:paraId="6DAF495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3.2.2.2 评标小组主任除履行自己作为评标小组成员独立评标的职责外，主要负责以下工作：</w:t>
      </w:r>
    </w:p>
    <w:p w14:paraId="5EE842A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（1）组织评标小组成员学习招标文件；</w:t>
      </w:r>
    </w:p>
    <w:p w14:paraId="5EB3288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（2）汇总各评标小组成员认为需要投标人澄清、说明或者补正的问题；</w:t>
      </w:r>
    </w:p>
    <w:p w14:paraId="7FB7E40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（3）组织评标小组对投标人质询并对投标人的答复进行评标；</w:t>
      </w:r>
    </w:p>
    <w:p w14:paraId="35F4A2A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（4）对出现较大争议的事项进行书面记录；</w:t>
      </w:r>
    </w:p>
    <w:p w14:paraId="3298E0F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（5）组织收回评标过程中使用的文件、表格和评标记录以及其他资料，并查验评标记录的完整性及有效性；</w:t>
      </w:r>
    </w:p>
    <w:p w14:paraId="78FDA1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（6）组织对评标结论进行复核确认；</w:t>
      </w:r>
    </w:p>
    <w:p w14:paraId="6308FA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（7）组织编写评标报告。</w:t>
      </w:r>
    </w:p>
    <w:p w14:paraId="33918D3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 熟悉文件资料</w:t>
      </w:r>
    </w:p>
    <w:p w14:paraId="5DCCBE3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06A7869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3.2.3.2 采购人或采购代理机构应当向评标小组提供评标所需的信息和数据，包括：</w:t>
      </w:r>
    </w:p>
    <w:p w14:paraId="371406B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（1）招标文件及其澄清修改等招标文件补充；</w:t>
      </w:r>
    </w:p>
    <w:p w14:paraId="329516D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（2）未在开标会上当场拒绝的各投标文件；</w:t>
      </w:r>
    </w:p>
    <w:p w14:paraId="60B949B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（3）开标会记录；</w:t>
      </w:r>
    </w:p>
    <w:p w14:paraId="1D8F33B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（4）评标表格；</w:t>
      </w:r>
    </w:p>
    <w:p w14:paraId="6FE3BCB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（5）其他信息和数据。</w:t>
      </w:r>
    </w:p>
    <w:p w14:paraId="3E18D7B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3.3资格审查（适用于资格后审）</w:t>
      </w:r>
    </w:p>
    <w:p w14:paraId="60BFF85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8EF47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3.4符合性审查</w:t>
      </w:r>
    </w:p>
    <w:p w14:paraId="6F8F80A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3.4.1 评标小组依据本章规定的评标因素和评标标准，对投标人的投标文件进行符合性审查。符合性审查有一项未通过评标标准，评标小组将认定整个投标文件不响应招标文件而否决其投标，并且不允许投标人通过修改或撤销其不符合要求的差异或保留，使之成为具有响应性的投标。</w:t>
      </w:r>
    </w:p>
    <w:p w14:paraId="357039F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3.4.2符合性审查条款是指对本招标项目产生了重大影响的重大偏差，而且纠正此类偏差将会对响应本次招标的其他投标人的竞争地位产生不公正的影响。</w:t>
      </w:r>
    </w:p>
    <w:p w14:paraId="05E1859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3D69859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3.5详细评审</w:t>
      </w:r>
    </w:p>
    <w:p w14:paraId="60854DA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 只有通过了资格审查、符合性审查且投标人不少于3个方可进入详细评审。</w:t>
      </w:r>
    </w:p>
    <w:p w14:paraId="0B06CB3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 澄清、说明和补正</w:t>
      </w:r>
    </w:p>
    <w:p w14:paraId="0ED2074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06F0A1F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C9FC3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3.5.3澄清、说明和补正内容不得改变投标文件的实质性内容（算术性错误修正的除外）。投标人的书面澄清、说明和补正属于投标文件的组成部分。</w:t>
      </w:r>
    </w:p>
    <w:p w14:paraId="250C188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401CD1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3.5.5评标小组对投标人提交的澄清、说明或补正有疑问的，可以要求投标人进一步澄清、说明或补正，直至满足评标小组的要求。</w:t>
      </w:r>
    </w:p>
    <w:p w14:paraId="5379CB9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3.5.6评委评分：评委按照《详细评审标准》评分，投标人详细评审得分等于全部评委评分的算术平均值。</w:t>
      </w:r>
    </w:p>
    <w:p w14:paraId="0A46E9D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3.5.7 算术错误修正：投标价格有算术错误的，评标小组按以下原则对投标价格进行修正，修正的价格经投标人书面确认后具有约束力。投标人不接受修正价格的，其投标将被否决。</w:t>
      </w:r>
    </w:p>
    <w:p w14:paraId="07D309E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（1）投标文件中的大写金额与小写金额不一致的，以大写金额为准；</w:t>
      </w:r>
    </w:p>
    <w:p w14:paraId="032FEF7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（2）总价金额与依据单价计算出的结果不一致的，以单价金额为准修正总价，但单价金额小数点有明显错误的除外。</w:t>
      </w:r>
    </w:p>
    <w:p w14:paraId="444650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3.5.8 政府采购评审中出现下列情形之一的，评标委员会应当启动异常低价投标（响应）审查程序：</w:t>
      </w:r>
    </w:p>
    <w:p w14:paraId="4868D45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（1）投标报价低于全部通过符合性审查投标人投标报价平均值50%的，即投标报价&lt;全部通过符合性审查投标人投标报价平均值×50%；</w:t>
      </w:r>
    </w:p>
    <w:p w14:paraId="53C374C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（2）投标报价低于通过符合性审查的次低报价投标人投标报价50%的，即投标报价&lt;通过符合性审查的次低报价投标人投标报价×50%；</w:t>
      </w:r>
    </w:p>
    <w:p w14:paraId="2EF2E9A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（3）投标报价低于采购项目最高限价45%的，即投标报价&lt;采购项目最高限价×45%；</w:t>
      </w:r>
    </w:p>
    <w:p w14:paraId="4DF7F68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（4）评标委员会基于专业判断，认为投标人报价过低，有可能影响产品质量或者不能诚信履约的其他情形。</w:t>
      </w:r>
    </w:p>
    <w:p w14:paraId="02BAC9C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8.1</w:t>
      </w:r>
      <w:r>
        <w:rPr>
          <w:rFonts w:hint="eastAsia" w:ascii="仿宋" w:hAnsi="仿宋" w:eastAsia="仿宋" w:cs="仿宋"/>
          <w:kern w:val="0"/>
          <w:sz w:val="24"/>
          <w:szCs w:val="24"/>
          <w:highlight w:val="none"/>
        </w:rPr>
        <w:t>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4B45B6F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8.2</w:t>
      </w:r>
      <w:r>
        <w:rPr>
          <w:rFonts w:hint="eastAsia" w:ascii="仿宋" w:hAnsi="仿宋" w:eastAsia="仿宋" w:cs="仿宋"/>
          <w:kern w:val="0"/>
          <w:sz w:val="24"/>
          <w:szCs w:val="24"/>
          <w:highlight w:val="none"/>
        </w:rPr>
        <w:t>评标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标委员会应当将其作为无效投标（响应）处理。</w:t>
      </w:r>
    </w:p>
    <w:p w14:paraId="3CB36F3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3.5.9投标报价评分：对投标报价进行投标报价得分计算，计算方法详见评标办法前附表。</w:t>
      </w:r>
    </w:p>
    <w:p w14:paraId="481B537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3.5.10 汇总评分结果，评分分值计算保留小数点后两位，小数点后第三位“四舍五入”。</w:t>
      </w:r>
    </w:p>
    <w:p w14:paraId="2414C6C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 详细评审工作全部结束后，投标人总得分排序按照以下原则进行。</w:t>
      </w:r>
    </w:p>
    <w:p w14:paraId="148D49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3.6.11.1按照总得分由高到低顺序对投标人进行排序；</w:t>
      </w:r>
    </w:p>
    <w:p w14:paraId="2FCFB08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3.6.11.2总得分相同时报价低的投标人排序靠前；</w:t>
      </w:r>
    </w:p>
    <w:p w14:paraId="3A532C5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3.6.11.3总得分相同且报价相同的，采取随机抽取方式确定排序顺序。</w:t>
      </w:r>
    </w:p>
    <w:p w14:paraId="0326925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3.7推荐中标候选人及提交评标报告</w:t>
      </w:r>
    </w:p>
    <w:p w14:paraId="62729D0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3.7.1评标小组推荐中标候选人，总得分排序第一的投标人将被确定为第一中标候选人，以此类推确定出规定数量的的中标候选人。</w:t>
      </w:r>
    </w:p>
    <w:p w14:paraId="04E77D7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3.7.2当通过了资格审查、符合性审查后，投标人少于3个时，采购人应当依法重新招标。</w:t>
      </w:r>
    </w:p>
    <w:p w14:paraId="3C428B1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3.7.3 评标小组完成评标后，应当向采购人提交书面评标报告。</w:t>
      </w:r>
    </w:p>
    <w:p w14:paraId="0BEA062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3.8特殊情况的处置程序</w:t>
      </w:r>
    </w:p>
    <w:p w14:paraId="548CC9A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3.8.1 关于评标活动暂停</w:t>
      </w:r>
    </w:p>
    <w:p w14:paraId="1FB024E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721857A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3.8.2关于评标中途更换评委</w:t>
      </w:r>
    </w:p>
    <w:p w14:paraId="7FD84AD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3.8.2.1 除非发生下列情况之一，评标小组成员不得在评标中途更换：</w:t>
      </w:r>
    </w:p>
    <w:p w14:paraId="3C2188B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（1）因不可抗拒的客观原因，不能到场或需在评标中途退出评标活动。</w:t>
      </w:r>
    </w:p>
    <w:p w14:paraId="565CCBD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（2）根据法律法规规定，某个或某几个评标小组成员需要回避。</w:t>
      </w:r>
    </w:p>
    <w:p w14:paraId="750094E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3.8.2.2 退出评标的评标小组成员，其已完成的评标行为无效，由更换的评委进行评标。</w:t>
      </w:r>
    </w:p>
    <w:p w14:paraId="67751EB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3.8.3 在评标环节中，需评标小组就某项定性的评标结论做出表决的，由评标小组全体成员按照少数服从多数的原则确定。</w:t>
      </w:r>
    </w:p>
    <w:p w14:paraId="552D93A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p>
    <w:p w14:paraId="37127CC3">
      <w:pPr>
        <w:rPr>
          <w:rFonts w:hint="eastAsia" w:ascii="仿宋" w:hAnsi="仿宋" w:eastAsia="仿宋" w:cs="仿宋"/>
          <w:b/>
          <w:sz w:val="24"/>
          <w:szCs w:val="24"/>
          <w:highlight w:val="none"/>
        </w:rPr>
      </w:pPr>
      <w:bookmarkStart w:id="37" w:name="_Toc485312286"/>
      <w:r>
        <w:rPr>
          <w:rFonts w:hint="eastAsia" w:ascii="仿宋" w:hAnsi="仿宋" w:eastAsia="仿宋" w:cs="仿宋"/>
          <w:b/>
          <w:sz w:val="24"/>
          <w:szCs w:val="24"/>
          <w:highlight w:val="none"/>
        </w:rPr>
        <w:br w:type="page"/>
      </w:r>
    </w:p>
    <w:p w14:paraId="5795956A">
      <w:pPr>
        <w:widowControl/>
        <w:shd w:val="clear" w:color="auto" w:fill="FFFFFF"/>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问题澄清通知</w:t>
      </w:r>
    </w:p>
    <w:p w14:paraId="624F63CB">
      <w:pPr>
        <w:spacing w:line="360" w:lineRule="auto"/>
        <w:rPr>
          <w:rFonts w:hint="eastAsia" w:ascii="仿宋" w:hAnsi="仿宋" w:eastAsia="仿宋" w:cs="仿宋"/>
          <w:sz w:val="24"/>
          <w:szCs w:val="24"/>
          <w:highlight w:val="none"/>
        </w:rPr>
      </w:pPr>
    </w:p>
    <w:p w14:paraId="5BEE92AA">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（投标人名称）：</w:t>
      </w:r>
    </w:p>
    <w:p w14:paraId="29DC64AC">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（招标项目名称）招标的评标小组，对你方的投标文件进行了仔细的审查，现需你方对本通知所附质疑问卷中的问题以书面形式予以澄清、说明或者补正。</w:t>
      </w:r>
    </w:p>
    <w:p w14:paraId="6E685AE9">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质疑问题：</w:t>
      </w:r>
    </w:p>
    <w:p w14:paraId="1C3AABCF">
      <w:pPr>
        <w:spacing w:line="360" w:lineRule="auto"/>
        <w:rPr>
          <w:rFonts w:hint="eastAsia" w:ascii="仿宋" w:hAnsi="仿宋" w:eastAsia="仿宋" w:cs="仿宋"/>
          <w:kern w:val="0"/>
          <w:sz w:val="24"/>
          <w:szCs w:val="24"/>
          <w:highlight w:val="none"/>
        </w:rPr>
      </w:pPr>
    </w:p>
    <w:p w14:paraId="6B505FA7">
      <w:pPr>
        <w:spacing w:line="360" w:lineRule="auto"/>
        <w:rPr>
          <w:rFonts w:hint="eastAsia" w:ascii="仿宋" w:hAnsi="仿宋" w:eastAsia="仿宋" w:cs="仿宋"/>
          <w:kern w:val="0"/>
          <w:sz w:val="24"/>
          <w:szCs w:val="24"/>
          <w:highlight w:val="none"/>
        </w:rPr>
      </w:pPr>
    </w:p>
    <w:p w14:paraId="1AA3E22B">
      <w:pPr>
        <w:spacing w:line="360" w:lineRule="auto"/>
        <w:rPr>
          <w:rFonts w:hint="eastAsia" w:ascii="仿宋" w:hAnsi="仿宋" w:eastAsia="仿宋" w:cs="仿宋"/>
          <w:kern w:val="0"/>
          <w:sz w:val="24"/>
          <w:szCs w:val="24"/>
          <w:highlight w:val="none"/>
        </w:rPr>
      </w:pPr>
    </w:p>
    <w:p w14:paraId="0F255F88">
      <w:pPr>
        <w:spacing w:line="360" w:lineRule="auto"/>
        <w:rPr>
          <w:rFonts w:hint="eastAsia" w:ascii="仿宋" w:hAnsi="仿宋" w:eastAsia="仿宋" w:cs="仿宋"/>
          <w:kern w:val="0"/>
          <w:sz w:val="24"/>
          <w:szCs w:val="24"/>
          <w:highlight w:val="none"/>
        </w:rPr>
      </w:pPr>
    </w:p>
    <w:p w14:paraId="31E32D63">
      <w:pPr>
        <w:spacing w:line="360" w:lineRule="auto"/>
        <w:rPr>
          <w:rFonts w:hint="eastAsia" w:ascii="仿宋" w:hAnsi="仿宋" w:eastAsia="仿宋" w:cs="仿宋"/>
          <w:kern w:val="0"/>
          <w:sz w:val="24"/>
          <w:szCs w:val="24"/>
          <w:highlight w:val="none"/>
        </w:rPr>
      </w:pPr>
    </w:p>
    <w:p w14:paraId="3A0417D3">
      <w:pPr>
        <w:spacing w:line="360" w:lineRule="auto"/>
        <w:rPr>
          <w:rFonts w:hint="eastAsia" w:ascii="仿宋" w:hAnsi="仿宋" w:eastAsia="仿宋" w:cs="仿宋"/>
          <w:kern w:val="0"/>
          <w:sz w:val="24"/>
          <w:szCs w:val="24"/>
          <w:highlight w:val="none"/>
        </w:rPr>
      </w:pPr>
    </w:p>
    <w:p w14:paraId="1CF8CC1C">
      <w:pPr>
        <w:spacing w:line="360" w:lineRule="auto"/>
        <w:rPr>
          <w:rFonts w:hint="eastAsia" w:ascii="仿宋" w:hAnsi="仿宋" w:eastAsia="仿宋" w:cs="仿宋"/>
          <w:kern w:val="0"/>
          <w:sz w:val="24"/>
          <w:szCs w:val="24"/>
          <w:highlight w:val="none"/>
        </w:rPr>
      </w:pPr>
    </w:p>
    <w:p w14:paraId="56E87C31">
      <w:pPr>
        <w:spacing w:line="360" w:lineRule="auto"/>
        <w:rPr>
          <w:rFonts w:hint="eastAsia" w:ascii="仿宋" w:hAnsi="仿宋" w:eastAsia="仿宋" w:cs="仿宋"/>
          <w:kern w:val="0"/>
          <w:sz w:val="24"/>
          <w:szCs w:val="24"/>
          <w:highlight w:val="none"/>
        </w:rPr>
      </w:pPr>
    </w:p>
    <w:p w14:paraId="393CAAC0">
      <w:pPr>
        <w:spacing w:line="360" w:lineRule="auto"/>
        <w:rPr>
          <w:rFonts w:hint="eastAsia" w:ascii="仿宋" w:hAnsi="仿宋" w:eastAsia="仿宋" w:cs="仿宋"/>
          <w:kern w:val="0"/>
          <w:sz w:val="24"/>
          <w:szCs w:val="24"/>
          <w:highlight w:val="none"/>
        </w:rPr>
      </w:pPr>
    </w:p>
    <w:p w14:paraId="00D0E836">
      <w:pPr>
        <w:spacing w:line="360" w:lineRule="auto"/>
        <w:rPr>
          <w:rFonts w:hint="eastAsia" w:ascii="仿宋" w:hAnsi="仿宋" w:eastAsia="仿宋" w:cs="仿宋"/>
          <w:kern w:val="0"/>
          <w:sz w:val="24"/>
          <w:szCs w:val="24"/>
          <w:highlight w:val="none"/>
        </w:rPr>
      </w:pPr>
    </w:p>
    <w:p w14:paraId="144B777F">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w:t>
      </w:r>
      <w:r>
        <w:rPr>
          <w:rFonts w:hint="eastAsia" w:ascii="仿宋" w:hAnsi="仿宋" w:eastAsia="仿宋" w:cs="仿宋"/>
          <w:kern w:val="0"/>
          <w:sz w:val="24"/>
          <w:szCs w:val="24"/>
          <w:highlight w:val="none"/>
          <w:lang w:val="en-US" w:eastAsia="zh-CN"/>
        </w:rPr>
        <w:t>成</w:t>
      </w:r>
      <w:r>
        <w:rPr>
          <w:rFonts w:hint="eastAsia" w:ascii="仿宋" w:hAnsi="仿宋" w:eastAsia="仿宋" w:cs="仿宋"/>
          <w:kern w:val="0"/>
          <w:sz w:val="24"/>
          <w:szCs w:val="24"/>
          <w:highlight w:val="none"/>
        </w:rPr>
        <w:t>员（签字）：</w:t>
      </w:r>
    </w:p>
    <w:p w14:paraId="18D0208F">
      <w:pPr>
        <w:spacing w:line="360" w:lineRule="auto"/>
        <w:rPr>
          <w:rFonts w:hint="eastAsia" w:ascii="仿宋" w:hAnsi="仿宋" w:eastAsia="仿宋" w:cs="仿宋"/>
          <w:kern w:val="0"/>
          <w:sz w:val="24"/>
          <w:szCs w:val="24"/>
          <w:highlight w:val="none"/>
        </w:rPr>
      </w:pPr>
    </w:p>
    <w:p w14:paraId="164A685B">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日期：年月日</w:t>
      </w:r>
    </w:p>
    <w:p w14:paraId="1299A52B">
      <w:pPr>
        <w:spacing w:line="360" w:lineRule="auto"/>
        <w:jc w:val="center"/>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r>
        <w:rPr>
          <w:rFonts w:hint="eastAsia" w:ascii="仿宋" w:hAnsi="仿宋" w:eastAsia="仿宋" w:cs="仿宋"/>
          <w:b/>
          <w:sz w:val="24"/>
          <w:szCs w:val="24"/>
          <w:highlight w:val="none"/>
        </w:rPr>
        <w:t>问题的澄清、说明或补正</w:t>
      </w:r>
    </w:p>
    <w:p w14:paraId="4E3DCA5A">
      <w:pPr>
        <w:rPr>
          <w:rFonts w:hint="eastAsia" w:ascii="仿宋" w:hAnsi="仿宋" w:eastAsia="仿宋" w:cs="仿宋"/>
          <w:kern w:val="0"/>
          <w:sz w:val="24"/>
          <w:szCs w:val="24"/>
          <w:highlight w:val="none"/>
        </w:rPr>
      </w:pPr>
    </w:p>
    <w:p w14:paraId="7E2BE8EC">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w:t>
      </w:r>
    </w:p>
    <w:p w14:paraId="0C44CB78">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（招标项目名称）的问题澄清通知已收悉，现澄清、说明或者补正如下：</w:t>
      </w:r>
    </w:p>
    <w:p w14:paraId="3B69103A">
      <w:pPr>
        <w:spacing w:line="360" w:lineRule="auto"/>
        <w:rPr>
          <w:rFonts w:hint="eastAsia" w:ascii="仿宋" w:hAnsi="仿宋" w:eastAsia="仿宋" w:cs="仿宋"/>
          <w:kern w:val="0"/>
          <w:sz w:val="24"/>
          <w:szCs w:val="24"/>
          <w:highlight w:val="none"/>
        </w:rPr>
      </w:pPr>
    </w:p>
    <w:p w14:paraId="24DEA8AC">
      <w:pPr>
        <w:spacing w:line="360" w:lineRule="auto"/>
        <w:rPr>
          <w:rFonts w:hint="eastAsia" w:ascii="仿宋" w:hAnsi="仿宋" w:eastAsia="仿宋" w:cs="仿宋"/>
          <w:kern w:val="0"/>
          <w:sz w:val="24"/>
          <w:szCs w:val="24"/>
          <w:highlight w:val="none"/>
        </w:rPr>
      </w:pPr>
    </w:p>
    <w:p w14:paraId="5B4A4A7A">
      <w:pPr>
        <w:spacing w:line="360" w:lineRule="auto"/>
        <w:rPr>
          <w:rFonts w:hint="eastAsia" w:ascii="仿宋" w:hAnsi="仿宋" w:eastAsia="仿宋" w:cs="仿宋"/>
          <w:kern w:val="0"/>
          <w:sz w:val="24"/>
          <w:szCs w:val="24"/>
          <w:highlight w:val="none"/>
        </w:rPr>
      </w:pPr>
    </w:p>
    <w:p w14:paraId="1CC62EE1">
      <w:pPr>
        <w:spacing w:line="360" w:lineRule="auto"/>
        <w:rPr>
          <w:rFonts w:hint="eastAsia" w:ascii="仿宋" w:hAnsi="仿宋" w:eastAsia="仿宋" w:cs="仿宋"/>
          <w:kern w:val="0"/>
          <w:sz w:val="24"/>
          <w:szCs w:val="24"/>
          <w:highlight w:val="none"/>
        </w:rPr>
      </w:pPr>
    </w:p>
    <w:p w14:paraId="392C195B">
      <w:pPr>
        <w:spacing w:line="360" w:lineRule="auto"/>
        <w:rPr>
          <w:rFonts w:hint="eastAsia" w:ascii="仿宋" w:hAnsi="仿宋" w:eastAsia="仿宋" w:cs="仿宋"/>
          <w:kern w:val="0"/>
          <w:sz w:val="24"/>
          <w:szCs w:val="24"/>
          <w:highlight w:val="none"/>
        </w:rPr>
      </w:pPr>
    </w:p>
    <w:p w14:paraId="7E9BB402">
      <w:pPr>
        <w:spacing w:line="360" w:lineRule="auto"/>
        <w:rPr>
          <w:rFonts w:hint="eastAsia" w:ascii="仿宋" w:hAnsi="仿宋" w:eastAsia="仿宋" w:cs="仿宋"/>
          <w:kern w:val="0"/>
          <w:sz w:val="24"/>
          <w:szCs w:val="24"/>
          <w:highlight w:val="none"/>
        </w:rPr>
      </w:pPr>
    </w:p>
    <w:p w14:paraId="6FB09DBB">
      <w:pPr>
        <w:spacing w:line="360" w:lineRule="auto"/>
        <w:rPr>
          <w:rFonts w:hint="eastAsia" w:ascii="仿宋" w:hAnsi="仿宋" w:eastAsia="仿宋" w:cs="仿宋"/>
          <w:kern w:val="0"/>
          <w:sz w:val="24"/>
          <w:szCs w:val="24"/>
          <w:highlight w:val="none"/>
        </w:rPr>
      </w:pPr>
    </w:p>
    <w:p w14:paraId="3E4C47B6">
      <w:pPr>
        <w:spacing w:line="360" w:lineRule="auto"/>
        <w:rPr>
          <w:rFonts w:hint="eastAsia" w:ascii="仿宋" w:hAnsi="仿宋" w:eastAsia="仿宋" w:cs="仿宋"/>
          <w:kern w:val="0"/>
          <w:sz w:val="24"/>
          <w:szCs w:val="24"/>
          <w:highlight w:val="none"/>
        </w:rPr>
      </w:pPr>
    </w:p>
    <w:p w14:paraId="5A4002A8">
      <w:pPr>
        <w:spacing w:line="360" w:lineRule="auto"/>
        <w:rPr>
          <w:rFonts w:hint="eastAsia" w:ascii="仿宋" w:hAnsi="仿宋" w:eastAsia="仿宋" w:cs="仿宋"/>
          <w:kern w:val="0"/>
          <w:sz w:val="24"/>
          <w:szCs w:val="24"/>
          <w:highlight w:val="none"/>
        </w:rPr>
      </w:pPr>
    </w:p>
    <w:p w14:paraId="24662435">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法定代表人或其授权委托人（签字）：</w:t>
      </w:r>
    </w:p>
    <w:p w14:paraId="74E408E2">
      <w:pPr>
        <w:spacing w:line="360" w:lineRule="auto"/>
        <w:rPr>
          <w:rFonts w:hint="eastAsia" w:ascii="仿宋" w:hAnsi="仿宋" w:eastAsia="仿宋" w:cs="仿宋"/>
          <w:kern w:val="0"/>
          <w:sz w:val="24"/>
          <w:szCs w:val="24"/>
          <w:highlight w:val="none"/>
        </w:rPr>
      </w:pPr>
    </w:p>
    <w:p w14:paraId="4E78125B">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日期：年月日</w:t>
      </w:r>
    </w:p>
    <w:p w14:paraId="49DB5075">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bookmarkStart w:id="38" w:name="_Toc1253"/>
      <w:r>
        <w:rPr>
          <w:rFonts w:hint="eastAsia" w:ascii="仿宋" w:hAnsi="仿宋" w:eastAsia="仿宋" w:cs="仿宋"/>
          <w:b/>
          <w:sz w:val="24"/>
          <w:szCs w:val="24"/>
          <w:highlight w:val="none"/>
        </w:rPr>
        <w:t>第三章 合同条款</w:t>
      </w:r>
      <w:bookmarkEnd w:id="37"/>
      <w:bookmarkEnd w:id="38"/>
    </w:p>
    <w:p w14:paraId="699CC449">
      <w:pPr>
        <w:pStyle w:val="225"/>
        <w:ind w:firstLine="0"/>
        <w:jc w:val="center"/>
        <w:rPr>
          <w:rFonts w:hint="eastAsia" w:ascii="仿宋" w:hAnsi="仿宋" w:eastAsia="仿宋" w:cs="仿宋"/>
          <w:b/>
          <w:szCs w:val="24"/>
          <w:highlight w:val="none"/>
        </w:rPr>
      </w:pPr>
    </w:p>
    <w:p w14:paraId="1845D665">
      <w:pPr>
        <w:pStyle w:val="225"/>
        <w:ind w:firstLine="0"/>
        <w:jc w:val="center"/>
        <w:rPr>
          <w:rFonts w:hint="eastAsia" w:ascii="仿宋" w:hAnsi="仿宋" w:eastAsia="仿宋" w:cs="仿宋"/>
          <w:b/>
          <w:szCs w:val="24"/>
          <w:highlight w:val="none"/>
        </w:rPr>
      </w:pPr>
      <w:r>
        <w:rPr>
          <w:rFonts w:hint="eastAsia" w:ascii="仿宋" w:hAnsi="仿宋" w:eastAsia="仿宋" w:cs="仿宋"/>
          <w:b/>
          <w:szCs w:val="24"/>
          <w:highlight w:val="none"/>
        </w:rPr>
        <w:t>第一部分 合同书</w:t>
      </w:r>
    </w:p>
    <w:p w14:paraId="7BB0E605">
      <w:pPr>
        <w:pStyle w:val="225"/>
        <w:ind w:firstLine="0"/>
        <w:rPr>
          <w:rFonts w:hint="eastAsia" w:ascii="仿宋" w:hAnsi="仿宋" w:eastAsia="仿宋" w:cs="仿宋"/>
          <w:szCs w:val="24"/>
          <w:highlight w:val="none"/>
        </w:rPr>
      </w:pPr>
    </w:p>
    <w:p w14:paraId="349B94BE">
      <w:pPr>
        <w:pStyle w:val="225"/>
        <w:ind w:firstLine="0"/>
        <w:rPr>
          <w:rFonts w:hint="eastAsia" w:ascii="仿宋" w:hAnsi="仿宋" w:eastAsia="仿宋" w:cs="仿宋"/>
          <w:szCs w:val="24"/>
          <w:highlight w:val="none"/>
        </w:rPr>
      </w:pPr>
    </w:p>
    <w:p w14:paraId="7C24DC55">
      <w:pPr>
        <w:spacing w:before="120" w:line="22" w:lineRule="atLeast"/>
        <w:rPr>
          <w:rFonts w:hint="eastAsia" w:ascii="仿宋" w:hAnsi="仿宋" w:eastAsia="仿宋" w:cs="仿宋"/>
          <w:sz w:val="24"/>
          <w:highlight w:val="none"/>
        </w:rPr>
      </w:pPr>
    </w:p>
    <w:p w14:paraId="49DA13FF">
      <w:pPr>
        <w:spacing w:before="120" w:line="22" w:lineRule="atLeast"/>
        <w:rPr>
          <w:rFonts w:hint="eastAsia" w:ascii="仿宋" w:hAnsi="仿宋" w:eastAsia="仿宋" w:cs="仿宋"/>
          <w:sz w:val="24"/>
          <w:highlight w:val="none"/>
        </w:rPr>
      </w:pPr>
    </w:p>
    <w:p w14:paraId="475AC86E">
      <w:pPr>
        <w:spacing w:before="120" w:line="22" w:lineRule="atLeast"/>
        <w:rPr>
          <w:rFonts w:hint="eastAsia" w:ascii="仿宋" w:hAnsi="仿宋" w:eastAsia="仿宋" w:cs="仿宋"/>
          <w:sz w:val="24"/>
          <w:highlight w:val="none"/>
        </w:rPr>
      </w:pPr>
    </w:p>
    <w:p w14:paraId="26003AED">
      <w:pPr>
        <w:spacing w:before="120" w:line="22" w:lineRule="atLeast"/>
        <w:rPr>
          <w:rFonts w:hint="eastAsia" w:ascii="仿宋" w:hAnsi="仿宋" w:eastAsia="仿宋" w:cs="仿宋"/>
          <w:sz w:val="24"/>
          <w:highlight w:val="none"/>
        </w:rPr>
      </w:pPr>
    </w:p>
    <w:p w14:paraId="3D2522F4">
      <w:pPr>
        <w:pStyle w:val="226"/>
        <w:spacing w:before="120" w:line="22" w:lineRule="atLeast"/>
        <w:ind w:left="2158" w:leftChars="456" w:hanging="1200" w:hangingChars="500"/>
        <w:rPr>
          <w:rFonts w:hint="eastAsia" w:ascii="仿宋" w:hAnsi="仿宋" w:eastAsia="仿宋" w:cs="仿宋"/>
          <w:szCs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新疆福海县阔克-锡泊渡一带1：5万综合物探普查物探技术服务项目</w:t>
      </w:r>
    </w:p>
    <w:p w14:paraId="33D1E48A">
      <w:pPr>
        <w:rPr>
          <w:rFonts w:hint="eastAsia" w:ascii="仿宋" w:hAnsi="仿宋" w:eastAsia="仿宋" w:cs="仿宋"/>
          <w:highlight w:val="none"/>
        </w:rPr>
      </w:pPr>
    </w:p>
    <w:p w14:paraId="11B2A8E1">
      <w:pPr>
        <w:spacing w:before="120" w:line="22" w:lineRule="atLeast"/>
        <w:ind w:left="960"/>
        <w:rPr>
          <w:rFonts w:hint="eastAsia"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新疆维吾尔自治区地质局地球物理化学探矿中心</w:t>
      </w:r>
      <w:r>
        <w:rPr>
          <w:rFonts w:hint="eastAsia" w:ascii="仿宋" w:hAnsi="仿宋" w:eastAsia="仿宋" w:cs="仿宋"/>
          <w:sz w:val="24"/>
          <w:highlight w:val="none"/>
          <w:u w:val="single"/>
        </w:rPr>
        <w:t xml:space="preserve">   </w:t>
      </w:r>
    </w:p>
    <w:p w14:paraId="6E175D01">
      <w:pPr>
        <w:spacing w:before="120" w:line="22" w:lineRule="atLeast"/>
        <w:ind w:left="960"/>
        <w:rPr>
          <w:rFonts w:hint="eastAsia" w:ascii="仿宋" w:hAnsi="仿宋" w:eastAsia="仿宋" w:cs="仿宋"/>
          <w:sz w:val="24"/>
          <w:highlight w:val="none"/>
        </w:rPr>
      </w:pPr>
    </w:p>
    <w:p w14:paraId="4B77903B">
      <w:pPr>
        <w:spacing w:before="120" w:line="22" w:lineRule="atLeast"/>
        <w:ind w:left="960"/>
        <w:rPr>
          <w:rFonts w:hint="eastAsia"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p>
    <w:p w14:paraId="27574A99">
      <w:pPr>
        <w:spacing w:before="120" w:line="22" w:lineRule="atLeast"/>
        <w:rPr>
          <w:rFonts w:hint="eastAsia" w:ascii="仿宋" w:hAnsi="仿宋" w:eastAsia="仿宋" w:cs="仿宋"/>
          <w:sz w:val="24"/>
          <w:highlight w:val="none"/>
        </w:rPr>
      </w:pPr>
    </w:p>
    <w:p w14:paraId="417D0975">
      <w:pPr>
        <w:spacing w:before="120" w:line="22" w:lineRule="atLeast"/>
        <w:ind w:firstLine="960"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签订地：</w:t>
      </w:r>
      <w:r>
        <w:rPr>
          <w:rFonts w:hint="eastAsia" w:ascii="仿宋" w:hAnsi="仿宋" w:eastAsia="仿宋" w:cs="仿宋"/>
          <w:sz w:val="24"/>
          <w:highlight w:val="none"/>
          <w:u w:val="single"/>
        </w:rPr>
        <w:t xml:space="preserve">                                     </w:t>
      </w:r>
    </w:p>
    <w:p w14:paraId="75F912D3">
      <w:pPr>
        <w:spacing w:before="120" w:line="22" w:lineRule="atLeast"/>
        <w:rPr>
          <w:rFonts w:hint="eastAsia" w:ascii="仿宋" w:hAnsi="仿宋" w:eastAsia="仿宋" w:cs="仿宋"/>
          <w:sz w:val="24"/>
          <w:highlight w:val="none"/>
        </w:rPr>
      </w:pPr>
    </w:p>
    <w:p w14:paraId="45B4714F">
      <w:pPr>
        <w:spacing w:before="120" w:line="22" w:lineRule="atLeast"/>
        <w:ind w:firstLine="960"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3C0DFEC">
      <w:pPr>
        <w:autoSpaceDE w:val="0"/>
        <w:autoSpaceDN w:val="0"/>
        <w:adjustRightInd w:val="0"/>
        <w:spacing w:line="600" w:lineRule="exact"/>
        <w:ind w:firstLine="640"/>
        <w:jc w:val="center"/>
        <w:rPr>
          <w:rFonts w:hint="eastAsia" w:ascii="仿宋" w:hAnsi="仿宋" w:eastAsia="仿宋" w:cs="仿宋"/>
          <w:sz w:val="24"/>
          <w:highlight w:val="none"/>
        </w:rPr>
        <w:sectPr>
          <w:footerReference r:id="rId9" w:type="first"/>
          <w:headerReference r:id="rId7" w:type="default"/>
          <w:footerReference r:id="rId8" w:type="default"/>
          <w:pgSz w:w="11907" w:h="16840"/>
          <w:pgMar w:top="1474" w:right="1814" w:bottom="1474" w:left="1814" w:header="851" w:footer="851" w:gutter="0"/>
          <w:pgNumType w:fmt="decimal" w:start="1"/>
          <w:cols w:space="720" w:num="1"/>
          <w:titlePg/>
          <w:docGrid w:linePitch="462" w:charSpace="0"/>
        </w:sectPr>
      </w:pPr>
    </w:p>
    <w:p w14:paraId="6093B7B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新疆维吾尔自治区地质局地球物理化学探矿中心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以</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公开招标</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对</w:t>
      </w:r>
      <w:r>
        <w:rPr>
          <w:rFonts w:hint="eastAsia" w:ascii="仿宋" w:hAnsi="仿宋" w:eastAsia="仿宋" w:cs="仿宋"/>
          <w:sz w:val="24"/>
          <w:highlight w:val="none"/>
          <w:u w:val="single"/>
        </w:rPr>
        <w:t xml:space="preserve">  新疆福海县阔克-锡泊渡一带1：5万综合物探普查物探技术服务项目 </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评标</w:t>
      </w:r>
      <w:r>
        <w:rPr>
          <w:rFonts w:hint="eastAsia" w:ascii="仿宋" w:hAnsi="仿宋" w:eastAsia="仿宋" w:cs="仿宋"/>
          <w:sz w:val="24"/>
          <w:highlight w:val="none"/>
          <w:u w:val="single"/>
        </w:rPr>
        <w:t xml:space="preserve">小组   </w:t>
      </w:r>
      <w:r>
        <w:rPr>
          <w:rFonts w:hint="eastAsia" w:ascii="仿宋" w:hAnsi="仿宋" w:eastAsia="仿宋" w:cs="仿宋"/>
          <w:sz w:val="24"/>
          <w:highlight w:val="none"/>
        </w:rPr>
        <w:t>评定，</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rPr>
        <w:t>为该项目中标供应商。现于中标通知书发出之日起三十日内，按照采购文件确定的事项签订本合同。</w:t>
      </w:r>
    </w:p>
    <w:p w14:paraId="4A6B7BB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新疆维吾尔自治区地质局地球物理化学探矿中心</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(以下简称：甲方)和</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lang w:val="zh-CN"/>
        </w:rPr>
        <w:t>(以下简称：乙方)协商一致，约定以下合同</w:t>
      </w:r>
      <w:r>
        <w:rPr>
          <w:rFonts w:hint="eastAsia" w:ascii="仿宋" w:hAnsi="仿宋" w:eastAsia="仿宋" w:cs="仿宋"/>
          <w:sz w:val="24"/>
          <w:highlight w:val="none"/>
        </w:rPr>
        <w:t>条款，以兹共同遵守、全面履行。</w:t>
      </w:r>
    </w:p>
    <w:p w14:paraId="1E0C8F24">
      <w:pPr>
        <w:spacing w:line="560" w:lineRule="exact"/>
        <w:ind w:firstLine="482" w:firstLineChars="200"/>
        <w:rPr>
          <w:rFonts w:hint="eastAsia" w:ascii="仿宋" w:hAnsi="仿宋" w:eastAsia="仿宋" w:cs="仿宋"/>
          <w:sz w:val="24"/>
          <w:highlight w:val="none"/>
        </w:rPr>
      </w:pPr>
      <w:bookmarkStart w:id="39" w:name="_Toc20421"/>
      <w:bookmarkStart w:id="40" w:name="_Toc15367"/>
      <w:bookmarkStart w:id="41" w:name="_Toc2591674"/>
      <w:bookmarkStart w:id="42" w:name="_Toc37868828"/>
      <w:bookmarkStart w:id="43" w:name="_Toc19273"/>
      <w:bookmarkStart w:id="44" w:name="_Toc22967"/>
      <w:bookmarkStart w:id="45" w:name="_Toc82617970"/>
      <w:bookmarkStart w:id="46" w:name="_Toc28855"/>
      <w:r>
        <w:rPr>
          <w:rFonts w:hint="eastAsia" w:ascii="仿宋" w:hAnsi="仿宋" w:eastAsia="仿宋" w:cs="仿宋"/>
          <w:b/>
          <w:sz w:val="24"/>
          <w:highlight w:val="none"/>
        </w:rPr>
        <w:t>1.1 合同组成部分</w:t>
      </w:r>
      <w:bookmarkEnd w:id="39"/>
      <w:bookmarkEnd w:id="40"/>
      <w:bookmarkEnd w:id="41"/>
      <w:bookmarkEnd w:id="42"/>
      <w:bookmarkEnd w:id="43"/>
      <w:bookmarkEnd w:id="44"/>
      <w:bookmarkEnd w:id="45"/>
      <w:bookmarkEnd w:id="46"/>
    </w:p>
    <w:p w14:paraId="140927E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7A5743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14:paraId="345304C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 中标通知书；</w:t>
      </w:r>
    </w:p>
    <w:p w14:paraId="68AA6F2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1.1.3 投标文件（含澄清或者说明文件）；</w:t>
      </w:r>
    </w:p>
    <w:p w14:paraId="50A15A1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1.1.4 招标文件（含澄清或者修改文件）；</w:t>
      </w:r>
    </w:p>
    <w:p w14:paraId="3F5A288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1.1.5 其他相关采购文件。</w:t>
      </w:r>
    </w:p>
    <w:p w14:paraId="76693ABE">
      <w:pPr>
        <w:spacing w:line="560" w:lineRule="exact"/>
        <w:ind w:firstLine="482" w:firstLineChars="200"/>
        <w:rPr>
          <w:rFonts w:hint="eastAsia" w:ascii="仿宋" w:hAnsi="仿宋" w:eastAsia="仿宋" w:cs="仿宋"/>
          <w:b/>
          <w:sz w:val="24"/>
          <w:highlight w:val="none"/>
        </w:rPr>
      </w:pPr>
      <w:bookmarkStart w:id="47" w:name="_Toc2918"/>
      <w:bookmarkStart w:id="48" w:name="_Toc22185"/>
      <w:bookmarkStart w:id="49" w:name="_Toc82617971"/>
      <w:bookmarkStart w:id="50" w:name="_Toc6773"/>
      <w:bookmarkStart w:id="51" w:name="_Toc37868829"/>
      <w:bookmarkStart w:id="52" w:name="_Toc2591675"/>
      <w:bookmarkStart w:id="53" w:name="_Toc6311"/>
      <w:bookmarkStart w:id="54" w:name="_Toc18585"/>
      <w:r>
        <w:rPr>
          <w:rFonts w:hint="eastAsia" w:ascii="仿宋" w:hAnsi="仿宋" w:eastAsia="仿宋" w:cs="仿宋"/>
          <w:b/>
          <w:sz w:val="24"/>
          <w:highlight w:val="none"/>
        </w:rPr>
        <w:t>1.2 标的</w:t>
      </w:r>
      <w:bookmarkEnd w:id="47"/>
      <w:bookmarkEnd w:id="48"/>
      <w:bookmarkEnd w:id="49"/>
      <w:bookmarkEnd w:id="50"/>
      <w:bookmarkEnd w:id="51"/>
      <w:bookmarkEnd w:id="52"/>
      <w:bookmarkEnd w:id="53"/>
      <w:bookmarkEnd w:id="54"/>
    </w:p>
    <w:p w14:paraId="78B34475">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1.2.1 标的名称：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AA50F2D">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1.2.2 标的数量：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195ED91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 标的质量：</w:t>
      </w:r>
      <w:r>
        <w:rPr>
          <w:rFonts w:hint="eastAsia" w:ascii="仿宋" w:hAnsi="仿宋" w:eastAsia="仿宋" w:cs="仿宋"/>
          <w:sz w:val="24"/>
          <w:highlight w:val="none"/>
          <w:u w:val="single"/>
        </w:rPr>
        <w:t>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8DC9C76">
      <w:pPr>
        <w:spacing w:line="560" w:lineRule="exact"/>
        <w:ind w:firstLine="482" w:firstLineChars="200"/>
        <w:rPr>
          <w:rFonts w:hint="eastAsia" w:ascii="仿宋" w:hAnsi="仿宋" w:eastAsia="仿宋" w:cs="仿宋"/>
          <w:b/>
          <w:sz w:val="24"/>
          <w:highlight w:val="none"/>
        </w:rPr>
      </w:pPr>
      <w:bookmarkStart w:id="55" w:name="_Toc1386"/>
      <w:bookmarkStart w:id="56" w:name="_Toc37868830"/>
      <w:bookmarkStart w:id="57" w:name="_Toc2591676"/>
      <w:bookmarkStart w:id="58" w:name="_Toc5635"/>
      <w:bookmarkStart w:id="59" w:name="_Toc21124"/>
      <w:bookmarkStart w:id="60" w:name="_Toc13918"/>
      <w:bookmarkStart w:id="61" w:name="_Toc4929"/>
      <w:bookmarkStart w:id="62" w:name="_Toc82617972"/>
      <w:r>
        <w:rPr>
          <w:rFonts w:hint="eastAsia" w:ascii="仿宋" w:hAnsi="仿宋" w:eastAsia="仿宋" w:cs="仿宋"/>
          <w:b/>
          <w:sz w:val="24"/>
          <w:highlight w:val="none"/>
        </w:rPr>
        <w:t>1.3 价款</w:t>
      </w:r>
      <w:bookmarkEnd w:id="55"/>
      <w:bookmarkEnd w:id="56"/>
      <w:bookmarkEnd w:id="57"/>
      <w:bookmarkEnd w:id="58"/>
      <w:bookmarkEnd w:id="59"/>
      <w:bookmarkEnd w:id="60"/>
      <w:bookmarkEnd w:id="61"/>
      <w:bookmarkEnd w:id="62"/>
    </w:p>
    <w:p w14:paraId="7E555D0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本合同总价为：￥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14:paraId="0B8EF68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分项价格：</w:t>
      </w:r>
    </w:p>
    <w:p w14:paraId="4B2CC9B5">
      <w:pPr>
        <w:spacing w:line="560" w:lineRule="exact"/>
        <w:ind w:firstLine="480" w:firstLineChars="200"/>
        <w:rPr>
          <w:rFonts w:hint="eastAsia" w:ascii="仿宋" w:hAnsi="仿宋" w:eastAsia="仿宋" w:cs="仿宋"/>
          <w:sz w:val="24"/>
          <w:highlight w:val="none"/>
        </w:rPr>
      </w:pP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4416"/>
        <w:gridCol w:w="3312"/>
      </w:tblGrid>
      <w:tr w14:paraId="348E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E746C27">
            <w:pPr>
              <w:pStyle w:val="227"/>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序号</w:t>
            </w:r>
          </w:p>
        </w:tc>
        <w:tc>
          <w:tcPr>
            <w:tcW w:w="2377" w:type="pct"/>
            <w:vAlign w:val="center"/>
          </w:tcPr>
          <w:p w14:paraId="4ED61CC2">
            <w:pPr>
              <w:pStyle w:val="227"/>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分项名称</w:t>
            </w:r>
          </w:p>
        </w:tc>
        <w:tc>
          <w:tcPr>
            <w:tcW w:w="1783" w:type="pct"/>
            <w:vAlign w:val="center"/>
          </w:tcPr>
          <w:p w14:paraId="53B142B0">
            <w:pPr>
              <w:pStyle w:val="227"/>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分项价格</w:t>
            </w:r>
          </w:p>
        </w:tc>
      </w:tr>
      <w:tr w14:paraId="69B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1C56B77B">
            <w:pPr>
              <w:pStyle w:val="227"/>
              <w:spacing w:line="560" w:lineRule="exact"/>
              <w:jc w:val="center"/>
              <w:rPr>
                <w:rFonts w:hint="eastAsia" w:ascii="仿宋" w:hAnsi="仿宋" w:eastAsia="仿宋" w:cs="仿宋"/>
                <w:kern w:val="2"/>
                <w:sz w:val="24"/>
                <w:szCs w:val="24"/>
                <w:highlight w:val="none"/>
              </w:rPr>
            </w:pPr>
          </w:p>
        </w:tc>
        <w:tc>
          <w:tcPr>
            <w:tcW w:w="2377" w:type="pct"/>
            <w:vAlign w:val="center"/>
          </w:tcPr>
          <w:p w14:paraId="30ABF614">
            <w:pPr>
              <w:pStyle w:val="227"/>
              <w:spacing w:line="560" w:lineRule="exact"/>
              <w:jc w:val="center"/>
              <w:rPr>
                <w:rFonts w:hint="eastAsia" w:ascii="仿宋" w:hAnsi="仿宋" w:eastAsia="仿宋" w:cs="仿宋"/>
                <w:kern w:val="2"/>
                <w:sz w:val="24"/>
                <w:szCs w:val="24"/>
                <w:highlight w:val="none"/>
              </w:rPr>
            </w:pPr>
          </w:p>
        </w:tc>
        <w:tc>
          <w:tcPr>
            <w:tcW w:w="1783" w:type="pct"/>
            <w:vAlign w:val="center"/>
          </w:tcPr>
          <w:p w14:paraId="7EBF7ED2">
            <w:pPr>
              <w:pStyle w:val="227"/>
              <w:spacing w:line="560" w:lineRule="exact"/>
              <w:jc w:val="center"/>
              <w:rPr>
                <w:rFonts w:hint="eastAsia" w:ascii="仿宋" w:hAnsi="仿宋" w:eastAsia="仿宋" w:cs="仿宋"/>
                <w:kern w:val="2"/>
                <w:sz w:val="24"/>
                <w:szCs w:val="24"/>
                <w:highlight w:val="none"/>
              </w:rPr>
            </w:pPr>
          </w:p>
        </w:tc>
      </w:tr>
      <w:tr w14:paraId="4E58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234A2F89">
            <w:pPr>
              <w:pStyle w:val="227"/>
              <w:spacing w:line="560" w:lineRule="exact"/>
              <w:jc w:val="center"/>
              <w:rPr>
                <w:rFonts w:hint="eastAsia" w:ascii="仿宋" w:hAnsi="仿宋" w:eastAsia="仿宋" w:cs="仿宋"/>
                <w:kern w:val="2"/>
                <w:sz w:val="24"/>
                <w:szCs w:val="24"/>
                <w:highlight w:val="none"/>
              </w:rPr>
            </w:pPr>
          </w:p>
        </w:tc>
        <w:tc>
          <w:tcPr>
            <w:tcW w:w="2377" w:type="pct"/>
            <w:vAlign w:val="center"/>
          </w:tcPr>
          <w:p w14:paraId="11992903">
            <w:pPr>
              <w:pStyle w:val="227"/>
              <w:spacing w:line="560" w:lineRule="exact"/>
              <w:jc w:val="center"/>
              <w:rPr>
                <w:rFonts w:hint="eastAsia" w:ascii="仿宋" w:hAnsi="仿宋" w:eastAsia="仿宋" w:cs="仿宋"/>
                <w:kern w:val="2"/>
                <w:sz w:val="24"/>
                <w:szCs w:val="24"/>
                <w:highlight w:val="none"/>
              </w:rPr>
            </w:pPr>
          </w:p>
        </w:tc>
        <w:tc>
          <w:tcPr>
            <w:tcW w:w="1783" w:type="pct"/>
            <w:vAlign w:val="center"/>
          </w:tcPr>
          <w:p w14:paraId="12C07BBA">
            <w:pPr>
              <w:pStyle w:val="227"/>
              <w:spacing w:line="560" w:lineRule="exact"/>
              <w:jc w:val="center"/>
              <w:rPr>
                <w:rFonts w:hint="eastAsia" w:ascii="仿宋" w:hAnsi="仿宋" w:eastAsia="仿宋" w:cs="仿宋"/>
                <w:kern w:val="2"/>
                <w:sz w:val="24"/>
                <w:szCs w:val="24"/>
                <w:highlight w:val="none"/>
              </w:rPr>
            </w:pPr>
          </w:p>
        </w:tc>
      </w:tr>
      <w:tr w14:paraId="7081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05CA53E2">
            <w:pPr>
              <w:pStyle w:val="227"/>
              <w:spacing w:line="560" w:lineRule="exact"/>
              <w:jc w:val="center"/>
              <w:rPr>
                <w:rFonts w:hint="eastAsia" w:ascii="仿宋" w:hAnsi="仿宋" w:eastAsia="仿宋" w:cs="仿宋"/>
                <w:kern w:val="2"/>
                <w:sz w:val="24"/>
                <w:szCs w:val="24"/>
                <w:highlight w:val="none"/>
              </w:rPr>
            </w:pPr>
          </w:p>
        </w:tc>
        <w:tc>
          <w:tcPr>
            <w:tcW w:w="2377" w:type="pct"/>
            <w:vAlign w:val="center"/>
          </w:tcPr>
          <w:p w14:paraId="7BEF6374">
            <w:pPr>
              <w:pStyle w:val="227"/>
              <w:spacing w:line="560" w:lineRule="exact"/>
              <w:jc w:val="center"/>
              <w:rPr>
                <w:rFonts w:hint="eastAsia" w:ascii="仿宋" w:hAnsi="仿宋" w:eastAsia="仿宋" w:cs="仿宋"/>
                <w:kern w:val="2"/>
                <w:sz w:val="24"/>
                <w:szCs w:val="24"/>
                <w:highlight w:val="none"/>
              </w:rPr>
            </w:pPr>
          </w:p>
        </w:tc>
        <w:tc>
          <w:tcPr>
            <w:tcW w:w="1783" w:type="pct"/>
            <w:vAlign w:val="center"/>
          </w:tcPr>
          <w:p w14:paraId="63851F71">
            <w:pPr>
              <w:pStyle w:val="227"/>
              <w:spacing w:line="560" w:lineRule="exact"/>
              <w:jc w:val="center"/>
              <w:rPr>
                <w:rFonts w:hint="eastAsia" w:ascii="仿宋" w:hAnsi="仿宋" w:eastAsia="仿宋" w:cs="仿宋"/>
                <w:kern w:val="2"/>
                <w:sz w:val="24"/>
                <w:szCs w:val="24"/>
                <w:highlight w:val="none"/>
              </w:rPr>
            </w:pPr>
          </w:p>
        </w:tc>
      </w:tr>
      <w:tr w14:paraId="46A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4CD4A12">
            <w:pPr>
              <w:pStyle w:val="227"/>
              <w:spacing w:line="560" w:lineRule="exact"/>
              <w:jc w:val="center"/>
              <w:rPr>
                <w:rFonts w:hint="eastAsia" w:ascii="仿宋" w:hAnsi="仿宋" w:eastAsia="仿宋" w:cs="仿宋"/>
                <w:kern w:val="2"/>
                <w:sz w:val="24"/>
                <w:szCs w:val="24"/>
                <w:highlight w:val="none"/>
              </w:rPr>
            </w:pPr>
          </w:p>
        </w:tc>
        <w:tc>
          <w:tcPr>
            <w:tcW w:w="2377" w:type="pct"/>
            <w:vAlign w:val="center"/>
          </w:tcPr>
          <w:p w14:paraId="28CFE178">
            <w:pPr>
              <w:pStyle w:val="227"/>
              <w:spacing w:line="560" w:lineRule="exact"/>
              <w:jc w:val="center"/>
              <w:rPr>
                <w:rFonts w:hint="eastAsia" w:ascii="仿宋" w:hAnsi="仿宋" w:eastAsia="仿宋" w:cs="仿宋"/>
                <w:kern w:val="2"/>
                <w:sz w:val="24"/>
                <w:szCs w:val="24"/>
                <w:highlight w:val="none"/>
              </w:rPr>
            </w:pPr>
          </w:p>
        </w:tc>
        <w:tc>
          <w:tcPr>
            <w:tcW w:w="1783" w:type="pct"/>
            <w:vAlign w:val="center"/>
          </w:tcPr>
          <w:p w14:paraId="22EA4A7B">
            <w:pPr>
              <w:pStyle w:val="227"/>
              <w:spacing w:line="560" w:lineRule="exact"/>
              <w:jc w:val="center"/>
              <w:rPr>
                <w:rFonts w:hint="eastAsia" w:ascii="仿宋" w:hAnsi="仿宋" w:eastAsia="仿宋" w:cs="仿宋"/>
                <w:kern w:val="2"/>
                <w:sz w:val="24"/>
                <w:szCs w:val="24"/>
                <w:highlight w:val="none"/>
              </w:rPr>
            </w:pPr>
          </w:p>
        </w:tc>
      </w:tr>
      <w:tr w14:paraId="4710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5A7BED5C">
            <w:pPr>
              <w:pStyle w:val="227"/>
              <w:spacing w:line="560" w:lineRule="exact"/>
              <w:ind w:firstLine="48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总价</w:t>
            </w:r>
          </w:p>
        </w:tc>
        <w:tc>
          <w:tcPr>
            <w:tcW w:w="1783" w:type="pct"/>
            <w:vAlign w:val="center"/>
          </w:tcPr>
          <w:p w14:paraId="09E7CE79">
            <w:pPr>
              <w:pStyle w:val="227"/>
              <w:spacing w:line="560" w:lineRule="exact"/>
              <w:rPr>
                <w:rFonts w:hint="eastAsia" w:ascii="仿宋" w:hAnsi="仿宋" w:eastAsia="仿宋" w:cs="仿宋"/>
                <w:kern w:val="2"/>
                <w:sz w:val="24"/>
                <w:szCs w:val="24"/>
                <w:highlight w:val="none"/>
              </w:rPr>
            </w:pPr>
          </w:p>
        </w:tc>
      </w:tr>
    </w:tbl>
    <w:p w14:paraId="182DD6D2">
      <w:pPr>
        <w:spacing w:line="560" w:lineRule="exact"/>
        <w:ind w:firstLine="482" w:firstLineChars="200"/>
        <w:rPr>
          <w:rFonts w:hint="eastAsia" w:ascii="仿宋" w:hAnsi="仿宋" w:eastAsia="仿宋" w:cs="仿宋"/>
          <w:b/>
          <w:sz w:val="24"/>
          <w:highlight w:val="none"/>
        </w:rPr>
      </w:pPr>
      <w:bookmarkStart w:id="63" w:name="_Toc14993"/>
      <w:bookmarkStart w:id="64" w:name="_Toc3654"/>
      <w:bookmarkStart w:id="65" w:name="_Toc30158"/>
      <w:bookmarkStart w:id="66" w:name="_Toc82617973"/>
      <w:bookmarkStart w:id="67" w:name="_Toc26916"/>
      <w:bookmarkStart w:id="68" w:name="_Toc37868831"/>
      <w:bookmarkStart w:id="69" w:name="_Toc2591677"/>
      <w:bookmarkStart w:id="70" w:name="_Toc30506"/>
      <w:r>
        <w:rPr>
          <w:rFonts w:hint="eastAsia" w:ascii="仿宋" w:hAnsi="仿宋" w:eastAsia="仿宋" w:cs="仿宋"/>
          <w:b/>
          <w:sz w:val="24"/>
          <w:highlight w:val="none"/>
        </w:rPr>
        <w:t>1.4 付款方式和发票开具方式</w:t>
      </w:r>
      <w:bookmarkEnd w:id="63"/>
      <w:bookmarkEnd w:id="64"/>
      <w:bookmarkEnd w:id="65"/>
      <w:bookmarkEnd w:id="66"/>
      <w:bookmarkEnd w:id="67"/>
      <w:bookmarkEnd w:id="68"/>
      <w:bookmarkEnd w:id="69"/>
      <w:bookmarkEnd w:id="70"/>
    </w:p>
    <w:p w14:paraId="6EFD2A8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1.4.1付款方式：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2C6844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 发票开具方式：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569DB04">
      <w:pPr>
        <w:spacing w:line="560" w:lineRule="exact"/>
        <w:ind w:firstLine="482" w:firstLineChars="200"/>
        <w:rPr>
          <w:rFonts w:hint="eastAsia" w:ascii="仿宋" w:hAnsi="仿宋" w:eastAsia="仿宋" w:cs="仿宋"/>
          <w:b/>
          <w:sz w:val="24"/>
          <w:highlight w:val="none"/>
        </w:rPr>
      </w:pPr>
      <w:bookmarkStart w:id="71" w:name="_Toc82617974"/>
      <w:bookmarkStart w:id="72" w:name="_Toc3625"/>
      <w:bookmarkStart w:id="73" w:name="_Toc8772"/>
      <w:bookmarkStart w:id="74" w:name="_Toc31421"/>
      <w:bookmarkStart w:id="75" w:name="_Toc11108"/>
      <w:bookmarkStart w:id="76" w:name="_Toc4760"/>
      <w:bookmarkStart w:id="77" w:name="_Toc2591678"/>
      <w:bookmarkStart w:id="78" w:name="_Toc37868832"/>
      <w:r>
        <w:rPr>
          <w:rFonts w:hint="eastAsia" w:ascii="仿宋" w:hAnsi="仿宋" w:eastAsia="仿宋" w:cs="仿宋"/>
          <w:b/>
          <w:sz w:val="24"/>
          <w:highlight w:val="none"/>
        </w:rPr>
        <w:t>1.5 履行期限、地点和方式</w:t>
      </w:r>
      <w:bookmarkEnd w:id="71"/>
      <w:bookmarkEnd w:id="72"/>
      <w:bookmarkEnd w:id="73"/>
      <w:bookmarkEnd w:id="74"/>
      <w:bookmarkEnd w:id="75"/>
      <w:bookmarkEnd w:id="76"/>
      <w:bookmarkEnd w:id="77"/>
      <w:bookmarkEnd w:id="78"/>
    </w:p>
    <w:p w14:paraId="180C796B">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1.5.1 履行期限：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D6FDE0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履行地点：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C86953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 履行方式：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86365B7">
      <w:pPr>
        <w:spacing w:line="560" w:lineRule="exact"/>
        <w:ind w:firstLine="482" w:firstLineChars="200"/>
        <w:rPr>
          <w:rFonts w:hint="eastAsia" w:ascii="仿宋" w:hAnsi="仿宋" w:eastAsia="仿宋" w:cs="仿宋"/>
          <w:sz w:val="24"/>
          <w:highlight w:val="none"/>
          <w:u w:val="single"/>
        </w:rPr>
      </w:pPr>
      <w:bookmarkStart w:id="79" w:name="_Toc82617975"/>
      <w:bookmarkStart w:id="80" w:name="_Toc24662"/>
      <w:bookmarkStart w:id="81" w:name="_Toc2591679"/>
      <w:bookmarkStart w:id="82" w:name="_Toc8586"/>
      <w:bookmarkStart w:id="83" w:name="_Toc37868833"/>
      <w:bookmarkStart w:id="84" w:name="_Toc2375"/>
      <w:bookmarkStart w:id="85" w:name="_Toc3079"/>
      <w:bookmarkStart w:id="86" w:name="_Toc5698"/>
      <w:r>
        <w:rPr>
          <w:rFonts w:hint="eastAsia" w:ascii="仿宋" w:hAnsi="仿宋" w:eastAsia="仿宋" w:cs="仿宋"/>
          <w:b/>
          <w:sz w:val="24"/>
          <w:highlight w:val="none"/>
        </w:rPr>
        <w:t>1.6 违约责任</w:t>
      </w:r>
      <w:bookmarkEnd w:id="79"/>
      <w:bookmarkEnd w:id="80"/>
      <w:bookmarkEnd w:id="81"/>
      <w:bookmarkEnd w:id="82"/>
      <w:bookmarkEnd w:id="83"/>
      <w:bookmarkEnd w:id="84"/>
      <w:bookmarkEnd w:id="85"/>
      <w:bookmarkEnd w:id="86"/>
    </w:p>
    <w:p w14:paraId="6E26D1B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14:paraId="75B7E930">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14:paraId="617A684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31E71E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22945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615EA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AC4F0E6">
      <w:pPr>
        <w:spacing w:line="560" w:lineRule="exact"/>
        <w:ind w:firstLine="482" w:firstLineChars="200"/>
        <w:rPr>
          <w:rFonts w:hint="eastAsia" w:ascii="仿宋" w:hAnsi="仿宋" w:eastAsia="仿宋" w:cs="仿宋"/>
          <w:b/>
          <w:sz w:val="24"/>
          <w:highlight w:val="none"/>
        </w:rPr>
      </w:pPr>
      <w:bookmarkStart w:id="87" w:name="_Toc18683"/>
      <w:bookmarkStart w:id="88" w:name="_Toc30329"/>
      <w:bookmarkStart w:id="89" w:name="_Toc37868834"/>
      <w:bookmarkStart w:id="90" w:name="_Toc82617976"/>
      <w:bookmarkStart w:id="91" w:name="_Toc26807"/>
      <w:bookmarkStart w:id="92" w:name="_Toc9497"/>
      <w:bookmarkStart w:id="93" w:name="_Toc2591680"/>
      <w:bookmarkStart w:id="94" w:name="_Toc32454"/>
      <w:r>
        <w:rPr>
          <w:rFonts w:hint="eastAsia" w:ascii="仿宋" w:hAnsi="仿宋" w:eastAsia="仿宋" w:cs="仿宋"/>
          <w:b/>
          <w:sz w:val="24"/>
          <w:highlight w:val="none"/>
        </w:rPr>
        <w:t>1.7 合同争议的解决</w:t>
      </w:r>
      <w:bookmarkEnd w:id="87"/>
      <w:bookmarkEnd w:id="88"/>
      <w:bookmarkEnd w:id="89"/>
      <w:bookmarkEnd w:id="90"/>
      <w:bookmarkEnd w:id="91"/>
      <w:bookmarkEnd w:id="92"/>
      <w:bookmarkEnd w:id="93"/>
      <w:bookmarkEnd w:id="94"/>
    </w:p>
    <w:p w14:paraId="6FC6D7F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种方式解决：</w:t>
      </w:r>
    </w:p>
    <w:p w14:paraId="6672CA1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1.7.1 将争议提交</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仲裁委员会依申请仲裁时其现行有效的仲裁规则裁决；</w:t>
      </w:r>
    </w:p>
    <w:p w14:paraId="6E3635F5">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1.7.2 向</w:t>
      </w:r>
      <w:r>
        <w:rPr>
          <w:rFonts w:hint="eastAsia" w:ascii="仿宋" w:hAnsi="仿宋" w:eastAsia="仿宋" w:cs="仿宋"/>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highlight w:val="none"/>
        </w:rPr>
        <w:t>人民法院起诉。</w:t>
      </w:r>
    </w:p>
    <w:p w14:paraId="6D32425C">
      <w:pPr>
        <w:spacing w:line="560" w:lineRule="exact"/>
        <w:ind w:firstLine="482" w:firstLineChars="200"/>
        <w:rPr>
          <w:rFonts w:hint="eastAsia" w:ascii="仿宋" w:hAnsi="仿宋" w:eastAsia="仿宋" w:cs="仿宋"/>
          <w:b/>
          <w:sz w:val="24"/>
          <w:highlight w:val="none"/>
        </w:rPr>
      </w:pPr>
      <w:bookmarkStart w:id="95" w:name="_Toc26227"/>
      <w:bookmarkStart w:id="96" w:name="_Toc12273"/>
      <w:bookmarkStart w:id="97" w:name="_Toc37868835"/>
      <w:bookmarkStart w:id="98" w:name="_Toc82617977"/>
      <w:bookmarkStart w:id="99" w:name="_Toc23784"/>
      <w:bookmarkStart w:id="100" w:name="_Toc16417"/>
      <w:bookmarkStart w:id="101" w:name="_Toc2591681"/>
      <w:bookmarkStart w:id="102" w:name="_Toc15827"/>
      <w:r>
        <w:rPr>
          <w:rFonts w:hint="eastAsia" w:ascii="仿宋" w:hAnsi="仿宋" w:eastAsia="仿宋" w:cs="仿宋"/>
          <w:b/>
          <w:sz w:val="24"/>
          <w:highlight w:val="none"/>
        </w:rPr>
        <w:t>1.8 合同生效</w:t>
      </w:r>
      <w:bookmarkEnd w:id="95"/>
      <w:bookmarkEnd w:id="96"/>
      <w:bookmarkEnd w:id="97"/>
      <w:bookmarkEnd w:id="98"/>
      <w:bookmarkEnd w:id="99"/>
      <w:bookmarkEnd w:id="100"/>
      <w:bookmarkEnd w:id="101"/>
      <w:bookmarkEnd w:id="102"/>
    </w:p>
    <w:p w14:paraId="49B56FF6">
      <w:pPr>
        <w:spacing w:line="56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本合同自双方当事人盖章或者签字时生效。</w:t>
      </w:r>
    </w:p>
    <w:p w14:paraId="3C8BD5C1">
      <w:pPr>
        <w:autoSpaceDE w:val="0"/>
        <w:autoSpaceDN w:val="0"/>
        <w:adjustRightInd w:val="0"/>
        <w:spacing w:line="560" w:lineRule="exact"/>
        <w:rPr>
          <w:rFonts w:hint="eastAsia" w:ascii="仿宋" w:hAnsi="仿宋" w:eastAsia="仿宋" w:cs="仿宋"/>
          <w:sz w:val="24"/>
          <w:highlight w:val="none"/>
          <w:lang w:val="zh-CN"/>
        </w:rPr>
      </w:pPr>
    </w:p>
    <w:p w14:paraId="6FF17F6A">
      <w:pPr>
        <w:autoSpaceDE w:val="0"/>
        <w:autoSpaceDN w:val="0"/>
        <w:adjustRightInd w:val="0"/>
        <w:spacing w:line="560" w:lineRule="exact"/>
        <w:rPr>
          <w:rFonts w:hint="eastAsia" w:ascii="仿宋" w:hAnsi="仿宋" w:eastAsia="仿宋" w:cs="仿宋"/>
          <w:b/>
          <w:sz w:val="24"/>
          <w:highlight w:val="none"/>
          <w:lang w:val="zh-CN"/>
        </w:rPr>
      </w:pPr>
    </w:p>
    <w:p w14:paraId="3CE4F2A1">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 xml:space="preserve">：                             </w:t>
      </w:r>
      <w:r>
        <w:rPr>
          <w:rFonts w:hint="eastAsia" w:ascii="仿宋" w:hAnsi="仿宋" w:eastAsia="仿宋" w:cs="仿宋"/>
          <w:b/>
          <w:sz w:val="24"/>
          <w:highlight w:val="none"/>
          <w:lang w:val="zh-CN"/>
        </w:rPr>
        <w:t xml:space="preserve">      乙方</w:t>
      </w:r>
      <w:r>
        <w:rPr>
          <w:rFonts w:hint="eastAsia" w:ascii="仿宋" w:hAnsi="仿宋" w:eastAsia="仿宋" w:cs="仿宋"/>
          <w:sz w:val="24"/>
          <w:highlight w:val="none"/>
          <w:lang w:val="zh-CN"/>
        </w:rPr>
        <w:t>：</w:t>
      </w:r>
    </w:p>
    <w:p w14:paraId="6254F305">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                       统一社会信用代码或身份证号码：</w:t>
      </w:r>
    </w:p>
    <w:p w14:paraId="2FCA4FBA">
      <w:pPr>
        <w:autoSpaceDE w:val="0"/>
        <w:autoSpaceDN w:val="0"/>
        <w:adjustRightInd w:val="0"/>
        <w:spacing w:line="560" w:lineRule="exact"/>
        <w:rPr>
          <w:rFonts w:hint="eastAsia" w:ascii="仿宋" w:hAnsi="仿宋" w:eastAsia="仿宋" w:cs="仿宋"/>
          <w:sz w:val="24"/>
          <w:highlight w:val="none"/>
          <w:lang w:val="zh-CN"/>
        </w:rPr>
      </w:pPr>
    </w:p>
    <w:p w14:paraId="0826EE2C">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住所：                                   住所：</w:t>
      </w:r>
    </w:p>
    <w:p w14:paraId="1CA0E5CC">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                             法定代表人</w:t>
      </w:r>
    </w:p>
    <w:p w14:paraId="05620876">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                       或授权代表（签字）: </w:t>
      </w:r>
    </w:p>
    <w:p w14:paraId="5DCA39BB">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                                 联系人：</w:t>
      </w:r>
    </w:p>
    <w:p w14:paraId="58AF7D84">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                           约定送达地址：</w:t>
      </w:r>
    </w:p>
    <w:p w14:paraId="4DE00CE8">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                               邮政编码：</w:t>
      </w:r>
    </w:p>
    <w:p w14:paraId="75B19FBC">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14:paraId="7D14DB61">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14:paraId="3CF547DB">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lang w:val="zh-CN"/>
        </w:rPr>
        <w:t>电子邮箱：                               电子邮箱：</w:t>
      </w:r>
    </w:p>
    <w:p w14:paraId="3B6D0599">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14:paraId="641DC8A1">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 xml:space="preserve">开户名称：                               开户名称： </w:t>
      </w:r>
    </w:p>
    <w:p w14:paraId="0F8CE283">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开户账号：</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开户账号：</w:t>
      </w:r>
    </w:p>
    <w:p w14:paraId="6BF8F268">
      <w:pPr>
        <w:widowControl/>
        <w:spacing w:line="560" w:lineRule="exact"/>
        <w:jc w:val="left"/>
        <w:rPr>
          <w:rFonts w:hint="eastAsia" w:ascii="仿宋" w:hAnsi="仿宋" w:eastAsia="仿宋" w:cs="仿宋"/>
          <w:b/>
          <w:highlight w:val="none"/>
        </w:rPr>
      </w:pPr>
      <w:bookmarkStart w:id="103" w:name="_Toc331685783"/>
    </w:p>
    <w:p w14:paraId="3D4E6A88">
      <w:pPr>
        <w:widowControl/>
        <w:spacing w:line="560" w:lineRule="exact"/>
        <w:jc w:val="left"/>
        <w:rPr>
          <w:rFonts w:hint="eastAsia" w:ascii="仿宋" w:hAnsi="仿宋" w:eastAsia="仿宋" w:cs="仿宋"/>
          <w:b/>
          <w:highlight w:val="none"/>
        </w:rPr>
      </w:pPr>
    </w:p>
    <w:p w14:paraId="3F1A696F">
      <w:pPr>
        <w:pStyle w:val="225"/>
        <w:spacing w:line="560" w:lineRule="exact"/>
        <w:ind w:firstLine="200"/>
        <w:jc w:val="center"/>
        <w:rPr>
          <w:rFonts w:hint="eastAsia" w:ascii="仿宋" w:hAnsi="仿宋" w:eastAsia="仿宋" w:cs="仿宋"/>
          <w:b/>
          <w:szCs w:val="24"/>
          <w:highlight w:val="none"/>
        </w:rPr>
      </w:pPr>
      <w:r>
        <w:rPr>
          <w:rFonts w:hint="eastAsia" w:ascii="仿宋" w:hAnsi="仿宋" w:eastAsia="仿宋" w:cs="仿宋"/>
          <w:b/>
          <w:szCs w:val="24"/>
          <w:highlight w:val="none"/>
        </w:rPr>
        <w:br w:type="page"/>
      </w:r>
      <w:r>
        <w:rPr>
          <w:rFonts w:hint="eastAsia" w:ascii="仿宋" w:hAnsi="仿宋" w:eastAsia="仿宋" w:cs="仿宋"/>
          <w:b/>
          <w:szCs w:val="24"/>
          <w:highlight w:val="none"/>
        </w:rPr>
        <w:t>第二部分 合同一般条款</w:t>
      </w:r>
      <w:bookmarkEnd w:id="103"/>
    </w:p>
    <w:p w14:paraId="2392ABAD">
      <w:pPr>
        <w:spacing w:line="560" w:lineRule="exact"/>
        <w:ind w:firstLine="482" w:firstLineChars="200"/>
        <w:rPr>
          <w:rFonts w:hint="eastAsia" w:ascii="仿宋" w:hAnsi="仿宋" w:eastAsia="仿宋" w:cs="仿宋"/>
          <w:b/>
          <w:sz w:val="24"/>
          <w:highlight w:val="none"/>
        </w:rPr>
      </w:pPr>
      <w:bookmarkStart w:id="104" w:name="_Toc279701240"/>
      <w:bookmarkStart w:id="105" w:name="_Ref467379205"/>
      <w:bookmarkStart w:id="106" w:name="_Toc259093669"/>
      <w:bookmarkStart w:id="107" w:name="_Ref467378499"/>
      <w:bookmarkStart w:id="108" w:name="_Toc19680"/>
      <w:bookmarkStart w:id="109" w:name="_Toc14021"/>
      <w:bookmarkStart w:id="110" w:name="_Toc2591682"/>
      <w:bookmarkStart w:id="111" w:name="_Ref467378404"/>
      <w:bookmarkStart w:id="112" w:name="_Toc37868836"/>
      <w:bookmarkStart w:id="113" w:name="_Ref467379214"/>
      <w:bookmarkStart w:id="114" w:name="_Ref467379109"/>
      <w:bookmarkStart w:id="115" w:name="_Toc31297"/>
      <w:bookmarkStart w:id="116" w:name="_Ref467379195"/>
      <w:bookmarkStart w:id="117" w:name="_Ref467379101"/>
      <w:bookmarkStart w:id="118" w:name="_Toc487900349"/>
      <w:bookmarkStart w:id="119" w:name="_Ref467379225"/>
      <w:bookmarkStart w:id="120" w:name="_Toc5228"/>
      <w:bookmarkStart w:id="121" w:name="_Toc25079"/>
      <w:bookmarkStart w:id="122" w:name="_Toc82617978"/>
      <w:bookmarkStart w:id="123" w:name="_Ref467379094"/>
      <w:bookmarkStart w:id="124" w:name="_Ref467378463"/>
      <w:r>
        <w:rPr>
          <w:rFonts w:hint="eastAsia" w:ascii="仿宋" w:hAnsi="仿宋" w:eastAsia="仿宋" w:cs="仿宋"/>
          <w:b/>
          <w:sz w:val="24"/>
          <w:highlight w:val="none"/>
        </w:rPr>
        <w:t>2.1 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3ED95B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14:paraId="4327AFE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“合同”系指采购人和中标供应商签订的载明双方当事人所达成的协议，并包括所有的附件、附录和构成合同的其他文件。</w:t>
      </w:r>
    </w:p>
    <w:p w14:paraId="6CD36DE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“合同价”系指根据合同约定，中标供应商在完全履行合同义务后，采购人应支付给中标供应商的价格。</w:t>
      </w:r>
    </w:p>
    <w:p w14:paraId="5BD8A17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 “服务”系指中标供应商根据合同约定应向采购人履行的除货物和工程以外的其他政府采购对象，包括采购人自身需要的服务和向社会公众提供的公共服务。</w:t>
      </w:r>
    </w:p>
    <w:p w14:paraId="2E0C4A86">
      <w:pPr>
        <w:spacing w:line="560" w:lineRule="exact"/>
        <w:ind w:firstLine="480" w:firstLineChars="200"/>
        <w:rPr>
          <w:rFonts w:hint="eastAsia" w:ascii="仿宋" w:hAnsi="仿宋" w:eastAsia="仿宋" w:cs="仿宋"/>
          <w:sz w:val="24"/>
          <w:highlight w:val="none"/>
        </w:rPr>
      </w:pPr>
      <w:bookmarkStart w:id="125" w:name="_Ref467378840"/>
      <w:r>
        <w:rPr>
          <w:rFonts w:hint="eastAsia" w:ascii="仿宋" w:hAnsi="仿宋" w:eastAsia="仿宋" w:cs="仿宋"/>
          <w:sz w:val="24"/>
          <w:highlight w:val="none"/>
        </w:rPr>
        <w:t>2.1.4 “甲方”系指与中标供应商签署合同的采购人</w:t>
      </w:r>
      <w:bookmarkEnd w:id="125"/>
      <w:r>
        <w:rPr>
          <w:rFonts w:hint="eastAsia" w:ascii="仿宋" w:hAnsi="仿宋" w:eastAsia="仿宋" w:cs="仿宋"/>
          <w:sz w:val="24"/>
          <w:highlight w:val="none"/>
        </w:rPr>
        <w:t>；采购人委托采购代理机构代表其与乙方签订合同的，采购人的授权委托书作为合同附件。</w:t>
      </w:r>
    </w:p>
    <w:p w14:paraId="1DFC1BCE">
      <w:pPr>
        <w:spacing w:line="560" w:lineRule="exact"/>
        <w:ind w:firstLine="480" w:firstLineChars="200"/>
        <w:rPr>
          <w:rFonts w:hint="eastAsia" w:ascii="仿宋" w:hAnsi="仿宋" w:eastAsia="仿宋" w:cs="仿宋"/>
          <w:sz w:val="24"/>
          <w:highlight w:val="none"/>
        </w:rPr>
      </w:pPr>
      <w:bookmarkStart w:id="126" w:name="_Ref467379400"/>
      <w:r>
        <w:rPr>
          <w:rFonts w:hint="eastAsia" w:ascii="仿宋" w:hAnsi="仿宋" w:eastAsia="仿宋" w:cs="仿宋"/>
          <w:sz w:val="24"/>
          <w:highlight w:val="none"/>
        </w:rPr>
        <w:t>2.1.5 “乙方”系指根据合同约定提供服务的中标供应商</w:t>
      </w:r>
      <w:bookmarkEnd w:id="126"/>
      <w:r>
        <w:rPr>
          <w:rFonts w:hint="eastAsia" w:ascii="仿宋" w:hAnsi="仿宋" w:eastAsia="仿宋" w:cs="仿宋"/>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B78240A">
      <w:pPr>
        <w:spacing w:line="560" w:lineRule="exact"/>
        <w:ind w:firstLine="480" w:firstLineChars="200"/>
        <w:rPr>
          <w:rFonts w:hint="eastAsia" w:ascii="仿宋" w:hAnsi="仿宋" w:eastAsia="仿宋" w:cs="仿宋"/>
          <w:sz w:val="24"/>
          <w:highlight w:val="none"/>
        </w:rPr>
      </w:pPr>
      <w:bookmarkStart w:id="127" w:name="_Ref467379436"/>
      <w:r>
        <w:rPr>
          <w:rFonts w:hint="eastAsia" w:ascii="仿宋" w:hAnsi="仿宋" w:eastAsia="仿宋" w:cs="仿宋"/>
          <w:sz w:val="24"/>
          <w:highlight w:val="none"/>
        </w:rPr>
        <w:t>2.1.6 “现场”系指合同约定提供服务的地点。</w:t>
      </w:r>
      <w:bookmarkEnd w:id="127"/>
    </w:p>
    <w:p w14:paraId="279C3C5F">
      <w:pPr>
        <w:spacing w:line="560" w:lineRule="exact"/>
        <w:ind w:firstLine="482" w:firstLineChars="200"/>
        <w:rPr>
          <w:rFonts w:hint="eastAsia" w:ascii="仿宋" w:hAnsi="仿宋" w:eastAsia="仿宋" w:cs="仿宋"/>
          <w:b/>
          <w:sz w:val="24"/>
          <w:highlight w:val="none"/>
        </w:rPr>
      </w:pPr>
      <w:bookmarkStart w:id="128" w:name="_Toc279701241"/>
      <w:bookmarkStart w:id="129" w:name="_Toc16752"/>
      <w:bookmarkStart w:id="130" w:name="_Toc19539"/>
      <w:bookmarkStart w:id="131" w:name="_Toc23289"/>
      <w:bookmarkStart w:id="132" w:name="_Toc259093670"/>
      <w:bookmarkStart w:id="133" w:name="_Toc31402"/>
      <w:bookmarkStart w:id="134" w:name="_Toc37868837"/>
      <w:bookmarkStart w:id="135" w:name="_Toc3769"/>
      <w:bookmarkStart w:id="136" w:name="_Toc82617979"/>
      <w:bookmarkStart w:id="137" w:name="_Toc487900350"/>
      <w:bookmarkStart w:id="138" w:name="_Toc2591683"/>
      <w:r>
        <w:rPr>
          <w:rFonts w:hint="eastAsia" w:ascii="仿宋" w:hAnsi="仿宋" w:eastAsia="仿宋" w:cs="仿宋"/>
          <w:b/>
          <w:sz w:val="24"/>
          <w:highlight w:val="none"/>
        </w:rPr>
        <w:t>2.2 技术规范</w:t>
      </w:r>
      <w:bookmarkEnd w:id="128"/>
      <w:bookmarkEnd w:id="129"/>
      <w:bookmarkEnd w:id="130"/>
      <w:bookmarkEnd w:id="131"/>
      <w:bookmarkEnd w:id="132"/>
      <w:bookmarkEnd w:id="133"/>
      <w:bookmarkEnd w:id="134"/>
      <w:bookmarkEnd w:id="135"/>
      <w:bookmarkEnd w:id="136"/>
      <w:bookmarkEnd w:id="137"/>
      <w:bookmarkEnd w:id="138"/>
    </w:p>
    <w:p w14:paraId="6B7FF8A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73BD31E">
      <w:pPr>
        <w:spacing w:line="560" w:lineRule="exact"/>
        <w:ind w:firstLine="482" w:firstLineChars="200"/>
        <w:rPr>
          <w:rFonts w:hint="eastAsia" w:ascii="仿宋" w:hAnsi="仿宋" w:eastAsia="仿宋" w:cs="仿宋"/>
          <w:b/>
          <w:sz w:val="24"/>
          <w:highlight w:val="none"/>
        </w:rPr>
      </w:pPr>
      <w:bookmarkStart w:id="139" w:name="_Toc4133"/>
      <w:bookmarkStart w:id="140" w:name="_Toc2591684"/>
      <w:bookmarkStart w:id="141" w:name="_Toc9161"/>
      <w:bookmarkStart w:id="142" w:name="_Toc37868838"/>
      <w:bookmarkStart w:id="143" w:name="_Toc13673"/>
      <w:bookmarkStart w:id="144" w:name="_Toc487900351"/>
      <w:bookmarkStart w:id="145" w:name="_Toc279701242"/>
      <w:bookmarkStart w:id="146" w:name="_Toc27945"/>
      <w:bookmarkStart w:id="147" w:name="_Toc12412"/>
      <w:bookmarkStart w:id="148" w:name="_Toc259093671"/>
      <w:bookmarkStart w:id="149" w:name="_Toc82617980"/>
      <w:r>
        <w:rPr>
          <w:rFonts w:hint="eastAsia" w:ascii="仿宋" w:hAnsi="仿宋" w:eastAsia="仿宋" w:cs="仿宋"/>
          <w:b/>
          <w:sz w:val="24"/>
          <w:highlight w:val="none"/>
        </w:rPr>
        <w:t>2.3 知识产权</w:t>
      </w:r>
      <w:bookmarkEnd w:id="139"/>
      <w:bookmarkEnd w:id="140"/>
      <w:bookmarkEnd w:id="141"/>
      <w:bookmarkEnd w:id="142"/>
      <w:bookmarkEnd w:id="143"/>
      <w:bookmarkEnd w:id="144"/>
      <w:bookmarkEnd w:id="145"/>
      <w:bookmarkEnd w:id="146"/>
      <w:bookmarkEnd w:id="147"/>
      <w:bookmarkEnd w:id="148"/>
      <w:bookmarkEnd w:id="149"/>
    </w:p>
    <w:p w14:paraId="122272D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FC8337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388458BB">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2.4 履约检查和问题反馈</w:t>
      </w:r>
    </w:p>
    <w:p w14:paraId="7D60CA71">
      <w:pPr>
        <w:spacing w:line="560" w:lineRule="exact"/>
        <w:ind w:firstLine="480" w:firstLineChars="200"/>
        <w:rPr>
          <w:rFonts w:hint="eastAsia" w:ascii="仿宋" w:hAnsi="仿宋" w:eastAsia="仿宋" w:cs="仿宋"/>
          <w:sz w:val="24"/>
          <w:highlight w:val="none"/>
        </w:rPr>
      </w:pPr>
      <w:bookmarkStart w:id="150" w:name="_Ref467379657"/>
      <w:r>
        <w:rPr>
          <w:rFonts w:hint="eastAsia" w:ascii="仿宋" w:hAnsi="仿宋" w:eastAsia="仿宋" w:cs="仿宋"/>
          <w:sz w:val="24"/>
          <w:highlight w:val="none"/>
        </w:rPr>
        <w:t>2.4.1</w:t>
      </w:r>
      <w:bookmarkEnd w:id="150"/>
      <w:bookmarkStart w:id="151" w:name="_Toc186431854"/>
      <w:bookmarkStart w:id="152" w:name="_Toc487900357"/>
      <w:bookmarkStart w:id="153" w:name="_Toc259093676"/>
      <w:bookmarkStart w:id="154" w:name="_Ref467379807"/>
      <w:bookmarkStart w:id="155" w:name="_Toc279701247"/>
      <w:bookmarkStart w:id="156" w:name="_Ref467379793"/>
      <w:r>
        <w:rPr>
          <w:rFonts w:hint="eastAsia" w:ascii="仿宋" w:hAnsi="仿宋" w:eastAsia="仿宋" w:cs="仿宋"/>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604D338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合同履行期间，甲方有权将履行过程中出现的问题反馈给乙方，双方当事人应以书面形式约定需要完善和改进的内容</w:t>
      </w:r>
      <w:bookmarkEnd w:id="151"/>
      <w:bookmarkStart w:id="157" w:name="_Toc186431855"/>
      <w:r>
        <w:rPr>
          <w:rFonts w:hint="eastAsia" w:ascii="仿宋" w:hAnsi="仿宋" w:eastAsia="仿宋" w:cs="仿宋"/>
          <w:sz w:val="24"/>
          <w:highlight w:val="none"/>
        </w:rPr>
        <w:t>。</w:t>
      </w:r>
    </w:p>
    <w:bookmarkEnd w:id="157"/>
    <w:p w14:paraId="0549E0DB">
      <w:pPr>
        <w:spacing w:line="560" w:lineRule="exact"/>
        <w:ind w:firstLine="482" w:firstLineChars="200"/>
        <w:rPr>
          <w:rFonts w:hint="eastAsia" w:ascii="仿宋" w:hAnsi="仿宋" w:eastAsia="仿宋" w:cs="仿宋"/>
          <w:b/>
          <w:sz w:val="24"/>
          <w:highlight w:val="none"/>
        </w:rPr>
      </w:pPr>
      <w:bookmarkStart w:id="158" w:name="_Toc26555"/>
      <w:bookmarkStart w:id="159" w:name="_Toc32670"/>
      <w:bookmarkStart w:id="160" w:name="_Toc15447"/>
      <w:bookmarkStart w:id="161" w:name="_Toc2591685"/>
      <w:bookmarkStart w:id="162" w:name="_Toc37868839"/>
      <w:bookmarkStart w:id="163" w:name="_Toc22011"/>
      <w:bookmarkStart w:id="164" w:name="_Toc31233"/>
      <w:bookmarkStart w:id="165" w:name="_Toc82617981"/>
      <w:r>
        <w:rPr>
          <w:rFonts w:hint="eastAsia" w:ascii="仿宋" w:hAnsi="仿宋" w:eastAsia="仿宋" w:cs="仿宋"/>
          <w:b/>
          <w:sz w:val="24"/>
          <w:highlight w:val="none"/>
        </w:rPr>
        <w:t>2.5 结算方式和付款条件</w:t>
      </w:r>
      <w:bookmarkEnd w:id="152"/>
      <w:bookmarkEnd w:id="153"/>
      <w:bookmarkEnd w:id="154"/>
      <w:bookmarkEnd w:id="155"/>
      <w:bookmarkEnd w:id="156"/>
      <w:bookmarkEnd w:id="158"/>
      <w:bookmarkEnd w:id="159"/>
      <w:bookmarkEnd w:id="160"/>
      <w:bookmarkEnd w:id="161"/>
      <w:bookmarkEnd w:id="162"/>
      <w:bookmarkEnd w:id="163"/>
      <w:bookmarkEnd w:id="164"/>
      <w:bookmarkEnd w:id="165"/>
    </w:p>
    <w:p w14:paraId="4FC2570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DD11D65">
      <w:pPr>
        <w:spacing w:line="560" w:lineRule="exact"/>
        <w:ind w:firstLine="482" w:firstLineChars="200"/>
        <w:rPr>
          <w:rFonts w:hint="eastAsia" w:ascii="仿宋" w:hAnsi="仿宋" w:eastAsia="仿宋" w:cs="仿宋"/>
          <w:b/>
          <w:sz w:val="24"/>
          <w:highlight w:val="none"/>
        </w:rPr>
      </w:pPr>
      <w:bookmarkStart w:id="166" w:name="_Ref467379863"/>
      <w:bookmarkStart w:id="167" w:name="_Toc259093677"/>
      <w:bookmarkStart w:id="168" w:name="_Ref467379923"/>
      <w:bookmarkStart w:id="169" w:name="_Toc279701248"/>
      <w:bookmarkStart w:id="170" w:name="_Toc487900358"/>
      <w:bookmarkStart w:id="171" w:name="_Ref467379852"/>
      <w:bookmarkStart w:id="172" w:name="_Toc82617982"/>
      <w:bookmarkStart w:id="173" w:name="_Toc37868840"/>
      <w:bookmarkStart w:id="174" w:name="_Toc30507"/>
      <w:bookmarkStart w:id="175" w:name="_Toc13154"/>
      <w:bookmarkStart w:id="176" w:name="_Toc2591686"/>
      <w:bookmarkStart w:id="177" w:name="_Toc13467"/>
      <w:bookmarkStart w:id="178" w:name="_Toc16163"/>
      <w:bookmarkStart w:id="179" w:name="_Toc18990"/>
      <w:r>
        <w:rPr>
          <w:rFonts w:hint="eastAsia" w:ascii="仿宋" w:hAnsi="仿宋" w:eastAsia="仿宋" w:cs="仿宋"/>
          <w:b/>
          <w:sz w:val="24"/>
          <w:highlight w:val="none"/>
        </w:rPr>
        <w:t>2.6 技术资料</w:t>
      </w:r>
      <w:bookmarkEnd w:id="166"/>
      <w:bookmarkEnd w:id="167"/>
      <w:bookmarkEnd w:id="168"/>
      <w:bookmarkEnd w:id="169"/>
      <w:bookmarkEnd w:id="170"/>
      <w:bookmarkEnd w:id="171"/>
      <w:r>
        <w:rPr>
          <w:rFonts w:hint="eastAsia" w:ascii="仿宋" w:hAnsi="仿宋" w:eastAsia="仿宋" w:cs="仿宋"/>
          <w:b/>
          <w:sz w:val="24"/>
          <w:highlight w:val="none"/>
        </w:rPr>
        <w:t>和保密义务</w:t>
      </w:r>
      <w:bookmarkEnd w:id="172"/>
      <w:bookmarkEnd w:id="173"/>
      <w:bookmarkEnd w:id="174"/>
      <w:bookmarkEnd w:id="175"/>
      <w:bookmarkEnd w:id="176"/>
      <w:bookmarkEnd w:id="177"/>
      <w:bookmarkEnd w:id="178"/>
      <w:bookmarkEnd w:id="179"/>
    </w:p>
    <w:p w14:paraId="21AD3C2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14:paraId="123CFC8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14:paraId="0B75D59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C25544B">
      <w:pPr>
        <w:spacing w:line="560" w:lineRule="exact"/>
        <w:ind w:firstLine="482" w:firstLineChars="200"/>
        <w:rPr>
          <w:rFonts w:hint="eastAsia" w:ascii="仿宋" w:hAnsi="仿宋" w:eastAsia="仿宋" w:cs="仿宋"/>
          <w:b/>
          <w:sz w:val="24"/>
          <w:highlight w:val="none"/>
        </w:rPr>
      </w:pPr>
      <w:bookmarkStart w:id="180" w:name="_Toc82617983"/>
      <w:bookmarkStart w:id="181" w:name="_Toc37868841"/>
      <w:bookmarkStart w:id="182" w:name="_Toc19069"/>
      <w:bookmarkStart w:id="183" w:name="_Toc2591687"/>
      <w:bookmarkStart w:id="184" w:name="_Toc279701252"/>
      <w:bookmarkStart w:id="185" w:name="_Toc259093681"/>
      <w:bookmarkStart w:id="186" w:name="_Toc487900362"/>
      <w:r>
        <w:rPr>
          <w:rFonts w:hint="eastAsia" w:ascii="仿宋" w:hAnsi="仿宋" w:eastAsia="仿宋" w:cs="仿宋"/>
          <w:b/>
          <w:sz w:val="24"/>
          <w:highlight w:val="none"/>
        </w:rPr>
        <w:t>2.7 质量保证</w:t>
      </w:r>
      <w:bookmarkEnd w:id="180"/>
      <w:bookmarkEnd w:id="181"/>
      <w:bookmarkEnd w:id="182"/>
      <w:bookmarkEnd w:id="183"/>
    </w:p>
    <w:p w14:paraId="7422732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14:paraId="3E8F80C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14:paraId="7892499F">
      <w:pPr>
        <w:spacing w:line="560" w:lineRule="exact"/>
        <w:ind w:firstLine="482" w:firstLineChars="200"/>
        <w:rPr>
          <w:rFonts w:hint="eastAsia" w:ascii="仿宋" w:hAnsi="仿宋" w:eastAsia="仿宋" w:cs="仿宋"/>
          <w:b/>
          <w:sz w:val="24"/>
          <w:highlight w:val="none"/>
        </w:rPr>
      </w:pPr>
      <w:bookmarkStart w:id="187" w:name="_Toc22267"/>
      <w:bookmarkStart w:id="188" w:name="_Toc37868842"/>
      <w:bookmarkStart w:id="189" w:name="_Toc2591688"/>
      <w:bookmarkStart w:id="190" w:name="_Toc82617984"/>
      <w:r>
        <w:rPr>
          <w:rFonts w:hint="eastAsia" w:ascii="仿宋" w:hAnsi="仿宋" w:eastAsia="仿宋" w:cs="仿宋"/>
          <w:b/>
          <w:sz w:val="24"/>
          <w:highlight w:val="none"/>
        </w:rPr>
        <w:t>2.8 延迟</w:t>
      </w:r>
      <w:bookmarkEnd w:id="184"/>
      <w:bookmarkEnd w:id="185"/>
      <w:bookmarkEnd w:id="186"/>
      <w:r>
        <w:rPr>
          <w:rFonts w:hint="eastAsia" w:ascii="仿宋" w:hAnsi="仿宋" w:eastAsia="仿宋" w:cs="仿宋"/>
          <w:b/>
          <w:sz w:val="24"/>
          <w:highlight w:val="none"/>
        </w:rPr>
        <w:t>履行</w:t>
      </w:r>
      <w:bookmarkEnd w:id="187"/>
      <w:bookmarkEnd w:id="188"/>
      <w:bookmarkEnd w:id="189"/>
      <w:bookmarkEnd w:id="190"/>
    </w:p>
    <w:p w14:paraId="2BD31EB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EB14CCF">
      <w:pPr>
        <w:spacing w:line="560" w:lineRule="exact"/>
        <w:ind w:firstLine="482" w:firstLineChars="200"/>
        <w:rPr>
          <w:rFonts w:hint="eastAsia" w:ascii="仿宋" w:hAnsi="仿宋" w:eastAsia="仿宋" w:cs="仿宋"/>
          <w:b/>
          <w:sz w:val="24"/>
          <w:highlight w:val="none"/>
        </w:rPr>
      </w:pPr>
      <w:bookmarkStart w:id="191" w:name="_Toc37868843"/>
      <w:bookmarkStart w:id="192" w:name="_Toc2591689"/>
      <w:bookmarkStart w:id="193" w:name="_Toc82617985"/>
      <w:bookmarkStart w:id="194" w:name="_Toc10611"/>
      <w:bookmarkStart w:id="195" w:name="_Toc487900364"/>
      <w:bookmarkStart w:id="196" w:name="_Ref467378121"/>
      <w:bookmarkStart w:id="197" w:name="_Toc279701254"/>
      <w:bookmarkStart w:id="198" w:name="_Toc259093683"/>
      <w:r>
        <w:rPr>
          <w:rFonts w:hint="eastAsia" w:ascii="仿宋" w:hAnsi="仿宋" w:eastAsia="仿宋" w:cs="仿宋"/>
          <w:b/>
          <w:sz w:val="24"/>
          <w:highlight w:val="none"/>
        </w:rPr>
        <w:t>2.9 合同变更</w:t>
      </w:r>
      <w:bookmarkEnd w:id="191"/>
      <w:bookmarkEnd w:id="192"/>
      <w:bookmarkEnd w:id="193"/>
      <w:bookmarkEnd w:id="194"/>
    </w:p>
    <w:p w14:paraId="323EA24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71D8DE8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2.9.2 合同继续履行将损害国家利益和社会公共利益的，双方当事人应当以书面形式变更合同。有过错的一方应当承担赔偿责任，双方当事人都有过错的，各自承担相应的责任。</w:t>
      </w:r>
      <w:bookmarkStart w:id="199" w:name="_Toc487900369"/>
      <w:bookmarkStart w:id="200" w:name="_Toc279701259"/>
      <w:bookmarkStart w:id="201" w:name="_Toc259093688"/>
    </w:p>
    <w:p w14:paraId="48230F89">
      <w:pPr>
        <w:spacing w:line="560" w:lineRule="exact"/>
        <w:ind w:firstLine="482" w:firstLineChars="200"/>
        <w:rPr>
          <w:rFonts w:hint="eastAsia" w:ascii="仿宋" w:hAnsi="仿宋" w:eastAsia="仿宋" w:cs="仿宋"/>
          <w:b/>
          <w:sz w:val="24"/>
          <w:highlight w:val="none"/>
        </w:rPr>
      </w:pPr>
      <w:bookmarkStart w:id="202" w:name="_Toc23368"/>
      <w:bookmarkStart w:id="203" w:name="_Toc37868844"/>
      <w:bookmarkStart w:id="204" w:name="_Toc10663"/>
      <w:bookmarkStart w:id="205" w:name="_Toc2591690"/>
      <w:bookmarkStart w:id="206" w:name="_Toc82617986"/>
      <w:bookmarkStart w:id="207" w:name="_Toc26689"/>
      <w:bookmarkStart w:id="208" w:name="_Toc42"/>
      <w:bookmarkStart w:id="209" w:name="_Toc21830"/>
      <w:r>
        <w:rPr>
          <w:rFonts w:hint="eastAsia" w:ascii="仿宋" w:hAnsi="仿宋" w:eastAsia="仿宋" w:cs="仿宋"/>
          <w:b/>
          <w:sz w:val="24"/>
          <w:highlight w:val="none"/>
        </w:rPr>
        <w:t>2.10 合同转让</w:t>
      </w:r>
      <w:bookmarkEnd w:id="199"/>
      <w:bookmarkEnd w:id="200"/>
      <w:bookmarkEnd w:id="201"/>
      <w:r>
        <w:rPr>
          <w:rFonts w:hint="eastAsia" w:ascii="仿宋" w:hAnsi="仿宋" w:eastAsia="仿宋" w:cs="仿宋"/>
          <w:b/>
          <w:sz w:val="24"/>
          <w:highlight w:val="none"/>
        </w:rPr>
        <w:t>和分包</w:t>
      </w:r>
      <w:bookmarkEnd w:id="202"/>
      <w:bookmarkEnd w:id="203"/>
      <w:bookmarkEnd w:id="204"/>
      <w:bookmarkEnd w:id="205"/>
      <w:bookmarkEnd w:id="206"/>
      <w:bookmarkEnd w:id="207"/>
      <w:bookmarkEnd w:id="208"/>
      <w:bookmarkEnd w:id="209"/>
    </w:p>
    <w:p w14:paraId="4CCC2E2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557DD4B">
      <w:pPr>
        <w:spacing w:line="560" w:lineRule="exact"/>
        <w:ind w:firstLine="482" w:firstLineChars="200"/>
        <w:rPr>
          <w:rFonts w:hint="eastAsia" w:ascii="仿宋" w:hAnsi="仿宋" w:eastAsia="仿宋" w:cs="仿宋"/>
          <w:b/>
          <w:sz w:val="24"/>
          <w:highlight w:val="none"/>
        </w:rPr>
      </w:pPr>
      <w:bookmarkStart w:id="210" w:name="_Toc2591691"/>
      <w:bookmarkStart w:id="211" w:name="_Toc37868845"/>
      <w:bookmarkStart w:id="212" w:name="_Toc26633"/>
      <w:bookmarkStart w:id="213" w:name="_Toc25571"/>
      <w:bookmarkStart w:id="214" w:name="_Toc82617987"/>
      <w:bookmarkStart w:id="215" w:name="_Toc32494"/>
      <w:bookmarkStart w:id="216" w:name="_Toc4720"/>
      <w:bookmarkStart w:id="217" w:name="_Toc14371"/>
      <w:r>
        <w:rPr>
          <w:rFonts w:hint="eastAsia" w:ascii="仿宋" w:hAnsi="仿宋" w:eastAsia="仿宋" w:cs="仿宋"/>
          <w:b/>
          <w:sz w:val="24"/>
          <w:highlight w:val="none"/>
        </w:rPr>
        <w:t>2.11 不可抗力</w:t>
      </w:r>
      <w:bookmarkEnd w:id="210"/>
      <w:bookmarkEnd w:id="211"/>
      <w:bookmarkEnd w:id="212"/>
      <w:bookmarkEnd w:id="213"/>
      <w:bookmarkEnd w:id="214"/>
      <w:bookmarkEnd w:id="215"/>
      <w:bookmarkEnd w:id="216"/>
      <w:bookmarkEnd w:id="217"/>
    </w:p>
    <w:p w14:paraId="0AEB4840">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14:paraId="3BDBF2D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14:paraId="4DC3933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14:paraId="5394CE1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2.11.4受不可抗力影响的一方在不可抗力发生后，应在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14:paraId="37336172">
      <w:pPr>
        <w:spacing w:line="560" w:lineRule="exact"/>
        <w:ind w:firstLine="482" w:firstLineChars="200"/>
        <w:rPr>
          <w:rFonts w:hint="eastAsia" w:ascii="仿宋" w:hAnsi="仿宋" w:eastAsia="仿宋" w:cs="仿宋"/>
          <w:b/>
          <w:sz w:val="24"/>
          <w:highlight w:val="none"/>
        </w:rPr>
      </w:pPr>
      <w:bookmarkStart w:id="218" w:name="_Toc23854"/>
      <w:bookmarkStart w:id="219" w:name="_Toc37868846"/>
      <w:bookmarkStart w:id="220" w:name="_Toc24465"/>
      <w:bookmarkStart w:id="221" w:name="_Toc487900365"/>
      <w:bookmarkStart w:id="222" w:name="_Toc279701255"/>
      <w:bookmarkStart w:id="223" w:name="_Toc14115"/>
      <w:bookmarkStart w:id="224" w:name="_Toc25783"/>
      <w:bookmarkStart w:id="225" w:name="_Toc3638"/>
      <w:bookmarkStart w:id="226" w:name="_Toc259093684"/>
      <w:bookmarkStart w:id="227" w:name="_Toc2591692"/>
      <w:bookmarkStart w:id="228" w:name="_Toc82617988"/>
      <w:r>
        <w:rPr>
          <w:rFonts w:hint="eastAsia" w:ascii="仿宋" w:hAnsi="仿宋" w:eastAsia="仿宋" w:cs="仿宋"/>
          <w:b/>
          <w:sz w:val="24"/>
          <w:highlight w:val="none"/>
        </w:rPr>
        <w:t>2.12 税费</w:t>
      </w:r>
      <w:bookmarkEnd w:id="218"/>
      <w:bookmarkEnd w:id="219"/>
      <w:bookmarkEnd w:id="220"/>
      <w:bookmarkEnd w:id="221"/>
      <w:bookmarkEnd w:id="222"/>
      <w:bookmarkEnd w:id="223"/>
      <w:bookmarkEnd w:id="224"/>
      <w:bookmarkEnd w:id="225"/>
      <w:bookmarkEnd w:id="226"/>
      <w:bookmarkEnd w:id="227"/>
      <w:bookmarkEnd w:id="228"/>
    </w:p>
    <w:p w14:paraId="4993D8A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14:paraId="596AEF69">
      <w:pPr>
        <w:spacing w:line="560" w:lineRule="exact"/>
        <w:ind w:firstLine="482" w:firstLineChars="200"/>
        <w:rPr>
          <w:rFonts w:hint="eastAsia" w:ascii="仿宋" w:hAnsi="仿宋" w:eastAsia="仿宋" w:cs="仿宋"/>
          <w:b/>
          <w:sz w:val="24"/>
          <w:highlight w:val="none"/>
        </w:rPr>
      </w:pPr>
      <w:bookmarkStart w:id="229" w:name="_Toc82617989"/>
      <w:bookmarkStart w:id="230" w:name="_Toc487900368"/>
      <w:bookmarkStart w:id="231" w:name="_Toc25525"/>
      <w:bookmarkStart w:id="232" w:name="_Toc7315"/>
      <w:bookmarkStart w:id="233" w:name="_Toc279701258"/>
      <w:bookmarkStart w:id="234" w:name="_Toc14814"/>
      <w:bookmarkStart w:id="235" w:name="_Toc37868847"/>
      <w:bookmarkStart w:id="236" w:name="_Toc26883"/>
      <w:bookmarkStart w:id="237" w:name="_Toc30105"/>
      <w:bookmarkStart w:id="238" w:name="_Toc2591693"/>
      <w:bookmarkStart w:id="239" w:name="_Toc259093687"/>
      <w:r>
        <w:rPr>
          <w:rFonts w:hint="eastAsia" w:ascii="仿宋" w:hAnsi="仿宋" w:eastAsia="仿宋" w:cs="仿宋"/>
          <w:b/>
          <w:sz w:val="24"/>
          <w:highlight w:val="none"/>
        </w:rPr>
        <w:t>2.13 乙方破产</w:t>
      </w:r>
      <w:bookmarkEnd w:id="229"/>
      <w:bookmarkEnd w:id="230"/>
      <w:bookmarkEnd w:id="231"/>
      <w:bookmarkEnd w:id="232"/>
      <w:bookmarkEnd w:id="233"/>
      <w:bookmarkEnd w:id="234"/>
      <w:bookmarkEnd w:id="235"/>
      <w:bookmarkEnd w:id="236"/>
      <w:bookmarkEnd w:id="237"/>
      <w:bookmarkEnd w:id="238"/>
      <w:bookmarkEnd w:id="239"/>
    </w:p>
    <w:p w14:paraId="12A075E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CA15C68">
      <w:pPr>
        <w:spacing w:line="560" w:lineRule="exact"/>
        <w:ind w:firstLine="482" w:firstLineChars="200"/>
        <w:rPr>
          <w:rFonts w:hint="eastAsia" w:ascii="仿宋" w:hAnsi="仿宋" w:eastAsia="仿宋" w:cs="仿宋"/>
          <w:b/>
          <w:sz w:val="24"/>
          <w:highlight w:val="none"/>
        </w:rPr>
      </w:pPr>
      <w:bookmarkStart w:id="240" w:name="_Toc37868848"/>
      <w:bookmarkStart w:id="241" w:name="_Toc82617990"/>
      <w:bookmarkStart w:id="242" w:name="_Toc23323"/>
      <w:bookmarkStart w:id="243" w:name="_Toc2016"/>
      <w:bookmarkStart w:id="244" w:name="_Toc1123"/>
      <w:bookmarkStart w:id="245" w:name="_Toc2591694"/>
      <w:r>
        <w:rPr>
          <w:rFonts w:hint="eastAsia" w:ascii="仿宋" w:hAnsi="仿宋" w:eastAsia="仿宋" w:cs="仿宋"/>
          <w:b/>
          <w:sz w:val="24"/>
          <w:highlight w:val="none"/>
        </w:rPr>
        <w:t>2.14 合同中止、终止</w:t>
      </w:r>
      <w:bookmarkEnd w:id="240"/>
      <w:bookmarkEnd w:id="241"/>
      <w:bookmarkEnd w:id="242"/>
      <w:bookmarkEnd w:id="243"/>
      <w:bookmarkEnd w:id="244"/>
      <w:bookmarkEnd w:id="245"/>
    </w:p>
    <w:p w14:paraId="6C6163C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14:paraId="1E92DF2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14:paraId="25A31DC3">
      <w:pPr>
        <w:spacing w:line="560" w:lineRule="exact"/>
        <w:ind w:firstLine="482" w:firstLineChars="200"/>
        <w:rPr>
          <w:rFonts w:hint="eastAsia" w:ascii="仿宋" w:hAnsi="仿宋" w:eastAsia="仿宋" w:cs="仿宋"/>
          <w:b/>
          <w:sz w:val="24"/>
          <w:highlight w:val="none"/>
        </w:rPr>
      </w:pPr>
      <w:bookmarkStart w:id="246" w:name="_Toc14525"/>
      <w:bookmarkStart w:id="247" w:name="_Toc37868849"/>
      <w:bookmarkStart w:id="248" w:name="_Toc1969"/>
      <w:bookmarkStart w:id="249" w:name="_Toc2591695"/>
      <w:bookmarkStart w:id="250" w:name="_Toc17363"/>
      <w:bookmarkStart w:id="251" w:name="_Toc82617991"/>
      <w:r>
        <w:rPr>
          <w:rFonts w:hint="eastAsia" w:ascii="仿宋" w:hAnsi="仿宋" w:eastAsia="仿宋" w:cs="仿宋"/>
          <w:b/>
          <w:sz w:val="24"/>
          <w:highlight w:val="none"/>
        </w:rPr>
        <w:t>2.15 检验和验收</w:t>
      </w:r>
      <w:bookmarkEnd w:id="246"/>
      <w:bookmarkEnd w:id="247"/>
      <w:bookmarkEnd w:id="248"/>
      <w:bookmarkEnd w:id="249"/>
      <w:bookmarkEnd w:id="250"/>
      <w:bookmarkEnd w:id="251"/>
    </w:p>
    <w:p w14:paraId="56AE0260">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2.15.1 乙方按照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的约定，定期提交服务报告，甲方按照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的约定进行定期验收；</w:t>
      </w:r>
    </w:p>
    <w:p w14:paraId="50B255D2">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6754E959">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bookmarkEnd w:id="195"/>
    <w:bookmarkEnd w:id="196"/>
    <w:bookmarkEnd w:id="197"/>
    <w:bookmarkEnd w:id="198"/>
    <w:p w14:paraId="1C03BE23">
      <w:pPr>
        <w:spacing w:line="560" w:lineRule="exact"/>
        <w:ind w:firstLine="482" w:firstLineChars="200"/>
        <w:rPr>
          <w:rFonts w:hint="eastAsia" w:ascii="仿宋" w:hAnsi="仿宋" w:eastAsia="仿宋" w:cs="仿宋"/>
          <w:b/>
          <w:sz w:val="24"/>
          <w:highlight w:val="none"/>
        </w:rPr>
      </w:pPr>
      <w:bookmarkStart w:id="252" w:name="_Toc279701261"/>
      <w:bookmarkStart w:id="253" w:name="_Toc487900371"/>
      <w:bookmarkStart w:id="254" w:name="_Toc259093690"/>
      <w:bookmarkStart w:id="255" w:name="_Toc12666"/>
      <w:bookmarkStart w:id="256" w:name="_Toc31892"/>
      <w:bookmarkStart w:id="257" w:name="_Toc9808"/>
      <w:bookmarkStart w:id="258" w:name="_Toc82617992"/>
      <w:bookmarkStart w:id="259" w:name="_Toc2591696"/>
      <w:bookmarkStart w:id="260" w:name="_Toc25198"/>
      <w:bookmarkStart w:id="261" w:name="_Toc2308"/>
      <w:bookmarkStart w:id="262" w:name="_Toc37868850"/>
      <w:r>
        <w:rPr>
          <w:rFonts w:hint="eastAsia" w:ascii="仿宋" w:hAnsi="仿宋" w:eastAsia="仿宋" w:cs="仿宋"/>
          <w:b/>
          <w:sz w:val="24"/>
          <w:highlight w:val="none"/>
        </w:rPr>
        <w:t>2.16 通知</w:t>
      </w:r>
      <w:bookmarkEnd w:id="252"/>
      <w:bookmarkEnd w:id="253"/>
      <w:bookmarkEnd w:id="254"/>
      <w:r>
        <w:rPr>
          <w:rFonts w:hint="eastAsia" w:ascii="仿宋" w:hAnsi="仿宋" w:eastAsia="仿宋" w:cs="仿宋"/>
          <w:b/>
          <w:sz w:val="24"/>
          <w:highlight w:val="none"/>
        </w:rPr>
        <w:t>和送达</w:t>
      </w:r>
      <w:bookmarkEnd w:id="255"/>
      <w:bookmarkEnd w:id="256"/>
      <w:bookmarkEnd w:id="257"/>
      <w:bookmarkEnd w:id="258"/>
      <w:bookmarkEnd w:id="259"/>
      <w:bookmarkEnd w:id="260"/>
      <w:bookmarkEnd w:id="261"/>
      <w:bookmarkEnd w:id="262"/>
    </w:p>
    <w:p w14:paraId="2FE0C9C9">
      <w:pPr>
        <w:spacing w:line="560" w:lineRule="exact"/>
        <w:ind w:firstLine="480" w:firstLineChars="200"/>
        <w:rPr>
          <w:rFonts w:hint="eastAsia" w:ascii="仿宋" w:hAnsi="仿宋" w:eastAsia="仿宋" w:cs="仿宋"/>
          <w:sz w:val="24"/>
          <w:highlight w:val="none"/>
        </w:rPr>
      </w:pPr>
      <w:bookmarkStart w:id="263" w:name="_Toc7073"/>
      <w:bookmarkStart w:id="264" w:name="_Toc29220"/>
      <w:bookmarkStart w:id="265" w:name="_Toc259093691"/>
      <w:bookmarkStart w:id="266" w:name="_Toc279701262"/>
      <w:bookmarkStart w:id="267" w:name="_Toc487900372"/>
      <w:r>
        <w:rPr>
          <w:rFonts w:hint="eastAsia" w:ascii="仿宋" w:hAnsi="仿宋" w:eastAsia="仿宋" w:cs="仿宋"/>
          <w:sz w:val="24"/>
          <w:highlight w:val="none"/>
        </w:rPr>
        <w:t>2.16.1 任何一方因履行合同而以合同第一部分尾部所列明的发出的所有通知、文件、材料，均视为已向对方当事人送达；任何一方变更上述送达方式或者地址的，应于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个工作日内书面通知对方当事人，在对方当事人收到有关变更通知之前，变更前的约定送达方式或者地址仍视为有效。</w:t>
      </w:r>
      <w:bookmarkEnd w:id="263"/>
      <w:bookmarkEnd w:id="264"/>
    </w:p>
    <w:p w14:paraId="1441FD54">
      <w:pPr>
        <w:spacing w:line="560" w:lineRule="exact"/>
        <w:ind w:firstLine="480" w:firstLineChars="200"/>
        <w:rPr>
          <w:rFonts w:hint="eastAsia" w:ascii="仿宋" w:hAnsi="仿宋" w:eastAsia="仿宋" w:cs="仿宋"/>
          <w:sz w:val="24"/>
          <w:highlight w:val="none"/>
        </w:rPr>
      </w:pPr>
      <w:bookmarkStart w:id="268" w:name="_Toc27674"/>
      <w:bookmarkStart w:id="269" w:name="_Toc18401"/>
      <w:r>
        <w:rPr>
          <w:rFonts w:hint="eastAsia" w:ascii="仿宋" w:hAnsi="仿宋" w:eastAsia="仿宋" w:cs="仿宋"/>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8"/>
      <w:bookmarkEnd w:id="269"/>
    </w:p>
    <w:bookmarkEnd w:id="265"/>
    <w:bookmarkEnd w:id="266"/>
    <w:bookmarkEnd w:id="267"/>
    <w:p w14:paraId="27CD4DB7">
      <w:pPr>
        <w:spacing w:line="560" w:lineRule="exact"/>
        <w:ind w:firstLine="482" w:firstLineChars="200"/>
        <w:rPr>
          <w:rFonts w:hint="eastAsia" w:ascii="仿宋" w:hAnsi="仿宋" w:eastAsia="仿宋" w:cs="仿宋"/>
          <w:b/>
          <w:sz w:val="24"/>
          <w:highlight w:val="none"/>
        </w:rPr>
      </w:pPr>
      <w:bookmarkStart w:id="270" w:name="_Toc28906"/>
      <w:bookmarkStart w:id="271" w:name="_Toc12254"/>
      <w:bookmarkStart w:id="272" w:name="_Toc5063"/>
      <w:bookmarkStart w:id="273" w:name="_Toc27644"/>
      <w:bookmarkStart w:id="274" w:name="_Toc37868851"/>
      <w:bookmarkStart w:id="275" w:name="_Toc82617993"/>
      <w:bookmarkStart w:id="276" w:name="_Toc20808"/>
      <w:bookmarkStart w:id="277" w:name="_Toc279701263"/>
      <w:bookmarkStart w:id="278" w:name="_Toc259093692"/>
      <w:bookmarkStart w:id="279" w:name="_Toc487900373"/>
      <w:bookmarkStart w:id="280" w:name="_Toc2591697"/>
      <w:r>
        <w:rPr>
          <w:rFonts w:hint="eastAsia" w:ascii="仿宋" w:hAnsi="仿宋" w:eastAsia="仿宋" w:cs="仿宋"/>
          <w:b/>
          <w:sz w:val="24"/>
          <w:highlight w:val="none"/>
        </w:rPr>
        <w:t>2.17 合同使用的文字和适用的法律</w:t>
      </w:r>
      <w:bookmarkEnd w:id="270"/>
      <w:bookmarkEnd w:id="271"/>
      <w:bookmarkEnd w:id="272"/>
      <w:bookmarkEnd w:id="273"/>
      <w:bookmarkEnd w:id="274"/>
      <w:bookmarkEnd w:id="275"/>
      <w:bookmarkEnd w:id="276"/>
      <w:bookmarkEnd w:id="277"/>
      <w:bookmarkEnd w:id="278"/>
      <w:bookmarkEnd w:id="279"/>
      <w:bookmarkEnd w:id="280"/>
    </w:p>
    <w:p w14:paraId="536811E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2.17.1 合同使用汉语书就、变更和解释；</w:t>
      </w:r>
    </w:p>
    <w:p w14:paraId="1EC7997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 合同适用中华人民共和国法律。</w:t>
      </w:r>
    </w:p>
    <w:p w14:paraId="2C747B97">
      <w:pPr>
        <w:spacing w:line="560" w:lineRule="exact"/>
        <w:ind w:firstLine="482" w:firstLineChars="200"/>
        <w:rPr>
          <w:rFonts w:hint="eastAsia" w:ascii="仿宋" w:hAnsi="仿宋" w:eastAsia="仿宋" w:cs="仿宋"/>
          <w:b/>
          <w:sz w:val="24"/>
          <w:highlight w:val="none"/>
        </w:rPr>
      </w:pPr>
      <w:bookmarkStart w:id="281" w:name="_Toc27127"/>
      <w:bookmarkStart w:id="282" w:name="_Toc1492"/>
      <w:bookmarkStart w:id="283" w:name="_Toc259093693"/>
      <w:bookmarkStart w:id="284" w:name="_Toc22266"/>
      <w:bookmarkStart w:id="285" w:name="_Toc30096"/>
      <w:bookmarkStart w:id="286" w:name="_Toc82617994"/>
      <w:bookmarkStart w:id="287" w:name="_Toc27403"/>
      <w:bookmarkStart w:id="288" w:name="_Toc279701264"/>
      <w:bookmarkStart w:id="289" w:name="_Toc37868852"/>
      <w:bookmarkStart w:id="290" w:name="_Toc2591698"/>
      <w:bookmarkStart w:id="291" w:name="_Toc487900374"/>
      <w:r>
        <w:rPr>
          <w:rFonts w:hint="eastAsia" w:ascii="仿宋" w:hAnsi="仿宋" w:eastAsia="仿宋" w:cs="仿宋"/>
          <w:b/>
          <w:sz w:val="24"/>
          <w:highlight w:val="none"/>
        </w:rPr>
        <w:t>2.18 履约保证金</w:t>
      </w:r>
      <w:bookmarkEnd w:id="281"/>
      <w:bookmarkEnd w:id="282"/>
      <w:bookmarkEnd w:id="283"/>
      <w:bookmarkEnd w:id="284"/>
      <w:bookmarkEnd w:id="285"/>
      <w:bookmarkEnd w:id="286"/>
      <w:bookmarkEnd w:id="287"/>
      <w:bookmarkEnd w:id="288"/>
      <w:bookmarkEnd w:id="289"/>
      <w:bookmarkEnd w:id="290"/>
    </w:p>
    <w:p w14:paraId="35605DC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2.18.1 采购文件要求乙方提交履约保证金的，乙方应按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约定的方式，以支票、汇票、本票或者金融机构、担保机构出具的保函等非现金形式，提交不超过合同价10%的履约保证金；</w:t>
      </w:r>
    </w:p>
    <w:p w14:paraId="3682B58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2.18.2 履约保证金在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约定期间内不予退还或者应完全有效，前述约定期间届满之日起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个工作日内，甲方应将履约保证金退还乙方；</w:t>
      </w:r>
    </w:p>
    <w:p w14:paraId="7EC9D8E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1"/>
    <w:p w14:paraId="579C04E9">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2.19 合同份数</w:t>
      </w:r>
    </w:p>
    <w:p w14:paraId="258EFEB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合同份数按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规定，每份均具有同等法律效力。</w:t>
      </w:r>
    </w:p>
    <w:p w14:paraId="4AE217A1">
      <w:pPr>
        <w:pStyle w:val="225"/>
        <w:spacing w:line="560" w:lineRule="exact"/>
        <w:ind w:firstLine="0"/>
        <w:jc w:val="center"/>
        <w:rPr>
          <w:rFonts w:hint="eastAsia" w:ascii="仿宋" w:hAnsi="仿宋" w:eastAsia="仿宋" w:cs="仿宋"/>
          <w:b/>
          <w:szCs w:val="24"/>
          <w:highlight w:val="none"/>
        </w:rPr>
      </w:pPr>
      <w:r>
        <w:rPr>
          <w:rFonts w:hint="eastAsia" w:ascii="仿宋" w:hAnsi="仿宋" w:eastAsia="仿宋" w:cs="仿宋"/>
          <w:szCs w:val="24"/>
          <w:highlight w:val="none"/>
        </w:rPr>
        <w:br w:type="page"/>
      </w:r>
      <w:bookmarkStart w:id="292" w:name="_Toc331685784"/>
      <w:r>
        <w:rPr>
          <w:rFonts w:hint="eastAsia" w:ascii="仿宋" w:hAnsi="仿宋" w:eastAsia="仿宋" w:cs="仿宋"/>
          <w:b/>
          <w:szCs w:val="24"/>
          <w:highlight w:val="none"/>
        </w:rPr>
        <w:t>第三部分  合同专用条款</w:t>
      </w:r>
      <w:bookmarkEnd w:id="292"/>
    </w:p>
    <w:p w14:paraId="40295923">
      <w:pPr>
        <w:spacing w:line="560" w:lineRule="exact"/>
        <w:ind w:firstLine="480" w:firstLineChars="200"/>
        <w:rPr>
          <w:rFonts w:hint="eastAsia" w:ascii="仿宋" w:hAnsi="仿宋" w:eastAsia="仿宋" w:cs="仿宋"/>
          <w:sz w:val="24"/>
          <w:highlight w:val="none"/>
        </w:rPr>
      </w:pPr>
    </w:p>
    <w:tbl>
      <w:tblPr>
        <w:tblStyle w:val="42"/>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7578"/>
      </w:tblGrid>
      <w:tr w14:paraId="2BEB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38" w:type="dxa"/>
            <w:vAlign w:val="center"/>
          </w:tcPr>
          <w:p w14:paraId="696B748C">
            <w:pPr>
              <w:pStyle w:val="18"/>
              <w:jc w:val="center"/>
              <w:rPr>
                <w:rFonts w:hint="eastAsia" w:ascii="仿宋" w:hAnsi="仿宋" w:eastAsia="仿宋" w:cs="仿宋"/>
                <w:b/>
                <w:highlight w:val="none"/>
              </w:rPr>
            </w:pPr>
            <w:r>
              <w:rPr>
                <w:rFonts w:hint="eastAsia" w:ascii="仿宋" w:hAnsi="仿宋" w:eastAsia="仿宋" w:cs="仿宋"/>
                <w:b/>
                <w:highlight w:val="none"/>
              </w:rPr>
              <w:t>序号</w:t>
            </w:r>
          </w:p>
        </w:tc>
        <w:tc>
          <w:tcPr>
            <w:tcW w:w="7578" w:type="dxa"/>
            <w:vAlign w:val="center"/>
          </w:tcPr>
          <w:p w14:paraId="150F63E5">
            <w:pPr>
              <w:pStyle w:val="18"/>
              <w:jc w:val="center"/>
              <w:rPr>
                <w:rFonts w:hint="eastAsia" w:ascii="仿宋" w:hAnsi="仿宋" w:eastAsia="仿宋" w:cs="仿宋"/>
                <w:b/>
                <w:highlight w:val="none"/>
              </w:rPr>
            </w:pPr>
            <w:r>
              <w:rPr>
                <w:rFonts w:hint="eastAsia" w:ascii="仿宋" w:hAnsi="仿宋" w:eastAsia="仿宋" w:cs="仿宋"/>
                <w:b/>
                <w:highlight w:val="none"/>
              </w:rPr>
              <w:t>内　　容</w:t>
            </w:r>
          </w:p>
        </w:tc>
      </w:tr>
      <w:tr w14:paraId="0F4F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38" w:type="dxa"/>
            <w:vAlign w:val="center"/>
          </w:tcPr>
          <w:p w14:paraId="1C2FB831">
            <w:pPr>
              <w:pStyle w:val="18"/>
              <w:jc w:val="center"/>
              <w:rPr>
                <w:rFonts w:hint="eastAsia" w:ascii="仿宋" w:hAnsi="仿宋" w:eastAsia="仿宋" w:cs="仿宋"/>
                <w:highlight w:val="none"/>
              </w:rPr>
            </w:pPr>
            <w:r>
              <w:rPr>
                <w:rFonts w:hint="eastAsia" w:ascii="仿宋" w:hAnsi="仿宋" w:eastAsia="仿宋" w:cs="仿宋"/>
                <w:highlight w:val="none"/>
              </w:rPr>
              <w:t>1</w:t>
            </w:r>
          </w:p>
        </w:tc>
        <w:tc>
          <w:tcPr>
            <w:tcW w:w="7578" w:type="dxa"/>
            <w:vAlign w:val="center"/>
          </w:tcPr>
          <w:p w14:paraId="52F53A00">
            <w:pPr>
              <w:pStyle w:val="18"/>
              <w:jc w:val="left"/>
              <w:rPr>
                <w:rFonts w:hint="eastAsia" w:ascii="仿宋" w:hAnsi="仿宋" w:eastAsia="仿宋" w:cs="仿宋"/>
                <w:highlight w:val="none"/>
              </w:rPr>
            </w:pPr>
            <w:r>
              <w:rPr>
                <w:rFonts w:hint="eastAsia" w:ascii="仿宋" w:hAnsi="仿宋" w:eastAsia="仿宋" w:cs="仿宋"/>
                <w:highlight w:val="none"/>
              </w:rPr>
              <w:t>合同名称：</w:t>
            </w:r>
          </w:p>
          <w:p w14:paraId="77DE318A">
            <w:pPr>
              <w:pStyle w:val="18"/>
              <w:jc w:val="left"/>
              <w:rPr>
                <w:rFonts w:hint="eastAsia" w:ascii="仿宋" w:hAnsi="仿宋" w:eastAsia="仿宋" w:cs="仿宋"/>
                <w:highlight w:val="none"/>
              </w:rPr>
            </w:pPr>
            <w:r>
              <w:rPr>
                <w:rFonts w:hint="eastAsia" w:ascii="仿宋" w:hAnsi="仿宋" w:eastAsia="仿宋" w:cs="仿宋"/>
                <w:highlight w:val="none"/>
              </w:rPr>
              <w:t>合同编号：</w:t>
            </w:r>
          </w:p>
        </w:tc>
      </w:tr>
      <w:tr w14:paraId="7E4B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38" w:type="dxa"/>
            <w:vMerge w:val="restart"/>
            <w:vAlign w:val="center"/>
          </w:tcPr>
          <w:p w14:paraId="5B52C9EA">
            <w:pPr>
              <w:pStyle w:val="18"/>
              <w:jc w:val="center"/>
              <w:rPr>
                <w:rFonts w:hint="eastAsia" w:ascii="仿宋" w:hAnsi="仿宋" w:eastAsia="仿宋" w:cs="仿宋"/>
                <w:highlight w:val="none"/>
              </w:rPr>
            </w:pPr>
            <w:r>
              <w:rPr>
                <w:rFonts w:hint="eastAsia" w:ascii="仿宋" w:hAnsi="仿宋" w:eastAsia="仿宋" w:cs="仿宋"/>
                <w:highlight w:val="none"/>
              </w:rPr>
              <w:t>2</w:t>
            </w:r>
          </w:p>
        </w:tc>
        <w:tc>
          <w:tcPr>
            <w:tcW w:w="7578" w:type="dxa"/>
            <w:vAlign w:val="center"/>
          </w:tcPr>
          <w:p w14:paraId="60CBF1B0">
            <w:pPr>
              <w:pStyle w:val="18"/>
              <w:jc w:val="left"/>
              <w:rPr>
                <w:rFonts w:hint="eastAsia" w:ascii="仿宋" w:hAnsi="仿宋" w:eastAsia="仿宋" w:cs="仿宋"/>
                <w:highlight w:val="none"/>
              </w:rPr>
            </w:pPr>
            <w:r>
              <w:rPr>
                <w:rFonts w:hint="eastAsia" w:ascii="仿宋" w:hAnsi="仿宋" w:eastAsia="仿宋" w:cs="仿宋"/>
                <w:highlight w:val="none"/>
              </w:rPr>
              <w:t>甲方名称：</w:t>
            </w:r>
          </w:p>
        </w:tc>
      </w:tr>
      <w:tr w14:paraId="209F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38" w:type="dxa"/>
            <w:vMerge w:val="continue"/>
            <w:vAlign w:val="center"/>
          </w:tcPr>
          <w:p w14:paraId="7832437E">
            <w:pPr>
              <w:pStyle w:val="18"/>
              <w:jc w:val="center"/>
              <w:rPr>
                <w:rFonts w:hint="eastAsia" w:ascii="仿宋" w:hAnsi="仿宋" w:eastAsia="仿宋" w:cs="仿宋"/>
                <w:highlight w:val="none"/>
              </w:rPr>
            </w:pPr>
          </w:p>
        </w:tc>
        <w:tc>
          <w:tcPr>
            <w:tcW w:w="7578" w:type="dxa"/>
            <w:vAlign w:val="center"/>
          </w:tcPr>
          <w:p w14:paraId="0E14646C">
            <w:pPr>
              <w:pStyle w:val="18"/>
              <w:jc w:val="left"/>
              <w:rPr>
                <w:rFonts w:hint="eastAsia" w:ascii="仿宋" w:hAnsi="仿宋" w:eastAsia="仿宋" w:cs="仿宋"/>
                <w:highlight w:val="none"/>
              </w:rPr>
            </w:pPr>
            <w:r>
              <w:rPr>
                <w:rFonts w:hint="eastAsia" w:ascii="仿宋" w:hAnsi="仿宋" w:eastAsia="仿宋" w:cs="仿宋"/>
                <w:highlight w:val="none"/>
              </w:rPr>
              <w:t>甲方地址：</w:t>
            </w:r>
          </w:p>
        </w:tc>
      </w:tr>
      <w:tr w14:paraId="7C1D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8" w:type="dxa"/>
            <w:vMerge w:val="continue"/>
            <w:vAlign w:val="center"/>
          </w:tcPr>
          <w:p w14:paraId="1F3F3E1B">
            <w:pPr>
              <w:pStyle w:val="18"/>
              <w:jc w:val="center"/>
              <w:rPr>
                <w:rFonts w:hint="eastAsia" w:ascii="仿宋" w:hAnsi="仿宋" w:eastAsia="仿宋" w:cs="仿宋"/>
                <w:highlight w:val="none"/>
              </w:rPr>
            </w:pPr>
          </w:p>
        </w:tc>
        <w:tc>
          <w:tcPr>
            <w:tcW w:w="7578" w:type="dxa"/>
            <w:vAlign w:val="center"/>
          </w:tcPr>
          <w:p w14:paraId="0C1BA007">
            <w:pPr>
              <w:pStyle w:val="18"/>
              <w:jc w:val="left"/>
              <w:rPr>
                <w:rFonts w:hint="eastAsia" w:ascii="仿宋" w:hAnsi="仿宋" w:eastAsia="仿宋" w:cs="仿宋"/>
                <w:highlight w:val="none"/>
              </w:rPr>
            </w:pPr>
            <w:r>
              <w:rPr>
                <w:rFonts w:hint="eastAsia" w:ascii="仿宋" w:hAnsi="仿宋" w:eastAsia="仿宋" w:cs="仿宋"/>
                <w:highlight w:val="none"/>
              </w:rPr>
              <w:t>甲方联系人：　　　电话：</w:t>
            </w:r>
          </w:p>
        </w:tc>
      </w:tr>
      <w:tr w14:paraId="6C9B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38" w:type="dxa"/>
            <w:vMerge w:val="restart"/>
            <w:vAlign w:val="center"/>
          </w:tcPr>
          <w:p w14:paraId="5703C60A">
            <w:pPr>
              <w:pStyle w:val="18"/>
              <w:jc w:val="center"/>
              <w:rPr>
                <w:rFonts w:hint="eastAsia" w:ascii="仿宋" w:hAnsi="仿宋" w:eastAsia="仿宋" w:cs="仿宋"/>
                <w:highlight w:val="none"/>
              </w:rPr>
            </w:pPr>
            <w:r>
              <w:rPr>
                <w:rFonts w:hint="eastAsia" w:ascii="仿宋" w:hAnsi="仿宋" w:eastAsia="仿宋" w:cs="仿宋"/>
                <w:highlight w:val="none"/>
              </w:rPr>
              <w:t>3</w:t>
            </w:r>
          </w:p>
        </w:tc>
        <w:tc>
          <w:tcPr>
            <w:tcW w:w="7578" w:type="dxa"/>
            <w:vAlign w:val="center"/>
          </w:tcPr>
          <w:p w14:paraId="2DE1E56B">
            <w:pPr>
              <w:pStyle w:val="18"/>
              <w:jc w:val="left"/>
              <w:rPr>
                <w:rFonts w:hint="eastAsia" w:ascii="仿宋" w:hAnsi="仿宋" w:eastAsia="仿宋" w:cs="仿宋"/>
                <w:highlight w:val="none"/>
              </w:rPr>
            </w:pPr>
            <w:r>
              <w:rPr>
                <w:rFonts w:hint="eastAsia" w:ascii="仿宋" w:hAnsi="仿宋" w:eastAsia="仿宋" w:cs="仿宋"/>
                <w:highlight w:val="none"/>
              </w:rPr>
              <w:t>乙方名称：</w:t>
            </w:r>
          </w:p>
        </w:tc>
      </w:tr>
      <w:tr w14:paraId="4DC1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38" w:type="dxa"/>
            <w:vMerge w:val="continue"/>
            <w:vAlign w:val="center"/>
          </w:tcPr>
          <w:p w14:paraId="77528DB7">
            <w:pPr>
              <w:pStyle w:val="18"/>
              <w:jc w:val="center"/>
              <w:rPr>
                <w:rFonts w:hint="eastAsia" w:ascii="仿宋" w:hAnsi="仿宋" w:eastAsia="仿宋" w:cs="仿宋"/>
                <w:highlight w:val="none"/>
              </w:rPr>
            </w:pPr>
          </w:p>
        </w:tc>
        <w:tc>
          <w:tcPr>
            <w:tcW w:w="7578" w:type="dxa"/>
            <w:vAlign w:val="center"/>
          </w:tcPr>
          <w:p w14:paraId="563945F1">
            <w:pPr>
              <w:pStyle w:val="18"/>
              <w:jc w:val="left"/>
              <w:rPr>
                <w:rFonts w:hint="eastAsia" w:ascii="仿宋" w:hAnsi="仿宋" w:eastAsia="仿宋" w:cs="仿宋"/>
                <w:highlight w:val="none"/>
              </w:rPr>
            </w:pPr>
            <w:r>
              <w:rPr>
                <w:rFonts w:hint="eastAsia" w:ascii="仿宋" w:hAnsi="仿宋" w:eastAsia="仿宋" w:cs="仿宋"/>
                <w:highlight w:val="none"/>
              </w:rPr>
              <w:t>乙方地址：</w:t>
            </w:r>
          </w:p>
        </w:tc>
      </w:tr>
      <w:tr w14:paraId="151A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38" w:type="dxa"/>
            <w:vMerge w:val="continue"/>
            <w:vAlign w:val="center"/>
          </w:tcPr>
          <w:p w14:paraId="0E7DD92F">
            <w:pPr>
              <w:pStyle w:val="18"/>
              <w:jc w:val="center"/>
              <w:rPr>
                <w:rFonts w:hint="eastAsia" w:ascii="仿宋" w:hAnsi="仿宋" w:eastAsia="仿宋" w:cs="仿宋"/>
                <w:highlight w:val="none"/>
              </w:rPr>
            </w:pPr>
          </w:p>
        </w:tc>
        <w:tc>
          <w:tcPr>
            <w:tcW w:w="7578" w:type="dxa"/>
            <w:vAlign w:val="center"/>
          </w:tcPr>
          <w:p w14:paraId="53D65793">
            <w:pPr>
              <w:pStyle w:val="18"/>
              <w:jc w:val="left"/>
              <w:rPr>
                <w:rFonts w:hint="eastAsia" w:ascii="仿宋" w:hAnsi="仿宋" w:eastAsia="仿宋" w:cs="仿宋"/>
                <w:highlight w:val="none"/>
              </w:rPr>
            </w:pPr>
            <w:r>
              <w:rPr>
                <w:rFonts w:hint="eastAsia" w:ascii="仿宋" w:hAnsi="仿宋" w:eastAsia="仿宋" w:cs="仿宋"/>
                <w:highlight w:val="none"/>
              </w:rPr>
              <w:t>乙方联系人：　　　电话：</w:t>
            </w:r>
          </w:p>
        </w:tc>
      </w:tr>
      <w:tr w14:paraId="6821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38" w:type="dxa"/>
            <w:vMerge w:val="continue"/>
            <w:vAlign w:val="center"/>
          </w:tcPr>
          <w:p w14:paraId="3B7886B7">
            <w:pPr>
              <w:pStyle w:val="18"/>
              <w:jc w:val="center"/>
              <w:rPr>
                <w:rFonts w:hint="eastAsia" w:ascii="仿宋" w:hAnsi="仿宋" w:eastAsia="仿宋" w:cs="仿宋"/>
                <w:highlight w:val="none"/>
              </w:rPr>
            </w:pPr>
          </w:p>
        </w:tc>
        <w:tc>
          <w:tcPr>
            <w:tcW w:w="7578" w:type="dxa"/>
            <w:vAlign w:val="center"/>
          </w:tcPr>
          <w:p w14:paraId="6032F27E">
            <w:pPr>
              <w:pStyle w:val="18"/>
              <w:jc w:val="left"/>
              <w:rPr>
                <w:rFonts w:hint="eastAsia" w:ascii="仿宋" w:hAnsi="仿宋" w:eastAsia="仿宋" w:cs="仿宋"/>
                <w:highlight w:val="none"/>
              </w:rPr>
            </w:pPr>
            <w:r>
              <w:rPr>
                <w:rFonts w:hint="eastAsia" w:ascii="仿宋" w:hAnsi="仿宋" w:eastAsia="仿宋" w:cs="仿宋"/>
                <w:highlight w:val="none"/>
              </w:rPr>
              <w:t>乙方开户银行名称：</w:t>
            </w:r>
          </w:p>
          <w:p w14:paraId="66C93463">
            <w:pPr>
              <w:pStyle w:val="18"/>
              <w:jc w:val="left"/>
              <w:rPr>
                <w:rFonts w:hint="eastAsia" w:ascii="仿宋" w:hAnsi="仿宋" w:eastAsia="仿宋" w:cs="仿宋"/>
                <w:highlight w:val="none"/>
              </w:rPr>
            </w:pPr>
            <w:r>
              <w:rPr>
                <w:rFonts w:hint="eastAsia" w:ascii="仿宋" w:hAnsi="仿宋" w:eastAsia="仿宋" w:cs="仿宋"/>
                <w:highlight w:val="none"/>
              </w:rPr>
              <w:t>账号：</w:t>
            </w:r>
          </w:p>
        </w:tc>
      </w:tr>
      <w:tr w14:paraId="5B77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2FE920A">
            <w:pPr>
              <w:pStyle w:val="18"/>
              <w:jc w:val="center"/>
              <w:rPr>
                <w:rFonts w:hint="eastAsia" w:ascii="仿宋" w:hAnsi="仿宋" w:eastAsia="仿宋" w:cs="仿宋"/>
                <w:highlight w:val="none"/>
              </w:rPr>
            </w:pPr>
            <w:r>
              <w:rPr>
                <w:rFonts w:hint="eastAsia" w:ascii="仿宋" w:hAnsi="仿宋" w:eastAsia="仿宋" w:cs="仿宋"/>
                <w:highlight w:val="none"/>
              </w:rPr>
              <w:t>4</w:t>
            </w:r>
          </w:p>
        </w:tc>
        <w:tc>
          <w:tcPr>
            <w:tcW w:w="7578" w:type="dxa"/>
            <w:vAlign w:val="center"/>
          </w:tcPr>
          <w:p w14:paraId="61D0EBA6">
            <w:pPr>
              <w:pStyle w:val="18"/>
              <w:jc w:val="left"/>
              <w:rPr>
                <w:rFonts w:hint="eastAsia" w:ascii="仿宋" w:hAnsi="仿宋" w:eastAsia="仿宋" w:cs="仿宋"/>
                <w:highlight w:val="none"/>
              </w:rPr>
            </w:pPr>
            <w:r>
              <w:rPr>
                <w:rFonts w:hint="eastAsia" w:ascii="仿宋" w:hAnsi="仿宋" w:eastAsia="仿宋" w:cs="仿宋"/>
                <w:highlight w:val="none"/>
              </w:rPr>
              <w:t>合同金额：</w:t>
            </w:r>
          </w:p>
        </w:tc>
      </w:tr>
      <w:tr w14:paraId="5AEC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38" w:type="dxa"/>
            <w:vAlign w:val="center"/>
          </w:tcPr>
          <w:p w14:paraId="0C6E2199">
            <w:pPr>
              <w:pStyle w:val="18"/>
              <w:jc w:val="center"/>
              <w:rPr>
                <w:rFonts w:hint="eastAsia" w:ascii="仿宋" w:hAnsi="仿宋" w:eastAsia="仿宋" w:cs="仿宋"/>
                <w:highlight w:val="none"/>
              </w:rPr>
            </w:pPr>
            <w:r>
              <w:rPr>
                <w:rFonts w:hint="eastAsia" w:ascii="仿宋" w:hAnsi="仿宋" w:eastAsia="仿宋" w:cs="仿宋"/>
                <w:highlight w:val="none"/>
              </w:rPr>
              <w:t>5</w:t>
            </w:r>
          </w:p>
        </w:tc>
        <w:tc>
          <w:tcPr>
            <w:tcW w:w="7578" w:type="dxa"/>
            <w:vAlign w:val="center"/>
          </w:tcPr>
          <w:p w14:paraId="31E4D4E3">
            <w:pPr>
              <w:pStyle w:val="18"/>
              <w:jc w:val="left"/>
              <w:rPr>
                <w:rFonts w:hint="eastAsia" w:ascii="仿宋" w:hAnsi="仿宋" w:eastAsia="仿宋" w:cs="仿宋"/>
                <w:highlight w:val="none"/>
              </w:rPr>
            </w:pPr>
            <w:r>
              <w:rPr>
                <w:rFonts w:hint="eastAsia" w:ascii="仿宋" w:hAnsi="仿宋" w:eastAsia="仿宋" w:cs="仿宋"/>
                <w:highlight w:val="none"/>
              </w:rPr>
              <w:t>合同履行期限：</w:t>
            </w:r>
          </w:p>
        </w:tc>
      </w:tr>
      <w:tr w14:paraId="5DD0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38" w:type="dxa"/>
            <w:vAlign w:val="center"/>
          </w:tcPr>
          <w:p w14:paraId="00F4DC38">
            <w:pPr>
              <w:pStyle w:val="18"/>
              <w:jc w:val="center"/>
              <w:rPr>
                <w:rFonts w:hint="eastAsia" w:ascii="仿宋" w:hAnsi="仿宋" w:eastAsia="仿宋" w:cs="仿宋"/>
                <w:highlight w:val="none"/>
              </w:rPr>
            </w:pPr>
            <w:r>
              <w:rPr>
                <w:rFonts w:hint="eastAsia" w:ascii="仿宋" w:hAnsi="仿宋" w:eastAsia="仿宋" w:cs="仿宋"/>
                <w:highlight w:val="none"/>
              </w:rPr>
              <w:t>6</w:t>
            </w:r>
          </w:p>
        </w:tc>
        <w:tc>
          <w:tcPr>
            <w:tcW w:w="7578" w:type="dxa"/>
            <w:vAlign w:val="center"/>
          </w:tcPr>
          <w:p w14:paraId="662693C0">
            <w:pPr>
              <w:pStyle w:val="18"/>
              <w:jc w:val="left"/>
              <w:rPr>
                <w:rFonts w:hint="eastAsia" w:ascii="仿宋" w:hAnsi="仿宋" w:eastAsia="仿宋" w:cs="仿宋"/>
                <w:highlight w:val="none"/>
              </w:rPr>
            </w:pPr>
            <w:r>
              <w:rPr>
                <w:rFonts w:hint="eastAsia" w:ascii="仿宋" w:hAnsi="仿宋" w:eastAsia="仿宋" w:cs="仿宋"/>
                <w:highlight w:val="none"/>
              </w:rPr>
              <w:t>服务履行期：</w:t>
            </w:r>
          </w:p>
        </w:tc>
      </w:tr>
      <w:tr w14:paraId="57F2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38" w:type="dxa"/>
            <w:vAlign w:val="center"/>
          </w:tcPr>
          <w:p w14:paraId="725B1567">
            <w:pPr>
              <w:pStyle w:val="18"/>
              <w:jc w:val="center"/>
              <w:rPr>
                <w:rFonts w:hint="eastAsia" w:ascii="仿宋" w:hAnsi="仿宋" w:eastAsia="仿宋" w:cs="仿宋"/>
                <w:highlight w:val="none"/>
              </w:rPr>
            </w:pPr>
            <w:r>
              <w:rPr>
                <w:rFonts w:hint="eastAsia" w:ascii="仿宋" w:hAnsi="仿宋" w:eastAsia="仿宋" w:cs="仿宋"/>
                <w:highlight w:val="none"/>
              </w:rPr>
              <w:t>7</w:t>
            </w:r>
          </w:p>
        </w:tc>
        <w:tc>
          <w:tcPr>
            <w:tcW w:w="7578" w:type="dxa"/>
            <w:vAlign w:val="center"/>
          </w:tcPr>
          <w:p w14:paraId="3DBCC337">
            <w:pPr>
              <w:pStyle w:val="18"/>
              <w:jc w:val="left"/>
              <w:rPr>
                <w:rFonts w:hint="eastAsia" w:ascii="仿宋" w:hAnsi="仿宋" w:eastAsia="仿宋" w:cs="仿宋"/>
                <w:highlight w:val="none"/>
              </w:rPr>
            </w:pPr>
            <w:r>
              <w:rPr>
                <w:rFonts w:hint="eastAsia" w:ascii="仿宋" w:hAnsi="仿宋" w:eastAsia="仿宋" w:cs="仿宋"/>
                <w:highlight w:val="none"/>
              </w:rPr>
              <w:t>验收方式及标准：</w:t>
            </w:r>
          </w:p>
        </w:tc>
      </w:tr>
      <w:tr w14:paraId="6D4C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038" w:type="dxa"/>
            <w:vAlign w:val="center"/>
          </w:tcPr>
          <w:p w14:paraId="15678385">
            <w:pPr>
              <w:pStyle w:val="18"/>
              <w:jc w:val="center"/>
              <w:rPr>
                <w:rFonts w:hint="eastAsia" w:ascii="仿宋" w:hAnsi="仿宋" w:eastAsia="仿宋" w:cs="仿宋"/>
                <w:highlight w:val="none"/>
              </w:rPr>
            </w:pPr>
            <w:r>
              <w:rPr>
                <w:rFonts w:hint="eastAsia" w:ascii="仿宋" w:hAnsi="仿宋" w:eastAsia="仿宋" w:cs="仿宋"/>
                <w:highlight w:val="none"/>
              </w:rPr>
              <w:t>8</w:t>
            </w:r>
          </w:p>
        </w:tc>
        <w:tc>
          <w:tcPr>
            <w:tcW w:w="7578" w:type="dxa"/>
            <w:vAlign w:val="center"/>
          </w:tcPr>
          <w:p w14:paraId="5DE4FCAD">
            <w:pPr>
              <w:pStyle w:val="18"/>
              <w:spacing w:line="276" w:lineRule="auto"/>
              <w:jc w:val="left"/>
              <w:rPr>
                <w:rFonts w:hint="eastAsia" w:ascii="仿宋" w:hAnsi="仿宋" w:eastAsia="仿宋" w:cs="仿宋"/>
                <w:highlight w:val="none"/>
              </w:rPr>
            </w:pPr>
            <w:r>
              <w:rPr>
                <w:rFonts w:hint="eastAsia" w:ascii="仿宋" w:hAnsi="仿宋" w:eastAsia="仿宋" w:cs="仿宋"/>
                <w:highlight w:val="none"/>
              </w:rPr>
              <w:t>付款方式：</w:t>
            </w:r>
          </w:p>
          <w:p w14:paraId="0A73AA28">
            <w:pPr>
              <w:pStyle w:val="18"/>
              <w:spacing w:line="276" w:lineRule="auto"/>
              <w:jc w:val="left"/>
              <w:rPr>
                <w:rFonts w:hint="eastAsia" w:ascii="仿宋" w:hAnsi="仿宋" w:eastAsia="仿宋" w:cs="仿宋"/>
                <w:highlight w:val="none"/>
              </w:rPr>
            </w:pPr>
            <w:r>
              <w:rPr>
                <w:rFonts w:hint="eastAsia" w:ascii="仿宋" w:hAnsi="仿宋" w:eastAsia="仿宋" w:cs="仿宋"/>
                <w:highlight w:val="none"/>
              </w:rPr>
              <w:t>1.本合同以人民币付款。</w:t>
            </w:r>
          </w:p>
          <w:p w14:paraId="350595BA">
            <w:pPr>
              <w:pStyle w:val="18"/>
              <w:spacing w:line="276" w:lineRule="auto"/>
              <w:jc w:val="left"/>
              <w:rPr>
                <w:rFonts w:hint="eastAsia" w:ascii="仿宋" w:hAnsi="仿宋" w:eastAsia="仿宋" w:cs="仿宋"/>
                <w:highlight w:val="none"/>
              </w:rPr>
            </w:pPr>
            <w:r>
              <w:rPr>
                <w:rFonts w:hint="eastAsia" w:ascii="仿宋" w:hAnsi="仿宋" w:eastAsia="仿宋" w:cs="仿宋"/>
                <w:highlight w:val="none"/>
              </w:rPr>
              <w:t>2.付款计划安排：</w:t>
            </w:r>
          </w:p>
        </w:tc>
      </w:tr>
      <w:tr w14:paraId="1C11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38" w:type="dxa"/>
            <w:vAlign w:val="center"/>
          </w:tcPr>
          <w:p w14:paraId="3FF67AA0">
            <w:pPr>
              <w:pStyle w:val="18"/>
              <w:jc w:val="center"/>
              <w:rPr>
                <w:rFonts w:hint="eastAsia" w:ascii="仿宋" w:hAnsi="仿宋" w:eastAsia="仿宋" w:cs="仿宋"/>
                <w:highlight w:val="none"/>
              </w:rPr>
            </w:pPr>
            <w:r>
              <w:rPr>
                <w:rFonts w:hint="eastAsia" w:ascii="仿宋" w:hAnsi="仿宋" w:eastAsia="仿宋" w:cs="仿宋"/>
                <w:highlight w:val="none"/>
              </w:rPr>
              <w:t>9</w:t>
            </w:r>
          </w:p>
        </w:tc>
        <w:tc>
          <w:tcPr>
            <w:tcW w:w="7578" w:type="dxa"/>
            <w:vAlign w:val="center"/>
          </w:tcPr>
          <w:p w14:paraId="29458298">
            <w:pPr>
              <w:pStyle w:val="18"/>
              <w:jc w:val="left"/>
              <w:rPr>
                <w:rFonts w:hint="eastAsia" w:ascii="仿宋" w:hAnsi="仿宋" w:eastAsia="仿宋" w:cs="仿宋"/>
                <w:highlight w:val="none"/>
              </w:rPr>
            </w:pPr>
            <w:r>
              <w:rPr>
                <w:rFonts w:hint="eastAsia" w:ascii="仿宋" w:hAnsi="仿宋" w:eastAsia="仿宋" w:cs="仿宋"/>
                <w:highlight w:val="none"/>
              </w:rPr>
              <w:t>履约保证金及其返还：</w:t>
            </w:r>
          </w:p>
        </w:tc>
      </w:tr>
    </w:tbl>
    <w:p w14:paraId="725A0AEA">
      <w:pPr>
        <w:spacing w:line="400" w:lineRule="exact"/>
        <w:jc w:val="center"/>
        <w:rPr>
          <w:rFonts w:hint="eastAsia" w:ascii="仿宋" w:hAnsi="仿宋" w:eastAsia="仿宋" w:cs="仿宋"/>
          <w:b/>
          <w:sz w:val="24"/>
          <w:szCs w:val="24"/>
          <w:highlight w:val="none"/>
        </w:rPr>
      </w:pPr>
      <w:bookmarkStart w:id="293" w:name="第五部分第一章"/>
      <w:r>
        <w:rPr>
          <w:rFonts w:hint="eastAsia" w:ascii="仿宋" w:hAnsi="仿宋" w:eastAsia="仿宋" w:cs="仿宋"/>
          <w:b/>
          <w:sz w:val="24"/>
          <w:szCs w:val="24"/>
          <w:highlight w:val="none"/>
        </w:rPr>
        <w:t>（仅供参考，具体以实际签订的内容为准）</w:t>
      </w:r>
      <w:bookmarkEnd w:id="293"/>
    </w:p>
    <w:p w14:paraId="51F62649">
      <w:pPr>
        <w:pStyle w:val="14"/>
        <w:rPr>
          <w:rFonts w:hint="eastAsia" w:ascii="仿宋" w:hAnsi="仿宋" w:eastAsia="仿宋" w:cs="仿宋"/>
          <w:highlight w:val="none"/>
          <w:shd w:val="clear" w:color="auto" w:fill="FFFFFF" w:themeFill="background1"/>
        </w:rPr>
      </w:pPr>
    </w:p>
    <w:p w14:paraId="486995C4">
      <w:pPr>
        <w:widowControl/>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4A1EC96B">
      <w:pPr>
        <w:pStyle w:val="14"/>
        <w:jc w:val="center"/>
        <w:outlineLvl w:val="0"/>
        <w:rPr>
          <w:rFonts w:hint="eastAsia" w:ascii="仿宋" w:hAnsi="仿宋" w:eastAsia="仿宋" w:cs="仿宋"/>
          <w:b w:val="0"/>
          <w:bCs/>
          <w:sz w:val="24"/>
          <w:szCs w:val="24"/>
          <w:highlight w:val="none"/>
        </w:rPr>
      </w:pPr>
      <w:bookmarkStart w:id="294" w:name="_Toc27487"/>
      <w:r>
        <w:rPr>
          <w:rFonts w:hint="eastAsia" w:ascii="仿宋" w:hAnsi="仿宋" w:eastAsia="仿宋" w:cs="仿宋"/>
          <w:b/>
          <w:szCs w:val="24"/>
          <w:highlight w:val="none"/>
        </w:rPr>
        <w:t>第四章 服务标准和要求</w:t>
      </w:r>
      <w:bookmarkEnd w:id="294"/>
      <w:bookmarkStart w:id="295" w:name="_Toc138638773"/>
      <w:bookmarkEnd w:id="295"/>
      <w:bookmarkStart w:id="296" w:name="_Toc138638718"/>
      <w:bookmarkEnd w:id="296"/>
      <w:bookmarkStart w:id="297" w:name="_Toc138638883"/>
      <w:bookmarkEnd w:id="297"/>
      <w:bookmarkStart w:id="298" w:name="_Toc138639074"/>
      <w:bookmarkEnd w:id="298"/>
      <w:bookmarkStart w:id="299" w:name="_Toc138639090"/>
      <w:bookmarkEnd w:id="299"/>
      <w:bookmarkStart w:id="300" w:name="_Toc138638719"/>
      <w:bookmarkEnd w:id="300"/>
      <w:bookmarkStart w:id="301" w:name="_Toc138638907"/>
      <w:bookmarkEnd w:id="301"/>
      <w:bookmarkStart w:id="302" w:name="_Toc138638884"/>
      <w:bookmarkEnd w:id="302"/>
      <w:bookmarkStart w:id="303" w:name="_Toc138638535"/>
      <w:bookmarkEnd w:id="303"/>
      <w:bookmarkStart w:id="304" w:name="_Toc138638534"/>
      <w:bookmarkEnd w:id="304"/>
      <w:bookmarkStart w:id="305" w:name="_Toc138638538"/>
      <w:bookmarkEnd w:id="305"/>
      <w:bookmarkStart w:id="306" w:name="_Toc138639091"/>
      <w:bookmarkEnd w:id="306"/>
      <w:bookmarkStart w:id="307" w:name="_Toc138639145"/>
      <w:bookmarkEnd w:id="307"/>
      <w:bookmarkStart w:id="308" w:name="_Toc138638906"/>
      <w:bookmarkEnd w:id="308"/>
      <w:bookmarkStart w:id="309" w:name="_Toc138638509"/>
      <w:bookmarkEnd w:id="309"/>
      <w:bookmarkStart w:id="310" w:name="_Toc138638910"/>
      <w:bookmarkEnd w:id="310"/>
      <w:bookmarkStart w:id="311" w:name="_合同文件的组成及解释顺序"/>
      <w:bookmarkEnd w:id="311"/>
      <w:bookmarkStart w:id="312" w:name="_Toc138638510"/>
      <w:bookmarkEnd w:id="312"/>
      <w:bookmarkStart w:id="313" w:name="_Toc138638702"/>
      <w:bookmarkEnd w:id="313"/>
      <w:bookmarkStart w:id="314" w:name="_Toc531016893"/>
    </w:p>
    <w:p w14:paraId="3ED00D5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eastAsia" w:ascii="仿宋" w:hAnsi="仿宋" w:eastAsia="仿宋" w:cs="仿宋"/>
          <w:b/>
          <w:bCs/>
          <w:color w:val="auto"/>
          <w:sz w:val="24"/>
          <w:szCs w:val="24"/>
          <w:highlight w:val="none"/>
        </w:rPr>
      </w:pPr>
      <w:bookmarkStart w:id="315" w:name="_Toc1807"/>
      <w:r>
        <w:rPr>
          <w:rFonts w:hint="eastAsia" w:ascii="仿宋" w:hAnsi="仿宋" w:eastAsia="仿宋" w:cs="仿宋"/>
          <w:b/>
          <w:bCs/>
          <w:color w:val="auto"/>
          <w:sz w:val="24"/>
          <w:szCs w:val="24"/>
          <w:highlight w:val="none"/>
        </w:rPr>
        <w:t>一、总体目标任务</w:t>
      </w:r>
    </w:p>
    <w:p w14:paraId="0776E3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综合研究的基础上开展1∶5万重力测量，圈定重力异常，结合地物化成果划分有利成矿区，择优部署1∶2.5万激电测量，缩小找矿靶区。采用大比例尺地物化及槽探、钻探工作手段，对新发现的矿化线索及成矿有利区进行综合评价，提交找矿靶区。</w:t>
      </w:r>
    </w:p>
    <w:p w14:paraId="63DDD5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二、具体工作任务</w:t>
      </w:r>
    </w:p>
    <w:p w14:paraId="4C96DB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1.开展1∶5万重力测量，查明普查区重力异常，解译构造、岩体等地质特征，分析铜、铅、锌、铁等矿产与异常的关系。</w:t>
      </w:r>
    </w:p>
    <w:p w14:paraId="41E01D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2.在重力推断解译成果的基础上，结合地物化成果，择优部署1∶2.5万激电测量，缩小找矿靶区，为下一步工作提供依据。</w:t>
      </w:r>
    </w:p>
    <w:p w14:paraId="7DA799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3.采用大比例尺地、物、化及槽探、钻探等工作手段对重点异常及新发现的矿化线索进行查证，圈定找矿靶区。</w:t>
      </w:r>
    </w:p>
    <w:p w14:paraId="7C3237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交通位置</w:t>
      </w:r>
    </w:p>
    <w:p w14:paraId="5037EAC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普查区位于阿勒泰市、福海县和富蕴县接壤部位，西南少数属于阿勒泰市管辖，西北-中部大部分隶属于福海县管辖，东南属于富蕴县管辖，普查区位于额尔齐斯河北部，东西长19.5千米，南北宽16-19.6千米，西距阿勒泰市区直线距离33千米，西南距北屯市直线距离41千米，中部距福海县直线距离90千米，东南紧邻富蕴县，东南有富蕴县至库尔特乡乡级公路通行，西北有红山嘴至阿勒泰市S230省道从工区西北穿过，测区中部有阿富准铁道穿过工区，普查区内有多条简易道路通行，整体交通较为便利（图1-2）。</w:t>
      </w:r>
    </w:p>
    <w:p w14:paraId="030A4522">
      <w:pPr>
        <w:adjustRightInd w:val="0"/>
        <w:snapToGrid w:val="0"/>
        <w:jc w:val="center"/>
        <w:textAlignment w:val="baseline"/>
        <w:rPr>
          <w:rFonts w:hint="eastAsia" w:ascii="宋体" w:hAnsi="宋体" w:cs="宋体"/>
          <w:color w:val="000000"/>
          <w:sz w:val="24"/>
        </w:rPr>
      </w:pPr>
      <w:r>
        <w:rPr>
          <w:rFonts w:hint="eastAsia" w:ascii="宋体" w:hAnsi="宋体" w:eastAsia="宋体" w:cs="宋体"/>
          <w:color w:val="auto"/>
          <w:lang w:eastAsia="zh-CN"/>
        </w:rPr>
        <w:drawing>
          <wp:inline distT="0" distB="0" distL="114300" distR="114300">
            <wp:extent cx="4262755" cy="4616450"/>
            <wp:effectExtent l="0" t="0" r="4445" b="12700"/>
            <wp:docPr id="22" name="图片 22" descr="交通位置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交通位置11"/>
                    <pic:cNvPicPr>
                      <a:picLocks noChangeAspect="1"/>
                    </pic:cNvPicPr>
                  </pic:nvPicPr>
                  <pic:blipFill>
                    <a:blip r:embed="rId14"/>
                    <a:stretch>
                      <a:fillRect/>
                    </a:stretch>
                  </pic:blipFill>
                  <pic:spPr>
                    <a:xfrm>
                      <a:off x="0" y="0"/>
                      <a:ext cx="4262755" cy="4616450"/>
                    </a:xfrm>
                    <a:prstGeom prst="rect">
                      <a:avLst/>
                    </a:prstGeom>
                  </pic:spPr>
                </pic:pic>
              </a:graphicData>
            </a:graphic>
          </wp:inline>
        </w:drawing>
      </w:r>
    </w:p>
    <w:p w14:paraId="041960C9">
      <w:pPr>
        <w:spacing w:line="360" w:lineRule="auto"/>
        <w:jc w:val="center"/>
        <w:textAlignment w:val="baseline"/>
        <w:outlineLvl w:val="7"/>
        <w:rPr>
          <w:rFonts w:ascii="宋体" w:hAnsi="宋体" w:cs="宋体"/>
          <w:b/>
          <w:szCs w:val="21"/>
          <w:lang w:bidi="ar"/>
        </w:rPr>
      </w:pPr>
      <w:r>
        <w:rPr>
          <w:rFonts w:hint="eastAsia" w:ascii="宋体" w:hAnsi="宋体" w:cs="宋体"/>
          <w:b/>
          <w:color w:val="000000"/>
          <w:szCs w:val="21"/>
        </w:rPr>
        <w:t>图1  普查区交通位置图</w:t>
      </w:r>
    </w:p>
    <w:p w14:paraId="1E1AE9CA">
      <w:pPr>
        <w:spacing w:line="360" w:lineRule="auto"/>
        <w:ind w:firstLine="482" w:firstLineChars="200"/>
        <w:rPr>
          <w:rFonts w:ascii="仿宋" w:hAnsi="仿宋" w:eastAsia="仿宋" w:cs="仿宋"/>
          <w:b/>
          <w:sz w:val="24"/>
          <w:szCs w:val="24"/>
          <w:highlight w:val="none"/>
        </w:rPr>
      </w:pPr>
    </w:p>
    <w:p w14:paraId="0E509215">
      <w:p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、服务内容：</w:t>
      </w:r>
      <w:r>
        <w:rPr>
          <w:rFonts w:hint="eastAsia" w:ascii="仿宋" w:hAnsi="仿宋" w:eastAsia="仿宋" w:cs="仿宋"/>
          <w:sz w:val="24"/>
          <w:szCs w:val="24"/>
          <w:highlight w:val="none"/>
          <w:lang w:eastAsia="zh-CN"/>
        </w:rPr>
        <w:t>新疆福海县阔克-锡泊渡一带1：5万综合物探普查物探技术服务项目</w:t>
      </w:r>
    </w:p>
    <w:tbl>
      <w:tblPr>
        <w:tblStyle w:val="42"/>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0"/>
        <w:gridCol w:w="2230"/>
        <w:gridCol w:w="1203"/>
        <w:gridCol w:w="1748"/>
        <w:gridCol w:w="719"/>
      </w:tblGrid>
      <w:tr w14:paraId="6111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31AFEF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2"/>
                <w:szCs w:val="22"/>
                <w:highlight w:val="none"/>
                <w:u w:val="none"/>
              </w:rPr>
            </w:pPr>
            <w:r>
              <w:rPr>
                <w:rFonts w:hint="eastAsia" w:ascii="仿宋" w:hAnsi="仿宋" w:eastAsia="仿宋" w:cs="仿宋"/>
                <w:b/>
                <w:i w:val="0"/>
                <w:iCs w:val="0"/>
                <w:color w:val="000000"/>
                <w:kern w:val="0"/>
                <w:sz w:val="22"/>
                <w:szCs w:val="22"/>
                <w:highlight w:val="none"/>
                <w:u w:val="none"/>
                <w:lang w:val="en-US" w:eastAsia="zh-CN" w:bidi="ar"/>
              </w:rPr>
              <w:t>工作项目</w:t>
            </w:r>
          </w:p>
        </w:tc>
        <w:tc>
          <w:tcPr>
            <w:tcW w:w="0" w:type="auto"/>
            <w:noWrap w:val="0"/>
            <w:vAlign w:val="center"/>
          </w:tcPr>
          <w:p w14:paraId="348C34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2"/>
                <w:szCs w:val="22"/>
                <w:highlight w:val="none"/>
                <w:u w:val="none"/>
              </w:rPr>
            </w:pPr>
            <w:r>
              <w:rPr>
                <w:rFonts w:hint="eastAsia" w:ascii="仿宋" w:hAnsi="仿宋" w:eastAsia="仿宋" w:cs="仿宋"/>
                <w:b/>
                <w:i w:val="0"/>
                <w:iCs w:val="0"/>
                <w:color w:val="000000"/>
                <w:kern w:val="0"/>
                <w:sz w:val="22"/>
                <w:szCs w:val="22"/>
                <w:highlight w:val="none"/>
                <w:u w:val="none"/>
                <w:lang w:val="en-US" w:eastAsia="zh-CN" w:bidi="ar"/>
              </w:rPr>
              <w:t>技术条件</w:t>
            </w:r>
          </w:p>
        </w:tc>
        <w:tc>
          <w:tcPr>
            <w:tcW w:w="0" w:type="auto"/>
            <w:noWrap w:val="0"/>
            <w:vAlign w:val="center"/>
          </w:tcPr>
          <w:p w14:paraId="7A155E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2"/>
                <w:szCs w:val="22"/>
                <w:highlight w:val="none"/>
                <w:u w:val="none"/>
              </w:rPr>
            </w:pPr>
            <w:r>
              <w:rPr>
                <w:rFonts w:hint="eastAsia" w:ascii="仿宋" w:hAnsi="仿宋" w:eastAsia="仿宋" w:cs="仿宋"/>
                <w:b/>
                <w:i w:val="0"/>
                <w:iCs w:val="0"/>
                <w:color w:val="000000"/>
                <w:kern w:val="0"/>
                <w:sz w:val="22"/>
                <w:szCs w:val="22"/>
                <w:highlight w:val="none"/>
                <w:u w:val="none"/>
                <w:lang w:val="en-US" w:eastAsia="zh-CN" w:bidi="ar"/>
              </w:rPr>
              <w:t>计量单位</w:t>
            </w:r>
          </w:p>
        </w:tc>
        <w:tc>
          <w:tcPr>
            <w:tcW w:w="0" w:type="auto"/>
            <w:noWrap/>
            <w:vAlign w:val="center"/>
          </w:tcPr>
          <w:p w14:paraId="3B7CF1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2"/>
                <w:szCs w:val="22"/>
                <w:highlight w:val="none"/>
                <w:u w:val="none"/>
              </w:rPr>
            </w:pPr>
            <w:r>
              <w:rPr>
                <w:rFonts w:hint="eastAsia" w:ascii="仿宋" w:hAnsi="仿宋" w:eastAsia="仿宋" w:cs="仿宋"/>
                <w:b/>
                <w:i w:val="0"/>
                <w:iCs w:val="0"/>
                <w:color w:val="000000"/>
                <w:kern w:val="0"/>
                <w:sz w:val="22"/>
                <w:szCs w:val="22"/>
                <w:highlight w:val="none"/>
                <w:u w:val="none"/>
                <w:lang w:val="en-US" w:eastAsia="zh-CN" w:bidi="ar"/>
              </w:rPr>
              <w:t>2026年工作量</w:t>
            </w:r>
          </w:p>
        </w:tc>
        <w:tc>
          <w:tcPr>
            <w:tcW w:w="719" w:type="dxa"/>
            <w:noWrap w:val="0"/>
            <w:vAlign w:val="center"/>
          </w:tcPr>
          <w:p w14:paraId="3ED04C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2"/>
                <w:szCs w:val="22"/>
                <w:highlight w:val="none"/>
                <w:u w:val="none"/>
              </w:rPr>
            </w:pPr>
            <w:r>
              <w:rPr>
                <w:rFonts w:hint="eastAsia" w:ascii="仿宋" w:hAnsi="仿宋" w:eastAsia="仿宋" w:cs="仿宋"/>
                <w:b/>
                <w:i w:val="0"/>
                <w:iCs w:val="0"/>
                <w:color w:val="000000"/>
                <w:kern w:val="0"/>
                <w:sz w:val="22"/>
                <w:szCs w:val="22"/>
                <w:highlight w:val="none"/>
                <w:u w:val="none"/>
                <w:lang w:val="en-US" w:eastAsia="zh-CN" w:bidi="ar"/>
              </w:rPr>
              <w:t>备注</w:t>
            </w:r>
          </w:p>
        </w:tc>
      </w:tr>
      <w:tr w14:paraId="45C4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67C9558B">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物探</w:t>
            </w:r>
          </w:p>
        </w:tc>
        <w:tc>
          <w:tcPr>
            <w:tcW w:w="0" w:type="auto"/>
            <w:noWrap/>
            <w:vAlign w:val="center"/>
          </w:tcPr>
          <w:p w14:paraId="5FEFF62D">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p>
        </w:tc>
        <w:tc>
          <w:tcPr>
            <w:tcW w:w="0" w:type="auto"/>
            <w:noWrap/>
            <w:vAlign w:val="center"/>
          </w:tcPr>
          <w:p w14:paraId="1FCDE642">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p>
        </w:tc>
        <w:tc>
          <w:tcPr>
            <w:tcW w:w="0" w:type="auto"/>
            <w:noWrap/>
            <w:vAlign w:val="center"/>
          </w:tcPr>
          <w:p w14:paraId="1A07F010">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p>
        </w:tc>
        <w:tc>
          <w:tcPr>
            <w:tcW w:w="719" w:type="dxa"/>
            <w:noWrap w:val="0"/>
            <w:vAlign w:val="center"/>
          </w:tcPr>
          <w:p w14:paraId="0C2A35BE">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p>
        </w:tc>
      </w:tr>
      <w:tr w14:paraId="324E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A1D5A6D">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（二）重力</w:t>
            </w:r>
          </w:p>
        </w:tc>
        <w:tc>
          <w:tcPr>
            <w:tcW w:w="0" w:type="auto"/>
            <w:noWrap/>
            <w:vAlign w:val="center"/>
          </w:tcPr>
          <w:p w14:paraId="00A56ACD">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p>
        </w:tc>
        <w:tc>
          <w:tcPr>
            <w:tcW w:w="0" w:type="auto"/>
            <w:noWrap/>
            <w:vAlign w:val="center"/>
          </w:tcPr>
          <w:p w14:paraId="14E39F63">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p>
        </w:tc>
        <w:tc>
          <w:tcPr>
            <w:tcW w:w="0" w:type="auto"/>
            <w:noWrap/>
            <w:vAlign w:val="center"/>
          </w:tcPr>
          <w:p w14:paraId="0C906FA9">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p>
        </w:tc>
        <w:tc>
          <w:tcPr>
            <w:tcW w:w="719" w:type="dxa"/>
            <w:noWrap w:val="0"/>
            <w:vAlign w:val="center"/>
          </w:tcPr>
          <w:p w14:paraId="2B19D4AF">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p>
        </w:tc>
      </w:tr>
      <w:tr w14:paraId="03BF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69B750D7">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1：5万重力测量</w:t>
            </w:r>
          </w:p>
        </w:tc>
        <w:tc>
          <w:tcPr>
            <w:tcW w:w="0" w:type="auto"/>
            <w:noWrap/>
            <w:vAlign w:val="center"/>
          </w:tcPr>
          <w:p w14:paraId="45861FCE">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3.5级(500×100m)</w:t>
            </w:r>
          </w:p>
        </w:tc>
        <w:tc>
          <w:tcPr>
            <w:tcW w:w="0" w:type="auto"/>
            <w:noWrap/>
            <w:vAlign w:val="center"/>
          </w:tcPr>
          <w:p w14:paraId="027EE5DC">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km</w:t>
            </w:r>
            <w:r>
              <w:rPr>
                <w:rFonts w:hint="eastAsia" w:ascii="宋体" w:hAnsi="宋体" w:eastAsia="宋体" w:cs="宋体"/>
                <w:i w:val="0"/>
                <w:iCs w:val="0"/>
                <w:color w:val="000000"/>
                <w:kern w:val="0"/>
                <w:sz w:val="22"/>
                <w:szCs w:val="22"/>
                <w:u w:val="none"/>
                <w:vertAlign w:val="superscript"/>
                <w:lang w:val="en-US" w:eastAsia="zh-CN" w:bidi="ar"/>
              </w:rPr>
              <w:t>2</w:t>
            </w:r>
          </w:p>
        </w:tc>
        <w:tc>
          <w:tcPr>
            <w:tcW w:w="0" w:type="auto"/>
            <w:noWrap/>
            <w:vAlign w:val="center"/>
          </w:tcPr>
          <w:p w14:paraId="32B672E3">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546.1</w:t>
            </w:r>
          </w:p>
        </w:tc>
        <w:tc>
          <w:tcPr>
            <w:tcW w:w="719" w:type="dxa"/>
            <w:noWrap w:val="0"/>
            <w:vAlign w:val="center"/>
          </w:tcPr>
          <w:p w14:paraId="51DABA29">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p>
        </w:tc>
      </w:tr>
      <w:tr w14:paraId="7AC6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600A0FF1">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（三） 电法</w:t>
            </w:r>
          </w:p>
        </w:tc>
        <w:tc>
          <w:tcPr>
            <w:tcW w:w="0" w:type="auto"/>
            <w:noWrap/>
            <w:vAlign w:val="center"/>
          </w:tcPr>
          <w:p w14:paraId="402107C6">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lang w:val="en-US" w:eastAsia="zh-CN"/>
              </w:rPr>
            </w:pPr>
          </w:p>
        </w:tc>
        <w:tc>
          <w:tcPr>
            <w:tcW w:w="0" w:type="auto"/>
            <w:noWrap/>
            <w:vAlign w:val="center"/>
          </w:tcPr>
          <w:p w14:paraId="4B08D8E9">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lang w:val="en-US" w:eastAsia="zh-CN"/>
              </w:rPr>
            </w:pPr>
          </w:p>
        </w:tc>
        <w:tc>
          <w:tcPr>
            <w:tcW w:w="0" w:type="auto"/>
            <w:noWrap/>
            <w:vAlign w:val="center"/>
          </w:tcPr>
          <w:p w14:paraId="5D23EBCA">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p>
        </w:tc>
        <w:tc>
          <w:tcPr>
            <w:tcW w:w="719" w:type="dxa"/>
            <w:noWrap w:val="0"/>
            <w:vAlign w:val="center"/>
          </w:tcPr>
          <w:p w14:paraId="71540CBC">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p>
        </w:tc>
      </w:tr>
      <w:tr w14:paraId="3355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2C52E217">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0"/>
                <w:u w:val="none"/>
                <w:lang w:val="en-US" w:eastAsia="zh-CN" w:bidi="ar"/>
              </w:rPr>
              <w:t>1:2.5万激电中梯短导线测量</w:t>
            </w:r>
          </w:p>
        </w:tc>
        <w:tc>
          <w:tcPr>
            <w:tcW w:w="0" w:type="auto"/>
            <w:noWrap/>
            <w:vAlign w:val="center"/>
          </w:tcPr>
          <w:p w14:paraId="74E7EAB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0"/>
                <w:u w:val="none"/>
                <w:lang w:val="en-US" w:eastAsia="zh-CN" w:bidi="ar"/>
              </w:rPr>
              <w:t>2.8级(250×</w:t>
            </w:r>
            <w:r>
              <w:rPr>
                <w:rStyle w:val="156"/>
                <w:rFonts w:ascii="宋体" w:eastAsia="宋体"/>
                <w:sz w:val="22"/>
                <w:lang w:val="en-US" w:eastAsia="zh-CN" w:bidi="ar"/>
              </w:rPr>
              <w:t>60)</w:t>
            </w:r>
          </w:p>
        </w:tc>
        <w:tc>
          <w:tcPr>
            <w:tcW w:w="0" w:type="auto"/>
            <w:noWrap/>
            <w:vAlign w:val="center"/>
          </w:tcPr>
          <w:p w14:paraId="4706F44E">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km</w:t>
            </w:r>
            <w:r>
              <w:rPr>
                <w:rFonts w:hint="eastAsia" w:ascii="宋体" w:hAnsi="宋体" w:eastAsia="宋体" w:cs="宋体"/>
                <w:i w:val="0"/>
                <w:iCs w:val="0"/>
                <w:color w:val="000000"/>
                <w:kern w:val="0"/>
                <w:sz w:val="22"/>
                <w:szCs w:val="22"/>
                <w:u w:val="none"/>
                <w:vertAlign w:val="superscript"/>
                <w:lang w:val="en-US" w:eastAsia="zh-CN" w:bidi="ar"/>
              </w:rPr>
              <w:t>2</w:t>
            </w:r>
          </w:p>
        </w:tc>
        <w:tc>
          <w:tcPr>
            <w:tcW w:w="0" w:type="auto"/>
            <w:noWrap/>
            <w:vAlign w:val="center"/>
          </w:tcPr>
          <w:p w14:paraId="621FBC3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1"/>
                <w:u w:val="none"/>
                <w:lang w:val="en-US" w:eastAsia="zh-CN" w:bidi="ar"/>
              </w:rPr>
              <w:t>100</w:t>
            </w:r>
          </w:p>
        </w:tc>
        <w:tc>
          <w:tcPr>
            <w:tcW w:w="719" w:type="dxa"/>
            <w:noWrap w:val="0"/>
            <w:vAlign w:val="center"/>
          </w:tcPr>
          <w:p w14:paraId="240D9114">
            <w:pPr>
              <w:snapToGrid w:val="0"/>
              <w:ind w:left="0" w:leftChars="0" w:right="0" w:rightChars="0" w:firstLine="0" w:firstLineChars="0"/>
              <w:jc w:val="center"/>
              <w:rPr>
                <w:rFonts w:hint="eastAsia" w:ascii="宋体" w:hAnsi="仿宋" w:eastAsia="宋体" w:cs="仿宋"/>
                <w:i w:val="0"/>
                <w:iCs w:val="0"/>
                <w:color w:val="000000"/>
                <w:sz w:val="22"/>
                <w:szCs w:val="22"/>
                <w:highlight w:val="none"/>
                <w:u w:val="none"/>
              </w:rPr>
            </w:pPr>
          </w:p>
        </w:tc>
      </w:tr>
      <w:tr w14:paraId="3579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619348C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激电测深测量</w:t>
            </w:r>
          </w:p>
        </w:tc>
        <w:tc>
          <w:tcPr>
            <w:tcW w:w="0" w:type="auto"/>
            <w:noWrap/>
            <w:vAlign w:val="center"/>
          </w:tcPr>
          <w:p w14:paraId="35B926CC">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2.8级(点距40米)</w:t>
            </w:r>
          </w:p>
        </w:tc>
        <w:tc>
          <w:tcPr>
            <w:tcW w:w="0" w:type="auto"/>
            <w:noWrap/>
            <w:vAlign w:val="center"/>
          </w:tcPr>
          <w:p w14:paraId="352B9B90">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点</w:t>
            </w:r>
          </w:p>
        </w:tc>
        <w:tc>
          <w:tcPr>
            <w:tcW w:w="0" w:type="auto"/>
            <w:noWrap/>
            <w:vAlign w:val="center"/>
          </w:tcPr>
          <w:p w14:paraId="11CB771F">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40</w:t>
            </w:r>
          </w:p>
        </w:tc>
        <w:tc>
          <w:tcPr>
            <w:tcW w:w="719" w:type="dxa"/>
            <w:noWrap w:val="0"/>
            <w:vAlign w:val="center"/>
          </w:tcPr>
          <w:p w14:paraId="33B77D8E">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p>
        </w:tc>
      </w:tr>
      <w:tr w14:paraId="26FE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0" w:type="dxa"/>
            <w:noWrap/>
            <w:vAlign w:val="center"/>
          </w:tcPr>
          <w:p w14:paraId="318D174E">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可控源音频大地电磁测深测量</w:t>
            </w:r>
          </w:p>
        </w:tc>
        <w:tc>
          <w:tcPr>
            <w:tcW w:w="2230" w:type="dxa"/>
            <w:noWrap w:val="0"/>
            <w:vAlign w:val="center"/>
          </w:tcPr>
          <w:p w14:paraId="40933417">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2.8级(点距40米)</w:t>
            </w:r>
          </w:p>
        </w:tc>
        <w:tc>
          <w:tcPr>
            <w:tcW w:w="1203" w:type="dxa"/>
            <w:noWrap/>
            <w:vAlign w:val="center"/>
          </w:tcPr>
          <w:p w14:paraId="7BE4429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点</w:t>
            </w:r>
          </w:p>
        </w:tc>
        <w:tc>
          <w:tcPr>
            <w:tcW w:w="1748" w:type="dxa"/>
            <w:noWrap/>
            <w:vAlign w:val="center"/>
          </w:tcPr>
          <w:p w14:paraId="0132095A">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61</w:t>
            </w:r>
          </w:p>
        </w:tc>
        <w:tc>
          <w:tcPr>
            <w:tcW w:w="719" w:type="dxa"/>
            <w:noWrap w:val="0"/>
            <w:vAlign w:val="center"/>
          </w:tcPr>
          <w:p w14:paraId="61CE9FD7">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00"/>
                <w:sz w:val="22"/>
                <w:szCs w:val="22"/>
                <w:highlight w:val="none"/>
                <w:u w:val="none"/>
              </w:rPr>
            </w:pPr>
          </w:p>
        </w:tc>
      </w:tr>
    </w:tbl>
    <w:p w14:paraId="1E3095F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三、技术标准</w:t>
      </w:r>
    </w:p>
    <w:p w14:paraId="2C1AF5E5">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lang w:val="en-US" w:eastAsia="zh-CN"/>
        </w:rPr>
        <w:t>1、《大比例尺重力勘查规范》DZ/T 0171-2017；</w:t>
      </w:r>
    </w:p>
    <w:p w14:paraId="711721E6">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lang w:val="en-US" w:eastAsia="zh-CN"/>
        </w:rPr>
        <w:t>2、《重力调查技术规范（1∶50000）》DZ/T 0004-2015；</w:t>
      </w:r>
    </w:p>
    <w:p w14:paraId="6C6A010B">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lang w:val="en-US" w:eastAsia="zh-CN"/>
        </w:rPr>
        <w:t>3、《时间域激发极化技术规程》DZ/T 0070-2016；</w:t>
      </w:r>
    </w:p>
    <w:p w14:paraId="0E8A2292">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lang w:val="en-US" w:eastAsia="zh-CN"/>
        </w:rPr>
        <w:t>4、《可控源音频大地电磁法技术规程》DZ/T 0280-2015；</w:t>
      </w:r>
    </w:p>
    <w:p w14:paraId="7F797460">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lang w:val="en-US" w:eastAsia="zh-CN"/>
        </w:rPr>
        <w:t>5、《物化探工程测量规范》DZ/T 0153-2014；</w:t>
      </w:r>
    </w:p>
    <w:p w14:paraId="1101A417">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lang w:val="en-US" w:eastAsia="zh-CN"/>
        </w:rPr>
        <w:t>6、《地面高精度磁测技术规程》DZ/T 0071-2025；</w:t>
      </w:r>
    </w:p>
    <w:p w14:paraId="62C2279C">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lang w:val="en-US" w:eastAsia="zh-CN"/>
        </w:rPr>
        <w:t>7、《固体矿产地质勘查规范总则》GB/T 13908-2020；</w:t>
      </w:r>
    </w:p>
    <w:p w14:paraId="1F7A25AB">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lang w:val="en-US" w:eastAsia="zh-CN"/>
        </w:rPr>
        <w:t>8、《固体矿产勘查工作规范》GB/T 33444-2016；</w:t>
      </w:r>
    </w:p>
    <w:p w14:paraId="533DAC28">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lang w:val="en-US" w:eastAsia="zh-CN"/>
        </w:rPr>
        <w:t>9、《地质矿产勘查测量规范》(GB/T18341-2021)；</w:t>
      </w:r>
    </w:p>
    <w:p w14:paraId="1DE35D7B">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lang w:val="en-US" w:eastAsia="zh-CN"/>
        </w:rPr>
        <w:t>1</w:t>
      </w:r>
      <w:r>
        <w:rPr>
          <w:rFonts w:hint="eastAsia" w:ascii="仿宋" w:hAnsi="仿宋" w:eastAsia="仿宋" w:cs="仿宋"/>
          <w:b w:val="0"/>
          <w:bCs/>
          <w:sz w:val="24"/>
          <w:szCs w:val="24"/>
          <w:lang w:val="en-US" w:eastAsia="zh-CN"/>
        </w:rPr>
        <w:t>0</w:t>
      </w:r>
      <w:r>
        <w:rPr>
          <w:rFonts w:hint="default" w:ascii="仿宋" w:hAnsi="仿宋" w:eastAsia="仿宋" w:cs="仿宋"/>
          <w:b w:val="0"/>
          <w:bCs/>
          <w:sz w:val="24"/>
          <w:szCs w:val="24"/>
          <w:lang w:val="en-US" w:eastAsia="zh-CN"/>
        </w:rPr>
        <w:t>、《固体矿产勘查地质资料综合整理综合研究技术要求》DZ/T 0079-2015；</w:t>
      </w:r>
    </w:p>
    <w:p w14:paraId="1E78B8E7">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lang w:val="en-US" w:eastAsia="zh-CN"/>
        </w:rPr>
        <w:t>1</w:t>
      </w:r>
      <w:r>
        <w:rPr>
          <w:rFonts w:hint="eastAsia" w:ascii="仿宋" w:hAnsi="仿宋" w:eastAsia="仿宋" w:cs="仿宋"/>
          <w:b w:val="0"/>
          <w:bCs/>
          <w:sz w:val="24"/>
          <w:szCs w:val="24"/>
          <w:lang w:val="en-US" w:eastAsia="zh-CN"/>
        </w:rPr>
        <w:t>1</w:t>
      </w:r>
      <w:r>
        <w:rPr>
          <w:rFonts w:hint="default" w:ascii="仿宋" w:hAnsi="仿宋" w:eastAsia="仿宋" w:cs="仿宋"/>
          <w:b w:val="0"/>
          <w:bCs/>
          <w:sz w:val="24"/>
          <w:szCs w:val="24"/>
          <w:lang w:val="en-US" w:eastAsia="zh-CN"/>
        </w:rPr>
        <w:t>、《地质资料数据管理技术要求》DD2015-05；</w:t>
      </w:r>
    </w:p>
    <w:p w14:paraId="775E448F">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r>
        <w:rPr>
          <w:rFonts w:hint="default" w:ascii="仿宋" w:hAnsi="仿宋" w:eastAsia="仿宋" w:cs="仿宋"/>
          <w:b w:val="0"/>
          <w:bCs/>
          <w:sz w:val="24"/>
          <w:szCs w:val="24"/>
          <w:lang w:val="en-US" w:eastAsia="zh-CN"/>
        </w:rPr>
        <w:t>、《全球定位系统GPS测量规范》GB/T 18314-2009；</w:t>
      </w:r>
    </w:p>
    <w:p w14:paraId="0B78650E">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13</w:t>
      </w:r>
      <w:r>
        <w:rPr>
          <w:rFonts w:hint="default" w:ascii="仿宋" w:hAnsi="仿宋" w:eastAsia="仿宋" w:cs="仿宋"/>
          <w:b w:val="0"/>
          <w:bCs/>
          <w:sz w:val="24"/>
          <w:szCs w:val="24"/>
          <w:lang w:val="en-US" w:eastAsia="zh-CN"/>
        </w:rPr>
        <w:t>、《绿色地质勘查工作规范》DZ/T 0374-2021；</w:t>
      </w:r>
    </w:p>
    <w:p w14:paraId="59BCE53D">
      <w:pPr>
        <w:pageBreakBefore w:val="0"/>
        <w:numPr>
          <w:ilvl w:val="0"/>
          <w:numId w:val="0"/>
        </w:numPr>
        <w:wordWrap/>
        <w:bidi w:val="0"/>
        <w:spacing w:line="336" w:lineRule="auto"/>
        <w:outlineLvl w:val="9"/>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14</w:t>
      </w:r>
      <w:r>
        <w:rPr>
          <w:rFonts w:hint="default" w:ascii="仿宋" w:hAnsi="仿宋" w:eastAsia="仿宋" w:cs="仿宋"/>
          <w:b w:val="0"/>
          <w:bCs/>
          <w:sz w:val="24"/>
          <w:szCs w:val="24"/>
          <w:lang w:val="en-US" w:eastAsia="zh-CN"/>
        </w:rPr>
        <w:t>、《新疆维吾尔自治区绿色勘查工作指南（试行）》（2025.6）</w:t>
      </w:r>
    </w:p>
    <w:p w14:paraId="37E2579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四、1∶5万</w:t>
      </w:r>
      <w:r>
        <w:rPr>
          <w:rFonts w:hint="eastAsia" w:ascii="宋体" w:hAnsi="宋体" w:eastAsia="宋体" w:cs="宋体"/>
          <w:b/>
          <w:bCs/>
          <w:color w:val="auto"/>
          <w:sz w:val="24"/>
          <w:szCs w:val="24"/>
        </w:rPr>
        <w:t>重力</w:t>
      </w:r>
      <w:r>
        <w:rPr>
          <w:rFonts w:hint="eastAsia" w:ascii="宋体" w:hAnsi="宋体" w:eastAsia="宋体" w:cs="宋体"/>
          <w:b/>
          <w:bCs/>
          <w:color w:val="auto"/>
          <w:sz w:val="24"/>
          <w:szCs w:val="24"/>
          <w:lang w:val="en-US" w:eastAsia="zh-CN"/>
        </w:rPr>
        <w:t>测量</w:t>
      </w:r>
      <w:r>
        <w:rPr>
          <w:rFonts w:hint="eastAsia" w:ascii="仿宋" w:hAnsi="仿宋" w:eastAsia="仿宋" w:cs="仿宋"/>
          <w:b/>
          <w:sz w:val="24"/>
          <w:szCs w:val="24"/>
          <w:lang w:val="en-US" w:eastAsia="zh-CN"/>
        </w:rPr>
        <w:t>技术要求</w:t>
      </w:r>
    </w:p>
    <w:p w14:paraId="1972FF9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工作目的及作业依据</w:t>
      </w:r>
    </w:p>
    <w:p w14:paraId="65761A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面积性重力测量主要是通过重力异常提供直接或间接的找矿信息。在充分研究</w:t>
      </w:r>
      <w:r>
        <w:rPr>
          <w:rFonts w:hint="eastAsia" w:ascii="宋体" w:hAnsi="宋体" w:eastAsia="宋体" w:cs="宋体"/>
          <w:color w:val="auto"/>
          <w:sz w:val="24"/>
          <w:szCs w:val="24"/>
          <w:highlight w:val="none"/>
          <w:lang w:eastAsia="zh-CN"/>
        </w:rPr>
        <w:t>普查区</w:t>
      </w:r>
      <w:r>
        <w:rPr>
          <w:rFonts w:hint="eastAsia" w:ascii="宋体" w:hAnsi="宋体" w:eastAsia="宋体" w:cs="宋体"/>
          <w:color w:val="auto"/>
          <w:sz w:val="24"/>
          <w:szCs w:val="24"/>
          <w:highlight w:val="none"/>
        </w:rPr>
        <w:t>地、物、化、遥资料的基础上，通过系统的1∶5万重力测量工作，初步查明</w:t>
      </w:r>
      <w:r>
        <w:rPr>
          <w:rFonts w:hint="eastAsia" w:ascii="宋体" w:hAnsi="宋体" w:eastAsia="宋体" w:cs="宋体"/>
          <w:color w:val="auto"/>
          <w:sz w:val="24"/>
          <w:szCs w:val="24"/>
          <w:highlight w:val="none"/>
          <w:lang w:eastAsia="zh-CN"/>
        </w:rPr>
        <w:t>普查区</w:t>
      </w:r>
      <w:r>
        <w:rPr>
          <w:rFonts w:hint="eastAsia" w:ascii="宋体" w:hAnsi="宋体" w:eastAsia="宋体" w:cs="宋体"/>
          <w:color w:val="auto"/>
          <w:sz w:val="24"/>
          <w:szCs w:val="24"/>
          <w:highlight w:val="none"/>
        </w:rPr>
        <w:t>重力场总体特征及重力异常</w:t>
      </w:r>
      <w:r>
        <w:rPr>
          <w:rFonts w:hint="eastAsia" w:ascii="宋体" w:hAnsi="宋体" w:eastAsia="宋体" w:cs="宋体"/>
          <w:color w:val="auto"/>
          <w:spacing w:val="-4"/>
          <w:sz w:val="24"/>
          <w:szCs w:val="24"/>
          <w:highlight w:val="none"/>
        </w:rPr>
        <w:t>分布</w:t>
      </w:r>
      <w:r>
        <w:rPr>
          <w:rFonts w:hint="eastAsia" w:ascii="宋体" w:hAnsi="宋体" w:eastAsia="宋体" w:cs="宋体"/>
          <w:color w:val="auto"/>
          <w:sz w:val="24"/>
          <w:szCs w:val="24"/>
          <w:highlight w:val="none"/>
        </w:rPr>
        <w:t>特征，了解重力场与构造、岩石及矿产的相互联系，构建区域地质三维构造格架，结合</w:t>
      </w:r>
      <w:r>
        <w:rPr>
          <w:rFonts w:hint="eastAsia" w:ascii="宋体" w:hAnsi="宋体" w:eastAsia="宋体" w:cs="宋体"/>
          <w:color w:val="auto"/>
          <w:spacing w:val="-6"/>
          <w:sz w:val="24"/>
          <w:szCs w:val="24"/>
          <w:highlight w:val="none"/>
        </w:rPr>
        <w:t>地质</w:t>
      </w:r>
      <w:r>
        <w:rPr>
          <w:rFonts w:hint="eastAsia" w:ascii="宋体" w:hAnsi="宋体" w:eastAsia="宋体" w:cs="宋体"/>
          <w:color w:val="auto"/>
          <w:sz w:val="24"/>
          <w:szCs w:val="24"/>
          <w:highlight w:val="none"/>
        </w:rPr>
        <w:t>和化探工作，筛选重要异常进行查证。</w:t>
      </w:r>
    </w:p>
    <w:p w14:paraId="3E7A58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1∶5万重力测网共布设</w:t>
      </w:r>
      <w:r>
        <w:rPr>
          <w:rFonts w:hint="eastAsia" w:ascii="宋体" w:hAnsi="宋体" w:eastAsia="宋体" w:cs="宋体"/>
          <w:color w:val="auto"/>
          <w:sz w:val="24"/>
          <w:szCs w:val="24"/>
          <w:highlight w:val="none"/>
          <w:lang w:val="en-US" w:eastAsia="zh-CN"/>
        </w:rPr>
        <w:t>546.1</w:t>
      </w:r>
      <w:r>
        <w:rPr>
          <w:rFonts w:hint="eastAsia" w:ascii="宋体" w:hAnsi="宋体" w:eastAsia="宋体" w:cs="宋体"/>
          <w:color w:val="auto"/>
          <w:sz w:val="24"/>
          <w:szCs w:val="24"/>
          <w:highlight w:val="none"/>
        </w:rPr>
        <w:t>平方千米，采用500米×</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00米正规网进行覆盖全区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为提高野外观测精度及</w:t>
      </w:r>
      <w:r>
        <w:rPr>
          <w:rFonts w:hint="eastAsia" w:ascii="宋体" w:hAnsi="宋体" w:eastAsia="宋体" w:cs="宋体"/>
          <w:color w:val="auto"/>
          <w:spacing w:val="-4"/>
          <w:sz w:val="24"/>
          <w:szCs w:val="24"/>
          <w:highlight w:val="none"/>
        </w:rPr>
        <w:t>生产</w:t>
      </w:r>
      <w:r>
        <w:rPr>
          <w:rFonts w:hint="eastAsia" w:ascii="宋体" w:hAnsi="宋体" w:eastAsia="宋体" w:cs="宋体"/>
          <w:color w:val="auto"/>
          <w:sz w:val="24"/>
          <w:szCs w:val="24"/>
          <w:highlight w:val="none"/>
        </w:rPr>
        <w:t>效率，</w:t>
      </w:r>
      <w:r>
        <w:rPr>
          <w:rFonts w:hint="eastAsia" w:ascii="宋体" w:hAnsi="宋体" w:eastAsia="宋体" w:cs="宋体"/>
          <w:color w:val="auto"/>
          <w:sz w:val="24"/>
          <w:szCs w:val="24"/>
          <w:highlight w:val="none"/>
          <w:lang w:val="en-US" w:eastAsia="zh-CN"/>
        </w:rPr>
        <w:t>本次工作采用</w:t>
      </w:r>
      <w:r>
        <w:rPr>
          <w:rFonts w:hint="eastAsia" w:ascii="宋体" w:hAnsi="宋体" w:eastAsia="宋体" w:cs="宋体"/>
          <w:color w:val="auto"/>
          <w:sz w:val="24"/>
          <w:szCs w:val="24"/>
          <w:highlight w:val="none"/>
        </w:rPr>
        <w:t>CG-5型</w:t>
      </w:r>
      <w:r>
        <w:rPr>
          <w:rFonts w:hint="eastAsia" w:ascii="宋体" w:hAnsi="宋体" w:eastAsia="宋体" w:cs="宋体"/>
          <w:color w:val="auto"/>
          <w:sz w:val="24"/>
          <w:szCs w:val="24"/>
          <w:highlight w:val="none"/>
          <w:lang w:val="en-US" w:eastAsia="zh-CN"/>
        </w:rPr>
        <w:t>、CG-6</w:t>
      </w:r>
      <w:r>
        <w:rPr>
          <w:rFonts w:hint="eastAsia" w:ascii="宋体" w:hAnsi="宋体" w:eastAsia="宋体" w:cs="宋体"/>
          <w:color w:val="auto"/>
          <w:sz w:val="24"/>
          <w:szCs w:val="24"/>
          <w:highlight w:val="none"/>
        </w:rPr>
        <w:t>型高精度微伽重力仪进行观测。该仪器具有标准的1microGal（微伽）分辨率，不受环境温度、大气压力和外界磁场的影响，是最新型工业标准重力仪。</w:t>
      </w:r>
    </w:p>
    <w:p w14:paraId="3B65B05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质量检查及精度指标</w:t>
      </w:r>
    </w:p>
    <w:p w14:paraId="31E0B8C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重力测量工作按“一同三不同”（同点位、不同仪器、不同操作员、不同日期）方式进行，检查点力求均匀分布全区，并覆盖工作全过程（包括多日闭合测段），面积检查率不低于3%。</w:t>
      </w:r>
    </w:p>
    <w:p w14:paraId="263D1F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检查结果中，δi/2（δi为检查观测与原始观测之差）超过3倍设计测点均方误差的点数不得超过检查点数的1%，否则应扩大检查工作量。若仍超出1%时，应根据具体情况对资料作报废处理。</w:t>
      </w:r>
    </w:p>
    <w:p w14:paraId="0D8543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对于零点位移超限的某闭合段工作结果，应布置专门性检查，检查工作量不得少于15%。检查结果，测点观测精度若满足要求，则原始观测结果可作为合格资料使用，否则该闭合段作废。</w:t>
      </w:r>
    </w:p>
    <w:p w14:paraId="08DC7E8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对布格重力异常图中的所有突变点，应布置室内和室外检查工作，查明原因消除畸变点。</w:t>
      </w:r>
    </w:p>
    <w:p w14:paraId="273D3EB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当检查只有一次时，均方误差计算公式为：</w:t>
      </w:r>
    </w:p>
    <w:p w14:paraId="747D0CE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30"/>
          <w:sz w:val="24"/>
          <w:szCs w:val="24"/>
          <w:highlight w:val="none"/>
        </w:rPr>
        <w:object>
          <v:shape id="_x0000_i1025" o:spt="75" type="#_x0000_t75" style="height:37.5pt;width:92.5pt;" o:ole="t" filled="f" coordsize="21600,21600">
            <v:path/>
            <v:fill on="f" focussize="0,0"/>
            <v:stroke/>
            <v:imagedata r:id="rId16" o:title=""/>
            <o:lock v:ext="edit" aspectratio="t"/>
            <w10:wrap type="none"/>
            <w10:anchorlock/>
          </v:shape>
          <o:OLEObject Type="Embed" ProgID="Equation.3" ShapeID="_x0000_i1025" DrawAspect="Content" ObjectID="_1468075725" r:id="rId15">
            <o:LockedField>false</o:LockedField>
          </o:OLEObject>
        </w:object>
      </w:r>
    </w:p>
    <w:p w14:paraId="0892ECE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p>
    <w:p w14:paraId="173928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δ</w:t>
      </w:r>
      <w:r>
        <w:rPr>
          <w:rFonts w:hint="eastAsia" w:ascii="宋体" w:hAnsi="宋体" w:eastAsia="宋体" w:cs="宋体"/>
          <w:color w:val="auto"/>
          <w:sz w:val="24"/>
          <w:szCs w:val="24"/>
          <w:highlight w:val="none"/>
          <w:vertAlign w:val="subscript"/>
        </w:rPr>
        <w:t>i</w:t>
      </w:r>
      <w:r>
        <w:rPr>
          <w:rFonts w:hint="eastAsia" w:ascii="宋体" w:hAnsi="宋体" w:eastAsia="宋体" w:cs="宋体"/>
          <w:color w:val="auto"/>
          <w:sz w:val="24"/>
          <w:szCs w:val="24"/>
          <w:highlight w:val="none"/>
        </w:rPr>
        <w:t>-第i点原始观测值与检查值之差值；</w:t>
      </w:r>
    </w:p>
    <w:p w14:paraId="64FC6A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n-检查点数；</w:t>
      </w:r>
    </w:p>
    <w:p w14:paraId="1DFAE3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多次检查时应进行汇总，综合统计。</w:t>
      </w:r>
    </w:p>
    <w:p w14:paraId="00AA0A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重力工作各项精度指标</w:t>
      </w:r>
    </w:p>
    <w:p w14:paraId="5A6821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规范</w:t>
      </w:r>
      <w:r>
        <w:rPr>
          <w:rFonts w:hint="eastAsia" w:ascii="宋体" w:hAnsi="宋体" w:eastAsia="宋体" w:cs="宋体"/>
          <w:color w:val="auto"/>
          <w:sz w:val="24"/>
          <w:szCs w:val="24"/>
          <w:highlight w:val="none"/>
        </w:rPr>
        <w:t>精度要求，结合目前现有仪器的性能进行了适当的调整，1∶5万重力测量布格重力异常总精度设计为±0.</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vertAlign w:val="superscript"/>
        </w:rPr>
        <w:t>-5</w:t>
      </w:r>
      <w:r>
        <w:rPr>
          <w:rFonts w:hint="eastAsia" w:ascii="宋体" w:hAnsi="宋体" w:eastAsia="宋体" w:cs="宋体"/>
          <w:color w:val="auto"/>
          <w:sz w:val="24"/>
          <w:szCs w:val="24"/>
          <w:highlight w:val="none"/>
        </w:rPr>
        <w:t>m/s</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，各项精度指标分配如表</w:t>
      </w: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所示。</w:t>
      </w:r>
    </w:p>
    <w:p w14:paraId="05E766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相应要求重力观测点平面点位中误差不大于±5米，高程中误差不大于±0.5米。</w:t>
      </w:r>
    </w:p>
    <w:p w14:paraId="1DBC870B">
      <w:pPr>
        <w:pageBreakBefore w:val="0"/>
        <w:wordWrap w:val="0"/>
        <w:bidi w:val="0"/>
        <w:adjustRightInd w:val="0"/>
        <w:snapToGrid w:val="0"/>
        <w:spacing w:line="360" w:lineRule="auto"/>
        <w:ind w:left="0" w:leftChars="0"/>
        <w:jc w:val="center"/>
        <w:textAlignment w:val="auto"/>
        <w:outlineLvl w:val="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w:t>
      </w:r>
      <w:r>
        <w:rPr>
          <w:rFonts w:hint="eastAsia" w:ascii="宋体" w:hAnsi="宋体" w:eastAsia="宋体" w:cs="宋体"/>
          <w:b/>
          <w:bCs/>
          <w:color w:val="auto"/>
          <w:sz w:val="21"/>
          <w:szCs w:val="21"/>
          <w:highlight w:val="none"/>
          <w:lang w:val="en-US" w:eastAsia="zh-CN"/>
        </w:rPr>
        <w:t>4-1</w:t>
      </w:r>
      <w:r>
        <w:rPr>
          <w:rFonts w:hint="eastAsia" w:ascii="宋体" w:hAnsi="宋体" w:eastAsia="宋体" w:cs="宋体"/>
          <w:b/>
          <w:bCs/>
          <w:color w:val="auto"/>
          <w:sz w:val="21"/>
          <w:szCs w:val="21"/>
          <w:highlight w:val="none"/>
        </w:rPr>
        <w:t xml:space="preserve"> 重力面积工作各项精度指标分配表（单位：10</w:t>
      </w:r>
      <w:r>
        <w:rPr>
          <w:rFonts w:hint="eastAsia" w:ascii="宋体" w:hAnsi="宋体" w:eastAsia="宋体" w:cs="宋体"/>
          <w:b/>
          <w:bCs/>
          <w:color w:val="auto"/>
          <w:sz w:val="21"/>
          <w:szCs w:val="21"/>
          <w:highlight w:val="none"/>
          <w:vertAlign w:val="superscript"/>
        </w:rPr>
        <w:t>-5</w:t>
      </w:r>
      <w:r>
        <w:rPr>
          <w:rFonts w:hint="eastAsia" w:ascii="宋体" w:hAnsi="宋体" w:eastAsia="宋体" w:cs="宋体"/>
          <w:b/>
          <w:bCs/>
          <w:color w:val="auto"/>
          <w:sz w:val="21"/>
          <w:szCs w:val="21"/>
          <w:highlight w:val="none"/>
        </w:rPr>
        <w:t>m/s</w:t>
      </w:r>
      <w:r>
        <w:rPr>
          <w:rFonts w:hint="eastAsia" w:ascii="宋体" w:hAnsi="宋体" w:eastAsia="宋体" w:cs="宋体"/>
          <w:b/>
          <w:bCs/>
          <w:color w:val="auto"/>
          <w:sz w:val="21"/>
          <w:szCs w:val="21"/>
          <w:highlight w:val="none"/>
          <w:vertAlign w:val="superscript"/>
        </w:rPr>
        <w:t>2</w:t>
      </w:r>
      <w:r>
        <w:rPr>
          <w:rFonts w:hint="eastAsia" w:ascii="宋体" w:hAnsi="宋体" w:eastAsia="宋体" w:cs="宋体"/>
          <w:b/>
          <w:bCs/>
          <w:color w:val="auto"/>
          <w:sz w:val="21"/>
          <w:szCs w:val="21"/>
          <w:highlight w:val="none"/>
        </w:rPr>
        <w:t>）</w:t>
      </w:r>
    </w:p>
    <w:tbl>
      <w:tblPr>
        <w:tblStyle w:val="42"/>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056"/>
        <w:gridCol w:w="1032"/>
        <w:gridCol w:w="1008"/>
        <w:gridCol w:w="1000"/>
        <w:gridCol w:w="857"/>
        <w:gridCol w:w="942"/>
        <w:gridCol w:w="1029"/>
        <w:gridCol w:w="1015"/>
      </w:tblGrid>
      <w:tr w14:paraId="6B91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4" w:type="dxa"/>
            <w:vMerge w:val="restart"/>
            <w:vAlign w:val="center"/>
          </w:tcPr>
          <w:p w14:paraId="3446C644">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布格异常总精度</w:t>
            </w:r>
          </w:p>
          <w:p w14:paraId="402074D4">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w:t>
            </w:r>
          </w:p>
        </w:tc>
        <w:tc>
          <w:tcPr>
            <w:tcW w:w="3096" w:type="dxa"/>
            <w:gridSpan w:val="3"/>
            <w:vAlign w:val="center"/>
          </w:tcPr>
          <w:p w14:paraId="5819A5EE">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测点重力值均方误差</w:t>
            </w:r>
          </w:p>
        </w:tc>
        <w:tc>
          <w:tcPr>
            <w:tcW w:w="1000" w:type="dxa"/>
            <w:vMerge w:val="restart"/>
            <w:vAlign w:val="center"/>
          </w:tcPr>
          <w:p w14:paraId="26B6EA37">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布格</w:t>
            </w:r>
          </w:p>
          <w:p w14:paraId="2546109B">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改正</w:t>
            </w:r>
          </w:p>
        </w:tc>
        <w:tc>
          <w:tcPr>
            <w:tcW w:w="857" w:type="dxa"/>
            <w:vMerge w:val="restart"/>
            <w:vAlign w:val="center"/>
          </w:tcPr>
          <w:p w14:paraId="4B12E03C">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left="-120" w:leftChars="-57"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纬度</w:t>
            </w:r>
          </w:p>
          <w:p w14:paraId="6E85B529">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left="-120" w:leftChars="-57"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改正</w:t>
            </w:r>
          </w:p>
        </w:tc>
        <w:tc>
          <w:tcPr>
            <w:tcW w:w="2986" w:type="dxa"/>
            <w:gridSpan w:val="3"/>
            <w:vAlign w:val="center"/>
          </w:tcPr>
          <w:p w14:paraId="266F951F">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地形改正</w:t>
            </w:r>
          </w:p>
        </w:tc>
      </w:tr>
      <w:tr w14:paraId="3597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4" w:type="dxa"/>
            <w:vMerge w:val="continue"/>
            <w:vAlign w:val="center"/>
          </w:tcPr>
          <w:p w14:paraId="470F297B">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56" w:type="dxa"/>
            <w:vMerge w:val="restart"/>
            <w:vAlign w:val="center"/>
          </w:tcPr>
          <w:p w14:paraId="10517582">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测点观测均方误差</w:t>
            </w:r>
          </w:p>
        </w:tc>
        <w:tc>
          <w:tcPr>
            <w:tcW w:w="2040" w:type="dxa"/>
            <w:gridSpan w:val="2"/>
            <w:vAlign w:val="center"/>
          </w:tcPr>
          <w:p w14:paraId="7A0C463D">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基点网精度</w:t>
            </w:r>
          </w:p>
        </w:tc>
        <w:tc>
          <w:tcPr>
            <w:tcW w:w="1000" w:type="dxa"/>
            <w:vMerge w:val="continue"/>
            <w:vAlign w:val="center"/>
          </w:tcPr>
          <w:p w14:paraId="1C687C50">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57" w:type="dxa"/>
            <w:vMerge w:val="continue"/>
            <w:vAlign w:val="center"/>
          </w:tcPr>
          <w:p w14:paraId="75D9F8F4">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left="-120" w:leftChars="-57" w:firstLine="0" w:firstLineChars="0"/>
              <w:jc w:val="center"/>
              <w:textAlignment w:val="auto"/>
              <w:rPr>
                <w:rFonts w:hint="eastAsia" w:ascii="宋体" w:hAnsi="宋体" w:eastAsia="宋体" w:cs="宋体"/>
                <w:color w:val="auto"/>
                <w:sz w:val="21"/>
                <w:szCs w:val="21"/>
                <w:highlight w:val="none"/>
              </w:rPr>
            </w:pPr>
          </w:p>
        </w:tc>
        <w:tc>
          <w:tcPr>
            <w:tcW w:w="942" w:type="dxa"/>
            <w:vMerge w:val="restart"/>
            <w:vAlign w:val="center"/>
          </w:tcPr>
          <w:p w14:paraId="4F184B11">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近区0～20米</w:t>
            </w:r>
          </w:p>
        </w:tc>
        <w:tc>
          <w:tcPr>
            <w:tcW w:w="1029" w:type="dxa"/>
            <w:vMerge w:val="restart"/>
            <w:vAlign w:val="center"/>
          </w:tcPr>
          <w:p w14:paraId="219F6491">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中区20～2000米</w:t>
            </w:r>
          </w:p>
        </w:tc>
        <w:tc>
          <w:tcPr>
            <w:tcW w:w="1015" w:type="dxa"/>
            <w:vMerge w:val="restart"/>
            <w:vAlign w:val="center"/>
          </w:tcPr>
          <w:p w14:paraId="5AE63799">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远区2～20千米</w:t>
            </w:r>
          </w:p>
        </w:tc>
      </w:tr>
      <w:tr w14:paraId="7512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64" w:type="dxa"/>
            <w:vMerge w:val="continue"/>
            <w:vAlign w:val="center"/>
          </w:tcPr>
          <w:p w14:paraId="76E41A65">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56" w:type="dxa"/>
            <w:vMerge w:val="continue"/>
            <w:vAlign w:val="center"/>
          </w:tcPr>
          <w:p w14:paraId="42E3885A">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32" w:type="dxa"/>
            <w:vAlign w:val="center"/>
          </w:tcPr>
          <w:p w14:paraId="1822054D">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w:t>
            </w:r>
          </w:p>
        </w:tc>
        <w:tc>
          <w:tcPr>
            <w:tcW w:w="1008" w:type="dxa"/>
            <w:vAlign w:val="center"/>
          </w:tcPr>
          <w:p w14:paraId="6794AECE">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w:t>
            </w:r>
          </w:p>
        </w:tc>
        <w:tc>
          <w:tcPr>
            <w:tcW w:w="1000" w:type="dxa"/>
            <w:vAlign w:val="center"/>
          </w:tcPr>
          <w:p w14:paraId="0240CA2B">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57" w:type="dxa"/>
            <w:vAlign w:val="center"/>
          </w:tcPr>
          <w:p w14:paraId="2958B6FC">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left="-120" w:leftChars="-57" w:firstLine="0" w:firstLineChars="0"/>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52AE8B5E">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29" w:type="dxa"/>
            <w:vMerge w:val="continue"/>
            <w:vAlign w:val="center"/>
          </w:tcPr>
          <w:p w14:paraId="147F8E05">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15" w:type="dxa"/>
            <w:vMerge w:val="continue"/>
            <w:vAlign w:val="center"/>
          </w:tcPr>
          <w:p w14:paraId="1FEB8870">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6186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64" w:type="dxa"/>
            <w:vMerge w:val="restart"/>
            <w:vAlign w:val="center"/>
          </w:tcPr>
          <w:p w14:paraId="0D7CD4E5">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w:t>
            </w:r>
          </w:p>
        </w:tc>
        <w:tc>
          <w:tcPr>
            <w:tcW w:w="1056" w:type="dxa"/>
            <w:vAlign w:val="center"/>
          </w:tcPr>
          <w:p w14:paraId="65A973BA">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5</w:t>
            </w:r>
          </w:p>
        </w:tc>
        <w:tc>
          <w:tcPr>
            <w:tcW w:w="1032" w:type="dxa"/>
            <w:vAlign w:val="center"/>
          </w:tcPr>
          <w:p w14:paraId="2DCF99FF">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±0.00</w:t>
            </w:r>
            <w:r>
              <w:rPr>
                <w:rFonts w:hint="eastAsia" w:ascii="宋体" w:hAnsi="宋体" w:eastAsia="宋体" w:cs="宋体"/>
                <w:color w:val="auto"/>
                <w:sz w:val="21"/>
                <w:szCs w:val="21"/>
                <w:highlight w:val="none"/>
                <w:lang w:val="en-US" w:eastAsia="zh-CN"/>
              </w:rPr>
              <w:t>6</w:t>
            </w:r>
          </w:p>
        </w:tc>
        <w:tc>
          <w:tcPr>
            <w:tcW w:w="1008" w:type="dxa"/>
            <w:vAlign w:val="center"/>
          </w:tcPr>
          <w:p w14:paraId="6957EF17">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35</w:t>
            </w:r>
          </w:p>
        </w:tc>
        <w:tc>
          <w:tcPr>
            <w:tcW w:w="1000" w:type="dxa"/>
            <w:vAlign w:val="center"/>
          </w:tcPr>
          <w:p w14:paraId="2DEF1A4F">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57" w:type="dxa"/>
            <w:vAlign w:val="center"/>
          </w:tcPr>
          <w:p w14:paraId="6EDDFB89">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left="-120" w:leftChars="-57" w:firstLine="0" w:firstLineChars="0"/>
              <w:jc w:val="center"/>
              <w:textAlignment w:val="auto"/>
              <w:rPr>
                <w:rFonts w:hint="eastAsia" w:ascii="宋体" w:hAnsi="宋体" w:eastAsia="宋体" w:cs="宋体"/>
                <w:color w:val="auto"/>
                <w:sz w:val="21"/>
                <w:szCs w:val="21"/>
                <w:highlight w:val="none"/>
              </w:rPr>
            </w:pPr>
          </w:p>
        </w:tc>
        <w:tc>
          <w:tcPr>
            <w:tcW w:w="942" w:type="dxa"/>
            <w:vAlign w:val="center"/>
          </w:tcPr>
          <w:p w14:paraId="277011CC">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2</w:t>
            </w:r>
          </w:p>
        </w:tc>
        <w:tc>
          <w:tcPr>
            <w:tcW w:w="1029" w:type="dxa"/>
            <w:vAlign w:val="center"/>
          </w:tcPr>
          <w:p w14:paraId="09C6925D">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35</w:t>
            </w:r>
          </w:p>
        </w:tc>
        <w:tc>
          <w:tcPr>
            <w:tcW w:w="1015" w:type="dxa"/>
            <w:vAlign w:val="center"/>
          </w:tcPr>
          <w:p w14:paraId="7200CF9C">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±0.04</w:t>
            </w:r>
            <w:r>
              <w:rPr>
                <w:rFonts w:hint="eastAsia" w:ascii="宋体" w:hAnsi="宋体" w:eastAsia="宋体" w:cs="宋体"/>
                <w:color w:val="auto"/>
                <w:sz w:val="21"/>
                <w:szCs w:val="21"/>
                <w:highlight w:val="none"/>
                <w:lang w:val="en-US" w:eastAsia="zh-CN"/>
              </w:rPr>
              <w:t>0</w:t>
            </w:r>
          </w:p>
        </w:tc>
      </w:tr>
      <w:tr w14:paraId="53B2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4" w:type="dxa"/>
            <w:vMerge w:val="continue"/>
            <w:vAlign w:val="center"/>
          </w:tcPr>
          <w:p w14:paraId="4F1D2BF5">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3096" w:type="dxa"/>
            <w:gridSpan w:val="3"/>
            <w:vAlign w:val="center"/>
          </w:tcPr>
          <w:p w14:paraId="7AF1A8BA">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±0.06</w:t>
            </w:r>
            <w:r>
              <w:rPr>
                <w:rFonts w:hint="eastAsia" w:ascii="宋体" w:hAnsi="宋体" w:eastAsia="宋体" w:cs="宋体"/>
                <w:color w:val="auto"/>
                <w:sz w:val="21"/>
                <w:szCs w:val="21"/>
                <w:highlight w:val="none"/>
                <w:lang w:val="en-US" w:eastAsia="zh-CN"/>
              </w:rPr>
              <w:t>2</w:t>
            </w:r>
          </w:p>
        </w:tc>
        <w:tc>
          <w:tcPr>
            <w:tcW w:w="1000" w:type="dxa"/>
            <w:vAlign w:val="center"/>
          </w:tcPr>
          <w:p w14:paraId="5BCFE7E8">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55</w:t>
            </w:r>
          </w:p>
        </w:tc>
        <w:tc>
          <w:tcPr>
            <w:tcW w:w="857" w:type="dxa"/>
            <w:vAlign w:val="center"/>
          </w:tcPr>
          <w:p w14:paraId="49BECA6A">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left="-120" w:leftChars="-57"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8</w:t>
            </w:r>
          </w:p>
        </w:tc>
        <w:tc>
          <w:tcPr>
            <w:tcW w:w="2986" w:type="dxa"/>
            <w:gridSpan w:val="3"/>
            <w:vAlign w:val="center"/>
          </w:tcPr>
          <w:p w14:paraId="08F41697">
            <w:pPr>
              <w:keepNext w:val="0"/>
              <w:keepLines w:val="0"/>
              <w:pageBreakBefore w:val="0"/>
              <w:widowControl w:val="0"/>
              <w:tabs>
                <w:tab w:val="left" w:pos="5940"/>
              </w:tabs>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55</w:t>
            </w:r>
          </w:p>
        </w:tc>
      </w:tr>
    </w:tbl>
    <w:p w14:paraId="1035E5AF">
      <w:pPr>
        <w:pStyle w:val="4"/>
        <w:keepNext/>
        <w:keepLines/>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五</w:t>
      </w:r>
      <w:r>
        <w:rPr>
          <w:rFonts w:hint="eastAsia" w:ascii="宋体" w:hAnsi="宋体" w:eastAsia="宋体" w:cs="宋体"/>
          <w:color w:val="auto"/>
          <w:sz w:val="24"/>
          <w:szCs w:val="24"/>
          <w:lang w:val="en-US" w:eastAsia="zh-CN"/>
        </w:rPr>
        <w:t>、1∶2.5万</w:t>
      </w:r>
      <w:r>
        <w:rPr>
          <w:rFonts w:hint="eastAsia" w:ascii="宋体" w:hAnsi="宋体" w:eastAsia="宋体" w:cs="宋体"/>
          <w:color w:val="auto"/>
          <w:sz w:val="24"/>
          <w:szCs w:val="24"/>
        </w:rPr>
        <w:t>激电</w:t>
      </w:r>
      <w:r>
        <w:rPr>
          <w:rFonts w:hint="eastAsia" w:ascii="宋体" w:hAnsi="宋体" w:eastAsia="宋体" w:cs="宋体"/>
          <w:color w:val="auto"/>
          <w:sz w:val="24"/>
          <w:szCs w:val="24"/>
          <w:lang w:val="en-US" w:eastAsia="zh-CN"/>
        </w:rPr>
        <w:t>测量</w:t>
      </w:r>
    </w:p>
    <w:p w14:paraId="537AAC69">
      <w:pPr>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工作目的</w:t>
      </w:r>
    </w:p>
    <w:p w14:paraId="5616DB65">
      <w:pPr>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面积性激电测量主要是通过电性参数提供直接或间接的找矿信息。在充分研究</w:t>
      </w:r>
      <w:r>
        <w:rPr>
          <w:rFonts w:hint="eastAsia" w:ascii="宋体" w:hAnsi="宋体" w:eastAsia="宋体" w:cs="宋体"/>
          <w:color w:val="auto"/>
          <w:sz w:val="24"/>
          <w:szCs w:val="24"/>
          <w:highlight w:val="none"/>
          <w:lang w:eastAsia="zh-CN"/>
        </w:rPr>
        <w:t>普查区</w:t>
      </w:r>
      <w:r>
        <w:rPr>
          <w:rFonts w:hint="eastAsia" w:ascii="宋体" w:hAnsi="宋体" w:eastAsia="宋体" w:cs="宋体"/>
          <w:color w:val="auto"/>
          <w:sz w:val="24"/>
          <w:szCs w:val="24"/>
          <w:highlight w:val="none"/>
        </w:rPr>
        <w:t>已有地、物、化、遥资料的基础上，结合本次工作取得的1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rPr>
        <w:t>5万重力测量成果，对划分的重点成矿远景区择优布置本项工作，进一步缩小找矿靶区，以期发现新的矿点。</w:t>
      </w:r>
    </w:p>
    <w:p w14:paraId="52ECC134">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工作装置、技术参数</w:t>
      </w:r>
    </w:p>
    <w:p w14:paraId="56A51D9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1∶2.5万激电面积测量采用中间梯度观测装置，面积测量网度为250×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0米，测量极距MN为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0米，观测段在供电极距AB中部的1/2段，旁测线与主测线距离不超过供电极距的1/5</w:t>
      </w:r>
      <w:r>
        <w:rPr>
          <w:rFonts w:hint="eastAsia" w:ascii="宋体" w:hAnsi="宋体" w:eastAsia="宋体" w:cs="宋体"/>
          <w:color w:val="auto"/>
          <w:sz w:val="24"/>
          <w:szCs w:val="24"/>
          <w:highlight w:val="none"/>
          <w:lang w:eastAsia="zh-CN"/>
        </w:rPr>
        <w:t>。</w:t>
      </w:r>
    </w:p>
    <w:p w14:paraId="444FB685">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质量检查和精度指标</w:t>
      </w:r>
    </w:p>
    <w:p w14:paraId="22B50A7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质量检查工作应在时间上和空间上均匀布置，检查点应重点布在异常区，激电面积测量检查工作量不少于全部观测点数的3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042599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质量检查方式采用“一同三不同”（同点位、不同日期、不同仪器、不同人）的原则进行。</w:t>
      </w:r>
    </w:p>
    <w:p w14:paraId="30A265A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系统检查观测结果，按以下各式计算误差：</w:t>
      </w:r>
    </w:p>
    <w:p w14:paraId="4E6E135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其中视极化率均方相对误差公式为：</w:t>
      </w:r>
    </w:p>
    <w:p w14:paraId="5F22499D">
      <w:pPr>
        <w:pageBreakBefore w:val="0"/>
        <w:bidi w:val="0"/>
        <w:adjustRightInd w:val="0"/>
        <w:snapToGrid w:val="0"/>
        <w:spacing w:line="360" w:lineRule="auto"/>
        <w:ind w:left="0"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34"/>
          <w:sz w:val="24"/>
          <w:szCs w:val="24"/>
          <w:highlight w:val="none"/>
        </w:rPr>
        <w:object>
          <v:shape id="_x0000_i1026" o:spt="75" type="#_x0000_t75" style="height:44pt;width:119.5pt;" o:ole="t" filled="f" coordsize="21600,21600">
            <v:path/>
            <v:fill on="f" focussize="0,0"/>
            <v:stroke/>
            <v:imagedata r:id="rId18" o:title=""/>
            <o:lock v:ext="edit" aspectratio="t"/>
            <w10:wrap type="none"/>
            <w10:anchorlock/>
          </v:shape>
          <o:OLEObject Type="Embed" ProgID="Equation.3" ShapeID="_x0000_i1026" DrawAspect="Content" ObjectID="_1468075726" r:id="rId17">
            <o:LockedField>false</o:LockedField>
          </o:OLEObject>
        </w:object>
      </w:r>
    </w:p>
    <w:p w14:paraId="2B5A8E21">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p>
    <w:p w14:paraId="65A0D6AB">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2"/>
          <w:sz w:val="24"/>
          <w:szCs w:val="24"/>
          <w:highlight w:val="none"/>
        </w:rPr>
        <w:object>
          <v:shape id="_x0000_i1027" o:spt="75" type="#_x0000_t75" style="height:19.5pt;width:14pt;" o:ole="t" filled="f" coordsize="21600,21600">
            <v:path/>
            <v:fill on="f" focussize="0,0"/>
            <v:stroke/>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ascii="宋体" w:hAnsi="宋体" w:eastAsia="宋体" w:cs="宋体"/>
          <w:color w:val="auto"/>
          <w:sz w:val="24"/>
          <w:szCs w:val="24"/>
          <w:highlight w:val="none"/>
        </w:rPr>
        <w:t>-第i点系统检查观测数据；</w:t>
      </w:r>
    </w:p>
    <w:p w14:paraId="73D5049C">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2"/>
          <w:sz w:val="24"/>
          <w:szCs w:val="24"/>
          <w:highlight w:val="none"/>
        </w:rPr>
        <w:object>
          <v:shape id="_x0000_i1028" o:spt="75" type="#_x0000_t75" style="height:19.5pt;width:14pt;" o:ole="t" filled="f" coordsize="21600,21600">
            <v:path/>
            <v:fill on="f" focussize="0,0"/>
            <v:stroke/>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ascii="宋体" w:hAnsi="宋体" w:eastAsia="宋体" w:cs="宋体"/>
          <w:color w:val="auto"/>
          <w:sz w:val="24"/>
          <w:szCs w:val="24"/>
          <w:highlight w:val="none"/>
        </w:rPr>
        <w:t>-第i点生产观测数据；</w:t>
      </w:r>
    </w:p>
    <w:p w14:paraId="2E386488">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2"/>
          <w:sz w:val="24"/>
          <w:szCs w:val="24"/>
          <w:highlight w:val="none"/>
        </w:rPr>
        <w:object>
          <v:shape id="_x0000_i1029" o:spt="75" type="#_x0000_t75" style="height:20.5pt;width:16pt;" o:ole="t" filled="f" coordsize="21600,21600">
            <v:path/>
            <v:fill on="f" focussize="0,0"/>
            <v:stroke/>
            <v:imagedata r:id="rId24" o:title=""/>
            <o:lock v:ext="edit" aspectratio="t"/>
            <w10:wrap type="none"/>
            <w10:anchorlock/>
          </v:shape>
          <o:OLEObject Type="Embed" ProgID="Equation.DSMT4" ShapeID="_x0000_i1029" DrawAspect="Content" ObjectID="_1468075729" r:id="rId23">
            <o:LockedField>false</o:LockedField>
          </o:OLEObject>
        </w:object>
      </w:r>
      <w:r>
        <w:rPr>
          <w:rFonts w:hint="eastAsia" w:ascii="宋体" w:hAnsi="宋体" w:eastAsia="宋体" w:cs="宋体"/>
          <w:color w:val="auto"/>
          <w:sz w:val="24"/>
          <w:szCs w:val="24"/>
          <w:highlight w:val="none"/>
        </w:rPr>
        <w:t>-</w:t>
      </w:r>
      <w:r>
        <w:rPr>
          <w:rFonts w:hint="eastAsia" w:ascii="宋体" w:hAnsi="宋体" w:eastAsia="宋体" w:cs="宋体"/>
          <w:color w:val="auto"/>
          <w:position w:val="-12"/>
          <w:sz w:val="24"/>
          <w:szCs w:val="24"/>
          <w:highlight w:val="none"/>
        </w:rPr>
        <w:object>
          <v:shape id="_x0000_i1030" o:spt="75" type="#_x0000_t75" style="height:19.5pt;width:14pt;" o:ole="t" filled="f" coordsize="21600,21600">
            <v:path/>
            <v:fill on="f" focussize="0,0"/>
            <v:stroke/>
            <v:imagedata r:id="rId22" o:title=""/>
            <o:lock v:ext="edit" aspectratio="t"/>
            <w10:wrap type="none"/>
            <w10:anchorlock/>
          </v:shape>
          <o:OLEObject Type="Embed" ProgID="Equation.DSMT4" ShapeID="_x0000_i1030" DrawAspect="Content" ObjectID="_1468075730" r:id="rId25">
            <o:LockedField>false</o:LockedField>
          </o:OLEObject>
        </w:object>
      </w:r>
      <w:r>
        <w:rPr>
          <w:rFonts w:hint="eastAsia" w:ascii="宋体" w:hAnsi="宋体" w:eastAsia="宋体" w:cs="宋体"/>
          <w:color w:val="auto"/>
          <w:sz w:val="24"/>
          <w:szCs w:val="24"/>
          <w:highlight w:val="none"/>
        </w:rPr>
        <w:t>与</w:t>
      </w:r>
      <w:r>
        <w:rPr>
          <w:rFonts w:hint="eastAsia" w:ascii="宋体" w:hAnsi="宋体" w:eastAsia="宋体" w:cs="宋体"/>
          <w:color w:val="auto"/>
          <w:position w:val="-12"/>
          <w:sz w:val="24"/>
          <w:szCs w:val="24"/>
          <w:highlight w:val="none"/>
        </w:rPr>
        <w:object>
          <v:shape id="_x0000_i1031" o:spt="75" type="#_x0000_t75" style="height:19.5pt;width:14pt;" o:ole="t" filled="f" coordsize="21600,21600">
            <v:path/>
            <v:fill on="f" focussize="0,0"/>
            <v:stroke/>
            <v:imagedata r:id="rId20" o:title=""/>
            <o:lock v:ext="edit" aspectratio="t"/>
            <w10:wrap type="none"/>
            <w10:anchorlock/>
          </v:shape>
          <o:OLEObject Type="Embed" ProgID="Equation.DSMT4" ShapeID="_x0000_i1031" DrawAspect="Content" ObjectID="_1468075731" r:id="rId26">
            <o:LockedField>false</o:LockedField>
          </o:OLEObject>
        </w:object>
      </w:r>
      <w:r>
        <w:rPr>
          <w:rFonts w:hint="eastAsia" w:ascii="宋体" w:hAnsi="宋体" w:eastAsia="宋体" w:cs="宋体"/>
          <w:color w:val="auto"/>
          <w:sz w:val="24"/>
          <w:szCs w:val="24"/>
          <w:highlight w:val="none"/>
        </w:rPr>
        <w:t>的平均值；</w:t>
      </w:r>
    </w:p>
    <w:p w14:paraId="0355E72B">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6"/>
          <w:sz w:val="24"/>
          <w:szCs w:val="24"/>
          <w:highlight w:val="none"/>
        </w:rPr>
        <w:object>
          <v:shape id="_x0000_i1032" o:spt="75" type="#_x0000_t75" style="height:11pt;width:11pt;" o:ole="t" filled="f" coordsize="21600,21600">
            <v:path/>
            <v:fill on="f" focussize="0,0"/>
            <v:stroke/>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ascii="宋体" w:hAnsi="宋体" w:eastAsia="宋体" w:cs="宋体"/>
          <w:color w:val="auto"/>
          <w:sz w:val="24"/>
          <w:szCs w:val="24"/>
          <w:highlight w:val="none"/>
        </w:rPr>
        <w:t>-参加统计计算的测点数。</w:t>
      </w:r>
    </w:p>
    <w:p w14:paraId="326500F2">
      <w:pPr>
        <w:pageBreakBefore w:val="0"/>
        <w:autoSpaceDE w:val="0"/>
        <w:autoSpaceDN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在低极化率（≤3%）数据段，使用均方相对误差达不到设计要求时，可改用总均方误差衡量，其公式为：</w:t>
      </w:r>
    </w:p>
    <w:p w14:paraId="0632C354">
      <w:pPr>
        <w:pageBreakBefore w:val="0"/>
        <w:bidi w:val="0"/>
        <w:adjustRightInd w:val="0"/>
        <w:snapToGrid w:val="0"/>
        <w:spacing w:line="360" w:lineRule="auto"/>
        <w:ind w:left="0"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34"/>
          <w:sz w:val="24"/>
          <w:szCs w:val="24"/>
          <w:highlight w:val="none"/>
        </w:rPr>
        <w:object>
          <v:shape id="_x0000_i1033" o:spt="75" type="#_x0000_t75" style="height:43pt;width:100pt;" o:ole="t" filled="f" coordsize="21600,21600">
            <v:path/>
            <v:fill on="f" focussize="0,0"/>
            <v:stroke/>
            <v:imagedata r:id="rId30" o:title=""/>
            <o:lock v:ext="edit" aspectratio="t"/>
            <w10:wrap type="none"/>
            <w10:anchorlock/>
          </v:shape>
          <o:OLEObject Type="Embed" ProgID="Equation.3" ShapeID="_x0000_i1033" DrawAspect="Content" ObjectID="_1468075733" r:id="rId29">
            <o:LockedField>false</o:LockedField>
          </o:OLEObject>
        </w:object>
      </w:r>
    </w:p>
    <w:p w14:paraId="79F3FA97">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p>
    <w:p w14:paraId="4F265568">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2"/>
          <w:sz w:val="24"/>
          <w:szCs w:val="24"/>
          <w:highlight w:val="none"/>
        </w:rPr>
        <w:object>
          <v:shape id="_x0000_i1034" o:spt="75" type="#_x0000_t75" style="height:19.5pt;width:14pt;" o:ole="t" filled="f" coordsize="21600,21600">
            <v:path/>
            <v:fill on="f" focussize="0,0"/>
            <v:stroke/>
            <v:imagedata r:id="rId20" o:title=""/>
            <o:lock v:ext="edit" aspectratio="t"/>
            <w10:wrap type="none"/>
            <w10:anchorlock/>
          </v:shape>
          <o:OLEObject Type="Embed" ProgID="Equation.DSMT4" ShapeID="_x0000_i1034" DrawAspect="Content" ObjectID="_1468075734" r:id="rId31">
            <o:LockedField>false</o:LockedField>
          </o:OLEObject>
        </w:object>
      </w:r>
      <w:r>
        <w:rPr>
          <w:rFonts w:hint="eastAsia" w:ascii="宋体" w:hAnsi="宋体" w:eastAsia="宋体" w:cs="宋体"/>
          <w:color w:val="auto"/>
          <w:sz w:val="24"/>
          <w:szCs w:val="24"/>
          <w:highlight w:val="none"/>
        </w:rPr>
        <w:t>-第i点系统检查观测数据；</w:t>
      </w:r>
    </w:p>
    <w:p w14:paraId="5504F181">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2"/>
          <w:sz w:val="24"/>
          <w:szCs w:val="24"/>
          <w:highlight w:val="none"/>
        </w:rPr>
        <w:object>
          <v:shape id="_x0000_i1035" o:spt="75" type="#_x0000_t75" style="height:19.5pt;width:14pt;" o:ole="t" filled="f" coordsize="21600,21600">
            <v:path/>
            <v:fill on="f" focussize="0,0"/>
            <v:stroke/>
            <v:imagedata r:id="rId22" o:title=""/>
            <o:lock v:ext="edit" aspectratio="t"/>
            <w10:wrap type="none"/>
            <w10:anchorlock/>
          </v:shape>
          <o:OLEObject Type="Embed" ProgID="Equation.DSMT4" ShapeID="_x0000_i1035" DrawAspect="Content" ObjectID="_1468075735" r:id="rId32">
            <o:LockedField>false</o:LockedField>
          </o:OLEObject>
        </w:object>
      </w:r>
      <w:r>
        <w:rPr>
          <w:rFonts w:hint="eastAsia" w:ascii="宋体" w:hAnsi="宋体" w:eastAsia="宋体" w:cs="宋体"/>
          <w:color w:val="auto"/>
          <w:sz w:val="24"/>
          <w:szCs w:val="24"/>
          <w:highlight w:val="none"/>
        </w:rPr>
        <w:t>-第i点生产观测数据；</w:t>
      </w:r>
    </w:p>
    <w:p w14:paraId="07DA77C5">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6"/>
          <w:sz w:val="24"/>
          <w:szCs w:val="24"/>
          <w:highlight w:val="none"/>
        </w:rPr>
        <w:object>
          <v:shape id="_x0000_i1036" o:spt="75" type="#_x0000_t75" style="height:11pt;width:11pt;" o:ole="t" filled="f" coordsize="21600,21600">
            <v:path/>
            <v:fill on="f" focussize="0,0"/>
            <v:stroke/>
            <v:imagedata r:id="rId28" o:title=""/>
            <o:lock v:ext="edit" aspectratio="t"/>
            <w10:wrap type="none"/>
            <w10:anchorlock/>
          </v:shape>
          <o:OLEObject Type="Embed" ProgID="Equation.DSMT4" ShapeID="_x0000_i1036" DrawAspect="Content" ObjectID="_1468075736" r:id="rId33">
            <o:LockedField>false</o:LockedField>
          </o:OLEObject>
        </w:object>
      </w:r>
      <w:r>
        <w:rPr>
          <w:rFonts w:hint="eastAsia" w:ascii="宋体" w:hAnsi="宋体" w:eastAsia="宋体" w:cs="宋体"/>
          <w:color w:val="auto"/>
          <w:sz w:val="24"/>
          <w:szCs w:val="24"/>
          <w:highlight w:val="none"/>
        </w:rPr>
        <w:t>-参加统计计算的测点数。</w:t>
      </w:r>
    </w:p>
    <w:p w14:paraId="7A425EF8">
      <w:pPr>
        <w:pageBreakBefore w:val="0"/>
        <w:autoSpaceDE w:val="0"/>
        <w:autoSpaceDN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计算视电阻率的均方相对误差公式为：</w:t>
      </w:r>
    </w:p>
    <w:p w14:paraId="0CB0C6D6">
      <w:pPr>
        <w:pageBreakBefore w:val="0"/>
        <w:bidi w:val="0"/>
        <w:adjustRightInd w:val="0"/>
        <w:snapToGrid w:val="0"/>
        <w:spacing w:line="360" w:lineRule="auto"/>
        <w:ind w:left="0"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34"/>
          <w:sz w:val="24"/>
          <w:szCs w:val="24"/>
          <w:highlight w:val="none"/>
        </w:rPr>
        <w:object>
          <v:shape id="_x0000_i1037" o:spt="75" type="#_x0000_t75" style="height:44pt;width:121.5pt;" o:ole="t" filled="f" coordsize="21600,21600">
            <v:path/>
            <v:fill on="f" focussize="0,0"/>
            <v:stroke/>
            <v:imagedata r:id="rId35" o:title=""/>
            <o:lock v:ext="edit" aspectratio="t"/>
            <w10:wrap type="none"/>
            <w10:anchorlock/>
          </v:shape>
          <o:OLEObject Type="Embed" ProgID="Equation.3" ShapeID="_x0000_i1037" DrawAspect="Content" ObjectID="_1468075737" r:id="rId34">
            <o:LockedField>false</o:LockedField>
          </o:OLEObject>
        </w:object>
      </w:r>
    </w:p>
    <w:p w14:paraId="364A2BD3">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p>
    <w:p w14:paraId="4D37AA52">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2"/>
          <w:sz w:val="24"/>
          <w:szCs w:val="24"/>
          <w:highlight w:val="none"/>
        </w:rPr>
        <w:object>
          <v:shape id="_x0000_i1038" o:spt="75" type="#_x0000_t75" style="height:19.5pt;width:16pt;" o:ole="t" filled="f" coordsize="21600,21600">
            <v:path/>
            <v:fill on="f" focussize="0,0"/>
            <v:stroke/>
            <v:imagedata r:id="rId37" o:title=""/>
            <o:lock v:ext="edit" aspectratio="t"/>
            <w10:wrap type="none"/>
            <w10:anchorlock/>
          </v:shape>
          <o:OLEObject Type="Embed" ProgID="Equation.DSMT4" ShapeID="_x0000_i1038" DrawAspect="Content" ObjectID="_1468075738" r:id="rId36">
            <o:LockedField>false</o:LockedField>
          </o:OLEObject>
        </w:object>
      </w:r>
      <w:r>
        <w:rPr>
          <w:rFonts w:hint="eastAsia" w:ascii="宋体" w:hAnsi="宋体" w:eastAsia="宋体" w:cs="宋体"/>
          <w:color w:val="auto"/>
          <w:sz w:val="24"/>
          <w:szCs w:val="24"/>
          <w:highlight w:val="none"/>
        </w:rPr>
        <w:t>-第i点系统检查观测数据；</w:t>
      </w:r>
    </w:p>
    <w:p w14:paraId="5CFC32D4">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2"/>
          <w:sz w:val="24"/>
          <w:szCs w:val="24"/>
          <w:highlight w:val="none"/>
        </w:rPr>
        <w:object>
          <v:shape id="_x0000_i1039" o:spt="75" type="#_x0000_t75" style="height:19.5pt;width:16pt;" o:ole="t" filled="f" coordsize="21600,21600">
            <v:path/>
            <v:fill on="f" focussize="0,0"/>
            <v:stroke/>
            <v:imagedata r:id="rId39" o:title=""/>
            <o:lock v:ext="edit" aspectratio="t"/>
            <w10:wrap type="none"/>
            <w10:anchorlock/>
          </v:shape>
          <o:OLEObject Type="Embed" ProgID="Equation.DSMT4" ShapeID="_x0000_i1039" DrawAspect="Content" ObjectID="_1468075739" r:id="rId38">
            <o:LockedField>false</o:LockedField>
          </o:OLEObject>
        </w:object>
      </w:r>
      <w:r>
        <w:rPr>
          <w:rFonts w:hint="eastAsia" w:ascii="宋体" w:hAnsi="宋体" w:eastAsia="宋体" w:cs="宋体"/>
          <w:color w:val="auto"/>
          <w:sz w:val="24"/>
          <w:szCs w:val="24"/>
          <w:highlight w:val="none"/>
        </w:rPr>
        <w:t>-第i点生产观测数据；</w:t>
      </w:r>
    </w:p>
    <w:p w14:paraId="5B1B9A49">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2"/>
          <w:sz w:val="24"/>
          <w:szCs w:val="24"/>
          <w:highlight w:val="none"/>
        </w:rPr>
        <w:object>
          <v:shape id="_x0000_i1040" o:spt="75" type="#_x0000_t75" style="height:20.5pt;width:17pt;" o:ole="t" filled="f" coordsize="21600,21600">
            <v:path/>
            <v:fill on="f" focussize="0,0"/>
            <v:stroke/>
            <v:imagedata r:id="rId41" o:title=""/>
            <o:lock v:ext="edit" aspectratio="t"/>
            <w10:wrap type="none"/>
            <w10:anchorlock/>
          </v:shape>
          <o:OLEObject Type="Embed" ProgID="Equation.DSMT4" ShapeID="_x0000_i1040" DrawAspect="Content" ObjectID="_1468075740" r:id="rId40">
            <o:LockedField>false</o:LockedField>
          </o:OLEObject>
        </w:object>
      </w:r>
      <w:r>
        <w:rPr>
          <w:rFonts w:hint="eastAsia" w:ascii="宋体" w:hAnsi="宋体" w:eastAsia="宋体" w:cs="宋体"/>
          <w:color w:val="auto"/>
          <w:sz w:val="24"/>
          <w:szCs w:val="24"/>
          <w:highlight w:val="none"/>
        </w:rPr>
        <w:t>-</w:t>
      </w:r>
      <w:r>
        <w:rPr>
          <w:rFonts w:hint="eastAsia" w:ascii="宋体" w:hAnsi="宋体" w:eastAsia="宋体" w:cs="宋体"/>
          <w:color w:val="auto"/>
          <w:position w:val="-12"/>
          <w:sz w:val="24"/>
          <w:szCs w:val="24"/>
          <w:highlight w:val="none"/>
        </w:rPr>
        <w:object>
          <v:shape id="_x0000_i1041" o:spt="75" type="#_x0000_t75" style="height:19.5pt;width:16pt;" o:ole="t" filled="f" coordsize="21600,21600">
            <v:path/>
            <v:fill on="f" focussize="0,0"/>
            <v:stroke/>
            <v:imagedata r:id="rId43" o:title=""/>
            <o:lock v:ext="edit" aspectratio="t"/>
            <w10:wrap type="none"/>
            <w10:anchorlock/>
          </v:shape>
          <o:OLEObject Type="Embed" ProgID="Equation.DSMT4" ShapeID="_x0000_i1041" DrawAspect="Content" ObjectID="_1468075741" r:id="rId42">
            <o:LockedField>false</o:LockedField>
          </o:OLEObject>
        </w:object>
      </w:r>
      <w:r>
        <w:rPr>
          <w:rFonts w:hint="eastAsia" w:ascii="宋体" w:hAnsi="宋体" w:eastAsia="宋体" w:cs="宋体"/>
          <w:color w:val="auto"/>
          <w:sz w:val="24"/>
          <w:szCs w:val="24"/>
          <w:highlight w:val="none"/>
        </w:rPr>
        <w:t>与</w:t>
      </w:r>
      <w:r>
        <w:rPr>
          <w:rFonts w:hint="eastAsia" w:ascii="宋体" w:hAnsi="宋体" w:eastAsia="宋体" w:cs="宋体"/>
          <w:color w:val="auto"/>
          <w:position w:val="-12"/>
          <w:sz w:val="24"/>
          <w:szCs w:val="24"/>
          <w:highlight w:val="none"/>
        </w:rPr>
        <w:object>
          <v:shape id="_x0000_i1042" o:spt="75" type="#_x0000_t75" style="height:19.5pt;width:16pt;" o:ole="t" filled="f" coordsize="21600,21600">
            <v:path/>
            <v:fill on="f" focussize="0,0"/>
            <v:stroke/>
            <v:imagedata r:id="rId45" o:title=""/>
            <o:lock v:ext="edit" aspectratio="t"/>
            <w10:wrap type="none"/>
            <w10:anchorlock/>
          </v:shape>
          <o:OLEObject Type="Embed" ProgID="Equation.DSMT4" ShapeID="_x0000_i1042" DrawAspect="Content" ObjectID="_1468075742" r:id="rId44">
            <o:LockedField>false</o:LockedField>
          </o:OLEObject>
        </w:object>
      </w:r>
      <w:r>
        <w:rPr>
          <w:rFonts w:hint="eastAsia" w:ascii="宋体" w:hAnsi="宋体" w:eastAsia="宋体" w:cs="宋体"/>
          <w:color w:val="auto"/>
          <w:sz w:val="24"/>
          <w:szCs w:val="24"/>
          <w:highlight w:val="none"/>
        </w:rPr>
        <w:t>的平均值；</w:t>
      </w:r>
    </w:p>
    <w:p w14:paraId="56D3080D">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6"/>
          <w:sz w:val="24"/>
          <w:szCs w:val="24"/>
          <w:highlight w:val="none"/>
        </w:rPr>
        <w:object>
          <v:shape id="_x0000_i1043" o:spt="75" type="#_x0000_t75" style="height:11pt;width:11pt;" o:ole="t" filled="f" coordsize="21600,21600">
            <v:path/>
            <v:fill on="f" focussize="0,0"/>
            <v:stroke/>
            <v:imagedata r:id="rId28" o:title=""/>
            <o:lock v:ext="edit" aspectratio="t"/>
            <w10:wrap type="none"/>
            <w10:anchorlock/>
          </v:shape>
          <o:OLEObject Type="Embed" ProgID="Equation.DSMT4" ShapeID="_x0000_i1043" DrawAspect="Content" ObjectID="_1468075743" r:id="rId46">
            <o:LockedField>false</o:LockedField>
          </o:OLEObject>
        </w:object>
      </w:r>
      <w:r>
        <w:rPr>
          <w:rFonts w:hint="eastAsia" w:ascii="宋体" w:hAnsi="宋体" w:eastAsia="宋体" w:cs="宋体"/>
          <w:color w:val="auto"/>
          <w:sz w:val="24"/>
          <w:szCs w:val="24"/>
          <w:highlight w:val="none"/>
        </w:rPr>
        <w:t>-参加统计计算的测点数。</w:t>
      </w:r>
    </w:p>
    <w:p w14:paraId="4D79152B">
      <w:pPr>
        <w:pageBreakBefore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各项精度指标</w:t>
      </w:r>
    </w:p>
    <w:p w14:paraId="3B4E9CE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按照规范的相关要求，结合目前现有仪器性能，设置精度指标如表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p>
    <w:p w14:paraId="17306770">
      <w:pPr>
        <w:pageBreakBefore w:val="0"/>
        <w:bidi w:val="0"/>
        <w:adjustRightInd w:val="0"/>
        <w:snapToGrid w:val="0"/>
        <w:spacing w:line="360" w:lineRule="auto"/>
        <w:ind w:left="0" w:leftChars="0" w:firstLine="0" w:firstLineChars="0"/>
        <w:jc w:val="center"/>
        <w:textAlignment w:val="auto"/>
        <w:outlineLvl w:val="6"/>
        <w:rPr>
          <w:rFonts w:hint="eastAsia" w:ascii="宋体" w:hAnsi="宋体" w:eastAsia="宋体" w:cs="宋体"/>
          <w:b/>
          <w:bCs/>
          <w:color w:val="auto"/>
          <w:sz w:val="21"/>
          <w:szCs w:val="21"/>
          <w:highlight w:val="none"/>
        </w:rPr>
      </w:pPr>
    </w:p>
    <w:p w14:paraId="13E9972F">
      <w:pPr>
        <w:pageBreakBefore w:val="0"/>
        <w:bidi w:val="0"/>
        <w:adjustRightInd w:val="0"/>
        <w:snapToGrid w:val="0"/>
        <w:spacing w:line="360" w:lineRule="auto"/>
        <w:ind w:left="0" w:leftChars="0" w:firstLine="0" w:firstLineChars="0"/>
        <w:jc w:val="center"/>
        <w:textAlignment w:val="auto"/>
        <w:outlineLvl w:val="6"/>
        <w:rPr>
          <w:rFonts w:hint="eastAsia" w:ascii="宋体" w:hAnsi="宋体" w:eastAsia="宋体" w:cs="宋体"/>
          <w:b/>
          <w:bCs/>
          <w:color w:val="auto"/>
          <w:sz w:val="21"/>
          <w:szCs w:val="21"/>
          <w:highlight w:val="none"/>
        </w:rPr>
      </w:pPr>
    </w:p>
    <w:p w14:paraId="7B389CB9">
      <w:pPr>
        <w:pageBreakBefore w:val="0"/>
        <w:bidi w:val="0"/>
        <w:adjustRightInd w:val="0"/>
        <w:snapToGrid w:val="0"/>
        <w:spacing w:line="360" w:lineRule="auto"/>
        <w:ind w:left="0" w:leftChars="0" w:firstLine="0" w:firstLineChars="0"/>
        <w:jc w:val="center"/>
        <w:textAlignment w:val="auto"/>
        <w:outlineLvl w:val="6"/>
        <w:rPr>
          <w:rFonts w:hint="eastAsia"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表</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xml:space="preserve">  激电测量精度指标</w:t>
      </w:r>
    </w:p>
    <w:tbl>
      <w:tblPr>
        <w:tblStyle w:val="42"/>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151"/>
        <w:gridCol w:w="2346"/>
        <w:gridCol w:w="1818"/>
        <w:gridCol w:w="2119"/>
      </w:tblGrid>
      <w:tr w14:paraId="23A9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2" w:type="dxa"/>
            <w:vMerge w:val="restart"/>
            <w:tcBorders>
              <w:top w:val="single" w:color="auto" w:sz="4" w:space="0"/>
              <w:tl2br w:val="single" w:color="auto" w:sz="4" w:space="0"/>
            </w:tcBorders>
          </w:tcPr>
          <w:p w14:paraId="50081D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指标        </w:t>
            </w:r>
          </w:p>
          <w:p w14:paraId="227D36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both"/>
              <w:textAlignment w:val="auto"/>
              <w:rPr>
                <w:rFonts w:hint="eastAsia" w:ascii="宋体" w:hAnsi="宋体" w:eastAsia="宋体" w:cs="宋体"/>
                <w:color w:val="auto"/>
                <w:sz w:val="21"/>
                <w:szCs w:val="21"/>
                <w:highlight w:val="none"/>
              </w:rPr>
            </w:pPr>
          </w:p>
          <w:p w14:paraId="268E97F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方法</w:t>
            </w:r>
          </w:p>
        </w:tc>
        <w:tc>
          <w:tcPr>
            <w:tcW w:w="1151" w:type="dxa"/>
            <w:vMerge w:val="restart"/>
            <w:tcBorders>
              <w:top w:val="single" w:color="auto" w:sz="4" w:space="0"/>
            </w:tcBorders>
            <w:vAlign w:val="center"/>
          </w:tcPr>
          <w:p w14:paraId="02999666">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检查率</w:t>
            </w:r>
          </w:p>
        </w:tc>
        <w:tc>
          <w:tcPr>
            <w:tcW w:w="4164" w:type="dxa"/>
            <w:gridSpan w:val="2"/>
            <w:tcBorders>
              <w:top w:val="single" w:color="auto" w:sz="4" w:space="0"/>
            </w:tcBorders>
            <w:vAlign w:val="center"/>
          </w:tcPr>
          <w:p w14:paraId="4188B7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视极化率（η</w:t>
            </w:r>
            <w:r>
              <w:rPr>
                <w:rFonts w:hint="eastAsia" w:ascii="宋体" w:hAnsi="宋体" w:eastAsia="宋体" w:cs="宋体"/>
                <w:color w:val="auto"/>
                <w:sz w:val="21"/>
                <w:szCs w:val="21"/>
                <w:highlight w:val="none"/>
                <w:vertAlign w:val="subscript"/>
              </w:rPr>
              <w:t>a</w:t>
            </w:r>
            <w:r>
              <w:rPr>
                <w:rFonts w:hint="eastAsia" w:ascii="宋体" w:hAnsi="宋体" w:eastAsia="宋体" w:cs="宋体"/>
                <w:color w:val="auto"/>
                <w:sz w:val="21"/>
                <w:szCs w:val="21"/>
                <w:highlight w:val="none"/>
              </w:rPr>
              <w:t>/%）</w:t>
            </w:r>
          </w:p>
        </w:tc>
        <w:tc>
          <w:tcPr>
            <w:tcW w:w="2119" w:type="dxa"/>
            <w:tcBorders>
              <w:top w:val="single" w:color="auto" w:sz="4" w:space="0"/>
            </w:tcBorders>
            <w:vAlign w:val="center"/>
          </w:tcPr>
          <w:p w14:paraId="4DD976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视电阻率（ρ</w:t>
            </w:r>
            <w:r>
              <w:rPr>
                <w:rFonts w:hint="eastAsia" w:ascii="宋体" w:hAnsi="宋体" w:eastAsia="宋体" w:cs="宋体"/>
                <w:color w:val="auto"/>
                <w:sz w:val="21"/>
                <w:szCs w:val="21"/>
                <w:highlight w:val="none"/>
                <w:vertAlign w:val="subscript"/>
              </w:rPr>
              <w:t>a</w:t>
            </w:r>
            <w:r>
              <w:rPr>
                <w:rFonts w:hint="eastAsia" w:ascii="宋体" w:hAnsi="宋体" w:eastAsia="宋体" w:cs="宋体"/>
                <w:color w:val="auto"/>
                <w:sz w:val="21"/>
                <w:szCs w:val="21"/>
                <w:highlight w:val="none"/>
              </w:rPr>
              <w:t>/Ω·m）</w:t>
            </w:r>
          </w:p>
        </w:tc>
      </w:tr>
      <w:tr w14:paraId="1909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2" w:type="dxa"/>
            <w:vMerge w:val="continue"/>
          </w:tcPr>
          <w:p w14:paraId="3C69B3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both"/>
              <w:textAlignment w:val="auto"/>
              <w:rPr>
                <w:rFonts w:hint="eastAsia" w:ascii="宋体" w:hAnsi="宋体" w:eastAsia="宋体" w:cs="宋体"/>
                <w:color w:val="auto"/>
                <w:sz w:val="21"/>
                <w:szCs w:val="21"/>
                <w:highlight w:val="none"/>
              </w:rPr>
            </w:pPr>
          </w:p>
        </w:tc>
        <w:tc>
          <w:tcPr>
            <w:tcW w:w="1151" w:type="dxa"/>
            <w:vMerge w:val="continue"/>
            <w:vAlign w:val="center"/>
          </w:tcPr>
          <w:p w14:paraId="6AA447C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p>
        </w:tc>
        <w:tc>
          <w:tcPr>
            <w:tcW w:w="2346" w:type="dxa"/>
            <w:vAlign w:val="center"/>
          </w:tcPr>
          <w:p w14:paraId="16D25F73">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总均方相对误差M</w:t>
            </w:r>
            <w:r>
              <w:rPr>
                <w:rFonts w:hint="eastAsia" w:ascii="宋体" w:hAnsi="宋体" w:eastAsia="宋体" w:cs="宋体"/>
                <w:color w:val="auto"/>
                <w:sz w:val="21"/>
                <w:szCs w:val="21"/>
                <w:highlight w:val="none"/>
                <w:vertAlign w:val="subscript"/>
              </w:rPr>
              <w:t>1</w:t>
            </w:r>
          </w:p>
          <w:p w14:paraId="3FC193E8">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（η</w:t>
            </w:r>
            <w:r>
              <w:rPr>
                <w:rFonts w:hint="eastAsia" w:ascii="宋体" w:hAnsi="宋体" w:eastAsia="宋体" w:cs="宋体"/>
                <w:color w:val="auto"/>
                <w:sz w:val="21"/>
                <w:szCs w:val="21"/>
                <w:highlight w:val="none"/>
                <w:vertAlign w:val="subscript"/>
              </w:rPr>
              <w:t>a</w:t>
            </w:r>
            <w:r>
              <w:rPr>
                <w:rFonts w:hint="eastAsia" w:ascii="宋体" w:hAnsi="宋体" w:eastAsia="宋体" w:cs="宋体"/>
                <w:color w:val="auto"/>
                <w:sz w:val="21"/>
                <w:szCs w:val="21"/>
                <w:highlight w:val="none"/>
              </w:rPr>
              <w:t>&gt;3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w:t>
            </w:r>
          </w:p>
        </w:tc>
        <w:tc>
          <w:tcPr>
            <w:tcW w:w="1818" w:type="dxa"/>
            <w:vAlign w:val="center"/>
          </w:tcPr>
          <w:p w14:paraId="5B99904F">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总均方误差ε</w:t>
            </w:r>
          </w:p>
          <w:p w14:paraId="11F1ECDF">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（η</w:t>
            </w:r>
            <w:r>
              <w:rPr>
                <w:rFonts w:hint="eastAsia" w:ascii="宋体" w:hAnsi="宋体" w:eastAsia="宋体" w:cs="宋体"/>
                <w:color w:val="auto"/>
                <w:sz w:val="21"/>
                <w:szCs w:val="21"/>
                <w:highlight w:val="none"/>
                <w:vertAlign w:val="subscript"/>
              </w:rPr>
              <w:t>a</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w:t>
            </w:r>
          </w:p>
        </w:tc>
        <w:tc>
          <w:tcPr>
            <w:tcW w:w="2119" w:type="dxa"/>
            <w:vAlign w:val="center"/>
          </w:tcPr>
          <w:p w14:paraId="65AEF089">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总均方相对误差</w:t>
            </w:r>
          </w:p>
          <w:p w14:paraId="071F5798">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有位差</w:t>
            </w:r>
          </w:p>
        </w:tc>
      </w:tr>
      <w:tr w14:paraId="5352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2" w:type="dxa"/>
            <w:vAlign w:val="center"/>
          </w:tcPr>
          <w:p w14:paraId="6C01A958">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激电面积</w:t>
            </w:r>
          </w:p>
        </w:tc>
        <w:tc>
          <w:tcPr>
            <w:tcW w:w="1151" w:type="dxa"/>
            <w:vAlign w:val="center"/>
          </w:tcPr>
          <w:p w14:paraId="1CF0D0FE">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p>
        </w:tc>
        <w:tc>
          <w:tcPr>
            <w:tcW w:w="2346" w:type="dxa"/>
            <w:vAlign w:val="center"/>
          </w:tcPr>
          <w:p w14:paraId="267E3E20">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lang w:eastAsia="zh-CN"/>
              </w:rPr>
              <w:t>%</w:t>
            </w:r>
          </w:p>
        </w:tc>
        <w:tc>
          <w:tcPr>
            <w:tcW w:w="1818" w:type="dxa"/>
            <w:vAlign w:val="center"/>
          </w:tcPr>
          <w:p w14:paraId="19FE1CFE">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0.21</w:t>
            </w:r>
          </w:p>
        </w:tc>
        <w:tc>
          <w:tcPr>
            <w:tcW w:w="2119" w:type="dxa"/>
            <w:vAlign w:val="center"/>
          </w:tcPr>
          <w:p w14:paraId="00F9AC57">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p>
        </w:tc>
      </w:tr>
    </w:tbl>
    <w:p w14:paraId="0D8BD501">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left="0" w:leftChars="0" w:firstLine="456" w:firstLineChars="200"/>
        <w:jc w:val="both"/>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其它未尽事宜参照《时间域激发极化法技术规定》DZ/T0070-2016执行。</w:t>
      </w:r>
    </w:p>
    <w:p w14:paraId="4CDCB8F9">
      <w:pPr>
        <w:pStyle w:val="4"/>
        <w:keepNext/>
        <w:keepLines/>
        <w:pageBreakBefore w:val="0"/>
        <w:widowControl w:val="0"/>
        <w:kinsoku/>
        <w:wordWrap/>
        <w:overflowPunct/>
        <w:topLinePunct w:val="0"/>
        <w:autoSpaceDE/>
        <w:autoSpaceDN/>
        <w:bidi w:val="0"/>
        <w:adjustRightInd w:val="0"/>
        <w:snapToGrid w:val="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六</w:t>
      </w:r>
      <w:r>
        <w:rPr>
          <w:rFonts w:hint="eastAsia" w:ascii="宋体" w:hAnsi="宋体" w:eastAsia="宋体" w:cs="宋体"/>
          <w:color w:val="auto"/>
          <w:sz w:val="24"/>
          <w:szCs w:val="24"/>
          <w:lang w:val="en-US" w:eastAsia="zh-CN"/>
        </w:rPr>
        <w:t>、激电测深</w:t>
      </w:r>
    </w:p>
    <w:p w14:paraId="1DCD266B">
      <w:pPr>
        <w:pageBreakBefore w:val="0"/>
        <w:widowControl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（一）</w:t>
      </w:r>
      <w:r>
        <w:rPr>
          <w:rFonts w:hint="eastAsia" w:ascii="宋体" w:hAnsi="宋体" w:eastAsia="宋体" w:cs="宋体"/>
          <w:color w:val="auto"/>
          <w:sz w:val="24"/>
          <w:szCs w:val="24"/>
          <w:lang w:val="en-US" w:eastAsia="zh-CN"/>
        </w:rPr>
        <w:t>工作目的</w:t>
      </w:r>
    </w:p>
    <w:p w14:paraId="2EE880A2">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工作开展于异常查证阶段，用于追索地表矿化体向深部延伸情况，圈定深部硫化物富集地段，判断矿化体的形态、产状及垂向延伸情况，以缩小找矿靶区。控制测深点数40个。</w:t>
      </w:r>
    </w:p>
    <w:p w14:paraId="369D0FE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剖面布设</w:t>
      </w:r>
    </w:p>
    <w:p w14:paraId="7EAB7B78">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对地表矿化地段，垂直于地质体布设，两端必须要有背景常，以凸显局部异常。根据矿化体宽度按点距进行布设，一般以点距20-40米，局部可加密成10米或5米，以提高异常分辨率。</w:t>
      </w:r>
    </w:p>
    <w:p w14:paraId="05411A6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三）质量控制</w:t>
      </w:r>
    </w:p>
    <w:p w14:paraId="33B3C7BE">
      <w:pPr>
        <w:pageBreakBefore w:val="0"/>
        <w:widowControl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1、质量检查工作应在时间上和空间上均匀布置，激电测量检查工作量不少于全部观测点数的3％，另外在异常区应布置一定量的异常检查。</w:t>
      </w:r>
    </w:p>
    <w:p w14:paraId="7E1A31A1">
      <w:pPr>
        <w:pageBreakBefore w:val="0"/>
        <w:widowControl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2、质量检查方式采用“</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同</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不同”（同点位、同仪器、不同日期、不同人）原则进行。</w:t>
      </w:r>
    </w:p>
    <w:p w14:paraId="631F07B2">
      <w:pPr>
        <w:pageBreakBefore w:val="0"/>
        <w:bidi w:val="0"/>
        <w:adjustRightInd w:val="0"/>
        <w:snapToGrid w:val="0"/>
        <w:spacing w:line="360" w:lineRule="auto"/>
        <w:ind w:left="0" w:leftChars="0" w:firstLine="0" w:firstLineChars="0"/>
        <w:jc w:val="center"/>
        <w:textAlignment w:val="auto"/>
        <w:outlineLvl w:val="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激电</w:t>
      </w:r>
      <w:r>
        <w:rPr>
          <w:rFonts w:hint="eastAsia" w:ascii="宋体" w:hAnsi="宋体" w:eastAsia="宋体" w:cs="宋体"/>
          <w:b/>
          <w:bCs/>
          <w:color w:val="auto"/>
          <w:sz w:val="21"/>
          <w:szCs w:val="21"/>
          <w:highlight w:val="none"/>
          <w:lang w:val="en-US" w:eastAsia="zh-CN"/>
        </w:rPr>
        <w:t>测深</w:t>
      </w:r>
      <w:r>
        <w:rPr>
          <w:rFonts w:hint="eastAsia" w:ascii="宋体" w:hAnsi="宋体" w:eastAsia="宋体" w:cs="宋体"/>
          <w:b/>
          <w:bCs/>
          <w:color w:val="auto"/>
          <w:sz w:val="21"/>
          <w:szCs w:val="21"/>
          <w:highlight w:val="none"/>
        </w:rPr>
        <w:t>测量精度指标</w:t>
      </w:r>
    </w:p>
    <w:tbl>
      <w:tblPr>
        <w:tblStyle w:val="42"/>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159"/>
        <w:gridCol w:w="2371"/>
        <w:gridCol w:w="1588"/>
        <w:gridCol w:w="2376"/>
      </w:tblGrid>
      <w:tr w14:paraId="7BDE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04" w:type="dxa"/>
            <w:vMerge w:val="restart"/>
            <w:tcBorders>
              <w:top w:val="single" w:color="auto" w:sz="4" w:space="0"/>
              <w:tl2br w:val="single" w:color="auto" w:sz="4" w:space="0"/>
            </w:tcBorders>
          </w:tcPr>
          <w:p w14:paraId="56DF33F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718BC3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firstLine="630"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指标     </w:t>
            </w:r>
          </w:p>
          <w:p w14:paraId="694406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rPr>
            </w:pPr>
          </w:p>
          <w:p w14:paraId="546BF8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方法</w:t>
            </w:r>
          </w:p>
        </w:tc>
        <w:tc>
          <w:tcPr>
            <w:tcW w:w="1159" w:type="dxa"/>
            <w:vMerge w:val="restart"/>
            <w:tcBorders>
              <w:top w:val="single" w:color="auto" w:sz="4" w:space="0"/>
            </w:tcBorders>
            <w:vAlign w:val="center"/>
          </w:tcPr>
          <w:p w14:paraId="55236EA8">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检查率</w:t>
            </w:r>
          </w:p>
        </w:tc>
        <w:tc>
          <w:tcPr>
            <w:tcW w:w="3959" w:type="dxa"/>
            <w:gridSpan w:val="2"/>
            <w:tcBorders>
              <w:top w:val="single" w:color="auto" w:sz="4" w:space="0"/>
            </w:tcBorders>
            <w:vAlign w:val="center"/>
          </w:tcPr>
          <w:p w14:paraId="55A0C40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视极化率（η</w:t>
            </w:r>
            <w:r>
              <w:rPr>
                <w:rFonts w:hint="eastAsia" w:ascii="宋体" w:hAnsi="宋体" w:eastAsia="宋体" w:cs="宋体"/>
                <w:color w:val="auto"/>
                <w:sz w:val="21"/>
                <w:szCs w:val="21"/>
                <w:highlight w:val="none"/>
                <w:vertAlign w:val="subscript"/>
              </w:rPr>
              <w:t>a</w:t>
            </w:r>
            <w:r>
              <w:rPr>
                <w:rFonts w:hint="eastAsia" w:ascii="宋体" w:hAnsi="宋体" w:eastAsia="宋体" w:cs="宋体"/>
                <w:color w:val="auto"/>
                <w:sz w:val="21"/>
                <w:szCs w:val="21"/>
                <w:highlight w:val="none"/>
              </w:rPr>
              <w:t>/%）</w:t>
            </w:r>
          </w:p>
        </w:tc>
        <w:tc>
          <w:tcPr>
            <w:tcW w:w="2376" w:type="dxa"/>
            <w:tcBorders>
              <w:top w:val="single" w:color="auto" w:sz="4" w:space="0"/>
            </w:tcBorders>
            <w:vAlign w:val="center"/>
          </w:tcPr>
          <w:p w14:paraId="17B51D6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视电阻率（ρ</w:t>
            </w:r>
            <w:r>
              <w:rPr>
                <w:rFonts w:hint="eastAsia" w:ascii="宋体" w:hAnsi="宋体" w:eastAsia="宋体" w:cs="宋体"/>
                <w:color w:val="auto"/>
                <w:sz w:val="21"/>
                <w:szCs w:val="21"/>
                <w:highlight w:val="none"/>
                <w:vertAlign w:val="subscript"/>
              </w:rPr>
              <w:t>a</w:t>
            </w:r>
            <w:r>
              <w:rPr>
                <w:rFonts w:hint="eastAsia" w:ascii="宋体" w:hAnsi="宋体" w:eastAsia="宋体" w:cs="宋体"/>
                <w:color w:val="auto"/>
                <w:sz w:val="21"/>
                <w:szCs w:val="21"/>
                <w:highlight w:val="none"/>
              </w:rPr>
              <w:t>/Ω·m）</w:t>
            </w:r>
          </w:p>
        </w:tc>
      </w:tr>
      <w:tr w14:paraId="7DC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04" w:type="dxa"/>
            <w:vMerge w:val="continue"/>
          </w:tcPr>
          <w:p w14:paraId="065B45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rPr>
            </w:pPr>
          </w:p>
        </w:tc>
        <w:tc>
          <w:tcPr>
            <w:tcW w:w="1159" w:type="dxa"/>
            <w:vMerge w:val="continue"/>
            <w:vAlign w:val="center"/>
          </w:tcPr>
          <w:p w14:paraId="35C541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371" w:type="dxa"/>
            <w:vAlign w:val="center"/>
          </w:tcPr>
          <w:p w14:paraId="153AD286">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总均方相对误差M</w:t>
            </w:r>
            <w:r>
              <w:rPr>
                <w:rFonts w:hint="eastAsia" w:ascii="宋体" w:hAnsi="宋体" w:eastAsia="宋体" w:cs="宋体"/>
                <w:color w:val="auto"/>
                <w:sz w:val="21"/>
                <w:szCs w:val="21"/>
                <w:highlight w:val="none"/>
                <w:vertAlign w:val="subscript"/>
              </w:rPr>
              <w:t>1</w:t>
            </w:r>
          </w:p>
          <w:p w14:paraId="76F2BC74">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（η</w:t>
            </w:r>
            <w:r>
              <w:rPr>
                <w:rFonts w:hint="eastAsia" w:ascii="宋体" w:hAnsi="宋体" w:eastAsia="宋体" w:cs="宋体"/>
                <w:color w:val="auto"/>
                <w:sz w:val="21"/>
                <w:szCs w:val="21"/>
                <w:highlight w:val="none"/>
                <w:vertAlign w:val="subscript"/>
              </w:rPr>
              <w:t>a</w:t>
            </w:r>
            <w:r>
              <w:rPr>
                <w:rFonts w:hint="eastAsia" w:ascii="宋体" w:hAnsi="宋体" w:eastAsia="宋体" w:cs="宋体"/>
                <w:color w:val="auto"/>
                <w:sz w:val="21"/>
                <w:szCs w:val="21"/>
                <w:highlight w:val="none"/>
              </w:rPr>
              <w:t>&gt;3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w:t>
            </w:r>
          </w:p>
        </w:tc>
        <w:tc>
          <w:tcPr>
            <w:tcW w:w="1588" w:type="dxa"/>
            <w:vAlign w:val="center"/>
          </w:tcPr>
          <w:p w14:paraId="0B58E7AB">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总均方误差ε</w:t>
            </w:r>
          </w:p>
          <w:p w14:paraId="5AA6174B">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（η</w:t>
            </w:r>
            <w:r>
              <w:rPr>
                <w:rFonts w:hint="eastAsia" w:ascii="宋体" w:hAnsi="宋体" w:eastAsia="宋体" w:cs="宋体"/>
                <w:color w:val="auto"/>
                <w:sz w:val="21"/>
                <w:szCs w:val="21"/>
                <w:highlight w:val="none"/>
                <w:vertAlign w:val="subscript"/>
              </w:rPr>
              <w:t>a</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w:t>
            </w:r>
          </w:p>
        </w:tc>
        <w:tc>
          <w:tcPr>
            <w:tcW w:w="2376" w:type="dxa"/>
            <w:vAlign w:val="center"/>
          </w:tcPr>
          <w:p w14:paraId="7895DC86">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总均方相对误差</w:t>
            </w:r>
          </w:p>
          <w:p w14:paraId="0662D52C">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无位差</w:t>
            </w:r>
          </w:p>
        </w:tc>
      </w:tr>
      <w:tr w14:paraId="72DA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04" w:type="dxa"/>
            <w:tcBorders>
              <w:bottom w:val="single" w:color="auto" w:sz="4" w:space="0"/>
            </w:tcBorders>
            <w:vAlign w:val="center"/>
          </w:tcPr>
          <w:p w14:paraId="457366C4">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激电</w:t>
            </w:r>
            <w:r>
              <w:rPr>
                <w:rFonts w:hint="eastAsia" w:ascii="宋体" w:hAnsi="宋体" w:eastAsia="宋体" w:cs="宋体"/>
                <w:color w:val="auto"/>
                <w:sz w:val="21"/>
                <w:szCs w:val="21"/>
                <w:highlight w:val="none"/>
                <w:lang w:val="en-US" w:eastAsia="zh-CN"/>
              </w:rPr>
              <w:t>测深</w:t>
            </w:r>
          </w:p>
        </w:tc>
        <w:tc>
          <w:tcPr>
            <w:tcW w:w="1159" w:type="dxa"/>
            <w:tcBorders>
              <w:bottom w:val="single" w:color="auto" w:sz="4" w:space="0"/>
            </w:tcBorders>
            <w:vAlign w:val="center"/>
          </w:tcPr>
          <w:p w14:paraId="1E25DBCC">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p>
        </w:tc>
        <w:tc>
          <w:tcPr>
            <w:tcW w:w="2371" w:type="dxa"/>
            <w:tcBorders>
              <w:bottom w:val="single" w:color="auto" w:sz="4" w:space="0"/>
            </w:tcBorders>
            <w:vAlign w:val="center"/>
          </w:tcPr>
          <w:p w14:paraId="603C5EFA">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lang w:eastAsia="zh-CN"/>
              </w:rPr>
              <w:t>%</w:t>
            </w:r>
          </w:p>
        </w:tc>
        <w:tc>
          <w:tcPr>
            <w:tcW w:w="1588" w:type="dxa"/>
            <w:tcBorders>
              <w:bottom w:val="single" w:color="auto" w:sz="4" w:space="0"/>
            </w:tcBorders>
            <w:vAlign w:val="center"/>
          </w:tcPr>
          <w:p w14:paraId="794EDA1D">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0.12</w:t>
            </w:r>
          </w:p>
        </w:tc>
        <w:tc>
          <w:tcPr>
            <w:tcW w:w="2376" w:type="dxa"/>
            <w:tcBorders>
              <w:bottom w:val="single" w:color="auto" w:sz="4" w:space="0"/>
            </w:tcBorders>
            <w:vAlign w:val="center"/>
          </w:tcPr>
          <w:p w14:paraId="49219813">
            <w:pPr>
              <w:pStyle w:val="34"/>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p>
        </w:tc>
      </w:tr>
    </w:tbl>
    <w:p w14:paraId="6F41E52F">
      <w:pPr>
        <w:pageBreakBefore w:val="0"/>
        <w:wordWrap/>
        <w:bidi w:val="0"/>
        <w:spacing w:line="336" w:lineRule="auto"/>
        <w:outlineLvl w:val="9"/>
        <w:rPr>
          <w:rFonts w:hint="eastAsia" w:ascii="仿宋" w:hAnsi="仿宋" w:eastAsia="仿宋" w:cs="仿宋"/>
          <w:b/>
          <w:sz w:val="24"/>
          <w:szCs w:val="24"/>
        </w:rPr>
      </w:pPr>
    </w:p>
    <w:p w14:paraId="5D59A5D0">
      <w:pPr>
        <w:pStyle w:val="4"/>
        <w:pageBreakBefore w:val="0"/>
        <w:widowControl w:val="0"/>
        <w:kinsoku/>
        <w:wordWrap/>
        <w:overflowPunct/>
        <w:topLinePunct w:val="0"/>
        <w:bidi w:val="0"/>
        <w:adjustRightInd w:val="0"/>
        <w:snapToGrid w:val="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七</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可</w:t>
      </w:r>
      <w:r>
        <w:rPr>
          <w:rFonts w:hint="eastAsia" w:ascii="宋体" w:hAnsi="宋体" w:eastAsia="宋体" w:cs="宋体"/>
          <w:color w:val="auto"/>
          <w:sz w:val="24"/>
          <w:szCs w:val="24"/>
        </w:rPr>
        <w:t>控源音频大地电磁测量（CSAMT）</w:t>
      </w:r>
    </w:p>
    <w:p w14:paraId="433CFD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工作目的</w:t>
      </w:r>
    </w:p>
    <w:p w14:paraId="4452DC09">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工作开展于异常查证阶段，用于分析深部岩体及构造的空间分布特征，划分深部岩石的接触关系为研究矿物金属组份来源提供资料，同时该方法对发现隐伏矿体也较为有效。</w:t>
      </w:r>
      <w:r>
        <w:rPr>
          <w:rFonts w:hint="eastAsia" w:ascii="宋体" w:hAnsi="宋体" w:eastAsia="宋体" w:cs="宋体"/>
          <w:bCs/>
          <w:color w:val="auto"/>
          <w:sz w:val="24"/>
          <w:szCs w:val="24"/>
          <w:highlight w:val="none"/>
        </w:rPr>
        <w:t>控制测深点数</w:t>
      </w:r>
      <w:r>
        <w:rPr>
          <w:rFonts w:hint="eastAsia" w:ascii="宋体" w:hAnsi="宋体" w:eastAsia="宋体" w:cs="宋体"/>
          <w:bCs/>
          <w:color w:val="auto"/>
          <w:sz w:val="24"/>
          <w:szCs w:val="24"/>
          <w:highlight w:val="none"/>
          <w:lang w:val="en-US" w:eastAsia="zh-CN"/>
        </w:rPr>
        <w:t>61</w:t>
      </w:r>
      <w:r>
        <w:rPr>
          <w:rFonts w:hint="eastAsia" w:ascii="宋体" w:hAnsi="宋体" w:eastAsia="宋体" w:cs="宋体"/>
          <w:bCs/>
          <w:color w:val="auto"/>
          <w:sz w:val="24"/>
          <w:szCs w:val="24"/>
          <w:highlight w:val="none"/>
        </w:rPr>
        <w:t>个。</w:t>
      </w:r>
    </w:p>
    <w:p w14:paraId="798F91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（二）仪器设备</w:t>
      </w:r>
    </w:p>
    <w:p w14:paraId="60F603A6">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本次工作仪器采用加拿大凤凰公司生产的V8电法工作站</w:t>
      </w:r>
    </w:p>
    <w:p w14:paraId="2BF42B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（三）质量检查及精度指标</w:t>
      </w:r>
    </w:p>
    <w:p w14:paraId="753E563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质量检查方法</w:t>
      </w:r>
    </w:p>
    <w:p w14:paraId="24AFC4B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野外质量检查采用“二同二不同”的方式进行，即同点位、同仪器、不同时间和不同操作员，检查点分布大致均匀，检查工作量不少于全部工作量的3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90A8F1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质量检查精度评价方法</w:t>
      </w:r>
    </w:p>
    <w:p w14:paraId="6E1E4FAE">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单个物理点质量检查方法</w:t>
      </w:r>
    </w:p>
    <w:p w14:paraId="36E199DE">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在全区检查观测的数据中剔除明显畸变频点后，以单个物理点为单位，计算各个频点的卡尼亚电阻率或阻抗相位相对误差</w:t>
      </w:r>
      <w:r>
        <w:rPr>
          <w:rFonts w:hint="eastAsia" w:ascii="宋体" w:hAnsi="宋体" w:eastAsia="宋体" w:cs="宋体"/>
          <w:color w:val="auto"/>
          <w:position w:val="-12"/>
          <w:sz w:val="24"/>
          <w:szCs w:val="24"/>
          <w:highlight w:val="none"/>
        </w:rPr>
        <w:object>
          <v:shape id="_x0000_i1044" o:spt="75" type="#_x0000_t75" style="height:18.6pt;width:14.9pt;" o:ole="t" filled="f" o:preferrelative="t" stroked="f" coordsize="21600,21600">
            <v:path/>
            <v:fill on="f" focussize="0,0"/>
            <v:stroke on="f" joinstyle="miter"/>
            <v:imagedata r:id="rId48" o:title=""/>
            <o:lock v:ext="edit" aspectratio="t"/>
            <w10:wrap type="none"/>
            <w10:anchorlock/>
          </v:shape>
          <o:OLEObject Type="Embed" ProgID="Equation.3" ShapeID="_x0000_i1044" DrawAspect="Content" ObjectID="_1468075744" r:id="rId47">
            <o:LockedField>false</o:LockedField>
          </o:OLEObject>
        </w:object>
      </w:r>
      <w:r>
        <w:rPr>
          <w:rFonts w:hint="eastAsia" w:ascii="宋体" w:hAnsi="宋体" w:eastAsia="宋体" w:cs="宋体"/>
          <w:color w:val="auto"/>
          <w:sz w:val="24"/>
          <w:szCs w:val="24"/>
          <w:highlight w:val="none"/>
        </w:rPr>
        <w:t>，编列</w:t>
      </w:r>
      <w:r>
        <w:rPr>
          <w:rFonts w:hint="eastAsia" w:ascii="宋体" w:hAnsi="宋体" w:eastAsia="宋体" w:cs="宋体"/>
          <w:color w:val="auto"/>
          <w:position w:val="-12"/>
          <w:sz w:val="24"/>
          <w:szCs w:val="24"/>
          <w:highlight w:val="none"/>
        </w:rPr>
        <w:object>
          <v:shape id="_x0000_i1045" o:spt="75" type="#_x0000_t75" style="height:18.6pt;width:14.9pt;" o:ole="t" filled="f" o:preferrelative="t" stroked="f" coordsize="21600,21600">
            <v:path/>
            <v:fill on="f" focussize="0,0"/>
            <v:stroke on="f" joinstyle="miter"/>
            <v:imagedata r:id="rId50" o:title=""/>
            <o:lock v:ext="edit" aspectratio="t"/>
            <w10:wrap type="none"/>
            <w10:anchorlock/>
          </v:shape>
          <o:OLEObject Type="Embed" ProgID="Equation.3" ShapeID="_x0000_i1045" DrawAspect="Content" ObjectID="_1468075745" r:id="rId49">
            <o:LockedField>false</o:LockedField>
          </o:OLEObject>
        </w:object>
      </w:r>
      <w:r>
        <w:rPr>
          <w:rFonts w:hint="eastAsia" w:ascii="宋体" w:hAnsi="宋体" w:eastAsia="宋体" w:cs="宋体"/>
          <w:color w:val="auto"/>
          <w:sz w:val="24"/>
          <w:szCs w:val="24"/>
          <w:highlight w:val="none"/>
        </w:rPr>
        <w:t>统计表并绘制</w:t>
      </w:r>
      <w:r>
        <w:rPr>
          <w:rFonts w:hint="eastAsia" w:ascii="宋体" w:hAnsi="宋体" w:eastAsia="宋体" w:cs="宋体"/>
          <w:color w:val="auto"/>
          <w:position w:val="-12"/>
          <w:sz w:val="24"/>
          <w:szCs w:val="24"/>
          <w:highlight w:val="none"/>
        </w:rPr>
        <w:object>
          <v:shape id="_x0000_i1046" o:spt="75" type="#_x0000_t75" style="height:18.6pt;width:14.9pt;" o:ole="t" filled="f" o:preferrelative="t" stroked="f" coordsize="21600,21600">
            <v:path/>
            <v:fill on="f" focussize="0,0"/>
            <v:stroke on="f" joinstyle="miter"/>
            <v:imagedata r:id="rId50" o:title=""/>
            <o:lock v:ext="edit" aspectratio="t"/>
            <w10:wrap type="none"/>
            <w10:anchorlock/>
          </v:shape>
          <o:OLEObject Type="Embed" ProgID="Equation.3" ShapeID="_x0000_i1046" DrawAspect="Content" ObjectID="_1468075746" r:id="rId51">
            <o:LockedField>false</o:LockedField>
          </o:OLEObject>
        </w:object>
      </w:r>
      <w:r>
        <w:rPr>
          <w:rFonts w:hint="eastAsia" w:ascii="宋体" w:hAnsi="宋体" w:eastAsia="宋体" w:cs="宋体"/>
          <w:color w:val="auto"/>
          <w:sz w:val="24"/>
          <w:szCs w:val="24"/>
          <w:highlight w:val="none"/>
        </w:rPr>
        <w:t>分布曲线，</w:t>
      </w:r>
      <w:r>
        <w:rPr>
          <w:rFonts w:hint="eastAsia" w:ascii="宋体" w:hAnsi="宋体" w:eastAsia="宋体" w:cs="宋体"/>
          <w:color w:val="auto"/>
          <w:position w:val="-12"/>
          <w:sz w:val="24"/>
          <w:szCs w:val="24"/>
          <w:highlight w:val="none"/>
        </w:rPr>
        <w:object>
          <v:shape id="_x0000_i1047" o:spt="75" type="#_x0000_t75" style="height:18.6pt;width:14.9pt;" o:ole="t" filled="f" o:preferrelative="t" stroked="f" coordsize="21600,21600">
            <v:path/>
            <v:fill on="f" focussize="0,0"/>
            <v:stroke on="f" joinstyle="miter"/>
            <v:imagedata r:id="rId50" o:title=""/>
            <o:lock v:ext="edit" aspectratio="t"/>
            <w10:wrap type="none"/>
            <w10:anchorlock/>
          </v:shape>
          <o:OLEObject Type="Embed" ProgID="Equation.3" ShapeID="_x0000_i1047" DrawAspect="Content" ObjectID="_1468075747" r:id="rId52">
            <o:LockedField>false</o:LockedField>
          </o:OLEObject>
        </w:object>
      </w:r>
      <w:r>
        <w:rPr>
          <w:rFonts w:hint="eastAsia" w:ascii="宋体" w:hAnsi="宋体" w:eastAsia="宋体" w:cs="宋体"/>
          <w:color w:val="auto"/>
          <w:sz w:val="24"/>
          <w:szCs w:val="24"/>
          <w:highlight w:val="none"/>
        </w:rPr>
        <w:t>的计算公式为：</w:t>
      </w:r>
    </w:p>
    <w:p w14:paraId="3E405541">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vertAlign w:val="subscript"/>
        </w:rPr>
      </w:pPr>
      <w:r>
        <w:rPr>
          <w:rFonts w:hint="eastAsia" w:ascii="宋体" w:hAnsi="宋体" w:eastAsia="宋体" w:cs="宋体"/>
          <w:color w:val="auto"/>
          <w:position w:val="-12"/>
          <w:sz w:val="24"/>
          <w:szCs w:val="24"/>
          <w:highlight w:val="none"/>
          <w:vertAlign w:val="subscript"/>
        </w:rPr>
        <w:object>
          <v:shape id="_x0000_i1048" o:spt="75" type="#_x0000_t75" style="height:18.6pt;width:183.7pt;" o:ole="t" filled="f" o:preferrelative="t" stroked="f" coordsize="21600,21600">
            <v:path/>
            <v:fill on="f" focussize="0,0"/>
            <v:stroke on="f" joinstyle="miter"/>
            <v:imagedata r:id="rId54" o:title=""/>
            <o:lock v:ext="edit" aspectratio="t"/>
            <w10:wrap type="none"/>
            <w10:anchorlock/>
          </v:shape>
          <o:OLEObject Type="Embed" ProgID="Equation.3" ShapeID="_x0000_i1048" DrawAspect="Content" ObjectID="_1468075748" r:id="rId53">
            <o:LockedField>false</o:LockedField>
          </o:OLEObject>
        </w:object>
      </w:r>
    </w:p>
    <w:p w14:paraId="52043563">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color w:val="auto"/>
          <w:position w:val="-12"/>
          <w:sz w:val="24"/>
          <w:szCs w:val="24"/>
          <w:highlight w:val="none"/>
        </w:rPr>
        <w:object>
          <v:shape id="_x0000_i1049" o:spt="75" type="#_x0000_t75" style="height:18.6pt;width:17.4pt;" o:ole="t" filled="f" o:preferrelative="t" stroked="f" coordsize="21600,21600">
            <v:path/>
            <v:fill on="f" focussize="0,0"/>
            <v:stroke on="f" joinstyle="miter"/>
            <v:imagedata r:id="rId56" o:title=""/>
            <o:lock v:ext="edit" aspectratio="t"/>
            <w10:wrap type="none"/>
            <w10:anchorlock/>
          </v:shape>
          <o:OLEObject Type="Embed" ProgID="Equation.3" ShapeID="_x0000_i1049" DrawAspect="Content" ObjectID="_1468075749" r:id="rId55">
            <o:LockedField>false</o:LockedField>
          </o:OLEObject>
        </w:object>
      </w:r>
      <w:r>
        <w:rPr>
          <w:rFonts w:hint="eastAsia" w:ascii="宋体" w:hAnsi="宋体" w:eastAsia="宋体" w:cs="宋体"/>
          <w:color w:val="auto"/>
          <w:sz w:val="24"/>
          <w:szCs w:val="24"/>
          <w:highlight w:val="none"/>
        </w:rPr>
        <w:t>—第i频点原始观测卡尼亚电阻率或阻抗相位</w:t>
      </w:r>
    </w:p>
    <w:p w14:paraId="21F021AD">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2"/>
          <w:sz w:val="24"/>
          <w:szCs w:val="24"/>
          <w:highlight w:val="none"/>
        </w:rPr>
        <w:object>
          <v:shape id="_x0000_i1050" o:spt="75" type="#_x0000_t75" style="height:18.6pt;width:17.4pt;" o:ole="t" filled="f" o:preferrelative="t" stroked="f" coordsize="21600,21600">
            <v:path/>
            <v:fill on="f" focussize="0,0"/>
            <v:stroke on="f" joinstyle="miter"/>
            <v:imagedata r:id="rId58" o:title=""/>
            <o:lock v:ext="edit" aspectratio="t"/>
            <w10:wrap type="none"/>
            <w10:anchorlock/>
          </v:shape>
          <o:OLEObject Type="Embed" ProgID="Equation.3" ShapeID="_x0000_i1050" DrawAspect="Content" ObjectID="_1468075750" r:id="rId57">
            <o:LockedField>false</o:LockedField>
          </o:OLEObject>
        </w:object>
      </w:r>
      <w:r>
        <w:rPr>
          <w:rFonts w:hint="eastAsia" w:ascii="宋体" w:hAnsi="宋体" w:eastAsia="宋体" w:cs="宋体"/>
          <w:color w:val="auto"/>
          <w:sz w:val="24"/>
          <w:szCs w:val="24"/>
          <w:highlight w:val="none"/>
        </w:rPr>
        <w:t>—第i频点检查观测卡尼亚电阻率或阻抗相位</w:t>
      </w:r>
    </w:p>
    <w:p w14:paraId="785D12BA">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单个物理点l检查观测结果按经以下各式计算误差，并应满足设计工作需要。</w:t>
      </w:r>
    </w:p>
    <w:p w14:paraId="7280D6B5">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阻抗相位大于200mrad时，卡尼亚电阻率或阻抗相位使用均方相对误差</w:t>
      </w:r>
      <w:r>
        <w:rPr>
          <w:rFonts w:hint="eastAsia" w:ascii="宋体" w:hAnsi="宋体" w:eastAsia="宋体" w:cs="宋体"/>
          <w:color w:val="auto"/>
          <w:position w:val="-12"/>
          <w:sz w:val="24"/>
          <w:szCs w:val="24"/>
          <w:highlight w:val="none"/>
        </w:rPr>
        <w:object>
          <v:shape id="_x0000_i1051" o:spt="75" type="#_x0000_t75" style="height:18.6pt;width:18.6pt;" o:ole="t" filled="f" o:preferrelative="t" stroked="f" coordsize="21600,21600">
            <v:path/>
            <v:fill on="f" focussize="0,0"/>
            <v:stroke on="f" joinstyle="miter"/>
            <v:imagedata r:id="rId60" o:title=""/>
            <o:lock v:ext="edit" aspectratio="t"/>
            <w10:wrap type="none"/>
            <w10:anchorlock/>
          </v:shape>
          <o:OLEObject Type="Embed" ProgID="Equation.3" ShapeID="_x0000_i1051" DrawAspect="Content" ObjectID="_1468075751" r:id="rId59">
            <o:LockedField>false</o:LockedField>
          </o:OLEObject>
        </w:object>
      </w:r>
      <w:r>
        <w:rPr>
          <w:rFonts w:hint="eastAsia" w:ascii="宋体" w:hAnsi="宋体" w:eastAsia="宋体" w:cs="宋体"/>
          <w:color w:val="auto"/>
          <w:sz w:val="24"/>
          <w:szCs w:val="24"/>
          <w:highlight w:val="none"/>
        </w:rPr>
        <w:t>按以下公式计算：</w:t>
      </w:r>
    </w:p>
    <w:p w14:paraId="33A12DDC">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30"/>
          <w:sz w:val="24"/>
          <w:szCs w:val="24"/>
          <w:highlight w:val="none"/>
        </w:rPr>
        <w:object>
          <v:shape id="_x0000_i1052" o:spt="75" type="#_x0000_t75" style="height:38.5pt;width:88.15pt;" o:ole="t" filled="f" o:preferrelative="t" stroked="f" coordsize="21600,21600">
            <v:path/>
            <v:fill on="f" focussize="0,0"/>
            <v:stroke on="f" joinstyle="miter"/>
            <v:imagedata r:id="rId62" o:title=""/>
            <o:lock v:ext="edit" aspectratio="t"/>
            <w10:wrap type="none"/>
            <w10:anchorlock/>
          </v:shape>
          <o:OLEObject Type="Embed" ProgID="Equation.3" ShapeID="_x0000_i1052" DrawAspect="Content" ObjectID="_1468075752" r:id="rId61">
            <o:LockedField>false</o:LockedField>
          </o:OLEObject>
        </w:object>
      </w:r>
    </w:p>
    <w:p w14:paraId="11152763">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color w:val="auto"/>
          <w:position w:val="-12"/>
          <w:sz w:val="24"/>
          <w:szCs w:val="24"/>
          <w:highlight w:val="none"/>
        </w:rPr>
        <w:object>
          <v:shape id="_x0000_i1053" o:spt="75" type="#_x0000_t75" style="height:18.6pt;width:14.9pt;" o:ole="t" filled="f" o:preferrelative="t" stroked="f" coordsize="21600,21600">
            <v:path/>
            <v:fill on="f" focussize="0,0"/>
            <v:stroke on="f" joinstyle="miter"/>
            <v:imagedata r:id="rId64" o:title=""/>
            <o:lock v:ext="edit" aspectratio="t"/>
            <w10:wrap type="none"/>
            <w10:anchorlock/>
          </v:shape>
          <o:OLEObject Type="Embed" ProgID="Equation.3" ShapeID="_x0000_i1053" DrawAspect="Content" ObjectID="_1468075753" r:id="rId63">
            <o:LockedField>false</o:LockedField>
          </o:OLEObject>
        </w:object>
      </w:r>
      <w:r>
        <w:rPr>
          <w:rFonts w:hint="eastAsia" w:ascii="宋体" w:hAnsi="宋体" w:eastAsia="宋体" w:cs="宋体"/>
          <w:color w:val="auto"/>
          <w:sz w:val="24"/>
          <w:szCs w:val="24"/>
          <w:highlight w:val="none"/>
        </w:rPr>
        <w:t>—第i个频点的卡尼亚电阻率或阻抗相位相对误差</w:t>
      </w:r>
    </w:p>
    <w:p w14:paraId="76470EB5">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n—检查观测并参与统计的频点数</w:t>
      </w:r>
    </w:p>
    <w:p w14:paraId="1D5E70CD">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阻抗相位小于等于200mrad时，卡尼亚电阻率仍使用均方相对误差</w:t>
      </w:r>
      <w:r>
        <w:rPr>
          <w:rFonts w:hint="eastAsia" w:ascii="宋体" w:hAnsi="宋体" w:eastAsia="宋体" w:cs="宋体"/>
          <w:color w:val="auto"/>
          <w:position w:val="-12"/>
          <w:sz w:val="24"/>
          <w:szCs w:val="24"/>
          <w:highlight w:val="none"/>
        </w:rPr>
        <w:object>
          <v:shape id="_x0000_i1054" o:spt="75" type="#_x0000_t75" style="height:18.6pt;width:18.6pt;" o:ole="t" filled="f" o:preferrelative="t" stroked="f" coordsize="21600,21600">
            <v:path/>
            <v:fill on="f" focussize="0,0"/>
            <v:stroke on="f" joinstyle="miter"/>
            <v:imagedata r:id="rId60" o:title=""/>
            <o:lock v:ext="edit" aspectratio="t"/>
            <w10:wrap type="none"/>
            <w10:anchorlock/>
          </v:shape>
          <o:OLEObject Type="Embed" ProgID="Equation.3" ShapeID="_x0000_i1054" DrawAspect="Content" ObjectID="_1468075754" r:id="rId65">
            <o:LockedField>false</o:LockedField>
          </o:OLEObject>
        </w:object>
      </w:r>
      <w:r>
        <w:rPr>
          <w:rFonts w:hint="eastAsia" w:ascii="宋体" w:hAnsi="宋体" w:eastAsia="宋体" w:cs="宋体"/>
          <w:color w:val="auto"/>
          <w:sz w:val="24"/>
          <w:szCs w:val="24"/>
          <w:highlight w:val="none"/>
        </w:rPr>
        <w:t>计算，而阻抗相位使用均方误差</w:t>
      </w:r>
      <w:r>
        <w:rPr>
          <w:rFonts w:hint="eastAsia" w:ascii="宋体" w:hAnsi="宋体" w:eastAsia="宋体" w:cs="宋体"/>
          <w:color w:val="auto"/>
          <w:position w:val="-12"/>
          <w:sz w:val="24"/>
          <w:szCs w:val="24"/>
          <w:highlight w:val="none"/>
        </w:rPr>
        <w:object>
          <v:shape id="_x0000_i1055" o:spt="75" type="#_x0000_t75" style="height:18.6pt;width:12.4pt;" o:ole="t" filled="f" o:preferrelative="t" stroked="f" coordsize="21600,21600">
            <v:path/>
            <v:fill on="f" focussize="0,0"/>
            <v:stroke on="f" joinstyle="miter"/>
            <v:imagedata r:id="rId67" o:title=""/>
            <o:lock v:ext="edit" aspectratio="t"/>
            <w10:wrap type="none"/>
            <w10:anchorlock/>
          </v:shape>
          <o:OLEObject Type="Embed" ProgID="Equation.3" ShapeID="_x0000_i1055" DrawAspect="Content" ObjectID="_1468075755" r:id="rId66">
            <o:LockedField>false</o:LockedField>
          </o:OLEObject>
        </w:object>
      </w:r>
      <w:r>
        <w:rPr>
          <w:rFonts w:hint="eastAsia" w:ascii="宋体" w:hAnsi="宋体" w:eastAsia="宋体" w:cs="宋体"/>
          <w:color w:val="auto"/>
          <w:sz w:val="24"/>
          <w:szCs w:val="24"/>
          <w:highlight w:val="none"/>
        </w:rPr>
        <w:t>按以下公式计算：</w:t>
      </w:r>
    </w:p>
    <w:p w14:paraId="30800A58">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30"/>
          <w:sz w:val="24"/>
          <w:szCs w:val="24"/>
          <w:highlight w:val="none"/>
        </w:rPr>
        <w:object>
          <v:shape id="_x0000_i1056" o:spt="75" type="#_x0000_t75" style="height:39.7pt;width:112.95pt;" o:ole="t" filled="f" o:preferrelative="t" stroked="f" coordsize="21600,21600">
            <v:path/>
            <v:fill on="f" focussize="0,0"/>
            <v:stroke on="f" joinstyle="miter"/>
            <v:imagedata r:id="rId69" o:title=""/>
            <o:lock v:ext="edit" aspectratio="t"/>
            <w10:wrap type="none"/>
            <w10:anchorlock/>
          </v:shape>
          <o:OLEObject Type="Embed" ProgID="Equation.3" ShapeID="_x0000_i1056" DrawAspect="Content" ObjectID="_1468075756" r:id="rId68">
            <o:LockedField>false</o:LockedField>
          </o:OLEObject>
        </w:object>
      </w:r>
    </w:p>
    <w:p w14:paraId="5CA50CB3">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color w:val="auto"/>
          <w:position w:val="-12"/>
          <w:sz w:val="24"/>
          <w:szCs w:val="24"/>
          <w:highlight w:val="none"/>
        </w:rPr>
        <w:object>
          <v:shape id="_x0000_i1057" o:spt="75" type="#_x0000_t75" style="height:18.6pt;width:16.15pt;" o:ole="t" filled="f" o:preferrelative="t" stroked="f" coordsize="21600,21600">
            <v:path/>
            <v:fill on="f" focussize="0,0"/>
            <v:stroke on="f" joinstyle="miter"/>
            <v:imagedata r:id="rId71" o:title=""/>
            <o:lock v:ext="edit" aspectratio="t"/>
            <w10:wrap type="none"/>
            <w10:anchorlock/>
          </v:shape>
          <o:OLEObject Type="Embed" ProgID="Equation.3" ShapeID="_x0000_i1057" DrawAspect="Content" ObjectID="_1468075757" r:id="rId70">
            <o:LockedField>false</o:LockedField>
          </o:OLEObject>
        </w:object>
      </w:r>
      <w:r>
        <w:rPr>
          <w:rFonts w:hint="eastAsia" w:ascii="宋体" w:hAnsi="宋体" w:eastAsia="宋体" w:cs="宋体"/>
          <w:color w:val="auto"/>
          <w:sz w:val="24"/>
          <w:szCs w:val="24"/>
          <w:highlight w:val="none"/>
        </w:rPr>
        <w:t>—第i频点的原始观测阻抗相位数据</w:t>
      </w:r>
    </w:p>
    <w:p w14:paraId="6C37B0A0">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2"/>
          <w:sz w:val="24"/>
          <w:szCs w:val="24"/>
          <w:highlight w:val="none"/>
        </w:rPr>
        <w:object>
          <v:shape id="_x0000_i1058" o:spt="75" type="#_x0000_t75" style="height:18.6pt;width:16.15pt;" o:ole="t" filled="f" o:preferrelative="t" stroked="f" coordsize="21600,21600">
            <v:path/>
            <v:fill on="f" focussize="0,0"/>
            <v:stroke on="f" joinstyle="miter"/>
            <v:imagedata r:id="rId73" o:title=""/>
            <o:lock v:ext="edit" aspectratio="t"/>
            <w10:wrap type="none"/>
            <w10:anchorlock/>
          </v:shape>
          <o:OLEObject Type="Embed" ProgID="Equation.3" ShapeID="_x0000_i1058" DrawAspect="Content" ObjectID="_1468075758" r:id="rId72">
            <o:LockedField>false</o:LockedField>
          </o:OLEObject>
        </w:object>
      </w:r>
      <w:r>
        <w:rPr>
          <w:rFonts w:hint="eastAsia" w:ascii="宋体" w:hAnsi="宋体" w:eastAsia="宋体" w:cs="宋体"/>
          <w:color w:val="auto"/>
          <w:sz w:val="24"/>
          <w:szCs w:val="24"/>
          <w:highlight w:val="none"/>
        </w:rPr>
        <w:t>—第i频点的检查观测阻抗相位数据</w:t>
      </w:r>
    </w:p>
    <w:p w14:paraId="7180A181">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—检查观测并参与统计的频点数</w:t>
      </w:r>
    </w:p>
    <w:p w14:paraId="2D2BBC80">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全区系统质量检查方法</w:t>
      </w:r>
    </w:p>
    <w:p w14:paraId="2F01A3BD">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全区系统检查观测质量用</w:t>
      </w:r>
      <w:r>
        <w:rPr>
          <w:rFonts w:hint="eastAsia" w:ascii="宋体" w:hAnsi="宋体" w:eastAsia="宋体" w:cs="宋体"/>
          <w:i/>
          <w:color w:val="auto"/>
          <w:sz w:val="24"/>
          <w:szCs w:val="24"/>
          <w:highlight w:val="none"/>
        </w:rPr>
        <w:t>M</w:t>
      </w:r>
      <w:r>
        <w:rPr>
          <w:rFonts w:hint="eastAsia" w:ascii="宋体" w:hAnsi="宋体" w:eastAsia="宋体" w:cs="宋体"/>
          <w:color w:val="auto"/>
          <w:sz w:val="24"/>
          <w:szCs w:val="24"/>
          <w:highlight w:val="none"/>
        </w:rPr>
        <w:t>衡量，</w:t>
      </w:r>
      <w:r>
        <w:rPr>
          <w:rFonts w:hint="eastAsia" w:ascii="宋体" w:hAnsi="宋体" w:eastAsia="宋体" w:cs="宋体"/>
          <w:i/>
          <w:color w:val="auto"/>
          <w:sz w:val="24"/>
          <w:szCs w:val="24"/>
          <w:highlight w:val="none"/>
        </w:rPr>
        <w:t>M</w:t>
      </w:r>
      <w:r>
        <w:rPr>
          <w:rFonts w:hint="eastAsia" w:ascii="宋体" w:hAnsi="宋体" w:eastAsia="宋体" w:cs="宋体"/>
          <w:color w:val="auto"/>
          <w:sz w:val="24"/>
          <w:szCs w:val="24"/>
          <w:highlight w:val="none"/>
        </w:rPr>
        <w:t>是各个物理点质量评价基础上由尼亚电阻率和阻抗相位均方相对误差</w:t>
      </w:r>
      <w:r>
        <w:rPr>
          <w:rFonts w:hint="eastAsia" w:ascii="宋体" w:hAnsi="宋体" w:eastAsia="宋体" w:cs="宋体"/>
          <w:color w:val="auto"/>
          <w:position w:val="-12"/>
          <w:sz w:val="24"/>
          <w:szCs w:val="24"/>
          <w:highlight w:val="none"/>
        </w:rPr>
        <w:object>
          <v:shape id="_x0000_i1059" o:spt="75" type="#_x0000_t75" style="height:18.6pt;width:18.6pt;" o:ole="t" filled="f" o:preferrelative="t" stroked="f" coordsize="21600,21600">
            <v:path/>
            <v:fill on="f" focussize="0,0"/>
            <v:stroke on="f" joinstyle="miter"/>
            <v:imagedata r:id="rId60" o:title=""/>
            <o:lock v:ext="edit" aspectratio="t"/>
            <w10:wrap type="none"/>
            <w10:anchorlock/>
          </v:shape>
          <o:OLEObject Type="Embed" ProgID="Equation.3" ShapeID="_x0000_i1059" DrawAspect="Content" ObjectID="_1468075759" r:id="rId74">
            <o:LockedField>false</o:LockedField>
          </o:OLEObject>
        </w:object>
      </w:r>
      <w:r>
        <w:rPr>
          <w:rFonts w:hint="eastAsia" w:ascii="宋体" w:hAnsi="宋体" w:eastAsia="宋体" w:cs="宋体"/>
          <w:color w:val="auto"/>
          <w:sz w:val="24"/>
          <w:szCs w:val="24"/>
          <w:highlight w:val="none"/>
        </w:rPr>
        <w:t>（或均方误差</w:t>
      </w:r>
      <w:r>
        <w:rPr>
          <w:rFonts w:hint="eastAsia" w:ascii="宋体" w:hAnsi="宋体" w:eastAsia="宋体" w:cs="宋体"/>
          <w:color w:val="auto"/>
          <w:position w:val="-12"/>
          <w:sz w:val="24"/>
          <w:szCs w:val="24"/>
          <w:highlight w:val="none"/>
        </w:rPr>
        <w:object>
          <v:shape id="_x0000_i1060" o:spt="75" type="#_x0000_t75" style="height:18.6pt;width:12.4pt;" o:ole="t" filled="f" o:preferrelative="t" stroked="f" coordsize="21600,21600">
            <v:path/>
            <v:fill on="f" focussize="0,0"/>
            <v:stroke on="f" joinstyle="miter"/>
            <v:imagedata r:id="rId67" o:title=""/>
            <o:lock v:ext="edit" aspectratio="t"/>
            <w10:wrap type="none"/>
            <w10:anchorlock/>
          </v:shape>
          <o:OLEObject Type="Embed" ProgID="Equation.3" ShapeID="_x0000_i1060" DrawAspect="Content" ObjectID="_1468075760" r:id="rId75">
            <o:LockedField>false</o:LockedField>
          </o:OLEObject>
        </w:object>
      </w:r>
      <w:r>
        <w:rPr>
          <w:rFonts w:hint="eastAsia" w:ascii="宋体" w:hAnsi="宋体" w:eastAsia="宋体" w:cs="宋体"/>
          <w:color w:val="auto"/>
          <w:sz w:val="24"/>
          <w:szCs w:val="24"/>
          <w:highlight w:val="none"/>
        </w:rPr>
        <w:t>）按以下公式统计得出，统计时不得剔除单个物理点系统检查为质量不合格的检查点。全区数据质量合格应满足的条件是：质量检查不合格的点数占被评价区域内检查总数的1/3；全区</w:t>
      </w:r>
      <w:r>
        <w:rPr>
          <w:rFonts w:hint="eastAsia" w:ascii="宋体" w:hAnsi="宋体" w:eastAsia="宋体" w:cs="宋体"/>
          <w:i/>
          <w:color w:val="auto"/>
          <w:sz w:val="24"/>
          <w:szCs w:val="24"/>
          <w:highlight w:val="none"/>
        </w:rPr>
        <w:t>M</w:t>
      </w:r>
      <w:r>
        <w:rPr>
          <w:rFonts w:hint="eastAsia" w:ascii="宋体" w:hAnsi="宋体" w:eastAsia="宋体" w:cs="宋体"/>
          <w:color w:val="auto"/>
          <w:sz w:val="24"/>
          <w:szCs w:val="24"/>
          <w:highlight w:val="none"/>
        </w:rPr>
        <w:t>应满足设计精度的要求，</w:t>
      </w:r>
      <w:r>
        <w:rPr>
          <w:rFonts w:hint="eastAsia" w:ascii="宋体" w:hAnsi="宋体" w:eastAsia="宋体" w:cs="宋体"/>
          <w:i/>
          <w:color w:val="auto"/>
          <w:sz w:val="24"/>
          <w:szCs w:val="24"/>
          <w:highlight w:val="none"/>
        </w:rPr>
        <w:t>M</w:t>
      </w:r>
      <w:r>
        <w:rPr>
          <w:rFonts w:hint="eastAsia" w:ascii="宋体" w:hAnsi="宋体" w:eastAsia="宋体" w:cs="宋体"/>
          <w:color w:val="auto"/>
          <w:sz w:val="24"/>
          <w:szCs w:val="24"/>
          <w:highlight w:val="none"/>
        </w:rPr>
        <w:t>的计算公式为：</w:t>
      </w:r>
    </w:p>
    <w:p w14:paraId="3EE5D005">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30"/>
          <w:sz w:val="24"/>
          <w:szCs w:val="24"/>
          <w:highlight w:val="none"/>
        </w:rPr>
        <w:object>
          <v:shape id="_x0000_i1061" o:spt="75" type="#_x0000_t75" style="height:38.5pt;width:83.15pt;" o:ole="t" filled="f" o:preferrelative="t" stroked="f" coordsize="21600,21600">
            <v:path/>
            <v:fill on="f" focussize="0,0"/>
            <v:stroke on="f" joinstyle="miter"/>
            <v:imagedata r:id="rId77" o:title=""/>
            <o:lock v:ext="edit" aspectratio="t"/>
            <w10:wrap type="none"/>
            <w10:anchorlock/>
          </v:shape>
          <o:OLEObject Type="Embed" ProgID="Equation.3" ShapeID="_x0000_i1061" DrawAspect="Content" ObjectID="_1468075761" r:id="rId76">
            <o:LockedField>false</o:LockedField>
          </o:OLEObject>
        </w:object>
      </w:r>
    </w:p>
    <w:p w14:paraId="087AC455">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color w:val="auto"/>
          <w:position w:val="-12"/>
          <w:sz w:val="24"/>
          <w:szCs w:val="24"/>
          <w:highlight w:val="none"/>
        </w:rPr>
        <w:object>
          <v:shape id="_x0000_i1062" o:spt="75" type="#_x0000_t75" style="height:18.6pt;width:13.65pt;" o:ole="t" filled="f" o:preferrelative="t" stroked="f" coordsize="21600,21600">
            <v:path/>
            <v:fill on="f" focussize="0,0"/>
            <v:stroke on="f" joinstyle="miter"/>
            <v:imagedata r:id="rId79" o:title=""/>
            <o:lock v:ext="edit" aspectratio="t"/>
            <w10:wrap type="none"/>
            <w10:anchorlock/>
          </v:shape>
          <o:OLEObject Type="Embed" ProgID="Equation.3" ShapeID="_x0000_i1062" DrawAspect="Content" ObjectID="_1468075762" r:id="rId78">
            <o:LockedField>false</o:LockedField>
          </o:OLEObject>
        </w:object>
      </w:r>
      <w:r>
        <w:rPr>
          <w:rFonts w:hint="eastAsia" w:ascii="宋体" w:hAnsi="宋体" w:eastAsia="宋体" w:cs="宋体"/>
          <w:color w:val="auto"/>
          <w:sz w:val="24"/>
          <w:szCs w:val="24"/>
          <w:highlight w:val="none"/>
        </w:rPr>
        <w:t>—第l物理点的均方相对误差或均方误差</w:t>
      </w:r>
    </w:p>
    <w:p w14:paraId="369C2BAE">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k—全区系统检查观测的全部物理点数</w:t>
      </w:r>
    </w:p>
    <w:p w14:paraId="768442AD">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工作精度见表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，依据单个物理点质量检查方法所述的</w:t>
      </w:r>
      <w:r>
        <w:rPr>
          <w:rFonts w:hint="eastAsia" w:ascii="宋体" w:hAnsi="宋体" w:eastAsia="宋体" w:cs="宋体"/>
          <w:color w:val="auto"/>
          <w:position w:val="-12"/>
          <w:sz w:val="24"/>
          <w:szCs w:val="24"/>
          <w:highlight w:val="none"/>
        </w:rPr>
        <w:object>
          <v:shape id="_x0000_i1063" o:spt="75" type="#_x0000_t75" style="height:18.6pt;width:18.6pt;" o:ole="t" filled="f" o:preferrelative="t" stroked="f" coordsize="21600,21600">
            <v:path/>
            <v:fill on="f" focussize="0,0"/>
            <v:stroke on="f" joinstyle="miter"/>
            <v:imagedata r:id="rId60" o:title=""/>
            <o:lock v:ext="edit" aspectratio="t"/>
            <w10:wrap type="none"/>
            <w10:anchorlock/>
          </v:shape>
          <o:OLEObject Type="Embed" ProgID="Equation.3" ShapeID="_x0000_i1063" DrawAspect="Content" ObjectID="_1468075763" r:id="rId80">
            <o:LockedField>false</o:LockedField>
          </o:OLEObject>
        </w:object>
      </w:r>
      <w:r>
        <w:rPr>
          <w:rFonts w:hint="eastAsia" w:ascii="宋体" w:hAnsi="宋体" w:eastAsia="宋体" w:cs="宋体"/>
          <w:color w:val="auto"/>
          <w:sz w:val="24"/>
          <w:szCs w:val="24"/>
          <w:highlight w:val="none"/>
        </w:rPr>
        <w:t>和</w:t>
      </w:r>
      <w:r>
        <w:rPr>
          <w:rFonts w:hint="eastAsia" w:ascii="宋体" w:hAnsi="宋体" w:eastAsia="宋体" w:cs="宋体"/>
          <w:color w:val="auto"/>
          <w:position w:val="-12"/>
          <w:sz w:val="24"/>
          <w:szCs w:val="24"/>
          <w:highlight w:val="none"/>
        </w:rPr>
        <w:object>
          <v:shape id="_x0000_i1064" o:spt="75" type="#_x0000_t75" style="height:18.6pt;width:12.4pt;" o:ole="t" filled="f" o:preferrelative="t" stroked="f" coordsize="21600,21600">
            <v:path/>
            <v:fill on="f" focussize="0,0"/>
            <v:stroke on="f" joinstyle="miter"/>
            <v:imagedata r:id="rId67" o:title=""/>
            <o:lock v:ext="edit" aspectratio="t"/>
            <w10:wrap type="none"/>
            <w10:anchorlock/>
          </v:shape>
          <o:OLEObject Type="Embed" ProgID="Equation.3" ShapeID="_x0000_i1064" DrawAspect="Content" ObjectID="_1468075764" r:id="rId81">
            <o:LockedField>false</o:LockedField>
          </o:OLEObject>
        </w:object>
      </w:r>
      <w:r>
        <w:rPr>
          <w:rFonts w:hint="eastAsia" w:ascii="宋体" w:hAnsi="宋体" w:eastAsia="宋体" w:cs="宋体"/>
          <w:color w:val="auto"/>
          <w:sz w:val="24"/>
          <w:szCs w:val="24"/>
          <w:highlight w:val="none"/>
        </w:rPr>
        <w:t>来计算。当阻抗相位大于200mrad时，卡尼亚电阻率或阻抗相位使用均方相对误差计算；当阻抗相位小于等于200mrad时，卡尼亚电阻率仍使用均方相对误差计算，而阻抗相位使用均方误差按计算。</w:t>
      </w:r>
    </w:p>
    <w:p w14:paraId="1195336D">
      <w:pPr>
        <w:pageBreakBefore w:val="0"/>
        <w:bidi w:val="0"/>
        <w:adjustRightInd w:val="0"/>
        <w:snapToGrid w:val="0"/>
        <w:spacing w:line="360" w:lineRule="auto"/>
        <w:jc w:val="center"/>
        <w:textAlignment w:val="auto"/>
        <w:outlineLvl w:val="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表</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 xml:space="preserve">  CSAMT质量检查精度表</w:t>
      </w:r>
    </w:p>
    <w:tbl>
      <w:tblPr>
        <w:tblStyle w:val="42"/>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729"/>
        <w:gridCol w:w="3203"/>
        <w:gridCol w:w="2834"/>
      </w:tblGrid>
      <w:tr w14:paraId="30FD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7" w:type="dxa"/>
            <w:vMerge w:val="restart"/>
            <w:vAlign w:val="center"/>
          </w:tcPr>
          <w:p w14:paraId="1D011D4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精度级别</w:t>
            </w:r>
          </w:p>
        </w:tc>
        <w:tc>
          <w:tcPr>
            <w:tcW w:w="1729" w:type="dxa"/>
            <w:vMerge w:val="restart"/>
            <w:vAlign w:val="center"/>
          </w:tcPr>
          <w:p w14:paraId="6C19866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卡尼亚电阻率</w:t>
            </w:r>
          </w:p>
          <w:p w14:paraId="179631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均方相对误差</w:t>
            </w:r>
          </w:p>
        </w:tc>
        <w:tc>
          <w:tcPr>
            <w:tcW w:w="6037" w:type="dxa"/>
            <w:gridSpan w:val="2"/>
            <w:vAlign w:val="center"/>
          </w:tcPr>
          <w:p w14:paraId="3D2E90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阻抗相位</w:t>
            </w:r>
          </w:p>
        </w:tc>
      </w:tr>
      <w:tr w14:paraId="5022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7" w:type="dxa"/>
            <w:vMerge w:val="continue"/>
            <w:vAlign w:val="center"/>
          </w:tcPr>
          <w:p w14:paraId="54A40CD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p>
        </w:tc>
        <w:tc>
          <w:tcPr>
            <w:tcW w:w="1729" w:type="dxa"/>
            <w:vMerge w:val="continue"/>
            <w:vAlign w:val="center"/>
          </w:tcPr>
          <w:p w14:paraId="3C481F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p>
        </w:tc>
        <w:tc>
          <w:tcPr>
            <w:tcW w:w="3203" w:type="dxa"/>
            <w:vAlign w:val="center"/>
          </w:tcPr>
          <w:p w14:paraId="36E098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均方相对误差（&gt;200mrad）</w:t>
            </w:r>
          </w:p>
        </w:tc>
        <w:tc>
          <w:tcPr>
            <w:tcW w:w="2834" w:type="dxa"/>
            <w:vAlign w:val="center"/>
          </w:tcPr>
          <w:p w14:paraId="2B0D9A0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均方误差（≤200mrad）</w:t>
            </w:r>
          </w:p>
        </w:tc>
      </w:tr>
      <w:tr w14:paraId="3CC4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7" w:type="dxa"/>
            <w:vAlign w:val="center"/>
          </w:tcPr>
          <w:p w14:paraId="1908582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w:t>
            </w:r>
          </w:p>
        </w:tc>
        <w:tc>
          <w:tcPr>
            <w:tcW w:w="1729" w:type="dxa"/>
            <w:vAlign w:val="center"/>
          </w:tcPr>
          <w:p w14:paraId="358E8A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203" w:type="dxa"/>
            <w:vAlign w:val="center"/>
          </w:tcPr>
          <w:p w14:paraId="1B920B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834" w:type="dxa"/>
            <w:vAlign w:val="center"/>
          </w:tcPr>
          <w:p w14:paraId="6C7EB7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50mrad</w:t>
            </w:r>
          </w:p>
        </w:tc>
      </w:tr>
    </w:tbl>
    <w:p w14:paraId="02232F95">
      <w:pPr>
        <w:pageBreakBefore w:val="0"/>
        <w:wordWrap/>
        <w:bidi w:val="0"/>
        <w:spacing w:line="336" w:lineRule="auto"/>
        <w:outlineLvl w:val="9"/>
        <w:rPr>
          <w:rFonts w:hint="eastAsia" w:ascii="仿宋" w:hAnsi="仿宋" w:eastAsia="仿宋" w:cs="仿宋"/>
          <w:b/>
          <w:sz w:val="24"/>
          <w:szCs w:val="24"/>
        </w:rPr>
      </w:pPr>
    </w:p>
    <w:p w14:paraId="22ECADE0">
      <w:pPr>
        <w:pStyle w:val="4"/>
        <w:pageBreakBefore w:val="0"/>
        <w:widowControl w:val="0"/>
        <w:numPr>
          <w:ilvl w:val="0"/>
          <w:numId w:val="0"/>
        </w:numPr>
        <w:kinsoku/>
        <w:wordWrap/>
        <w:overflowPunct/>
        <w:topLinePunct w:val="0"/>
        <w:bidi w:val="0"/>
        <w:adjustRightInd w:val="0"/>
        <w:snapToGrid w:val="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八、预期提交资料</w:t>
      </w:r>
    </w:p>
    <w:p w14:paraId="0208812A">
      <w:pPr>
        <w:spacing w:line="360" w:lineRule="auto"/>
        <w:ind w:firstLine="480" w:firstLineChars="200"/>
        <w:rPr>
          <w:rFonts w:ascii="宋体" w:hAnsi="宋体" w:cs="宋体"/>
          <w:sz w:val="24"/>
        </w:rPr>
      </w:pPr>
      <w:bookmarkStart w:id="316" w:name="_Toc481766689"/>
      <w:bookmarkStart w:id="317" w:name="_Toc184814373"/>
      <w:bookmarkStart w:id="318" w:name="_Toc349703366"/>
      <w:r>
        <w:rPr>
          <w:rFonts w:hint="eastAsia" w:ascii="宋体" w:hAnsi="宋体" w:cs="宋体"/>
          <w:sz w:val="24"/>
        </w:rPr>
        <w:t>1.项目文档</w:t>
      </w:r>
      <w:bookmarkEnd w:id="316"/>
    </w:p>
    <w:p w14:paraId="2E330ABF">
      <w:pPr>
        <w:spacing w:line="360" w:lineRule="auto"/>
        <w:ind w:firstLine="480" w:firstLineChars="200"/>
        <w:rPr>
          <w:rFonts w:ascii="宋体" w:hAnsi="宋体" w:cs="宋体"/>
          <w:sz w:val="24"/>
        </w:rPr>
      </w:pPr>
      <w:r>
        <w:rPr>
          <w:rFonts w:hint="eastAsia" w:ascii="宋体" w:hAnsi="宋体" w:cs="宋体"/>
          <w:sz w:val="24"/>
        </w:rPr>
        <w:t>①项目招标文件、合同书、总体设计及审查意见；②各项工作派工单及技术交底表；③项目管理制度及岗位职责；④各生产阶段会议记录、项目各阶段检查记录、安全生产文件；⑤项目工作总结、实际材料图等。</w:t>
      </w:r>
    </w:p>
    <w:p w14:paraId="5D55D073">
      <w:pPr>
        <w:spacing w:line="360" w:lineRule="auto"/>
        <w:ind w:firstLine="480" w:firstLineChars="200"/>
        <w:rPr>
          <w:rFonts w:ascii="宋体" w:hAnsi="宋体" w:cs="宋体"/>
          <w:sz w:val="24"/>
        </w:rPr>
      </w:pPr>
      <w:bookmarkStart w:id="319" w:name="_Toc481766690"/>
      <w:r>
        <w:rPr>
          <w:rFonts w:hint="eastAsia" w:ascii="宋体" w:hAnsi="宋体" w:cs="宋体"/>
          <w:sz w:val="24"/>
        </w:rPr>
        <w:t>2.测绘文档</w:t>
      </w:r>
    </w:p>
    <w:p w14:paraId="0A862F7A">
      <w:pPr>
        <w:spacing w:line="360" w:lineRule="auto"/>
        <w:ind w:firstLine="480" w:firstLineChars="200"/>
        <w:rPr>
          <w:rFonts w:ascii="宋体" w:hAnsi="宋体" w:cs="宋体"/>
          <w:sz w:val="24"/>
        </w:rPr>
      </w:pPr>
      <w:r>
        <w:rPr>
          <w:rFonts w:hint="eastAsia" w:ascii="宋体" w:hAnsi="宋体" w:cs="宋体"/>
          <w:sz w:val="24"/>
        </w:rPr>
        <w:t>①测量设备鉴定合格文件；②控制网、加密控制点成果资料；③测量原始点位、高程数据记录表；④测量自检、互检、专检和质量检查原始记录；⑤GPS现场校验记录；⑥工作方法小结等。</w:t>
      </w:r>
    </w:p>
    <w:bookmarkEnd w:id="317"/>
    <w:bookmarkEnd w:id="318"/>
    <w:bookmarkEnd w:id="319"/>
    <w:p w14:paraId="76F886E4">
      <w:pPr>
        <w:spacing w:line="360" w:lineRule="auto"/>
        <w:ind w:firstLine="480" w:firstLineChars="200"/>
        <w:rPr>
          <w:rFonts w:ascii="宋体" w:hAnsi="宋体" w:cs="宋体"/>
          <w:sz w:val="24"/>
        </w:rPr>
      </w:pPr>
      <w:r>
        <w:rPr>
          <w:rFonts w:hint="eastAsia" w:ascii="宋体" w:hAnsi="宋体" w:cs="宋体"/>
          <w:sz w:val="24"/>
        </w:rPr>
        <w:t>3.重力测量工作文档</w:t>
      </w:r>
    </w:p>
    <w:p w14:paraId="7555BF44">
      <w:pPr>
        <w:adjustRightInd w:val="0"/>
        <w:snapToGrid w:val="0"/>
        <w:spacing w:line="360" w:lineRule="auto"/>
        <w:ind w:firstLine="480" w:firstLineChars="200"/>
        <w:rPr>
          <w:rFonts w:ascii="宋体" w:hAnsi="宋体" w:cs="宋体"/>
          <w:sz w:val="24"/>
        </w:rPr>
      </w:pPr>
      <w:r>
        <w:rPr>
          <w:rFonts w:hint="eastAsia" w:ascii="宋体" w:hAnsi="宋体" w:cs="宋体"/>
          <w:sz w:val="24"/>
        </w:rPr>
        <w:t>①重力动态、静态试验、一致性原始记录、成果及小结；②重力基点联测成果工作小结及原始记录；③重力原始数据及计算报表；④各阶段重力质量检查原始数据及统计报表；⑤密度标本原始数据及统计报表；⑥密度标本测定质量检查报表；⑦密度标本测定工作小结；⑧自检、互检、抽检、专检记录卡；⑨验收记录、小结及总结。</w:t>
      </w:r>
    </w:p>
    <w:p w14:paraId="1ECD8BB8">
      <w:pPr>
        <w:spacing w:line="360" w:lineRule="auto"/>
        <w:ind w:firstLine="480" w:firstLineChars="200"/>
        <w:rPr>
          <w:rFonts w:ascii="宋体" w:hAnsi="宋体" w:cs="宋体"/>
          <w:sz w:val="24"/>
        </w:rPr>
      </w:pPr>
      <w:r>
        <w:rPr>
          <w:rFonts w:hint="eastAsia" w:ascii="宋体" w:hAnsi="宋体" w:cs="宋体"/>
          <w:sz w:val="24"/>
        </w:rPr>
        <w:t>4.激电测量工作文档</w:t>
      </w:r>
    </w:p>
    <w:p w14:paraId="23E8F6CA">
      <w:pPr>
        <w:spacing w:line="360" w:lineRule="auto"/>
        <w:ind w:firstLine="480" w:firstLineChars="200"/>
        <w:rPr>
          <w:rFonts w:ascii="宋体" w:hAnsi="宋体" w:cs="宋体"/>
          <w:sz w:val="24"/>
        </w:rPr>
      </w:pPr>
      <w:r>
        <w:rPr>
          <w:rFonts w:hint="eastAsia" w:ascii="宋体" w:hAnsi="宋体" w:cs="宋体"/>
          <w:sz w:val="24"/>
        </w:rPr>
        <w:t>①激电参数试验原始记录及曲线；②激电参数试验工作小结；③激电原始数据及计算报表；④各阶段激电质量检查原始数据及统计报表；⑤电性标本原始数据及统计报表；⑥电性标本测定质量检查报表；⑦电性标本测定工作小结；⑧激电工作自检、互检、抽检、专检记录卡；⑨激电工作验收记录、小结及总结。</w:t>
      </w:r>
    </w:p>
    <w:p w14:paraId="1C5955FB">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.电磁法工作文档</w:t>
      </w:r>
    </w:p>
    <w:p w14:paraId="78B3662A">
      <w:pPr>
        <w:spacing w:line="360" w:lineRule="auto"/>
        <w:ind w:firstLine="480" w:firstLineChars="200"/>
        <w:rPr>
          <w:rFonts w:hint="eastAsia" w:ascii="宋体" w:hAnsi="宋体" w:cs="宋体"/>
          <w:sz w:val="24"/>
        </w:rPr>
      </w:pPr>
      <w:r>
        <w:rPr>
          <w:rFonts w:hint="eastAsia" w:ascii="宋体" w:hAnsi="宋体" w:cs="宋体"/>
          <w:sz w:val="24"/>
        </w:rPr>
        <w:t>①仪器标定、试验原始记录和试验小结；②电、电磁测深工作原始数据（曲线）和各阶段质量检查原始数据记录表；③自检、互检、抽检、专检及各阶段验收记录卡；④工作小结或总结等。</w:t>
      </w:r>
    </w:p>
    <w:p w14:paraId="47630942">
      <w:pPr>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报告成果</w:t>
      </w:r>
    </w:p>
    <w:p w14:paraId="313955E4">
      <w:pPr>
        <w:spacing w:line="360" w:lineRule="auto"/>
        <w:ind w:firstLine="480" w:firstLineChars="200"/>
        <w:rPr>
          <w:rFonts w:hint="eastAsia" w:ascii="宋体" w:hAnsi="宋体" w:cs="宋体"/>
          <w:sz w:val="24"/>
        </w:rPr>
      </w:pPr>
      <w:r>
        <w:rPr>
          <w:rFonts w:hint="eastAsia" w:ascii="宋体" w:hAnsi="宋体" w:cs="宋体"/>
          <w:sz w:val="24"/>
        </w:rPr>
        <w:t>①工作报告及附图、附件；</w:t>
      </w:r>
    </w:p>
    <w:p w14:paraId="2B4F3467">
      <w:pPr>
        <w:spacing w:line="360" w:lineRule="auto"/>
        <w:ind w:firstLine="480" w:firstLineChars="200"/>
        <w:rPr>
          <w:rFonts w:hint="eastAsia" w:ascii="宋体" w:hAnsi="宋体" w:cs="宋体"/>
          <w:sz w:val="24"/>
        </w:rPr>
      </w:pPr>
      <w:r>
        <w:rPr>
          <w:rFonts w:hint="eastAsia" w:ascii="宋体" w:hAnsi="宋体" w:cs="宋体"/>
          <w:sz w:val="24"/>
        </w:rPr>
        <w:t>②提交带属性的MAPGIS格式的数字光盘</w:t>
      </w:r>
    </w:p>
    <w:p w14:paraId="3045D50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七、各方法具体技术方法自行按规范要求编制。</w:t>
      </w:r>
    </w:p>
    <w:p w14:paraId="6CC05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八、质量管理及保密</w:t>
      </w:r>
    </w:p>
    <w:p w14:paraId="1D8F92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项目承担单位应具有完善的质量管理和保密管理体系，对项目实行全过程技术质量监控，工作中各技术环节和技术指标严格按有关规范要求执行，确保每一个技术环节规范合理。严格落实甲方单位的各项工作管理制度和保密管理条例。</w:t>
      </w:r>
    </w:p>
    <w:p w14:paraId="2393F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九、报价要求</w:t>
      </w:r>
    </w:p>
    <w:p w14:paraId="675C5E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报价明细：投标价格应包括投标人履行本项目合同（如果成交）所必须的所有成本费用和成交投标人应承担的一切费用，包括但不仅限于必要资料、交通、保险、人工费、税费等一切费用。</w:t>
      </w:r>
    </w:p>
    <w:p w14:paraId="5F2BE9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结算总价以填报的服务项目单价×实际工作量，按实结算。</w:t>
      </w:r>
    </w:p>
    <w:p w14:paraId="76887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十、其他要求</w:t>
      </w:r>
    </w:p>
    <w:p w14:paraId="7B4D37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供应商需签署保密协议，未经授权不得使用或泄露项目数据</w:t>
      </w:r>
    </w:p>
    <w:p w14:paraId="39749BC2">
      <w:pPr>
        <w:pStyle w:val="4"/>
        <w:pageBreakBefore w:val="0"/>
        <w:widowControl w:val="0"/>
        <w:numPr>
          <w:ilvl w:val="0"/>
          <w:numId w:val="0"/>
        </w:numPr>
        <w:kinsoku/>
        <w:wordWrap/>
        <w:overflowPunct/>
        <w:topLinePunct w:val="0"/>
        <w:bidi w:val="0"/>
        <w:adjustRightInd w:val="0"/>
        <w:snapToGrid w:val="0"/>
        <w:spacing w:line="360" w:lineRule="auto"/>
        <w:ind w:leftChars="0"/>
        <w:textAlignment w:val="auto"/>
        <w:rPr>
          <w:rFonts w:ascii="仿宋" w:hAnsi="仿宋" w:eastAsia="仿宋" w:cs="仿宋"/>
          <w:b/>
          <w:bCs/>
          <w:sz w:val="24"/>
          <w:szCs w:val="24"/>
        </w:rPr>
      </w:pPr>
      <w:r>
        <w:rPr>
          <w:rFonts w:hint="eastAsia" w:ascii="仿宋" w:hAnsi="仿宋" w:eastAsia="仿宋" w:cs="仿宋"/>
          <w:b/>
          <w:sz w:val="24"/>
          <w:szCs w:val="24"/>
        </w:rPr>
        <w:br w:type="page"/>
      </w:r>
    </w:p>
    <w:p w14:paraId="4D9BB22F">
      <w:pPr>
        <w:spacing w:line="440" w:lineRule="exact"/>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第五章 投标文件格式</w:t>
      </w:r>
      <w:bookmarkEnd w:id="314"/>
      <w:bookmarkEnd w:id="315"/>
    </w:p>
    <w:p w14:paraId="533C9DBC">
      <w:pPr>
        <w:rPr>
          <w:rFonts w:hint="eastAsia" w:ascii="仿宋" w:hAnsi="仿宋" w:eastAsia="仿宋" w:cs="仿宋"/>
          <w:b/>
          <w:sz w:val="24"/>
          <w:szCs w:val="24"/>
          <w:highlight w:val="none"/>
        </w:rPr>
      </w:pPr>
    </w:p>
    <w:p w14:paraId="5EB6B1CB">
      <w:pPr>
        <w:rPr>
          <w:rFonts w:hint="eastAsia" w:ascii="仿宋" w:hAnsi="仿宋" w:eastAsia="仿宋" w:cs="仿宋"/>
          <w:b/>
          <w:sz w:val="24"/>
          <w:szCs w:val="24"/>
          <w:highlight w:val="none"/>
        </w:rPr>
      </w:pPr>
    </w:p>
    <w:p w14:paraId="73DD11A3">
      <w:pPr>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投标文件封面示例</w:t>
      </w:r>
    </w:p>
    <w:p w14:paraId="31985BD1">
      <w:pPr>
        <w:spacing w:line="480" w:lineRule="auto"/>
        <w:jc w:val="center"/>
        <w:rPr>
          <w:rFonts w:hint="eastAsia" w:ascii="仿宋" w:hAnsi="仿宋" w:eastAsia="仿宋" w:cs="仿宋"/>
          <w:b/>
          <w:sz w:val="24"/>
          <w:szCs w:val="24"/>
          <w:highlight w:val="none"/>
          <w:bdr w:val="single" w:color="auto" w:sz="4" w:space="0"/>
        </w:rPr>
      </w:pPr>
    </w:p>
    <w:p w14:paraId="0A717214">
      <w:pPr>
        <w:spacing w:line="480" w:lineRule="auto"/>
        <w:jc w:val="center"/>
        <w:rPr>
          <w:rFonts w:hint="eastAsia" w:ascii="仿宋" w:hAnsi="仿宋" w:eastAsia="仿宋" w:cs="仿宋"/>
          <w:b/>
          <w:sz w:val="24"/>
          <w:szCs w:val="24"/>
          <w:highlight w:val="none"/>
          <w:bdr w:val="single" w:color="auto" w:sz="4" w:space="0"/>
        </w:rPr>
      </w:pPr>
    </w:p>
    <w:p w14:paraId="5A6D865F">
      <w:pPr>
        <w:spacing w:line="48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（项目名称）</w:t>
      </w:r>
    </w:p>
    <w:p w14:paraId="3ECF9EAB">
      <w:pPr>
        <w:spacing w:line="48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（项目编号）</w:t>
      </w:r>
    </w:p>
    <w:p w14:paraId="5C076A1C">
      <w:pPr>
        <w:spacing w:line="300" w:lineRule="exact"/>
        <w:jc w:val="center"/>
        <w:rPr>
          <w:rFonts w:hint="eastAsia" w:ascii="仿宋" w:hAnsi="仿宋" w:eastAsia="仿宋" w:cs="仿宋"/>
          <w:b/>
          <w:bCs/>
          <w:sz w:val="24"/>
          <w:szCs w:val="24"/>
          <w:highlight w:val="none"/>
        </w:rPr>
      </w:pPr>
    </w:p>
    <w:p w14:paraId="4BF3801A">
      <w:pPr>
        <w:spacing w:line="300" w:lineRule="exact"/>
        <w:jc w:val="center"/>
        <w:rPr>
          <w:rFonts w:hint="eastAsia" w:ascii="仿宋" w:hAnsi="仿宋" w:eastAsia="仿宋" w:cs="仿宋"/>
          <w:b/>
          <w:bCs/>
          <w:sz w:val="24"/>
          <w:szCs w:val="24"/>
          <w:highlight w:val="none"/>
        </w:rPr>
      </w:pPr>
    </w:p>
    <w:p w14:paraId="60FB9DFD">
      <w:pPr>
        <w:spacing w:line="3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投标文件</w:t>
      </w:r>
    </w:p>
    <w:p w14:paraId="35BA56F5">
      <w:pPr>
        <w:spacing w:line="720" w:lineRule="auto"/>
        <w:rPr>
          <w:rFonts w:hint="eastAsia" w:ascii="仿宋" w:hAnsi="仿宋" w:eastAsia="仿宋" w:cs="仿宋"/>
          <w:sz w:val="24"/>
          <w:szCs w:val="24"/>
          <w:highlight w:val="none"/>
        </w:rPr>
      </w:pPr>
    </w:p>
    <w:p w14:paraId="2B5542DF">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投标人：（盖章）</w:t>
      </w:r>
    </w:p>
    <w:p w14:paraId="5283858D">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法定代表人：（盖章）</w:t>
      </w:r>
    </w:p>
    <w:p w14:paraId="6B56C806">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p>
    <w:p w14:paraId="14D3D164">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p w14:paraId="3CDDF5D1">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p w14:paraId="264C3C03">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0F4DEC96">
      <w:pPr>
        <w:spacing w:line="720" w:lineRule="auto"/>
        <w:rPr>
          <w:rFonts w:hint="eastAsia" w:ascii="仿宋" w:hAnsi="仿宋" w:eastAsia="仿宋" w:cs="仿宋"/>
          <w:sz w:val="24"/>
          <w:szCs w:val="24"/>
          <w:highlight w:val="none"/>
        </w:rPr>
      </w:pPr>
    </w:p>
    <w:p w14:paraId="07859F30">
      <w:pPr>
        <w:spacing w:line="720" w:lineRule="auto"/>
        <w:ind w:firstLine="2" w:firstLineChars="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年月日</w:t>
      </w:r>
    </w:p>
    <w:p w14:paraId="1D7C55D3">
      <w:pPr>
        <w:tabs>
          <w:tab w:val="center" w:pos="4832"/>
          <w:tab w:val="left" w:pos="7140"/>
        </w:tabs>
        <w:jc w:val="center"/>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320" w:name="_Toc3990"/>
      <w:bookmarkStart w:id="321" w:name="_Toc531016894"/>
      <w:r>
        <w:rPr>
          <w:rFonts w:hint="eastAsia" w:ascii="仿宋" w:hAnsi="仿宋" w:eastAsia="仿宋" w:cs="仿宋"/>
          <w:b/>
          <w:sz w:val="24"/>
          <w:szCs w:val="24"/>
          <w:highlight w:val="none"/>
        </w:rPr>
        <w:t>目录</w:t>
      </w:r>
      <w:bookmarkEnd w:id="320"/>
      <w:bookmarkEnd w:id="321"/>
    </w:p>
    <w:p w14:paraId="0A69CF2E">
      <w:pPr>
        <w:spacing w:line="360" w:lineRule="auto"/>
        <w:rPr>
          <w:rFonts w:hint="eastAsia" w:ascii="仿宋" w:hAnsi="仿宋" w:eastAsia="仿宋" w:cs="仿宋"/>
          <w:bCs/>
          <w:sz w:val="24"/>
          <w:szCs w:val="24"/>
          <w:highlight w:val="none"/>
          <w:shd w:val="clear" w:color="auto" w:fill="FFFFFF" w:themeFill="background1"/>
        </w:rPr>
      </w:pPr>
    </w:p>
    <w:p w14:paraId="68853A58">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一、投标函</w:t>
      </w:r>
    </w:p>
    <w:p w14:paraId="29FC6A5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二、开标一览表</w:t>
      </w:r>
    </w:p>
    <w:p w14:paraId="46874E0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三、投标价格明细表</w:t>
      </w:r>
    </w:p>
    <w:p w14:paraId="1F150F5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四、商务条款偏离表</w:t>
      </w:r>
    </w:p>
    <w:p w14:paraId="35080DF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五、技术条款偏离表</w:t>
      </w:r>
    </w:p>
    <w:p w14:paraId="0C165D5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六、法定代表人身份证明书</w:t>
      </w:r>
    </w:p>
    <w:p w14:paraId="671AB7D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七、法定代表人授权委托书</w:t>
      </w:r>
    </w:p>
    <w:p w14:paraId="71448FE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八、投标人基本情况</w:t>
      </w:r>
    </w:p>
    <w:p w14:paraId="62DE8B0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8.1、法人或者其他组织的营业执照等证明文件，自然人的身份证明</w:t>
      </w:r>
    </w:p>
    <w:p w14:paraId="2338C8EF">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8.2、财务状况报告，依法缴纳税收和社会保障资金的相关材料</w:t>
      </w:r>
    </w:p>
    <w:p w14:paraId="12A32F1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8.3、具备履行合同所必需的设备和专业技术能力的证明材料</w:t>
      </w:r>
    </w:p>
    <w:p w14:paraId="67B3E74B">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8.4、参加政府采购活动前3年内在经营活动中没有重大违法记录的书面声明</w:t>
      </w:r>
    </w:p>
    <w:p w14:paraId="36D81A5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8.5、具备法律、行政法规规定的其他条件的证明材料</w:t>
      </w:r>
    </w:p>
    <w:p w14:paraId="281D507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九、投标人近三年类似项目业绩表</w:t>
      </w:r>
    </w:p>
    <w:p w14:paraId="68F4FA4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十、项目负责人简历表</w:t>
      </w:r>
    </w:p>
    <w:p w14:paraId="40E11A5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十一、拟派本项目服务人员情况表</w:t>
      </w:r>
    </w:p>
    <w:p w14:paraId="7AE6E98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十二、服务方案</w:t>
      </w:r>
    </w:p>
    <w:p w14:paraId="192F4A0F">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十三、其他需要提交的资料</w:t>
      </w:r>
    </w:p>
    <w:p w14:paraId="057C09A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注：为了便于查找，请按上述顺序编制投标文件内容，并在目录中标明每项内容的起始页码。</w:t>
      </w:r>
    </w:p>
    <w:p w14:paraId="41ADDBF9">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rPr>
        <w:br w:type="page"/>
      </w:r>
      <w:bookmarkStart w:id="322" w:name="_Toc533503181"/>
      <w:bookmarkStart w:id="323" w:name="_Toc11555"/>
      <w:bookmarkStart w:id="324" w:name="_Toc38446470"/>
      <w:bookmarkStart w:id="325" w:name="_Toc507586166"/>
      <w:bookmarkStart w:id="326" w:name="_Toc18537"/>
      <w:r>
        <w:rPr>
          <w:rFonts w:hint="eastAsia" w:ascii="仿宋" w:hAnsi="仿宋" w:eastAsia="仿宋" w:cs="仿宋"/>
          <w:b/>
          <w:sz w:val="24"/>
          <w:szCs w:val="24"/>
          <w:highlight w:val="none"/>
          <w:shd w:val="clear" w:color="auto" w:fill="FFFFFF" w:themeFill="background1"/>
        </w:rPr>
        <w:t>一、投标函</w:t>
      </w:r>
      <w:bookmarkEnd w:id="322"/>
      <w:bookmarkEnd w:id="323"/>
      <w:bookmarkEnd w:id="324"/>
      <w:bookmarkEnd w:id="325"/>
      <w:bookmarkEnd w:id="326"/>
    </w:p>
    <w:p w14:paraId="18CD0FA5">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29372AC9">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25EAC3DA">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根据已收到的</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项目的</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的全部内容后，我方郑重承诺如下：</w:t>
      </w:r>
    </w:p>
    <w:p w14:paraId="59CD34C3">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1</w:t>
      </w:r>
      <w:r>
        <w:rPr>
          <w:rFonts w:hint="eastAsia" w:ascii="仿宋" w:hAnsi="仿宋" w:eastAsia="仿宋" w:cs="仿宋"/>
          <w:kern w:val="0"/>
          <w:sz w:val="24"/>
          <w:szCs w:val="24"/>
          <w:highlight w:val="none"/>
          <w:shd w:val="clear" w:color="auto" w:fill="FFFFFF" w:themeFill="background1"/>
        </w:rPr>
        <w:t>.如果我方中标，我方将在</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规定的时间内签订合同。如果我方违约，除没收投标保证金外，贵方有权终止我方中标并选择其它成交投标人。</w:t>
      </w:r>
    </w:p>
    <w:p w14:paraId="15CE26A3">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2</w:t>
      </w:r>
      <w:r>
        <w:rPr>
          <w:rFonts w:hint="eastAsia" w:ascii="仿宋" w:hAnsi="仿宋" w:eastAsia="仿宋" w:cs="仿宋"/>
          <w:kern w:val="0"/>
          <w:sz w:val="24"/>
          <w:szCs w:val="24"/>
          <w:highlight w:val="none"/>
          <w:shd w:val="clear" w:color="auto" w:fill="FFFFFF" w:themeFill="background1"/>
        </w:rPr>
        <w:t>.本</w:t>
      </w:r>
      <w:r>
        <w:rPr>
          <w:rFonts w:hint="eastAsia" w:ascii="仿宋" w:hAnsi="仿宋" w:eastAsia="仿宋" w:cs="仿宋"/>
          <w:sz w:val="24"/>
          <w:szCs w:val="24"/>
          <w:highlight w:val="none"/>
          <w:shd w:val="clear" w:color="auto" w:fill="FFFFFF" w:themeFill="background1"/>
        </w:rPr>
        <w:t>投标文件</w:t>
      </w:r>
      <w:r>
        <w:rPr>
          <w:rFonts w:hint="eastAsia" w:ascii="仿宋" w:hAnsi="仿宋" w:eastAsia="仿宋" w:cs="仿宋"/>
          <w:kern w:val="0"/>
          <w:sz w:val="24"/>
          <w:szCs w:val="24"/>
          <w:highlight w:val="none"/>
          <w:shd w:val="clear" w:color="auto" w:fill="FFFFFF" w:themeFill="background1"/>
        </w:rPr>
        <w:t>在</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规定的投标有效期内对我方具有约束力，如果我方在投标有效期内撤销投标，其投标保证金将被贵方没收。</w:t>
      </w:r>
    </w:p>
    <w:p w14:paraId="0578BB20">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3</w:t>
      </w:r>
      <w:r>
        <w:rPr>
          <w:rFonts w:hint="eastAsia" w:ascii="仿宋" w:hAnsi="仿宋" w:eastAsia="仿宋" w:cs="仿宋"/>
          <w:kern w:val="0"/>
          <w:sz w:val="24"/>
          <w:szCs w:val="24"/>
          <w:highlight w:val="none"/>
          <w:shd w:val="clear" w:color="auto" w:fill="FFFFFF" w:themeFill="background1"/>
        </w:rPr>
        <w:t>.我方已详细阅读</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全部内容且完全理解，同意放弃对这方面有不明及误解的权力。若有违反，同意被废除投标资格并接受处罚。</w:t>
      </w:r>
    </w:p>
    <w:p w14:paraId="2B7E69B0">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4</w:t>
      </w:r>
      <w:r>
        <w:rPr>
          <w:rFonts w:hint="eastAsia" w:ascii="仿宋" w:hAnsi="仿宋" w:eastAsia="仿宋" w:cs="仿宋"/>
          <w:kern w:val="0"/>
          <w:sz w:val="24"/>
          <w:szCs w:val="24"/>
          <w:highlight w:val="none"/>
          <w:shd w:val="clear" w:color="auto" w:fill="FFFFFF" w:themeFill="background1"/>
        </w:rPr>
        <w:t>.我方保证</w:t>
      </w:r>
      <w:r>
        <w:rPr>
          <w:rFonts w:hint="eastAsia" w:ascii="仿宋" w:hAnsi="仿宋" w:eastAsia="仿宋" w:cs="仿宋"/>
          <w:sz w:val="24"/>
          <w:szCs w:val="24"/>
          <w:highlight w:val="none"/>
          <w:shd w:val="clear" w:color="auto" w:fill="FFFFFF" w:themeFill="background1"/>
        </w:rPr>
        <w:t>投标文件</w:t>
      </w:r>
      <w:r>
        <w:rPr>
          <w:rFonts w:hint="eastAsia" w:ascii="仿宋" w:hAnsi="仿宋" w:eastAsia="仿宋" w:cs="仿宋"/>
          <w:kern w:val="0"/>
          <w:sz w:val="24"/>
          <w:szCs w:val="24"/>
          <w:highlight w:val="none"/>
          <w:shd w:val="clear" w:color="auto" w:fill="FFFFFF" w:themeFill="background1"/>
        </w:rPr>
        <w:t>内容无任何虚假、未侵犯他人知识产权。如有虚假，同意废除中标资格并被没收投标担保，承担因侵犯他人知识产权而由此引起的全部法律责任和经济责任。</w:t>
      </w:r>
    </w:p>
    <w:p w14:paraId="46D18ADF">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5</w:t>
      </w:r>
      <w:r>
        <w:rPr>
          <w:rFonts w:hint="eastAsia" w:ascii="仿宋" w:hAnsi="仿宋" w:eastAsia="仿宋" w:cs="仿宋"/>
          <w:kern w:val="0"/>
          <w:sz w:val="24"/>
          <w:szCs w:val="24"/>
          <w:highlight w:val="none"/>
          <w:shd w:val="clear" w:color="auto" w:fill="FFFFFF" w:themeFill="background1"/>
        </w:rPr>
        <w:t>.我方愿意提供贵方可能要求的与投标有关的一切数据或资料，完全理解贵方不一定接受最低投标报价的投标或收到的任何投标。</w:t>
      </w:r>
    </w:p>
    <w:p w14:paraId="77A125C2">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6</w:t>
      </w:r>
      <w:r>
        <w:rPr>
          <w:rFonts w:hint="eastAsia" w:ascii="仿宋" w:hAnsi="仿宋" w:eastAsia="仿宋" w:cs="仿宋"/>
          <w:kern w:val="0"/>
          <w:sz w:val="24"/>
          <w:szCs w:val="24"/>
          <w:highlight w:val="none"/>
          <w:shd w:val="clear" w:color="auto" w:fill="FFFFFF" w:themeFill="background1"/>
        </w:rPr>
        <w:t>.我方派法定代表人或其授权委托人作为我方代表，负责按时参加开标会并签署与投标有关的相关文件等。</w:t>
      </w:r>
    </w:p>
    <w:p w14:paraId="7D4028B6">
      <w:pPr>
        <w:widowControl/>
        <w:shd w:val="clear" w:color="auto" w:fill="FFFFFF"/>
        <w:snapToGrid w:val="0"/>
        <w:spacing w:line="336" w:lineRule="auto"/>
        <w:ind w:firstLine="42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7</w:t>
      </w:r>
      <w:r>
        <w:rPr>
          <w:rFonts w:hint="eastAsia" w:ascii="仿宋" w:hAnsi="仿宋" w:eastAsia="仿宋" w:cs="仿宋"/>
          <w:kern w:val="0"/>
          <w:sz w:val="24"/>
          <w:szCs w:val="24"/>
          <w:highlight w:val="none"/>
          <w:shd w:val="clear" w:color="auto" w:fill="FFFFFF" w:themeFill="background1"/>
        </w:rPr>
        <w:t>.我方</w:t>
      </w:r>
      <w:r>
        <w:rPr>
          <w:rFonts w:hint="eastAsia" w:ascii="仿宋" w:hAnsi="仿宋" w:eastAsia="仿宋" w:cs="仿宋"/>
          <w:sz w:val="24"/>
          <w:szCs w:val="24"/>
          <w:highlight w:val="none"/>
          <w:shd w:val="clear" w:color="auto" w:fill="FFFFFF" w:themeFill="background1"/>
        </w:rPr>
        <w:t>保证按招标文件及合同约定原则处理因采购人原因增加或调整的工作量及其他事宜。</w:t>
      </w:r>
    </w:p>
    <w:p w14:paraId="38E25BB7">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8</w:t>
      </w:r>
      <w:r>
        <w:rPr>
          <w:rFonts w:hint="eastAsia" w:ascii="仿宋" w:hAnsi="仿宋" w:eastAsia="仿宋" w:cs="仿宋"/>
          <w:kern w:val="0"/>
          <w:sz w:val="24"/>
          <w:szCs w:val="24"/>
          <w:highlight w:val="none"/>
          <w:shd w:val="clear" w:color="auto" w:fill="FFFFFF" w:themeFill="background1"/>
        </w:rPr>
        <w:t>.如我方中标，我方自愿向采购代理机构支付咨询费，并在合同签订后3个工作日内向采购代理机构提供采购合同原件一份用于采购资料备案工作。</w:t>
      </w:r>
    </w:p>
    <w:p w14:paraId="44B45704">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44FA9BDB">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C46D2D4">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48E6341C">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（盖章）                       </w:t>
      </w:r>
    </w:p>
    <w:p w14:paraId="6ED98DE4">
      <w:pPr>
        <w:widowControl/>
        <w:shd w:val="clear" w:color="auto" w:fill="FFFFFF"/>
        <w:snapToGrid w:val="0"/>
        <w:spacing w:line="336"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日期：年 月 日</w:t>
      </w:r>
    </w:p>
    <w:p w14:paraId="5F2FFDD7">
      <w:pPr>
        <w:rPr>
          <w:rFonts w:hint="eastAsia" w:ascii="仿宋" w:hAnsi="仿宋" w:eastAsia="仿宋" w:cs="仿宋"/>
          <w:b/>
          <w:sz w:val="24"/>
          <w:szCs w:val="24"/>
          <w:highlight w:val="none"/>
          <w:shd w:val="clear" w:color="auto" w:fill="FFFFFF" w:themeFill="background1"/>
        </w:rPr>
      </w:pPr>
      <w:bookmarkStart w:id="327" w:name="_Toc26164"/>
      <w:bookmarkStart w:id="328" w:name="_Toc507586169"/>
      <w:bookmarkStart w:id="329" w:name="_Toc38446474"/>
      <w:bookmarkStart w:id="330" w:name="_Toc533503184"/>
      <w:r>
        <w:rPr>
          <w:rFonts w:hint="eastAsia" w:ascii="仿宋" w:hAnsi="仿宋" w:eastAsia="仿宋" w:cs="仿宋"/>
          <w:b/>
          <w:sz w:val="24"/>
          <w:szCs w:val="24"/>
          <w:highlight w:val="none"/>
          <w:shd w:val="clear" w:color="auto" w:fill="FFFFFF" w:themeFill="background1"/>
        </w:rPr>
        <w:br w:type="page"/>
      </w:r>
    </w:p>
    <w:p w14:paraId="168E9701">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31" w:name="_Toc14116"/>
      <w:r>
        <w:rPr>
          <w:rFonts w:hint="eastAsia" w:ascii="仿宋" w:hAnsi="仿宋" w:eastAsia="仿宋" w:cs="仿宋"/>
          <w:b/>
          <w:sz w:val="24"/>
          <w:szCs w:val="24"/>
          <w:highlight w:val="none"/>
          <w:shd w:val="clear" w:color="auto" w:fill="FFFFFF" w:themeFill="background1"/>
        </w:rPr>
        <w:t>二、开标一览表</w:t>
      </w:r>
      <w:bookmarkEnd w:id="331"/>
    </w:p>
    <w:p w14:paraId="433FAC06">
      <w:pPr>
        <w:pStyle w:val="40"/>
        <w:ind w:firstLine="234"/>
        <w:jc w:val="right"/>
        <w:rPr>
          <w:rFonts w:hint="eastAsia" w:ascii="仿宋" w:hAnsi="仿宋" w:eastAsia="仿宋" w:cs="仿宋"/>
          <w:color w:val="000000"/>
          <w:spacing w:val="-3"/>
          <w:sz w:val="24"/>
          <w:szCs w:val="24"/>
          <w:highlight w:val="none"/>
        </w:rPr>
      </w:pPr>
    </w:p>
    <w:p w14:paraId="20650C28">
      <w:pPr>
        <w:pStyle w:val="40"/>
        <w:ind w:firstLine="234"/>
        <w:jc w:val="right"/>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报价单位：</w:t>
      </w:r>
      <w:r>
        <w:rPr>
          <w:rFonts w:hint="eastAsia" w:ascii="仿宋" w:hAnsi="仿宋" w:eastAsia="仿宋" w:cs="仿宋"/>
          <w:color w:val="000000"/>
          <w:sz w:val="24"/>
          <w:szCs w:val="24"/>
          <w:highlight w:val="none"/>
        </w:rPr>
        <w:t>人</w:t>
      </w:r>
      <w:r>
        <w:rPr>
          <w:rFonts w:hint="eastAsia" w:ascii="仿宋" w:hAnsi="仿宋" w:eastAsia="仿宋" w:cs="仿宋"/>
          <w:color w:val="000000"/>
          <w:spacing w:val="-3"/>
          <w:sz w:val="24"/>
          <w:szCs w:val="24"/>
          <w:highlight w:val="none"/>
        </w:rPr>
        <w:t>民</w:t>
      </w:r>
      <w:r>
        <w:rPr>
          <w:rFonts w:hint="eastAsia" w:ascii="仿宋" w:hAnsi="仿宋" w:eastAsia="仿宋" w:cs="仿宋"/>
          <w:color w:val="000000"/>
          <w:sz w:val="24"/>
          <w:szCs w:val="24"/>
          <w:highlight w:val="none"/>
        </w:rPr>
        <w:t>币元</w:t>
      </w:r>
    </w:p>
    <w:p w14:paraId="000CA0B7">
      <w:pPr>
        <w:pStyle w:val="40"/>
        <w:ind w:firstLine="240"/>
        <w:jc w:val="right"/>
        <w:rPr>
          <w:rFonts w:hint="eastAsia" w:ascii="仿宋" w:hAnsi="仿宋" w:eastAsia="仿宋" w:cs="仿宋"/>
          <w:color w:val="000000"/>
          <w:sz w:val="24"/>
          <w:szCs w:val="24"/>
          <w:highlight w:val="none"/>
        </w:rPr>
      </w:pPr>
    </w:p>
    <w:tbl>
      <w:tblPr>
        <w:tblStyle w:val="42"/>
        <w:tblW w:w="9220" w:type="dxa"/>
        <w:tblInd w:w="93" w:type="dxa"/>
        <w:tblLayout w:type="autofit"/>
        <w:tblCellMar>
          <w:top w:w="0" w:type="dxa"/>
          <w:left w:w="108" w:type="dxa"/>
          <w:bottom w:w="0" w:type="dxa"/>
          <w:right w:w="108" w:type="dxa"/>
        </w:tblCellMar>
      </w:tblPr>
      <w:tblGrid>
        <w:gridCol w:w="2384"/>
        <w:gridCol w:w="6836"/>
      </w:tblGrid>
      <w:tr w14:paraId="774F39F0">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274AAC89">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6836" w:type="dxa"/>
            <w:tcBorders>
              <w:top w:val="single" w:color="auto" w:sz="4" w:space="0"/>
              <w:left w:val="nil"/>
              <w:bottom w:val="single" w:color="auto" w:sz="4" w:space="0"/>
              <w:right w:val="single" w:color="auto" w:sz="4" w:space="0"/>
            </w:tcBorders>
            <w:vAlign w:val="center"/>
          </w:tcPr>
          <w:p w14:paraId="682085D7">
            <w:pPr>
              <w:widowControl/>
              <w:spacing w:line="360" w:lineRule="auto"/>
              <w:rPr>
                <w:rFonts w:hint="eastAsia" w:ascii="仿宋" w:hAnsi="仿宋" w:eastAsia="仿宋" w:cs="仿宋"/>
                <w:color w:val="000000"/>
                <w:sz w:val="24"/>
                <w:szCs w:val="24"/>
                <w:highlight w:val="none"/>
              </w:rPr>
            </w:pPr>
          </w:p>
        </w:tc>
      </w:tr>
      <w:tr w14:paraId="124CCC7A">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41CFA219">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项目编号</w:t>
            </w:r>
          </w:p>
        </w:tc>
        <w:tc>
          <w:tcPr>
            <w:tcW w:w="6836" w:type="dxa"/>
            <w:tcBorders>
              <w:top w:val="single" w:color="auto" w:sz="4" w:space="0"/>
              <w:left w:val="nil"/>
              <w:bottom w:val="single" w:color="auto" w:sz="4" w:space="0"/>
              <w:right w:val="single" w:color="auto" w:sz="4" w:space="0"/>
            </w:tcBorders>
            <w:vAlign w:val="center"/>
          </w:tcPr>
          <w:p w14:paraId="12766200">
            <w:pPr>
              <w:widowControl/>
              <w:spacing w:line="360" w:lineRule="auto"/>
              <w:rPr>
                <w:rFonts w:hint="eastAsia" w:ascii="仿宋" w:hAnsi="仿宋" w:eastAsia="仿宋" w:cs="仿宋"/>
                <w:color w:val="000000"/>
                <w:sz w:val="24"/>
                <w:szCs w:val="24"/>
                <w:highlight w:val="none"/>
              </w:rPr>
            </w:pPr>
          </w:p>
        </w:tc>
      </w:tr>
      <w:tr w14:paraId="383A4DFC">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793B5C55">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投标报价</w:t>
            </w:r>
          </w:p>
        </w:tc>
        <w:tc>
          <w:tcPr>
            <w:tcW w:w="6836" w:type="dxa"/>
            <w:tcBorders>
              <w:top w:val="single" w:color="auto" w:sz="4" w:space="0"/>
              <w:left w:val="nil"/>
              <w:bottom w:val="single" w:color="auto" w:sz="4" w:space="0"/>
              <w:right w:val="single" w:color="auto" w:sz="4" w:space="0"/>
            </w:tcBorders>
            <w:vAlign w:val="center"/>
          </w:tcPr>
          <w:p w14:paraId="0CDD2950">
            <w:pPr>
              <w:widowControl/>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大写：   </w:t>
            </w:r>
          </w:p>
          <w:p w14:paraId="59D35E03">
            <w:pPr>
              <w:widowControl/>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小写：</w:t>
            </w:r>
          </w:p>
        </w:tc>
      </w:tr>
      <w:tr w14:paraId="25404140">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50C6EFE0">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shd w:val="clear" w:color="auto" w:fill="FFFFFF" w:themeFill="background1"/>
              </w:rPr>
              <w:t>服务周期</w:t>
            </w:r>
          </w:p>
        </w:tc>
        <w:tc>
          <w:tcPr>
            <w:tcW w:w="6836" w:type="dxa"/>
            <w:tcBorders>
              <w:top w:val="single" w:color="auto" w:sz="4" w:space="0"/>
              <w:left w:val="nil"/>
              <w:bottom w:val="single" w:color="auto" w:sz="4" w:space="0"/>
              <w:right w:val="single" w:color="auto" w:sz="4" w:space="0"/>
            </w:tcBorders>
            <w:vAlign w:val="center"/>
          </w:tcPr>
          <w:p w14:paraId="291D16F2">
            <w:pPr>
              <w:widowControl/>
              <w:spacing w:line="360" w:lineRule="auto"/>
              <w:rPr>
                <w:rFonts w:hint="eastAsia" w:ascii="仿宋" w:hAnsi="仿宋" w:eastAsia="仿宋" w:cs="仿宋"/>
                <w:color w:val="000000"/>
                <w:sz w:val="24"/>
                <w:szCs w:val="24"/>
                <w:highlight w:val="none"/>
              </w:rPr>
            </w:pPr>
          </w:p>
        </w:tc>
      </w:tr>
      <w:tr w14:paraId="1EDE8848">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E815BC1">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备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注</w:t>
            </w:r>
          </w:p>
        </w:tc>
        <w:tc>
          <w:tcPr>
            <w:tcW w:w="6836" w:type="dxa"/>
            <w:tcBorders>
              <w:top w:val="single" w:color="auto" w:sz="4" w:space="0"/>
              <w:left w:val="nil"/>
              <w:bottom w:val="single" w:color="auto" w:sz="4" w:space="0"/>
              <w:right w:val="single" w:color="auto" w:sz="4" w:space="0"/>
            </w:tcBorders>
            <w:vAlign w:val="center"/>
          </w:tcPr>
          <w:p w14:paraId="145334BE">
            <w:pPr>
              <w:widowControl/>
              <w:spacing w:line="360" w:lineRule="auto"/>
              <w:rPr>
                <w:rFonts w:hint="eastAsia" w:ascii="仿宋" w:hAnsi="仿宋" w:eastAsia="仿宋" w:cs="仿宋"/>
                <w:color w:val="000000"/>
                <w:sz w:val="24"/>
                <w:szCs w:val="24"/>
                <w:highlight w:val="none"/>
              </w:rPr>
            </w:pPr>
          </w:p>
        </w:tc>
      </w:tr>
    </w:tbl>
    <w:p w14:paraId="34EB8D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szCs w:val="24"/>
          <w:highlight w:val="none"/>
        </w:rPr>
      </w:pPr>
    </w:p>
    <w:p w14:paraId="2F43B3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1、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0A85B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2、“开标一览表”为多页的，每页均需由法定代表人盖章并盖投标人印章。 </w:t>
      </w:r>
    </w:p>
    <w:p w14:paraId="3D76A7E6">
      <w:pPr>
        <w:spacing w:line="44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14:paraId="666B336C">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16BCDEA7">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4CAD13F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（盖章）                       </w:t>
      </w:r>
    </w:p>
    <w:p w14:paraId="39761259">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日期：年 月 日</w:t>
      </w:r>
    </w:p>
    <w:p w14:paraId="71B712A7">
      <w:pPr>
        <w:pStyle w:val="40"/>
        <w:ind w:firstLine="210"/>
        <w:rPr>
          <w:rFonts w:hint="eastAsia" w:ascii="仿宋" w:hAnsi="仿宋" w:eastAsia="仿宋" w:cs="仿宋"/>
          <w:highlight w:val="none"/>
          <w:shd w:val="clear" w:color="auto" w:fill="FFFFFF" w:themeFill="background1"/>
        </w:rPr>
      </w:pPr>
    </w:p>
    <w:p w14:paraId="168EE4C1">
      <w:pPr>
        <w:widowControl/>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505592CE">
      <w:pPr>
        <w:numPr>
          <w:ilvl w:val="0"/>
          <w:numId w:val="0"/>
        </w:num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32" w:name="_Toc11784"/>
      <w:r>
        <w:rPr>
          <w:rFonts w:hint="eastAsia" w:ascii="仿宋" w:hAnsi="仿宋" w:eastAsia="仿宋" w:cs="仿宋"/>
          <w:b/>
          <w:kern w:val="2"/>
          <w:sz w:val="24"/>
          <w:szCs w:val="24"/>
          <w:highlight w:val="none"/>
          <w:shd w:val="clear" w:fill="FFFFFF" w:themeFill="background1"/>
          <w:lang w:val="en-US" w:eastAsia="zh-CN" w:bidi="ar-SA"/>
        </w:rPr>
        <w:t>三、</w:t>
      </w:r>
      <w:r>
        <w:rPr>
          <w:rFonts w:hint="eastAsia" w:ascii="仿宋" w:hAnsi="仿宋" w:eastAsia="仿宋" w:cs="仿宋"/>
          <w:b/>
          <w:sz w:val="24"/>
          <w:szCs w:val="24"/>
          <w:highlight w:val="none"/>
          <w:shd w:val="clear" w:color="auto" w:fill="FFFFFF" w:themeFill="background1"/>
        </w:rPr>
        <w:t>投标价格明细表</w:t>
      </w:r>
      <w:bookmarkEnd w:id="327"/>
      <w:bookmarkEnd w:id="332"/>
    </w:p>
    <w:p w14:paraId="0409B307">
      <w:pPr>
        <w:keepNext w:val="0"/>
        <w:keepLines w:val="0"/>
        <w:pageBreakBefore w:val="0"/>
        <w:numPr>
          <w:ilvl w:val="0"/>
          <w:numId w:val="0"/>
        </w:numPr>
        <w:tabs>
          <w:tab w:val="center" w:pos="4832"/>
          <w:tab w:val="left" w:pos="7140"/>
        </w:tabs>
        <w:kinsoku/>
        <w:wordWrap/>
        <w:overflowPunct/>
        <w:topLinePunct w:val="0"/>
        <w:autoSpaceDE/>
        <w:autoSpaceDN/>
        <w:bidi w:val="0"/>
        <w:adjustRightInd/>
        <w:snapToGrid/>
        <w:spacing w:line="360" w:lineRule="auto"/>
        <w:jc w:val="both"/>
        <w:outlineLvl w:val="9"/>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Cs/>
          <w:sz w:val="24"/>
          <w:szCs w:val="24"/>
          <w:highlight w:val="none"/>
          <w:lang w:val="en-US" w:eastAsia="zh-CN"/>
        </w:rPr>
        <w:t>项目名称：</w:t>
      </w:r>
    </w:p>
    <w:tbl>
      <w:tblPr>
        <w:tblStyle w:val="4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1"/>
        <w:gridCol w:w="4017"/>
        <w:gridCol w:w="2008"/>
        <w:gridCol w:w="1531"/>
        <w:gridCol w:w="793"/>
        <w:gridCol w:w="9"/>
      </w:tblGrid>
      <w:tr w14:paraId="50EED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6" w:type="pct"/>
            <w:vAlign w:val="center"/>
          </w:tcPr>
          <w:p w14:paraId="092B68B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2164" w:type="pct"/>
            <w:tcBorders>
              <w:right w:val="single" w:color="auto" w:sz="4" w:space="0"/>
            </w:tcBorders>
            <w:vAlign w:val="center"/>
          </w:tcPr>
          <w:p w14:paraId="7830417A">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服务名称</w:t>
            </w:r>
          </w:p>
        </w:tc>
        <w:tc>
          <w:tcPr>
            <w:tcW w:w="1080" w:type="pct"/>
            <w:tcBorders>
              <w:left w:val="single" w:color="auto" w:sz="4" w:space="0"/>
              <w:right w:val="single" w:color="auto" w:sz="4" w:space="0"/>
            </w:tcBorders>
            <w:vAlign w:val="center"/>
          </w:tcPr>
          <w:p w14:paraId="45602C8A">
            <w:pPr>
              <w:keepNext w:val="0"/>
              <w:keepLines w:val="0"/>
              <w:pageBreakBefore w:val="0"/>
              <w:kinsoku/>
              <w:wordWrap/>
              <w:overflowPunct/>
              <w:topLinePunct w:val="0"/>
              <w:autoSpaceDE/>
              <w:autoSpaceDN/>
              <w:bidi w:val="0"/>
              <w:adjustRightInd/>
              <w:snapToGrid/>
              <w:spacing w:line="240" w:lineRule="auto"/>
              <w:jc w:val="center"/>
              <w:outlineLvl w:val="9"/>
              <w:rPr>
                <w:rFonts w:hint="default" w:ascii="仿宋" w:hAnsi="仿宋" w:eastAsia="仿宋" w:cs="仿宋"/>
                <w:kern w:val="0"/>
                <w:sz w:val="24"/>
                <w:szCs w:val="24"/>
                <w:highlight w:val="none"/>
                <w:lang w:val="en-US" w:eastAsia="zh-CN"/>
              </w:rPr>
            </w:pPr>
            <w:r>
              <w:rPr>
                <w:rFonts w:hint="eastAsia" w:ascii="仿宋" w:hAnsi="仿宋" w:eastAsia="仿宋" w:cs="仿宋"/>
                <w:bCs/>
                <w:sz w:val="24"/>
                <w:szCs w:val="24"/>
                <w:highlight w:val="none"/>
                <w:lang w:val="en-US" w:eastAsia="zh-CN"/>
              </w:rPr>
              <w:t>费用组成</w:t>
            </w:r>
          </w:p>
        </w:tc>
        <w:tc>
          <w:tcPr>
            <w:tcW w:w="825" w:type="pct"/>
            <w:tcBorders>
              <w:left w:val="single" w:color="auto" w:sz="4" w:space="0"/>
            </w:tcBorders>
            <w:vAlign w:val="center"/>
          </w:tcPr>
          <w:p w14:paraId="49052CAE">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报价</w:t>
            </w:r>
            <w:r>
              <w:rPr>
                <w:rFonts w:hint="eastAsia" w:ascii="仿宋" w:hAnsi="仿宋" w:eastAsia="仿宋" w:cs="仿宋"/>
                <w:bCs/>
                <w:sz w:val="24"/>
                <w:szCs w:val="24"/>
                <w:highlight w:val="none"/>
              </w:rPr>
              <w:t>（元）</w:t>
            </w:r>
          </w:p>
        </w:tc>
        <w:tc>
          <w:tcPr>
            <w:tcW w:w="432" w:type="pct"/>
            <w:gridSpan w:val="2"/>
            <w:vAlign w:val="center"/>
          </w:tcPr>
          <w:p w14:paraId="2492EB4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r>
      <w:tr w14:paraId="56335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6" w:type="pct"/>
            <w:vAlign w:val="center"/>
          </w:tcPr>
          <w:p w14:paraId="57A4D96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lang w:val="en-US" w:eastAsia="zh-CN"/>
              </w:rPr>
            </w:pPr>
          </w:p>
        </w:tc>
        <w:tc>
          <w:tcPr>
            <w:tcW w:w="2164" w:type="pct"/>
            <w:tcBorders>
              <w:right w:val="single" w:color="auto" w:sz="4" w:space="0"/>
            </w:tcBorders>
            <w:vAlign w:val="center"/>
          </w:tcPr>
          <w:p w14:paraId="57E8A066">
            <w:pPr>
              <w:keepNext w:val="0"/>
              <w:keepLines w:val="0"/>
              <w:pageBreakBefore w:val="0"/>
              <w:kinsoku/>
              <w:wordWrap/>
              <w:overflowPunct/>
              <w:topLinePunct w:val="0"/>
              <w:autoSpaceDE/>
              <w:autoSpaceDN/>
              <w:bidi w:val="0"/>
              <w:adjustRightInd/>
              <w:snapToGrid/>
              <w:spacing w:line="240" w:lineRule="auto"/>
              <w:jc w:val="left"/>
              <w:outlineLvl w:val="9"/>
              <w:rPr>
                <w:rFonts w:hint="eastAsia" w:ascii="仿宋" w:hAnsi="仿宋" w:eastAsia="仿宋" w:cs="仿宋"/>
                <w:bCs/>
                <w:sz w:val="24"/>
                <w:szCs w:val="24"/>
                <w:highlight w:val="none"/>
                <w:lang w:val="en-US" w:eastAsia="zh-CN"/>
              </w:rPr>
            </w:pPr>
          </w:p>
        </w:tc>
        <w:tc>
          <w:tcPr>
            <w:tcW w:w="1080" w:type="pct"/>
            <w:tcBorders>
              <w:left w:val="single" w:color="auto" w:sz="4" w:space="0"/>
              <w:right w:val="single" w:color="auto" w:sz="4" w:space="0"/>
            </w:tcBorders>
            <w:vAlign w:val="center"/>
          </w:tcPr>
          <w:p w14:paraId="68D782A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7496AEA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kern w:val="0"/>
                <w:sz w:val="24"/>
                <w:szCs w:val="24"/>
                <w:highlight w:val="none"/>
              </w:rPr>
            </w:pPr>
          </w:p>
        </w:tc>
        <w:tc>
          <w:tcPr>
            <w:tcW w:w="432" w:type="pct"/>
            <w:gridSpan w:val="2"/>
            <w:vAlign w:val="center"/>
          </w:tcPr>
          <w:p w14:paraId="520D0C59">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rPr>
            </w:pPr>
          </w:p>
        </w:tc>
      </w:tr>
      <w:tr w14:paraId="0D8D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6" w:type="pct"/>
            <w:vAlign w:val="center"/>
          </w:tcPr>
          <w:p w14:paraId="02F4C8B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lang w:val="en-US" w:eastAsia="zh-CN"/>
              </w:rPr>
            </w:pPr>
          </w:p>
        </w:tc>
        <w:tc>
          <w:tcPr>
            <w:tcW w:w="2164" w:type="pct"/>
            <w:tcBorders>
              <w:right w:val="single" w:color="auto" w:sz="4" w:space="0"/>
            </w:tcBorders>
            <w:vAlign w:val="center"/>
          </w:tcPr>
          <w:p w14:paraId="3CB6C221">
            <w:pPr>
              <w:keepNext w:val="0"/>
              <w:keepLines w:val="0"/>
              <w:pageBreakBefore w:val="0"/>
              <w:kinsoku/>
              <w:wordWrap/>
              <w:overflowPunct/>
              <w:topLinePunct w:val="0"/>
              <w:autoSpaceDE/>
              <w:autoSpaceDN/>
              <w:bidi w:val="0"/>
              <w:adjustRightInd/>
              <w:snapToGrid/>
              <w:spacing w:line="240" w:lineRule="auto"/>
              <w:jc w:val="left"/>
              <w:outlineLvl w:val="9"/>
              <w:rPr>
                <w:rFonts w:hint="eastAsia" w:ascii="仿宋" w:hAnsi="仿宋" w:eastAsia="仿宋" w:cs="仿宋"/>
                <w:bCs/>
                <w:sz w:val="24"/>
                <w:szCs w:val="24"/>
                <w:highlight w:val="none"/>
                <w:lang w:val="en-US" w:eastAsia="zh-CN"/>
              </w:rPr>
            </w:pPr>
          </w:p>
        </w:tc>
        <w:tc>
          <w:tcPr>
            <w:tcW w:w="1080" w:type="pct"/>
            <w:tcBorders>
              <w:left w:val="single" w:color="auto" w:sz="4" w:space="0"/>
              <w:right w:val="single" w:color="auto" w:sz="4" w:space="0"/>
            </w:tcBorders>
            <w:vAlign w:val="center"/>
          </w:tcPr>
          <w:p w14:paraId="3CC3936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39C3A0A1">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kern w:val="0"/>
                <w:sz w:val="24"/>
                <w:szCs w:val="24"/>
                <w:highlight w:val="none"/>
              </w:rPr>
            </w:pPr>
          </w:p>
        </w:tc>
        <w:tc>
          <w:tcPr>
            <w:tcW w:w="432" w:type="pct"/>
            <w:gridSpan w:val="2"/>
            <w:vAlign w:val="center"/>
          </w:tcPr>
          <w:p w14:paraId="27B4F442">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rPr>
            </w:pPr>
          </w:p>
        </w:tc>
      </w:tr>
      <w:tr w14:paraId="3723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6" w:type="pct"/>
            <w:vAlign w:val="center"/>
          </w:tcPr>
          <w:p w14:paraId="3FB9319F">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lang w:val="en-US" w:eastAsia="zh-CN"/>
              </w:rPr>
            </w:pPr>
          </w:p>
        </w:tc>
        <w:tc>
          <w:tcPr>
            <w:tcW w:w="2164" w:type="pct"/>
            <w:tcBorders>
              <w:right w:val="single" w:color="auto" w:sz="4" w:space="0"/>
            </w:tcBorders>
            <w:vAlign w:val="center"/>
          </w:tcPr>
          <w:p w14:paraId="12CD1FD3">
            <w:pPr>
              <w:keepNext w:val="0"/>
              <w:keepLines w:val="0"/>
              <w:pageBreakBefore w:val="0"/>
              <w:kinsoku/>
              <w:wordWrap/>
              <w:overflowPunct/>
              <w:topLinePunct w:val="0"/>
              <w:autoSpaceDE/>
              <w:autoSpaceDN/>
              <w:bidi w:val="0"/>
              <w:adjustRightInd/>
              <w:snapToGrid/>
              <w:spacing w:line="240" w:lineRule="auto"/>
              <w:jc w:val="left"/>
              <w:outlineLvl w:val="9"/>
              <w:rPr>
                <w:rFonts w:hint="eastAsia" w:ascii="仿宋" w:hAnsi="仿宋" w:eastAsia="仿宋" w:cs="仿宋"/>
                <w:bCs/>
                <w:sz w:val="24"/>
                <w:szCs w:val="24"/>
                <w:highlight w:val="none"/>
                <w:lang w:val="en-US" w:eastAsia="zh-CN"/>
              </w:rPr>
            </w:pPr>
          </w:p>
        </w:tc>
        <w:tc>
          <w:tcPr>
            <w:tcW w:w="1080" w:type="pct"/>
            <w:tcBorders>
              <w:left w:val="single" w:color="auto" w:sz="4" w:space="0"/>
              <w:right w:val="single" w:color="auto" w:sz="4" w:space="0"/>
            </w:tcBorders>
            <w:vAlign w:val="center"/>
          </w:tcPr>
          <w:p w14:paraId="3DD7ABD3">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3D13582E">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kern w:val="0"/>
                <w:sz w:val="24"/>
                <w:szCs w:val="24"/>
                <w:highlight w:val="none"/>
              </w:rPr>
            </w:pPr>
          </w:p>
        </w:tc>
        <w:tc>
          <w:tcPr>
            <w:tcW w:w="432" w:type="pct"/>
            <w:gridSpan w:val="2"/>
            <w:vAlign w:val="center"/>
          </w:tcPr>
          <w:p w14:paraId="46C56B4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rPr>
            </w:pPr>
          </w:p>
        </w:tc>
      </w:tr>
      <w:tr w14:paraId="41E8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6" w:type="pct"/>
            <w:vAlign w:val="center"/>
          </w:tcPr>
          <w:p w14:paraId="52949CDA">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lang w:val="en-US" w:eastAsia="zh-CN"/>
              </w:rPr>
            </w:pPr>
          </w:p>
        </w:tc>
        <w:tc>
          <w:tcPr>
            <w:tcW w:w="2164" w:type="pct"/>
            <w:tcBorders>
              <w:right w:val="single" w:color="auto" w:sz="4" w:space="0"/>
            </w:tcBorders>
            <w:vAlign w:val="center"/>
          </w:tcPr>
          <w:p w14:paraId="07F0AC40">
            <w:pPr>
              <w:keepNext w:val="0"/>
              <w:keepLines w:val="0"/>
              <w:pageBreakBefore w:val="0"/>
              <w:kinsoku/>
              <w:wordWrap/>
              <w:overflowPunct/>
              <w:topLinePunct w:val="0"/>
              <w:autoSpaceDE/>
              <w:autoSpaceDN/>
              <w:bidi w:val="0"/>
              <w:adjustRightInd/>
              <w:snapToGrid/>
              <w:spacing w:line="240" w:lineRule="auto"/>
              <w:jc w:val="left"/>
              <w:outlineLvl w:val="9"/>
              <w:rPr>
                <w:rFonts w:hint="eastAsia" w:ascii="仿宋" w:hAnsi="仿宋" w:eastAsia="仿宋" w:cs="仿宋"/>
                <w:bCs/>
                <w:sz w:val="24"/>
                <w:szCs w:val="24"/>
                <w:highlight w:val="none"/>
                <w:lang w:val="en-US" w:eastAsia="zh-CN"/>
              </w:rPr>
            </w:pPr>
          </w:p>
        </w:tc>
        <w:tc>
          <w:tcPr>
            <w:tcW w:w="1080" w:type="pct"/>
            <w:tcBorders>
              <w:left w:val="single" w:color="auto" w:sz="4" w:space="0"/>
            </w:tcBorders>
            <w:vAlign w:val="center"/>
          </w:tcPr>
          <w:p w14:paraId="4F90E796">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rPr>
            </w:pPr>
          </w:p>
        </w:tc>
        <w:tc>
          <w:tcPr>
            <w:tcW w:w="825" w:type="pct"/>
            <w:tcBorders>
              <w:left w:val="single" w:color="auto" w:sz="4" w:space="0"/>
            </w:tcBorders>
            <w:vAlign w:val="center"/>
          </w:tcPr>
          <w:p w14:paraId="6CF5A4C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kern w:val="0"/>
                <w:sz w:val="24"/>
                <w:szCs w:val="24"/>
                <w:highlight w:val="none"/>
              </w:rPr>
            </w:pPr>
          </w:p>
        </w:tc>
        <w:tc>
          <w:tcPr>
            <w:tcW w:w="432" w:type="pct"/>
            <w:gridSpan w:val="2"/>
            <w:vAlign w:val="center"/>
          </w:tcPr>
          <w:p w14:paraId="1BA6D5BF">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rPr>
            </w:pPr>
          </w:p>
        </w:tc>
      </w:tr>
      <w:tr w14:paraId="55D2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 w:type="pct"/>
          <w:trHeight w:val="567" w:hRule="atLeast"/>
          <w:jc w:val="center"/>
        </w:trPr>
        <w:tc>
          <w:tcPr>
            <w:tcW w:w="3742" w:type="pct"/>
            <w:gridSpan w:val="3"/>
            <w:tcBorders>
              <w:top w:val="single" w:color="auto" w:sz="4" w:space="0"/>
              <w:right w:val="single" w:color="auto" w:sz="4" w:space="0"/>
            </w:tcBorders>
            <w:vAlign w:val="center"/>
          </w:tcPr>
          <w:p w14:paraId="0B63C89C">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rPr>
            </w:pPr>
            <w:r>
              <w:rPr>
                <w:rFonts w:hint="eastAsia" w:ascii="仿宋" w:hAnsi="仿宋" w:eastAsia="仿宋" w:cs="仿宋"/>
                <w:kern w:val="0"/>
                <w:sz w:val="24"/>
                <w:szCs w:val="24"/>
                <w:highlight w:val="none"/>
              </w:rPr>
              <w:t>合计</w:t>
            </w:r>
            <w:r>
              <w:rPr>
                <w:rFonts w:hint="eastAsia" w:ascii="仿宋" w:hAnsi="仿宋" w:eastAsia="仿宋" w:cs="仿宋"/>
                <w:bCs/>
                <w:sz w:val="24"/>
                <w:szCs w:val="24"/>
                <w:highlight w:val="none"/>
              </w:rPr>
              <w:t>（元）</w:t>
            </w:r>
          </w:p>
        </w:tc>
        <w:tc>
          <w:tcPr>
            <w:tcW w:w="825" w:type="pct"/>
            <w:tcBorders>
              <w:left w:val="single" w:color="auto" w:sz="4" w:space="0"/>
            </w:tcBorders>
            <w:vAlign w:val="center"/>
          </w:tcPr>
          <w:p w14:paraId="6D4ED9E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rPr>
            </w:pPr>
          </w:p>
        </w:tc>
        <w:tc>
          <w:tcPr>
            <w:tcW w:w="427" w:type="pct"/>
            <w:vAlign w:val="center"/>
          </w:tcPr>
          <w:p w14:paraId="1ED1170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 w:hAnsi="仿宋" w:eastAsia="仿宋" w:cs="仿宋"/>
                <w:bCs/>
                <w:sz w:val="24"/>
                <w:szCs w:val="24"/>
                <w:highlight w:val="none"/>
              </w:rPr>
            </w:pPr>
          </w:p>
        </w:tc>
      </w:tr>
    </w:tbl>
    <w:p w14:paraId="573CBBCA">
      <w:pPr>
        <w:keepNext w:val="0"/>
        <w:keepLines w:val="0"/>
        <w:pageBreakBefore w:val="0"/>
        <w:numPr>
          <w:ilvl w:val="0"/>
          <w:numId w:val="0"/>
        </w:numPr>
        <w:tabs>
          <w:tab w:val="center" w:pos="4832"/>
          <w:tab w:val="left" w:pos="7140"/>
        </w:tabs>
        <w:kinsoku/>
        <w:wordWrap/>
        <w:overflowPunct/>
        <w:topLinePunct w:val="0"/>
        <w:autoSpaceDE/>
        <w:autoSpaceDN/>
        <w:bidi w:val="0"/>
        <w:adjustRightInd/>
        <w:snapToGrid/>
        <w:spacing w:line="360" w:lineRule="auto"/>
        <w:jc w:val="left"/>
        <w:outlineLvl w:val="9"/>
        <w:rPr>
          <w:rFonts w:hint="eastAsia" w:ascii="仿宋" w:hAnsi="仿宋" w:eastAsia="仿宋" w:cs="仿宋"/>
          <w:b/>
          <w:sz w:val="24"/>
          <w:szCs w:val="24"/>
          <w:highlight w:val="none"/>
          <w:shd w:val="clear" w:color="auto" w:fill="FFFFFF" w:themeFill="background1"/>
        </w:rPr>
      </w:pPr>
    </w:p>
    <w:p w14:paraId="6A390B07">
      <w:pPr>
        <w:keepNext w:val="0"/>
        <w:keepLines w:val="0"/>
        <w:pageBreakBefore w:val="0"/>
        <w:kinsoku/>
        <w:wordWrap/>
        <w:overflowPunct/>
        <w:topLinePunct w:val="0"/>
        <w:autoSpaceDE/>
        <w:autoSpaceDN/>
        <w:bidi w:val="0"/>
        <w:adjustRightInd/>
        <w:snapToGrid/>
        <w:spacing w:line="360" w:lineRule="auto"/>
        <w:outlineLvl w:val="9"/>
        <w:rPr>
          <w:rFonts w:hint="eastAsia" w:ascii="仿宋" w:hAnsi="仿宋" w:eastAsia="仿宋" w:cs="仿宋"/>
          <w:sz w:val="24"/>
          <w:szCs w:val="24"/>
          <w:highlight w:val="none"/>
          <w:shd w:val="clear" w:color="auto" w:fill="FFFFFF" w:themeFill="background1"/>
        </w:rPr>
      </w:pPr>
    </w:p>
    <w:p w14:paraId="220B9A67">
      <w:pPr>
        <w:keepNext w:val="0"/>
        <w:keepLines w:val="0"/>
        <w:pageBreakBefore w:val="0"/>
        <w:kinsoku/>
        <w:wordWrap/>
        <w:overflowPunct/>
        <w:topLinePunct w:val="0"/>
        <w:autoSpaceDE/>
        <w:autoSpaceDN/>
        <w:bidi w:val="0"/>
        <w:adjustRightInd/>
        <w:snapToGrid/>
        <w:spacing w:line="360" w:lineRule="auto"/>
        <w:outlineLvl w:val="9"/>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w:t>
      </w:r>
    </w:p>
    <w:p w14:paraId="0A5B2F8C">
      <w:pPr>
        <w:keepNext w:val="0"/>
        <w:keepLines w:val="0"/>
        <w:pageBreakBefore w:val="0"/>
        <w:kinsoku/>
        <w:wordWrap/>
        <w:overflowPunct/>
        <w:topLinePunct w:val="0"/>
        <w:autoSpaceDE/>
        <w:autoSpaceDN/>
        <w:bidi w:val="0"/>
        <w:adjustRightInd/>
        <w:snapToGrid/>
        <w:spacing w:line="360" w:lineRule="auto"/>
        <w:outlineLvl w:val="9"/>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1、投标人填报投标价格合计应与投标函载明</w:t>
      </w:r>
      <w:bookmarkStart w:id="418" w:name="_GoBack"/>
      <w:bookmarkEnd w:id="418"/>
      <w:r>
        <w:rPr>
          <w:rFonts w:hint="eastAsia" w:ascii="仿宋" w:hAnsi="仿宋" w:eastAsia="仿宋" w:cs="仿宋"/>
          <w:sz w:val="24"/>
          <w:szCs w:val="24"/>
          <w:highlight w:val="none"/>
          <w:shd w:val="clear" w:color="auto" w:fill="FFFFFF" w:themeFill="background1"/>
        </w:rPr>
        <w:t>价格一致，若不一致，应按照第二章评审办法修正原则进行修正。</w:t>
      </w:r>
    </w:p>
    <w:p w14:paraId="3B4D5718">
      <w:pPr>
        <w:keepNext w:val="0"/>
        <w:keepLines w:val="0"/>
        <w:pageBreakBefore w:val="0"/>
        <w:kinsoku/>
        <w:wordWrap/>
        <w:overflowPunct/>
        <w:topLinePunct w:val="0"/>
        <w:autoSpaceDE/>
        <w:autoSpaceDN/>
        <w:bidi w:val="0"/>
        <w:adjustRightInd/>
        <w:snapToGrid/>
        <w:spacing w:line="360" w:lineRule="auto"/>
        <w:outlineLvl w:val="9"/>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2、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512494CD">
      <w:pPr>
        <w:keepNext w:val="0"/>
        <w:keepLines w:val="0"/>
        <w:pageBreakBefore w:val="0"/>
        <w:kinsoku/>
        <w:wordWrap/>
        <w:overflowPunct/>
        <w:topLinePunct w:val="0"/>
        <w:autoSpaceDE/>
        <w:autoSpaceDN/>
        <w:bidi w:val="0"/>
        <w:adjustRightInd/>
        <w:snapToGrid/>
        <w:spacing w:line="360" w:lineRule="auto"/>
        <w:jc w:val="left"/>
        <w:outlineLvl w:val="9"/>
        <w:rPr>
          <w:rFonts w:hint="eastAsia" w:ascii="仿宋" w:hAnsi="仿宋" w:eastAsia="仿宋" w:cs="仿宋"/>
          <w:sz w:val="22"/>
          <w:szCs w:val="22"/>
          <w:highlight w:val="none"/>
          <w:shd w:val="clear" w:color="auto" w:fill="FFFFFF" w:themeFill="background1"/>
        </w:rPr>
      </w:pPr>
    </w:p>
    <w:p w14:paraId="2426E921">
      <w:pPr>
        <w:spacing w:line="360" w:lineRule="auto"/>
        <w:jc w:val="left"/>
        <w:rPr>
          <w:rFonts w:hint="eastAsia" w:ascii="仿宋" w:hAnsi="仿宋" w:eastAsia="仿宋" w:cs="仿宋"/>
          <w:sz w:val="24"/>
          <w:szCs w:val="24"/>
          <w:highlight w:val="none"/>
          <w:shd w:val="clear" w:color="auto" w:fill="FFFFFF" w:themeFill="background1"/>
        </w:rPr>
      </w:pPr>
    </w:p>
    <w:p w14:paraId="048A84B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4919E201">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45488C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55E93718">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31B76A8D">
      <w:pPr>
        <w:widowControl/>
        <w:spacing w:line="360" w:lineRule="auto"/>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p>
    <w:p w14:paraId="5A96D184">
      <w:pPr>
        <w:tabs>
          <w:tab w:val="center" w:pos="4832"/>
          <w:tab w:val="left" w:pos="7140"/>
        </w:tabs>
        <w:spacing w:line="360" w:lineRule="auto"/>
        <w:jc w:val="center"/>
        <w:outlineLvl w:val="1"/>
        <w:rPr>
          <w:rFonts w:hint="eastAsia" w:ascii="仿宋" w:hAnsi="仿宋" w:eastAsia="仿宋" w:cs="仿宋"/>
          <w:kern w:val="0"/>
          <w:sz w:val="24"/>
          <w:szCs w:val="24"/>
          <w:highlight w:val="none"/>
          <w:shd w:val="clear" w:color="auto" w:fill="FFFFFF" w:themeFill="background1"/>
        </w:rPr>
      </w:pPr>
      <w:bookmarkStart w:id="333" w:name="_Toc10230"/>
      <w:bookmarkStart w:id="334" w:name="_Toc5136"/>
      <w:r>
        <w:rPr>
          <w:rFonts w:hint="eastAsia" w:ascii="仿宋" w:hAnsi="仿宋" w:eastAsia="仿宋" w:cs="仿宋"/>
          <w:b/>
          <w:sz w:val="24"/>
          <w:szCs w:val="24"/>
          <w:highlight w:val="none"/>
          <w:shd w:val="clear" w:color="auto" w:fill="FFFFFF" w:themeFill="background1"/>
        </w:rPr>
        <w:t>四、商务条款偏离表</w:t>
      </w:r>
      <w:bookmarkEnd w:id="328"/>
      <w:bookmarkEnd w:id="329"/>
      <w:bookmarkEnd w:id="330"/>
      <w:bookmarkEnd w:id="333"/>
      <w:bookmarkEnd w:id="334"/>
    </w:p>
    <w:tbl>
      <w:tblPr>
        <w:tblStyle w:val="42"/>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699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3AFDCBF">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序号</w:t>
            </w:r>
          </w:p>
        </w:tc>
        <w:tc>
          <w:tcPr>
            <w:tcW w:w="1814" w:type="dxa"/>
            <w:vAlign w:val="center"/>
          </w:tcPr>
          <w:p w14:paraId="38F65EE7">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招标文件条目号</w:t>
            </w:r>
          </w:p>
        </w:tc>
        <w:tc>
          <w:tcPr>
            <w:tcW w:w="2083" w:type="dxa"/>
            <w:vAlign w:val="center"/>
          </w:tcPr>
          <w:p w14:paraId="4A636E99">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招标文件商务条款</w:t>
            </w:r>
          </w:p>
        </w:tc>
        <w:tc>
          <w:tcPr>
            <w:tcW w:w="2182" w:type="dxa"/>
            <w:vAlign w:val="center"/>
          </w:tcPr>
          <w:p w14:paraId="5AC49377">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投标文件商务条款</w:t>
            </w:r>
          </w:p>
        </w:tc>
        <w:tc>
          <w:tcPr>
            <w:tcW w:w="1155" w:type="dxa"/>
            <w:vAlign w:val="center"/>
          </w:tcPr>
          <w:p w14:paraId="41534602">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偏离</w:t>
            </w:r>
          </w:p>
        </w:tc>
        <w:tc>
          <w:tcPr>
            <w:tcW w:w="1219" w:type="dxa"/>
            <w:vAlign w:val="center"/>
          </w:tcPr>
          <w:p w14:paraId="210C4EF9">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说明</w:t>
            </w:r>
          </w:p>
        </w:tc>
      </w:tr>
      <w:tr w14:paraId="66EB5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532C975">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45E763C5">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70D6FADC">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3A77C0F3">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5D52CF0C">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61DD0107">
            <w:pPr>
              <w:spacing w:line="360" w:lineRule="auto"/>
              <w:jc w:val="center"/>
              <w:rPr>
                <w:rFonts w:hint="eastAsia" w:ascii="仿宋" w:hAnsi="仿宋" w:eastAsia="仿宋" w:cs="仿宋"/>
                <w:b/>
                <w:bCs/>
                <w:szCs w:val="21"/>
                <w:highlight w:val="none"/>
                <w:shd w:val="clear" w:color="auto" w:fill="FFFFFF" w:themeFill="background1"/>
              </w:rPr>
            </w:pPr>
          </w:p>
        </w:tc>
      </w:tr>
      <w:tr w14:paraId="21967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F86F99F">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024720A7">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12F7B4DB">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4B8CE8E0">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4D02A6B7">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5F64A24A">
            <w:pPr>
              <w:spacing w:line="360" w:lineRule="auto"/>
              <w:jc w:val="center"/>
              <w:rPr>
                <w:rFonts w:hint="eastAsia" w:ascii="仿宋" w:hAnsi="仿宋" w:eastAsia="仿宋" w:cs="仿宋"/>
                <w:b/>
                <w:bCs/>
                <w:szCs w:val="21"/>
                <w:highlight w:val="none"/>
                <w:shd w:val="clear" w:color="auto" w:fill="FFFFFF" w:themeFill="background1"/>
              </w:rPr>
            </w:pPr>
          </w:p>
        </w:tc>
      </w:tr>
      <w:tr w14:paraId="36223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E7E1BC1">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1CF19FCC">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40D913C4">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50B8B8D0">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51A63848">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1979093A">
            <w:pPr>
              <w:spacing w:line="360" w:lineRule="auto"/>
              <w:jc w:val="center"/>
              <w:rPr>
                <w:rFonts w:hint="eastAsia" w:ascii="仿宋" w:hAnsi="仿宋" w:eastAsia="仿宋" w:cs="仿宋"/>
                <w:b/>
                <w:bCs/>
                <w:szCs w:val="21"/>
                <w:highlight w:val="none"/>
                <w:shd w:val="clear" w:color="auto" w:fill="FFFFFF" w:themeFill="background1"/>
              </w:rPr>
            </w:pPr>
          </w:p>
        </w:tc>
      </w:tr>
      <w:tr w14:paraId="283E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028F70F">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2FC71924">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6FB17F3B">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18512335">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6FF00B82">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5BD19121">
            <w:pPr>
              <w:spacing w:line="360" w:lineRule="auto"/>
              <w:jc w:val="center"/>
              <w:rPr>
                <w:rFonts w:hint="eastAsia" w:ascii="仿宋" w:hAnsi="仿宋" w:eastAsia="仿宋" w:cs="仿宋"/>
                <w:b/>
                <w:bCs/>
                <w:szCs w:val="21"/>
                <w:highlight w:val="none"/>
                <w:shd w:val="clear" w:color="auto" w:fill="FFFFFF" w:themeFill="background1"/>
              </w:rPr>
            </w:pPr>
          </w:p>
        </w:tc>
      </w:tr>
      <w:tr w14:paraId="1826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1040A13">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0E0552F7">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1B706A6F">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3DD1848F">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7CF74658">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372E905C">
            <w:pPr>
              <w:spacing w:line="360" w:lineRule="auto"/>
              <w:jc w:val="center"/>
              <w:rPr>
                <w:rFonts w:hint="eastAsia" w:ascii="仿宋" w:hAnsi="仿宋" w:eastAsia="仿宋" w:cs="仿宋"/>
                <w:b/>
                <w:bCs/>
                <w:szCs w:val="21"/>
                <w:highlight w:val="none"/>
                <w:shd w:val="clear" w:color="auto" w:fill="FFFFFF" w:themeFill="background1"/>
              </w:rPr>
            </w:pPr>
          </w:p>
        </w:tc>
      </w:tr>
    </w:tbl>
    <w:p w14:paraId="220AD476">
      <w:pPr>
        <w:spacing w:line="360" w:lineRule="auto"/>
        <w:ind w:firstLine="420" w:firstLineChars="20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备注：投标人对招标文件商务条款有偏离的，应在此表中列明实际响应的内容并加以说明，以便查对。请在此偏离表“偏离”中填写无偏离或正偏离或负偏离。商务条款是指投标人须知前附表中的实质性内容。</w:t>
      </w:r>
    </w:p>
    <w:p w14:paraId="609B0BD8">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5D587229">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250D247A">
      <w:pPr>
        <w:spacing w:line="360" w:lineRule="auto"/>
        <w:jc w:val="left"/>
        <w:rPr>
          <w:rFonts w:hint="eastAsia" w:ascii="仿宋" w:hAnsi="仿宋" w:eastAsia="仿宋" w:cs="仿宋"/>
          <w:sz w:val="24"/>
          <w:szCs w:val="24"/>
          <w:highlight w:val="none"/>
          <w:shd w:val="clear" w:color="auto" w:fill="FFFFFF" w:themeFill="background1"/>
        </w:rPr>
      </w:pPr>
    </w:p>
    <w:p w14:paraId="2A41CD16">
      <w:pPr>
        <w:spacing w:line="360" w:lineRule="auto"/>
        <w:jc w:val="left"/>
        <w:rPr>
          <w:rFonts w:hint="eastAsia" w:ascii="仿宋" w:hAnsi="仿宋" w:eastAsia="仿宋" w:cs="仿宋"/>
          <w:sz w:val="24"/>
          <w:szCs w:val="24"/>
          <w:highlight w:val="none"/>
          <w:shd w:val="clear" w:color="auto" w:fill="FFFFFF" w:themeFill="background1"/>
        </w:rPr>
      </w:pPr>
    </w:p>
    <w:p w14:paraId="0DC80D98">
      <w:pPr>
        <w:spacing w:line="360" w:lineRule="auto"/>
        <w:jc w:val="left"/>
        <w:rPr>
          <w:rFonts w:hint="eastAsia" w:ascii="仿宋" w:hAnsi="仿宋" w:eastAsia="仿宋" w:cs="仿宋"/>
          <w:sz w:val="24"/>
          <w:szCs w:val="24"/>
          <w:highlight w:val="none"/>
          <w:shd w:val="clear" w:color="auto" w:fill="FFFFFF" w:themeFill="background1"/>
        </w:rPr>
      </w:pPr>
    </w:p>
    <w:p w14:paraId="442510A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65ED7B5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360EFF1D">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5ADDBAF">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431BC006">
      <w:pPr>
        <w:widowControl/>
        <w:spacing w:line="360" w:lineRule="auto"/>
        <w:jc w:val="left"/>
        <w:rPr>
          <w:rFonts w:hint="eastAsia" w:ascii="仿宋" w:hAnsi="仿宋" w:eastAsia="仿宋" w:cs="仿宋"/>
          <w:b/>
          <w:bCs/>
          <w:kern w:val="36"/>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p>
    <w:p w14:paraId="4B8E192E">
      <w:pPr>
        <w:tabs>
          <w:tab w:val="center" w:pos="4832"/>
          <w:tab w:val="left" w:pos="7140"/>
        </w:tabs>
        <w:spacing w:line="360" w:lineRule="auto"/>
        <w:jc w:val="center"/>
        <w:outlineLvl w:val="1"/>
        <w:rPr>
          <w:rFonts w:hint="eastAsia" w:ascii="仿宋" w:hAnsi="仿宋" w:eastAsia="仿宋" w:cs="仿宋"/>
          <w:kern w:val="0"/>
          <w:sz w:val="24"/>
          <w:szCs w:val="24"/>
          <w:highlight w:val="none"/>
          <w:shd w:val="clear" w:color="auto" w:fill="FFFFFF" w:themeFill="background1"/>
        </w:rPr>
      </w:pPr>
      <w:bookmarkStart w:id="335" w:name="_Toc4958"/>
      <w:bookmarkStart w:id="336" w:name="_Toc1549"/>
      <w:r>
        <w:rPr>
          <w:rFonts w:hint="eastAsia" w:ascii="仿宋" w:hAnsi="仿宋" w:eastAsia="仿宋" w:cs="仿宋"/>
          <w:b/>
          <w:sz w:val="24"/>
          <w:szCs w:val="24"/>
          <w:highlight w:val="none"/>
          <w:shd w:val="clear" w:color="auto" w:fill="FFFFFF" w:themeFill="background1"/>
        </w:rPr>
        <w:t>五、技术条款偏离表</w:t>
      </w:r>
      <w:bookmarkEnd w:id="335"/>
      <w:bookmarkEnd w:id="336"/>
    </w:p>
    <w:tbl>
      <w:tblPr>
        <w:tblStyle w:val="42"/>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BFD0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35C3E44">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序号</w:t>
            </w:r>
          </w:p>
        </w:tc>
        <w:tc>
          <w:tcPr>
            <w:tcW w:w="1814" w:type="dxa"/>
            <w:vAlign w:val="center"/>
          </w:tcPr>
          <w:p w14:paraId="1076A5BC">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招标文件条目号</w:t>
            </w:r>
          </w:p>
        </w:tc>
        <w:tc>
          <w:tcPr>
            <w:tcW w:w="2083" w:type="dxa"/>
            <w:vAlign w:val="center"/>
          </w:tcPr>
          <w:p w14:paraId="75271D4B">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招标文件技术条款</w:t>
            </w:r>
          </w:p>
        </w:tc>
        <w:tc>
          <w:tcPr>
            <w:tcW w:w="2182" w:type="dxa"/>
            <w:vAlign w:val="center"/>
          </w:tcPr>
          <w:p w14:paraId="6996187C">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投标文件技术条款</w:t>
            </w:r>
          </w:p>
        </w:tc>
        <w:tc>
          <w:tcPr>
            <w:tcW w:w="1155" w:type="dxa"/>
            <w:vAlign w:val="center"/>
          </w:tcPr>
          <w:p w14:paraId="282D9436">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偏离</w:t>
            </w:r>
          </w:p>
        </w:tc>
        <w:tc>
          <w:tcPr>
            <w:tcW w:w="1219" w:type="dxa"/>
            <w:vAlign w:val="center"/>
          </w:tcPr>
          <w:p w14:paraId="449CF985">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说明</w:t>
            </w:r>
          </w:p>
        </w:tc>
      </w:tr>
      <w:tr w14:paraId="40A5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201EAA7">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363F989C">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4E1B7CA8">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5018553E">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58386107">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391BB04E">
            <w:pPr>
              <w:spacing w:line="360" w:lineRule="auto"/>
              <w:jc w:val="center"/>
              <w:rPr>
                <w:rFonts w:hint="eastAsia" w:ascii="仿宋" w:hAnsi="仿宋" w:eastAsia="仿宋" w:cs="仿宋"/>
                <w:b/>
                <w:bCs/>
                <w:szCs w:val="21"/>
                <w:highlight w:val="none"/>
                <w:shd w:val="clear" w:color="auto" w:fill="FFFFFF" w:themeFill="background1"/>
              </w:rPr>
            </w:pPr>
          </w:p>
        </w:tc>
      </w:tr>
      <w:tr w14:paraId="2BF2B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3347C0">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792B4550">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58082103">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64E76338">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30B01A28">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2F5975C8">
            <w:pPr>
              <w:spacing w:line="360" w:lineRule="auto"/>
              <w:jc w:val="center"/>
              <w:rPr>
                <w:rFonts w:hint="eastAsia" w:ascii="仿宋" w:hAnsi="仿宋" w:eastAsia="仿宋" w:cs="仿宋"/>
                <w:b/>
                <w:bCs/>
                <w:szCs w:val="21"/>
                <w:highlight w:val="none"/>
                <w:shd w:val="clear" w:color="auto" w:fill="FFFFFF" w:themeFill="background1"/>
              </w:rPr>
            </w:pPr>
          </w:p>
        </w:tc>
      </w:tr>
      <w:tr w14:paraId="27C3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186D1BC">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1055E5CD">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76F03B5E">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66887258">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68089BF5">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01DE722C">
            <w:pPr>
              <w:spacing w:line="360" w:lineRule="auto"/>
              <w:jc w:val="center"/>
              <w:rPr>
                <w:rFonts w:hint="eastAsia" w:ascii="仿宋" w:hAnsi="仿宋" w:eastAsia="仿宋" w:cs="仿宋"/>
                <w:b/>
                <w:bCs/>
                <w:szCs w:val="21"/>
                <w:highlight w:val="none"/>
                <w:shd w:val="clear" w:color="auto" w:fill="FFFFFF" w:themeFill="background1"/>
              </w:rPr>
            </w:pPr>
          </w:p>
        </w:tc>
      </w:tr>
      <w:tr w14:paraId="2A1DA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2BD62E2">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7AAFFA09">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5EE0E8A3">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042A2580">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7F52DD31">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5DB037AF">
            <w:pPr>
              <w:spacing w:line="360" w:lineRule="auto"/>
              <w:jc w:val="center"/>
              <w:rPr>
                <w:rFonts w:hint="eastAsia" w:ascii="仿宋" w:hAnsi="仿宋" w:eastAsia="仿宋" w:cs="仿宋"/>
                <w:b/>
                <w:bCs/>
                <w:szCs w:val="21"/>
                <w:highlight w:val="none"/>
                <w:shd w:val="clear" w:color="auto" w:fill="FFFFFF" w:themeFill="background1"/>
              </w:rPr>
            </w:pPr>
          </w:p>
        </w:tc>
      </w:tr>
      <w:tr w14:paraId="3562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DD3EFBB">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73C42065">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2B3D683D">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5629E59C">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3A2C2F7E">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4EA7D9C9">
            <w:pPr>
              <w:spacing w:line="360" w:lineRule="auto"/>
              <w:jc w:val="center"/>
              <w:rPr>
                <w:rFonts w:hint="eastAsia" w:ascii="仿宋" w:hAnsi="仿宋" w:eastAsia="仿宋" w:cs="仿宋"/>
                <w:b/>
                <w:bCs/>
                <w:szCs w:val="21"/>
                <w:highlight w:val="none"/>
                <w:shd w:val="clear" w:color="auto" w:fill="FFFFFF" w:themeFill="background1"/>
              </w:rPr>
            </w:pPr>
          </w:p>
        </w:tc>
      </w:tr>
    </w:tbl>
    <w:p w14:paraId="0E3AE8F3">
      <w:pPr>
        <w:spacing w:line="360" w:lineRule="auto"/>
        <w:ind w:firstLine="420" w:firstLineChars="20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备注：投标人对招标文件</w:t>
      </w:r>
      <w:r>
        <w:rPr>
          <w:rFonts w:hint="eastAsia" w:ascii="仿宋" w:hAnsi="仿宋" w:eastAsia="仿宋" w:cs="仿宋"/>
          <w:bCs/>
          <w:szCs w:val="21"/>
          <w:highlight w:val="none"/>
          <w:shd w:val="clear" w:color="auto" w:fill="FFFFFF" w:themeFill="background1"/>
        </w:rPr>
        <w:t>技术</w:t>
      </w:r>
      <w:r>
        <w:rPr>
          <w:rFonts w:hint="eastAsia" w:ascii="仿宋" w:hAnsi="仿宋" w:eastAsia="仿宋" w:cs="仿宋"/>
          <w:szCs w:val="24"/>
          <w:highlight w:val="none"/>
          <w:shd w:val="clear" w:color="auto" w:fill="FFFFFF" w:themeFill="background1"/>
        </w:rPr>
        <w:t>条款有偏离的，应在此表中列明实际响应的内容并加以说明，以便查对。请在此偏离表“偏离”中填写无偏离或正偏离或负偏离。技术条款是指服务标准和要求中的实质性内容。</w:t>
      </w:r>
    </w:p>
    <w:p w14:paraId="5E4B676E">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428A30F9">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3BD5B4B3">
      <w:pPr>
        <w:spacing w:line="360" w:lineRule="auto"/>
        <w:jc w:val="left"/>
        <w:rPr>
          <w:rFonts w:hint="eastAsia" w:ascii="仿宋" w:hAnsi="仿宋" w:eastAsia="仿宋" w:cs="仿宋"/>
          <w:sz w:val="24"/>
          <w:szCs w:val="24"/>
          <w:highlight w:val="none"/>
          <w:shd w:val="clear" w:color="auto" w:fill="FFFFFF" w:themeFill="background1"/>
        </w:rPr>
      </w:pPr>
    </w:p>
    <w:p w14:paraId="1E154531">
      <w:pPr>
        <w:spacing w:line="360" w:lineRule="auto"/>
        <w:jc w:val="left"/>
        <w:rPr>
          <w:rFonts w:hint="eastAsia" w:ascii="仿宋" w:hAnsi="仿宋" w:eastAsia="仿宋" w:cs="仿宋"/>
          <w:sz w:val="24"/>
          <w:szCs w:val="24"/>
          <w:highlight w:val="none"/>
          <w:shd w:val="clear" w:color="auto" w:fill="FFFFFF" w:themeFill="background1"/>
        </w:rPr>
      </w:pPr>
    </w:p>
    <w:p w14:paraId="067A2476">
      <w:pPr>
        <w:spacing w:line="360" w:lineRule="auto"/>
        <w:jc w:val="left"/>
        <w:rPr>
          <w:rFonts w:hint="eastAsia" w:ascii="仿宋" w:hAnsi="仿宋" w:eastAsia="仿宋" w:cs="仿宋"/>
          <w:sz w:val="24"/>
          <w:szCs w:val="24"/>
          <w:highlight w:val="none"/>
          <w:shd w:val="clear" w:color="auto" w:fill="FFFFFF" w:themeFill="background1"/>
        </w:rPr>
      </w:pPr>
    </w:p>
    <w:p w14:paraId="58552C9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0783F5FB">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07DD2A9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592807E6">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2BDB8EA7">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bookmarkStart w:id="337" w:name="_Toc30533"/>
      <w:bookmarkStart w:id="338" w:name="_Toc31121"/>
      <w:bookmarkStart w:id="339" w:name="_Toc533503185"/>
      <w:bookmarkStart w:id="340" w:name="_Toc507586170"/>
      <w:bookmarkStart w:id="341" w:name="_Toc38446475"/>
      <w:r>
        <w:rPr>
          <w:rFonts w:hint="eastAsia" w:ascii="仿宋" w:hAnsi="仿宋" w:eastAsia="仿宋" w:cs="仿宋"/>
          <w:b/>
          <w:sz w:val="24"/>
          <w:szCs w:val="24"/>
          <w:highlight w:val="none"/>
          <w:shd w:val="clear" w:color="auto" w:fill="FFFFFF" w:themeFill="background1"/>
        </w:rPr>
        <w:t>六、法定代表人身份证明书</w:t>
      </w:r>
      <w:bookmarkEnd w:id="337"/>
      <w:bookmarkEnd w:id="338"/>
      <w:bookmarkEnd w:id="339"/>
      <w:bookmarkEnd w:id="340"/>
      <w:bookmarkEnd w:id="341"/>
    </w:p>
    <w:p w14:paraId="0FBCD186">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3B8A082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 标 人：</w:t>
      </w:r>
      <w:r>
        <w:rPr>
          <w:rFonts w:hint="eastAsia" w:ascii="仿宋" w:hAnsi="仿宋" w:eastAsia="仿宋" w:cs="仿宋"/>
          <w:kern w:val="0"/>
          <w:sz w:val="24"/>
          <w:szCs w:val="24"/>
          <w:highlight w:val="none"/>
          <w:u w:val="single"/>
          <w:shd w:val="clear" w:color="auto" w:fill="FFFFFF" w:themeFill="background1"/>
        </w:rPr>
        <w:t xml:space="preserve">                              </w:t>
      </w:r>
    </w:p>
    <w:p w14:paraId="008F553E">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单位性质：</w:t>
      </w:r>
      <w:r>
        <w:rPr>
          <w:rFonts w:hint="eastAsia" w:ascii="仿宋" w:hAnsi="仿宋" w:eastAsia="仿宋" w:cs="仿宋"/>
          <w:kern w:val="0"/>
          <w:sz w:val="24"/>
          <w:szCs w:val="24"/>
          <w:highlight w:val="none"/>
          <w:u w:val="single"/>
          <w:shd w:val="clear" w:color="auto" w:fill="FFFFFF" w:themeFill="background1"/>
        </w:rPr>
        <w:t xml:space="preserve">                              </w:t>
      </w:r>
    </w:p>
    <w:p w14:paraId="24DD2347">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地    址：</w:t>
      </w:r>
      <w:r>
        <w:rPr>
          <w:rFonts w:hint="eastAsia" w:ascii="仿宋" w:hAnsi="仿宋" w:eastAsia="仿宋" w:cs="仿宋"/>
          <w:kern w:val="0"/>
          <w:sz w:val="24"/>
          <w:szCs w:val="24"/>
          <w:highlight w:val="none"/>
          <w:u w:val="single"/>
          <w:shd w:val="clear" w:color="auto" w:fill="FFFFFF" w:themeFill="background1"/>
        </w:rPr>
        <w:t xml:space="preserve">                              </w:t>
      </w:r>
    </w:p>
    <w:p w14:paraId="213BB97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成立时间：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月</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日</w:t>
      </w:r>
    </w:p>
    <w:p w14:paraId="6A3D4C6F">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经营期限：</w:t>
      </w:r>
      <w:r>
        <w:rPr>
          <w:rFonts w:hint="eastAsia" w:ascii="仿宋" w:hAnsi="仿宋" w:eastAsia="仿宋" w:cs="仿宋"/>
          <w:kern w:val="0"/>
          <w:sz w:val="24"/>
          <w:szCs w:val="24"/>
          <w:highlight w:val="none"/>
          <w:u w:val="single"/>
          <w:shd w:val="clear" w:color="auto" w:fill="FFFFFF" w:themeFill="background1"/>
        </w:rPr>
        <w:t xml:space="preserve">                              </w:t>
      </w:r>
    </w:p>
    <w:p w14:paraId="07084ED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1DF04908">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姓名：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性别：</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年龄：</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职务：</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系</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（投标人名称）的法定代表人。</w:t>
      </w:r>
    </w:p>
    <w:p w14:paraId="6B0C08CE">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特此证明。</w:t>
      </w:r>
    </w:p>
    <w:p w14:paraId="4BC0C7FE">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5B874677">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附：法定代表人身份证明</w:t>
      </w:r>
    </w:p>
    <w:p w14:paraId="31A42BB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tbl>
      <w:tblPr>
        <w:tblStyle w:val="42"/>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8A6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403124B0">
            <w:pP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法定代表人身份证复印件（正面）</w:t>
            </w:r>
          </w:p>
        </w:tc>
      </w:tr>
    </w:tbl>
    <w:p w14:paraId="473474D7">
      <w:pPr>
        <w:spacing w:line="360" w:lineRule="auto"/>
        <w:rPr>
          <w:rFonts w:hint="eastAsia" w:ascii="仿宋" w:hAnsi="仿宋" w:eastAsia="仿宋" w:cs="仿宋"/>
          <w:vanish/>
          <w:sz w:val="24"/>
          <w:szCs w:val="24"/>
          <w:highlight w:val="none"/>
          <w:shd w:val="clear" w:color="auto" w:fill="FFFFFF" w:themeFill="background1"/>
        </w:rPr>
      </w:pPr>
    </w:p>
    <w:tbl>
      <w:tblPr>
        <w:tblStyle w:val="42"/>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536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E0B4AAE">
            <w:pP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法定代表人身份证复印件（反面）</w:t>
            </w:r>
          </w:p>
        </w:tc>
      </w:tr>
    </w:tbl>
    <w:p w14:paraId="3473E597">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w:t>
      </w:r>
    </w:p>
    <w:p w14:paraId="0E9071F1">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3C4904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53E76626">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日期： 年  月  日</w:t>
      </w:r>
    </w:p>
    <w:p w14:paraId="1D0E18A1">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p>
    <w:p w14:paraId="4BA8AD4A">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p>
    <w:p w14:paraId="3A87C0B1">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0"/>
          <w:sz w:val="24"/>
          <w:szCs w:val="24"/>
          <w:highlight w:val="none"/>
          <w:shd w:val="clear" w:color="auto" w:fill="FFFFFF" w:themeFill="background1"/>
        </w:rPr>
        <w:br w:type="page"/>
      </w:r>
      <w:bookmarkStart w:id="342" w:name="_Toc38446476"/>
      <w:bookmarkStart w:id="343" w:name="_Toc507586171"/>
      <w:bookmarkStart w:id="344" w:name="_Toc24163"/>
      <w:bookmarkStart w:id="345" w:name="_Toc29637"/>
      <w:bookmarkStart w:id="346" w:name="_Toc533503186"/>
      <w:r>
        <w:rPr>
          <w:rFonts w:hint="eastAsia" w:ascii="仿宋" w:hAnsi="仿宋" w:eastAsia="仿宋" w:cs="仿宋"/>
          <w:b/>
          <w:sz w:val="24"/>
          <w:szCs w:val="24"/>
          <w:highlight w:val="none"/>
          <w:shd w:val="clear" w:color="auto" w:fill="FFFFFF" w:themeFill="background1"/>
        </w:rPr>
        <w:t>七、法定代表人授权委托书</w:t>
      </w:r>
      <w:bookmarkEnd w:id="342"/>
      <w:bookmarkEnd w:id="343"/>
      <w:bookmarkEnd w:id="344"/>
      <w:bookmarkEnd w:id="345"/>
      <w:bookmarkEnd w:id="346"/>
    </w:p>
    <w:p w14:paraId="583612A1">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C2EB2D4">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本人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（姓名）系</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（投标人名称）的法定代表人，现拟派我单位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（姓名）为我方委托代理人。委托代理人根据授权，就</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lang w:val="en-US" w:eastAsia="zh-CN"/>
        </w:rPr>
        <w:t>项目</w:t>
      </w:r>
      <w:r>
        <w:rPr>
          <w:rFonts w:hint="eastAsia" w:ascii="仿宋" w:hAnsi="仿宋" w:eastAsia="仿宋" w:cs="仿宋"/>
          <w:kern w:val="0"/>
          <w:sz w:val="24"/>
          <w:szCs w:val="24"/>
          <w:highlight w:val="none"/>
          <w:shd w:val="clear" w:color="auto" w:fill="FFFFFF" w:themeFill="background1"/>
        </w:rPr>
        <w:t>名称）的投标，以本公司名义处理一切与之有关的事务，其法律后果由我方承担。</w:t>
      </w:r>
    </w:p>
    <w:p w14:paraId="63D91008">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u w:val="single"/>
          <w:shd w:val="clear" w:color="auto" w:fill="FFFFFF" w:themeFill="background1"/>
        </w:rPr>
      </w:pPr>
      <w:r>
        <w:rPr>
          <w:rFonts w:hint="eastAsia" w:ascii="仿宋" w:hAnsi="仿宋" w:eastAsia="仿宋" w:cs="仿宋"/>
          <w:kern w:val="0"/>
          <w:sz w:val="24"/>
          <w:szCs w:val="24"/>
          <w:highlight w:val="none"/>
          <w:shd w:val="clear" w:color="auto" w:fill="FFFFFF" w:themeFill="background1"/>
        </w:rPr>
        <w:t>代理人：</w:t>
      </w:r>
      <w:r>
        <w:rPr>
          <w:rFonts w:hint="eastAsia" w:ascii="仿宋" w:hAnsi="仿宋" w:eastAsia="仿宋" w:cs="仿宋"/>
          <w:i/>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性别：</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年龄：</w:t>
      </w:r>
      <w:r>
        <w:rPr>
          <w:rFonts w:hint="eastAsia" w:ascii="仿宋" w:hAnsi="仿宋" w:eastAsia="仿宋" w:cs="仿宋"/>
          <w:kern w:val="0"/>
          <w:sz w:val="24"/>
          <w:szCs w:val="24"/>
          <w:highlight w:val="none"/>
          <w:u w:val="single"/>
          <w:shd w:val="clear" w:color="auto" w:fill="FFFFFF" w:themeFill="background1"/>
        </w:rPr>
        <w:t xml:space="preserve">                    </w:t>
      </w:r>
    </w:p>
    <w:p w14:paraId="3121C8B9">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单  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部门：</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职务：</w:t>
      </w:r>
      <w:r>
        <w:rPr>
          <w:rFonts w:hint="eastAsia" w:ascii="仿宋" w:hAnsi="仿宋" w:eastAsia="仿宋" w:cs="仿宋"/>
          <w:kern w:val="0"/>
          <w:sz w:val="24"/>
          <w:szCs w:val="24"/>
          <w:highlight w:val="none"/>
          <w:u w:val="single"/>
          <w:shd w:val="clear" w:color="auto" w:fill="FFFFFF" w:themeFill="background1"/>
        </w:rPr>
        <w:t xml:space="preserve">                    </w:t>
      </w:r>
    </w:p>
    <w:p w14:paraId="588453D3">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代理人无转委权，特此申明。</w:t>
      </w:r>
    </w:p>
    <w:p w14:paraId="3DFBFC4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028E3566">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附：委托代理人身份证明。</w:t>
      </w:r>
    </w:p>
    <w:p w14:paraId="1B85B8A2">
      <w:pPr>
        <w:pStyle w:val="14"/>
        <w:spacing w:before="6"/>
        <w:rPr>
          <w:rFonts w:hint="eastAsia" w:ascii="仿宋" w:hAnsi="仿宋" w:eastAsia="仿宋" w:cs="仿宋"/>
          <w:sz w:val="21"/>
          <w:szCs w:val="21"/>
          <w:highlight w:val="none"/>
        </w:rPr>
      </w:pPr>
    </w:p>
    <w:p w14:paraId="7858600A">
      <w:pPr>
        <w:pStyle w:val="14"/>
        <w:rPr>
          <w:rFonts w:hint="eastAsia" w:ascii="仿宋" w:hAnsi="仿宋" w:eastAsia="仿宋" w:cs="仿宋"/>
          <w:sz w:val="21"/>
          <w:szCs w:val="21"/>
          <w:highlight w:val="none"/>
        </w:rPr>
      </w:pPr>
      <w:r>
        <w:rPr>
          <w:rFonts w:hint="eastAsia" w:ascii="仿宋" w:hAnsi="仿宋" w:eastAsia="仿宋" w:cs="仿宋"/>
          <w:highlight w:val="none"/>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0795" b="1397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0795" b="1397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0795" b="1397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0795" b="1397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p>
    <w:p w14:paraId="31A7D8D6">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D2E20E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1E9AB91B">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0B81344">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772641D5">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5D08260A">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5F128AD3">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 xml:space="preserve"> </w:t>
      </w:r>
    </w:p>
    <w:p w14:paraId="38EC4311">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47" w:name="_Toc507586173"/>
      <w:r>
        <w:rPr>
          <w:rFonts w:hint="eastAsia" w:ascii="仿宋" w:hAnsi="仿宋" w:eastAsia="仿宋" w:cs="仿宋"/>
          <w:b/>
          <w:sz w:val="24"/>
          <w:szCs w:val="24"/>
          <w:highlight w:val="none"/>
          <w:shd w:val="clear" w:color="auto" w:fill="FFFFFF" w:themeFill="background1"/>
        </w:rPr>
        <w:br w:type="page"/>
      </w:r>
      <w:bookmarkStart w:id="348" w:name="_Toc533503189"/>
      <w:bookmarkStart w:id="349" w:name="_Toc38446478"/>
      <w:bookmarkStart w:id="350" w:name="_Toc30621"/>
      <w:bookmarkStart w:id="351" w:name="_Toc23743"/>
      <w:r>
        <w:rPr>
          <w:rFonts w:hint="eastAsia" w:ascii="仿宋" w:hAnsi="仿宋" w:eastAsia="仿宋" w:cs="仿宋"/>
          <w:b/>
          <w:sz w:val="24"/>
          <w:szCs w:val="24"/>
          <w:highlight w:val="none"/>
          <w:shd w:val="clear" w:color="auto" w:fill="FFFFFF" w:themeFill="background1"/>
        </w:rPr>
        <w:t>八、投标人基本情况</w:t>
      </w:r>
      <w:bookmarkEnd w:id="347"/>
      <w:bookmarkEnd w:id="348"/>
      <w:bookmarkEnd w:id="349"/>
      <w:bookmarkEnd w:id="350"/>
      <w:bookmarkEnd w:id="351"/>
    </w:p>
    <w:p w14:paraId="1414B865">
      <w:pPr>
        <w:spacing w:line="360" w:lineRule="auto"/>
        <w:jc w:val="left"/>
        <w:rPr>
          <w:rFonts w:hint="eastAsia" w:ascii="仿宋" w:hAnsi="仿宋" w:eastAsia="仿宋" w:cs="仿宋"/>
          <w:sz w:val="24"/>
          <w:szCs w:val="24"/>
          <w:highlight w:val="none"/>
          <w:shd w:val="clear" w:color="auto" w:fill="FFFFFF" w:themeFill="background1"/>
        </w:rPr>
      </w:pPr>
    </w:p>
    <w:tbl>
      <w:tblPr>
        <w:tblStyle w:val="42"/>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42C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33E78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投标人名称</w:t>
            </w:r>
          </w:p>
        </w:tc>
        <w:tc>
          <w:tcPr>
            <w:tcW w:w="7300" w:type="dxa"/>
            <w:gridSpan w:val="3"/>
            <w:vAlign w:val="center"/>
          </w:tcPr>
          <w:p w14:paraId="7E123F4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048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B59A43C">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注册地址</w:t>
            </w:r>
          </w:p>
        </w:tc>
        <w:tc>
          <w:tcPr>
            <w:tcW w:w="3165" w:type="dxa"/>
            <w:vAlign w:val="center"/>
          </w:tcPr>
          <w:p w14:paraId="36EFCC21">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F31451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邮政编码</w:t>
            </w:r>
          </w:p>
        </w:tc>
        <w:tc>
          <w:tcPr>
            <w:tcW w:w="2140" w:type="dxa"/>
            <w:vAlign w:val="center"/>
          </w:tcPr>
          <w:p w14:paraId="7CDF8A2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5ED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521BB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成立时间</w:t>
            </w:r>
          </w:p>
        </w:tc>
        <w:tc>
          <w:tcPr>
            <w:tcW w:w="3165" w:type="dxa"/>
            <w:vAlign w:val="center"/>
          </w:tcPr>
          <w:p w14:paraId="20C31BF6">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75C7BD69">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企业性质</w:t>
            </w:r>
          </w:p>
        </w:tc>
        <w:tc>
          <w:tcPr>
            <w:tcW w:w="2140" w:type="dxa"/>
            <w:vAlign w:val="center"/>
          </w:tcPr>
          <w:p w14:paraId="6268DCA6">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6AF2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F32806B">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营业执照号</w:t>
            </w:r>
          </w:p>
        </w:tc>
        <w:tc>
          <w:tcPr>
            <w:tcW w:w="3165" w:type="dxa"/>
            <w:vAlign w:val="center"/>
          </w:tcPr>
          <w:p w14:paraId="08D8370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63AA4C8D">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注册资金</w:t>
            </w:r>
          </w:p>
        </w:tc>
        <w:tc>
          <w:tcPr>
            <w:tcW w:w="2140" w:type="dxa"/>
            <w:vAlign w:val="center"/>
          </w:tcPr>
          <w:p w14:paraId="2BFF3293">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3980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C230AF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p>
        </w:tc>
        <w:tc>
          <w:tcPr>
            <w:tcW w:w="3165" w:type="dxa"/>
            <w:vAlign w:val="center"/>
          </w:tcPr>
          <w:p w14:paraId="4005D32A">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30B7108">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电话</w:t>
            </w:r>
          </w:p>
        </w:tc>
        <w:tc>
          <w:tcPr>
            <w:tcW w:w="2140" w:type="dxa"/>
            <w:vAlign w:val="center"/>
          </w:tcPr>
          <w:p w14:paraId="502FEC8B">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311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3F0B75F">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联系人</w:t>
            </w:r>
          </w:p>
        </w:tc>
        <w:tc>
          <w:tcPr>
            <w:tcW w:w="3165" w:type="dxa"/>
            <w:vAlign w:val="center"/>
          </w:tcPr>
          <w:p w14:paraId="4C34F908">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8A8CF1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电话</w:t>
            </w:r>
          </w:p>
        </w:tc>
        <w:tc>
          <w:tcPr>
            <w:tcW w:w="2140" w:type="dxa"/>
            <w:vAlign w:val="center"/>
          </w:tcPr>
          <w:p w14:paraId="74B969BA">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1839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D24C31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传真</w:t>
            </w:r>
          </w:p>
        </w:tc>
        <w:tc>
          <w:tcPr>
            <w:tcW w:w="3165" w:type="dxa"/>
            <w:vAlign w:val="center"/>
          </w:tcPr>
          <w:p w14:paraId="45F69199">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00E3FEEF">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网址</w:t>
            </w:r>
          </w:p>
        </w:tc>
        <w:tc>
          <w:tcPr>
            <w:tcW w:w="2140" w:type="dxa"/>
            <w:vAlign w:val="center"/>
          </w:tcPr>
          <w:p w14:paraId="48AB7F4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0789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0C797D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开户银行</w:t>
            </w:r>
          </w:p>
        </w:tc>
        <w:tc>
          <w:tcPr>
            <w:tcW w:w="3165" w:type="dxa"/>
            <w:vAlign w:val="center"/>
          </w:tcPr>
          <w:p w14:paraId="502089C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3D3C15E">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银行帐号</w:t>
            </w:r>
          </w:p>
        </w:tc>
        <w:tc>
          <w:tcPr>
            <w:tcW w:w="2140" w:type="dxa"/>
            <w:vAlign w:val="center"/>
          </w:tcPr>
          <w:p w14:paraId="236FF3D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7B3D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79CDD21">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职工概况</w:t>
            </w:r>
          </w:p>
        </w:tc>
        <w:tc>
          <w:tcPr>
            <w:tcW w:w="7300" w:type="dxa"/>
            <w:gridSpan w:val="3"/>
            <w:vAlign w:val="center"/>
          </w:tcPr>
          <w:p w14:paraId="0B5DB4D6">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76F4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82D219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经营范围</w:t>
            </w:r>
          </w:p>
        </w:tc>
        <w:tc>
          <w:tcPr>
            <w:tcW w:w="7300" w:type="dxa"/>
            <w:gridSpan w:val="3"/>
            <w:vAlign w:val="center"/>
          </w:tcPr>
          <w:p w14:paraId="7EE94BAD">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bl>
    <w:p w14:paraId="6E074D6D">
      <w:pP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p>
    <w:p w14:paraId="69BA6B4F">
      <w:pPr>
        <w:widowControl/>
        <w:jc w:val="left"/>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br w:type="page"/>
      </w:r>
    </w:p>
    <w:p w14:paraId="0971CE7C">
      <w:pPr>
        <w:rPr>
          <w:rFonts w:hint="eastAsia" w:ascii="仿宋" w:hAnsi="仿宋" w:eastAsia="仿宋" w:cs="仿宋"/>
          <w:highlight w:val="none"/>
          <w:shd w:val="clear" w:color="auto" w:fill="FFFFFF" w:themeFill="background1"/>
        </w:rPr>
      </w:pPr>
      <w:bookmarkStart w:id="352" w:name="_Toc109143671"/>
      <w:bookmarkStart w:id="353" w:name="_Toc107422184"/>
      <w:bookmarkStart w:id="354" w:name="_Toc11207"/>
      <w:bookmarkStart w:id="355" w:name="_Toc32366"/>
      <w:bookmarkStart w:id="356" w:name="_Toc111556487"/>
    </w:p>
    <w:p w14:paraId="18A357C7">
      <w:pP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57" w:name="_Toc128476878"/>
      <w:bookmarkStart w:id="358" w:name="_Toc22928"/>
      <w:bookmarkStart w:id="359" w:name="_Toc113901849"/>
      <w:bookmarkStart w:id="360" w:name="_Toc20683"/>
      <w:bookmarkStart w:id="361" w:name="_Toc133453662"/>
      <w:r>
        <w:rPr>
          <w:rFonts w:hint="eastAsia" w:ascii="仿宋" w:hAnsi="仿宋" w:eastAsia="仿宋" w:cs="仿宋"/>
          <w:b/>
          <w:sz w:val="24"/>
          <w:szCs w:val="24"/>
          <w:highlight w:val="none"/>
          <w:shd w:val="clear" w:color="auto" w:fill="FFFFFF" w:themeFill="background1"/>
        </w:rPr>
        <w:t>8.1、</w:t>
      </w:r>
      <w:bookmarkEnd w:id="352"/>
      <w:bookmarkEnd w:id="353"/>
      <w:bookmarkEnd w:id="354"/>
      <w:bookmarkEnd w:id="355"/>
      <w:r>
        <w:rPr>
          <w:rFonts w:hint="eastAsia" w:ascii="仿宋" w:hAnsi="仿宋" w:eastAsia="仿宋" w:cs="仿宋"/>
          <w:b/>
          <w:sz w:val="24"/>
          <w:szCs w:val="24"/>
          <w:highlight w:val="none"/>
          <w:shd w:val="clear" w:color="auto" w:fill="FFFFFF" w:themeFill="background1"/>
        </w:rPr>
        <w:t>法人或者其他组织的营业执照等证明文件，自然人的身份证明</w:t>
      </w:r>
      <w:bookmarkEnd w:id="357"/>
      <w:bookmarkEnd w:id="358"/>
      <w:bookmarkEnd w:id="359"/>
      <w:bookmarkEnd w:id="360"/>
      <w:bookmarkEnd w:id="361"/>
    </w:p>
    <w:p w14:paraId="68AAA4D6">
      <w:pPr>
        <w:spacing w:line="360" w:lineRule="auto"/>
        <w:rPr>
          <w:rFonts w:hint="eastAsia" w:ascii="仿宋" w:hAnsi="仿宋" w:eastAsia="仿宋" w:cs="仿宋"/>
          <w:sz w:val="24"/>
          <w:szCs w:val="24"/>
          <w:highlight w:val="none"/>
          <w:shd w:val="clear" w:color="auto" w:fill="FFFFFF" w:themeFill="background1"/>
        </w:rPr>
      </w:pPr>
    </w:p>
    <w:p w14:paraId="44AAAA2E">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一、如投标人是企业（包括合伙企业)，应提供在工商部门注册的有效“企业法人营业执照”或“营业执照”;</w:t>
      </w:r>
    </w:p>
    <w:p w14:paraId="5331273E">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二、如投标人是事业单位，应提供有效的“事业单位法人证书”;</w:t>
      </w:r>
    </w:p>
    <w:p w14:paraId="1F40C6FE">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三、投标人是非企业专业服务机构的，应提供执业许可证等证明文件;</w:t>
      </w:r>
    </w:p>
    <w:p w14:paraId="49F89BFD">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四、如投标人是个体工商户，应提供有效的“个体工商户营业执照”;</w:t>
      </w:r>
    </w:p>
    <w:p w14:paraId="6063B544">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五、如投标人是自然人，应提供有效的自然人身份证明。</w:t>
      </w:r>
    </w:p>
    <w:p w14:paraId="7615C9FE">
      <w:pPr>
        <w:spacing w:line="360" w:lineRule="auto"/>
        <w:rPr>
          <w:rFonts w:hint="eastAsia" w:ascii="仿宋" w:hAnsi="仿宋" w:eastAsia="仿宋" w:cs="仿宋"/>
          <w:sz w:val="24"/>
          <w:szCs w:val="24"/>
          <w:highlight w:val="none"/>
          <w:shd w:val="clear" w:color="auto" w:fill="FFFFFF" w:themeFill="background1"/>
        </w:rPr>
      </w:pPr>
    </w:p>
    <w:p w14:paraId="56EC4867">
      <w:pPr>
        <w:spacing w:line="360" w:lineRule="auto"/>
        <w:rPr>
          <w:rFonts w:hint="eastAsia" w:ascii="仿宋" w:hAnsi="仿宋" w:eastAsia="仿宋" w:cs="仿宋"/>
          <w:sz w:val="24"/>
          <w:szCs w:val="24"/>
          <w:highlight w:val="none"/>
          <w:shd w:val="clear" w:color="auto" w:fill="FFFFFF" w:themeFill="background1"/>
        </w:rPr>
      </w:pPr>
    </w:p>
    <w:p w14:paraId="592A6BAA">
      <w:pPr>
        <w:widowControl/>
        <w:spacing w:line="360" w:lineRule="auto"/>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27148B54">
      <w:pPr>
        <w:rPr>
          <w:rFonts w:hint="eastAsia" w:ascii="仿宋" w:hAnsi="仿宋" w:eastAsia="仿宋" w:cs="仿宋"/>
          <w:highlight w:val="none"/>
          <w:shd w:val="clear" w:color="auto" w:fill="FFFFFF" w:themeFill="background1"/>
        </w:rPr>
      </w:pPr>
    </w:p>
    <w:p w14:paraId="3727347B">
      <w:pP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62" w:name="_Toc113901850"/>
      <w:bookmarkStart w:id="363" w:name="_Toc591"/>
      <w:bookmarkStart w:id="364" w:name="_Toc133453663"/>
      <w:bookmarkStart w:id="365" w:name="_Toc128476879"/>
      <w:bookmarkStart w:id="366" w:name="_Toc10010"/>
      <w:r>
        <w:rPr>
          <w:rFonts w:hint="eastAsia" w:ascii="仿宋" w:hAnsi="仿宋" w:eastAsia="仿宋" w:cs="仿宋"/>
          <w:b/>
          <w:sz w:val="24"/>
          <w:szCs w:val="24"/>
          <w:highlight w:val="none"/>
          <w:shd w:val="clear" w:color="auto" w:fill="FFFFFF" w:themeFill="background1"/>
        </w:rPr>
        <w:t>8.2、</w:t>
      </w:r>
      <w:bookmarkEnd w:id="356"/>
      <w:r>
        <w:rPr>
          <w:rFonts w:hint="eastAsia" w:ascii="仿宋" w:hAnsi="仿宋" w:eastAsia="仿宋" w:cs="仿宋"/>
          <w:b/>
          <w:sz w:val="24"/>
          <w:szCs w:val="24"/>
          <w:highlight w:val="none"/>
          <w:shd w:val="clear" w:color="auto" w:fill="FFFFFF" w:themeFill="background1"/>
        </w:rPr>
        <w:t>财务状况报告，依法缴纳税收和社会保障资金的相关材料</w:t>
      </w:r>
      <w:bookmarkEnd w:id="362"/>
      <w:bookmarkEnd w:id="363"/>
      <w:bookmarkEnd w:id="364"/>
      <w:bookmarkEnd w:id="365"/>
      <w:bookmarkEnd w:id="366"/>
    </w:p>
    <w:p w14:paraId="6B435AAF">
      <w:pPr>
        <w:pStyle w:val="14"/>
        <w:spacing w:line="360" w:lineRule="auto"/>
        <w:rPr>
          <w:rFonts w:hint="eastAsia" w:ascii="仿宋" w:hAnsi="仿宋" w:eastAsia="仿宋" w:cs="仿宋"/>
          <w:spacing w:val="10"/>
          <w:szCs w:val="24"/>
          <w:highlight w:val="none"/>
          <w:shd w:val="clear" w:color="auto" w:fill="FFFFFF" w:themeFill="background1"/>
        </w:rPr>
      </w:pPr>
    </w:p>
    <w:p w14:paraId="4C3E46E9">
      <w:pPr>
        <w:spacing w:line="480" w:lineRule="auto"/>
        <w:ind w:firstLine="480" w:firstLineChars="200"/>
        <w:rPr>
          <w:rFonts w:hint="eastAsia" w:ascii="仿宋" w:hAnsi="仿宋" w:eastAsia="仿宋" w:cs="仿宋"/>
          <w:color w:val="000000"/>
          <w:sz w:val="24"/>
          <w:szCs w:val="24"/>
          <w:highlight w:val="none"/>
        </w:rPr>
      </w:pPr>
      <w:bookmarkStart w:id="367" w:name="_Toc30348"/>
      <w:bookmarkStart w:id="368" w:name="_Toc113901851"/>
      <w:bookmarkStart w:id="369" w:name="_Toc128476880"/>
      <w:bookmarkStart w:id="370" w:name="_Toc111556488"/>
      <w:r>
        <w:rPr>
          <w:rFonts w:hint="eastAsia" w:ascii="仿宋" w:hAnsi="仿宋" w:eastAsia="仿宋" w:cs="仿宋"/>
          <w:color w:val="000000"/>
          <w:sz w:val="24"/>
          <w:szCs w:val="24"/>
          <w:highlight w:val="none"/>
        </w:rPr>
        <w:t>一、财务状况报告（满足下述一条要求即可）：</w:t>
      </w:r>
    </w:p>
    <w:p w14:paraId="64EAE52C">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要求1、经审计的财务报告（2024年度</w:t>
      </w:r>
      <w:r>
        <w:rPr>
          <w:rFonts w:hint="eastAsia" w:ascii="仿宋" w:hAnsi="仿宋" w:eastAsia="仿宋" w:cs="仿宋"/>
          <w:color w:val="000000"/>
          <w:sz w:val="24"/>
          <w:szCs w:val="24"/>
          <w:highlight w:val="none"/>
          <w:lang w:val="en-US" w:eastAsia="zh-CN"/>
        </w:rPr>
        <w:t>或2025年度</w:t>
      </w:r>
      <w:r>
        <w:rPr>
          <w:rFonts w:hint="eastAsia" w:ascii="仿宋" w:hAnsi="仿宋" w:eastAsia="仿宋" w:cs="仿宋"/>
          <w:color w:val="000000"/>
          <w:sz w:val="24"/>
          <w:szCs w:val="24"/>
          <w:highlight w:val="none"/>
        </w:rPr>
        <w:t>，包括“四表-注”，即资产负债表、利润表、现金流量表、所有者权益变动表及其附注）或银行出具的资信/金证明。</w:t>
      </w:r>
    </w:p>
    <w:p w14:paraId="1B5671BE">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、成立不足</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个月（以响应文件递交截止之日为期限）的供应商无需提供。</w:t>
      </w:r>
    </w:p>
    <w:p w14:paraId="4E319B97">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二、依法缴纳税收和社会保障资金的相关材料</w:t>
      </w:r>
    </w:p>
    <w:p w14:paraId="3AF7EBFA">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2.1、依法缴纳税收的证明材料：</w:t>
      </w:r>
    </w:p>
    <w:p w14:paraId="54C75701">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参加政府采购活动前一段时间（响应文件递交截止之日前六个月内任一个月）内缴纳税收的完税凭证（指各种完税证、缴款书、印花税票、扣（收）税凭证以及其他完税证明）。</w:t>
      </w:r>
    </w:p>
    <w:p w14:paraId="455D27D3">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2.2、依法缴纳社会保障资金的证明材料：</w:t>
      </w:r>
    </w:p>
    <w:p w14:paraId="7D2214FD">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参加政府采购活动前一段时间（响应文件递交截止之日前六个月内任一个月）内缴纳社会保险的凭据，其他组织和自然人也需要提供缴纳税收的凭据和缴纳社会保险的凭据。</w:t>
      </w:r>
    </w:p>
    <w:p w14:paraId="21E87038">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2.3、依法免税或不需要缴纳社会保障资金的</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，应提供相应文件证明其依法免税或不需要缴纳社会保障资金。</w:t>
      </w:r>
    </w:p>
    <w:p w14:paraId="478C3367">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三、注：</w:t>
      </w:r>
    </w:p>
    <w:p w14:paraId="25EB32E1">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3.1、如因有关主管部门政策调整，部分证明材料有所增减，以最新政策要求为准；</w:t>
      </w:r>
    </w:p>
    <w:p w14:paraId="041A96AD">
      <w:pPr>
        <w:spacing w:line="480" w:lineRule="auto"/>
        <w:ind w:firstLine="480" w:firstLineChars="200"/>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color w:val="000000"/>
          <w:sz w:val="24"/>
          <w:szCs w:val="24"/>
          <w:highlight w:val="none"/>
        </w:rPr>
        <w:t>3.2、如</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所在地有关主管部门反馈的证明材料与本文中要求不一致时，以当地要求为准，但须</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提供文字说明。</w:t>
      </w:r>
      <w:r>
        <w:rPr>
          <w:rFonts w:hint="eastAsia" w:ascii="仿宋" w:hAnsi="仿宋" w:eastAsia="仿宋" w:cs="仿宋"/>
          <w:b/>
          <w:sz w:val="24"/>
          <w:szCs w:val="24"/>
          <w:highlight w:val="none"/>
          <w:shd w:val="clear" w:color="auto" w:fill="FFFFFF" w:themeFill="background1"/>
        </w:rPr>
        <w:br w:type="page"/>
      </w:r>
    </w:p>
    <w:p w14:paraId="5968D9CF">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71" w:name="_Toc133453664"/>
      <w:bookmarkStart w:id="372" w:name="_Toc5928"/>
      <w:r>
        <w:rPr>
          <w:rFonts w:hint="eastAsia" w:ascii="仿宋" w:hAnsi="仿宋" w:eastAsia="仿宋" w:cs="仿宋"/>
          <w:b/>
          <w:sz w:val="24"/>
          <w:szCs w:val="24"/>
          <w:highlight w:val="none"/>
          <w:shd w:val="clear" w:color="auto" w:fill="FFFFFF" w:themeFill="background1"/>
        </w:rPr>
        <w:t>8.3、具备履行合同所必需的设备和专业技术能力的证明材料</w:t>
      </w:r>
      <w:bookmarkEnd w:id="367"/>
      <w:bookmarkEnd w:id="368"/>
      <w:bookmarkEnd w:id="369"/>
      <w:bookmarkEnd w:id="371"/>
      <w:bookmarkEnd w:id="372"/>
    </w:p>
    <w:p w14:paraId="29CE6D73">
      <w:pPr>
        <w:spacing w:line="360" w:lineRule="auto"/>
        <w:rPr>
          <w:rFonts w:hint="eastAsia" w:ascii="仿宋" w:hAnsi="仿宋" w:eastAsia="仿宋" w:cs="仿宋"/>
          <w:sz w:val="24"/>
          <w:szCs w:val="24"/>
          <w:highlight w:val="none"/>
          <w:shd w:val="clear" w:color="auto" w:fill="FFFFFF" w:themeFill="background1"/>
        </w:rPr>
      </w:pPr>
    </w:p>
    <w:p w14:paraId="428FCDD4">
      <w:pPr>
        <w:spacing w:line="360" w:lineRule="auto"/>
        <w:rPr>
          <w:rFonts w:hint="eastAsia" w:ascii="仿宋" w:hAnsi="仿宋" w:eastAsia="仿宋" w:cs="仿宋"/>
          <w:sz w:val="24"/>
          <w:szCs w:val="24"/>
          <w:highlight w:val="none"/>
          <w:shd w:val="clear" w:color="auto" w:fill="FFFFFF" w:themeFill="background1"/>
        </w:rPr>
      </w:pPr>
    </w:p>
    <w:p w14:paraId="3A1E5E36">
      <w:pPr>
        <w:spacing w:line="360" w:lineRule="auto"/>
        <w:jc w:val="center"/>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t>具有履行合同所必需的设备和专业技术能力的承诺</w:t>
      </w:r>
      <w:bookmarkEnd w:id="370"/>
      <w:r>
        <w:rPr>
          <w:rFonts w:hint="eastAsia" w:ascii="仿宋" w:hAnsi="仿宋" w:eastAsia="仿宋" w:cs="仿宋"/>
          <w:b/>
          <w:sz w:val="24"/>
          <w:szCs w:val="24"/>
          <w:highlight w:val="none"/>
          <w:shd w:val="clear" w:color="auto" w:fill="FFFFFF" w:themeFill="background1"/>
        </w:rPr>
        <w:t>函</w:t>
      </w:r>
    </w:p>
    <w:p w14:paraId="236E50B9">
      <w:pPr>
        <w:adjustRightInd w:val="0"/>
        <w:snapToGrid w:val="0"/>
        <w:spacing w:line="360" w:lineRule="auto"/>
        <w:ind w:firstLine="480" w:firstLineChars="200"/>
        <w:jc w:val="center"/>
        <w:rPr>
          <w:rFonts w:hint="eastAsia" w:ascii="仿宋" w:hAnsi="仿宋" w:eastAsia="仿宋" w:cs="仿宋"/>
          <w:sz w:val="24"/>
          <w:szCs w:val="24"/>
          <w:highlight w:val="none"/>
          <w:shd w:val="clear" w:color="auto" w:fill="FFFFFF" w:themeFill="background1"/>
        </w:rPr>
      </w:pPr>
    </w:p>
    <w:p w14:paraId="11918A3A">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48C77D2C">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p>
    <w:p w14:paraId="21776272">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我单位郑重承诺： </w:t>
      </w:r>
    </w:p>
    <w:p w14:paraId="1E38CF23">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我单位具备履行</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lang w:val="en-US" w:eastAsia="zh-CN"/>
        </w:rPr>
        <w:t>项目名称</w:t>
      </w:r>
      <w:r>
        <w:rPr>
          <w:rFonts w:hint="eastAsia" w:ascii="仿宋" w:hAnsi="仿宋" w:eastAsia="仿宋" w:cs="仿宋"/>
          <w:kern w:val="0"/>
          <w:sz w:val="24"/>
          <w:szCs w:val="24"/>
          <w:highlight w:val="none"/>
          <w:shd w:val="clear" w:color="auto" w:fill="FFFFFF" w:themeFill="background1"/>
        </w:rPr>
        <w:t>）合同所必需的设备和专业技术能力；</w:t>
      </w:r>
    </w:p>
    <w:p w14:paraId="74B4CB69">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特此承诺。 </w:t>
      </w:r>
    </w:p>
    <w:p w14:paraId="75E8A92B">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1BC5B0E6">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129D666F">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0A0FA2C8">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4C1C7C2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0877C69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5414C8D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112EC44B">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1770C7ED">
      <w:pPr>
        <w:adjustRightInd w:val="0"/>
        <w:snapToGrid w:val="0"/>
        <w:spacing w:line="360" w:lineRule="auto"/>
        <w:rPr>
          <w:rFonts w:hint="eastAsia" w:ascii="仿宋" w:hAnsi="仿宋" w:eastAsia="仿宋" w:cs="仿宋"/>
          <w:bCs/>
          <w:sz w:val="24"/>
          <w:szCs w:val="24"/>
          <w:highlight w:val="none"/>
          <w:shd w:val="clear" w:color="auto" w:fill="FFFFFF" w:themeFill="background1"/>
        </w:rPr>
      </w:pPr>
    </w:p>
    <w:p w14:paraId="66381B0D">
      <w:pPr>
        <w:spacing w:line="360" w:lineRule="auto"/>
        <w:rPr>
          <w:rFonts w:hint="eastAsia" w:ascii="仿宋" w:hAnsi="仿宋" w:eastAsia="仿宋" w:cs="仿宋"/>
          <w:sz w:val="24"/>
          <w:szCs w:val="24"/>
          <w:highlight w:val="none"/>
          <w:shd w:val="clear" w:color="auto" w:fill="FFFFFF" w:themeFill="background1"/>
        </w:rPr>
      </w:pPr>
    </w:p>
    <w:p w14:paraId="37A7F0CC">
      <w:pPr>
        <w:spacing w:line="360" w:lineRule="auto"/>
        <w:rPr>
          <w:rFonts w:hint="eastAsia" w:ascii="仿宋" w:hAnsi="仿宋" w:eastAsia="仿宋" w:cs="仿宋"/>
          <w:sz w:val="24"/>
          <w:szCs w:val="24"/>
          <w:highlight w:val="none"/>
          <w:shd w:val="clear" w:color="auto" w:fill="FFFFFF" w:themeFill="background1"/>
        </w:rPr>
      </w:pPr>
    </w:p>
    <w:p w14:paraId="160F2A7B">
      <w:pPr>
        <w:spacing w:line="360" w:lineRule="auto"/>
        <w:rPr>
          <w:rFonts w:hint="eastAsia" w:ascii="仿宋" w:hAnsi="仿宋" w:eastAsia="仿宋" w:cs="仿宋"/>
          <w:sz w:val="24"/>
          <w:szCs w:val="24"/>
          <w:highlight w:val="none"/>
          <w:shd w:val="clear" w:color="auto" w:fill="FFFFFF" w:themeFill="background1"/>
        </w:rPr>
      </w:pPr>
    </w:p>
    <w:p w14:paraId="32015380">
      <w:pPr>
        <w:spacing w:line="360" w:lineRule="auto"/>
        <w:rPr>
          <w:rFonts w:hint="eastAsia" w:ascii="仿宋" w:hAnsi="仿宋" w:eastAsia="仿宋" w:cs="仿宋"/>
          <w:sz w:val="24"/>
          <w:szCs w:val="24"/>
          <w:highlight w:val="none"/>
          <w:shd w:val="clear" w:color="auto" w:fill="FFFFFF" w:themeFill="background1"/>
        </w:rPr>
      </w:pPr>
    </w:p>
    <w:p w14:paraId="724FF1E5">
      <w:pPr>
        <w:spacing w:line="360" w:lineRule="auto"/>
        <w:rPr>
          <w:rFonts w:hint="eastAsia" w:ascii="仿宋" w:hAnsi="仿宋" w:eastAsia="仿宋" w:cs="仿宋"/>
          <w:sz w:val="24"/>
          <w:szCs w:val="24"/>
          <w:highlight w:val="none"/>
          <w:shd w:val="clear" w:color="auto" w:fill="FFFFFF" w:themeFill="background1"/>
        </w:rPr>
      </w:pPr>
    </w:p>
    <w:p w14:paraId="142C93E5">
      <w:pPr>
        <w:spacing w:line="360" w:lineRule="auto"/>
        <w:rPr>
          <w:rFonts w:hint="eastAsia" w:ascii="仿宋" w:hAnsi="仿宋" w:eastAsia="仿宋" w:cs="仿宋"/>
          <w:sz w:val="24"/>
          <w:szCs w:val="24"/>
          <w:highlight w:val="none"/>
          <w:shd w:val="clear" w:color="auto" w:fill="FFFFFF" w:themeFill="background1"/>
        </w:rPr>
      </w:pPr>
    </w:p>
    <w:p w14:paraId="57D0B5D9">
      <w:pPr>
        <w:widowControl/>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p>
    <w:p w14:paraId="20CFC1BE">
      <w:pPr>
        <w:adjustRightInd w:val="0"/>
        <w:snapToGrid w:val="0"/>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73" w:name="_Toc5703"/>
      <w:bookmarkStart w:id="374" w:name="_Toc113901852"/>
      <w:bookmarkStart w:id="375" w:name="_Toc9548"/>
      <w:bookmarkStart w:id="376" w:name="_Toc133453665"/>
      <w:bookmarkStart w:id="377" w:name="_Toc128476881"/>
      <w:bookmarkStart w:id="378" w:name="_Toc111556490"/>
      <w:r>
        <w:rPr>
          <w:rFonts w:hint="eastAsia" w:ascii="仿宋" w:hAnsi="仿宋" w:eastAsia="仿宋" w:cs="仿宋"/>
          <w:b/>
          <w:sz w:val="24"/>
          <w:szCs w:val="24"/>
          <w:highlight w:val="none"/>
          <w:shd w:val="clear" w:color="auto" w:fill="FFFFFF" w:themeFill="background1"/>
        </w:rPr>
        <w:t>8.4、参加政府采购活动前3年内在经营活动中没有重大违法记录的书面声明</w:t>
      </w:r>
      <w:bookmarkEnd w:id="373"/>
      <w:bookmarkEnd w:id="374"/>
      <w:bookmarkEnd w:id="375"/>
      <w:bookmarkEnd w:id="376"/>
      <w:bookmarkEnd w:id="377"/>
    </w:p>
    <w:bookmarkEnd w:id="378"/>
    <w:p w14:paraId="2F63140E">
      <w:pPr>
        <w:widowControl/>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5C8763BC">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6ADC5F87">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6D08A78B">
      <w:pPr>
        <w:adjustRightInd w:val="0"/>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我单位在参与</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lang w:val="en-US" w:eastAsia="zh-CN"/>
        </w:rPr>
        <w:t>项目名称</w:t>
      </w:r>
      <w:r>
        <w:rPr>
          <w:rFonts w:hint="eastAsia" w:ascii="仿宋" w:hAnsi="仿宋" w:eastAsia="仿宋" w:cs="仿宋"/>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rPr>
        <w:t>前三年内（以</w:t>
      </w:r>
      <w:r>
        <w:rPr>
          <w:rFonts w:hint="eastAsia" w:ascii="仿宋" w:hAnsi="仿宋" w:eastAsia="仿宋" w:cs="仿宋"/>
          <w:sz w:val="24"/>
          <w:szCs w:val="24"/>
          <w:highlight w:val="none"/>
          <w:shd w:val="clear" w:color="auto" w:fill="FFFFFF" w:themeFill="background1"/>
        </w:rPr>
        <w:t>投标文件递交截止之日为期限</w:t>
      </w:r>
      <w:r>
        <w:rPr>
          <w:rFonts w:hint="eastAsia" w:ascii="仿宋" w:hAnsi="仿宋" w:eastAsia="仿宋" w:cs="仿宋"/>
          <w:kern w:val="0"/>
          <w:sz w:val="24"/>
          <w:szCs w:val="24"/>
          <w:highlight w:val="none"/>
          <w:shd w:val="clear" w:color="auto" w:fill="FFFFFF" w:themeFill="background1"/>
        </w:rPr>
        <w:t>）在经营活动中没有重大违法记录。</w:t>
      </w:r>
    </w:p>
    <w:p w14:paraId="5E4ED008">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kern w:val="0"/>
          <w:sz w:val="24"/>
          <w:szCs w:val="24"/>
          <w:highlight w:val="none"/>
          <w:shd w:val="clear" w:color="auto" w:fill="FFFFFF" w:themeFill="background1"/>
        </w:rPr>
        <w:t>我单位</w:t>
      </w:r>
      <w:r>
        <w:rPr>
          <w:rFonts w:hint="eastAsia" w:ascii="仿宋" w:hAnsi="仿宋" w:eastAsia="仿宋" w:cs="仿宋"/>
          <w:sz w:val="24"/>
          <w:szCs w:val="24"/>
          <w:highlight w:val="none"/>
          <w:shd w:val="clear" w:color="auto" w:fill="FFFFFF" w:themeFill="background1"/>
        </w:rPr>
        <w:t>将无条件退出本项目的投标，并承担因此引起的一切后果。我方对此声明负全部法律责任。</w:t>
      </w:r>
    </w:p>
    <w:p w14:paraId="59013C5F">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特此声明！</w:t>
      </w:r>
    </w:p>
    <w:p w14:paraId="42FD44A8">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648C34D6">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148D46E3">
      <w:pPr>
        <w:adjustRightInd w:val="0"/>
        <w:snapToGrid w:val="0"/>
        <w:spacing w:line="360" w:lineRule="auto"/>
        <w:ind w:firstLine="420" w:firstLineChars="200"/>
        <w:rPr>
          <w:rFonts w:hint="eastAsia" w:ascii="仿宋" w:hAnsi="仿宋" w:eastAsia="仿宋" w:cs="仿宋"/>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w:t>
      </w:r>
    </w:p>
    <w:p w14:paraId="5F47CA02">
      <w:pPr>
        <w:adjustRightInd w:val="0"/>
        <w:snapToGrid w:val="0"/>
        <w:spacing w:line="360" w:lineRule="auto"/>
        <w:ind w:firstLine="42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若投标人在投标文件递交截止之日成立时间不足三年，以自成立以来的时间计取。</w:t>
      </w:r>
    </w:p>
    <w:p w14:paraId="2A45FB97">
      <w:pPr>
        <w:adjustRightInd w:val="0"/>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p>
    <w:p w14:paraId="433A5492">
      <w:pPr>
        <w:adjustRightInd w:val="0"/>
        <w:snapToGrid w:val="0"/>
        <w:spacing w:line="360" w:lineRule="auto"/>
        <w:ind w:firstLine="3112" w:firstLineChars="1297"/>
        <w:rPr>
          <w:rFonts w:hint="eastAsia" w:ascii="仿宋" w:hAnsi="仿宋" w:eastAsia="仿宋" w:cs="仿宋"/>
          <w:sz w:val="24"/>
          <w:szCs w:val="24"/>
          <w:highlight w:val="none"/>
          <w:shd w:val="clear" w:color="auto" w:fill="FFFFFF" w:themeFill="background1"/>
        </w:rPr>
      </w:pPr>
    </w:p>
    <w:p w14:paraId="7E59395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0886455">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p>
    <w:p w14:paraId="63B1E7C0">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p>
    <w:p w14:paraId="358DA0A1">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13144215">
      <w:pPr>
        <w:widowControl/>
        <w:shd w:val="clear" w:color="auto" w:fill="FFFFFF"/>
        <w:snapToGrid w:val="0"/>
        <w:spacing w:line="360" w:lineRule="auto"/>
        <w:ind w:firstLine="420"/>
        <w:rPr>
          <w:rFonts w:hint="eastAsia" w:ascii="仿宋" w:hAnsi="仿宋" w:eastAsia="仿宋" w:cs="仿宋"/>
          <w:kern w:val="0"/>
          <w:sz w:val="24"/>
          <w:szCs w:val="24"/>
          <w:highlight w:val="none"/>
          <w:shd w:val="clear" w:color="auto" w:fill="FFFFFF" w:themeFill="background1"/>
        </w:rPr>
      </w:pPr>
    </w:p>
    <w:p w14:paraId="07717102">
      <w:pPr>
        <w:widowControl/>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br w:type="page"/>
      </w:r>
    </w:p>
    <w:p w14:paraId="3A3A8B67">
      <w:pPr>
        <w:adjustRightInd w:val="0"/>
        <w:snapToGrid w:val="0"/>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79" w:name="_Toc113901853"/>
      <w:bookmarkStart w:id="380" w:name="_Toc15699"/>
      <w:bookmarkStart w:id="381" w:name="_Toc128476882"/>
      <w:bookmarkStart w:id="382" w:name="_Toc26372"/>
      <w:bookmarkStart w:id="383" w:name="_Toc133453666"/>
      <w:r>
        <w:rPr>
          <w:rFonts w:hint="eastAsia" w:ascii="仿宋" w:hAnsi="仿宋" w:eastAsia="仿宋" w:cs="仿宋"/>
          <w:b/>
          <w:sz w:val="24"/>
          <w:szCs w:val="24"/>
          <w:highlight w:val="none"/>
          <w:shd w:val="clear" w:color="auto" w:fill="FFFFFF" w:themeFill="background1"/>
        </w:rPr>
        <w:t>8.5、具备法律、行政法规规定的其他条件的证明材料</w:t>
      </w:r>
      <w:bookmarkEnd w:id="379"/>
      <w:bookmarkEnd w:id="380"/>
      <w:bookmarkEnd w:id="381"/>
      <w:bookmarkEnd w:id="382"/>
      <w:bookmarkEnd w:id="383"/>
    </w:p>
    <w:p w14:paraId="64068D36">
      <w:pPr>
        <w:widowControl/>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01E46E92">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1、国家有关主管部门的行政许可（如有时）。</w:t>
      </w:r>
    </w:p>
    <w:p w14:paraId="7C29531F">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2、投标人如为</w:t>
      </w:r>
      <w:r>
        <w:rPr>
          <w:rFonts w:hint="eastAsia" w:ascii="仿宋" w:hAnsi="仿宋" w:eastAsia="仿宋" w:cs="仿宋"/>
          <w:kern w:val="0"/>
          <w:sz w:val="24"/>
          <w:szCs w:val="24"/>
          <w:highlight w:val="none"/>
          <w:shd w:val="clear" w:color="auto" w:fill="FFFFFF" w:themeFill="background1"/>
          <w:lang w:val="en-US" w:eastAsia="zh-CN"/>
        </w:rPr>
        <w:t>中</w:t>
      </w:r>
      <w:r>
        <w:rPr>
          <w:rFonts w:hint="eastAsia" w:ascii="仿宋" w:hAnsi="仿宋" w:eastAsia="仿宋" w:cs="仿宋"/>
          <w:kern w:val="0"/>
          <w:sz w:val="24"/>
          <w:szCs w:val="24"/>
          <w:highlight w:val="none"/>
          <w:shd w:val="clear" w:color="auto" w:fill="FFFFFF" w:themeFill="background1"/>
        </w:rPr>
        <w:t>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79AFBB82">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br w:type="page"/>
      </w:r>
    </w:p>
    <w:p w14:paraId="35C89FD7">
      <w:pPr>
        <w:pStyle w:val="36"/>
        <w:spacing w:line="360" w:lineRule="auto"/>
        <w:rPr>
          <w:rStyle w:val="45"/>
          <w:rFonts w:hint="eastAsia" w:ascii="仿宋" w:hAnsi="仿宋" w:eastAsia="仿宋" w:cs="仿宋"/>
          <w:highlight w:val="none"/>
          <w:shd w:val="clear" w:color="auto" w:fill="FFFFFF" w:themeFill="background1"/>
        </w:rPr>
      </w:pPr>
      <w:r>
        <w:rPr>
          <w:rFonts w:hint="eastAsia" w:ascii="仿宋" w:hAnsi="仿宋" w:eastAsia="仿宋" w:cs="仿宋"/>
          <w:highlight w:val="none"/>
          <w:shd w:val="clear" w:color="auto" w:fill="FFFFFF" w:themeFill="background1"/>
        </w:rPr>
        <w:t xml:space="preserve"> </w:t>
      </w:r>
      <w:r>
        <w:rPr>
          <w:rStyle w:val="45"/>
          <w:rFonts w:hint="eastAsia" w:ascii="仿宋" w:hAnsi="仿宋" w:eastAsia="仿宋" w:cs="仿宋"/>
          <w:highlight w:val="none"/>
          <w:shd w:val="clear" w:color="auto" w:fill="FFFFFF" w:themeFill="background1"/>
        </w:rPr>
        <w:t xml:space="preserve">附表一、                  </w:t>
      </w:r>
    </w:p>
    <w:p w14:paraId="5D001048">
      <w:pPr>
        <w:spacing w:line="588" w:lineRule="exact"/>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中小企业声明函（工程、服务）</w:t>
      </w:r>
    </w:p>
    <w:p w14:paraId="139BFFF7">
      <w:pPr>
        <w:spacing w:line="588" w:lineRule="exact"/>
        <w:jc w:val="center"/>
        <w:rPr>
          <w:rFonts w:hint="eastAsia" w:ascii="仿宋" w:hAnsi="仿宋" w:eastAsia="仿宋" w:cs="仿宋"/>
          <w:b/>
          <w:spacing w:val="6"/>
          <w:sz w:val="24"/>
          <w:highlight w:val="none"/>
        </w:rPr>
      </w:pPr>
    </w:p>
    <w:p w14:paraId="0871B03C">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本公司（联合体）郑重声明，根据《政府采购促进中小企业发展管理办法》（财库﹝2020﹞46 号）的规定，本公司</w:t>
      </w:r>
      <w:r>
        <w:rPr>
          <w:rFonts w:hint="eastAsia" w:ascii="仿宋" w:hAnsi="仿宋" w:eastAsia="仿宋" w:cs="仿宋"/>
          <w:kern w:val="0"/>
          <w:sz w:val="24"/>
          <w:szCs w:val="24"/>
          <w:highlight w:val="none"/>
          <w:u w:val="single"/>
        </w:rPr>
        <w:t>（联合体）</w:t>
      </w:r>
      <w:r>
        <w:rPr>
          <w:rFonts w:hint="eastAsia" w:ascii="仿宋" w:hAnsi="仿宋" w:eastAsia="仿宋" w:cs="仿宋"/>
          <w:kern w:val="0"/>
          <w:sz w:val="24"/>
          <w:szCs w:val="24"/>
          <w:highlight w:val="none"/>
        </w:rPr>
        <w:t>参加</w:t>
      </w:r>
      <w:r>
        <w:rPr>
          <w:rFonts w:hint="eastAsia" w:ascii="仿宋" w:hAnsi="仿宋" w:eastAsia="仿宋" w:cs="仿宋"/>
          <w:kern w:val="0"/>
          <w:sz w:val="24"/>
          <w:szCs w:val="24"/>
          <w:highlight w:val="none"/>
          <w:u w:val="single"/>
        </w:rPr>
        <w:t>（单位名称）</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（项目名称）</w:t>
      </w:r>
      <w:r>
        <w:rPr>
          <w:rFonts w:hint="eastAsia" w:ascii="仿宋" w:hAnsi="仿宋" w:eastAsia="仿宋" w:cs="仿宋"/>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806A1B">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u w:val="single"/>
        </w:rPr>
        <w:t>（标的名称）</w:t>
      </w:r>
      <w:r>
        <w:rPr>
          <w:rFonts w:hint="eastAsia" w:ascii="仿宋" w:hAnsi="仿宋" w:eastAsia="仿宋" w:cs="仿宋"/>
          <w:kern w:val="0"/>
          <w:sz w:val="24"/>
          <w:szCs w:val="24"/>
          <w:highlight w:val="none"/>
        </w:rPr>
        <w:t xml:space="preserve"> ，属于</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kern w:val="0"/>
          <w:sz w:val="24"/>
          <w:szCs w:val="24"/>
          <w:highlight w:val="none"/>
        </w:rPr>
        <w:t>；承建（承接）企业为</w:t>
      </w:r>
      <w:r>
        <w:rPr>
          <w:rFonts w:hint="eastAsia" w:ascii="仿宋" w:hAnsi="仿宋" w:eastAsia="仿宋" w:cs="仿宋"/>
          <w:kern w:val="0"/>
          <w:sz w:val="24"/>
          <w:szCs w:val="24"/>
          <w:highlight w:val="none"/>
          <w:u w:val="single"/>
        </w:rPr>
        <w:t>（企业名称）</w:t>
      </w:r>
      <w:r>
        <w:rPr>
          <w:rFonts w:hint="eastAsia" w:ascii="仿宋" w:hAnsi="仿宋" w:eastAsia="仿宋" w:cs="仿宋"/>
          <w:kern w:val="0"/>
          <w:sz w:val="24"/>
          <w:szCs w:val="24"/>
          <w:highlight w:val="none"/>
        </w:rPr>
        <w:t>，从业人员</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人，营业收入为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万元，资产总额为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kern w:val="0"/>
          <w:sz w:val="24"/>
          <w:szCs w:val="24"/>
          <w:highlight w:val="none"/>
        </w:rPr>
        <w:t>）；</w:t>
      </w:r>
    </w:p>
    <w:p w14:paraId="3BDA78AA">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u w:val="single"/>
        </w:rPr>
        <w:t>（标的名称）</w:t>
      </w:r>
      <w:r>
        <w:rPr>
          <w:rFonts w:hint="eastAsia" w:ascii="仿宋" w:hAnsi="仿宋" w:eastAsia="仿宋" w:cs="仿宋"/>
          <w:kern w:val="0"/>
          <w:sz w:val="24"/>
          <w:szCs w:val="24"/>
          <w:highlight w:val="none"/>
        </w:rPr>
        <w:t xml:space="preserve"> ，属于</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kern w:val="0"/>
          <w:sz w:val="24"/>
          <w:szCs w:val="24"/>
          <w:highlight w:val="none"/>
        </w:rPr>
        <w:t>；承建（承接）企业为</w:t>
      </w:r>
      <w:r>
        <w:rPr>
          <w:rFonts w:hint="eastAsia" w:ascii="仿宋" w:hAnsi="仿宋" w:eastAsia="仿宋" w:cs="仿宋"/>
          <w:kern w:val="0"/>
          <w:sz w:val="24"/>
          <w:szCs w:val="24"/>
          <w:highlight w:val="none"/>
          <w:u w:val="single"/>
        </w:rPr>
        <w:t>（企业名称）</w:t>
      </w:r>
      <w:r>
        <w:rPr>
          <w:rFonts w:hint="eastAsia" w:ascii="仿宋" w:hAnsi="仿宋" w:eastAsia="仿宋" w:cs="仿宋"/>
          <w:kern w:val="0"/>
          <w:sz w:val="24"/>
          <w:szCs w:val="24"/>
          <w:highlight w:val="none"/>
        </w:rPr>
        <w:t>，从业人员</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人，营业收入为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万元，资产总额为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kern w:val="0"/>
          <w:sz w:val="24"/>
          <w:szCs w:val="24"/>
          <w:highlight w:val="none"/>
        </w:rPr>
        <w:t>）；</w:t>
      </w:r>
    </w:p>
    <w:p w14:paraId="44477348">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p w14:paraId="516693A1">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以上企业，不属于大企业的分支机构，不存在控股股东为大企业的情形，也不存在与大企业的负责人为同一人的情形。</w:t>
      </w:r>
    </w:p>
    <w:p w14:paraId="2AFECBB6">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本企业对上述声明内容的真实性负责。如有虚假，将依法承担相应责任。</w:t>
      </w:r>
    </w:p>
    <w:p w14:paraId="42104DF8">
      <w:pPr>
        <w:spacing w:line="588" w:lineRule="exact"/>
        <w:ind w:firstLine="480" w:firstLineChars="200"/>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企业名称（盖章）：</w:t>
      </w:r>
    </w:p>
    <w:p w14:paraId="251BEFE6">
      <w:pPr>
        <w:spacing w:line="588" w:lineRule="exact"/>
        <w:ind w:right="480" w:firstLine="480" w:firstLineChars="200"/>
        <w:jc w:val="right"/>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t>日期：</w:t>
      </w:r>
    </w:p>
    <w:p w14:paraId="7E5D2C34">
      <w:pPr>
        <w:spacing w:line="588" w:lineRule="exact"/>
        <w:rPr>
          <w:rStyle w:val="45"/>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注：人员、营业收入、资产总额填报上一年度数据，无上一年度数据的新成立企业可不填报。</w:t>
      </w:r>
    </w:p>
    <w:p w14:paraId="4DDDEC85">
      <w:pPr>
        <w:spacing w:line="360" w:lineRule="auto"/>
        <w:ind w:firstLine="420" w:firstLineChars="200"/>
        <w:rPr>
          <w:rFonts w:hint="eastAsia" w:ascii="仿宋" w:hAnsi="仿宋" w:eastAsia="仿宋" w:cs="仿宋"/>
          <w:highlight w:val="none"/>
        </w:rPr>
      </w:pPr>
    </w:p>
    <w:p w14:paraId="5271AC7E">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384" w:name="_Toc2253"/>
      <w:bookmarkStart w:id="385" w:name="_Toc3480"/>
      <w:bookmarkStart w:id="386" w:name="_Toc28587"/>
      <w:bookmarkStart w:id="387" w:name="_Toc138177925"/>
      <w:r>
        <w:rPr>
          <w:rFonts w:hint="eastAsia" w:ascii="仿宋" w:hAnsi="仿宋" w:eastAsia="仿宋" w:cs="仿宋"/>
          <w:b/>
          <w:spacing w:val="6"/>
          <w:sz w:val="24"/>
          <w:highlight w:val="none"/>
        </w:rPr>
        <w:t>监狱企业声明函</w:t>
      </w:r>
      <w:bookmarkEnd w:id="384"/>
      <w:bookmarkEnd w:id="385"/>
      <w:bookmarkEnd w:id="386"/>
      <w:bookmarkEnd w:id="387"/>
    </w:p>
    <w:p w14:paraId="1FF6AC1F">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（监狱企业适用）</w:t>
      </w:r>
    </w:p>
    <w:p w14:paraId="64274BF6">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本公司郑重声明，根据《关于政府采购支持监狱企业发展有关问题的通知》（财库[2014]68号）的规定，本公司为监狱企业。</w:t>
      </w:r>
    </w:p>
    <w:p w14:paraId="462429E9">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本公司参加______单位的______项目采购活动，采购活动提供本企业（填写制造的货物，由本企业承担工程、提供服务）。</w:t>
      </w:r>
    </w:p>
    <w:p w14:paraId="42A7BDFF">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本条所称货物不包括使用大型企业注册商标的货物和服务。</w:t>
      </w:r>
    </w:p>
    <w:p w14:paraId="2F43855B">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本公司对上述声明的真实性负责。如有虚假，将依法承担相应责任。</w:t>
      </w:r>
    </w:p>
    <w:p w14:paraId="753B4322">
      <w:pPr>
        <w:keepNext w:val="0"/>
        <w:keepLines w:val="0"/>
        <w:pageBreakBefore w:val="0"/>
        <w:kinsoku/>
        <w:wordWrap/>
        <w:overflowPunct/>
        <w:topLinePunct w:val="0"/>
        <w:bidi w:val="0"/>
        <w:spacing w:line="360" w:lineRule="auto"/>
        <w:ind w:firstLine="4860" w:firstLineChars="2025"/>
        <w:textAlignment w:val="auto"/>
        <w:outlineLvl w:val="9"/>
        <w:rPr>
          <w:rFonts w:hint="eastAsia" w:ascii="仿宋" w:hAnsi="仿宋" w:eastAsia="仿宋" w:cs="仿宋"/>
          <w:sz w:val="24"/>
          <w:szCs w:val="24"/>
          <w:highlight w:val="none"/>
        </w:rPr>
      </w:pPr>
    </w:p>
    <w:p w14:paraId="4104A7AC">
      <w:pPr>
        <w:keepNext w:val="0"/>
        <w:keepLines w:val="0"/>
        <w:pageBreakBefore w:val="0"/>
        <w:kinsoku/>
        <w:wordWrap/>
        <w:overflowPunct/>
        <w:topLinePunct w:val="0"/>
        <w:bidi w:val="0"/>
        <w:spacing w:line="360" w:lineRule="auto"/>
        <w:ind w:firstLine="4320" w:firstLineChars="18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企业名称（加盖公章）：</w:t>
      </w:r>
    </w:p>
    <w:p w14:paraId="640A408F">
      <w:pPr>
        <w:keepNext w:val="0"/>
        <w:keepLines w:val="0"/>
        <w:pageBreakBefore w:val="0"/>
        <w:kinsoku/>
        <w:wordWrap/>
        <w:overflowPunct/>
        <w:topLinePunct w:val="0"/>
        <w:bidi w:val="0"/>
        <w:spacing w:line="360" w:lineRule="auto"/>
        <w:jc w:val="righ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法定代表人（负责人）或其授权代表(签字)：</w:t>
      </w:r>
    </w:p>
    <w:p w14:paraId="13846868">
      <w:pPr>
        <w:keepNext w:val="0"/>
        <w:keepLines w:val="0"/>
        <w:pageBreakBefore w:val="0"/>
        <w:tabs>
          <w:tab w:val="left" w:pos="2880"/>
        </w:tabs>
        <w:kinsoku/>
        <w:wordWrap/>
        <w:overflowPunct/>
        <w:topLinePunct w:val="0"/>
        <w:bidi w:val="0"/>
        <w:spacing w:line="460" w:lineRule="atLeast"/>
        <w:ind w:firstLine="4560" w:firstLineChars="19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5E14B18D">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注：后附监狱企业资格证明文件</w:t>
      </w:r>
    </w:p>
    <w:p w14:paraId="575BDAD3">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省级以上监狱管理局、戒毒管理局（含新疆生产建设兵团）出具的属于监狱企业的证明文件；</w:t>
      </w:r>
    </w:p>
    <w:p w14:paraId="33EAABBB">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2.证明材料加盖供应商公章。</w:t>
      </w:r>
    </w:p>
    <w:p w14:paraId="3B4A7A76">
      <w:pPr>
        <w:keepNext w:val="0"/>
        <w:keepLines w:val="0"/>
        <w:pageBreakBefore w:val="0"/>
        <w:kinsoku/>
        <w:wordWrap/>
        <w:overflowPunct/>
        <w:topLinePunct w:val="0"/>
        <w:bidi w:val="0"/>
        <w:spacing w:line="360" w:lineRule="auto"/>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（若响应性文件中无上述证明文件，则在评审时不考虑对该监狱企业的相关优惠。） </w:t>
      </w:r>
    </w:p>
    <w:p w14:paraId="70442931">
      <w:pPr>
        <w:keepNext w:val="0"/>
        <w:keepLines w:val="0"/>
        <w:pageBreakBefore w:val="0"/>
        <w:tabs>
          <w:tab w:val="left" w:pos="3600"/>
        </w:tabs>
        <w:kinsoku/>
        <w:wordWrap/>
        <w:overflowPunct/>
        <w:topLinePunct w:val="0"/>
        <w:bidi w:val="0"/>
        <w:adjustRightInd w:val="0"/>
        <w:snapToGrid w:val="0"/>
        <w:spacing w:line="440" w:lineRule="exact"/>
        <w:jc w:val="center"/>
        <w:textAlignment w:val="auto"/>
        <w:outlineLvl w:val="9"/>
        <w:rPr>
          <w:rFonts w:hint="eastAsia" w:ascii="仿宋" w:hAnsi="仿宋" w:eastAsia="仿宋" w:cs="仿宋"/>
          <w:highlight w:val="none"/>
        </w:rPr>
      </w:pPr>
    </w:p>
    <w:p w14:paraId="1CCA8083">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spacing w:val="6"/>
          <w:sz w:val="24"/>
          <w:highlight w:val="none"/>
        </w:rPr>
      </w:pPr>
      <w:bookmarkStart w:id="388" w:name="_Toc2606"/>
      <w:bookmarkStart w:id="389" w:name="_Toc20936"/>
      <w:bookmarkStart w:id="390" w:name="_Toc138177926"/>
      <w:bookmarkStart w:id="391" w:name="_Toc12565"/>
    </w:p>
    <w:p w14:paraId="3A3907F7">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spacing w:val="6"/>
          <w:sz w:val="24"/>
          <w:highlight w:val="none"/>
        </w:rPr>
      </w:pPr>
      <w:r>
        <w:rPr>
          <w:rFonts w:hint="eastAsia" w:ascii="仿宋" w:hAnsi="仿宋" w:eastAsia="仿宋" w:cs="仿宋"/>
          <w:b/>
          <w:spacing w:val="6"/>
          <w:sz w:val="24"/>
          <w:highlight w:val="none"/>
        </w:rPr>
        <w:t>残疾人福利性单位声明函</w:t>
      </w:r>
      <w:bookmarkEnd w:id="388"/>
      <w:bookmarkEnd w:id="389"/>
      <w:bookmarkEnd w:id="390"/>
      <w:bookmarkEnd w:id="391"/>
    </w:p>
    <w:p w14:paraId="09FEA8B1">
      <w:pPr>
        <w:keepNext w:val="0"/>
        <w:keepLines w:val="0"/>
        <w:pageBreakBefore w:val="0"/>
        <w:kinsoku/>
        <w:wordWrap/>
        <w:overflowPunct/>
        <w:topLinePunct w:val="0"/>
        <w:autoSpaceDE w:val="0"/>
        <w:autoSpaceDN w:val="0"/>
        <w:bidi w:val="0"/>
        <w:adjustRightInd w:val="0"/>
        <w:spacing w:line="440" w:lineRule="exact"/>
        <w:textAlignment w:val="auto"/>
        <w:outlineLvl w:val="9"/>
        <w:rPr>
          <w:rFonts w:hint="eastAsia" w:ascii="仿宋" w:hAnsi="仿宋" w:eastAsia="仿宋" w:cs="仿宋"/>
          <w:b/>
          <w:bCs/>
          <w:spacing w:val="6"/>
          <w:highlight w:val="none"/>
        </w:rPr>
      </w:pPr>
    </w:p>
    <w:p w14:paraId="25B31A08">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6467BA">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 xml:space="preserve">本单位对上述声明的真实性负责。如有虚假，将依法承担相应责任。 </w:t>
      </w:r>
    </w:p>
    <w:p w14:paraId="7D35CF31">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spacing w:val="6"/>
          <w:sz w:val="24"/>
          <w:szCs w:val="28"/>
          <w:highlight w:val="none"/>
        </w:rPr>
      </w:pPr>
    </w:p>
    <w:p w14:paraId="67F500DE">
      <w:pPr>
        <w:keepNext w:val="0"/>
        <w:keepLines w:val="0"/>
        <w:pageBreakBefore w:val="0"/>
        <w:kinsoku/>
        <w:wordWrap/>
        <w:overflowPunct/>
        <w:topLinePunct w:val="0"/>
        <w:bidi w:val="0"/>
        <w:adjustRightInd w:val="0"/>
        <w:snapToGrid w:val="0"/>
        <w:spacing w:line="440" w:lineRule="exact"/>
        <w:ind w:firstLine="5544" w:firstLineChars="2200"/>
        <w:textAlignment w:val="auto"/>
        <w:outlineLvl w:val="9"/>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单位名称（盖章）：</w:t>
      </w:r>
    </w:p>
    <w:p w14:paraId="207EA999">
      <w:pPr>
        <w:keepNext w:val="0"/>
        <w:keepLines w:val="0"/>
        <w:pageBreakBefore w:val="0"/>
        <w:widowControl/>
        <w:kinsoku/>
        <w:wordWrap/>
        <w:overflowPunct/>
        <w:topLinePunct w:val="0"/>
        <w:bidi w:val="0"/>
        <w:spacing w:line="360" w:lineRule="auto"/>
        <w:jc w:val="center"/>
        <w:textAlignment w:val="auto"/>
        <w:outlineLvl w:val="9"/>
        <w:rPr>
          <w:rFonts w:hint="eastAsia" w:ascii="仿宋" w:hAnsi="仿宋" w:eastAsia="仿宋" w:cs="仿宋"/>
          <w:sz w:val="24"/>
          <w:szCs w:val="24"/>
          <w:highlight w:val="none"/>
          <w:shd w:val="clear" w:color="auto" w:fill="FFFFFF" w:themeFill="background1"/>
        </w:rPr>
      </w:pPr>
      <w:r>
        <w:rPr>
          <w:rFonts w:hint="eastAsia" w:ascii="仿宋" w:hAnsi="仿宋" w:eastAsia="仿宋" w:cs="仿宋"/>
          <w:spacing w:val="6"/>
          <w:sz w:val="24"/>
          <w:szCs w:val="28"/>
          <w:highlight w:val="none"/>
          <w:lang w:val="en-US" w:eastAsia="zh-CN"/>
        </w:rPr>
        <w:t xml:space="preserve">                      </w:t>
      </w:r>
      <w:r>
        <w:rPr>
          <w:rFonts w:hint="eastAsia" w:ascii="仿宋" w:hAnsi="仿宋" w:eastAsia="仿宋" w:cs="仿宋"/>
          <w:spacing w:val="6"/>
          <w:sz w:val="24"/>
          <w:szCs w:val="28"/>
          <w:highlight w:val="none"/>
        </w:rPr>
        <w:t>日  期：</w:t>
      </w:r>
    </w:p>
    <w:p w14:paraId="02DC825F">
      <w:pPr>
        <w:keepNext w:val="0"/>
        <w:keepLines w:val="0"/>
        <w:pageBreakBefore w:val="0"/>
        <w:widowControl/>
        <w:kinsoku/>
        <w:wordWrap/>
        <w:overflowPunct/>
        <w:topLinePunct w:val="0"/>
        <w:bidi w:val="0"/>
        <w:spacing w:line="360" w:lineRule="auto"/>
        <w:jc w:val="left"/>
        <w:textAlignment w:val="auto"/>
        <w:outlineLvl w:val="9"/>
        <w:rPr>
          <w:rFonts w:hint="eastAsia" w:ascii="仿宋" w:hAnsi="仿宋" w:eastAsia="仿宋" w:cs="仿宋"/>
          <w:b/>
          <w:sz w:val="24"/>
          <w:szCs w:val="24"/>
          <w:highlight w:val="none"/>
          <w:shd w:val="clear" w:color="auto" w:fill="FFFFFF" w:themeFill="background1"/>
        </w:rPr>
      </w:pPr>
    </w:p>
    <w:p w14:paraId="154BC4E1">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392" w:name="_Toc38446479"/>
      <w:bookmarkStart w:id="393" w:name="_Toc25643"/>
      <w:bookmarkStart w:id="394" w:name="_Toc507586174"/>
      <w:bookmarkStart w:id="395" w:name="_Toc533503190"/>
      <w:bookmarkStart w:id="396" w:name="_Toc9955"/>
      <w:r>
        <w:rPr>
          <w:rFonts w:hint="eastAsia" w:ascii="仿宋" w:hAnsi="仿宋" w:eastAsia="仿宋" w:cs="仿宋"/>
          <w:b/>
          <w:sz w:val="24"/>
          <w:szCs w:val="24"/>
          <w:highlight w:val="none"/>
          <w:shd w:val="clear" w:color="auto" w:fill="FFFFFF" w:themeFill="background1"/>
        </w:rPr>
        <w:t>九、</w:t>
      </w:r>
      <w:bookmarkEnd w:id="392"/>
      <w:bookmarkEnd w:id="393"/>
      <w:bookmarkEnd w:id="394"/>
      <w:bookmarkEnd w:id="395"/>
      <w:r>
        <w:rPr>
          <w:rFonts w:hint="eastAsia" w:ascii="仿宋" w:hAnsi="仿宋" w:eastAsia="仿宋" w:cs="仿宋"/>
          <w:b/>
          <w:bCs/>
          <w:sz w:val="24"/>
          <w:szCs w:val="24"/>
          <w:highlight w:val="none"/>
          <w:shd w:val="clear" w:color="auto" w:fill="FFFFFF" w:themeFill="background1"/>
        </w:rPr>
        <w:t>投标人近三年类似项目业绩表</w:t>
      </w:r>
      <w:bookmarkEnd w:id="396"/>
    </w:p>
    <w:p w14:paraId="7F3AB0D6">
      <w:pPr>
        <w:spacing w:line="360" w:lineRule="auto"/>
        <w:jc w:val="left"/>
        <w:rPr>
          <w:rFonts w:hint="eastAsia" w:ascii="仿宋" w:hAnsi="仿宋" w:eastAsia="仿宋" w:cs="仿宋"/>
          <w:sz w:val="24"/>
          <w:szCs w:val="24"/>
          <w:highlight w:val="none"/>
          <w:shd w:val="clear" w:color="auto" w:fill="FFFFFF" w:themeFill="background1"/>
        </w:rPr>
      </w:pPr>
    </w:p>
    <w:tbl>
      <w:tblPr>
        <w:tblStyle w:val="43"/>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4FCB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BAFF660">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25737E2F">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7757B8E">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E6DCBF8">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采购人</w:t>
            </w:r>
          </w:p>
          <w:p w14:paraId="7AA8A25E">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7B03615A">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557520FE">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540D07B">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75B3836">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备注</w:t>
            </w:r>
          </w:p>
        </w:tc>
      </w:tr>
      <w:tr w14:paraId="4FA1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310E08C">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F0A195F">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15E17D">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ADC8711">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29E9148">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434F5E7">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168248">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1B5A755">
            <w:pPr>
              <w:jc w:val="center"/>
              <w:rPr>
                <w:rFonts w:hint="eastAsia" w:ascii="仿宋" w:hAnsi="仿宋" w:eastAsia="仿宋" w:cs="仿宋"/>
                <w:kern w:val="0"/>
                <w:sz w:val="24"/>
                <w:szCs w:val="24"/>
                <w:highlight w:val="none"/>
                <w:shd w:val="clear" w:color="auto" w:fill="FFFFFF" w:themeFill="background1"/>
              </w:rPr>
            </w:pPr>
          </w:p>
        </w:tc>
      </w:tr>
      <w:tr w14:paraId="0A3FA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17E1667">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C21E8D9">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F47275">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85BF752">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B845EC0">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327D19E">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F934748">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4E7D94">
            <w:pPr>
              <w:jc w:val="center"/>
              <w:rPr>
                <w:rFonts w:hint="eastAsia" w:ascii="仿宋" w:hAnsi="仿宋" w:eastAsia="仿宋" w:cs="仿宋"/>
                <w:kern w:val="0"/>
                <w:sz w:val="24"/>
                <w:szCs w:val="24"/>
                <w:highlight w:val="none"/>
                <w:shd w:val="clear" w:color="auto" w:fill="FFFFFF" w:themeFill="background1"/>
              </w:rPr>
            </w:pPr>
          </w:p>
        </w:tc>
      </w:tr>
      <w:tr w14:paraId="35FA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C0817B4">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5619ECC">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6D97C1">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F9F6EC7">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13011DA">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C5F7CBD">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26073C">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AEDE31D">
            <w:pPr>
              <w:jc w:val="center"/>
              <w:rPr>
                <w:rFonts w:hint="eastAsia" w:ascii="仿宋" w:hAnsi="仿宋" w:eastAsia="仿宋" w:cs="仿宋"/>
                <w:kern w:val="0"/>
                <w:sz w:val="24"/>
                <w:szCs w:val="24"/>
                <w:highlight w:val="none"/>
                <w:shd w:val="clear" w:color="auto" w:fill="FFFFFF" w:themeFill="background1"/>
              </w:rPr>
            </w:pPr>
          </w:p>
        </w:tc>
      </w:tr>
      <w:tr w14:paraId="5DA3E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F4930C">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CDB7864">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B26C64">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56A1E7F">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D930068">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3380647">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41179F">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36777BA">
            <w:pPr>
              <w:jc w:val="center"/>
              <w:rPr>
                <w:rFonts w:hint="eastAsia" w:ascii="仿宋" w:hAnsi="仿宋" w:eastAsia="仿宋" w:cs="仿宋"/>
                <w:kern w:val="0"/>
                <w:sz w:val="24"/>
                <w:szCs w:val="24"/>
                <w:highlight w:val="none"/>
                <w:shd w:val="clear" w:color="auto" w:fill="FFFFFF" w:themeFill="background1"/>
              </w:rPr>
            </w:pPr>
          </w:p>
        </w:tc>
      </w:tr>
      <w:tr w14:paraId="499F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BA0FFCF">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1E179A3">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D017DD">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A407899">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6797969">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886573">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1372B7">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C09293D">
            <w:pPr>
              <w:jc w:val="center"/>
              <w:rPr>
                <w:rFonts w:hint="eastAsia" w:ascii="仿宋" w:hAnsi="仿宋" w:eastAsia="仿宋" w:cs="仿宋"/>
                <w:kern w:val="0"/>
                <w:sz w:val="24"/>
                <w:szCs w:val="24"/>
                <w:highlight w:val="none"/>
                <w:shd w:val="clear" w:color="auto" w:fill="FFFFFF" w:themeFill="background1"/>
              </w:rPr>
            </w:pPr>
          </w:p>
        </w:tc>
      </w:tr>
    </w:tbl>
    <w:p w14:paraId="7EC46C53">
      <w:pPr>
        <w:spacing w:line="360" w:lineRule="auto"/>
        <w:jc w:val="left"/>
        <w:rPr>
          <w:rFonts w:hint="eastAsia" w:ascii="仿宋" w:hAnsi="仿宋" w:eastAsia="仿宋" w:cs="仿宋"/>
          <w:sz w:val="24"/>
          <w:szCs w:val="24"/>
          <w:highlight w:val="none"/>
          <w:shd w:val="clear" w:color="auto" w:fill="FFFFFF" w:themeFill="background1"/>
        </w:rPr>
      </w:pPr>
    </w:p>
    <w:p w14:paraId="49726652">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备注：本表后须附业绩的证明资料：</w:t>
      </w:r>
      <w:r>
        <w:rPr>
          <w:rFonts w:hint="eastAsia" w:ascii="仿宋" w:hAnsi="仿宋" w:eastAsia="仿宋" w:cs="仿宋"/>
          <w:sz w:val="24"/>
          <w:szCs w:val="24"/>
          <w:highlight w:val="none"/>
          <w:u w:val="single"/>
          <w:shd w:val="clear" w:color="auto" w:fill="FFFFFF" w:themeFill="background1"/>
        </w:rPr>
        <w:t>需提供招标文件要求的有关书面证明材料。</w:t>
      </w:r>
    </w:p>
    <w:p w14:paraId="32EAD2EA">
      <w:pPr>
        <w:spacing w:line="360" w:lineRule="auto"/>
        <w:ind w:firstLine="480" w:firstLineChars="200"/>
        <w:rPr>
          <w:rFonts w:hint="eastAsia" w:ascii="仿宋" w:hAnsi="仿宋" w:eastAsia="仿宋" w:cs="仿宋"/>
          <w:sz w:val="24"/>
          <w:szCs w:val="24"/>
          <w:highlight w:val="none"/>
          <w:u w:val="single"/>
          <w:shd w:val="clear" w:color="auto" w:fill="FFFFFF" w:themeFill="background1"/>
        </w:rPr>
      </w:pPr>
    </w:p>
    <w:p w14:paraId="5AEFC81F">
      <w:pPr>
        <w:spacing w:line="360" w:lineRule="auto"/>
        <w:ind w:firstLine="480" w:firstLineChars="200"/>
        <w:rPr>
          <w:rFonts w:hint="eastAsia" w:ascii="仿宋" w:hAnsi="仿宋" w:eastAsia="仿宋" w:cs="仿宋"/>
          <w:sz w:val="24"/>
          <w:szCs w:val="24"/>
          <w:highlight w:val="none"/>
          <w:u w:val="single"/>
          <w:shd w:val="clear" w:color="auto" w:fill="FFFFFF" w:themeFill="background1"/>
        </w:rPr>
      </w:pPr>
    </w:p>
    <w:p w14:paraId="6C8143EA">
      <w:pPr>
        <w:widowControl/>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p>
    <w:p w14:paraId="064DE4BE">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397" w:name="_Toc20381"/>
      <w:bookmarkStart w:id="398" w:name="_Toc15333"/>
      <w:bookmarkStart w:id="399" w:name="_Toc533503191"/>
      <w:bookmarkStart w:id="400" w:name="_Toc507586175"/>
      <w:bookmarkStart w:id="401" w:name="_Toc38446480"/>
      <w:r>
        <w:rPr>
          <w:rFonts w:hint="eastAsia" w:ascii="仿宋" w:hAnsi="仿宋" w:eastAsia="仿宋" w:cs="仿宋"/>
          <w:b/>
          <w:sz w:val="24"/>
          <w:szCs w:val="24"/>
          <w:highlight w:val="none"/>
          <w:shd w:val="clear" w:color="auto" w:fill="FFFFFF" w:themeFill="background1"/>
        </w:rPr>
        <w:t>十、</w:t>
      </w:r>
      <w:r>
        <w:rPr>
          <w:rFonts w:hint="eastAsia" w:ascii="仿宋" w:hAnsi="仿宋" w:eastAsia="仿宋" w:cs="仿宋"/>
          <w:b/>
          <w:bCs/>
          <w:sz w:val="24"/>
          <w:szCs w:val="24"/>
          <w:highlight w:val="none"/>
          <w:shd w:val="clear" w:color="auto" w:fill="FFFFFF" w:themeFill="background1"/>
        </w:rPr>
        <w:t>项目负责人简历表</w:t>
      </w:r>
      <w:bookmarkEnd w:id="397"/>
      <w:bookmarkEnd w:id="398"/>
      <w:bookmarkEnd w:id="399"/>
      <w:bookmarkEnd w:id="400"/>
      <w:bookmarkEnd w:id="401"/>
    </w:p>
    <w:p w14:paraId="377DBA2F">
      <w:pPr>
        <w:spacing w:line="360" w:lineRule="auto"/>
        <w:jc w:val="left"/>
        <w:rPr>
          <w:rFonts w:hint="eastAsia" w:ascii="仿宋" w:hAnsi="仿宋" w:eastAsia="仿宋" w:cs="仿宋"/>
          <w:sz w:val="24"/>
          <w:szCs w:val="24"/>
          <w:highlight w:val="none"/>
          <w:shd w:val="clear" w:color="auto" w:fill="FFFFFF" w:themeFill="background1"/>
        </w:rPr>
      </w:pPr>
    </w:p>
    <w:tbl>
      <w:tblPr>
        <w:tblStyle w:val="42"/>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0D8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F1E98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姓名</w:t>
            </w:r>
          </w:p>
        </w:tc>
        <w:tc>
          <w:tcPr>
            <w:tcW w:w="2602" w:type="dxa"/>
            <w:gridSpan w:val="2"/>
            <w:vAlign w:val="center"/>
          </w:tcPr>
          <w:p w14:paraId="454DFA8D">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6AE7D753">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性别</w:t>
            </w:r>
          </w:p>
        </w:tc>
        <w:tc>
          <w:tcPr>
            <w:tcW w:w="2639" w:type="dxa"/>
            <w:gridSpan w:val="2"/>
            <w:vAlign w:val="center"/>
          </w:tcPr>
          <w:p w14:paraId="56E8C7ED">
            <w:pPr>
              <w:spacing w:line="360" w:lineRule="auto"/>
              <w:jc w:val="center"/>
              <w:rPr>
                <w:rFonts w:hint="eastAsia" w:ascii="仿宋" w:hAnsi="仿宋" w:eastAsia="仿宋" w:cs="仿宋"/>
                <w:sz w:val="24"/>
                <w:szCs w:val="24"/>
                <w:highlight w:val="none"/>
                <w:shd w:val="clear" w:color="auto" w:fill="FFFFFF" w:themeFill="background1"/>
              </w:rPr>
            </w:pPr>
          </w:p>
        </w:tc>
      </w:tr>
      <w:tr w14:paraId="3452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5230F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身份证号码</w:t>
            </w:r>
          </w:p>
        </w:tc>
        <w:tc>
          <w:tcPr>
            <w:tcW w:w="2602" w:type="dxa"/>
            <w:gridSpan w:val="2"/>
            <w:vAlign w:val="center"/>
          </w:tcPr>
          <w:p w14:paraId="29704297">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35590CD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学历</w:t>
            </w:r>
          </w:p>
        </w:tc>
        <w:tc>
          <w:tcPr>
            <w:tcW w:w="2639" w:type="dxa"/>
            <w:gridSpan w:val="2"/>
            <w:vAlign w:val="center"/>
          </w:tcPr>
          <w:p w14:paraId="12D7F424">
            <w:pPr>
              <w:spacing w:line="360" w:lineRule="auto"/>
              <w:jc w:val="center"/>
              <w:rPr>
                <w:rFonts w:hint="eastAsia" w:ascii="仿宋" w:hAnsi="仿宋" w:eastAsia="仿宋" w:cs="仿宋"/>
                <w:sz w:val="24"/>
                <w:szCs w:val="24"/>
                <w:highlight w:val="none"/>
                <w:shd w:val="clear" w:color="auto" w:fill="FFFFFF" w:themeFill="background1"/>
              </w:rPr>
            </w:pPr>
          </w:p>
        </w:tc>
      </w:tr>
      <w:tr w14:paraId="7A46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62562B6">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毕业学校</w:t>
            </w:r>
          </w:p>
        </w:tc>
        <w:tc>
          <w:tcPr>
            <w:tcW w:w="2602" w:type="dxa"/>
            <w:gridSpan w:val="2"/>
            <w:vAlign w:val="center"/>
          </w:tcPr>
          <w:p w14:paraId="651CB580">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154C807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专业</w:t>
            </w:r>
          </w:p>
        </w:tc>
        <w:tc>
          <w:tcPr>
            <w:tcW w:w="2639" w:type="dxa"/>
            <w:gridSpan w:val="2"/>
            <w:vAlign w:val="center"/>
          </w:tcPr>
          <w:p w14:paraId="1A834C85">
            <w:pPr>
              <w:spacing w:line="360" w:lineRule="auto"/>
              <w:jc w:val="center"/>
              <w:rPr>
                <w:rFonts w:hint="eastAsia" w:ascii="仿宋" w:hAnsi="仿宋" w:eastAsia="仿宋" w:cs="仿宋"/>
                <w:sz w:val="24"/>
                <w:szCs w:val="24"/>
                <w:highlight w:val="none"/>
                <w:shd w:val="clear" w:color="auto" w:fill="FFFFFF" w:themeFill="background1"/>
              </w:rPr>
            </w:pPr>
          </w:p>
        </w:tc>
      </w:tr>
      <w:tr w14:paraId="1EEE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07DE08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参加工作时间</w:t>
            </w:r>
          </w:p>
        </w:tc>
        <w:tc>
          <w:tcPr>
            <w:tcW w:w="2602" w:type="dxa"/>
            <w:gridSpan w:val="2"/>
            <w:vAlign w:val="center"/>
          </w:tcPr>
          <w:p w14:paraId="59D361BE">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1D528D5F">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从事本职业年限</w:t>
            </w:r>
          </w:p>
        </w:tc>
        <w:tc>
          <w:tcPr>
            <w:tcW w:w="2639" w:type="dxa"/>
            <w:gridSpan w:val="2"/>
            <w:vAlign w:val="center"/>
          </w:tcPr>
          <w:p w14:paraId="584F4C31">
            <w:pPr>
              <w:spacing w:line="360" w:lineRule="auto"/>
              <w:jc w:val="center"/>
              <w:rPr>
                <w:rFonts w:hint="eastAsia" w:ascii="仿宋" w:hAnsi="仿宋" w:eastAsia="仿宋" w:cs="仿宋"/>
                <w:sz w:val="24"/>
                <w:szCs w:val="24"/>
                <w:highlight w:val="none"/>
                <w:shd w:val="clear" w:color="auto" w:fill="FFFFFF" w:themeFill="background1"/>
              </w:rPr>
            </w:pPr>
          </w:p>
        </w:tc>
      </w:tr>
      <w:tr w14:paraId="34F0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B7648D7">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在公司担任职务</w:t>
            </w:r>
          </w:p>
        </w:tc>
        <w:tc>
          <w:tcPr>
            <w:tcW w:w="2602" w:type="dxa"/>
            <w:gridSpan w:val="2"/>
            <w:vAlign w:val="center"/>
          </w:tcPr>
          <w:p w14:paraId="00D2DB6D">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67A42C3F">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联系方式</w:t>
            </w:r>
          </w:p>
        </w:tc>
        <w:tc>
          <w:tcPr>
            <w:tcW w:w="2639" w:type="dxa"/>
            <w:gridSpan w:val="2"/>
            <w:vAlign w:val="center"/>
          </w:tcPr>
          <w:p w14:paraId="36A480BB">
            <w:pPr>
              <w:spacing w:line="360" w:lineRule="auto"/>
              <w:jc w:val="center"/>
              <w:rPr>
                <w:rFonts w:hint="eastAsia" w:ascii="仿宋" w:hAnsi="仿宋" w:eastAsia="仿宋" w:cs="仿宋"/>
                <w:sz w:val="24"/>
                <w:szCs w:val="24"/>
                <w:highlight w:val="none"/>
                <w:shd w:val="clear" w:color="auto" w:fill="FFFFFF" w:themeFill="background1"/>
              </w:rPr>
            </w:pPr>
          </w:p>
        </w:tc>
      </w:tr>
      <w:tr w14:paraId="1A22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425AD8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证书名称</w:t>
            </w:r>
          </w:p>
        </w:tc>
        <w:tc>
          <w:tcPr>
            <w:tcW w:w="2602" w:type="dxa"/>
            <w:gridSpan w:val="2"/>
            <w:vAlign w:val="center"/>
          </w:tcPr>
          <w:p w14:paraId="3FCE1B56">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61A8301E">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证书编号</w:t>
            </w:r>
          </w:p>
        </w:tc>
        <w:tc>
          <w:tcPr>
            <w:tcW w:w="2639" w:type="dxa"/>
            <w:gridSpan w:val="2"/>
            <w:vAlign w:val="center"/>
          </w:tcPr>
          <w:p w14:paraId="475E2DD2">
            <w:pPr>
              <w:spacing w:line="360" w:lineRule="auto"/>
              <w:jc w:val="center"/>
              <w:rPr>
                <w:rFonts w:hint="eastAsia" w:ascii="仿宋" w:hAnsi="仿宋" w:eastAsia="仿宋" w:cs="仿宋"/>
                <w:sz w:val="24"/>
                <w:szCs w:val="24"/>
                <w:highlight w:val="none"/>
                <w:shd w:val="clear" w:color="auto" w:fill="FFFFFF" w:themeFill="background1"/>
              </w:rPr>
            </w:pPr>
          </w:p>
        </w:tc>
      </w:tr>
      <w:tr w14:paraId="3E7D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F5E75B0">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近三年类似业绩</w:t>
            </w:r>
          </w:p>
        </w:tc>
        <w:tc>
          <w:tcPr>
            <w:tcW w:w="1372" w:type="dxa"/>
            <w:vAlign w:val="center"/>
          </w:tcPr>
          <w:p w14:paraId="599A4B08">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项目名称</w:t>
            </w:r>
          </w:p>
        </w:tc>
        <w:tc>
          <w:tcPr>
            <w:tcW w:w="1463" w:type="dxa"/>
            <w:gridSpan w:val="2"/>
            <w:vAlign w:val="center"/>
          </w:tcPr>
          <w:p w14:paraId="1CEA20A6">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采购人</w:t>
            </w:r>
          </w:p>
        </w:tc>
        <w:tc>
          <w:tcPr>
            <w:tcW w:w="1702" w:type="dxa"/>
            <w:vAlign w:val="center"/>
          </w:tcPr>
          <w:p w14:paraId="7FC9159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合同内容</w:t>
            </w:r>
          </w:p>
        </w:tc>
        <w:tc>
          <w:tcPr>
            <w:tcW w:w="1275" w:type="dxa"/>
            <w:vAlign w:val="center"/>
          </w:tcPr>
          <w:p w14:paraId="21A03BED">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合同价格</w:t>
            </w:r>
          </w:p>
        </w:tc>
        <w:tc>
          <w:tcPr>
            <w:tcW w:w="1364" w:type="dxa"/>
            <w:vAlign w:val="center"/>
          </w:tcPr>
          <w:p w14:paraId="1C2F5389">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签约日期</w:t>
            </w:r>
          </w:p>
        </w:tc>
      </w:tr>
      <w:tr w14:paraId="79D7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6F9C604">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4C78CD91">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739FE1F3">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37E77769">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0ED3D2AF">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62B1912F">
            <w:pPr>
              <w:spacing w:line="360" w:lineRule="auto"/>
              <w:jc w:val="center"/>
              <w:rPr>
                <w:rFonts w:hint="eastAsia" w:ascii="仿宋" w:hAnsi="仿宋" w:eastAsia="仿宋" w:cs="仿宋"/>
                <w:sz w:val="24"/>
                <w:szCs w:val="24"/>
                <w:highlight w:val="none"/>
                <w:shd w:val="clear" w:color="auto" w:fill="FFFFFF" w:themeFill="background1"/>
              </w:rPr>
            </w:pPr>
          </w:p>
        </w:tc>
      </w:tr>
      <w:tr w14:paraId="46AA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3A0A442">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4E162D1F">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6FB11DE9">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5BE17873">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0E18E698">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6466682B">
            <w:pPr>
              <w:spacing w:line="360" w:lineRule="auto"/>
              <w:jc w:val="center"/>
              <w:rPr>
                <w:rFonts w:hint="eastAsia" w:ascii="仿宋" w:hAnsi="仿宋" w:eastAsia="仿宋" w:cs="仿宋"/>
                <w:sz w:val="24"/>
                <w:szCs w:val="24"/>
                <w:highlight w:val="none"/>
                <w:shd w:val="clear" w:color="auto" w:fill="FFFFFF" w:themeFill="background1"/>
              </w:rPr>
            </w:pPr>
          </w:p>
        </w:tc>
      </w:tr>
      <w:tr w14:paraId="1A45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BF35109">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07F60F21">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132A4DD7">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43911FCB">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2DD6DB95">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039EA435">
            <w:pPr>
              <w:spacing w:line="360" w:lineRule="auto"/>
              <w:jc w:val="center"/>
              <w:rPr>
                <w:rFonts w:hint="eastAsia" w:ascii="仿宋" w:hAnsi="仿宋" w:eastAsia="仿宋" w:cs="仿宋"/>
                <w:sz w:val="24"/>
                <w:szCs w:val="24"/>
                <w:highlight w:val="none"/>
                <w:shd w:val="clear" w:color="auto" w:fill="FFFFFF" w:themeFill="background1"/>
              </w:rPr>
            </w:pPr>
          </w:p>
        </w:tc>
      </w:tr>
      <w:tr w14:paraId="31D0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4EBB40D">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5E534F5C">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3733653E">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3A052A43">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35DB5907">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1E43C495">
            <w:pPr>
              <w:spacing w:line="360" w:lineRule="auto"/>
              <w:jc w:val="center"/>
              <w:rPr>
                <w:rFonts w:hint="eastAsia" w:ascii="仿宋" w:hAnsi="仿宋" w:eastAsia="仿宋" w:cs="仿宋"/>
                <w:sz w:val="24"/>
                <w:szCs w:val="24"/>
                <w:highlight w:val="none"/>
                <w:shd w:val="clear" w:color="auto" w:fill="FFFFFF" w:themeFill="background1"/>
              </w:rPr>
            </w:pPr>
          </w:p>
        </w:tc>
      </w:tr>
      <w:tr w14:paraId="75B1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32BCA8B">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28F64FF0">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0BE451B8">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16ED4B6C">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5267E0A7">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3852179B">
            <w:pPr>
              <w:spacing w:line="360" w:lineRule="auto"/>
              <w:jc w:val="center"/>
              <w:rPr>
                <w:rFonts w:hint="eastAsia" w:ascii="仿宋" w:hAnsi="仿宋" w:eastAsia="仿宋" w:cs="仿宋"/>
                <w:sz w:val="24"/>
                <w:szCs w:val="24"/>
                <w:highlight w:val="none"/>
                <w:shd w:val="clear" w:color="auto" w:fill="FFFFFF" w:themeFill="background1"/>
              </w:rPr>
            </w:pPr>
          </w:p>
        </w:tc>
      </w:tr>
    </w:tbl>
    <w:p w14:paraId="5468EBDB">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7062E10B">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备注：本表后需提供招标文件要求的有关书面证明材料。</w:t>
      </w:r>
    </w:p>
    <w:p w14:paraId="2468B98E">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402" w:name="_Toc507586176"/>
      <w:r>
        <w:rPr>
          <w:rFonts w:hint="eastAsia" w:ascii="仿宋" w:hAnsi="仿宋" w:eastAsia="仿宋" w:cs="仿宋"/>
          <w:b/>
          <w:bCs/>
          <w:sz w:val="24"/>
          <w:szCs w:val="24"/>
          <w:highlight w:val="none"/>
          <w:shd w:val="clear" w:color="auto" w:fill="FFFFFF" w:themeFill="background1"/>
        </w:rPr>
        <w:br w:type="page"/>
      </w:r>
      <w:bookmarkStart w:id="403" w:name="_Toc38446481"/>
      <w:bookmarkStart w:id="404" w:name="_Toc533503192"/>
      <w:bookmarkStart w:id="405" w:name="_Toc5101"/>
      <w:bookmarkStart w:id="406" w:name="_Toc4484"/>
      <w:r>
        <w:rPr>
          <w:rFonts w:hint="eastAsia" w:ascii="仿宋" w:hAnsi="仿宋" w:eastAsia="仿宋" w:cs="仿宋"/>
          <w:b/>
          <w:bCs/>
          <w:sz w:val="24"/>
          <w:szCs w:val="24"/>
          <w:highlight w:val="none"/>
          <w:shd w:val="clear" w:color="auto" w:fill="FFFFFF" w:themeFill="background1"/>
        </w:rPr>
        <w:t>十一、</w:t>
      </w:r>
      <w:bookmarkEnd w:id="402"/>
      <w:bookmarkEnd w:id="403"/>
      <w:bookmarkEnd w:id="404"/>
      <w:r>
        <w:rPr>
          <w:rFonts w:hint="eastAsia" w:ascii="仿宋" w:hAnsi="仿宋" w:eastAsia="仿宋" w:cs="仿宋"/>
          <w:b/>
          <w:bCs/>
          <w:sz w:val="24"/>
          <w:szCs w:val="24"/>
          <w:highlight w:val="none"/>
          <w:shd w:val="clear" w:color="auto" w:fill="FFFFFF" w:themeFill="background1"/>
        </w:rPr>
        <w:t>拟派本项目服务人员情况表</w:t>
      </w:r>
      <w:bookmarkEnd w:id="405"/>
      <w:bookmarkEnd w:id="406"/>
    </w:p>
    <w:p w14:paraId="7B7F783C">
      <w:pPr>
        <w:spacing w:line="360" w:lineRule="auto"/>
        <w:rPr>
          <w:rFonts w:hint="eastAsia" w:ascii="仿宋" w:hAnsi="仿宋" w:eastAsia="仿宋" w:cs="仿宋"/>
          <w:sz w:val="24"/>
          <w:szCs w:val="24"/>
          <w:highlight w:val="none"/>
          <w:shd w:val="clear" w:color="auto" w:fill="FFFFFF" w:themeFill="background1"/>
        </w:rPr>
      </w:pPr>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14"/>
        <w:gridCol w:w="1196"/>
        <w:gridCol w:w="1558"/>
        <w:gridCol w:w="1299"/>
        <w:gridCol w:w="1455"/>
        <w:gridCol w:w="1377"/>
        <w:gridCol w:w="742"/>
      </w:tblGrid>
      <w:tr w14:paraId="38FD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1552A8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序号</w:t>
            </w:r>
          </w:p>
        </w:tc>
        <w:tc>
          <w:tcPr>
            <w:tcW w:w="1214" w:type="dxa"/>
            <w:vAlign w:val="center"/>
          </w:tcPr>
          <w:p w14:paraId="26997BA7">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姓名</w:t>
            </w:r>
          </w:p>
        </w:tc>
        <w:tc>
          <w:tcPr>
            <w:tcW w:w="1196" w:type="dxa"/>
            <w:vAlign w:val="center"/>
          </w:tcPr>
          <w:p w14:paraId="3E686F5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性别</w:t>
            </w:r>
          </w:p>
        </w:tc>
        <w:tc>
          <w:tcPr>
            <w:tcW w:w="1558" w:type="dxa"/>
            <w:vAlign w:val="center"/>
          </w:tcPr>
          <w:p w14:paraId="5ED0B05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身份证号码</w:t>
            </w:r>
          </w:p>
        </w:tc>
        <w:tc>
          <w:tcPr>
            <w:tcW w:w="1299" w:type="dxa"/>
            <w:vAlign w:val="center"/>
          </w:tcPr>
          <w:p w14:paraId="138F9849">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学历</w:t>
            </w:r>
          </w:p>
        </w:tc>
        <w:tc>
          <w:tcPr>
            <w:tcW w:w="1455" w:type="dxa"/>
            <w:vAlign w:val="center"/>
          </w:tcPr>
          <w:p w14:paraId="123271F6">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担任岗位</w:t>
            </w:r>
          </w:p>
        </w:tc>
        <w:tc>
          <w:tcPr>
            <w:tcW w:w="1377" w:type="dxa"/>
            <w:vAlign w:val="center"/>
          </w:tcPr>
          <w:p w14:paraId="5B35F24D">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从事类似</w:t>
            </w:r>
          </w:p>
          <w:p w14:paraId="783AEE1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工作年限</w:t>
            </w:r>
          </w:p>
        </w:tc>
        <w:tc>
          <w:tcPr>
            <w:tcW w:w="742" w:type="dxa"/>
            <w:vAlign w:val="center"/>
          </w:tcPr>
          <w:p w14:paraId="2CC7A12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w:t>
            </w:r>
          </w:p>
        </w:tc>
      </w:tr>
      <w:tr w14:paraId="5E04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3BBD571A">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21040743">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4C1F6E69">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577B014">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71B1A863">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52489265">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112F3F28">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2725874F">
            <w:pPr>
              <w:spacing w:line="360" w:lineRule="auto"/>
              <w:jc w:val="center"/>
              <w:rPr>
                <w:rFonts w:hint="eastAsia" w:ascii="仿宋" w:hAnsi="仿宋" w:eastAsia="仿宋" w:cs="仿宋"/>
                <w:sz w:val="24"/>
                <w:szCs w:val="24"/>
                <w:highlight w:val="none"/>
                <w:shd w:val="clear" w:color="auto" w:fill="FFFFFF" w:themeFill="background1"/>
              </w:rPr>
            </w:pPr>
          </w:p>
        </w:tc>
      </w:tr>
      <w:tr w14:paraId="6138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52" w:type="dxa"/>
            <w:vAlign w:val="center"/>
          </w:tcPr>
          <w:p w14:paraId="759F77D8">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6B72AE27">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4D3316BE">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633EFEB">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37A298D0">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70D75DDF">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0B8FCF30">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28538A1B">
            <w:pPr>
              <w:spacing w:line="360" w:lineRule="auto"/>
              <w:jc w:val="center"/>
              <w:rPr>
                <w:rFonts w:hint="eastAsia" w:ascii="仿宋" w:hAnsi="仿宋" w:eastAsia="仿宋" w:cs="仿宋"/>
                <w:sz w:val="24"/>
                <w:szCs w:val="24"/>
                <w:highlight w:val="none"/>
                <w:shd w:val="clear" w:color="auto" w:fill="FFFFFF" w:themeFill="background1"/>
              </w:rPr>
            </w:pPr>
          </w:p>
        </w:tc>
      </w:tr>
      <w:tr w14:paraId="3500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1246D369">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3F6E4892">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341EBC4A">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45FC1EF4">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52E381B1">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5856E336">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373094FE">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4BB42A8C">
            <w:pPr>
              <w:spacing w:line="360" w:lineRule="auto"/>
              <w:jc w:val="center"/>
              <w:rPr>
                <w:rFonts w:hint="eastAsia" w:ascii="仿宋" w:hAnsi="仿宋" w:eastAsia="仿宋" w:cs="仿宋"/>
                <w:sz w:val="24"/>
                <w:szCs w:val="24"/>
                <w:highlight w:val="none"/>
                <w:shd w:val="clear" w:color="auto" w:fill="FFFFFF" w:themeFill="background1"/>
              </w:rPr>
            </w:pPr>
          </w:p>
        </w:tc>
      </w:tr>
      <w:tr w14:paraId="7292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60F570A5">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15FD922B">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623F453F">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DE826F1">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09C89DB1">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0BF85A82">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2B83A891">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27299D31">
            <w:pPr>
              <w:spacing w:line="360" w:lineRule="auto"/>
              <w:jc w:val="center"/>
              <w:rPr>
                <w:rFonts w:hint="eastAsia" w:ascii="仿宋" w:hAnsi="仿宋" w:eastAsia="仿宋" w:cs="仿宋"/>
                <w:sz w:val="24"/>
                <w:szCs w:val="24"/>
                <w:highlight w:val="none"/>
                <w:shd w:val="clear" w:color="auto" w:fill="FFFFFF" w:themeFill="background1"/>
              </w:rPr>
            </w:pPr>
          </w:p>
        </w:tc>
      </w:tr>
      <w:tr w14:paraId="291D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44DBA8C6">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641B41E4">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33B96352">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6509CC7">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27A5FAD2">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1752D9F2">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34E618F6">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3C092BD6">
            <w:pPr>
              <w:spacing w:line="360" w:lineRule="auto"/>
              <w:jc w:val="center"/>
              <w:rPr>
                <w:rFonts w:hint="eastAsia" w:ascii="仿宋" w:hAnsi="仿宋" w:eastAsia="仿宋" w:cs="仿宋"/>
                <w:sz w:val="24"/>
                <w:szCs w:val="24"/>
                <w:highlight w:val="none"/>
                <w:shd w:val="clear" w:color="auto" w:fill="FFFFFF" w:themeFill="background1"/>
              </w:rPr>
            </w:pPr>
          </w:p>
        </w:tc>
      </w:tr>
    </w:tbl>
    <w:p w14:paraId="3F7E358C">
      <w:pPr>
        <w:spacing w:line="360" w:lineRule="auto"/>
        <w:jc w:val="left"/>
        <w:rPr>
          <w:rFonts w:hint="eastAsia" w:ascii="仿宋" w:hAnsi="仿宋" w:eastAsia="仿宋" w:cs="仿宋"/>
          <w:bCs/>
          <w:sz w:val="24"/>
          <w:szCs w:val="24"/>
          <w:highlight w:val="none"/>
          <w:shd w:val="clear" w:color="auto" w:fill="FFFFFF" w:themeFill="background1"/>
        </w:rPr>
      </w:pPr>
    </w:p>
    <w:p w14:paraId="7F252D70">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备注：</w:t>
      </w:r>
      <w:r>
        <w:rPr>
          <w:rFonts w:hint="eastAsia" w:ascii="仿宋" w:hAnsi="仿宋" w:eastAsia="仿宋" w:cs="仿宋"/>
          <w:sz w:val="24"/>
          <w:szCs w:val="24"/>
          <w:highlight w:val="none"/>
          <w:shd w:val="clear" w:color="auto" w:fill="FFFFFF" w:themeFill="background1"/>
        </w:rPr>
        <w:t>本表后需提供招标文件要求的有关书面证明材料。</w:t>
      </w:r>
    </w:p>
    <w:p w14:paraId="4E17AC42">
      <w:pPr>
        <w:spacing w:line="360" w:lineRule="auto"/>
        <w:jc w:val="center"/>
        <w:outlineLvl w:val="1"/>
        <w:rPr>
          <w:rFonts w:hint="eastAsia" w:ascii="仿宋" w:hAnsi="仿宋" w:eastAsia="仿宋" w:cs="仿宋"/>
          <w:bCs/>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bookmarkStart w:id="407" w:name="_Toc533503193"/>
      <w:bookmarkStart w:id="408" w:name="_Toc38446482"/>
      <w:bookmarkStart w:id="409" w:name="_Toc4741"/>
      <w:bookmarkStart w:id="410" w:name="_Toc507586177"/>
      <w:bookmarkStart w:id="411" w:name="_Toc18396"/>
      <w:r>
        <w:rPr>
          <w:rFonts w:hint="eastAsia" w:ascii="仿宋" w:hAnsi="仿宋" w:eastAsia="仿宋" w:cs="仿宋"/>
          <w:b/>
          <w:sz w:val="24"/>
          <w:szCs w:val="24"/>
          <w:highlight w:val="none"/>
          <w:shd w:val="clear" w:color="auto" w:fill="FFFFFF" w:themeFill="background1"/>
        </w:rPr>
        <w:t>十二、</w:t>
      </w:r>
      <w:r>
        <w:rPr>
          <w:rFonts w:hint="eastAsia" w:ascii="仿宋" w:hAnsi="仿宋" w:eastAsia="仿宋" w:cs="仿宋"/>
          <w:b/>
          <w:bCs/>
          <w:sz w:val="24"/>
          <w:szCs w:val="24"/>
          <w:highlight w:val="none"/>
          <w:shd w:val="clear" w:color="auto" w:fill="FFFFFF" w:themeFill="background1"/>
        </w:rPr>
        <w:t>服务方案</w:t>
      </w:r>
      <w:bookmarkEnd w:id="407"/>
      <w:bookmarkEnd w:id="408"/>
      <w:bookmarkEnd w:id="409"/>
      <w:bookmarkEnd w:id="410"/>
      <w:bookmarkEnd w:id="411"/>
    </w:p>
    <w:p w14:paraId="66CCE494">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投标人须提交拟完成本项目的服务方案，服务方案的格式和内容由投标人根据本项目的具体情况</w:t>
      </w:r>
      <w:r>
        <w:rPr>
          <w:rFonts w:hint="eastAsia" w:ascii="仿宋" w:hAnsi="仿宋" w:eastAsia="仿宋" w:cs="仿宋"/>
          <w:sz w:val="24"/>
          <w:szCs w:val="24"/>
          <w:highlight w:val="none"/>
          <w:shd w:val="clear" w:color="auto" w:fill="FFFFFF" w:themeFill="background1"/>
        </w:rPr>
        <w:t>自行拟定。</w:t>
      </w:r>
    </w:p>
    <w:p w14:paraId="0EF66E54">
      <w:pPr>
        <w:rPr>
          <w:rFonts w:hint="eastAsia" w:ascii="仿宋" w:hAnsi="仿宋" w:eastAsia="仿宋" w:cs="仿宋"/>
          <w:highlight w:val="none"/>
        </w:rPr>
      </w:pPr>
    </w:p>
    <w:p w14:paraId="74D25154">
      <w:pPr>
        <w:pStyle w:val="14"/>
        <w:rPr>
          <w:rFonts w:hint="eastAsia" w:ascii="仿宋" w:hAnsi="仿宋" w:eastAsia="仿宋" w:cs="仿宋"/>
          <w:highlight w:val="none"/>
        </w:rPr>
      </w:pPr>
    </w:p>
    <w:p w14:paraId="56770526">
      <w:pPr>
        <w:rPr>
          <w:rFonts w:hint="eastAsia" w:ascii="仿宋" w:hAnsi="仿宋" w:eastAsia="仿宋" w:cs="仿宋"/>
          <w:highlight w:val="none"/>
        </w:rPr>
      </w:pPr>
    </w:p>
    <w:p w14:paraId="5A386DB7">
      <w:pP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412" w:name="_Toc13425"/>
      <w:bookmarkStart w:id="413" w:name="_Toc38446484"/>
      <w:bookmarkStart w:id="414" w:name="_Toc507586178"/>
      <w:bookmarkStart w:id="415" w:name="_Toc274"/>
      <w:bookmarkStart w:id="416" w:name="_Toc533503194"/>
      <w:r>
        <w:rPr>
          <w:rFonts w:hint="eastAsia" w:ascii="仿宋" w:hAnsi="仿宋" w:eastAsia="仿宋" w:cs="仿宋"/>
          <w:b/>
          <w:sz w:val="24"/>
          <w:szCs w:val="24"/>
          <w:highlight w:val="none"/>
          <w:shd w:val="clear" w:color="auto" w:fill="FFFFFF" w:themeFill="background1"/>
        </w:rPr>
        <w:t>十三、其他需要提交的资料</w:t>
      </w:r>
      <w:bookmarkEnd w:id="412"/>
      <w:bookmarkEnd w:id="413"/>
      <w:bookmarkEnd w:id="414"/>
      <w:bookmarkEnd w:id="415"/>
      <w:bookmarkEnd w:id="416"/>
    </w:p>
    <w:p w14:paraId="7B283E75">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根据招标文件的要求和投标人认为需要提供的资料（如投标保证金缴纳凭证等）。</w:t>
      </w:r>
    </w:p>
    <w:p w14:paraId="2AFAB327">
      <w:pPr>
        <w:spacing w:line="360" w:lineRule="auto"/>
        <w:ind w:firstLine="480" w:firstLineChars="200"/>
        <w:rPr>
          <w:rFonts w:hint="eastAsia" w:ascii="仿宋" w:hAnsi="仿宋" w:eastAsia="仿宋" w:cs="仿宋"/>
          <w:sz w:val="24"/>
          <w:szCs w:val="24"/>
          <w:highlight w:val="none"/>
          <w:shd w:val="clear" w:color="auto" w:fill="FFFFFF" w:themeFill="background1"/>
        </w:rPr>
      </w:pPr>
    </w:p>
    <w:p w14:paraId="2CE87C2E">
      <w:pPr>
        <w:widowControl/>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1A66AB28">
      <w:pPr>
        <w:tabs>
          <w:tab w:val="center" w:pos="4832"/>
          <w:tab w:val="left" w:pos="7140"/>
        </w:tabs>
        <w:spacing w:line="360" w:lineRule="auto"/>
        <w:jc w:val="center"/>
        <w:outlineLvl w:val="0"/>
        <w:rPr>
          <w:rFonts w:hint="eastAsia" w:ascii="仿宋" w:hAnsi="仿宋" w:eastAsia="仿宋" w:cs="仿宋"/>
          <w:b/>
          <w:sz w:val="24"/>
          <w:szCs w:val="24"/>
          <w:highlight w:val="none"/>
        </w:rPr>
      </w:pPr>
      <w:bookmarkStart w:id="417" w:name="_Toc24631"/>
      <w:r>
        <w:rPr>
          <w:rFonts w:hint="eastAsia" w:ascii="仿宋" w:hAnsi="仿宋" w:eastAsia="仿宋" w:cs="仿宋"/>
          <w:b/>
          <w:sz w:val="24"/>
          <w:szCs w:val="24"/>
          <w:highlight w:val="none"/>
        </w:rPr>
        <w:t>第六章 补充条款</w:t>
      </w:r>
      <w:bookmarkEnd w:id="417"/>
    </w:p>
    <w:p w14:paraId="365F124B">
      <w:pPr>
        <w:spacing w:line="360" w:lineRule="auto"/>
        <w:ind w:firstLine="480" w:firstLineChars="200"/>
        <w:jc w:val="center"/>
        <w:rPr>
          <w:rFonts w:hint="eastAsia" w:ascii="仿宋" w:hAnsi="仿宋" w:eastAsia="仿宋" w:cs="仿宋"/>
          <w:sz w:val="24"/>
          <w:szCs w:val="24"/>
          <w:highlight w:val="none"/>
        </w:rPr>
      </w:pPr>
    </w:p>
    <w:sectPr>
      <w:headerReference r:id="rId10" w:type="default"/>
      <w:footerReference r:id="rId11"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3278">
    <w:pPr>
      <w:pStyle w:val="23"/>
      <w:ind w:right="90"/>
      <w:jc w:val="right"/>
    </w:pPr>
  </w:p>
  <w:p w14:paraId="69C610E3">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1E19">
    <w:pPr>
      <w:pStyle w:val="23"/>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68</w:t>
    </w:r>
    <w:r>
      <w:rPr>
        <w:rStyle w:val="46"/>
      </w:rPr>
      <w:fldChar w:fldCharType="end"/>
    </w:r>
  </w:p>
  <w:p w14:paraId="1C8A5B83">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CBCA">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E8C8">
    <w:pPr>
      <w:pStyle w:val="23"/>
      <w:rPr>
        <w:rFonts w:asciiTheme="minorEastAsia" w:hAnsiTheme="minorEastAsia" w:eastAsiaTheme="minorEastAsia"/>
        <w:sz w:val="21"/>
        <w:szCs w:val="21"/>
        <w:lang w:val="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D55E3">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2D55E3">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724B">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8FAE0">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C8FAE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E3CC">
    <w:pPr>
      <w:pStyle w:val="23"/>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4"/>
                              <w:szCs w:val="24"/>
                            </w:rPr>
                            <w:id w:val="-367532114"/>
                          </w:sdtPr>
                          <w:sdtEndPr>
                            <w:rPr>
                              <w:rFonts w:asciiTheme="minorEastAsia" w:hAnsiTheme="minorEastAsia" w:eastAsiaTheme="minorEastAsia"/>
                              <w:sz w:val="30"/>
                              <w:szCs w:val="30"/>
                            </w:rPr>
                          </w:sdtEndPr>
                          <w:sdtContent>
                            <w:p w14:paraId="3B90D0DC">
                              <w:pPr>
                                <w:pStyle w:val="23"/>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32</w:t>
                              </w:r>
                              <w:r>
                                <w:rPr>
                                  <w:rFonts w:asciiTheme="minorEastAsia" w:hAnsiTheme="minorEastAsia" w:eastAsiaTheme="minorEastAsia"/>
                                  <w:sz w:val="24"/>
                                  <w:szCs w:val="24"/>
                                </w:rPr>
                                <w:fldChar w:fldCharType="end"/>
                              </w:r>
                            </w:p>
                          </w:sdtContent>
                        </w:sdt>
                        <w:p w14:paraId="6437F3CC">
                          <w:pPr>
                            <w:pStyle w:val="40"/>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sz w:val="24"/>
                        <w:szCs w:val="24"/>
                      </w:rPr>
                      <w:id w:val="-367532114"/>
                    </w:sdtPr>
                    <w:sdtEndPr>
                      <w:rPr>
                        <w:rFonts w:asciiTheme="minorEastAsia" w:hAnsiTheme="minorEastAsia" w:eastAsiaTheme="minorEastAsia"/>
                        <w:sz w:val="30"/>
                        <w:szCs w:val="30"/>
                      </w:rPr>
                    </w:sdtEndPr>
                    <w:sdtContent>
                      <w:p w14:paraId="3B90D0DC">
                        <w:pPr>
                          <w:pStyle w:val="23"/>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32</w:t>
                        </w:r>
                        <w:r>
                          <w:rPr>
                            <w:rFonts w:asciiTheme="minorEastAsia" w:hAnsiTheme="minorEastAsia" w:eastAsiaTheme="minorEastAsia"/>
                            <w:sz w:val="24"/>
                            <w:szCs w:val="24"/>
                          </w:rPr>
                          <w:fldChar w:fldCharType="end"/>
                        </w:r>
                      </w:p>
                    </w:sdtContent>
                  </w:sdt>
                  <w:p w14:paraId="6437F3CC">
                    <w:pPr>
                      <w:pStyle w:val="40"/>
                      <w:ind w:firstLine="2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571A">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C8D5">
    <w:pPr>
      <w:pStyle w:val="24"/>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43F8">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2MwZjNjZmVkMDI0YzZjMDZiN2M3ZmRhYjMxOWEifQ=="/>
    <w:docVar w:name="KSO_WPS_MARK_KEY" w:val="85996549-4f80-4e2e-9ba0-20f7c0168d15"/>
  </w:docVars>
  <w:rsids>
    <w:rsidRoot w:val="00101AA4"/>
    <w:rsid w:val="000002B4"/>
    <w:rsid w:val="00001340"/>
    <w:rsid w:val="00002143"/>
    <w:rsid w:val="00004DAA"/>
    <w:rsid w:val="00005C75"/>
    <w:rsid w:val="00006BD9"/>
    <w:rsid w:val="00007BA8"/>
    <w:rsid w:val="000104D6"/>
    <w:rsid w:val="00010CE2"/>
    <w:rsid w:val="000111C4"/>
    <w:rsid w:val="00012108"/>
    <w:rsid w:val="00012E01"/>
    <w:rsid w:val="00013899"/>
    <w:rsid w:val="00014F7D"/>
    <w:rsid w:val="00015EBB"/>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0D1"/>
    <w:rsid w:val="00054F47"/>
    <w:rsid w:val="0005551C"/>
    <w:rsid w:val="00057565"/>
    <w:rsid w:val="000604DE"/>
    <w:rsid w:val="0006199F"/>
    <w:rsid w:val="000641A9"/>
    <w:rsid w:val="000653CD"/>
    <w:rsid w:val="000661C0"/>
    <w:rsid w:val="00070AF5"/>
    <w:rsid w:val="00070BFE"/>
    <w:rsid w:val="0007362D"/>
    <w:rsid w:val="00073D96"/>
    <w:rsid w:val="000762D4"/>
    <w:rsid w:val="00077D54"/>
    <w:rsid w:val="00077DB3"/>
    <w:rsid w:val="0008025F"/>
    <w:rsid w:val="00080E16"/>
    <w:rsid w:val="000829F2"/>
    <w:rsid w:val="00082FC4"/>
    <w:rsid w:val="0008328D"/>
    <w:rsid w:val="0008436D"/>
    <w:rsid w:val="000904A3"/>
    <w:rsid w:val="00090F37"/>
    <w:rsid w:val="000916AB"/>
    <w:rsid w:val="000923E8"/>
    <w:rsid w:val="000946D4"/>
    <w:rsid w:val="00094989"/>
    <w:rsid w:val="000976AE"/>
    <w:rsid w:val="000A0272"/>
    <w:rsid w:val="000A02F9"/>
    <w:rsid w:val="000A1ECD"/>
    <w:rsid w:val="000A32B9"/>
    <w:rsid w:val="000A3552"/>
    <w:rsid w:val="000A452A"/>
    <w:rsid w:val="000A53A5"/>
    <w:rsid w:val="000A7B36"/>
    <w:rsid w:val="000B210F"/>
    <w:rsid w:val="000B318F"/>
    <w:rsid w:val="000B331B"/>
    <w:rsid w:val="000B4C6A"/>
    <w:rsid w:val="000B4FF0"/>
    <w:rsid w:val="000B7C76"/>
    <w:rsid w:val="000C364C"/>
    <w:rsid w:val="000C3FDE"/>
    <w:rsid w:val="000D171A"/>
    <w:rsid w:val="000D5DA0"/>
    <w:rsid w:val="000D728E"/>
    <w:rsid w:val="000D7CE7"/>
    <w:rsid w:val="000E2D54"/>
    <w:rsid w:val="000E40A6"/>
    <w:rsid w:val="000E5B9C"/>
    <w:rsid w:val="000E674D"/>
    <w:rsid w:val="000E7461"/>
    <w:rsid w:val="000F186E"/>
    <w:rsid w:val="000F56EE"/>
    <w:rsid w:val="00100D44"/>
    <w:rsid w:val="00101966"/>
    <w:rsid w:val="00101AA4"/>
    <w:rsid w:val="00102AB6"/>
    <w:rsid w:val="00104F86"/>
    <w:rsid w:val="001063D0"/>
    <w:rsid w:val="0010650C"/>
    <w:rsid w:val="00106BA4"/>
    <w:rsid w:val="00111383"/>
    <w:rsid w:val="001145B2"/>
    <w:rsid w:val="00115901"/>
    <w:rsid w:val="00115A4B"/>
    <w:rsid w:val="0011725D"/>
    <w:rsid w:val="00121DF5"/>
    <w:rsid w:val="001248E7"/>
    <w:rsid w:val="00124E50"/>
    <w:rsid w:val="00127B38"/>
    <w:rsid w:val="00127C9A"/>
    <w:rsid w:val="0013312B"/>
    <w:rsid w:val="00134210"/>
    <w:rsid w:val="00134F82"/>
    <w:rsid w:val="00137BC9"/>
    <w:rsid w:val="00142BB8"/>
    <w:rsid w:val="00143169"/>
    <w:rsid w:val="0014554F"/>
    <w:rsid w:val="00146E26"/>
    <w:rsid w:val="001543A3"/>
    <w:rsid w:val="001575BE"/>
    <w:rsid w:val="00157673"/>
    <w:rsid w:val="0015794E"/>
    <w:rsid w:val="00160311"/>
    <w:rsid w:val="00161961"/>
    <w:rsid w:val="00162DD4"/>
    <w:rsid w:val="001652C6"/>
    <w:rsid w:val="0016644B"/>
    <w:rsid w:val="00170A17"/>
    <w:rsid w:val="00171110"/>
    <w:rsid w:val="00172AA0"/>
    <w:rsid w:val="001733AF"/>
    <w:rsid w:val="001753D2"/>
    <w:rsid w:val="00176FAD"/>
    <w:rsid w:val="0017733A"/>
    <w:rsid w:val="00181200"/>
    <w:rsid w:val="001930FC"/>
    <w:rsid w:val="00193402"/>
    <w:rsid w:val="00194DD8"/>
    <w:rsid w:val="00197628"/>
    <w:rsid w:val="001A1D16"/>
    <w:rsid w:val="001A2117"/>
    <w:rsid w:val="001A24E6"/>
    <w:rsid w:val="001A45DD"/>
    <w:rsid w:val="001A4E5A"/>
    <w:rsid w:val="001A4E90"/>
    <w:rsid w:val="001A71AF"/>
    <w:rsid w:val="001B1372"/>
    <w:rsid w:val="001B1748"/>
    <w:rsid w:val="001B4413"/>
    <w:rsid w:val="001B5A4C"/>
    <w:rsid w:val="001B7239"/>
    <w:rsid w:val="001B74E2"/>
    <w:rsid w:val="001C15DD"/>
    <w:rsid w:val="001C4134"/>
    <w:rsid w:val="001D4B73"/>
    <w:rsid w:val="001D50A5"/>
    <w:rsid w:val="001D5DEA"/>
    <w:rsid w:val="001E288B"/>
    <w:rsid w:val="001E33A7"/>
    <w:rsid w:val="001E3D69"/>
    <w:rsid w:val="001E4755"/>
    <w:rsid w:val="001E634A"/>
    <w:rsid w:val="001E6E8F"/>
    <w:rsid w:val="001E794E"/>
    <w:rsid w:val="001F292C"/>
    <w:rsid w:val="001F3A08"/>
    <w:rsid w:val="001F610A"/>
    <w:rsid w:val="001F79E8"/>
    <w:rsid w:val="001F7C95"/>
    <w:rsid w:val="00200BA8"/>
    <w:rsid w:val="0020240F"/>
    <w:rsid w:val="002055DD"/>
    <w:rsid w:val="00205968"/>
    <w:rsid w:val="00205DF6"/>
    <w:rsid w:val="00205F22"/>
    <w:rsid w:val="0021147C"/>
    <w:rsid w:val="00214257"/>
    <w:rsid w:val="00214392"/>
    <w:rsid w:val="002144B8"/>
    <w:rsid w:val="00215BA5"/>
    <w:rsid w:val="00215F58"/>
    <w:rsid w:val="00217E00"/>
    <w:rsid w:val="0022016C"/>
    <w:rsid w:val="0022177D"/>
    <w:rsid w:val="002224AE"/>
    <w:rsid w:val="00223931"/>
    <w:rsid w:val="002246D6"/>
    <w:rsid w:val="00226DEC"/>
    <w:rsid w:val="0022747A"/>
    <w:rsid w:val="00227871"/>
    <w:rsid w:val="0023151C"/>
    <w:rsid w:val="002324EA"/>
    <w:rsid w:val="0023323E"/>
    <w:rsid w:val="002357A0"/>
    <w:rsid w:val="00236058"/>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72E96"/>
    <w:rsid w:val="00280F38"/>
    <w:rsid w:val="00283C54"/>
    <w:rsid w:val="00285885"/>
    <w:rsid w:val="00285ABC"/>
    <w:rsid w:val="002939C8"/>
    <w:rsid w:val="002967DA"/>
    <w:rsid w:val="002A6197"/>
    <w:rsid w:val="002A7CE2"/>
    <w:rsid w:val="002B0041"/>
    <w:rsid w:val="002B01D0"/>
    <w:rsid w:val="002B3DBF"/>
    <w:rsid w:val="002B77E1"/>
    <w:rsid w:val="002C02A1"/>
    <w:rsid w:val="002C2DD2"/>
    <w:rsid w:val="002C4DD6"/>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3AFC"/>
    <w:rsid w:val="00326152"/>
    <w:rsid w:val="003317E6"/>
    <w:rsid w:val="00331C14"/>
    <w:rsid w:val="0033231B"/>
    <w:rsid w:val="00332D2E"/>
    <w:rsid w:val="00333E01"/>
    <w:rsid w:val="00336EED"/>
    <w:rsid w:val="00344BCD"/>
    <w:rsid w:val="00347E66"/>
    <w:rsid w:val="0035118C"/>
    <w:rsid w:val="003537E4"/>
    <w:rsid w:val="0035581F"/>
    <w:rsid w:val="00357E91"/>
    <w:rsid w:val="00360813"/>
    <w:rsid w:val="00360D30"/>
    <w:rsid w:val="00361C9D"/>
    <w:rsid w:val="00363991"/>
    <w:rsid w:val="00364473"/>
    <w:rsid w:val="003646E5"/>
    <w:rsid w:val="00366F29"/>
    <w:rsid w:val="00367BA8"/>
    <w:rsid w:val="00370F25"/>
    <w:rsid w:val="00372324"/>
    <w:rsid w:val="00373602"/>
    <w:rsid w:val="00373826"/>
    <w:rsid w:val="00373AD1"/>
    <w:rsid w:val="00376E83"/>
    <w:rsid w:val="003879AD"/>
    <w:rsid w:val="00390A3C"/>
    <w:rsid w:val="003964F5"/>
    <w:rsid w:val="003A28C5"/>
    <w:rsid w:val="003A5B50"/>
    <w:rsid w:val="003A6107"/>
    <w:rsid w:val="003A7427"/>
    <w:rsid w:val="003B0D63"/>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11D8"/>
    <w:rsid w:val="0040310D"/>
    <w:rsid w:val="00404253"/>
    <w:rsid w:val="00407128"/>
    <w:rsid w:val="004079CE"/>
    <w:rsid w:val="004143A5"/>
    <w:rsid w:val="004220B6"/>
    <w:rsid w:val="00423980"/>
    <w:rsid w:val="004252CD"/>
    <w:rsid w:val="0042662D"/>
    <w:rsid w:val="004270EF"/>
    <w:rsid w:val="00427533"/>
    <w:rsid w:val="00432C0C"/>
    <w:rsid w:val="00433EED"/>
    <w:rsid w:val="00435310"/>
    <w:rsid w:val="0044198C"/>
    <w:rsid w:val="0044280B"/>
    <w:rsid w:val="00443888"/>
    <w:rsid w:val="004449F3"/>
    <w:rsid w:val="00444EE1"/>
    <w:rsid w:val="00445872"/>
    <w:rsid w:val="0044799D"/>
    <w:rsid w:val="0045091A"/>
    <w:rsid w:val="00452BB8"/>
    <w:rsid w:val="00455196"/>
    <w:rsid w:val="004575EA"/>
    <w:rsid w:val="004639BC"/>
    <w:rsid w:val="004640C1"/>
    <w:rsid w:val="00464725"/>
    <w:rsid w:val="00464BAE"/>
    <w:rsid w:val="004660B0"/>
    <w:rsid w:val="004704FB"/>
    <w:rsid w:val="00480C32"/>
    <w:rsid w:val="0048512D"/>
    <w:rsid w:val="00494431"/>
    <w:rsid w:val="00497C15"/>
    <w:rsid w:val="004A010F"/>
    <w:rsid w:val="004A01F6"/>
    <w:rsid w:val="004A1F5D"/>
    <w:rsid w:val="004A3D6D"/>
    <w:rsid w:val="004A4981"/>
    <w:rsid w:val="004A5190"/>
    <w:rsid w:val="004A5376"/>
    <w:rsid w:val="004A6517"/>
    <w:rsid w:val="004A67FA"/>
    <w:rsid w:val="004A68AF"/>
    <w:rsid w:val="004A7D7E"/>
    <w:rsid w:val="004B029E"/>
    <w:rsid w:val="004B0537"/>
    <w:rsid w:val="004B7ACC"/>
    <w:rsid w:val="004B7DE5"/>
    <w:rsid w:val="004C1AE6"/>
    <w:rsid w:val="004C6BAD"/>
    <w:rsid w:val="004D0A4A"/>
    <w:rsid w:val="004D0E18"/>
    <w:rsid w:val="004D11B3"/>
    <w:rsid w:val="004D3C30"/>
    <w:rsid w:val="004D40F7"/>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7A5"/>
    <w:rsid w:val="0053132A"/>
    <w:rsid w:val="0053466A"/>
    <w:rsid w:val="00536952"/>
    <w:rsid w:val="005369FB"/>
    <w:rsid w:val="00537638"/>
    <w:rsid w:val="0054181E"/>
    <w:rsid w:val="00541AC4"/>
    <w:rsid w:val="00541FB5"/>
    <w:rsid w:val="0054485F"/>
    <w:rsid w:val="0055435D"/>
    <w:rsid w:val="005574D7"/>
    <w:rsid w:val="00560740"/>
    <w:rsid w:val="00561AD0"/>
    <w:rsid w:val="005627EE"/>
    <w:rsid w:val="00562B2E"/>
    <w:rsid w:val="00566F28"/>
    <w:rsid w:val="00570015"/>
    <w:rsid w:val="00573EAA"/>
    <w:rsid w:val="00576ADE"/>
    <w:rsid w:val="00577ECB"/>
    <w:rsid w:val="00577FFA"/>
    <w:rsid w:val="0058012A"/>
    <w:rsid w:val="00582F95"/>
    <w:rsid w:val="00586658"/>
    <w:rsid w:val="005879D1"/>
    <w:rsid w:val="0059145C"/>
    <w:rsid w:val="005948FE"/>
    <w:rsid w:val="00594BE3"/>
    <w:rsid w:val="00596BA7"/>
    <w:rsid w:val="005A215C"/>
    <w:rsid w:val="005A6326"/>
    <w:rsid w:val="005A69CA"/>
    <w:rsid w:val="005A770A"/>
    <w:rsid w:val="005C11E5"/>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3F0"/>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382"/>
    <w:rsid w:val="006447A2"/>
    <w:rsid w:val="00644CAA"/>
    <w:rsid w:val="0064722F"/>
    <w:rsid w:val="00647D58"/>
    <w:rsid w:val="0065082F"/>
    <w:rsid w:val="00650F27"/>
    <w:rsid w:val="00651977"/>
    <w:rsid w:val="006523BD"/>
    <w:rsid w:val="00652A1B"/>
    <w:rsid w:val="00652A7E"/>
    <w:rsid w:val="00652A9D"/>
    <w:rsid w:val="00653B67"/>
    <w:rsid w:val="00653FFE"/>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650"/>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1DD"/>
    <w:rsid w:val="006B14EC"/>
    <w:rsid w:val="006B2DDD"/>
    <w:rsid w:val="006B6739"/>
    <w:rsid w:val="006B72B0"/>
    <w:rsid w:val="006B72D9"/>
    <w:rsid w:val="006B7760"/>
    <w:rsid w:val="006C06C9"/>
    <w:rsid w:val="006C08F0"/>
    <w:rsid w:val="006C214D"/>
    <w:rsid w:val="006C3250"/>
    <w:rsid w:val="006C551A"/>
    <w:rsid w:val="006C5A93"/>
    <w:rsid w:val="006D0395"/>
    <w:rsid w:val="006D0D54"/>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6A9E"/>
    <w:rsid w:val="00731CAD"/>
    <w:rsid w:val="00737F44"/>
    <w:rsid w:val="00742828"/>
    <w:rsid w:val="00747623"/>
    <w:rsid w:val="00750F56"/>
    <w:rsid w:val="0075151D"/>
    <w:rsid w:val="0075182A"/>
    <w:rsid w:val="00751E8B"/>
    <w:rsid w:val="00752409"/>
    <w:rsid w:val="0075307E"/>
    <w:rsid w:val="007555F9"/>
    <w:rsid w:val="00756E59"/>
    <w:rsid w:val="007574D1"/>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1EC4"/>
    <w:rsid w:val="00794BDB"/>
    <w:rsid w:val="007952C7"/>
    <w:rsid w:val="00796034"/>
    <w:rsid w:val="007A0C42"/>
    <w:rsid w:val="007A0E43"/>
    <w:rsid w:val="007A1947"/>
    <w:rsid w:val="007A237A"/>
    <w:rsid w:val="007A3B2A"/>
    <w:rsid w:val="007A4FBA"/>
    <w:rsid w:val="007A5319"/>
    <w:rsid w:val="007A7C18"/>
    <w:rsid w:val="007A7EF1"/>
    <w:rsid w:val="007B29C9"/>
    <w:rsid w:val="007B2A84"/>
    <w:rsid w:val="007C2D89"/>
    <w:rsid w:val="007C4912"/>
    <w:rsid w:val="007C4B8E"/>
    <w:rsid w:val="007C66D2"/>
    <w:rsid w:val="007C6BBF"/>
    <w:rsid w:val="007D1C55"/>
    <w:rsid w:val="007D2E1C"/>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3EB0"/>
    <w:rsid w:val="008247D9"/>
    <w:rsid w:val="0082538B"/>
    <w:rsid w:val="00825A15"/>
    <w:rsid w:val="00825F46"/>
    <w:rsid w:val="00825FAA"/>
    <w:rsid w:val="00826C3A"/>
    <w:rsid w:val="0082760F"/>
    <w:rsid w:val="00830296"/>
    <w:rsid w:val="0083223D"/>
    <w:rsid w:val="008330C9"/>
    <w:rsid w:val="00835F52"/>
    <w:rsid w:val="00840117"/>
    <w:rsid w:val="00843C8F"/>
    <w:rsid w:val="00844290"/>
    <w:rsid w:val="008443B1"/>
    <w:rsid w:val="00844507"/>
    <w:rsid w:val="0084490D"/>
    <w:rsid w:val="00844A00"/>
    <w:rsid w:val="00846F1B"/>
    <w:rsid w:val="008526D9"/>
    <w:rsid w:val="008534E7"/>
    <w:rsid w:val="00854E30"/>
    <w:rsid w:val="00857654"/>
    <w:rsid w:val="00857B62"/>
    <w:rsid w:val="008618C1"/>
    <w:rsid w:val="00862BE3"/>
    <w:rsid w:val="00862EBB"/>
    <w:rsid w:val="008631DD"/>
    <w:rsid w:val="00864330"/>
    <w:rsid w:val="008703DB"/>
    <w:rsid w:val="00872CE4"/>
    <w:rsid w:val="0087459C"/>
    <w:rsid w:val="00877E4D"/>
    <w:rsid w:val="00880D74"/>
    <w:rsid w:val="00880ED3"/>
    <w:rsid w:val="00881BAB"/>
    <w:rsid w:val="00881D84"/>
    <w:rsid w:val="00882B2C"/>
    <w:rsid w:val="00883470"/>
    <w:rsid w:val="00884BA6"/>
    <w:rsid w:val="008858F6"/>
    <w:rsid w:val="00890712"/>
    <w:rsid w:val="00892BDA"/>
    <w:rsid w:val="00892DE8"/>
    <w:rsid w:val="008A072E"/>
    <w:rsid w:val="008A08DB"/>
    <w:rsid w:val="008A3A9E"/>
    <w:rsid w:val="008A4942"/>
    <w:rsid w:val="008A4B8E"/>
    <w:rsid w:val="008A53DE"/>
    <w:rsid w:val="008A561B"/>
    <w:rsid w:val="008A6628"/>
    <w:rsid w:val="008B01C2"/>
    <w:rsid w:val="008B029B"/>
    <w:rsid w:val="008B1D39"/>
    <w:rsid w:val="008B1E52"/>
    <w:rsid w:val="008B372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33E"/>
    <w:rsid w:val="009209E8"/>
    <w:rsid w:val="009211B4"/>
    <w:rsid w:val="00922373"/>
    <w:rsid w:val="00922592"/>
    <w:rsid w:val="00923C4A"/>
    <w:rsid w:val="009259D5"/>
    <w:rsid w:val="00925B9C"/>
    <w:rsid w:val="00926CDD"/>
    <w:rsid w:val="00926EE7"/>
    <w:rsid w:val="009278C5"/>
    <w:rsid w:val="0093107D"/>
    <w:rsid w:val="00931A8B"/>
    <w:rsid w:val="009324FE"/>
    <w:rsid w:val="00932976"/>
    <w:rsid w:val="00933150"/>
    <w:rsid w:val="00933165"/>
    <w:rsid w:val="0093334D"/>
    <w:rsid w:val="00934B57"/>
    <w:rsid w:val="00935307"/>
    <w:rsid w:val="0094041C"/>
    <w:rsid w:val="0094055B"/>
    <w:rsid w:val="00941545"/>
    <w:rsid w:val="009435A6"/>
    <w:rsid w:val="009437A7"/>
    <w:rsid w:val="00946789"/>
    <w:rsid w:val="00950163"/>
    <w:rsid w:val="00950CB5"/>
    <w:rsid w:val="009546B7"/>
    <w:rsid w:val="00954D08"/>
    <w:rsid w:val="00955047"/>
    <w:rsid w:val="00955238"/>
    <w:rsid w:val="009558DD"/>
    <w:rsid w:val="009613A3"/>
    <w:rsid w:val="0096147D"/>
    <w:rsid w:val="0096479F"/>
    <w:rsid w:val="00965552"/>
    <w:rsid w:val="0096574A"/>
    <w:rsid w:val="0096617A"/>
    <w:rsid w:val="00967429"/>
    <w:rsid w:val="009700E7"/>
    <w:rsid w:val="009701A2"/>
    <w:rsid w:val="00971FF1"/>
    <w:rsid w:val="00972DDE"/>
    <w:rsid w:val="00975775"/>
    <w:rsid w:val="009775FC"/>
    <w:rsid w:val="00977BAE"/>
    <w:rsid w:val="00977D99"/>
    <w:rsid w:val="0098099B"/>
    <w:rsid w:val="00981749"/>
    <w:rsid w:val="0098383B"/>
    <w:rsid w:val="00983BD4"/>
    <w:rsid w:val="00983E4E"/>
    <w:rsid w:val="009840B0"/>
    <w:rsid w:val="00984531"/>
    <w:rsid w:val="0098659E"/>
    <w:rsid w:val="009869E5"/>
    <w:rsid w:val="00991F92"/>
    <w:rsid w:val="0099239A"/>
    <w:rsid w:val="00992683"/>
    <w:rsid w:val="009930AE"/>
    <w:rsid w:val="009930CA"/>
    <w:rsid w:val="00994368"/>
    <w:rsid w:val="009960AD"/>
    <w:rsid w:val="00997017"/>
    <w:rsid w:val="009A089A"/>
    <w:rsid w:val="009A170D"/>
    <w:rsid w:val="009A1ABA"/>
    <w:rsid w:val="009A1D1C"/>
    <w:rsid w:val="009A456E"/>
    <w:rsid w:val="009A6799"/>
    <w:rsid w:val="009A693B"/>
    <w:rsid w:val="009A7284"/>
    <w:rsid w:val="009A75CB"/>
    <w:rsid w:val="009B074B"/>
    <w:rsid w:val="009B0A3E"/>
    <w:rsid w:val="009B72EB"/>
    <w:rsid w:val="009B792F"/>
    <w:rsid w:val="009C4BB9"/>
    <w:rsid w:val="009C4C50"/>
    <w:rsid w:val="009C4EA2"/>
    <w:rsid w:val="009C7D0A"/>
    <w:rsid w:val="009C7FD8"/>
    <w:rsid w:val="009D05BF"/>
    <w:rsid w:val="009D2432"/>
    <w:rsid w:val="009D245C"/>
    <w:rsid w:val="009E0EA7"/>
    <w:rsid w:val="009E36F0"/>
    <w:rsid w:val="009E7471"/>
    <w:rsid w:val="009F064F"/>
    <w:rsid w:val="009F11C8"/>
    <w:rsid w:val="009F15EF"/>
    <w:rsid w:val="009F24D1"/>
    <w:rsid w:val="009F3D47"/>
    <w:rsid w:val="009F4563"/>
    <w:rsid w:val="009F487E"/>
    <w:rsid w:val="00A01EFD"/>
    <w:rsid w:val="00A039D2"/>
    <w:rsid w:val="00A04B51"/>
    <w:rsid w:val="00A05781"/>
    <w:rsid w:val="00A068B7"/>
    <w:rsid w:val="00A069FC"/>
    <w:rsid w:val="00A06A22"/>
    <w:rsid w:val="00A0749F"/>
    <w:rsid w:val="00A127F1"/>
    <w:rsid w:val="00A12C82"/>
    <w:rsid w:val="00A1322D"/>
    <w:rsid w:val="00A17158"/>
    <w:rsid w:val="00A2031C"/>
    <w:rsid w:val="00A20856"/>
    <w:rsid w:val="00A2140F"/>
    <w:rsid w:val="00A22375"/>
    <w:rsid w:val="00A24145"/>
    <w:rsid w:val="00A24411"/>
    <w:rsid w:val="00A252A2"/>
    <w:rsid w:val="00A30F32"/>
    <w:rsid w:val="00A319A4"/>
    <w:rsid w:val="00A320D2"/>
    <w:rsid w:val="00A32455"/>
    <w:rsid w:val="00A32D75"/>
    <w:rsid w:val="00A33C82"/>
    <w:rsid w:val="00A33EC9"/>
    <w:rsid w:val="00A377F1"/>
    <w:rsid w:val="00A40087"/>
    <w:rsid w:val="00A41CA5"/>
    <w:rsid w:val="00A426D2"/>
    <w:rsid w:val="00A46BC3"/>
    <w:rsid w:val="00A47BEB"/>
    <w:rsid w:val="00A51A47"/>
    <w:rsid w:val="00A5296E"/>
    <w:rsid w:val="00A5323E"/>
    <w:rsid w:val="00A5538A"/>
    <w:rsid w:val="00A5692F"/>
    <w:rsid w:val="00A57C84"/>
    <w:rsid w:val="00A6358C"/>
    <w:rsid w:val="00A63DE3"/>
    <w:rsid w:val="00A648D2"/>
    <w:rsid w:val="00A648FB"/>
    <w:rsid w:val="00A665B8"/>
    <w:rsid w:val="00A67621"/>
    <w:rsid w:val="00A70DE0"/>
    <w:rsid w:val="00A72947"/>
    <w:rsid w:val="00A73132"/>
    <w:rsid w:val="00A73E82"/>
    <w:rsid w:val="00A80815"/>
    <w:rsid w:val="00A81B56"/>
    <w:rsid w:val="00A83F70"/>
    <w:rsid w:val="00A841E3"/>
    <w:rsid w:val="00A86E53"/>
    <w:rsid w:val="00A920ED"/>
    <w:rsid w:val="00A92497"/>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1FF"/>
    <w:rsid w:val="00AB7635"/>
    <w:rsid w:val="00AB7D40"/>
    <w:rsid w:val="00AC0195"/>
    <w:rsid w:val="00AC169A"/>
    <w:rsid w:val="00AC17BD"/>
    <w:rsid w:val="00AC627A"/>
    <w:rsid w:val="00AC6C9F"/>
    <w:rsid w:val="00AC7076"/>
    <w:rsid w:val="00AD0219"/>
    <w:rsid w:val="00AD0858"/>
    <w:rsid w:val="00AD159E"/>
    <w:rsid w:val="00AD25AF"/>
    <w:rsid w:val="00AD3FA3"/>
    <w:rsid w:val="00AD5B00"/>
    <w:rsid w:val="00AE0905"/>
    <w:rsid w:val="00AE2F7F"/>
    <w:rsid w:val="00AF2729"/>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36D"/>
    <w:rsid w:val="00B55DD4"/>
    <w:rsid w:val="00B601DE"/>
    <w:rsid w:val="00B60D21"/>
    <w:rsid w:val="00B60F8C"/>
    <w:rsid w:val="00B61DB0"/>
    <w:rsid w:val="00B628A3"/>
    <w:rsid w:val="00B635C3"/>
    <w:rsid w:val="00B64E0D"/>
    <w:rsid w:val="00B65DD7"/>
    <w:rsid w:val="00B66B82"/>
    <w:rsid w:val="00B67C8D"/>
    <w:rsid w:val="00B67DE8"/>
    <w:rsid w:val="00B71A77"/>
    <w:rsid w:val="00B746DE"/>
    <w:rsid w:val="00B75E89"/>
    <w:rsid w:val="00B761D0"/>
    <w:rsid w:val="00B76B5B"/>
    <w:rsid w:val="00B76E0A"/>
    <w:rsid w:val="00B770A1"/>
    <w:rsid w:val="00B826E5"/>
    <w:rsid w:val="00B836E8"/>
    <w:rsid w:val="00B83FBC"/>
    <w:rsid w:val="00B841A4"/>
    <w:rsid w:val="00B871DD"/>
    <w:rsid w:val="00B87B57"/>
    <w:rsid w:val="00B93135"/>
    <w:rsid w:val="00B95CAD"/>
    <w:rsid w:val="00B9774B"/>
    <w:rsid w:val="00BA070F"/>
    <w:rsid w:val="00BA1954"/>
    <w:rsid w:val="00BA376F"/>
    <w:rsid w:val="00BA5F64"/>
    <w:rsid w:val="00BA61A9"/>
    <w:rsid w:val="00BB06A4"/>
    <w:rsid w:val="00BB0A71"/>
    <w:rsid w:val="00BB33FD"/>
    <w:rsid w:val="00BB33FE"/>
    <w:rsid w:val="00BB4913"/>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4BF5"/>
    <w:rsid w:val="00BF51F6"/>
    <w:rsid w:val="00BF682C"/>
    <w:rsid w:val="00BF7476"/>
    <w:rsid w:val="00C02D9A"/>
    <w:rsid w:val="00C06808"/>
    <w:rsid w:val="00C10EEC"/>
    <w:rsid w:val="00C12240"/>
    <w:rsid w:val="00C138B2"/>
    <w:rsid w:val="00C13F57"/>
    <w:rsid w:val="00C17074"/>
    <w:rsid w:val="00C1758E"/>
    <w:rsid w:val="00C21672"/>
    <w:rsid w:val="00C21ACC"/>
    <w:rsid w:val="00C22755"/>
    <w:rsid w:val="00C230AB"/>
    <w:rsid w:val="00C31F14"/>
    <w:rsid w:val="00C34E9B"/>
    <w:rsid w:val="00C34FE2"/>
    <w:rsid w:val="00C36041"/>
    <w:rsid w:val="00C36B8D"/>
    <w:rsid w:val="00C36C5A"/>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2F1B"/>
    <w:rsid w:val="00C63C53"/>
    <w:rsid w:val="00C70B15"/>
    <w:rsid w:val="00C70F4F"/>
    <w:rsid w:val="00C749C1"/>
    <w:rsid w:val="00C74A12"/>
    <w:rsid w:val="00C7603F"/>
    <w:rsid w:val="00C80ECD"/>
    <w:rsid w:val="00C8206E"/>
    <w:rsid w:val="00C83BA2"/>
    <w:rsid w:val="00C840F2"/>
    <w:rsid w:val="00C8538F"/>
    <w:rsid w:val="00C9122B"/>
    <w:rsid w:val="00C93D82"/>
    <w:rsid w:val="00C948CD"/>
    <w:rsid w:val="00C94904"/>
    <w:rsid w:val="00C9683B"/>
    <w:rsid w:val="00CA0EF6"/>
    <w:rsid w:val="00CA31DB"/>
    <w:rsid w:val="00CA4361"/>
    <w:rsid w:val="00CA69D3"/>
    <w:rsid w:val="00CA7A2A"/>
    <w:rsid w:val="00CB21A0"/>
    <w:rsid w:val="00CB26B0"/>
    <w:rsid w:val="00CB2ACC"/>
    <w:rsid w:val="00CB717B"/>
    <w:rsid w:val="00CC0A81"/>
    <w:rsid w:val="00CC2EA3"/>
    <w:rsid w:val="00CC41D4"/>
    <w:rsid w:val="00CD0EFC"/>
    <w:rsid w:val="00CD2724"/>
    <w:rsid w:val="00CD33AB"/>
    <w:rsid w:val="00CD4A09"/>
    <w:rsid w:val="00CD5E71"/>
    <w:rsid w:val="00CD6B61"/>
    <w:rsid w:val="00CE4E7B"/>
    <w:rsid w:val="00CF08A4"/>
    <w:rsid w:val="00CF0C7B"/>
    <w:rsid w:val="00CF1C70"/>
    <w:rsid w:val="00CF291C"/>
    <w:rsid w:val="00CF4B54"/>
    <w:rsid w:val="00CF6AA7"/>
    <w:rsid w:val="00D02613"/>
    <w:rsid w:val="00D060F5"/>
    <w:rsid w:val="00D06613"/>
    <w:rsid w:val="00D114B4"/>
    <w:rsid w:val="00D119E0"/>
    <w:rsid w:val="00D1210A"/>
    <w:rsid w:val="00D12679"/>
    <w:rsid w:val="00D13574"/>
    <w:rsid w:val="00D13FCC"/>
    <w:rsid w:val="00D149B3"/>
    <w:rsid w:val="00D14E0D"/>
    <w:rsid w:val="00D14EAA"/>
    <w:rsid w:val="00D1522D"/>
    <w:rsid w:val="00D15B9A"/>
    <w:rsid w:val="00D15D80"/>
    <w:rsid w:val="00D1666A"/>
    <w:rsid w:val="00D17D8C"/>
    <w:rsid w:val="00D21BE7"/>
    <w:rsid w:val="00D26793"/>
    <w:rsid w:val="00D27953"/>
    <w:rsid w:val="00D27B89"/>
    <w:rsid w:val="00D33441"/>
    <w:rsid w:val="00D334C0"/>
    <w:rsid w:val="00D36619"/>
    <w:rsid w:val="00D3707C"/>
    <w:rsid w:val="00D43AF8"/>
    <w:rsid w:val="00D450F4"/>
    <w:rsid w:val="00D45431"/>
    <w:rsid w:val="00D505AC"/>
    <w:rsid w:val="00D50730"/>
    <w:rsid w:val="00D50E55"/>
    <w:rsid w:val="00D50E97"/>
    <w:rsid w:val="00D539DF"/>
    <w:rsid w:val="00D53B3B"/>
    <w:rsid w:val="00D542EE"/>
    <w:rsid w:val="00D54F3E"/>
    <w:rsid w:val="00D577AF"/>
    <w:rsid w:val="00D57932"/>
    <w:rsid w:val="00D65F39"/>
    <w:rsid w:val="00D664CF"/>
    <w:rsid w:val="00D67757"/>
    <w:rsid w:val="00D72D71"/>
    <w:rsid w:val="00D7654E"/>
    <w:rsid w:val="00D7698D"/>
    <w:rsid w:val="00D76D8D"/>
    <w:rsid w:val="00D83166"/>
    <w:rsid w:val="00D8329A"/>
    <w:rsid w:val="00D85475"/>
    <w:rsid w:val="00D86304"/>
    <w:rsid w:val="00D87DC8"/>
    <w:rsid w:val="00D9044D"/>
    <w:rsid w:val="00D90F3B"/>
    <w:rsid w:val="00D94EB2"/>
    <w:rsid w:val="00D96521"/>
    <w:rsid w:val="00D97881"/>
    <w:rsid w:val="00DA2563"/>
    <w:rsid w:val="00DA318F"/>
    <w:rsid w:val="00DA380B"/>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DF4654"/>
    <w:rsid w:val="00E00DF4"/>
    <w:rsid w:val="00E0178C"/>
    <w:rsid w:val="00E0297A"/>
    <w:rsid w:val="00E0354C"/>
    <w:rsid w:val="00E05CD7"/>
    <w:rsid w:val="00E12168"/>
    <w:rsid w:val="00E121FC"/>
    <w:rsid w:val="00E12BD3"/>
    <w:rsid w:val="00E14149"/>
    <w:rsid w:val="00E155EB"/>
    <w:rsid w:val="00E17B8A"/>
    <w:rsid w:val="00E27F9E"/>
    <w:rsid w:val="00E30852"/>
    <w:rsid w:val="00E311A1"/>
    <w:rsid w:val="00E34833"/>
    <w:rsid w:val="00E34FF9"/>
    <w:rsid w:val="00E3576F"/>
    <w:rsid w:val="00E369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3C91"/>
    <w:rsid w:val="00E656AA"/>
    <w:rsid w:val="00E6785B"/>
    <w:rsid w:val="00E67BB4"/>
    <w:rsid w:val="00E702E4"/>
    <w:rsid w:val="00E705A5"/>
    <w:rsid w:val="00E71356"/>
    <w:rsid w:val="00E713BE"/>
    <w:rsid w:val="00E715AA"/>
    <w:rsid w:val="00E718FA"/>
    <w:rsid w:val="00E73C64"/>
    <w:rsid w:val="00E751F6"/>
    <w:rsid w:val="00E761CC"/>
    <w:rsid w:val="00E76A25"/>
    <w:rsid w:val="00E82AFE"/>
    <w:rsid w:val="00E8351B"/>
    <w:rsid w:val="00E8434D"/>
    <w:rsid w:val="00E847F7"/>
    <w:rsid w:val="00E84BDF"/>
    <w:rsid w:val="00E869A1"/>
    <w:rsid w:val="00E86E6A"/>
    <w:rsid w:val="00E87230"/>
    <w:rsid w:val="00E872AD"/>
    <w:rsid w:val="00E87666"/>
    <w:rsid w:val="00E9078D"/>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4A7D"/>
    <w:rsid w:val="00EE7991"/>
    <w:rsid w:val="00EF0DD2"/>
    <w:rsid w:val="00EF3196"/>
    <w:rsid w:val="00EF4BD4"/>
    <w:rsid w:val="00EF61BD"/>
    <w:rsid w:val="00F00A1D"/>
    <w:rsid w:val="00F00D73"/>
    <w:rsid w:val="00F011EE"/>
    <w:rsid w:val="00F0325A"/>
    <w:rsid w:val="00F077F5"/>
    <w:rsid w:val="00F101CF"/>
    <w:rsid w:val="00F10359"/>
    <w:rsid w:val="00F11AEB"/>
    <w:rsid w:val="00F141A0"/>
    <w:rsid w:val="00F1438C"/>
    <w:rsid w:val="00F21F0C"/>
    <w:rsid w:val="00F22CC8"/>
    <w:rsid w:val="00F2452B"/>
    <w:rsid w:val="00F24F7D"/>
    <w:rsid w:val="00F27F0C"/>
    <w:rsid w:val="00F31749"/>
    <w:rsid w:val="00F31B0F"/>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95C1E"/>
    <w:rsid w:val="00FA6BE0"/>
    <w:rsid w:val="00FA6E45"/>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1C65E1"/>
    <w:rsid w:val="01872357"/>
    <w:rsid w:val="019239B4"/>
    <w:rsid w:val="01B86B06"/>
    <w:rsid w:val="01C401C9"/>
    <w:rsid w:val="02125852"/>
    <w:rsid w:val="028271B2"/>
    <w:rsid w:val="02957E3E"/>
    <w:rsid w:val="03151A50"/>
    <w:rsid w:val="03346C50"/>
    <w:rsid w:val="034D62DE"/>
    <w:rsid w:val="03604826"/>
    <w:rsid w:val="036C262D"/>
    <w:rsid w:val="038965C0"/>
    <w:rsid w:val="03AD7315"/>
    <w:rsid w:val="03CA02A5"/>
    <w:rsid w:val="03CD5B4A"/>
    <w:rsid w:val="03D075ED"/>
    <w:rsid w:val="03EC32E0"/>
    <w:rsid w:val="04107E55"/>
    <w:rsid w:val="043C0AB7"/>
    <w:rsid w:val="048552F8"/>
    <w:rsid w:val="0488627D"/>
    <w:rsid w:val="04CF69F1"/>
    <w:rsid w:val="051416E4"/>
    <w:rsid w:val="05155D56"/>
    <w:rsid w:val="05336F74"/>
    <w:rsid w:val="053946FE"/>
    <w:rsid w:val="053F3C5F"/>
    <w:rsid w:val="053F44DA"/>
    <w:rsid w:val="0556347F"/>
    <w:rsid w:val="05657965"/>
    <w:rsid w:val="056A6870"/>
    <w:rsid w:val="057F2246"/>
    <w:rsid w:val="059D7485"/>
    <w:rsid w:val="05A218FD"/>
    <w:rsid w:val="05D518A0"/>
    <w:rsid w:val="05E32826"/>
    <w:rsid w:val="05EC584B"/>
    <w:rsid w:val="05FB57C1"/>
    <w:rsid w:val="060B799A"/>
    <w:rsid w:val="06425AFA"/>
    <w:rsid w:val="0651104B"/>
    <w:rsid w:val="065135D3"/>
    <w:rsid w:val="066901FE"/>
    <w:rsid w:val="068B2EE2"/>
    <w:rsid w:val="06B02C31"/>
    <w:rsid w:val="06C00186"/>
    <w:rsid w:val="06CB2EB0"/>
    <w:rsid w:val="070A598E"/>
    <w:rsid w:val="070C00E2"/>
    <w:rsid w:val="071815CE"/>
    <w:rsid w:val="07215923"/>
    <w:rsid w:val="075676BA"/>
    <w:rsid w:val="075926EA"/>
    <w:rsid w:val="07C90EA0"/>
    <w:rsid w:val="07F01A92"/>
    <w:rsid w:val="082D0DDC"/>
    <w:rsid w:val="0838462F"/>
    <w:rsid w:val="084654BA"/>
    <w:rsid w:val="0888458F"/>
    <w:rsid w:val="08A06B4F"/>
    <w:rsid w:val="08C5160C"/>
    <w:rsid w:val="08F8767A"/>
    <w:rsid w:val="09197B3E"/>
    <w:rsid w:val="094C39EC"/>
    <w:rsid w:val="09527571"/>
    <w:rsid w:val="09546F15"/>
    <w:rsid w:val="09AE2D28"/>
    <w:rsid w:val="09BD43C3"/>
    <w:rsid w:val="09D472EE"/>
    <w:rsid w:val="09E45CBE"/>
    <w:rsid w:val="09E61F4C"/>
    <w:rsid w:val="09FB10FF"/>
    <w:rsid w:val="0A3D5C6E"/>
    <w:rsid w:val="0A603E15"/>
    <w:rsid w:val="0ABF5C4C"/>
    <w:rsid w:val="0AC4740A"/>
    <w:rsid w:val="0B0F368D"/>
    <w:rsid w:val="0B3A5CA3"/>
    <w:rsid w:val="0B4162E6"/>
    <w:rsid w:val="0B6017B9"/>
    <w:rsid w:val="0B735A0F"/>
    <w:rsid w:val="0B7A2E36"/>
    <w:rsid w:val="0B99525E"/>
    <w:rsid w:val="0BCE34E9"/>
    <w:rsid w:val="0BD41778"/>
    <w:rsid w:val="0BDB1D67"/>
    <w:rsid w:val="0BE95E9A"/>
    <w:rsid w:val="0C15127E"/>
    <w:rsid w:val="0C5F5889"/>
    <w:rsid w:val="0C727F65"/>
    <w:rsid w:val="0C7F638D"/>
    <w:rsid w:val="0CAA4C53"/>
    <w:rsid w:val="0CD168E1"/>
    <w:rsid w:val="0D0667FF"/>
    <w:rsid w:val="0D415C54"/>
    <w:rsid w:val="0D50435C"/>
    <w:rsid w:val="0D5B600F"/>
    <w:rsid w:val="0D7F775F"/>
    <w:rsid w:val="0D895471"/>
    <w:rsid w:val="0DB822CE"/>
    <w:rsid w:val="0DD62318"/>
    <w:rsid w:val="0DFD4250"/>
    <w:rsid w:val="0E151025"/>
    <w:rsid w:val="0E347BBB"/>
    <w:rsid w:val="0E4C5684"/>
    <w:rsid w:val="0E4E0B87"/>
    <w:rsid w:val="0E90348C"/>
    <w:rsid w:val="0E9272B5"/>
    <w:rsid w:val="0EA145B8"/>
    <w:rsid w:val="0EB96D98"/>
    <w:rsid w:val="0EDD7260"/>
    <w:rsid w:val="0EFE142F"/>
    <w:rsid w:val="0F0D2C42"/>
    <w:rsid w:val="0F0D76D8"/>
    <w:rsid w:val="0F24532B"/>
    <w:rsid w:val="0F3E048F"/>
    <w:rsid w:val="0F4E7C06"/>
    <w:rsid w:val="0F522FDA"/>
    <w:rsid w:val="0F5576A6"/>
    <w:rsid w:val="0F681E28"/>
    <w:rsid w:val="0F75161B"/>
    <w:rsid w:val="0F833182"/>
    <w:rsid w:val="0F837C65"/>
    <w:rsid w:val="0FAB6F93"/>
    <w:rsid w:val="0FE872AF"/>
    <w:rsid w:val="0FED3DE9"/>
    <w:rsid w:val="102B2696"/>
    <w:rsid w:val="102E7CFD"/>
    <w:rsid w:val="103F078A"/>
    <w:rsid w:val="10411A22"/>
    <w:rsid w:val="104834EE"/>
    <w:rsid w:val="104E41AE"/>
    <w:rsid w:val="10612D17"/>
    <w:rsid w:val="1083059A"/>
    <w:rsid w:val="10B75798"/>
    <w:rsid w:val="10C152C4"/>
    <w:rsid w:val="10C6436B"/>
    <w:rsid w:val="10DF70BF"/>
    <w:rsid w:val="1148579C"/>
    <w:rsid w:val="116746F9"/>
    <w:rsid w:val="11760DA3"/>
    <w:rsid w:val="118515F1"/>
    <w:rsid w:val="11DE1CDD"/>
    <w:rsid w:val="11F70C71"/>
    <w:rsid w:val="122E65E4"/>
    <w:rsid w:val="123518F7"/>
    <w:rsid w:val="127F50E9"/>
    <w:rsid w:val="12826F09"/>
    <w:rsid w:val="128F3808"/>
    <w:rsid w:val="131320DA"/>
    <w:rsid w:val="131462C7"/>
    <w:rsid w:val="131C2A52"/>
    <w:rsid w:val="132C47D1"/>
    <w:rsid w:val="1388614A"/>
    <w:rsid w:val="139C2C55"/>
    <w:rsid w:val="13B44B40"/>
    <w:rsid w:val="13F3080A"/>
    <w:rsid w:val="13F74913"/>
    <w:rsid w:val="14012977"/>
    <w:rsid w:val="140372DF"/>
    <w:rsid w:val="14642A47"/>
    <w:rsid w:val="148E4F94"/>
    <w:rsid w:val="14966F09"/>
    <w:rsid w:val="14A4376A"/>
    <w:rsid w:val="14AD6CB5"/>
    <w:rsid w:val="14E47444"/>
    <w:rsid w:val="14F53290"/>
    <w:rsid w:val="1505030B"/>
    <w:rsid w:val="151948F4"/>
    <w:rsid w:val="151C212F"/>
    <w:rsid w:val="152E1F10"/>
    <w:rsid w:val="156B3533"/>
    <w:rsid w:val="159A1A9C"/>
    <w:rsid w:val="15A365F7"/>
    <w:rsid w:val="15DA30A6"/>
    <w:rsid w:val="15FD6214"/>
    <w:rsid w:val="16022C53"/>
    <w:rsid w:val="160A7825"/>
    <w:rsid w:val="16114A98"/>
    <w:rsid w:val="161F42DB"/>
    <w:rsid w:val="163B00F8"/>
    <w:rsid w:val="16547C2D"/>
    <w:rsid w:val="16590EFE"/>
    <w:rsid w:val="165F6539"/>
    <w:rsid w:val="167B5CCB"/>
    <w:rsid w:val="1684137A"/>
    <w:rsid w:val="168510F5"/>
    <w:rsid w:val="16BA03A1"/>
    <w:rsid w:val="16CB4C00"/>
    <w:rsid w:val="16DC6423"/>
    <w:rsid w:val="16E85228"/>
    <w:rsid w:val="16FF7D3A"/>
    <w:rsid w:val="1703505F"/>
    <w:rsid w:val="170556EF"/>
    <w:rsid w:val="172B1502"/>
    <w:rsid w:val="17454AD8"/>
    <w:rsid w:val="174B5E12"/>
    <w:rsid w:val="17627DEA"/>
    <w:rsid w:val="17666976"/>
    <w:rsid w:val="1779455B"/>
    <w:rsid w:val="17911BEA"/>
    <w:rsid w:val="17AF0188"/>
    <w:rsid w:val="17D06220"/>
    <w:rsid w:val="19043F59"/>
    <w:rsid w:val="19047893"/>
    <w:rsid w:val="190D7E26"/>
    <w:rsid w:val="190E0680"/>
    <w:rsid w:val="19351120"/>
    <w:rsid w:val="19E21BB8"/>
    <w:rsid w:val="1A4A621C"/>
    <w:rsid w:val="1AA057B7"/>
    <w:rsid w:val="1AEF00AA"/>
    <w:rsid w:val="1B456999"/>
    <w:rsid w:val="1B4B1512"/>
    <w:rsid w:val="1B574371"/>
    <w:rsid w:val="1B5776CB"/>
    <w:rsid w:val="1B672584"/>
    <w:rsid w:val="1B7C5240"/>
    <w:rsid w:val="1B7E4928"/>
    <w:rsid w:val="1B8F0552"/>
    <w:rsid w:val="1BD0376A"/>
    <w:rsid w:val="1BD10986"/>
    <w:rsid w:val="1BD664C1"/>
    <w:rsid w:val="1BE62E2C"/>
    <w:rsid w:val="1C5521A2"/>
    <w:rsid w:val="1C6401A7"/>
    <w:rsid w:val="1C6C5F2C"/>
    <w:rsid w:val="1CAE4A99"/>
    <w:rsid w:val="1CD207E0"/>
    <w:rsid w:val="1D2027D7"/>
    <w:rsid w:val="1D374D5D"/>
    <w:rsid w:val="1DAA7037"/>
    <w:rsid w:val="1DC97089"/>
    <w:rsid w:val="1DEA22A2"/>
    <w:rsid w:val="1E0C5F9A"/>
    <w:rsid w:val="1E3962F7"/>
    <w:rsid w:val="1E45218B"/>
    <w:rsid w:val="1E4A58C3"/>
    <w:rsid w:val="1E546218"/>
    <w:rsid w:val="1E5633AE"/>
    <w:rsid w:val="1ECD0317"/>
    <w:rsid w:val="1EDB5755"/>
    <w:rsid w:val="1EFB0E1B"/>
    <w:rsid w:val="1F0C54A8"/>
    <w:rsid w:val="1FAA2EDE"/>
    <w:rsid w:val="1FB30B3C"/>
    <w:rsid w:val="1FB91219"/>
    <w:rsid w:val="1FC0465F"/>
    <w:rsid w:val="1FFE0644"/>
    <w:rsid w:val="20347290"/>
    <w:rsid w:val="20371C1F"/>
    <w:rsid w:val="20646A1B"/>
    <w:rsid w:val="20693865"/>
    <w:rsid w:val="206D0AF9"/>
    <w:rsid w:val="208A0EA9"/>
    <w:rsid w:val="209A5FCA"/>
    <w:rsid w:val="20A2140E"/>
    <w:rsid w:val="20A4060B"/>
    <w:rsid w:val="20A90FFA"/>
    <w:rsid w:val="20EE2B7C"/>
    <w:rsid w:val="20F82B96"/>
    <w:rsid w:val="210A4BA1"/>
    <w:rsid w:val="211704C9"/>
    <w:rsid w:val="212C5FC3"/>
    <w:rsid w:val="21586EBA"/>
    <w:rsid w:val="217A373D"/>
    <w:rsid w:val="21A732AA"/>
    <w:rsid w:val="21D06385"/>
    <w:rsid w:val="21DB371C"/>
    <w:rsid w:val="21E77118"/>
    <w:rsid w:val="21E9221E"/>
    <w:rsid w:val="21EE7D57"/>
    <w:rsid w:val="221F0D41"/>
    <w:rsid w:val="2225798F"/>
    <w:rsid w:val="22361626"/>
    <w:rsid w:val="22714B76"/>
    <w:rsid w:val="231F0CAA"/>
    <w:rsid w:val="238F6834"/>
    <w:rsid w:val="23912854"/>
    <w:rsid w:val="239F4BBF"/>
    <w:rsid w:val="23AA06E5"/>
    <w:rsid w:val="23B3087D"/>
    <w:rsid w:val="23B77CC6"/>
    <w:rsid w:val="23D71570"/>
    <w:rsid w:val="23FC3666"/>
    <w:rsid w:val="23FC43CB"/>
    <w:rsid w:val="242023D2"/>
    <w:rsid w:val="24265EF9"/>
    <w:rsid w:val="24422247"/>
    <w:rsid w:val="2452597D"/>
    <w:rsid w:val="24586FAC"/>
    <w:rsid w:val="248A691A"/>
    <w:rsid w:val="24AE0D3C"/>
    <w:rsid w:val="24F309A0"/>
    <w:rsid w:val="25001A40"/>
    <w:rsid w:val="252E6649"/>
    <w:rsid w:val="254C0545"/>
    <w:rsid w:val="259C66EA"/>
    <w:rsid w:val="25B53702"/>
    <w:rsid w:val="25B86E36"/>
    <w:rsid w:val="25C15CCE"/>
    <w:rsid w:val="25CE6C15"/>
    <w:rsid w:val="25CE7CE7"/>
    <w:rsid w:val="25DC0129"/>
    <w:rsid w:val="25FD7F08"/>
    <w:rsid w:val="26303A95"/>
    <w:rsid w:val="26461889"/>
    <w:rsid w:val="26565067"/>
    <w:rsid w:val="2687240F"/>
    <w:rsid w:val="269C4F84"/>
    <w:rsid w:val="26E0318F"/>
    <w:rsid w:val="26E8008C"/>
    <w:rsid w:val="270A580F"/>
    <w:rsid w:val="271742D6"/>
    <w:rsid w:val="27535154"/>
    <w:rsid w:val="27541D8F"/>
    <w:rsid w:val="27650367"/>
    <w:rsid w:val="27B76579"/>
    <w:rsid w:val="27C7230C"/>
    <w:rsid w:val="27D51A6E"/>
    <w:rsid w:val="28092E82"/>
    <w:rsid w:val="280A70F0"/>
    <w:rsid w:val="28241E16"/>
    <w:rsid w:val="2828418B"/>
    <w:rsid w:val="285831A2"/>
    <w:rsid w:val="2880705B"/>
    <w:rsid w:val="28935078"/>
    <w:rsid w:val="28BA032F"/>
    <w:rsid w:val="28D771B3"/>
    <w:rsid w:val="28EF3764"/>
    <w:rsid w:val="28F22610"/>
    <w:rsid w:val="291F32E1"/>
    <w:rsid w:val="29583B07"/>
    <w:rsid w:val="296576F6"/>
    <w:rsid w:val="297A26A8"/>
    <w:rsid w:val="297F5D39"/>
    <w:rsid w:val="298E3198"/>
    <w:rsid w:val="29D37D2A"/>
    <w:rsid w:val="29F66FE5"/>
    <w:rsid w:val="2A0C6CC3"/>
    <w:rsid w:val="2A0E7F0F"/>
    <w:rsid w:val="2A1213E4"/>
    <w:rsid w:val="2A207473"/>
    <w:rsid w:val="2A396D97"/>
    <w:rsid w:val="2A832468"/>
    <w:rsid w:val="2A881708"/>
    <w:rsid w:val="2A965A80"/>
    <w:rsid w:val="2AAD386A"/>
    <w:rsid w:val="2ABB161D"/>
    <w:rsid w:val="2AEB1EBC"/>
    <w:rsid w:val="2AEC58C2"/>
    <w:rsid w:val="2B197C87"/>
    <w:rsid w:val="2B25315D"/>
    <w:rsid w:val="2B272BDA"/>
    <w:rsid w:val="2B4861ED"/>
    <w:rsid w:val="2B605293"/>
    <w:rsid w:val="2B612554"/>
    <w:rsid w:val="2B8354F2"/>
    <w:rsid w:val="2B94670F"/>
    <w:rsid w:val="2B9F4376"/>
    <w:rsid w:val="2BBB30E2"/>
    <w:rsid w:val="2BDB76C2"/>
    <w:rsid w:val="2BE3057D"/>
    <w:rsid w:val="2C013CDC"/>
    <w:rsid w:val="2C2124F4"/>
    <w:rsid w:val="2C3579BB"/>
    <w:rsid w:val="2C462053"/>
    <w:rsid w:val="2C4F3D60"/>
    <w:rsid w:val="2C6C6D68"/>
    <w:rsid w:val="2C750052"/>
    <w:rsid w:val="2C8A2821"/>
    <w:rsid w:val="2C9D6E98"/>
    <w:rsid w:val="2CEB3C13"/>
    <w:rsid w:val="2CEC37BF"/>
    <w:rsid w:val="2CF56F7A"/>
    <w:rsid w:val="2D0504C1"/>
    <w:rsid w:val="2D191916"/>
    <w:rsid w:val="2D426C3D"/>
    <w:rsid w:val="2D4A64CF"/>
    <w:rsid w:val="2D5B1AF1"/>
    <w:rsid w:val="2D645A8B"/>
    <w:rsid w:val="2D795EE6"/>
    <w:rsid w:val="2DA75C8B"/>
    <w:rsid w:val="2DB61DC2"/>
    <w:rsid w:val="2DDC5444"/>
    <w:rsid w:val="2DE8326D"/>
    <w:rsid w:val="2E4A429A"/>
    <w:rsid w:val="2E6426E9"/>
    <w:rsid w:val="2E742A36"/>
    <w:rsid w:val="2E806AC0"/>
    <w:rsid w:val="2EB10C98"/>
    <w:rsid w:val="2EC41B6D"/>
    <w:rsid w:val="2EE40C35"/>
    <w:rsid w:val="2F371186"/>
    <w:rsid w:val="2F8C4860"/>
    <w:rsid w:val="2F9873EC"/>
    <w:rsid w:val="2FB1436E"/>
    <w:rsid w:val="2FBB13DF"/>
    <w:rsid w:val="2FC46C7B"/>
    <w:rsid w:val="2FFA3CBF"/>
    <w:rsid w:val="305A3A1C"/>
    <w:rsid w:val="307C573E"/>
    <w:rsid w:val="30D17ACB"/>
    <w:rsid w:val="30E01C26"/>
    <w:rsid w:val="30FA62A5"/>
    <w:rsid w:val="31164EE4"/>
    <w:rsid w:val="311E2D72"/>
    <w:rsid w:val="312430B7"/>
    <w:rsid w:val="3137444E"/>
    <w:rsid w:val="314D541F"/>
    <w:rsid w:val="31833619"/>
    <w:rsid w:val="31982EEE"/>
    <w:rsid w:val="31A313C1"/>
    <w:rsid w:val="31C02162"/>
    <w:rsid w:val="31C35F31"/>
    <w:rsid w:val="321F68AE"/>
    <w:rsid w:val="322D5960"/>
    <w:rsid w:val="322F18A1"/>
    <w:rsid w:val="323A4C76"/>
    <w:rsid w:val="32453F0C"/>
    <w:rsid w:val="32916000"/>
    <w:rsid w:val="32A323B5"/>
    <w:rsid w:val="32BF029E"/>
    <w:rsid w:val="32BF4ECF"/>
    <w:rsid w:val="32E65F2C"/>
    <w:rsid w:val="32F609DC"/>
    <w:rsid w:val="32FC6F32"/>
    <w:rsid w:val="330A715A"/>
    <w:rsid w:val="330D309E"/>
    <w:rsid w:val="332561EC"/>
    <w:rsid w:val="33384636"/>
    <w:rsid w:val="336530DF"/>
    <w:rsid w:val="33663C27"/>
    <w:rsid w:val="338A6244"/>
    <w:rsid w:val="338E7B26"/>
    <w:rsid w:val="33936F97"/>
    <w:rsid w:val="33BD766E"/>
    <w:rsid w:val="33C022CD"/>
    <w:rsid w:val="33C865FF"/>
    <w:rsid w:val="33EE55C1"/>
    <w:rsid w:val="341C2C0D"/>
    <w:rsid w:val="342C7624"/>
    <w:rsid w:val="34620568"/>
    <w:rsid w:val="34797724"/>
    <w:rsid w:val="349E59C5"/>
    <w:rsid w:val="34C52530"/>
    <w:rsid w:val="34C9220C"/>
    <w:rsid w:val="34F22E60"/>
    <w:rsid w:val="34F52E22"/>
    <w:rsid w:val="34FD5173"/>
    <w:rsid w:val="35132EF4"/>
    <w:rsid w:val="351E0F07"/>
    <w:rsid w:val="35403AD5"/>
    <w:rsid w:val="356F0F35"/>
    <w:rsid w:val="35773A99"/>
    <w:rsid w:val="3599165E"/>
    <w:rsid w:val="359E6318"/>
    <w:rsid w:val="35B93F94"/>
    <w:rsid w:val="35D26A5B"/>
    <w:rsid w:val="35DF6709"/>
    <w:rsid w:val="35E42AC7"/>
    <w:rsid w:val="362B686B"/>
    <w:rsid w:val="363641A4"/>
    <w:rsid w:val="365454CD"/>
    <w:rsid w:val="36596B7F"/>
    <w:rsid w:val="36915EB5"/>
    <w:rsid w:val="36AB7421"/>
    <w:rsid w:val="36C074C4"/>
    <w:rsid w:val="36DE5C94"/>
    <w:rsid w:val="3709455A"/>
    <w:rsid w:val="371344B3"/>
    <w:rsid w:val="37213DE5"/>
    <w:rsid w:val="374B4FC3"/>
    <w:rsid w:val="37846422"/>
    <w:rsid w:val="37906B8B"/>
    <w:rsid w:val="37912C2B"/>
    <w:rsid w:val="37B05FEC"/>
    <w:rsid w:val="38007C07"/>
    <w:rsid w:val="380A685C"/>
    <w:rsid w:val="386901D1"/>
    <w:rsid w:val="38A06A11"/>
    <w:rsid w:val="38AB7278"/>
    <w:rsid w:val="38EA11EC"/>
    <w:rsid w:val="39206C68"/>
    <w:rsid w:val="392574AE"/>
    <w:rsid w:val="3937661B"/>
    <w:rsid w:val="394A04AD"/>
    <w:rsid w:val="396F4CC8"/>
    <w:rsid w:val="397C54F2"/>
    <w:rsid w:val="397E34F9"/>
    <w:rsid w:val="39C946FC"/>
    <w:rsid w:val="39D66090"/>
    <w:rsid w:val="39F96C47"/>
    <w:rsid w:val="3A0B267A"/>
    <w:rsid w:val="3A185759"/>
    <w:rsid w:val="3A22009D"/>
    <w:rsid w:val="3A7E0A06"/>
    <w:rsid w:val="3A7E1162"/>
    <w:rsid w:val="3A942F44"/>
    <w:rsid w:val="3A972710"/>
    <w:rsid w:val="3AF61384"/>
    <w:rsid w:val="3AF82491"/>
    <w:rsid w:val="3B013DDA"/>
    <w:rsid w:val="3B475B9C"/>
    <w:rsid w:val="3B620EA2"/>
    <w:rsid w:val="3B697D24"/>
    <w:rsid w:val="3B930097"/>
    <w:rsid w:val="3B9B709C"/>
    <w:rsid w:val="3BB97A2D"/>
    <w:rsid w:val="3BCC2BDE"/>
    <w:rsid w:val="3BF54D88"/>
    <w:rsid w:val="3C5C4E6F"/>
    <w:rsid w:val="3C6D19FB"/>
    <w:rsid w:val="3C815AE6"/>
    <w:rsid w:val="3CAE1E2C"/>
    <w:rsid w:val="3CC842D5"/>
    <w:rsid w:val="3CDE6407"/>
    <w:rsid w:val="3CF03605"/>
    <w:rsid w:val="3CF53E5E"/>
    <w:rsid w:val="3CFB076D"/>
    <w:rsid w:val="3D1847CA"/>
    <w:rsid w:val="3D3C3CA5"/>
    <w:rsid w:val="3D404689"/>
    <w:rsid w:val="3D4E29E8"/>
    <w:rsid w:val="3D5B6155"/>
    <w:rsid w:val="3D5D508F"/>
    <w:rsid w:val="3D6F4456"/>
    <w:rsid w:val="3D942A8E"/>
    <w:rsid w:val="3DA44151"/>
    <w:rsid w:val="3DBE7231"/>
    <w:rsid w:val="3DD806C4"/>
    <w:rsid w:val="3DF82424"/>
    <w:rsid w:val="3E327332"/>
    <w:rsid w:val="3E7D4B7E"/>
    <w:rsid w:val="3EA1023D"/>
    <w:rsid w:val="3ED5433F"/>
    <w:rsid w:val="3EF4545B"/>
    <w:rsid w:val="3F2A5350"/>
    <w:rsid w:val="3F4F373E"/>
    <w:rsid w:val="3F543E53"/>
    <w:rsid w:val="3F5B494A"/>
    <w:rsid w:val="3F6527BE"/>
    <w:rsid w:val="3F9A1E5E"/>
    <w:rsid w:val="3FB30094"/>
    <w:rsid w:val="3FC221AA"/>
    <w:rsid w:val="3FC24DFB"/>
    <w:rsid w:val="3FF3077A"/>
    <w:rsid w:val="40424194"/>
    <w:rsid w:val="404C36C2"/>
    <w:rsid w:val="40774F6D"/>
    <w:rsid w:val="4080351B"/>
    <w:rsid w:val="40AC6ABD"/>
    <w:rsid w:val="40E524A1"/>
    <w:rsid w:val="40F70F22"/>
    <w:rsid w:val="41022B36"/>
    <w:rsid w:val="410C33C4"/>
    <w:rsid w:val="410C6A04"/>
    <w:rsid w:val="411970AC"/>
    <w:rsid w:val="41271642"/>
    <w:rsid w:val="412B3CFA"/>
    <w:rsid w:val="41614DC5"/>
    <w:rsid w:val="418C2A9A"/>
    <w:rsid w:val="41A91B94"/>
    <w:rsid w:val="41BE5103"/>
    <w:rsid w:val="41F01338"/>
    <w:rsid w:val="42260647"/>
    <w:rsid w:val="422A255C"/>
    <w:rsid w:val="423F17DF"/>
    <w:rsid w:val="425A3496"/>
    <w:rsid w:val="429F4798"/>
    <w:rsid w:val="42B503FB"/>
    <w:rsid w:val="42BC385C"/>
    <w:rsid w:val="42C24FD0"/>
    <w:rsid w:val="42D70A1D"/>
    <w:rsid w:val="433B4099"/>
    <w:rsid w:val="434F4ECF"/>
    <w:rsid w:val="43AB2A94"/>
    <w:rsid w:val="43BC2723"/>
    <w:rsid w:val="43EE44B2"/>
    <w:rsid w:val="44127EBA"/>
    <w:rsid w:val="441B2477"/>
    <w:rsid w:val="442E77EA"/>
    <w:rsid w:val="443E6826"/>
    <w:rsid w:val="44A761AF"/>
    <w:rsid w:val="44BE6C6C"/>
    <w:rsid w:val="44CC6850"/>
    <w:rsid w:val="44D37F54"/>
    <w:rsid w:val="44D90D2D"/>
    <w:rsid w:val="44E1728E"/>
    <w:rsid w:val="44F338DE"/>
    <w:rsid w:val="450962B7"/>
    <w:rsid w:val="451435D9"/>
    <w:rsid w:val="45344663"/>
    <w:rsid w:val="45924D5C"/>
    <w:rsid w:val="45FA3D9C"/>
    <w:rsid w:val="45FA5C41"/>
    <w:rsid w:val="460A786B"/>
    <w:rsid w:val="4656787E"/>
    <w:rsid w:val="465765F5"/>
    <w:rsid w:val="46683C12"/>
    <w:rsid w:val="46AA30C5"/>
    <w:rsid w:val="46B11CD5"/>
    <w:rsid w:val="47071FDC"/>
    <w:rsid w:val="47390B3E"/>
    <w:rsid w:val="4739459F"/>
    <w:rsid w:val="4740699E"/>
    <w:rsid w:val="47501485"/>
    <w:rsid w:val="475F7C6C"/>
    <w:rsid w:val="47B578DE"/>
    <w:rsid w:val="490364C8"/>
    <w:rsid w:val="491F5084"/>
    <w:rsid w:val="49375169"/>
    <w:rsid w:val="496137C4"/>
    <w:rsid w:val="496C50A6"/>
    <w:rsid w:val="49711339"/>
    <w:rsid w:val="498F50D9"/>
    <w:rsid w:val="49977984"/>
    <w:rsid w:val="49FF361D"/>
    <w:rsid w:val="4A523DC6"/>
    <w:rsid w:val="4A7466FF"/>
    <w:rsid w:val="4AA352A0"/>
    <w:rsid w:val="4AB06EC7"/>
    <w:rsid w:val="4ADA1C0B"/>
    <w:rsid w:val="4AFD2145"/>
    <w:rsid w:val="4B344C32"/>
    <w:rsid w:val="4B560286"/>
    <w:rsid w:val="4B6A50B4"/>
    <w:rsid w:val="4B7A3338"/>
    <w:rsid w:val="4B9316C9"/>
    <w:rsid w:val="4B9A31BC"/>
    <w:rsid w:val="4BC304DA"/>
    <w:rsid w:val="4BE84ADE"/>
    <w:rsid w:val="4BEA35E2"/>
    <w:rsid w:val="4BFD05CC"/>
    <w:rsid w:val="4C1116CD"/>
    <w:rsid w:val="4C261041"/>
    <w:rsid w:val="4C357B95"/>
    <w:rsid w:val="4C4455EA"/>
    <w:rsid w:val="4C7321DD"/>
    <w:rsid w:val="4C81306E"/>
    <w:rsid w:val="4CEA7917"/>
    <w:rsid w:val="4D1A675C"/>
    <w:rsid w:val="4D237EEE"/>
    <w:rsid w:val="4D36236B"/>
    <w:rsid w:val="4D426A4E"/>
    <w:rsid w:val="4D447ACD"/>
    <w:rsid w:val="4D69372C"/>
    <w:rsid w:val="4DE20C4E"/>
    <w:rsid w:val="4E121B55"/>
    <w:rsid w:val="4E1409B4"/>
    <w:rsid w:val="4E244E42"/>
    <w:rsid w:val="4E2B67D4"/>
    <w:rsid w:val="4E5A6974"/>
    <w:rsid w:val="4E6F2738"/>
    <w:rsid w:val="4E822DD2"/>
    <w:rsid w:val="4E8376D0"/>
    <w:rsid w:val="4E8A3AF9"/>
    <w:rsid w:val="4EA33192"/>
    <w:rsid w:val="4ED14E3B"/>
    <w:rsid w:val="4EDB451F"/>
    <w:rsid w:val="4EDE6994"/>
    <w:rsid w:val="4EF574D2"/>
    <w:rsid w:val="4F010732"/>
    <w:rsid w:val="4F375E50"/>
    <w:rsid w:val="4F3A4FAD"/>
    <w:rsid w:val="4F413421"/>
    <w:rsid w:val="4F5542BA"/>
    <w:rsid w:val="4F5B6A7C"/>
    <w:rsid w:val="4F902DE8"/>
    <w:rsid w:val="4FEF31B4"/>
    <w:rsid w:val="4FF108B5"/>
    <w:rsid w:val="4FF727BF"/>
    <w:rsid w:val="505D37E8"/>
    <w:rsid w:val="505E5044"/>
    <w:rsid w:val="50645371"/>
    <w:rsid w:val="50783615"/>
    <w:rsid w:val="50975B14"/>
    <w:rsid w:val="509E64DF"/>
    <w:rsid w:val="50E161AA"/>
    <w:rsid w:val="5103512C"/>
    <w:rsid w:val="51051CE7"/>
    <w:rsid w:val="512833BF"/>
    <w:rsid w:val="51826C93"/>
    <w:rsid w:val="52026457"/>
    <w:rsid w:val="523D05D3"/>
    <w:rsid w:val="527B17DD"/>
    <w:rsid w:val="527B1A36"/>
    <w:rsid w:val="528662F0"/>
    <w:rsid w:val="529E3019"/>
    <w:rsid w:val="52FA3944"/>
    <w:rsid w:val="53125FE1"/>
    <w:rsid w:val="531E4716"/>
    <w:rsid w:val="534C582B"/>
    <w:rsid w:val="536729EA"/>
    <w:rsid w:val="5385080E"/>
    <w:rsid w:val="53B355D7"/>
    <w:rsid w:val="53F33750"/>
    <w:rsid w:val="541E31C1"/>
    <w:rsid w:val="54226DAD"/>
    <w:rsid w:val="54B57C0A"/>
    <w:rsid w:val="54C2149E"/>
    <w:rsid w:val="54D072C3"/>
    <w:rsid w:val="551845E5"/>
    <w:rsid w:val="55741A72"/>
    <w:rsid w:val="55AD5A35"/>
    <w:rsid w:val="55CD5707"/>
    <w:rsid w:val="55D05DD8"/>
    <w:rsid w:val="55DF072A"/>
    <w:rsid w:val="561719BF"/>
    <w:rsid w:val="561C4D71"/>
    <w:rsid w:val="562070BA"/>
    <w:rsid w:val="562654E2"/>
    <w:rsid w:val="56276D69"/>
    <w:rsid w:val="567B0D05"/>
    <w:rsid w:val="5687274B"/>
    <w:rsid w:val="56AF7B24"/>
    <w:rsid w:val="56B4427A"/>
    <w:rsid w:val="56E3240E"/>
    <w:rsid w:val="56E94B75"/>
    <w:rsid w:val="56EB2994"/>
    <w:rsid w:val="56F077A0"/>
    <w:rsid w:val="57580AC9"/>
    <w:rsid w:val="577E4D9D"/>
    <w:rsid w:val="57B73A21"/>
    <w:rsid w:val="57C91F73"/>
    <w:rsid w:val="57F55ADD"/>
    <w:rsid w:val="57F87AFA"/>
    <w:rsid w:val="58350BDD"/>
    <w:rsid w:val="58365C18"/>
    <w:rsid w:val="58BB07A8"/>
    <w:rsid w:val="58D16635"/>
    <w:rsid w:val="58F93554"/>
    <w:rsid w:val="58F93587"/>
    <w:rsid w:val="590B7E1B"/>
    <w:rsid w:val="590E17FB"/>
    <w:rsid w:val="59235EE6"/>
    <w:rsid w:val="593A6196"/>
    <w:rsid w:val="593D5A74"/>
    <w:rsid w:val="59634AD2"/>
    <w:rsid w:val="596F7DF9"/>
    <w:rsid w:val="59700CB2"/>
    <w:rsid w:val="5992590A"/>
    <w:rsid w:val="59F73FA9"/>
    <w:rsid w:val="5A006E37"/>
    <w:rsid w:val="5A0709C0"/>
    <w:rsid w:val="5A443ABB"/>
    <w:rsid w:val="5A4D392F"/>
    <w:rsid w:val="5A6A2C63"/>
    <w:rsid w:val="5A7979FA"/>
    <w:rsid w:val="5A863E8E"/>
    <w:rsid w:val="5AB74E18"/>
    <w:rsid w:val="5ABE73D9"/>
    <w:rsid w:val="5AD51BB4"/>
    <w:rsid w:val="5AD621DB"/>
    <w:rsid w:val="5AE557FF"/>
    <w:rsid w:val="5AF20017"/>
    <w:rsid w:val="5AF5329F"/>
    <w:rsid w:val="5AF542D9"/>
    <w:rsid w:val="5B1512E1"/>
    <w:rsid w:val="5B307A41"/>
    <w:rsid w:val="5B4D5A36"/>
    <w:rsid w:val="5B664ADB"/>
    <w:rsid w:val="5B785F50"/>
    <w:rsid w:val="5B7A4125"/>
    <w:rsid w:val="5B877940"/>
    <w:rsid w:val="5B9E7045"/>
    <w:rsid w:val="5BA81C2A"/>
    <w:rsid w:val="5BFA7EF6"/>
    <w:rsid w:val="5C116D59"/>
    <w:rsid w:val="5C32271D"/>
    <w:rsid w:val="5C45068B"/>
    <w:rsid w:val="5C5A3EE7"/>
    <w:rsid w:val="5C784F41"/>
    <w:rsid w:val="5CAC42F9"/>
    <w:rsid w:val="5CB87388"/>
    <w:rsid w:val="5CBA7FC0"/>
    <w:rsid w:val="5CCF4CCD"/>
    <w:rsid w:val="5D2C38E4"/>
    <w:rsid w:val="5D333476"/>
    <w:rsid w:val="5D34491A"/>
    <w:rsid w:val="5D411F85"/>
    <w:rsid w:val="5D4F642A"/>
    <w:rsid w:val="5D536E7C"/>
    <w:rsid w:val="5D7828E6"/>
    <w:rsid w:val="5D874EB5"/>
    <w:rsid w:val="5DB85ED3"/>
    <w:rsid w:val="5DC871F5"/>
    <w:rsid w:val="5DFB2D6D"/>
    <w:rsid w:val="5E2C6546"/>
    <w:rsid w:val="5E4F72F6"/>
    <w:rsid w:val="5E6721EE"/>
    <w:rsid w:val="5EC827A4"/>
    <w:rsid w:val="5ECD6188"/>
    <w:rsid w:val="5ED65FEF"/>
    <w:rsid w:val="5EE12163"/>
    <w:rsid w:val="5EFD495B"/>
    <w:rsid w:val="5F052914"/>
    <w:rsid w:val="5F0A5F36"/>
    <w:rsid w:val="5F187E14"/>
    <w:rsid w:val="5F517590"/>
    <w:rsid w:val="5F931193"/>
    <w:rsid w:val="5F995DE3"/>
    <w:rsid w:val="5FD157E9"/>
    <w:rsid w:val="60183D36"/>
    <w:rsid w:val="60316A8A"/>
    <w:rsid w:val="60352E49"/>
    <w:rsid w:val="604307FB"/>
    <w:rsid w:val="60436DFE"/>
    <w:rsid w:val="60587F6C"/>
    <w:rsid w:val="60745B86"/>
    <w:rsid w:val="60757548"/>
    <w:rsid w:val="60922EA7"/>
    <w:rsid w:val="60D276FD"/>
    <w:rsid w:val="60DD09F9"/>
    <w:rsid w:val="60EB1D7C"/>
    <w:rsid w:val="60FB43D3"/>
    <w:rsid w:val="610463AD"/>
    <w:rsid w:val="61215C6A"/>
    <w:rsid w:val="614822A7"/>
    <w:rsid w:val="615467BF"/>
    <w:rsid w:val="615E13D9"/>
    <w:rsid w:val="619A74DB"/>
    <w:rsid w:val="61D536CC"/>
    <w:rsid w:val="61D95419"/>
    <w:rsid w:val="61E46B07"/>
    <w:rsid w:val="61E559A8"/>
    <w:rsid w:val="61E72504"/>
    <w:rsid w:val="62082855"/>
    <w:rsid w:val="62201DCB"/>
    <w:rsid w:val="62670855"/>
    <w:rsid w:val="626B2E63"/>
    <w:rsid w:val="62722BF9"/>
    <w:rsid w:val="62781254"/>
    <w:rsid w:val="628F56D7"/>
    <w:rsid w:val="62AD77BF"/>
    <w:rsid w:val="62B6401D"/>
    <w:rsid w:val="62F04C62"/>
    <w:rsid w:val="62F77B79"/>
    <w:rsid w:val="630330AE"/>
    <w:rsid w:val="63357CC5"/>
    <w:rsid w:val="63417E63"/>
    <w:rsid w:val="63586D06"/>
    <w:rsid w:val="638669D0"/>
    <w:rsid w:val="639B5D89"/>
    <w:rsid w:val="63A32E81"/>
    <w:rsid w:val="63A82549"/>
    <w:rsid w:val="640052D8"/>
    <w:rsid w:val="6402249F"/>
    <w:rsid w:val="6417398B"/>
    <w:rsid w:val="64382979"/>
    <w:rsid w:val="646D3538"/>
    <w:rsid w:val="64DC72A8"/>
    <w:rsid w:val="64F13D73"/>
    <w:rsid w:val="65114B98"/>
    <w:rsid w:val="65170A3D"/>
    <w:rsid w:val="651E4C38"/>
    <w:rsid w:val="65365292"/>
    <w:rsid w:val="65436AE1"/>
    <w:rsid w:val="65527C1B"/>
    <w:rsid w:val="65704466"/>
    <w:rsid w:val="6584222B"/>
    <w:rsid w:val="65CD26B4"/>
    <w:rsid w:val="65D214B6"/>
    <w:rsid w:val="660A60F8"/>
    <w:rsid w:val="661253BE"/>
    <w:rsid w:val="6612692A"/>
    <w:rsid w:val="66161F0A"/>
    <w:rsid w:val="66196145"/>
    <w:rsid w:val="6670389E"/>
    <w:rsid w:val="66C60A29"/>
    <w:rsid w:val="66D042E9"/>
    <w:rsid w:val="66F66FFA"/>
    <w:rsid w:val="66F73355"/>
    <w:rsid w:val="671921DE"/>
    <w:rsid w:val="6731565E"/>
    <w:rsid w:val="673536B8"/>
    <w:rsid w:val="674E497A"/>
    <w:rsid w:val="677D30E0"/>
    <w:rsid w:val="67C25F42"/>
    <w:rsid w:val="68006EE8"/>
    <w:rsid w:val="68166C87"/>
    <w:rsid w:val="6819202A"/>
    <w:rsid w:val="68401238"/>
    <w:rsid w:val="684727D9"/>
    <w:rsid w:val="68535FE0"/>
    <w:rsid w:val="68683D31"/>
    <w:rsid w:val="686D2070"/>
    <w:rsid w:val="68A139E4"/>
    <w:rsid w:val="68B3726E"/>
    <w:rsid w:val="68BD171A"/>
    <w:rsid w:val="68C1349D"/>
    <w:rsid w:val="68D659E5"/>
    <w:rsid w:val="69264754"/>
    <w:rsid w:val="694420CC"/>
    <w:rsid w:val="696E1C4C"/>
    <w:rsid w:val="697C74E5"/>
    <w:rsid w:val="69816C11"/>
    <w:rsid w:val="69D34437"/>
    <w:rsid w:val="6A1224A0"/>
    <w:rsid w:val="6A292147"/>
    <w:rsid w:val="6A31115D"/>
    <w:rsid w:val="6A502F91"/>
    <w:rsid w:val="6A5C2E89"/>
    <w:rsid w:val="6A6B1379"/>
    <w:rsid w:val="6A6F21B0"/>
    <w:rsid w:val="6A87109B"/>
    <w:rsid w:val="6A996FCF"/>
    <w:rsid w:val="6B0C0A7D"/>
    <w:rsid w:val="6B195F9E"/>
    <w:rsid w:val="6B2F7019"/>
    <w:rsid w:val="6B7B77ED"/>
    <w:rsid w:val="6B834A11"/>
    <w:rsid w:val="6BA5799B"/>
    <w:rsid w:val="6BAF3BBE"/>
    <w:rsid w:val="6BD86705"/>
    <w:rsid w:val="6BDC6768"/>
    <w:rsid w:val="6BE33C8F"/>
    <w:rsid w:val="6BFD6A38"/>
    <w:rsid w:val="6C26003F"/>
    <w:rsid w:val="6C39469E"/>
    <w:rsid w:val="6C81224F"/>
    <w:rsid w:val="6C8E09FD"/>
    <w:rsid w:val="6CAA1438"/>
    <w:rsid w:val="6CB674EB"/>
    <w:rsid w:val="6CC3417C"/>
    <w:rsid w:val="6CF751CD"/>
    <w:rsid w:val="6CFE2A90"/>
    <w:rsid w:val="6D033406"/>
    <w:rsid w:val="6D0E42A3"/>
    <w:rsid w:val="6D363AA9"/>
    <w:rsid w:val="6D6A23A6"/>
    <w:rsid w:val="6D747C94"/>
    <w:rsid w:val="6D7A7986"/>
    <w:rsid w:val="6D843218"/>
    <w:rsid w:val="6DAA3AC3"/>
    <w:rsid w:val="6DB27C2E"/>
    <w:rsid w:val="6DB33789"/>
    <w:rsid w:val="6DC349D7"/>
    <w:rsid w:val="6DCF3E9D"/>
    <w:rsid w:val="6DD01ED5"/>
    <w:rsid w:val="6DD1579D"/>
    <w:rsid w:val="6E520A94"/>
    <w:rsid w:val="6E583149"/>
    <w:rsid w:val="6E722676"/>
    <w:rsid w:val="6E725242"/>
    <w:rsid w:val="6E7716CA"/>
    <w:rsid w:val="6E7D3E7D"/>
    <w:rsid w:val="6E8B036B"/>
    <w:rsid w:val="6E916298"/>
    <w:rsid w:val="6E946B8C"/>
    <w:rsid w:val="6EA83F00"/>
    <w:rsid w:val="6EA84809"/>
    <w:rsid w:val="6EA86D11"/>
    <w:rsid w:val="6EF041DC"/>
    <w:rsid w:val="6F225078"/>
    <w:rsid w:val="6F4F5C6B"/>
    <w:rsid w:val="6F6D5808"/>
    <w:rsid w:val="6FF3443A"/>
    <w:rsid w:val="6FF40BBB"/>
    <w:rsid w:val="70013752"/>
    <w:rsid w:val="70317E9E"/>
    <w:rsid w:val="70342CA5"/>
    <w:rsid w:val="70363C29"/>
    <w:rsid w:val="705410A6"/>
    <w:rsid w:val="705D2BE9"/>
    <w:rsid w:val="708A7E30"/>
    <w:rsid w:val="70E26C32"/>
    <w:rsid w:val="70E86DEE"/>
    <w:rsid w:val="712307DD"/>
    <w:rsid w:val="71356F33"/>
    <w:rsid w:val="719C3171"/>
    <w:rsid w:val="71DA2984"/>
    <w:rsid w:val="71E81E35"/>
    <w:rsid w:val="71F31696"/>
    <w:rsid w:val="720277AF"/>
    <w:rsid w:val="721169B3"/>
    <w:rsid w:val="723D3F29"/>
    <w:rsid w:val="72556B12"/>
    <w:rsid w:val="725F4533"/>
    <w:rsid w:val="72665AB1"/>
    <w:rsid w:val="726B0346"/>
    <w:rsid w:val="729F603C"/>
    <w:rsid w:val="72A21144"/>
    <w:rsid w:val="72AC5DEC"/>
    <w:rsid w:val="72BA11D4"/>
    <w:rsid w:val="72BB5863"/>
    <w:rsid w:val="72C34BC0"/>
    <w:rsid w:val="72EF0842"/>
    <w:rsid w:val="73653045"/>
    <w:rsid w:val="736D13CC"/>
    <w:rsid w:val="73C34FB0"/>
    <w:rsid w:val="73E630B6"/>
    <w:rsid w:val="7419265F"/>
    <w:rsid w:val="747709E7"/>
    <w:rsid w:val="7487654A"/>
    <w:rsid w:val="74A75C74"/>
    <w:rsid w:val="74AE727B"/>
    <w:rsid w:val="74B72109"/>
    <w:rsid w:val="74BC79F6"/>
    <w:rsid w:val="74BD356E"/>
    <w:rsid w:val="74DE2D28"/>
    <w:rsid w:val="75034DA5"/>
    <w:rsid w:val="75055E9E"/>
    <w:rsid w:val="750B5416"/>
    <w:rsid w:val="75317F36"/>
    <w:rsid w:val="75434148"/>
    <w:rsid w:val="75536301"/>
    <w:rsid w:val="757731F2"/>
    <w:rsid w:val="757A7E5C"/>
    <w:rsid w:val="75A84F6F"/>
    <w:rsid w:val="75C46A48"/>
    <w:rsid w:val="75E13D13"/>
    <w:rsid w:val="763E2F56"/>
    <w:rsid w:val="7658146A"/>
    <w:rsid w:val="76582980"/>
    <w:rsid w:val="765B603D"/>
    <w:rsid w:val="765C7713"/>
    <w:rsid w:val="76671C9E"/>
    <w:rsid w:val="767B6F1E"/>
    <w:rsid w:val="76820B5D"/>
    <w:rsid w:val="76852D2B"/>
    <w:rsid w:val="768E1D0F"/>
    <w:rsid w:val="76BA5152"/>
    <w:rsid w:val="76D457A0"/>
    <w:rsid w:val="76E97262"/>
    <w:rsid w:val="771F0D94"/>
    <w:rsid w:val="77411B76"/>
    <w:rsid w:val="77482DDB"/>
    <w:rsid w:val="774B2396"/>
    <w:rsid w:val="778012E8"/>
    <w:rsid w:val="77AA1492"/>
    <w:rsid w:val="781A460E"/>
    <w:rsid w:val="782F7348"/>
    <w:rsid w:val="783025F2"/>
    <w:rsid w:val="78582600"/>
    <w:rsid w:val="7881670C"/>
    <w:rsid w:val="78967EE6"/>
    <w:rsid w:val="78BD4522"/>
    <w:rsid w:val="78C42AEC"/>
    <w:rsid w:val="78DA4DE9"/>
    <w:rsid w:val="78EA6A67"/>
    <w:rsid w:val="79010C64"/>
    <w:rsid w:val="79164A8A"/>
    <w:rsid w:val="79343267"/>
    <w:rsid w:val="794A3E9B"/>
    <w:rsid w:val="796304EA"/>
    <w:rsid w:val="799042FF"/>
    <w:rsid w:val="79D96301"/>
    <w:rsid w:val="7A213F9F"/>
    <w:rsid w:val="7A25707D"/>
    <w:rsid w:val="7A446928"/>
    <w:rsid w:val="7AB824C3"/>
    <w:rsid w:val="7ABD52ED"/>
    <w:rsid w:val="7B0D13DE"/>
    <w:rsid w:val="7B6A2E87"/>
    <w:rsid w:val="7B743B30"/>
    <w:rsid w:val="7B7A6518"/>
    <w:rsid w:val="7BA82B1B"/>
    <w:rsid w:val="7BB15250"/>
    <w:rsid w:val="7BD754B6"/>
    <w:rsid w:val="7BE36163"/>
    <w:rsid w:val="7BEE2FE2"/>
    <w:rsid w:val="7C1039EF"/>
    <w:rsid w:val="7C2C6B33"/>
    <w:rsid w:val="7C7310AD"/>
    <w:rsid w:val="7C79405E"/>
    <w:rsid w:val="7C814E20"/>
    <w:rsid w:val="7C9D2643"/>
    <w:rsid w:val="7CC22674"/>
    <w:rsid w:val="7CDA5C5C"/>
    <w:rsid w:val="7CDE07EA"/>
    <w:rsid w:val="7D07504F"/>
    <w:rsid w:val="7D083A4C"/>
    <w:rsid w:val="7D135E30"/>
    <w:rsid w:val="7D1A3539"/>
    <w:rsid w:val="7D2D49BC"/>
    <w:rsid w:val="7D5D46AB"/>
    <w:rsid w:val="7D851A94"/>
    <w:rsid w:val="7D88777A"/>
    <w:rsid w:val="7DAB34EE"/>
    <w:rsid w:val="7DE06C1B"/>
    <w:rsid w:val="7DE1182D"/>
    <w:rsid w:val="7DF34CB6"/>
    <w:rsid w:val="7E035813"/>
    <w:rsid w:val="7E1410AD"/>
    <w:rsid w:val="7E1809CF"/>
    <w:rsid w:val="7E4253D3"/>
    <w:rsid w:val="7E46459C"/>
    <w:rsid w:val="7E753D6C"/>
    <w:rsid w:val="7E905C32"/>
    <w:rsid w:val="7EC30AC6"/>
    <w:rsid w:val="7EFB1398"/>
    <w:rsid w:val="7F070ED1"/>
    <w:rsid w:val="7F144E7E"/>
    <w:rsid w:val="7F1926C7"/>
    <w:rsid w:val="7F1D6B1B"/>
    <w:rsid w:val="7F5D7905"/>
    <w:rsid w:val="7F8A0016"/>
    <w:rsid w:val="7FC927A8"/>
    <w:rsid w:val="7FD36A43"/>
    <w:rsid w:val="7FE27B5E"/>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5"/>
    <w:autoRedefine/>
    <w:qFormat/>
    <w:uiPriority w:val="9"/>
    <w:pPr>
      <w:keepNext/>
      <w:widowControl/>
      <w:spacing w:before="340" w:after="330" w:line="576" w:lineRule="auto"/>
      <w:outlineLvl w:val="0"/>
    </w:pPr>
    <w:rPr>
      <w:rFonts w:ascii="???" w:hAnsi="???" w:eastAsia="宋体" w:cs="Arial"/>
      <w:color w:val="020000"/>
      <w:kern w:val="36"/>
      <w:sz w:val="44"/>
      <w:szCs w:val="44"/>
    </w:rPr>
  </w:style>
  <w:style w:type="paragraph" w:styleId="3">
    <w:name w:val="heading 2"/>
    <w:basedOn w:val="1"/>
    <w:next w:val="1"/>
    <w:link w:val="67"/>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6"/>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paragraph" w:styleId="7">
    <w:name w:val="heading 5"/>
    <w:basedOn w:val="1"/>
    <w:next w:val="6"/>
    <w:autoRedefine/>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8"/>
    <w:autoRedefine/>
    <w:qFormat/>
    <w:uiPriority w:val="0"/>
    <w:pPr>
      <w:ind w:firstLine="420" w:firstLineChars="200"/>
    </w:pPr>
    <w:rPr>
      <w:rFonts w:ascii="Times New Roman" w:hAnsi="Times New Roman"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Document Map"/>
    <w:basedOn w:val="1"/>
    <w:link w:val="136"/>
    <w:autoRedefine/>
    <w:qFormat/>
    <w:uiPriority w:val="0"/>
    <w:rPr>
      <w:rFonts w:ascii="宋体" w:hAnsi="Calibri" w:eastAsia="宋体" w:cs="Times New Roman"/>
      <w:kern w:val="0"/>
      <w:sz w:val="18"/>
      <w:szCs w:val="20"/>
    </w:rPr>
  </w:style>
  <w:style w:type="paragraph" w:styleId="12">
    <w:name w:val="toa heading"/>
    <w:basedOn w:val="1"/>
    <w:next w:val="1"/>
    <w:qFormat/>
    <w:uiPriority w:val="0"/>
    <w:pPr>
      <w:spacing w:before="120"/>
    </w:pPr>
    <w:rPr>
      <w:rFonts w:ascii="Cambria" w:hAnsi="Cambria"/>
      <w:sz w:val="24"/>
      <w:szCs w:val="20"/>
    </w:rPr>
  </w:style>
  <w:style w:type="paragraph" w:styleId="13">
    <w:name w:val="annotation text"/>
    <w:basedOn w:val="1"/>
    <w:link w:val="164"/>
    <w:qFormat/>
    <w:uiPriority w:val="0"/>
    <w:pPr>
      <w:jc w:val="left"/>
    </w:pPr>
  </w:style>
  <w:style w:type="paragraph" w:styleId="14">
    <w:name w:val="Body Text"/>
    <w:basedOn w:val="1"/>
    <w:next w:val="1"/>
    <w:link w:val="139"/>
    <w:autoRedefine/>
    <w:qFormat/>
    <w:uiPriority w:val="99"/>
    <w:pPr>
      <w:spacing w:after="120"/>
    </w:pPr>
    <w:rPr>
      <w:rFonts w:ascii="Calibri" w:hAnsi="Calibri" w:eastAsia="宋体" w:cs="Times New Roman"/>
      <w:kern w:val="0"/>
      <w:sz w:val="24"/>
      <w:szCs w:val="20"/>
    </w:rPr>
  </w:style>
  <w:style w:type="paragraph" w:styleId="15">
    <w:name w:val="Body Text Indent"/>
    <w:basedOn w:val="1"/>
    <w:next w:val="14"/>
    <w:link w:val="70"/>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autoRedefine/>
    <w:qFormat/>
    <w:uiPriority w:val="39"/>
    <w:pPr>
      <w:ind w:left="840" w:leftChars="400"/>
    </w:pPr>
    <w:rPr>
      <w:rFonts w:ascii="Times New Roman" w:hAnsi="Times New Roman" w:eastAsia="宋体" w:cs="Times New Roman"/>
      <w:szCs w:val="24"/>
    </w:rPr>
  </w:style>
  <w:style w:type="paragraph" w:styleId="18">
    <w:name w:val="Plain Text"/>
    <w:basedOn w:val="1"/>
    <w:link w:val="199"/>
    <w:qFormat/>
    <w:uiPriority w:val="99"/>
    <w:rPr>
      <w:rFonts w:ascii="宋体" w:hAnsi="Courier New" w:eastAsia="宋体"/>
      <w:szCs w:val="21"/>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9"/>
    <w:autoRedefine/>
    <w:qFormat/>
    <w:uiPriority w:val="0"/>
    <w:rPr>
      <w:szCs w:val="21"/>
    </w:rPr>
  </w:style>
  <w:style w:type="paragraph" w:styleId="21">
    <w:name w:val="Body Text Indent 2"/>
    <w:basedOn w:val="1"/>
    <w:link w:val="132"/>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82"/>
    <w:qFormat/>
    <w:uiPriority w:val="99"/>
    <w:rPr>
      <w:rFonts w:ascii="Calibri" w:hAnsi="Calibri" w:eastAsia="宋体" w:cs="Times New Roman"/>
      <w:sz w:val="18"/>
      <w:szCs w:val="18"/>
    </w:rPr>
  </w:style>
  <w:style w:type="paragraph" w:styleId="23">
    <w:name w:val="footer"/>
    <w:basedOn w:val="1"/>
    <w:link w:val="69"/>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8"/>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List"/>
    <w:basedOn w:val="1"/>
    <w:semiHidden/>
    <w:qFormat/>
    <w:uiPriority w:val="0"/>
    <w:pPr>
      <w:ind w:left="200" w:hanging="200" w:hangingChars="200"/>
    </w:pPr>
  </w:style>
  <w:style w:type="paragraph" w:styleId="28">
    <w:name w:val="footnote text"/>
    <w:basedOn w:val="1"/>
    <w:link w:val="176"/>
    <w:semiHidden/>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34"/>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Body Text 2"/>
    <w:basedOn w:val="1"/>
    <w:qFormat/>
    <w:uiPriority w:val="0"/>
    <w:pPr>
      <w:spacing w:after="120" w:line="480" w:lineRule="auto"/>
    </w:pPr>
    <w:rPr>
      <w:rFonts w:eastAsia="宋体"/>
      <w:kern w:val="0"/>
      <w:sz w:val="20"/>
      <w:szCs w:val="24"/>
    </w:rPr>
  </w:style>
  <w:style w:type="paragraph" w:styleId="35">
    <w:name w:val="List Continue 2"/>
    <w:basedOn w:val="1"/>
    <w:qFormat/>
    <w:uiPriority w:val="99"/>
    <w:pPr>
      <w:spacing w:after="120"/>
      <w:ind w:left="840" w:leftChars="400"/>
    </w:pPr>
    <w:rPr>
      <w:rFonts w:ascii="Times New Roman" w:hAnsi="Times New Roman" w:eastAsia="宋体" w:cs="Times New Roman"/>
      <w:szCs w:val="24"/>
    </w:rPr>
  </w:style>
  <w:style w:type="paragraph" w:styleId="3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8">
    <w:name w:val="Title"/>
    <w:basedOn w:val="1"/>
    <w:next w:val="1"/>
    <w:link w:val="162"/>
    <w:qFormat/>
    <w:uiPriority w:val="0"/>
    <w:pPr>
      <w:spacing w:before="240" w:after="60"/>
      <w:jc w:val="center"/>
      <w:outlineLvl w:val="0"/>
    </w:pPr>
    <w:rPr>
      <w:rFonts w:ascii="Cambria" w:hAnsi="Cambria" w:cs="Times New Roman"/>
      <w:b/>
      <w:bCs/>
      <w:sz w:val="32"/>
      <w:szCs w:val="32"/>
    </w:rPr>
  </w:style>
  <w:style w:type="paragraph" w:styleId="39">
    <w:name w:val="annotation subject"/>
    <w:basedOn w:val="13"/>
    <w:next w:val="13"/>
    <w:link w:val="169"/>
    <w:qFormat/>
    <w:uiPriority w:val="0"/>
    <w:rPr>
      <w:b/>
      <w:bCs/>
    </w:rPr>
  </w:style>
  <w:style w:type="paragraph" w:styleId="40">
    <w:name w:val="Body Text First Indent"/>
    <w:basedOn w:val="14"/>
    <w:link w:val="209"/>
    <w:unhideWhenUsed/>
    <w:qFormat/>
    <w:uiPriority w:val="99"/>
    <w:pPr>
      <w:ind w:firstLine="420" w:firstLineChars="100"/>
    </w:pPr>
    <w:rPr>
      <w:rFonts w:asciiTheme="minorHAnsi" w:hAnsiTheme="minorHAnsi" w:eastAsiaTheme="minorEastAsia" w:cstheme="minorBidi"/>
      <w:kern w:val="2"/>
      <w:sz w:val="21"/>
      <w:szCs w:val="22"/>
    </w:rPr>
  </w:style>
  <w:style w:type="paragraph" w:styleId="41">
    <w:name w:val="Body Text First Indent 2"/>
    <w:basedOn w:val="15"/>
    <w:next w:val="1"/>
    <w:link w:val="213"/>
    <w:semiHidden/>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3">
    <w:name w:val="Table Grid"/>
    <w:basedOn w:val="4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qFormat/>
    <w:uiPriority w:val="22"/>
    <w:rPr>
      <w:rFonts w:cs="Times New Roman"/>
      <w:b/>
    </w:rPr>
  </w:style>
  <w:style w:type="character" w:styleId="46">
    <w:name w:val="page number"/>
    <w:basedOn w:val="44"/>
    <w:qFormat/>
    <w:uiPriority w:val="0"/>
    <w:rPr>
      <w:rFonts w:cs="Times New Roman"/>
    </w:rPr>
  </w:style>
  <w:style w:type="character" w:styleId="47">
    <w:name w:val="FollowedHyperlink"/>
    <w:basedOn w:val="44"/>
    <w:qFormat/>
    <w:uiPriority w:val="99"/>
    <w:rPr>
      <w:rFonts w:cs="Times New Roman"/>
      <w:color w:val="555555"/>
      <w:u w:val="none"/>
    </w:rPr>
  </w:style>
  <w:style w:type="character" w:styleId="48">
    <w:name w:val="Emphasis"/>
    <w:basedOn w:val="44"/>
    <w:qFormat/>
    <w:uiPriority w:val="0"/>
    <w:rPr>
      <w:rFonts w:cs="Times New Roman"/>
      <w:i/>
    </w:rPr>
  </w:style>
  <w:style w:type="character" w:styleId="49">
    <w:name w:val="HTML Definition"/>
    <w:basedOn w:val="44"/>
    <w:qFormat/>
    <w:uiPriority w:val="99"/>
    <w:rPr>
      <w:rFonts w:cs="Times New Roman"/>
    </w:rPr>
  </w:style>
  <w:style w:type="character" w:styleId="50">
    <w:name w:val="HTML Acronym"/>
    <w:basedOn w:val="44"/>
    <w:qFormat/>
    <w:uiPriority w:val="99"/>
    <w:rPr>
      <w:rFonts w:cs="Times New Roman"/>
    </w:rPr>
  </w:style>
  <w:style w:type="character" w:styleId="51">
    <w:name w:val="HTML Variable"/>
    <w:basedOn w:val="44"/>
    <w:qFormat/>
    <w:uiPriority w:val="99"/>
    <w:rPr>
      <w:rFonts w:cs="Times New Roman"/>
    </w:rPr>
  </w:style>
  <w:style w:type="character" w:styleId="52">
    <w:name w:val="Hyperlink"/>
    <w:basedOn w:val="44"/>
    <w:qFormat/>
    <w:uiPriority w:val="99"/>
    <w:rPr>
      <w:rFonts w:cs="Times New Roman"/>
      <w:color w:val="555555"/>
      <w:u w:val="none"/>
    </w:rPr>
  </w:style>
  <w:style w:type="character" w:styleId="53">
    <w:name w:val="HTML Code"/>
    <w:basedOn w:val="44"/>
    <w:qFormat/>
    <w:uiPriority w:val="99"/>
    <w:rPr>
      <w:rFonts w:ascii="monospace" w:hAnsi="monospace" w:cs="Times New Roman"/>
      <w:sz w:val="24"/>
    </w:rPr>
  </w:style>
  <w:style w:type="character" w:styleId="54">
    <w:name w:val="annotation reference"/>
    <w:qFormat/>
    <w:uiPriority w:val="0"/>
    <w:rPr>
      <w:sz w:val="21"/>
      <w:szCs w:val="21"/>
    </w:rPr>
  </w:style>
  <w:style w:type="character" w:styleId="55">
    <w:name w:val="HTML Cite"/>
    <w:basedOn w:val="44"/>
    <w:qFormat/>
    <w:uiPriority w:val="99"/>
    <w:rPr>
      <w:rFonts w:cs="Times New Roman"/>
    </w:rPr>
  </w:style>
  <w:style w:type="character" w:styleId="56">
    <w:name w:val="footnote reference"/>
    <w:semiHidden/>
    <w:qFormat/>
    <w:uiPriority w:val="0"/>
    <w:rPr>
      <w:vertAlign w:val="superscript"/>
    </w:rPr>
  </w:style>
  <w:style w:type="character" w:styleId="57">
    <w:name w:val="HTML Keyboard"/>
    <w:basedOn w:val="44"/>
    <w:qFormat/>
    <w:uiPriority w:val="99"/>
    <w:rPr>
      <w:rFonts w:ascii="monospace" w:hAnsi="monospace" w:cs="Times New Roman"/>
      <w:sz w:val="24"/>
    </w:rPr>
  </w:style>
  <w:style w:type="character" w:styleId="58">
    <w:name w:val="HTML Sample"/>
    <w:basedOn w:val="44"/>
    <w:qFormat/>
    <w:uiPriority w:val="99"/>
    <w:rPr>
      <w:rFonts w:ascii="monospace" w:hAnsi="monospace" w:cs="Times New Roman"/>
      <w:sz w:val="24"/>
    </w:rPr>
  </w:style>
  <w:style w:type="paragraph" w:customStyle="1" w:styleId="59">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60">
    <w:name w:val="H3-HXDI"/>
    <w:basedOn w:val="61"/>
    <w:next w:val="63"/>
    <w:qFormat/>
    <w:uiPriority w:val="0"/>
    <w:pPr>
      <w:spacing w:before="0" w:after="0"/>
      <w:outlineLvl w:val="2"/>
    </w:pPr>
  </w:style>
  <w:style w:type="paragraph" w:customStyle="1" w:styleId="61">
    <w:name w:val="H2-HXDI"/>
    <w:basedOn w:val="62"/>
    <w:next w:val="63"/>
    <w:qFormat/>
    <w:uiPriority w:val="0"/>
    <w:pPr>
      <w:pageBreakBefore w:val="0"/>
      <w:outlineLvl w:val="1"/>
    </w:pPr>
    <w:rPr>
      <w:sz w:val="24"/>
    </w:rPr>
  </w:style>
  <w:style w:type="paragraph" w:customStyle="1" w:styleId="62">
    <w:name w:val="H1-HXDI"/>
    <w:basedOn w:val="63"/>
    <w:next w:val="63"/>
    <w:qFormat/>
    <w:uiPriority w:val="0"/>
    <w:pPr>
      <w:pageBreakBefore/>
      <w:spacing w:before="120" w:after="120"/>
      <w:outlineLvl w:val="0"/>
    </w:pPr>
    <w:rPr>
      <w:rFonts w:eastAsia="黑体"/>
      <w:sz w:val="28"/>
    </w:rPr>
  </w:style>
  <w:style w:type="paragraph" w:customStyle="1" w:styleId="63">
    <w:name w:val="正文-HXDI"/>
    <w:basedOn w:val="1"/>
    <w:qFormat/>
    <w:uiPriority w:val="0"/>
    <w:pPr>
      <w:adjustRightInd w:val="0"/>
      <w:textAlignment w:val="baseline"/>
    </w:pPr>
    <w:rPr>
      <w:kern w:val="0"/>
    </w:rPr>
  </w:style>
  <w:style w:type="paragraph" w:customStyle="1" w:styleId="64">
    <w:name w:val="方案正文"/>
    <w:basedOn w:val="14"/>
    <w:qFormat/>
    <w:uiPriority w:val="0"/>
    <w:pPr>
      <w:spacing w:after="0"/>
      <w:ind w:firstLine="560" w:firstLineChars="200"/>
      <w:jc w:val="left"/>
    </w:pPr>
    <w:rPr>
      <w:rFonts w:ascii="Arial" w:hAnsi="Arial" w:eastAsia="仿宋" w:cs="宋体"/>
      <w:sz w:val="28"/>
      <w:szCs w:val="21"/>
    </w:rPr>
  </w:style>
  <w:style w:type="character" w:customStyle="1" w:styleId="65">
    <w:name w:val="标题 1 Char"/>
    <w:basedOn w:val="44"/>
    <w:link w:val="2"/>
    <w:qFormat/>
    <w:uiPriority w:val="9"/>
    <w:rPr>
      <w:rFonts w:ascii="???" w:hAnsi="???" w:eastAsia="宋体" w:cs="Arial"/>
      <w:b/>
      <w:bCs/>
      <w:color w:val="020000"/>
      <w:kern w:val="36"/>
      <w:sz w:val="44"/>
      <w:szCs w:val="44"/>
    </w:rPr>
  </w:style>
  <w:style w:type="character" w:customStyle="1" w:styleId="66">
    <w:name w:val="标题 3 Char"/>
    <w:basedOn w:val="44"/>
    <w:link w:val="4"/>
    <w:qFormat/>
    <w:uiPriority w:val="0"/>
    <w:rPr>
      <w:rFonts w:ascii="??" w:hAnsi="??" w:eastAsia="宋体" w:cs="Arial"/>
      <w:b/>
      <w:bCs/>
      <w:color w:val="000000"/>
      <w:kern w:val="0"/>
      <w:sz w:val="32"/>
      <w:szCs w:val="32"/>
    </w:rPr>
  </w:style>
  <w:style w:type="character" w:customStyle="1" w:styleId="67">
    <w:name w:val="标题 2 Char"/>
    <w:basedOn w:val="44"/>
    <w:link w:val="3"/>
    <w:qFormat/>
    <w:uiPriority w:val="99"/>
    <w:rPr>
      <w:rFonts w:ascii="???" w:hAnsi="???" w:eastAsia="宋体" w:cs="Arial"/>
      <w:b/>
      <w:bCs/>
      <w:color w:val="020000"/>
      <w:kern w:val="0"/>
      <w:sz w:val="32"/>
      <w:szCs w:val="32"/>
    </w:rPr>
  </w:style>
  <w:style w:type="character" w:customStyle="1" w:styleId="68">
    <w:name w:val="页眉 Char"/>
    <w:basedOn w:val="44"/>
    <w:link w:val="24"/>
    <w:qFormat/>
    <w:uiPriority w:val="99"/>
    <w:rPr>
      <w:rFonts w:ascii="Calibri" w:hAnsi="Calibri" w:eastAsia="宋体" w:cs="Times New Roman"/>
      <w:sz w:val="18"/>
      <w:szCs w:val="18"/>
    </w:rPr>
  </w:style>
  <w:style w:type="character" w:customStyle="1" w:styleId="69">
    <w:name w:val="页脚 Char"/>
    <w:basedOn w:val="44"/>
    <w:link w:val="23"/>
    <w:qFormat/>
    <w:uiPriority w:val="99"/>
    <w:rPr>
      <w:rFonts w:ascii="Calibri" w:hAnsi="Calibri" w:eastAsia="宋体" w:cs="Times New Roman"/>
      <w:sz w:val="18"/>
      <w:szCs w:val="18"/>
    </w:rPr>
  </w:style>
  <w:style w:type="character" w:customStyle="1" w:styleId="70">
    <w:name w:val="正文文本缩进 Char"/>
    <w:basedOn w:val="44"/>
    <w:link w:val="15"/>
    <w:qFormat/>
    <w:uiPriority w:val="0"/>
    <w:rPr>
      <w:rFonts w:ascii="??" w:hAnsi="??" w:eastAsia="宋体" w:cs="Arial"/>
      <w:kern w:val="0"/>
      <w:sz w:val="24"/>
      <w:szCs w:val="24"/>
    </w:rPr>
  </w:style>
  <w:style w:type="paragraph" w:customStyle="1" w:styleId="71">
    <w:name w:val="列出段落1"/>
    <w:basedOn w:val="1"/>
    <w:qFormat/>
    <w:uiPriority w:val="34"/>
    <w:pPr>
      <w:ind w:firstLine="420" w:firstLineChars="200"/>
    </w:pPr>
    <w:rPr>
      <w:rFonts w:ascii="Calibri" w:hAnsi="Calibri" w:eastAsia="宋体" w:cs="Times New Roman"/>
    </w:rPr>
  </w:style>
  <w:style w:type="character" w:customStyle="1" w:styleId="72">
    <w:name w:val="标题 2 Char Char"/>
    <w:qFormat/>
    <w:uiPriority w:val="99"/>
    <w:rPr>
      <w:rFonts w:ascii="Arial" w:hAnsi="Arial" w:eastAsia="黑体"/>
      <w:b/>
      <w:kern w:val="2"/>
      <w:sz w:val="32"/>
      <w:lang w:val="en-US" w:eastAsia="zh-CN"/>
    </w:rPr>
  </w:style>
  <w:style w:type="character" w:customStyle="1" w:styleId="73">
    <w:name w:val="2charchar"/>
    <w:basedOn w:val="44"/>
    <w:qFormat/>
    <w:uiPriority w:val="99"/>
    <w:rPr>
      <w:rFonts w:cs="Times New Roman"/>
    </w:rPr>
  </w:style>
  <w:style w:type="paragraph" w:customStyle="1" w:styleId="74">
    <w:name w:val="表格文字"/>
    <w:basedOn w:val="1"/>
    <w:next w:val="14"/>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5">
    <w:name w:val="z-窗体顶端1"/>
    <w:basedOn w:val="1"/>
    <w:next w:val="1"/>
    <w:link w:val="76"/>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6">
    <w:name w:val="z-窗体顶端 Char"/>
    <w:basedOn w:val="44"/>
    <w:link w:val="75"/>
    <w:semiHidden/>
    <w:qFormat/>
    <w:uiPriority w:val="99"/>
    <w:rPr>
      <w:rFonts w:ascii="Arial" w:hAnsi="Arial" w:eastAsia="宋体" w:cs="Arial"/>
      <w:vanish/>
      <w:kern w:val="0"/>
      <w:sz w:val="16"/>
      <w:szCs w:val="16"/>
    </w:rPr>
  </w:style>
  <w:style w:type="paragraph" w:customStyle="1" w:styleId="77">
    <w:name w:val="z-窗体底端1"/>
    <w:basedOn w:val="1"/>
    <w:next w:val="1"/>
    <w:link w:val="78"/>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8">
    <w:name w:val="z-窗体底端 Char"/>
    <w:basedOn w:val="44"/>
    <w:link w:val="77"/>
    <w:semiHidden/>
    <w:qFormat/>
    <w:uiPriority w:val="99"/>
    <w:rPr>
      <w:rFonts w:ascii="Arial" w:hAnsi="Arial" w:eastAsia="宋体" w:cs="Arial"/>
      <w:vanish/>
      <w:kern w:val="0"/>
      <w:sz w:val="16"/>
      <w:szCs w:val="16"/>
    </w:rPr>
  </w:style>
  <w:style w:type="paragraph" w:customStyle="1" w:styleId="79">
    <w:name w:val="hu正文"/>
    <w:basedOn w:val="1"/>
    <w:link w:val="80"/>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80">
    <w:name w:val="hu正文 Char"/>
    <w:link w:val="79"/>
    <w:qFormat/>
    <w:locked/>
    <w:uiPriority w:val="99"/>
    <w:rPr>
      <w:rFonts w:ascii="Times New Roman" w:hAnsi="Times New Roman" w:eastAsia="宋体" w:cs="Times New Roman"/>
      <w:kern w:val="0"/>
      <w:sz w:val="24"/>
      <w:szCs w:val="20"/>
    </w:rPr>
  </w:style>
  <w:style w:type="paragraph" w:customStyle="1" w:styleId="81">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2">
    <w:name w:val="批注框文本 Char"/>
    <w:basedOn w:val="44"/>
    <w:link w:val="22"/>
    <w:qFormat/>
    <w:uiPriority w:val="99"/>
    <w:rPr>
      <w:rFonts w:ascii="Calibri" w:hAnsi="Calibri" w:eastAsia="宋体" w:cs="Times New Roman"/>
      <w:sz w:val="18"/>
      <w:szCs w:val="18"/>
    </w:rPr>
  </w:style>
  <w:style w:type="character" w:customStyle="1" w:styleId="83">
    <w:name w:val="ui-bz-bg-hover1"/>
    <w:basedOn w:val="44"/>
    <w:qFormat/>
    <w:uiPriority w:val="99"/>
    <w:rPr>
      <w:rFonts w:cs="Times New Roman"/>
    </w:rPr>
  </w:style>
  <w:style w:type="character" w:customStyle="1" w:styleId="84">
    <w:name w:val="批注框文本 Char1"/>
    <w:qFormat/>
    <w:uiPriority w:val="99"/>
    <w:rPr>
      <w:rFonts w:ascii="Times New Roman" w:hAnsi="Times New Roman" w:eastAsia="宋体"/>
      <w:sz w:val="18"/>
    </w:rPr>
  </w:style>
  <w:style w:type="character" w:customStyle="1" w:styleId="85">
    <w:name w:val="bds_nopic"/>
    <w:basedOn w:val="44"/>
    <w:qFormat/>
    <w:uiPriority w:val="99"/>
    <w:rPr>
      <w:rFonts w:cs="Times New Roman"/>
    </w:rPr>
  </w:style>
  <w:style w:type="character" w:customStyle="1" w:styleId="86">
    <w:name w:val="tip12"/>
    <w:qFormat/>
    <w:uiPriority w:val="99"/>
    <w:rPr>
      <w:vanish/>
      <w:color w:val="FF0000"/>
      <w:sz w:val="18"/>
    </w:rPr>
  </w:style>
  <w:style w:type="character" w:customStyle="1" w:styleId="87">
    <w:name w:val="Body Text Indent 3 Char"/>
    <w:qFormat/>
    <w:locked/>
    <w:uiPriority w:val="99"/>
    <w:rPr>
      <w:rFonts w:ascii="宋体" w:eastAsia="宋体"/>
    </w:rPr>
  </w:style>
  <w:style w:type="character" w:customStyle="1" w:styleId="88">
    <w:name w:val="HTML Markup"/>
    <w:qFormat/>
    <w:uiPriority w:val="99"/>
    <w:rPr>
      <w:vanish/>
      <w:color w:val="FF0000"/>
    </w:rPr>
  </w:style>
  <w:style w:type="character" w:customStyle="1" w:styleId="89">
    <w:name w:val="tip7"/>
    <w:qFormat/>
    <w:uiPriority w:val="99"/>
    <w:rPr>
      <w:vanish/>
      <w:color w:val="FF0000"/>
      <w:sz w:val="18"/>
    </w:rPr>
  </w:style>
  <w:style w:type="character" w:customStyle="1" w:styleId="90">
    <w:name w:val="f-star"/>
    <w:qFormat/>
    <w:uiPriority w:val="99"/>
    <w:rPr>
      <w:color w:val="999999"/>
      <w:sz w:val="21"/>
    </w:rPr>
  </w:style>
  <w:style w:type="character" w:customStyle="1" w:styleId="91">
    <w:name w:val="Document Map Char1"/>
    <w:qFormat/>
    <w:uiPriority w:val="99"/>
    <w:rPr>
      <w:rFonts w:ascii="Times New Roman" w:hAnsi="Times New Roman"/>
      <w:kern w:val="2"/>
      <w:sz w:val="2"/>
    </w:rPr>
  </w:style>
  <w:style w:type="character" w:customStyle="1" w:styleId="92">
    <w:name w:val="my-class2"/>
    <w:basedOn w:val="44"/>
    <w:qFormat/>
    <w:uiPriority w:val="99"/>
    <w:rPr>
      <w:rFonts w:cs="Times New Roman"/>
    </w:rPr>
  </w:style>
  <w:style w:type="character" w:customStyle="1" w:styleId="93">
    <w:name w:val="no52"/>
    <w:basedOn w:val="44"/>
    <w:qFormat/>
    <w:uiPriority w:val="99"/>
    <w:rPr>
      <w:rFonts w:cs="Times New Roman"/>
    </w:rPr>
  </w:style>
  <w:style w:type="character" w:customStyle="1" w:styleId="94">
    <w:name w:val="no4"/>
    <w:basedOn w:val="44"/>
    <w:qFormat/>
    <w:uiPriority w:val="99"/>
    <w:rPr>
      <w:rFonts w:cs="Times New Roman"/>
    </w:rPr>
  </w:style>
  <w:style w:type="character" w:customStyle="1" w:styleId="95">
    <w:name w:val="my-notice"/>
    <w:basedOn w:val="44"/>
    <w:qFormat/>
    <w:uiPriority w:val="99"/>
    <w:rPr>
      <w:rFonts w:cs="Times New Roman"/>
    </w:rPr>
  </w:style>
  <w:style w:type="character" w:customStyle="1" w:styleId="96">
    <w:name w:val="ico-jiang"/>
    <w:basedOn w:val="44"/>
    <w:qFormat/>
    <w:uiPriority w:val="99"/>
    <w:rPr>
      <w:rFonts w:cs="Times New Roman"/>
    </w:rPr>
  </w:style>
  <w:style w:type="character" w:customStyle="1" w:styleId="97">
    <w:name w:val="ico-jiang2"/>
    <w:basedOn w:val="44"/>
    <w:qFormat/>
    <w:uiPriority w:val="99"/>
    <w:rPr>
      <w:rFonts w:cs="Times New Roman"/>
    </w:rPr>
  </w:style>
  <w:style w:type="character" w:customStyle="1" w:styleId="98">
    <w:name w:val="bds_more1"/>
    <w:qFormat/>
    <w:uiPriority w:val="99"/>
    <w:rPr>
      <w:rFonts w:ascii="宋体" w:hAnsi="宋体" w:eastAsia="宋体"/>
    </w:rPr>
  </w:style>
  <w:style w:type="character" w:customStyle="1" w:styleId="99">
    <w:name w:val="Body Text Indent 2 Char"/>
    <w:qFormat/>
    <w:locked/>
    <w:uiPriority w:val="99"/>
    <w:rPr>
      <w:rFonts w:ascii="宋体" w:eastAsia="宋体"/>
      <w:sz w:val="24"/>
    </w:rPr>
  </w:style>
  <w:style w:type="character" w:customStyle="1" w:styleId="100">
    <w:name w:val="org_name"/>
    <w:basedOn w:val="44"/>
    <w:qFormat/>
    <w:uiPriority w:val="99"/>
    <w:rPr>
      <w:rFonts w:cs="Times New Roman"/>
    </w:rPr>
  </w:style>
  <w:style w:type="character" w:customStyle="1" w:styleId="101">
    <w:name w:val="org_name2"/>
    <w:basedOn w:val="44"/>
    <w:qFormat/>
    <w:uiPriority w:val="99"/>
    <w:rPr>
      <w:rFonts w:cs="Times New Roman"/>
    </w:rPr>
  </w:style>
  <w:style w:type="character" w:customStyle="1" w:styleId="102">
    <w:name w:val="tip10"/>
    <w:qFormat/>
    <w:uiPriority w:val="99"/>
    <w:rPr>
      <w:vanish/>
      <w:color w:val="FF0000"/>
      <w:sz w:val="18"/>
    </w:rPr>
  </w:style>
  <w:style w:type="character" w:customStyle="1" w:styleId="103">
    <w:name w:val="orange"/>
    <w:qFormat/>
    <w:uiPriority w:val="99"/>
    <w:rPr>
      <w:color w:val="3FB58F"/>
    </w:rPr>
  </w:style>
  <w:style w:type="character" w:customStyle="1" w:styleId="104">
    <w:name w:val="bds_more"/>
    <w:basedOn w:val="44"/>
    <w:qFormat/>
    <w:uiPriority w:val="99"/>
    <w:rPr>
      <w:rFonts w:cs="Times New Roman"/>
    </w:rPr>
  </w:style>
  <w:style w:type="character" w:customStyle="1" w:styleId="105">
    <w:name w:val="t-tag"/>
    <w:qFormat/>
    <w:uiPriority w:val="99"/>
    <w:rPr>
      <w:color w:val="FFFFFF"/>
      <w:sz w:val="18"/>
      <w:shd w:val="clear" w:color="auto" w:fill="FE8833"/>
    </w:rPr>
  </w:style>
  <w:style w:type="character" w:customStyle="1" w:styleId="106">
    <w:name w:val="top-icon"/>
    <w:basedOn w:val="44"/>
    <w:qFormat/>
    <w:uiPriority w:val="99"/>
    <w:rPr>
      <w:rFonts w:cs="Times New Roman"/>
    </w:rPr>
  </w:style>
  <w:style w:type="character" w:customStyle="1" w:styleId="107">
    <w:name w:val="Body Text Char"/>
    <w:qFormat/>
    <w:locked/>
    <w:uiPriority w:val="99"/>
    <w:rPr>
      <w:sz w:val="24"/>
    </w:rPr>
  </w:style>
  <w:style w:type="character" w:customStyle="1" w:styleId="108">
    <w:name w:val="no72"/>
    <w:basedOn w:val="44"/>
    <w:qFormat/>
    <w:uiPriority w:val="99"/>
    <w:rPr>
      <w:rFonts w:cs="Times New Roman"/>
    </w:rPr>
  </w:style>
  <w:style w:type="character" w:customStyle="1" w:styleId="109">
    <w:name w:val="bds_nopic2"/>
    <w:basedOn w:val="44"/>
    <w:qFormat/>
    <w:uiPriority w:val="99"/>
    <w:rPr>
      <w:rFonts w:cs="Times New Roman"/>
    </w:rPr>
  </w:style>
  <w:style w:type="character" w:customStyle="1" w:styleId="110">
    <w:name w:val="Document Map Char"/>
    <w:qFormat/>
    <w:uiPriority w:val="99"/>
    <w:rPr>
      <w:rFonts w:ascii="宋体"/>
      <w:sz w:val="18"/>
    </w:rPr>
  </w:style>
  <w:style w:type="character" w:customStyle="1" w:styleId="111">
    <w:name w:val="no6"/>
    <w:basedOn w:val="44"/>
    <w:qFormat/>
    <w:uiPriority w:val="99"/>
    <w:rPr>
      <w:rFonts w:cs="Times New Roman"/>
    </w:rPr>
  </w:style>
  <w:style w:type="character" w:customStyle="1" w:styleId="112">
    <w:name w:val="tip"/>
    <w:qFormat/>
    <w:uiPriority w:val="99"/>
    <w:rPr>
      <w:vanish/>
      <w:color w:val="FF0000"/>
      <w:sz w:val="18"/>
    </w:rPr>
  </w:style>
  <w:style w:type="character" w:customStyle="1" w:styleId="113">
    <w:name w:val="apple-converted-space"/>
    <w:basedOn w:val="44"/>
    <w:qFormat/>
    <w:uiPriority w:val="99"/>
    <w:rPr>
      <w:rFonts w:cs="Times New Roman"/>
    </w:rPr>
  </w:style>
  <w:style w:type="character" w:customStyle="1" w:styleId="114">
    <w:name w:val="bds_more2"/>
    <w:basedOn w:val="44"/>
    <w:qFormat/>
    <w:uiPriority w:val="99"/>
    <w:rPr>
      <w:rFonts w:cs="Times New Roman"/>
    </w:rPr>
  </w:style>
  <w:style w:type="character" w:customStyle="1" w:styleId="115">
    <w:name w:val="my-class"/>
    <w:basedOn w:val="44"/>
    <w:qFormat/>
    <w:uiPriority w:val="99"/>
    <w:rPr>
      <w:rFonts w:cs="Times New Roman"/>
    </w:rPr>
  </w:style>
  <w:style w:type="character" w:customStyle="1" w:styleId="116">
    <w:name w:val="ui-bz-bg-hover"/>
    <w:qFormat/>
    <w:uiPriority w:val="99"/>
    <w:rPr>
      <w:shd w:val="clear" w:color="auto" w:fill="000000"/>
    </w:rPr>
  </w:style>
  <w:style w:type="character" w:customStyle="1" w:styleId="117">
    <w:name w:val="no7"/>
    <w:basedOn w:val="44"/>
    <w:qFormat/>
    <w:uiPriority w:val="99"/>
    <w:rPr>
      <w:rFonts w:cs="Times New Roman"/>
    </w:rPr>
  </w:style>
  <w:style w:type="character" w:customStyle="1" w:styleId="118">
    <w:name w:val="正文缩进 Char"/>
    <w:link w:val="6"/>
    <w:qFormat/>
    <w:locked/>
    <w:uiPriority w:val="0"/>
    <w:rPr>
      <w:rFonts w:ascii="Times New Roman" w:hAnsi="Times New Roman" w:eastAsia="宋体" w:cs="Times New Roman"/>
      <w:kern w:val="0"/>
      <w:sz w:val="24"/>
      <w:szCs w:val="20"/>
    </w:rPr>
  </w:style>
  <w:style w:type="character" w:customStyle="1" w:styleId="119">
    <w:name w:val="ico-jiang1"/>
    <w:basedOn w:val="44"/>
    <w:qFormat/>
    <w:uiPriority w:val="99"/>
    <w:rPr>
      <w:rFonts w:cs="Times New Roman"/>
    </w:rPr>
  </w:style>
  <w:style w:type="character" w:customStyle="1" w:styleId="120">
    <w:name w:val="no62"/>
    <w:basedOn w:val="44"/>
    <w:qFormat/>
    <w:uiPriority w:val="99"/>
    <w:rPr>
      <w:rFonts w:cs="Times New Roman"/>
    </w:rPr>
  </w:style>
  <w:style w:type="character" w:customStyle="1" w:styleId="121">
    <w:name w:val="orange5"/>
    <w:qFormat/>
    <w:uiPriority w:val="99"/>
    <w:rPr>
      <w:color w:val="3FB58F"/>
    </w:rPr>
  </w:style>
  <w:style w:type="character" w:customStyle="1" w:styleId="122">
    <w:name w:val="bds_more4"/>
    <w:basedOn w:val="44"/>
    <w:qFormat/>
    <w:uiPriority w:val="99"/>
    <w:rPr>
      <w:rFonts w:cs="Times New Roman"/>
    </w:rPr>
  </w:style>
  <w:style w:type="character" w:customStyle="1" w:styleId="123">
    <w:name w:val="no5"/>
    <w:basedOn w:val="44"/>
    <w:qFormat/>
    <w:uiPriority w:val="99"/>
    <w:rPr>
      <w:rFonts w:cs="Times New Roman"/>
    </w:rPr>
  </w:style>
  <w:style w:type="character" w:customStyle="1" w:styleId="124">
    <w:name w:val="bds_more3"/>
    <w:basedOn w:val="44"/>
    <w:qFormat/>
    <w:uiPriority w:val="99"/>
    <w:rPr>
      <w:rFonts w:cs="Times New Roman"/>
    </w:rPr>
  </w:style>
  <w:style w:type="character" w:customStyle="1" w:styleId="125">
    <w:name w:val="no42"/>
    <w:basedOn w:val="44"/>
    <w:qFormat/>
    <w:uiPriority w:val="99"/>
    <w:rPr>
      <w:rFonts w:cs="Times New Roman"/>
    </w:rPr>
  </w:style>
  <w:style w:type="character" w:customStyle="1" w:styleId="126">
    <w:name w:val="bds_nopic1"/>
    <w:basedOn w:val="44"/>
    <w:qFormat/>
    <w:uiPriority w:val="99"/>
    <w:rPr>
      <w:rFonts w:cs="Times New Roman"/>
    </w:rPr>
  </w:style>
  <w:style w:type="character" w:customStyle="1" w:styleId="127">
    <w:name w:val="my-notice1"/>
    <w:basedOn w:val="44"/>
    <w:qFormat/>
    <w:uiPriority w:val="99"/>
    <w:rPr>
      <w:rFonts w:cs="Times New Roman"/>
    </w:rPr>
  </w:style>
  <w:style w:type="character" w:customStyle="1" w:styleId="128">
    <w:name w:val="orange6"/>
    <w:qFormat/>
    <w:uiPriority w:val="99"/>
    <w:rPr>
      <w:color w:val="3FB58F"/>
    </w:rPr>
  </w:style>
  <w:style w:type="character" w:customStyle="1" w:styleId="129">
    <w:name w:val="Document Map Char2"/>
    <w:qFormat/>
    <w:locked/>
    <w:uiPriority w:val="99"/>
    <w:rPr>
      <w:rFonts w:ascii="宋体"/>
      <w:sz w:val="18"/>
    </w:rPr>
  </w:style>
  <w:style w:type="character" w:customStyle="1" w:styleId="130">
    <w:name w:val="ico-jiang3"/>
    <w:basedOn w:val="44"/>
    <w:qFormat/>
    <w:uiPriority w:val="99"/>
    <w:rPr>
      <w:rFonts w:cs="Times New Roman"/>
    </w:rPr>
  </w:style>
  <w:style w:type="character" w:customStyle="1" w:styleId="131">
    <w:name w:val="tip13"/>
    <w:qFormat/>
    <w:uiPriority w:val="99"/>
    <w:rPr>
      <w:vanish/>
      <w:color w:val="FF0000"/>
      <w:sz w:val="18"/>
    </w:rPr>
  </w:style>
  <w:style w:type="character" w:customStyle="1" w:styleId="132">
    <w:name w:val="正文文本缩进 2 Char"/>
    <w:basedOn w:val="44"/>
    <w:link w:val="21"/>
    <w:qFormat/>
    <w:uiPriority w:val="99"/>
    <w:rPr>
      <w:rFonts w:ascii="宋体" w:hAnsi="Calibri" w:eastAsia="宋体" w:cs="Times New Roman"/>
      <w:kern w:val="0"/>
      <w:sz w:val="24"/>
      <w:szCs w:val="20"/>
    </w:rPr>
  </w:style>
  <w:style w:type="character" w:customStyle="1" w:styleId="133">
    <w:name w:val="Body Text Indent 2 Char1"/>
    <w:basedOn w:val="44"/>
    <w:semiHidden/>
    <w:qFormat/>
    <w:locked/>
    <w:uiPriority w:val="99"/>
    <w:rPr>
      <w:rFonts w:cs="Times New Roman"/>
    </w:rPr>
  </w:style>
  <w:style w:type="character" w:customStyle="1" w:styleId="134">
    <w:name w:val="正文文本缩进 3 Char"/>
    <w:basedOn w:val="44"/>
    <w:link w:val="30"/>
    <w:qFormat/>
    <w:uiPriority w:val="99"/>
    <w:rPr>
      <w:rFonts w:ascii="宋体" w:hAnsi="Calibri" w:eastAsia="宋体" w:cs="Times New Roman"/>
      <w:kern w:val="0"/>
      <w:sz w:val="20"/>
      <w:szCs w:val="20"/>
    </w:rPr>
  </w:style>
  <w:style w:type="character" w:customStyle="1" w:styleId="135">
    <w:name w:val="Body Text Indent 3 Char1"/>
    <w:basedOn w:val="44"/>
    <w:semiHidden/>
    <w:qFormat/>
    <w:locked/>
    <w:uiPriority w:val="99"/>
    <w:rPr>
      <w:rFonts w:cs="Times New Roman"/>
      <w:sz w:val="16"/>
      <w:szCs w:val="16"/>
    </w:rPr>
  </w:style>
  <w:style w:type="character" w:customStyle="1" w:styleId="136">
    <w:name w:val="文档结构图 Char"/>
    <w:basedOn w:val="44"/>
    <w:link w:val="11"/>
    <w:qFormat/>
    <w:uiPriority w:val="99"/>
    <w:rPr>
      <w:rFonts w:ascii="宋体" w:hAnsi="Calibri" w:eastAsia="宋体" w:cs="Times New Roman"/>
      <w:kern w:val="0"/>
      <w:sz w:val="18"/>
      <w:szCs w:val="20"/>
    </w:rPr>
  </w:style>
  <w:style w:type="character" w:customStyle="1" w:styleId="137">
    <w:name w:val="Document Map Char3"/>
    <w:basedOn w:val="44"/>
    <w:semiHidden/>
    <w:qFormat/>
    <w:locked/>
    <w:uiPriority w:val="99"/>
    <w:rPr>
      <w:rFonts w:ascii="Times New Roman" w:hAnsi="Times New Roman" w:cs="Times New Roman"/>
      <w:sz w:val="2"/>
    </w:rPr>
  </w:style>
  <w:style w:type="paragraph" w:customStyle="1" w:styleId="138">
    <w:name w:val="_Style 1"/>
    <w:basedOn w:val="1"/>
    <w:qFormat/>
    <w:uiPriority w:val="99"/>
    <w:pPr>
      <w:ind w:firstLine="420" w:firstLineChars="200"/>
    </w:pPr>
    <w:rPr>
      <w:rFonts w:ascii="Times New Roman" w:hAnsi="Times New Roman" w:eastAsia="宋体" w:cs="Times New Roman"/>
      <w:szCs w:val="24"/>
    </w:rPr>
  </w:style>
  <w:style w:type="character" w:customStyle="1" w:styleId="139">
    <w:name w:val="正文文本 Char"/>
    <w:basedOn w:val="44"/>
    <w:link w:val="14"/>
    <w:qFormat/>
    <w:uiPriority w:val="99"/>
    <w:rPr>
      <w:rFonts w:ascii="Calibri" w:hAnsi="Calibri" w:eastAsia="宋体" w:cs="Times New Roman"/>
      <w:kern w:val="0"/>
      <w:sz w:val="24"/>
      <w:szCs w:val="20"/>
    </w:rPr>
  </w:style>
  <w:style w:type="character" w:customStyle="1" w:styleId="140">
    <w:name w:val="Body Text Char1"/>
    <w:basedOn w:val="44"/>
    <w:semiHidden/>
    <w:qFormat/>
    <w:locked/>
    <w:uiPriority w:val="99"/>
    <w:rPr>
      <w:rFonts w:cs="Times New Roman"/>
    </w:rPr>
  </w:style>
  <w:style w:type="paragraph" w:customStyle="1" w:styleId="141">
    <w:name w:val="_Style 21"/>
    <w:basedOn w:val="1"/>
    <w:qFormat/>
    <w:uiPriority w:val="99"/>
    <w:rPr>
      <w:rFonts w:ascii="Times New Roman" w:hAnsi="Times New Roman" w:eastAsia="宋体" w:cs="Times New Roman"/>
      <w:szCs w:val="20"/>
    </w:rPr>
  </w:style>
  <w:style w:type="paragraph" w:customStyle="1" w:styleId="142">
    <w:name w:val="p0"/>
    <w:basedOn w:val="1"/>
    <w:qFormat/>
    <w:uiPriority w:val="99"/>
    <w:pPr>
      <w:widowControl/>
    </w:pPr>
    <w:rPr>
      <w:rFonts w:ascii="Times New Roman" w:hAnsi="Times New Roman" w:eastAsia="宋体" w:cs="Times New Roman"/>
      <w:kern w:val="0"/>
      <w:szCs w:val="21"/>
    </w:rPr>
  </w:style>
  <w:style w:type="paragraph" w:customStyle="1" w:styleId="143">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4">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5">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6">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7">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8">
    <w:name w:val="_Style 2"/>
    <w:basedOn w:val="1"/>
    <w:qFormat/>
    <w:uiPriority w:val="99"/>
    <w:pPr>
      <w:ind w:firstLine="420" w:firstLineChars="200"/>
    </w:pPr>
    <w:rPr>
      <w:rFonts w:ascii="Calibri" w:hAnsi="Calibri" w:eastAsia="宋体" w:cs="Times New Roman"/>
    </w:rPr>
  </w:style>
  <w:style w:type="paragraph" w:customStyle="1" w:styleId="149">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50">
    <w:name w:val="_Style 11"/>
    <w:basedOn w:val="1"/>
    <w:qFormat/>
    <w:uiPriority w:val="99"/>
    <w:rPr>
      <w:rFonts w:ascii="Times New Roman" w:hAnsi="Times New Roman" w:eastAsia="宋体" w:cs="Times New Roman"/>
      <w:szCs w:val="24"/>
    </w:rPr>
  </w:style>
  <w:style w:type="paragraph" w:customStyle="1" w:styleId="151">
    <w:name w:val="Char"/>
    <w:basedOn w:val="1"/>
    <w:qFormat/>
    <w:uiPriority w:val="99"/>
    <w:rPr>
      <w:rFonts w:ascii="Times New Roman" w:hAnsi="Times New Roman" w:eastAsia="宋体" w:cs="Times New Roman"/>
      <w:szCs w:val="21"/>
    </w:rPr>
  </w:style>
  <w:style w:type="paragraph" w:customStyle="1" w:styleId="152">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3">
    <w:name w:val="列出段落2"/>
    <w:basedOn w:val="1"/>
    <w:qFormat/>
    <w:uiPriority w:val="99"/>
    <w:pPr>
      <w:ind w:firstLine="420" w:firstLineChars="200"/>
    </w:pPr>
    <w:rPr>
      <w:rFonts w:ascii="Times New Roman" w:hAnsi="Times New Roman" w:eastAsia="宋体" w:cs="Times New Roman"/>
      <w:szCs w:val="24"/>
    </w:rPr>
  </w:style>
  <w:style w:type="paragraph" w:customStyle="1" w:styleId="154">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5">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6">
    <w:name w:val="font41"/>
    <w:basedOn w:val="44"/>
    <w:qFormat/>
    <w:uiPriority w:val="99"/>
    <w:rPr>
      <w:rFonts w:hint="eastAsia" w:ascii="宋体" w:hAnsi="宋体" w:eastAsia="宋体" w:cs="宋体"/>
      <w:b/>
      <w:color w:val="000000"/>
      <w:sz w:val="22"/>
      <w:szCs w:val="22"/>
      <w:u w:val="none"/>
    </w:rPr>
  </w:style>
  <w:style w:type="character" w:customStyle="1" w:styleId="157">
    <w:name w:val="font81"/>
    <w:qFormat/>
    <w:uiPriority w:val="99"/>
    <w:rPr>
      <w:rFonts w:hint="eastAsia" w:ascii="宋体" w:hAnsi="宋体" w:eastAsia="宋体" w:cs="宋体"/>
      <w:b/>
      <w:color w:val="000000"/>
      <w:sz w:val="22"/>
      <w:szCs w:val="22"/>
      <w:u w:val="none"/>
    </w:rPr>
  </w:style>
  <w:style w:type="character" w:customStyle="1" w:styleId="158">
    <w:name w:val="font21"/>
    <w:qFormat/>
    <w:uiPriority w:val="0"/>
    <w:rPr>
      <w:rFonts w:hint="eastAsia" w:ascii="宋体" w:hAnsi="宋体" w:eastAsia="宋体" w:cs="宋体"/>
      <w:color w:val="000000"/>
      <w:sz w:val="18"/>
      <w:szCs w:val="18"/>
      <w:u w:val="none"/>
    </w:rPr>
  </w:style>
  <w:style w:type="character" w:customStyle="1" w:styleId="159">
    <w:name w:val="日期 Char"/>
    <w:link w:val="20"/>
    <w:qFormat/>
    <w:uiPriority w:val="0"/>
    <w:rPr>
      <w:szCs w:val="21"/>
    </w:rPr>
  </w:style>
  <w:style w:type="character" w:customStyle="1" w:styleId="160">
    <w:name w:val="font01"/>
    <w:autoRedefine/>
    <w:qFormat/>
    <w:uiPriority w:val="99"/>
    <w:rPr>
      <w:rFonts w:hint="eastAsia" w:ascii="宋体" w:hAnsi="宋体" w:eastAsia="宋体" w:cs="宋体"/>
      <w:color w:val="000000"/>
      <w:sz w:val="22"/>
      <w:szCs w:val="22"/>
      <w:u w:val="none"/>
    </w:rPr>
  </w:style>
  <w:style w:type="character" w:customStyle="1" w:styleId="161">
    <w:name w:val="Char Char1"/>
    <w:qFormat/>
    <w:uiPriority w:val="0"/>
    <w:rPr>
      <w:rFonts w:eastAsia="宋体"/>
      <w:kern w:val="2"/>
      <w:sz w:val="18"/>
      <w:szCs w:val="18"/>
      <w:lang w:val="en-US" w:eastAsia="zh-CN" w:bidi="ar-SA"/>
    </w:rPr>
  </w:style>
  <w:style w:type="character" w:customStyle="1" w:styleId="162">
    <w:name w:val="标题 Char"/>
    <w:link w:val="38"/>
    <w:qFormat/>
    <w:uiPriority w:val="0"/>
    <w:rPr>
      <w:rFonts w:ascii="Cambria" w:hAnsi="Cambria" w:cs="Times New Roman"/>
      <w:b/>
      <w:bCs/>
      <w:sz w:val="32"/>
      <w:szCs w:val="32"/>
    </w:rPr>
  </w:style>
  <w:style w:type="character" w:customStyle="1" w:styleId="163">
    <w:name w:val="hei141"/>
    <w:qFormat/>
    <w:uiPriority w:val="0"/>
    <w:rPr>
      <w:rFonts w:hint="eastAsia" w:ascii="宋体" w:hAnsi="宋体" w:eastAsia="宋体"/>
      <w:color w:val="000000"/>
      <w:sz w:val="19"/>
      <w:szCs w:val="19"/>
      <w:u w:val="none"/>
    </w:rPr>
  </w:style>
  <w:style w:type="character" w:customStyle="1" w:styleId="164">
    <w:name w:val="批注文字 Char"/>
    <w:link w:val="13"/>
    <w:qFormat/>
    <w:uiPriority w:val="0"/>
  </w:style>
  <w:style w:type="character" w:customStyle="1" w:styleId="165">
    <w:name w:val="apple-style-span"/>
    <w:basedOn w:val="44"/>
    <w:qFormat/>
    <w:uiPriority w:val="0"/>
  </w:style>
  <w:style w:type="character" w:customStyle="1" w:styleId="166">
    <w:name w:val="param-value"/>
    <w:qFormat/>
    <w:uiPriority w:val="99"/>
    <w:rPr>
      <w:rFonts w:cs="Times New Roman"/>
    </w:rPr>
  </w:style>
  <w:style w:type="character" w:customStyle="1" w:styleId="167">
    <w:name w:val="font61"/>
    <w:qFormat/>
    <w:uiPriority w:val="0"/>
    <w:rPr>
      <w:rFonts w:hint="eastAsia" w:ascii="宋体" w:hAnsi="宋体" w:eastAsia="宋体" w:cs="宋体"/>
      <w:color w:val="000000"/>
      <w:sz w:val="22"/>
      <w:szCs w:val="22"/>
      <w:u w:val="none"/>
    </w:rPr>
  </w:style>
  <w:style w:type="character" w:customStyle="1" w:styleId="168">
    <w:name w:val="font11"/>
    <w:qFormat/>
    <w:uiPriority w:val="0"/>
    <w:rPr>
      <w:rFonts w:hint="eastAsia" w:ascii="宋体" w:hAnsi="宋体" w:eastAsia="宋体" w:cs="宋体"/>
      <w:color w:val="FF0000"/>
      <w:sz w:val="22"/>
      <w:szCs w:val="22"/>
      <w:u w:val="none"/>
    </w:rPr>
  </w:style>
  <w:style w:type="character" w:customStyle="1" w:styleId="169">
    <w:name w:val="批注主题 Char"/>
    <w:link w:val="39"/>
    <w:qFormat/>
    <w:uiPriority w:val="0"/>
    <w:rPr>
      <w:b/>
      <w:bCs/>
    </w:rPr>
  </w:style>
  <w:style w:type="character" w:customStyle="1" w:styleId="170">
    <w:name w:val="批注文字 Char1"/>
    <w:basedOn w:val="44"/>
    <w:semiHidden/>
    <w:qFormat/>
    <w:uiPriority w:val="99"/>
  </w:style>
  <w:style w:type="paragraph" w:customStyle="1" w:styleId="171">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2">
    <w:name w:val="批注主题 Char1"/>
    <w:basedOn w:val="170"/>
    <w:semiHidden/>
    <w:qFormat/>
    <w:uiPriority w:val="99"/>
    <w:rPr>
      <w:b/>
      <w:bCs/>
    </w:rPr>
  </w:style>
  <w:style w:type="paragraph" w:customStyle="1" w:styleId="173">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日期 Char1"/>
    <w:basedOn w:val="44"/>
    <w:semiHidden/>
    <w:qFormat/>
    <w:uiPriority w:val="99"/>
  </w:style>
  <w:style w:type="paragraph" w:customStyle="1" w:styleId="17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脚注文本 Char"/>
    <w:basedOn w:val="44"/>
    <w:link w:val="28"/>
    <w:semiHidden/>
    <w:qFormat/>
    <w:uiPriority w:val="0"/>
    <w:rPr>
      <w:rFonts w:ascii="Times New Roman" w:hAnsi="Times New Roman" w:eastAsia="宋体" w:cs="Times New Roman"/>
      <w:sz w:val="18"/>
      <w:szCs w:val="18"/>
    </w:rPr>
  </w:style>
  <w:style w:type="paragraph" w:customStyle="1" w:styleId="177">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9">
    <w:name w:val="标题 Char1"/>
    <w:basedOn w:val="44"/>
    <w:qFormat/>
    <w:uiPriority w:val="10"/>
    <w:rPr>
      <w:rFonts w:eastAsia="宋体" w:asciiTheme="majorHAnsi" w:hAnsiTheme="majorHAnsi" w:cstheme="majorBidi"/>
      <w:b/>
      <w:bCs/>
      <w:sz w:val="32"/>
      <w:szCs w:val="32"/>
    </w:rPr>
  </w:style>
  <w:style w:type="paragraph" w:customStyle="1" w:styleId="180">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81">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3">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4">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3"/>
    <w:basedOn w:val="1"/>
    <w:qFormat/>
    <w:uiPriority w:val="0"/>
    <w:pPr>
      <w:ind w:firstLine="420" w:firstLineChars="200"/>
    </w:pPr>
    <w:rPr>
      <w:rFonts w:ascii="Times New Roman" w:hAnsi="Times New Roman" w:eastAsia="宋体" w:cs="Times New Roman"/>
      <w:szCs w:val="24"/>
    </w:rPr>
  </w:style>
  <w:style w:type="character" w:customStyle="1" w:styleId="191">
    <w:name w:val="Char Char12"/>
    <w:qFormat/>
    <w:uiPriority w:val="0"/>
    <w:rPr>
      <w:rFonts w:eastAsia="宋体"/>
      <w:kern w:val="2"/>
      <w:sz w:val="18"/>
      <w:szCs w:val="18"/>
      <w:lang w:val="en-US" w:eastAsia="zh-CN" w:bidi="ar-SA"/>
    </w:rPr>
  </w:style>
  <w:style w:type="paragraph" w:customStyle="1" w:styleId="192">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列出段落4"/>
    <w:basedOn w:val="1"/>
    <w:qFormat/>
    <w:uiPriority w:val="0"/>
    <w:pPr>
      <w:ind w:firstLine="420" w:firstLineChars="200"/>
    </w:pPr>
    <w:rPr>
      <w:rFonts w:ascii="Times New Roman" w:hAnsi="Times New Roman" w:eastAsia="宋体" w:cs="Times New Roman"/>
      <w:szCs w:val="24"/>
    </w:rPr>
  </w:style>
  <w:style w:type="character" w:customStyle="1" w:styleId="195">
    <w:name w:val="Char Char11"/>
    <w:qFormat/>
    <w:uiPriority w:val="0"/>
    <w:rPr>
      <w:rFonts w:eastAsia="宋体"/>
      <w:kern w:val="2"/>
      <w:sz w:val="18"/>
      <w:szCs w:val="18"/>
      <w:lang w:val="en-US" w:eastAsia="zh-CN" w:bidi="ar-SA"/>
    </w:rPr>
  </w:style>
  <w:style w:type="paragraph" w:customStyle="1" w:styleId="196">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列出段落5"/>
    <w:basedOn w:val="1"/>
    <w:qFormat/>
    <w:uiPriority w:val="0"/>
    <w:pPr>
      <w:ind w:firstLine="420" w:firstLineChars="200"/>
    </w:pPr>
    <w:rPr>
      <w:rFonts w:ascii="Times New Roman" w:hAnsi="Times New Roman" w:eastAsia="宋体" w:cs="Times New Roman"/>
      <w:szCs w:val="24"/>
    </w:rPr>
  </w:style>
  <w:style w:type="character" w:customStyle="1" w:styleId="199">
    <w:name w:val="纯文本 Char"/>
    <w:link w:val="18"/>
    <w:qFormat/>
    <w:uiPriority w:val="99"/>
    <w:rPr>
      <w:rFonts w:ascii="宋体" w:hAnsi="Courier New" w:eastAsia="宋体"/>
      <w:szCs w:val="21"/>
    </w:rPr>
  </w:style>
  <w:style w:type="character" w:customStyle="1" w:styleId="200">
    <w:name w:val="纯文本 Char1"/>
    <w:basedOn w:val="44"/>
    <w:semiHidden/>
    <w:qFormat/>
    <w:uiPriority w:val="99"/>
    <w:rPr>
      <w:rFonts w:ascii="宋体" w:hAnsi="Courier New" w:eastAsia="宋体" w:cs="Courier New"/>
      <w:szCs w:val="21"/>
    </w:rPr>
  </w:style>
  <w:style w:type="paragraph" w:customStyle="1" w:styleId="20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3">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4">
    <w:name w:val="正文缩进2格"/>
    <w:basedOn w:val="1"/>
    <w:link w:val="205"/>
    <w:qFormat/>
    <w:uiPriority w:val="0"/>
    <w:pPr>
      <w:spacing w:line="600" w:lineRule="exact"/>
      <w:ind w:firstLine="639" w:firstLineChars="206"/>
    </w:pPr>
    <w:rPr>
      <w:rFonts w:ascii="仿宋_GB2312" w:hAnsi="宋体" w:eastAsia="仿宋_GB2312" w:cs="Times New Roman"/>
      <w:sz w:val="31"/>
      <w:szCs w:val="28"/>
    </w:rPr>
  </w:style>
  <w:style w:type="character" w:customStyle="1" w:styleId="205">
    <w:name w:val="正文缩进2格 Char"/>
    <w:link w:val="204"/>
    <w:qFormat/>
    <w:uiPriority w:val="0"/>
    <w:rPr>
      <w:rFonts w:ascii="仿宋_GB2312" w:hAnsi="宋体" w:eastAsia="仿宋_GB2312" w:cs="Times New Roman"/>
      <w:sz w:val="31"/>
      <w:szCs w:val="28"/>
    </w:rPr>
  </w:style>
  <w:style w:type="paragraph" w:customStyle="1" w:styleId="206">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7">
    <w:name w:val="List Paragraph"/>
    <w:basedOn w:val="1"/>
    <w:qFormat/>
    <w:uiPriority w:val="34"/>
    <w:pPr>
      <w:ind w:firstLine="420" w:firstLineChars="200"/>
    </w:pPr>
  </w:style>
  <w:style w:type="paragraph" w:customStyle="1" w:styleId="208">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9">
    <w:name w:val="正文首行缩进 Char"/>
    <w:basedOn w:val="139"/>
    <w:link w:val="40"/>
    <w:qFormat/>
    <w:uiPriority w:val="99"/>
    <w:rPr>
      <w:rFonts w:asciiTheme="minorHAnsi" w:hAnsiTheme="minorHAnsi" w:eastAsiaTheme="minorEastAsia" w:cstheme="minorBidi"/>
      <w:kern w:val="2"/>
      <w:sz w:val="21"/>
      <w:szCs w:val="22"/>
    </w:rPr>
  </w:style>
  <w:style w:type="paragraph" w:customStyle="1" w:styleId="210">
    <w:name w:val="Table Paragraph"/>
    <w:basedOn w:val="1"/>
    <w:qFormat/>
    <w:uiPriority w:val="1"/>
    <w:pPr>
      <w:autoSpaceDE w:val="0"/>
      <w:autoSpaceDN w:val="0"/>
      <w:jc w:val="left"/>
    </w:pPr>
    <w:rPr>
      <w:rFonts w:ascii="宋体" w:hAnsi="宋体" w:eastAsia="宋体" w:cs="宋体"/>
      <w:kern w:val="0"/>
      <w:sz w:val="22"/>
    </w:rPr>
  </w:style>
  <w:style w:type="paragraph" w:customStyle="1" w:styleId="211">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2">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3">
    <w:name w:val="正文首行缩进 2 Char"/>
    <w:basedOn w:val="70"/>
    <w:link w:val="41"/>
    <w:semiHidden/>
    <w:qFormat/>
    <w:uiPriority w:val="99"/>
    <w:rPr>
      <w:rFonts w:ascii="??" w:hAnsi="??" w:eastAsia="宋体" w:cs="Arial"/>
      <w:kern w:val="2"/>
      <w:sz w:val="21"/>
      <w:szCs w:val="22"/>
    </w:rPr>
  </w:style>
  <w:style w:type="paragraph" w:customStyle="1" w:styleId="214">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15">
    <w:name w:val="bookmark-item"/>
    <w:qFormat/>
    <w:uiPriority w:val="0"/>
  </w:style>
  <w:style w:type="paragraph" w:customStyle="1" w:styleId="216">
    <w:name w:val="报告正文"/>
    <w:basedOn w:val="1"/>
    <w:qFormat/>
    <w:uiPriority w:val="0"/>
    <w:pPr>
      <w:adjustRightInd w:val="0"/>
      <w:spacing w:line="360" w:lineRule="auto"/>
      <w:ind w:firstLine="200" w:firstLineChars="200"/>
    </w:pPr>
    <w:rPr>
      <w:rFonts w:ascii="宋体" w:hAnsi="宋体" w:eastAsia="宋体" w:cs="宋体"/>
      <w:kern w:val="0"/>
      <w:sz w:val="24"/>
      <w:szCs w:val="24"/>
    </w:rPr>
  </w:style>
  <w:style w:type="paragraph" w:customStyle="1" w:styleId="217">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218">
    <w:name w:val="BodyText1I"/>
    <w:basedOn w:val="219"/>
    <w:qFormat/>
    <w:uiPriority w:val="0"/>
    <w:pPr>
      <w:spacing w:line="360" w:lineRule="auto"/>
    </w:pPr>
    <w:rPr>
      <w:rFonts w:ascii="仿宋_GB2312" w:hAnsi="Times New Roman" w:eastAsia="仿宋_GB2312"/>
      <w:sz w:val="30"/>
      <w:szCs w:val="30"/>
    </w:rPr>
  </w:style>
  <w:style w:type="paragraph" w:customStyle="1" w:styleId="219">
    <w:name w:val="BodyText"/>
    <w:basedOn w:val="1"/>
    <w:next w:val="220"/>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220">
    <w:name w:val="180"/>
    <w:basedOn w:val="1"/>
    <w:next w:val="1"/>
    <w:qFormat/>
    <w:uiPriority w:val="0"/>
    <w:pPr>
      <w:spacing w:after="160" w:line="259" w:lineRule="auto"/>
      <w:textAlignment w:val="baseline"/>
    </w:pPr>
    <w:rPr>
      <w:rFonts w:ascii="Calibri" w:hAnsi="Calibri" w:eastAsia="宋体"/>
      <w:i/>
      <w:iCs/>
      <w:color w:val="000000"/>
      <w:szCs w:val="24"/>
    </w:rPr>
  </w:style>
  <w:style w:type="character" w:customStyle="1" w:styleId="221">
    <w:name w:val="15"/>
    <w:qFormat/>
    <w:uiPriority w:val="0"/>
    <w:rPr>
      <w:rFonts w:hint="default" w:ascii="Times New Roman" w:hAnsi="Times New Roman" w:cs="Times New Roman"/>
      <w:kern w:val="2"/>
      <w:sz w:val="24"/>
      <w:szCs w:val="24"/>
    </w:rPr>
  </w:style>
  <w:style w:type="paragraph" w:customStyle="1" w:styleId="222">
    <w:name w:val="列表段落1"/>
    <w:basedOn w:val="1"/>
    <w:qFormat/>
    <w:uiPriority w:val="34"/>
    <w:pPr>
      <w:widowControl/>
      <w:ind w:firstLine="420"/>
    </w:pPr>
  </w:style>
  <w:style w:type="character" w:customStyle="1" w:styleId="223">
    <w:name w:val="font51"/>
    <w:basedOn w:val="44"/>
    <w:qFormat/>
    <w:uiPriority w:val="0"/>
    <w:rPr>
      <w:rFonts w:hint="default" w:ascii="Wingdings 2" w:hAnsi="Wingdings 2" w:eastAsia="Wingdings 2" w:cs="Wingdings 2"/>
      <w:color w:val="000000"/>
      <w:sz w:val="20"/>
      <w:szCs w:val="20"/>
      <w:u w:val="none"/>
    </w:rPr>
  </w:style>
  <w:style w:type="character" w:customStyle="1" w:styleId="224">
    <w:name w:val="font31"/>
    <w:basedOn w:val="44"/>
    <w:qFormat/>
    <w:uiPriority w:val="0"/>
    <w:rPr>
      <w:rFonts w:hint="default" w:ascii="Times New Roman" w:hAnsi="Times New Roman" w:cs="Times New Roman"/>
      <w:color w:val="000000"/>
      <w:sz w:val="20"/>
      <w:szCs w:val="20"/>
      <w:u w:val="none"/>
    </w:rPr>
  </w:style>
  <w:style w:type="paragraph" w:customStyle="1" w:styleId="225">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26">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7">
    <w:name w:val="纯文本1"/>
    <w:basedOn w:val="1"/>
    <w:qFormat/>
    <w:uiPriority w:val="0"/>
    <w:rPr>
      <w:rFonts w:ascii="宋体" w:hAnsi="Courier New" w:eastAsia="宋体" w:cs="Times New Roman"/>
      <w:kern w:val="0"/>
      <w:sz w:val="20"/>
      <w:szCs w:val="20"/>
    </w:rPr>
  </w:style>
  <w:style w:type="paragraph" w:customStyle="1" w:styleId="228">
    <w:name w:val="标题 5（有编号）（绿盟科技）"/>
    <w:basedOn w:val="1"/>
    <w:next w:val="229"/>
    <w:qFormat/>
    <w:uiPriority w:val="0"/>
    <w:pPr>
      <w:keepNext/>
      <w:keepLines/>
      <w:numPr>
        <w:ilvl w:val="4"/>
        <w:numId w:val="2"/>
      </w:numPr>
      <w:spacing w:before="280" w:after="156" w:line="377" w:lineRule="auto"/>
      <w:jc w:val="left"/>
      <w:outlineLvl w:val="4"/>
    </w:pPr>
    <w:rPr>
      <w:rFonts w:ascii="Arial" w:hAnsi="Arial" w:eastAsia="黑体"/>
      <w:b/>
      <w:szCs w:val="28"/>
    </w:rPr>
  </w:style>
  <w:style w:type="paragraph" w:customStyle="1" w:styleId="2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30">
    <w:name w:val="7）页眉页脚"/>
    <w:qFormat/>
    <w:uiPriority w:val="0"/>
    <w:rPr>
      <w:rFonts w:ascii="仿宋_GB2312" w:eastAsia="仿宋_GB2312"/>
      <w:b/>
      <w:i/>
      <w:sz w:val="18"/>
      <w:vertAlign w:val="baseline"/>
    </w:rPr>
  </w:style>
  <w:style w:type="paragraph" w:customStyle="1" w:styleId="231">
    <w:name w:val="bg正文"/>
    <w:basedOn w:val="1"/>
    <w:qFormat/>
    <w:uiPriority w:val="0"/>
    <w:pPr>
      <w:ind w:firstLine="200" w:firstLineChars="200"/>
    </w:pPr>
    <w:rPr>
      <w:rFonts w:ascii="Times New Roman" w:hAnsi="Times New Roman" w:eastAsia="宋体" w:cs="Times New Roman"/>
      <w:sz w:val="24"/>
      <w:szCs w:val="20"/>
    </w:rPr>
  </w:style>
  <w:style w:type="paragraph" w:customStyle="1" w:styleId="232">
    <w:name w:val="样式 正文文本首行缩进 + 小四 首行缩进:  1 字符 段后: 0 磅 行距: 固定值 24 磅"/>
    <w:basedOn w:val="40"/>
    <w:qFormat/>
    <w:uiPriority w:val="0"/>
    <w:pPr>
      <w:widowControl w:val="0"/>
      <w:spacing w:after="0" w:line="480" w:lineRule="exact"/>
      <w:ind w:firstLine="200" w:firstLineChars="200"/>
      <w:jc w:val="both"/>
    </w:pPr>
    <w:rPr>
      <w:rFonts w:ascii="华文中宋" w:hAnsi="华文中宋" w:eastAsia="华文中宋" w:cs="宋体"/>
      <w:vanish/>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5" Type="http://schemas.openxmlformats.org/officeDocument/2006/relationships/fontTable" Target="fontTable.xml"/><Relationship Id="rId84" Type="http://schemas.openxmlformats.org/officeDocument/2006/relationships/customXml" Target="../customXml/item2.xml"/><Relationship Id="rId83" Type="http://schemas.openxmlformats.org/officeDocument/2006/relationships/numbering" Target="numbering.xml"/><Relationship Id="rId82" Type="http://schemas.openxmlformats.org/officeDocument/2006/relationships/customXml" Target="../customXml/item1.xml"/><Relationship Id="rId81" Type="http://schemas.openxmlformats.org/officeDocument/2006/relationships/oleObject" Target="embeddings/oleObject40.bin"/><Relationship Id="rId80" Type="http://schemas.openxmlformats.org/officeDocument/2006/relationships/oleObject" Target="embeddings/oleObject39.bin"/><Relationship Id="rId8" Type="http://schemas.openxmlformats.org/officeDocument/2006/relationships/footer" Target="footer4.xml"/><Relationship Id="rId79" Type="http://schemas.openxmlformats.org/officeDocument/2006/relationships/image" Target="media/image29.wmf"/><Relationship Id="rId78" Type="http://schemas.openxmlformats.org/officeDocument/2006/relationships/oleObject" Target="embeddings/oleObject38.bin"/><Relationship Id="rId77" Type="http://schemas.openxmlformats.org/officeDocument/2006/relationships/image" Target="media/image28.wmf"/><Relationship Id="rId76" Type="http://schemas.openxmlformats.org/officeDocument/2006/relationships/oleObject" Target="embeddings/oleObject37.bin"/><Relationship Id="rId75" Type="http://schemas.openxmlformats.org/officeDocument/2006/relationships/oleObject" Target="embeddings/oleObject36.bin"/><Relationship Id="rId74" Type="http://schemas.openxmlformats.org/officeDocument/2006/relationships/oleObject" Target="embeddings/oleObject35.bin"/><Relationship Id="rId73" Type="http://schemas.openxmlformats.org/officeDocument/2006/relationships/image" Target="media/image27.wmf"/><Relationship Id="rId72" Type="http://schemas.openxmlformats.org/officeDocument/2006/relationships/oleObject" Target="embeddings/oleObject34.bin"/><Relationship Id="rId71" Type="http://schemas.openxmlformats.org/officeDocument/2006/relationships/image" Target="media/image26.wmf"/><Relationship Id="rId70" Type="http://schemas.openxmlformats.org/officeDocument/2006/relationships/oleObject" Target="embeddings/oleObject33.bin"/><Relationship Id="rId7" Type="http://schemas.openxmlformats.org/officeDocument/2006/relationships/header" Target="header2.xml"/><Relationship Id="rId69" Type="http://schemas.openxmlformats.org/officeDocument/2006/relationships/image" Target="media/image25.wmf"/><Relationship Id="rId68" Type="http://schemas.openxmlformats.org/officeDocument/2006/relationships/oleObject" Target="embeddings/oleObject32.bin"/><Relationship Id="rId67" Type="http://schemas.openxmlformats.org/officeDocument/2006/relationships/image" Target="media/image24.wmf"/><Relationship Id="rId66" Type="http://schemas.openxmlformats.org/officeDocument/2006/relationships/oleObject" Target="embeddings/oleObject31.bin"/><Relationship Id="rId65" Type="http://schemas.openxmlformats.org/officeDocument/2006/relationships/oleObject" Target="embeddings/oleObject30.bin"/><Relationship Id="rId64" Type="http://schemas.openxmlformats.org/officeDocument/2006/relationships/image" Target="media/image23.wmf"/><Relationship Id="rId63" Type="http://schemas.openxmlformats.org/officeDocument/2006/relationships/oleObject" Target="embeddings/oleObject29.bin"/><Relationship Id="rId62" Type="http://schemas.openxmlformats.org/officeDocument/2006/relationships/image" Target="media/image22.wmf"/><Relationship Id="rId61" Type="http://schemas.openxmlformats.org/officeDocument/2006/relationships/oleObject" Target="embeddings/oleObject28.bin"/><Relationship Id="rId60" Type="http://schemas.openxmlformats.org/officeDocument/2006/relationships/image" Target="media/image21.wmf"/><Relationship Id="rId6" Type="http://schemas.openxmlformats.org/officeDocument/2006/relationships/footer" Target="footer3.xml"/><Relationship Id="rId59" Type="http://schemas.openxmlformats.org/officeDocument/2006/relationships/oleObject" Target="embeddings/oleObject27.bin"/><Relationship Id="rId58" Type="http://schemas.openxmlformats.org/officeDocument/2006/relationships/image" Target="media/image20.wmf"/><Relationship Id="rId57" Type="http://schemas.openxmlformats.org/officeDocument/2006/relationships/oleObject" Target="embeddings/oleObject26.bin"/><Relationship Id="rId56" Type="http://schemas.openxmlformats.org/officeDocument/2006/relationships/image" Target="media/image19.wmf"/><Relationship Id="rId55" Type="http://schemas.openxmlformats.org/officeDocument/2006/relationships/oleObject" Target="embeddings/oleObject25.bin"/><Relationship Id="rId54" Type="http://schemas.openxmlformats.org/officeDocument/2006/relationships/image" Target="media/image18.wmf"/><Relationship Id="rId53" Type="http://schemas.openxmlformats.org/officeDocument/2006/relationships/oleObject" Target="embeddings/oleObject24.bin"/><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17.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image" Target="media/image16.wmf"/><Relationship Id="rId47" Type="http://schemas.openxmlformats.org/officeDocument/2006/relationships/oleObject" Target="embeddings/oleObject20.bin"/><Relationship Id="rId46" Type="http://schemas.openxmlformats.org/officeDocument/2006/relationships/oleObject" Target="embeddings/oleObject19.bin"/><Relationship Id="rId45" Type="http://schemas.openxmlformats.org/officeDocument/2006/relationships/image" Target="media/image15.wmf"/><Relationship Id="rId44" Type="http://schemas.openxmlformats.org/officeDocument/2006/relationships/oleObject" Target="embeddings/oleObject18.bin"/><Relationship Id="rId43" Type="http://schemas.openxmlformats.org/officeDocument/2006/relationships/image" Target="media/image14.wmf"/><Relationship Id="rId42" Type="http://schemas.openxmlformats.org/officeDocument/2006/relationships/oleObject" Target="embeddings/oleObject17.bin"/><Relationship Id="rId41" Type="http://schemas.openxmlformats.org/officeDocument/2006/relationships/image" Target="media/image13.wmf"/><Relationship Id="rId40" Type="http://schemas.openxmlformats.org/officeDocument/2006/relationships/oleObject" Target="embeddings/oleObject16.bin"/><Relationship Id="rId4" Type="http://schemas.openxmlformats.org/officeDocument/2006/relationships/footer" Target="footer1.xml"/><Relationship Id="rId39" Type="http://schemas.openxmlformats.org/officeDocument/2006/relationships/image" Target="media/image12.wmf"/><Relationship Id="rId38" Type="http://schemas.openxmlformats.org/officeDocument/2006/relationships/oleObject" Target="embeddings/oleObject15.bin"/><Relationship Id="rId37" Type="http://schemas.openxmlformats.org/officeDocument/2006/relationships/image" Target="media/image11.wmf"/><Relationship Id="rId36" Type="http://schemas.openxmlformats.org/officeDocument/2006/relationships/oleObject" Target="embeddings/oleObject14.bin"/><Relationship Id="rId35" Type="http://schemas.openxmlformats.org/officeDocument/2006/relationships/image" Target="media/image10.wmf"/><Relationship Id="rId34" Type="http://schemas.openxmlformats.org/officeDocument/2006/relationships/oleObject" Target="embeddings/oleObject13.bin"/><Relationship Id="rId33" Type="http://schemas.openxmlformats.org/officeDocument/2006/relationships/oleObject" Target="embeddings/oleObject12.bin"/><Relationship Id="rId32" Type="http://schemas.openxmlformats.org/officeDocument/2006/relationships/oleObject" Target="embeddings/oleObject11.bin"/><Relationship Id="rId31" Type="http://schemas.openxmlformats.org/officeDocument/2006/relationships/oleObject" Target="embeddings/oleObject10.bin"/><Relationship Id="rId30" Type="http://schemas.openxmlformats.org/officeDocument/2006/relationships/image" Target="media/image9.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8.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oleObject" Target="embeddings/oleObject6.bin"/><Relationship Id="rId24" Type="http://schemas.openxmlformats.org/officeDocument/2006/relationships/image" Target="media/image7.wmf"/><Relationship Id="rId23" Type="http://schemas.openxmlformats.org/officeDocument/2006/relationships/oleObject" Target="embeddings/oleObject5.bin"/><Relationship Id="rId22" Type="http://schemas.openxmlformats.org/officeDocument/2006/relationships/image" Target="media/image6.wmf"/><Relationship Id="rId21" Type="http://schemas.openxmlformats.org/officeDocument/2006/relationships/oleObject" Target="embeddings/oleObject4.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4.wmf"/><Relationship Id="rId17" Type="http://schemas.openxmlformats.org/officeDocument/2006/relationships/oleObject" Target="embeddings/oleObject2.bin"/><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A6118-2AA1-4E08-8DFC-4054DA4CCE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73</Pages>
  <Words>3365</Words>
  <Characters>3922</Characters>
  <Lines>493</Lines>
  <Paragraphs>139</Paragraphs>
  <TotalTime>2</TotalTime>
  <ScaleCrop>false</ScaleCrop>
  <LinksUpToDate>false</LinksUpToDate>
  <CharactersWithSpaces>3984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2024-04-29T13:58:00Z</dcterms:created>
  <dc:creator>Administrator</dc:creator>
  <cp:lastModifiedBy>Administrator</cp:lastModifiedBy>
  <cp:lastPrinted>2022-04-09T04:00:00Z</cp:lastPrinted>
  <dcterms:modified xsi:type="dcterms:W3CDTF">2026-04-10T11:13:19Z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178C36DC5D8244B38346FCC7FDD43A5F_13</vt:lpwstr>
  </property>
  <property fmtid="{D5CDD505-2E9C-101B-9397-08002B2CF9AE}" pid="4" name="KSOTemplateDocerSaveRecord">
    <vt:lpwstr>eyJoZGlkIjoiMDRjNDRiYTYzMjdmNmU4OTBmNzZmNTY2YTg3Yjg3ZWEiLCJ1c2VySWQiOiI1MzUyMjcwODIifQ==</vt:lpwstr>
  </property>
</Properties>
</file>