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DAC5D">
      <w:pPr>
        <w:spacing w:line="240" w:lineRule="atLeast"/>
        <w:rPr>
          <w:rStyle w:val="28"/>
          <w:rFonts w:hint="eastAsia" w:ascii="仿宋_GB2312" w:hAnsi="仿宋_GB2312" w:eastAsia="仿宋_GB2312" w:cs="仿宋_GB2312"/>
          <w:bCs/>
          <w:color w:val="auto"/>
          <w:sz w:val="52"/>
          <w:szCs w:val="52"/>
          <w:highlight w:val="none"/>
          <w:lang w:eastAsia="zh-CN"/>
        </w:rPr>
      </w:pPr>
      <w:r>
        <w:rPr>
          <w:rStyle w:val="28"/>
          <w:rFonts w:hint="eastAsia" w:ascii="仿宋_GB2312" w:hAnsi="仿宋_GB2312" w:eastAsia="仿宋_GB2312" w:cs="仿宋_GB2312"/>
          <w:bCs/>
          <w:color w:val="auto"/>
          <w:sz w:val="52"/>
          <w:szCs w:val="52"/>
          <w:highlight w:val="none"/>
          <w:lang w:eastAsia="zh-CN"/>
        </w:rPr>
        <w:t xml:space="preserve"> </w:t>
      </w:r>
    </w:p>
    <w:p w14:paraId="36A90A63">
      <w:pPr>
        <w:pStyle w:val="8"/>
        <w:tabs>
          <w:tab w:val="left" w:pos="567"/>
        </w:tabs>
        <w:spacing w:line="272" w:lineRule="auto"/>
        <w:jc w:val="center"/>
        <w:rPr>
          <w:rFonts w:hint="eastAsia" w:asciiTheme="minorEastAsia" w:hAnsiTheme="minorEastAsia" w:eastAsiaTheme="minorEastAsia" w:cstheme="minorEastAsia"/>
          <w:sz w:val="44"/>
          <w:szCs w:val="44"/>
          <w:highlight w:val="none"/>
          <w:lang w:eastAsia="zh-CN"/>
        </w:rPr>
      </w:pPr>
      <w:r>
        <w:rPr>
          <w:rFonts w:hint="eastAsia" w:asciiTheme="minorEastAsia" w:hAnsiTheme="minorEastAsia" w:eastAsiaTheme="minorEastAsia" w:cstheme="minorEastAsia"/>
          <w:b/>
          <w:bCs/>
          <w:sz w:val="44"/>
          <w:szCs w:val="44"/>
          <w:highlight w:val="none"/>
          <w:lang w:eastAsia="zh-CN"/>
        </w:rPr>
        <w:t>伽师县2026年健康心理服务中心建设项目(二次)公开招标</w:t>
      </w:r>
    </w:p>
    <w:p w14:paraId="057CA397">
      <w:pPr>
        <w:pStyle w:val="8"/>
        <w:tabs>
          <w:tab w:val="left" w:pos="567"/>
        </w:tabs>
        <w:spacing w:line="272" w:lineRule="auto"/>
        <w:rPr>
          <w:rFonts w:hint="eastAsia" w:asciiTheme="minorEastAsia" w:hAnsiTheme="minorEastAsia" w:eastAsiaTheme="minorEastAsia" w:cstheme="minorEastAsia"/>
          <w:sz w:val="44"/>
          <w:szCs w:val="44"/>
          <w:highlight w:val="none"/>
          <w:lang w:eastAsia="zh-CN"/>
        </w:rPr>
      </w:pPr>
    </w:p>
    <w:p w14:paraId="4CE5D50D">
      <w:pPr>
        <w:pStyle w:val="29"/>
        <w:ind w:firstLine="1760" w:firstLineChars="400"/>
        <w:rPr>
          <w:rStyle w:val="28"/>
          <w:rFonts w:hint="eastAsia" w:asciiTheme="minorEastAsia" w:hAnsiTheme="minorEastAsia" w:eastAsiaTheme="minorEastAsia" w:cstheme="minorEastAsia"/>
          <w:bCs/>
          <w:color w:val="auto"/>
          <w:sz w:val="44"/>
          <w:szCs w:val="44"/>
          <w:highlight w:val="none"/>
          <w:lang w:eastAsia="zh-CN"/>
        </w:rPr>
      </w:pPr>
    </w:p>
    <w:p w14:paraId="140269B1">
      <w:pPr>
        <w:pStyle w:val="29"/>
        <w:ind w:firstLine="1760" w:firstLineChars="400"/>
        <w:rPr>
          <w:rStyle w:val="28"/>
          <w:rFonts w:hint="eastAsia" w:asciiTheme="minorEastAsia" w:hAnsiTheme="minorEastAsia" w:eastAsiaTheme="minorEastAsia" w:cstheme="minorEastAsia"/>
          <w:bCs/>
          <w:color w:val="auto"/>
          <w:sz w:val="44"/>
          <w:szCs w:val="44"/>
          <w:highlight w:val="none"/>
          <w:lang w:eastAsia="zh-CN"/>
        </w:rPr>
      </w:pPr>
    </w:p>
    <w:p w14:paraId="6CA5F636">
      <w:pPr>
        <w:pStyle w:val="29"/>
        <w:jc w:val="center"/>
        <w:rPr>
          <w:rStyle w:val="28"/>
          <w:rFonts w:hint="eastAsia" w:asciiTheme="minorEastAsia" w:hAnsiTheme="minorEastAsia" w:eastAsiaTheme="minorEastAsia" w:cstheme="minorEastAsia"/>
          <w:b/>
          <w:color w:val="auto"/>
          <w:sz w:val="44"/>
          <w:szCs w:val="44"/>
          <w:highlight w:val="none"/>
          <w:lang w:eastAsia="zh-CN"/>
        </w:rPr>
      </w:pPr>
      <w:r>
        <w:rPr>
          <w:rStyle w:val="28"/>
          <w:rFonts w:hint="eastAsia" w:asciiTheme="minorEastAsia" w:hAnsiTheme="minorEastAsia" w:eastAsiaTheme="minorEastAsia" w:cstheme="minorEastAsia"/>
          <w:b/>
          <w:color w:val="auto"/>
          <w:sz w:val="44"/>
          <w:szCs w:val="44"/>
          <w:highlight w:val="none"/>
          <w:lang w:eastAsia="zh-CN"/>
        </w:rPr>
        <w:t>招标文件</w:t>
      </w:r>
    </w:p>
    <w:p w14:paraId="03207143">
      <w:pPr>
        <w:pStyle w:val="29"/>
        <w:rPr>
          <w:rStyle w:val="28"/>
          <w:rFonts w:hint="eastAsia" w:asciiTheme="minorEastAsia" w:hAnsiTheme="minorEastAsia" w:eastAsiaTheme="minorEastAsia" w:cstheme="minorEastAsia"/>
          <w:color w:val="auto"/>
          <w:sz w:val="44"/>
          <w:szCs w:val="44"/>
          <w:highlight w:val="none"/>
          <w:lang w:eastAsia="zh-CN"/>
        </w:rPr>
      </w:pPr>
    </w:p>
    <w:p w14:paraId="37C7C57E">
      <w:pPr>
        <w:spacing w:line="240" w:lineRule="atLeast"/>
        <w:ind w:left="1079" w:leftChars="257" w:hanging="540"/>
        <w:jc w:val="center"/>
        <w:rPr>
          <w:rStyle w:val="28"/>
          <w:rFonts w:hint="eastAsia" w:asciiTheme="minorEastAsia" w:hAnsiTheme="minorEastAsia" w:eastAsiaTheme="minorEastAsia" w:cstheme="minorEastAsia"/>
          <w:b/>
          <w:color w:val="auto"/>
          <w:sz w:val="44"/>
          <w:szCs w:val="44"/>
          <w:highlight w:val="none"/>
          <w:lang w:eastAsia="zh-CN"/>
        </w:rPr>
      </w:pPr>
    </w:p>
    <w:p w14:paraId="225351D8">
      <w:pPr>
        <w:spacing w:line="240" w:lineRule="atLeast"/>
        <w:ind w:left="1079" w:leftChars="257" w:hanging="540"/>
        <w:rPr>
          <w:rStyle w:val="28"/>
          <w:rFonts w:hint="eastAsia" w:asciiTheme="minorEastAsia" w:hAnsiTheme="minorEastAsia" w:eastAsiaTheme="minorEastAsia" w:cstheme="minorEastAsia"/>
          <w:b/>
          <w:color w:val="auto"/>
          <w:sz w:val="44"/>
          <w:szCs w:val="44"/>
          <w:highlight w:val="none"/>
          <w:lang w:eastAsia="zh-CN"/>
        </w:rPr>
      </w:pPr>
    </w:p>
    <w:p w14:paraId="28DB1AF4">
      <w:pPr>
        <w:spacing w:line="240" w:lineRule="atLeast"/>
        <w:ind w:left="2095" w:leftChars="998" w:firstLine="1064" w:firstLineChars="242"/>
        <w:rPr>
          <w:rStyle w:val="28"/>
          <w:rFonts w:hint="eastAsia" w:asciiTheme="minorEastAsia" w:hAnsiTheme="minorEastAsia" w:eastAsiaTheme="minorEastAsia" w:cstheme="minorEastAsia"/>
          <w:b/>
          <w:color w:val="auto"/>
          <w:sz w:val="52"/>
          <w:highlight w:val="none"/>
          <w:lang w:eastAsia="zh-CN"/>
        </w:rPr>
      </w:pPr>
      <w:r>
        <w:rPr>
          <w:rStyle w:val="28"/>
          <w:rFonts w:hint="eastAsia" w:asciiTheme="minorEastAsia" w:hAnsiTheme="minorEastAsia" w:eastAsiaTheme="minorEastAsia" w:cstheme="minorEastAsia"/>
          <w:b/>
          <w:color w:val="auto"/>
          <w:sz w:val="44"/>
          <w:szCs w:val="44"/>
          <w:highlight w:val="none"/>
          <w:lang w:eastAsia="zh-CN"/>
        </w:rPr>
        <w:t>(第一册)</w:t>
      </w:r>
    </w:p>
    <w:p w14:paraId="4E6ADE76">
      <w:pPr>
        <w:spacing w:line="240" w:lineRule="atLeast"/>
        <w:ind w:left="1079" w:leftChars="257" w:hanging="540"/>
        <w:jc w:val="center"/>
        <w:rPr>
          <w:rStyle w:val="28"/>
          <w:rFonts w:hint="eastAsia" w:asciiTheme="minorEastAsia" w:hAnsiTheme="minorEastAsia" w:eastAsiaTheme="minorEastAsia" w:cstheme="minorEastAsia"/>
          <w:b/>
          <w:color w:val="auto"/>
          <w:sz w:val="52"/>
          <w:highlight w:val="none"/>
          <w:lang w:eastAsia="zh-CN"/>
        </w:rPr>
      </w:pPr>
    </w:p>
    <w:p w14:paraId="7781BDBD">
      <w:pPr>
        <w:pStyle w:val="8"/>
        <w:tabs>
          <w:tab w:val="left" w:pos="567"/>
        </w:tabs>
        <w:rPr>
          <w:rStyle w:val="28"/>
          <w:rFonts w:hint="eastAsia" w:asciiTheme="minorEastAsia" w:hAnsiTheme="minorEastAsia" w:eastAsiaTheme="minorEastAsia" w:cstheme="minorEastAsia"/>
          <w:b/>
          <w:color w:val="auto"/>
          <w:sz w:val="52"/>
          <w:highlight w:val="none"/>
          <w:lang w:eastAsia="zh-CN"/>
        </w:rPr>
      </w:pPr>
    </w:p>
    <w:p w14:paraId="4D00BF54">
      <w:pPr>
        <w:spacing w:line="360" w:lineRule="auto"/>
        <w:ind w:left="839" w:firstLine="420"/>
        <w:rPr>
          <w:rStyle w:val="28"/>
          <w:rFonts w:hint="eastAsia" w:asciiTheme="minorEastAsia" w:hAnsiTheme="minorEastAsia" w:eastAsiaTheme="minorEastAsia" w:cstheme="minorEastAsia"/>
          <w:b/>
          <w:bCs/>
          <w:color w:val="auto"/>
          <w:sz w:val="30"/>
          <w:szCs w:val="30"/>
          <w:highlight w:val="none"/>
          <w:lang w:eastAsia="zh-CN"/>
        </w:rPr>
      </w:pPr>
    </w:p>
    <w:p w14:paraId="5D5136ED">
      <w:pPr>
        <w:spacing w:line="360" w:lineRule="auto"/>
        <w:ind w:left="839" w:firstLine="420"/>
        <w:rPr>
          <w:rStyle w:val="28"/>
          <w:rFonts w:hint="default" w:asciiTheme="minorEastAsia" w:hAnsiTheme="minorEastAsia" w:eastAsiaTheme="minorEastAsia" w:cstheme="minorEastAsia"/>
          <w:b/>
          <w:bCs/>
          <w:color w:val="auto"/>
          <w:sz w:val="30"/>
          <w:szCs w:val="30"/>
          <w:highlight w:val="none"/>
          <w:lang w:val="en-US" w:eastAsia="zh-CN"/>
        </w:rPr>
      </w:pPr>
      <w:r>
        <w:rPr>
          <w:rStyle w:val="28"/>
          <w:rFonts w:hint="eastAsia" w:asciiTheme="minorEastAsia" w:hAnsiTheme="minorEastAsia" w:eastAsiaTheme="minorEastAsia" w:cstheme="minorEastAsia"/>
          <w:b/>
          <w:bCs/>
          <w:color w:val="auto"/>
          <w:sz w:val="30"/>
          <w:szCs w:val="30"/>
          <w:highlight w:val="none"/>
          <w:lang w:eastAsia="zh-CN"/>
        </w:rPr>
        <w:t>项 目 编 号：</w:t>
      </w:r>
      <w:r>
        <w:rPr>
          <w:rStyle w:val="28"/>
          <w:rFonts w:hint="eastAsia" w:asciiTheme="minorEastAsia" w:hAnsiTheme="minorEastAsia" w:eastAsiaTheme="minorEastAsia" w:cstheme="minorEastAsia"/>
          <w:b/>
          <w:bCs/>
          <w:color w:val="000000" w:themeColor="text1"/>
          <w:sz w:val="30"/>
          <w:szCs w:val="30"/>
          <w:highlight w:val="none"/>
          <w:lang w:eastAsia="zh-CN"/>
          <w14:textFill>
            <w14:solidFill>
              <w14:schemeClr w14:val="tx1"/>
            </w14:solidFill>
          </w14:textFill>
        </w:rPr>
        <w:t>KSJSX(GK)2026-19</w:t>
      </w:r>
    </w:p>
    <w:p w14:paraId="04CC8A9C">
      <w:pPr>
        <w:spacing w:line="360" w:lineRule="auto"/>
        <w:ind w:left="839" w:firstLine="420"/>
        <w:rPr>
          <w:rStyle w:val="28"/>
          <w:rFonts w:hint="default" w:asciiTheme="minorEastAsia" w:hAnsiTheme="minorEastAsia" w:eastAsiaTheme="minorEastAsia" w:cstheme="minorEastAsia"/>
          <w:b/>
          <w:bCs/>
          <w:color w:val="auto"/>
          <w:sz w:val="30"/>
          <w:szCs w:val="30"/>
          <w:highlight w:val="none"/>
          <w:lang w:val="en-US" w:eastAsia="zh-CN"/>
        </w:rPr>
      </w:pPr>
      <w:r>
        <w:rPr>
          <w:rStyle w:val="28"/>
          <w:rFonts w:hint="eastAsia" w:asciiTheme="minorEastAsia" w:hAnsiTheme="minorEastAsia" w:eastAsiaTheme="minorEastAsia" w:cstheme="minorEastAsia"/>
          <w:b/>
          <w:bCs/>
          <w:color w:val="auto"/>
          <w:sz w:val="30"/>
          <w:szCs w:val="30"/>
          <w:highlight w:val="none"/>
          <w:lang w:eastAsia="zh-CN"/>
        </w:rPr>
        <w:t>采 购 单 位：伽师县卫生健康委员会</w:t>
      </w:r>
    </w:p>
    <w:p w14:paraId="03D5F28F">
      <w:pPr>
        <w:spacing w:line="360" w:lineRule="auto"/>
        <w:ind w:left="839" w:firstLine="420"/>
        <w:rPr>
          <w:rStyle w:val="28"/>
          <w:rFonts w:hint="eastAsia" w:asciiTheme="minorEastAsia" w:hAnsiTheme="minorEastAsia" w:eastAsiaTheme="minorEastAsia" w:cstheme="minorEastAsia"/>
          <w:b/>
          <w:bCs/>
          <w:color w:val="auto"/>
          <w:sz w:val="30"/>
          <w:szCs w:val="30"/>
          <w:highlight w:val="none"/>
          <w:lang w:eastAsia="zh-CN"/>
        </w:rPr>
      </w:pPr>
      <w:r>
        <w:rPr>
          <w:rStyle w:val="28"/>
          <w:rFonts w:hint="eastAsia" w:asciiTheme="minorEastAsia" w:hAnsiTheme="minorEastAsia" w:eastAsiaTheme="minorEastAsia" w:cstheme="minorEastAsia"/>
          <w:b/>
          <w:bCs/>
          <w:color w:val="auto"/>
          <w:sz w:val="30"/>
          <w:szCs w:val="30"/>
          <w:highlight w:val="none"/>
          <w:lang w:eastAsia="zh-CN"/>
        </w:rPr>
        <w:t xml:space="preserve">采购代理机构：伽师县政府采购中心 </w:t>
      </w:r>
    </w:p>
    <w:p w14:paraId="4DBFBCEA">
      <w:pPr>
        <w:spacing w:line="360" w:lineRule="auto"/>
        <w:ind w:left="839" w:firstLine="420"/>
        <w:rPr>
          <w:rStyle w:val="28"/>
          <w:rFonts w:hint="eastAsia" w:asciiTheme="minorEastAsia" w:hAnsiTheme="minorEastAsia" w:eastAsiaTheme="minorEastAsia" w:cstheme="minorEastAsia"/>
          <w:b/>
          <w:bCs/>
          <w:color w:val="auto"/>
          <w:sz w:val="30"/>
          <w:szCs w:val="30"/>
          <w:highlight w:val="none"/>
          <w:lang w:eastAsia="zh-CN"/>
        </w:rPr>
      </w:pPr>
      <w:r>
        <w:rPr>
          <w:rStyle w:val="28"/>
          <w:rFonts w:hint="eastAsia" w:asciiTheme="minorEastAsia" w:hAnsiTheme="minorEastAsia" w:eastAsiaTheme="minorEastAsia" w:cstheme="minorEastAsia"/>
          <w:b/>
          <w:bCs/>
          <w:color w:val="auto"/>
          <w:sz w:val="30"/>
          <w:szCs w:val="30"/>
          <w:highlight w:val="none"/>
          <w:lang w:eastAsia="zh-CN"/>
        </w:rPr>
        <w:t>发  出 日 期：202</w:t>
      </w:r>
      <w:r>
        <w:rPr>
          <w:rStyle w:val="28"/>
          <w:rFonts w:hint="eastAsia" w:asciiTheme="minorEastAsia" w:hAnsiTheme="minorEastAsia" w:eastAsiaTheme="minorEastAsia" w:cstheme="minorEastAsia"/>
          <w:b/>
          <w:bCs/>
          <w:color w:val="auto"/>
          <w:sz w:val="30"/>
          <w:szCs w:val="30"/>
          <w:highlight w:val="none"/>
          <w:lang w:val="en-US" w:eastAsia="zh-CN"/>
        </w:rPr>
        <w:t>6</w:t>
      </w:r>
      <w:r>
        <w:rPr>
          <w:rStyle w:val="28"/>
          <w:rFonts w:hint="eastAsia" w:asciiTheme="minorEastAsia" w:hAnsiTheme="minorEastAsia" w:eastAsiaTheme="minorEastAsia" w:cstheme="minorEastAsia"/>
          <w:b/>
          <w:bCs/>
          <w:color w:val="auto"/>
          <w:sz w:val="30"/>
          <w:szCs w:val="30"/>
          <w:highlight w:val="none"/>
          <w:lang w:eastAsia="zh-CN"/>
        </w:rPr>
        <w:t>年</w:t>
      </w:r>
      <w:r>
        <w:rPr>
          <w:rStyle w:val="28"/>
          <w:rFonts w:hint="eastAsia" w:asciiTheme="minorEastAsia" w:hAnsiTheme="minorEastAsia" w:eastAsiaTheme="minorEastAsia" w:cstheme="minorEastAsia"/>
          <w:b/>
          <w:bCs/>
          <w:color w:val="auto"/>
          <w:sz w:val="30"/>
          <w:szCs w:val="30"/>
          <w:highlight w:val="none"/>
          <w:lang w:val="en-US" w:eastAsia="zh-CN"/>
        </w:rPr>
        <w:t>5</w:t>
      </w:r>
      <w:r>
        <w:rPr>
          <w:rStyle w:val="28"/>
          <w:rFonts w:hint="eastAsia" w:asciiTheme="minorEastAsia" w:hAnsiTheme="minorEastAsia" w:eastAsiaTheme="minorEastAsia" w:cstheme="minorEastAsia"/>
          <w:b/>
          <w:bCs/>
          <w:color w:val="auto"/>
          <w:sz w:val="30"/>
          <w:szCs w:val="30"/>
          <w:highlight w:val="none"/>
          <w:lang w:eastAsia="zh-CN"/>
        </w:rPr>
        <w:t>月</w:t>
      </w:r>
    </w:p>
    <w:p w14:paraId="45FAA431">
      <w:pPr>
        <w:spacing w:line="240" w:lineRule="atLeast"/>
        <w:ind w:left="1079" w:leftChars="257" w:hanging="540"/>
        <w:rPr>
          <w:rStyle w:val="28"/>
          <w:rFonts w:hint="eastAsia" w:asciiTheme="minorEastAsia" w:hAnsiTheme="minorEastAsia" w:eastAsiaTheme="minorEastAsia" w:cstheme="minorEastAsia"/>
          <w:b/>
          <w:color w:val="auto"/>
          <w:highlight w:val="none"/>
          <w:lang w:eastAsia="zh-CN"/>
        </w:rPr>
      </w:pPr>
    </w:p>
    <w:p w14:paraId="260F43A8">
      <w:pPr>
        <w:spacing w:line="240" w:lineRule="atLeast"/>
        <w:ind w:left="1079" w:leftChars="257" w:hanging="540"/>
        <w:jc w:val="center"/>
        <w:rPr>
          <w:rFonts w:hint="eastAsia" w:asciiTheme="minorEastAsia" w:hAnsiTheme="minorEastAsia" w:eastAsiaTheme="minorEastAsia" w:cstheme="minorEastAsia"/>
          <w:b/>
          <w:color w:val="auto"/>
          <w:sz w:val="32"/>
          <w:highlight w:val="none"/>
          <w:lang w:eastAsia="zh-CN"/>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0" w:name="_Toc22782"/>
      <w:bookmarkStart w:id="1" w:name="_Toc17230"/>
      <w:bookmarkStart w:id="2" w:name="_Toc25817"/>
      <w:bookmarkStart w:id="3" w:name="_Toc216582804"/>
    </w:p>
    <w:bookmarkEnd w:id="0"/>
    <w:bookmarkEnd w:id="1"/>
    <w:bookmarkEnd w:id="2"/>
    <w:bookmarkEnd w:id="3"/>
    <w:p w14:paraId="752603D2">
      <w:pPr>
        <w:spacing w:line="240" w:lineRule="atLeast"/>
        <w:ind w:left="1079" w:leftChars="257" w:hanging="540"/>
        <w:jc w:val="center"/>
        <w:rPr>
          <w:rFonts w:hint="eastAsia" w:ascii="仿宋" w:hAnsi="仿宋" w:eastAsia="仿宋" w:cs="仿宋"/>
          <w:b/>
          <w:color w:val="auto"/>
          <w:sz w:val="32"/>
          <w:highlight w:val="none"/>
        </w:rPr>
      </w:pPr>
      <w:bookmarkStart w:id="4" w:name="_Toc31178"/>
      <w:bookmarkStart w:id="5" w:name="_Toc18867"/>
      <w:bookmarkStart w:id="6" w:name="_Toc1687"/>
      <w:bookmarkStart w:id="7" w:name="_Toc15055"/>
      <w:bookmarkStart w:id="8" w:name="_Toc8272"/>
      <w:bookmarkStart w:id="9" w:name="_Toc5471"/>
      <w:bookmarkStart w:id="10" w:name="_Toc26793"/>
      <w:bookmarkStart w:id="11" w:name="_Toc13334"/>
      <w:bookmarkStart w:id="12" w:name="_Toc2510"/>
      <w:r>
        <w:rPr>
          <w:rFonts w:hint="eastAsia" w:ascii="仿宋" w:hAnsi="仿宋" w:eastAsia="仿宋" w:cs="仿宋"/>
          <w:b/>
          <w:color w:val="auto"/>
          <w:sz w:val="32"/>
          <w:highlight w:val="none"/>
        </w:rPr>
        <w:t>目  录</w:t>
      </w:r>
    </w:p>
    <w:p w14:paraId="5E1F0292">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_Toc7749 </w:instrText>
      </w:r>
      <w:r>
        <w:rPr>
          <w:rFonts w:hint="eastAsia" w:ascii="仿宋" w:hAnsi="仿宋" w:eastAsia="仿宋" w:cs="仿宋"/>
          <w:highlight w:val="none"/>
        </w:rPr>
        <w:fldChar w:fldCharType="separate"/>
      </w:r>
      <w:r>
        <w:rPr>
          <w:rFonts w:hint="eastAsia" w:ascii="仿宋" w:hAnsi="仿宋" w:eastAsia="仿宋" w:cs="仿宋"/>
          <w:kern w:val="0"/>
          <w:szCs w:val="44"/>
          <w:highlight w:val="none"/>
          <w:lang w:eastAsia="zh-CN"/>
        </w:rPr>
        <w:t>第一章</w:t>
      </w:r>
      <w:r>
        <w:rPr>
          <w:rFonts w:hint="eastAsia" w:ascii="仿宋" w:hAnsi="仿宋" w:eastAsia="仿宋" w:cs="仿宋"/>
          <w:szCs w:val="44"/>
          <w:highlight w:val="none"/>
          <w:lang w:eastAsia="zh-CN"/>
        </w:rPr>
        <w:t>投标人须知</w:t>
      </w:r>
      <w:r>
        <w:rPr>
          <w:highlight w:val="none"/>
        </w:rPr>
        <w:tab/>
      </w:r>
      <w:r>
        <w:rPr>
          <w:highlight w:val="none"/>
        </w:rPr>
        <w:fldChar w:fldCharType="begin"/>
      </w:r>
      <w:r>
        <w:rPr>
          <w:highlight w:val="none"/>
        </w:rPr>
        <w:instrText xml:space="preserve"> PAGEREF _Toc7749 \h </w:instrText>
      </w:r>
      <w:r>
        <w:rPr>
          <w:highlight w:val="none"/>
        </w:rPr>
        <w:fldChar w:fldCharType="separate"/>
      </w:r>
      <w:r>
        <w:rPr>
          <w:highlight w:val="none"/>
        </w:rPr>
        <w:t>3</w:t>
      </w:r>
      <w:r>
        <w:rPr>
          <w:highlight w:val="none"/>
        </w:rPr>
        <w:fldChar w:fldCharType="end"/>
      </w:r>
      <w:r>
        <w:rPr>
          <w:rFonts w:hint="eastAsia" w:ascii="仿宋" w:hAnsi="仿宋" w:eastAsia="仿宋" w:cs="仿宋"/>
          <w:color w:val="auto"/>
          <w:highlight w:val="none"/>
        </w:rPr>
        <w:fldChar w:fldCharType="end"/>
      </w:r>
    </w:p>
    <w:p w14:paraId="069FD0B5">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_Toc13562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一 总 则</w:t>
      </w:r>
      <w:r>
        <w:rPr>
          <w:highlight w:val="none"/>
        </w:rPr>
        <w:tab/>
      </w:r>
      <w:r>
        <w:rPr>
          <w:highlight w:val="none"/>
        </w:rPr>
        <w:fldChar w:fldCharType="begin"/>
      </w:r>
      <w:r>
        <w:rPr>
          <w:highlight w:val="none"/>
        </w:rPr>
        <w:instrText xml:space="preserve"> PAGEREF _Toc13562 \h </w:instrText>
      </w:r>
      <w:r>
        <w:rPr>
          <w:highlight w:val="none"/>
        </w:rPr>
        <w:fldChar w:fldCharType="separate"/>
      </w:r>
      <w:r>
        <w:rPr>
          <w:highlight w:val="none"/>
        </w:rPr>
        <w:t>3</w:t>
      </w:r>
      <w:r>
        <w:rPr>
          <w:highlight w:val="none"/>
        </w:rPr>
        <w:fldChar w:fldCharType="end"/>
      </w:r>
      <w:r>
        <w:rPr>
          <w:rFonts w:hint="eastAsia" w:ascii="仿宋" w:hAnsi="仿宋" w:eastAsia="仿宋" w:cs="仿宋"/>
          <w:color w:val="auto"/>
          <w:highlight w:val="none"/>
        </w:rPr>
        <w:fldChar w:fldCharType="end"/>
      </w:r>
    </w:p>
    <w:p w14:paraId="7FA6AB8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_Toc29428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1.采购人、采购代理机构及投标人</w:t>
      </w:r>
      <w:r>
        <w:rPr>
          <w:highlight w:val="none"/>
        </w:rPr>
        <w:tab/>
      </w:r>
      <w:r>
        <w:rPr>
          <w:highlight w:val="none"/>
        </w:rPr>
        <w:fldChar w:fldCharType="begin"/>
      </w:r>
      <w:r>
        <w:rPr>
          <w:highlight w:val="none"/>
        </w:rPr>
        <w:instrText xml:space="preserve"> PAGEREF _Toc29428 \h </w:instrText>
      </w:r>
      <w:r>
        <w:rPr>
          <w:highlight w:val="none"/>
        </w:rPr>
        <w:fldChar w:fldCharType="separate"/>
      </w:r>
      <w:r>
        <w:rPr>
          <w:highlight w:val="none"/>
        </w:rPr>
        <w:t>3</w:t>
      </w:r>
      <w:r>
        <w:rPr>
          <w:highlight w:val="none"/>
        </w:rPr>
        <w:fldChar w:fldCharType="end"/>
      </w:r>
      <w:r>
        <w:rPr>
          <w:rFonts w:hint="eastAsia" w:ascii="仿宋" w:hAnsi="仿宋" w:eastAsia="仿宋" w:cs="仿宋"/>
          <w:color w:val="auto"/>
          <w:highlight w:val="none"/>
        </w:rPr>
        <w:fldChar w:fldCharType="end"/>
      </w:r>
    </w:p>
    <w:p w14:paraId="78C44F77">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_Toc21544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2.资金来源</w:t>
      </w:r>
      <w:r>
        <w:rPr>
          <w:highlight w:val="none"/>
        </w:rPr>
        <w:tab/>
      </w:r>
      <w:r>
        <w:rPr>
          <w:highlight w:val="none"/>
        </w:rPr>
        <w:fldChar w:fldCharType="begin"/>
      </w:r>
      <w:r>
        <w:rPr>
          <w:highlight w:val="none"/>
        </w:rPr>
        <w:instrText xml:space="preserve"> PAGEREF _Toc21544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0EDB648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_Toc15057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3.投标费用</w:t>
      </w:r>
      <w:r>
        <w:rPr>
          <w:highlight w:val="none"/>
        </w:rPr>
        <w:tab/>
      </w:r>
      <w:r>
        <w:rPr>
          <w:highlight w:val="none"/>
        </w:rPr>
        <w:fldChar w:fldCharType="begin"/>
      </w:r>
      <w:r>
        <w:rPr>
          <w:highlight w:val="none"/>
        </w:rPr>
        <w:instrText xml:space="preserve"> PAGEREF _Toc15057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7233B902">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_Toc5363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4.适用法律</w:t>
      </w:r>
      <w:r>
        <w:rPr>
          <w:highlight w:val="none"/>
        </w:rPr>
        <w:tab/>
      </w:r>
      <w:r>
        <w:rPr>
          <w:highlight w:val="none"/>
        </w:rPr>
        <w:fldChar w:fldCharType="begin"/>
      </w:r>
      <w:r>
        <w:rPr>
          <w:highlight w:val="none"/>
        </w:rPr>
        <w:instrText xml:space="preserve"> PAGEREF _Toc5363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62CDBB3D">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_Toc5480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二 招标文件</w:t>
      </w:r>
      <w:r>
        <w:rPr>
          <w:highlight w:val="none"/>
        </w:rPr>
        <w:tab/>
      </w:r>
      <w:r>
        <w:rPr>
          <w:highlight w:val="none"/>
        </w:rPr>
        <w:fldChar w:fldCharType="begin"/>
      </w:r>
      <w:r>
        <w:rPr>
          <w:highlight w:val="none"/>
        </w:rPr>
        <w:instrText xml:space="preserve"> PAGEREF _Toc5480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62726B1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_Toc31723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5.招标文件构成</w:t>
      </w:r>
      <w:r>
        <w:rPr>
          <w:highlight w:val="none"/>
        </w:rPr>
        <w:tab/>
      </w:r>
      <w:r>
        <w:rPr>
          <w:highlight w:val="none"/>
        </w:rPr>
        <w:fldChar w:fldCharType="begin"/>
      </w:r>
      <w:r>
        <w:rPr>
          <w:highlight w:val="none"/>
        </w:rPr>
        <w:instrText xml:space="preserve"> PAGEREF _Toc31723 \h </w:instrText>
      </w:r>
      <w:r>
        <w:rPr>
          <w:highlight w:val="none"/>
        </w:rPr>
        <w:fldChar w:fldCharType="separate"/>
      </w:r>
      <w:r>
        <w:rPr>
          <w:highlight w:val="none"/>
        </w:rPr>
        <w:t>4</w:t>
      </w:r>
      <w:r>
        <w:rPr>
          <w:highlight w:val="none"/>
        </w:rPr>
        <w:fldChar w:fldCharType="end"/>
      </w:r>
      <w:r>
        <w:rPr>
          <w:rFonts w:hint="eastAsia" w:ascii="仿宋" w:hAnsi="仿宋" w:eastAsia="仿宋" w:cs="仿宋"/>
          <w:color w:val="auto"/>
          <w:highlight w:val="none"/>
        </w:rPr>
        <w:fldChar w:fldCharType="end"/>
      </w:r>
    </w:p>
    <w:p w14:paraId="1BCFE73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_Toc4976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6.招标文件的澄清与修改</w:t>
      </w:r>
      <w:r>
        <w:rPr>
          <w:highlight w:val="none"/>
        </w:rPr>
        <w:tab/>
      </w:r>
      <w:r>
        <w:rPr>
          <w:highlight w:val="none"/>
        </w:rPr>
        <w:fldChar w:fldCharType="begin"/>
      </w:r>
      <w:r>
        <w:rPr>
          <w:highlight w:val="none"/>
        </w:rPr>
        <w:instrText xml:space="preserve"> PAGEREF _Toc4976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0B70DD5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_Toc9128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7.投标截止时间的顺延</w:t>
      </w:r>
      <w:r>
        <w:rPr>
          <w:highlight w:val="none"/>
        </w:rPr>
        <w:tab/>
      </w:r>
      <w:r>
        <w:rPr>
          <w:highlight w:val="none"/>
        </w:rPr>
        <w:fldChar w:fldCharType="begin"/>
      </w:r>
      <w:r>
        <w:rPr>
          <w:highlight w:val="none"/>
        </w:rPr>
        <w:instrText xml:space="preserve"> PAGEREF _Toc9128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696BA4DF">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_Toc1752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三 投标文件的编制</w:t>
      </w:r>
      <w:r>
        <w:rPr>
          <w:highlight w:val="none"/>
        </w:rPr>
        <w:tab/>
      </w:r>
      <w:r>
        <w:rPr>
          <w:highlight w:val="none"/>
        </w:rPr>
        <w:fldChar w:fldCharType="begin"/>
      </w:r>
      <w:r>
        <w:rPr>
          <w:highlight w:val="none"/>
        </w:rPr>
        <w:instrText xml:space="preserve"> PAGEREF _Toc1752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3903CF5C">
      <w:pPr>
        <w:pStyle w:val="11"/>
        <w:tabs>
          <w:tab w:val="right" w:pos="2800"/>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_Toc6449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8.</w:t>
      </w:r>
      <w:r>
        <w:rPr>
          <w:rFonts w:hint="eastAsia" w:ascii="仿宋" w:hAnsi="仿宋" w:eastAsia="仿宋" w:cs="仿宋"/>
          <w:highlight w:val="none"/>
          <w:lang w:eastAsia="zh-CN"/>
        </w:rPr>
        <w:tab/>
      </w:r>
      <w:r>
        <w:rPr>
          <w:rFonts w:hint="eastAsia" w:ascii="仿宋" w:hAnsi="仿宋" w:eastAsia="仿宋" w:cs="仿宋"/>
          <w:highlight w:val="none"/>
          <w:lang w:eastAsia="zh-CN"/>
        </w:rPr>
        <w:t>投标范围及投标文件中标准和计量单位的使用</w:t>
      </w:r>
      <w:r>
        <w:rPr>
          <w:highlight w:val="none"/>
        </w:rPr>
        <w:tab/>
      </w:r>
      <w:r>
        <w:rPr>
          <w:highlight w:val="none"/>
        </w:rPr>
        <w:fldChar w:fldCharType="begin"/>
      </w:r>
      <w:r>
        <w:rPr>
          <w:highlight w:val="none"/>
        </w:rPr>
        <w:instrText xml:space="preserve"> PAGEREF _Toc6449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69069837">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_Toc2072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9.投标文件构成</w:t>
      </w:r>
      <w:r>
        <w:rPr>
          <w:highlight w:val="none"/>
        </w:rPr>
        <w:tab/>
      </w:r>
      <w:r>
        <w:rPr>
          <w:highlight w:val="none"/>
        </w:rPr>
        <w:fldChar w:fldCharType="begin"/>
      </w:r>
      <w:r>
        <w:rPr>
          <w:highlight w:val="none"/>
        </w:rPr>
        <w:instrText xml:space="preserve"> PAGEREF _Toc2072 \h </w:instrText>
      </w:r>
      <w:r>
        <w:rPr>
          <w:highlight w:val="none"/>
        </w:rPr>
        <w:fldChar w:fldCharType="separate"/>
      </w:r>
      <w:r>
        <w:rPr>
          <w:highlight w:val="none"/>
        </w:rPr>
        <w:t>5</w:t>
      </w:r>
      <w:r>
        <w:rPr>
          <w:highlight w:val="none"/>
        </w:rPr>
        <w:fldChar w:fldCharType="end"/>
      </w:r>
      <w:r>
        <w:rPr>
          <w:rFonts w:hint="eastAsia" w:ascii="仿宋" w:hAnsi="仿宋" w:eastAsia="仿宋" w:cs="仿宋"/>
          <w:color w:val="auto"/>
          <w:highlight w:val="none"/>
        </w:rPr>
        <w:fldChar w:fldCharType="end"/>
      </w:r>
    </w:p>
    <w:p w14:paraId="21B5D668">
      <w:pPr>
        <w:pStyle w:val="11"/>
        <w:tabs>
          <w:tab w:val="right" w:pos="2800"/>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_Toc31875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10.</w:t>
      </w:r>
      <w:r>
        <w:rPr>
          <w:rFonts w:hint="eastAsia" w:ascii="仿宋" w:hAnsi="仿宋" w:eastAsia="仿宋" w:cs="仿宋"/>
          <w:highlight w:val="none"/>
          <w:lang w:eastAsia="zh-CN"/>
        </w:rPr>
        <w:tab/>
      </w:r>
      <w:r>
        <w:rPr>
          <w:rFonts w:hint="eastAsia" w:ascii="仿宋" w:hAnsi="仿宋" w:eastAsia="仿宋" w:cs="仿宋"/>
          <w:highlight w:val="none"/>
          <w:lang w:eastAsia="zh-CN"/>
        </w:rPr>
        <w:t>证明投标标的的合格性和符合招标文件规定的技术文件</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6</w:t>
      </w:r>
      <w:r>
        <w:rPr>
          <w:highlight w:val="none"/>
        </w:rPr>
        <w:fldChar w:fldCharType="end"/>
      </w:r>
      <w:r>
        <w:rPr>
          <w:rFonts w:hint="eastAsia" w:ascii="仿宋" w:hAnsi="仿宋" w:eastAsia="仿宋" w:cs="仿宋"/>
          <w:color w:val="auto"/>
          <w:highlight w:val="none"/>
        </w:rPr>
        <w:fldChar w:fldCharType="end"/>
      </w:r>
    </w:p>
    <w:p w14:paraId="4334430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_Toc784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11.投标报价</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6</w:t>
      </w:r>
      <w:r>
        <w:rPr>
          <w:highlight w:val="none"/>
        </w:rPr>
        <w:fldChar w:fldCharType="end"/>
      </w:r>
      <w:r>
        <w:rPr>
          <w:rFonts w:hint="eastAsia" w:ascii="仿宋" w:hAnsi="仿宋" w:eastAsia="仿宋" w:cs="仿宋"/>
          <w:color w:val="auto"/>
          <w:highlight w:val="none"/>
        </w:rPr>
        <w:fldChar w:fldCharType="end"/>
      </w:r>
    </w:p>
    <w:p w14:paraId="3BDD9D3A">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_Toc3689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12.投标保证金</w:t>
      </w:r>
      <w:r>
        <w:rPr>
          <w:highlight w:val="none"/>
        </w:rPr>
        <w:tab/>
      </w:r>
      <w:r>
        <w:rPr>
          <w:highlight w:val="none"/>
        </w:rPr>
        <w:fldChar w:fldCharType="begin"/>
      </w:r>
      <w:r>
        <w:rPr>
          <w:highlight w:val="none"/>
        </w:rPr>
        <w:instrText xml:space="preserve"> PAGEREF _Toc3689 \h </w:instrText>
      </w:r>
      <w:r>
        <w:rPr>
          <w:highlight w:val="none"/>
        </w:rPr>
        <w:fldChar w:fldCharType="separate"/>
      </w:r>
      <w:r>
        <w:rPr>
          <w:highlight w:val="none"/>
        </w:rPr>
        <w:t>7</w:t>
      </w:r>
      <w:r>
        <w:rPr>
          <w:highlight w:val="none"/>
        </w:rPr>
        <w:fldChar w:fldCharType="end"/>
      </w:r>
      <w:r>
        <w:rPr>
          <w:rFonts w:hint="eastAsia" w:ascii="仿宋" w:hAnsi="仿宋" w:eastAsia="仿宋" w:cs="仿宋"/>
          <w:color w:val="auto"/>
          <w:highlight w:val="none"/>
        </w:rPr>
        <w:fldChar w:fldCharType="end"/>
      </w:r>
    </w:p>
    <w:p w14:paraId="02DFC240">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_Toc28684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13.投标有效期</w:t>
      </w:r>
      <w:r>
        <w:rPr>
          <w:highlight w:val="none"/>
        </w:rPr>
        <w:tab/>
      </w:r>
      <w:r>
        <w:rPr>
          <w:highlight w:val="none"/>
        </w:rPr>
        <w:fldChar w:fldCharType="begin"/>
      </w:r>
      <w:r>
        <w:rPr>
          <w:highlight w:val="none"/>
        </w:rPr>
        <w:instrText xml:space="preserve"> PAGEREF _Toc28684 \h </w:instrText>
      </w:r>
      <w:r>
        <w:rPr>
          <w:highlight w:val="none"/>
        </w:rPr>
        <w:fldChar w:fldCharType="separate"/>
      </w:r>
      <w:r>
        <w:rPr>
          <w:highlight w:val="none"/>
        </w:rPr>
        <w:t>7</w:t>
      </w:r>
      <w:r>
        <w:rPr>
          <w:highlight w:val="none"/>
        </w:rPr>
        <w:fldChar w:fldCharType="end"/>
      </w:r>
      <w:r>
        <w:rPr>
          <w:rFonts w:hint="eastAsia" w:ascii="仿宋" w:hAnsi="仿宋" w:eastAsia="仿宋" w:cs="仿宋"/>
          <w:color w:val="auto"/>
          <w:highlight w:val="none"/>
        </w:rPr>
        <w:fldChar w:fldCharType="end"/>
      </w:r>
    </w:p>
    <w:p w14:paraId="4E4E4993">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_Toc24071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四 投标文件的递交</w:t>
      </w:r>
      <w:r>
        <w:rPr>
          <w:highlight w:val="none"/>
        </w:rPr>
        <w:tab/>
      </w:r>
      <w:r>
        <w:rPr>
          <w:highlight w:val="none"/>
        </w:rPr>
        <w:fldChar w:fldCharType="begin"/>
      </w:r>
      <w:r>
        <w:rPr>
          <w:highlight w:val="none"/>
        </w:rPr>
        <w:instrText xml:space="preserve"> PAGEREF _Toc24071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0464197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_Toc16795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15.投标文件的密封和标记</w:t>
      </w:r>
      <w:r>
        <w:rPr>
          <w:highlight w:val="none"/>
        </w:rPr>
        <w:tab/>
      </w:r>
      <w:r>
        <w:rPr>
          <w:highlight w:val="none"/>
        </w:rPr>
        <w:fldChar w:fldCharType="begin"/>
      </w:r>
      <w:r>
        <w:rPr>
          <w:highlight w:val="none"/>
        </w:rPr>
        <w:instrText xml:space="preserve"> PAGEREF _Toc16795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12E751D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_Toc7106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16.投标截止</w:t>
      </w:r>
      <w:r>
        <w:rPr>
          <w:highlight w:val="none"/>
        </w:rPr>
        <w:tab/>
      </w:r>
      <w:r>
        <w:rPr>
          <w:highlight w:val="none"/>
        </w:rPr>
        <w:fldChar w:fldCharType="begin"/>
      </w:r>
      <w:r>
        <w:rPr>
          <w:highlight w:val="none"/>
        </w:rPr>
        <w:instrText xml:space="preserve"> PAGEREF _Toc7106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5831E36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_Toc5718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17.投标文件的接收、修改与撤回</w:t>
      </w:r>
      <w:r>
        <w:rPr>
          <w:highlight w:val="none"/>
        </w:rPr>
        <w:tab/>
      </w:r>
      <w:r>
        <w:rPr>
          <w:highlight w:val="none"/>
        </w:rPr>
        <w:fldChar w:fldCharType="begin"/>
      </w:r>
      <w:r>
        <w:rPr>
          <w:highlight w:val="none"/>
        </w:rPr>
        <w:instrText xml:space="preserve"> PAGEREF _Toc5718 \h </w:instrText>
      </w:r>
      <w:r>
        <w:rPr>
          <w:highlight w:val="none"/>
        </w:rPr>
        <w:fldChar w:fldCharType="separate"/>
      </w:r>
      <w:r>
        <w:rPr>
          <w:highlight w:val="none"/>
        </w:rPr>
        <w:t>8</w:t>
      </w:r>
      <w:r>
        <w:rPr>
          <w:highlight w:val="none"/>
        </w:rPr>
        <w:fldChar w:fldCharType="end"/>
      </w:r>
      <w:r>
        <w:rPr>
          <w:rFonts w:hint="eastAsia" w:ascii="仿宋" w:hAnsi="仿宋" w:eastAsia="仿宋" w:cs="仿宋"/>
          <w:color w:val="auto"/>
          <w:highlight w:val="none"/>
        </w:rPr>
        <w:fldChar w:fldCharType="end"/>
      </w:r>
    </w:p>
    <w:p w14:paraId="0A89AD74">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_Toc1135 </w:instrText>
      </w:r>
      <w:r>
        <w:rPr>
          <w:rFonts w:hint="eastAsia" w:ascii="仿宋" w:hAnsi="仿宋" w:eastAsia="仿宋" w:cs="仿宋"/>
          <w:highlight w:val="none"/>
        </w:rPr>
        <w:fldChar w:fldCharType="separate"/>
      </w:r>
      <w:r>
        <w:rPr>
          <w:rFonts w:hint="eastAsia" w:ascii="仿宋" w:hAnsi="仿宋" w:eastAsia="仿宋" w:cs="仿宋"/>
          <w:highlight w:val="none"/>
        </w:rPr>
        <w:t>五 开标及评标</w:t>
      </w:r>
      <w:r>
        <w:rPr>
          <w:highlight w:val="none"/>
        </w:rPr>
        <w:tab/>
      </w:r>
      <w:r>
        <w:rPr>
          <w:highlight w:val="none"/>
        </w:rPr>
        <w:fldChar w:fldCharType="begin"/>
      </w:r>
      <w:r>
        <w:rPr>
          <w:highlight w:val="none"/>
        </w:rPr>
        <w:instrText xml:space="preserve"> PAGEREF _Toc1135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highlight w:val="none"/>
        </w:rPr>
        <w:fldChar w:fldCharType="end"/>
      </w:r>
    </w:p>
    <w:p w14:paraId="617B228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_Toc30168 </w:instrText>
      </w:r>
      <w:r>
        <w:rPr>
          <w:rFonts w:hint="eastAsia" w:ascii="仿宋" w:hAnsi="仿宋" w:eastAsia="仿宋" w:cs="仿宋"/>
          <w:highlight w:val="none"/>
        </w:rPr>
        <w:fldChar w:fldCharType="separate"/>
      </w:r>
      <w:r>
        <w:rPr>
          <w:rFonts w:hint="eastAsia" w:ascii="仿宋" w:hAnsi="仿宋" w:eastAsia="仿宋" w:cs="仿宋"/>
          <w:highlight w:val="none"/>
        </w:rPr>
        <w:t>18. 开标</w:t>
      </w:r>
      <w:r>
        <w:rPr>
          <w:highlight w:val="none"/>
        </w:rPr>
        <w:tab/>
      </w:r>
      <w:r>
        <w:rPr>
          <w:highlight w:val="none"/>
        </w:rPr>
        <w:fldChar w:fldCharType="begin"/>
      </w:r>
      <w:r>
        <w:rPr>
          <w:highlight w:val="none"/>
        </w:rPr>
        <w:instrText xml:space="preserve"> PAGEREF _Toc30168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highlight w:val="none"/>
        </w:rPr>
        <w:fldChar w:fldCharType="end"/>
      </w:r>
    </w:p>
    <w:p w14:paraId="3EF1DFE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_Toc12012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19.资格审查及组建评标委员会</w:t>
      </w:r>
      <w:r>
        <w:rPr>
          <w:highlight w:val="none"/>
        </w:rPr>
        <w:tab/>
      </w:r>
      <w:r>
        <w:rPr>
          <w:highlight w:val="none"/>
        </w:rPr>
        <w:fldChar w:fldCharType="begin"/>
      </w:r>
      <w:r>
        <w:rPr>
          <w:highlight w:val="none"/>
        </w:rPr>
        <w:instrText xml:space="preserve"> PAGEREF _Toc12012 \h </w:instrText>
      </w:r>
      <w:r>
        <w:rPr>
          <w:highlight w:val="none"/>
        </w:rPr>
        <w:fldChar w:fldCharType="separate"/>
      </w:r>
      <w:r>
        <w:rPr>
          <w:highlight w:val="none"/>
        </w:rPr>
        <w:t>9</w:t>
      </w:r>
      <w:r>
        <w:rPr>
          <w:highlight w:val="none"/>
        </w:rPr>
        <w:fldChar w:fldCharType="end"/>
      </w:r>
      <w:r>
        <w:rPr>
          <w:rFonts w:hint="eastAsia" w:ascii="仿宋" w:hAnsi="仿宋" w:eastAsia="仿宋" w:cs="仿宋"/>
          <w:color w:val="auto"/>
          <w:highlight w:val="none"/>
        </w:rPr>
        <w:fldChar w:fldCharType="end"/>
      </w:r>
    </w:p>
    <w:p w14:paraId="0AD66C10">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_Toc23153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20.投标文件符合性审查与澄清</w:t>
      </w:r>
      <w:r>
        <w:rPr>
          <w:highlight w:val="none"/>
        </w:rPr>
        <w:tab/>
      </w:r>
      <w:r>
        <w:rPr>
          <w:highlight w:val="none"/>
        </w:rPr>
        <w:fldChar w:fldCharType="begin"/>
      </w:r>
      <w:r>
        <w:rPr>
          <w:highlight w:val="none"/>
        </w:rPr>
        <w:instrText xml:space="preserve"> PAGEREF _Toc23153 \h </w:instrText>
      </w:r>
      <w:r>
        <w:rPr>
          <w:highlight w:val="none"/>
        </w:rPr>
        <w:fldChar w:fldCharType="separate"/>
      </w:r>
      <w:r>
        <w:rPr>
          <w:highlight w:val="none"/>
        </w:rPr>
        <w:t>10</w:t>
      </w:r>
      <w:r>
        <w:rPr>
          <w:highlight w:val="none"/>
        </w:rPr>
        <w:fldChar w:fldCharType="end"/>
      </w:r>
      <w:r>
        <w:rPr>
          <w:rFonts w:hint="eastAsia" w:ascii="仿宋" w:hAnsi="仿宋" w:eastAsia="仿宋" w:cs="仿宋"/>
          <w:color w:val="auto"/>
          <w:highlight w:val="none"/>
        </w:rPr>
        <w:fldChar w:fldCharType="end"/>
      </w:r>
    </w:p>
    <w:p w14:paraId="693ACFD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_Toc6034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21.投标偏离</w:t>
      </w:r>
      <w:r>
        <w:rPr>
          <w:highlight w:val="none"/>
        </w:rPr>
        <w:tab/>
      </w:r>
      <w:r>
        <w:rPr>
          <w:highlight w:val="none"/>
        </w:rPr>
        <w:fldChar w:fldCharType="begin"/>
      </w:r>
      <w:r>
        <w:rPr>
          <w:highlight w:val="none"/>
        </w:rPr>
        <w:instrText xml:space="preserve"> PAGEREF _Toc6034 \h </w:instrText>
      </w:r>
      <w:r>
        <w:rPr>
          <w:highlight w:val="none"/>
        </w:rPr>
        <w:fldChar w:fldCharType="separate"/>
      </w:r>
      <w:r>
        <w:rPr>
          <w:highlight w:val="none"/>
        </w:rPr>
        <w:t>11</w:t>
      </w:r>
      <w:r>
        <w:rPr>
          <w:highlight w:val="none"/>
        </w:rPr>
        <w:fldChar w:fldCharType="end"/>
      </w:r>
      <w:r>
        <w:rPr>
          <w:rFonts w:hint="eastAsia" w:ascii="仿宋" w:hAnsi="仿宋" w:eastAsia="仿宋" w:cs="仿宋"/>
          <w:color w:val="auto"/>
          <w:highlight w:val="none"/>
        </w:rPr>
        <w:fldChar w:fldCharType="end"/>
      </w:r>
    </w:p>
    <w:p w14:paraId="301BB91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_Toc5457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22.投标无效</w:t>
      </w:r>
      <w:r>
        <w:rPr>
          <w:highlight w:val="none"/>
        </w:rPr>
        <w:tab/>
      </w:r>
      <w:r>
        <w:rPr>
          <w:highlight w:val="none"/>
        </w:rPr>
        <w:fldChar w:fldCharType="begin"/>
      </w:r>
      <w:r>
        <w:rPr>
          <w:highlight w:val="none"/>
        </w:rPr>
        <w:instrText xml:space="preserve"> PAGEREF _Toc5457 \h </w:instrText>
      </w:r>
      <w:r>
        <w:rPr>
          <w:highlight w:val="none"/>
        </w:rPr>
        <w:fldChar w:fldCharType="separate"/>
      </w:r>
      <w:r>
        <w:rPr>
          <w:highlight w:val="none"/>
        </w:rPr>
        <w:t>11</w:t>
      </w:r>
      <w:r>
        <w:rPr>
          <w:highlight w:val="none"/>
        </w:rPr>
        <w:fldChar w:fldCharType="end"/>
      </w:r>
      <w:r>
        <w:rPr>
          <w:rFonts w:hint="eastAsia" w:ascii="仿宋" w:hAnsi="仿宋" w:eastAsia="仿宋" w:cs="仿宋"/>
          <w:color w:val="auto"/>
          <w:highlight w:val="none"/>
        </w:rPr>
        <w:fldChar w:fldCharType="end"/>
      </w:r>
    </w:p>
    <w:p w14:paraId="0A1CE42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_Toc24607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24.废标</w:t>
      </w:r>
      <w:r>
        <w:rPr>
          <w:highlight w:val="none"/>
        </w:rPr>
        <w:tab/>
      </w:r>
      <w:r>
        <w:rPr>
          <w:highlight w:val="none"/>
        </w:rPr>
        <w:fldChar w:fldCharType="begin"/>
      </w:r>
      <w:r>
        <w:rPr>
          <w:highlight w:val="none"/>
        </w:rPr>
        <w:instrText xml:space="preserve"> PAGEREF _Toc24607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7C10DB9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_Toc18758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25.保密原则</w:t>
      </w:r>
      <w:r>
        <w:rPr>
          <w:highlight w:val="none"/>
        </w:rPr>
        <w:tab/>
      </w:r>
      <w:r>
        <w:rPr>
          <w:highlight w:val="none"/>
        </w:rPr>
        <w:fldChar w:fldCharType="begin"/>
      </w:r>
      <w:r>
        <w:rPr>
          <w:highlight w:val="none"/>
        </w:rPr>
        <w:instrText xml:space="preserve"> PAGEREF _Toc18758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54D2CEDB">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_Toc12298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六 确定中标</w:t>
      </w:r>
      <w:r>
        <w:rPr>
          <w:highlight w:val="none"/>
        </w:rPr>
        <w:tab/>
      </w:r>
      <w:r>
        <w:rPr>
          <w:highlight w:val="none"/>
        </w:rPr>
        <w:fldChar w:fldCharType="begin"/>
      </w:r>
      <w:r>
        <w:rPr>
          <w:highlight w:val="none"/>
        </w:rPr>
        <w:instrText xml:space="preserve"> PAGEREF _Toc12298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192DD4F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_Toc22599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26.中标候选人的确定原则及标准</w:t>
      </w:r>
      <w:r>
        <w:rPr>
          <w:highlight w:val="none"/>
        </w:rPr>
        <w:tab/>
      </w:r>
      <w:r>
        <w:rPr>
          <w:highlight w:val="none"/>
        </w:rPr>
        <w:fldChar w:fldCharType="begin"/>
      </w:r>
      <w:r>
        <w:rPr>
          <w:highlight w:val="none"/>
        </w:rPr>
        <w:instrText xml:space="preserve"> PAGEREF _Toc22599 \h </w:instrText>
      </w:r>
      <w:r>
        <w:rPr>
          <w:highlight w:val="none"/>
        </w:rPr>
        <w:fldChar w:fldCharType="separate"/>
      </w:r>
      <w:r>
        <w:rPr>
          <w:highlight w:val="none"/>
        </w:rPr>
        <w:t>12</w:t>
      </w:r>
      <w:r>
        <w:rPr>
          <w:highlight w:val="none"/>
        </w:rPr>
        <w:fldChar w:fldCharType="end"/>
      </w:r>
      <w:r>
        <w:rPr>
          <w:rFonts w:hint="eastAsia" w:ascii="仿宋" w:hAnsi="仿宋" w:eastAsia="仿宋" w:cs="仿宋"/>
          <w:color w:val="auto"/>
          <w:highlight w:val="none"/>
        </w:rPr>
        <w:fldChar w:fldCharType="end"/>
      </w:r>
    </w:p>
    <w:p w14:paraId="6A6B834B">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_Toc16479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27.确定中标候选人和中标人</w:t>
      </w:r>
      <w:r>
        <w:rPr>
          <w:highlight w:val="none"/>
        </w:rPr>
        <w:tab/>
      </w:r>
      <w:r>
        <w:rPr>
          <w:highlight w:val="none"/>
        </w:rPr>
        <w:fldChar w:fldCharType="begin"/>
      </w:r>
      <w:r>
        <w:rPr>
          <w:highlight w:val="none"/>
        </w:rPr>
        <w:instrText xml:space="preserve"> PAGEREF _Toc16479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7C3FAD6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_Toc16986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28.采购任务取消</w:t>
      </w:r>
      <w:r>
        <w:rPr>
          <w:highlight w:val="none"/>
        </w:rPr>
        <w:tab/>
      </w:r>
      <w:r>
        <w:rPr>
          <w:highlight w:val="none"/>
        </w:rPr>
        <w:fldChar w:fldCharType="begin"/>
      </w:r>
      <w:r>
        <w:rPr>
          <w:highlight w:val="none"/>
        </w:rPr>
        <w:instrText xml:space="preserve"> PAGEREF _Toc16986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2D4C74D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_Toc14229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29.中标通知书</w:t>
      </w:r>
      <w:r>
        <w:rPr>
          <w:highlight w:val="none"/>
        </w:rPr>
        <w:tab/>
      </w:r>
      <w:r>
        <w:rPr>
          <w:highlight w:val="none"/>
        </w:rPr>
        <w:fldChar w:fldCharType="begin"/>
      </w:r>
      <w:r>
        <w:rPr>
          <w:highlight w:val="none"/>
        </w:rPr>
        <w:instrText xml:space="preserve"> PAGEREF _Toc14229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6930139B">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_Toc10386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30.签订合同</w:t>
      </w:r>
      <w:r>
        <w:rPr>
          <w:highlight w:val="none"/>
        </w:rPr>
        <w:tab/>
      </w:r>
      <w:r>
        <w:rPr>
          <w:highlight w:val="none"/>
        </w:rPr>
        <w:fldChar w:fldCharType="begin"/>
      </w:r>
      <w:r>
        <w:rPr>
          <w:highlight w:val="none"/>
        </w:rPr>
        <w:instrText xml:space="preserve"> PAGEREF _Toc10386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2DB9815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_Toc23806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31.履约保证金</w:t>
      </w:r>
      <w:r>
        <w:rPr>
          <w:highlight w:val="none"/>
        </w:rPr>
        <w:tab/>
      </w:r>
      <w:r>
        <w:rPr>
          <w:highlight w:val="none"/>
        </w:rPr>
        <w:fldChar w:fldCharType="begin"/>
      </w:r>
      <w:r>
        <w:rPr>
          <w:highlight w:val="none"/>
        </w:rPr>
        <w:instrText xml:space="preserve"> PAGEREF _Toc23806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7BB22989">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_Toc32069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32.中标服务费</w:t>
      </w:r>
      <w:r>
        <w:rPr>
          <w:highlight w:val="none"/>
        </w:rPr>
        <w:tab/>
      </w:r>
      <w:r>
        <w:rPr>
          <w:highlight w:val="none"/>
        </w:rPr>
        <w:fldChar w:fldCharType="begin"/>
      </w:r>
      <w:r>
        <w:rPr>
          <w:highlight w:val="none"/>
        </w:rPr>
        <w:instrText xml:space="preserve"> PAGEREF _Toc32069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3B9C4E6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_Toc10427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33.政府采购信用担保</w:t>
      </w:r>
      <w:r>
        <w:rPr>
          <w:highlight w:val="none"/>
        </w:rPr>
        <w:tab/>
      </w:r>
      <w:r>
        <w:rPr>
          <w:highlight w:val="none"/>
        </w:rPr>
        <w:fldChar w:fldCharType="begin"/>
      </w:r>
      <w:r>
        <w:rPr>
          <w:highlight w:val="none"/>
        </w:rPr>
        <w:instrText xml:space="preserve"> PAGEREF _Toc10427 \h </w:instrText>
      </w:r>
      <w:r>
        <w:rPr>
          <w:highlight w:val="none"/>
        </w:rPr>
        <w:fldChar w:fldCharType="separate"/>
      </w:r>
      <w:r>
        <w:rPr>
          <w:highlight w:val="none"/>
        </w:rPr>
        <w:t>13</w:t>
      </w:r>
      <w:r>
        <w:rPr>
          <w:highlight w:val="none"/>
        </w:rPr>
        <w:fldChar w:fldCharType="end"/>
      </w:r>
      <w:r>
        <w:rPr>
          <w:rFonts w:hint="eastAsia" w:ascii="仿宋" w:hAnsi="仿宋" w:eastAsia="仿宋" w:cs="仿宋"/>
          <w:color w:val="auto"/>
          <w:highlight w:val="none"/>
        </w:rPr>
        <w:fldChar w:fldCharType="end"/>
      </w:r>
    </w:p>
    <w:p w14:paraId="578425F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_Toc29352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34.廉洁自律规定</w:t>
      </w:r>
      <w:r>
        <w:rPr>
          <w:highlight w:val="none"/>
        </w:rPr>
        <w:tab/>
      </w:r>
      <w:r>
        <w:rPr>
          <w:highlight w:val="none"/>
        </w:rPr>
        <w:fldChar w:fldCharType="begin"/>
      </w:r>
      <w:r>
        <w:rPr>
          <w:highlight w:val="none"/>
        </w:rPr>
        <w:instrText xml:space="preserve"> PAGEREF _Toc29352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0BA75DA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_Toc7266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35.人员回避</w:t>
      </w:r>
      <w:r>
        <w:rPr>
          <w:highlight w:val="none"/>
        </w:rPr>
        <w:tab/>
      </w:r>
      <w:r>
        <w:rPr>
          <w:highlight w:val="none"/>
        </w:rPr>
        <w:fldChar w:fldCharType="begin"/>
      </w:r>
      <w:r>
        <w:rPr>
          <w:highlight w:val="none"/>
        </w:rPr>
        <w:instrText xml:space="preserve"> PAGEREF _Toc7266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1B3BF7EC">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_Toc870 </w:instrText>
      </w:r>
      <w:r>
        <w:rPr>
          <w:rFonts w:hint="eastAsia" w:ascii="仿宋" w:hAnsi="仿宋" w:eastAsia="仿宋" w:cs="仿宋"/>
          <w:highlight w:val="none"/>
        </w:rPr>
        <w:fldChar w:fldCharType="separate"/>
      </w:r>
      <w:r>
        <w:rPr>
          <w:rFonts w:hint="eastAsia" w:ascii="仿宋" w:hAnsi="仿宋" w:eastAsia="仿宋" w:cs="仿宋"/>
          <w:szCs w:val="24"/>
          <w:highlight w:val="none"/>
          <w:lang w:eastAsia="zh-CN"/>
        </w:rPr>
        <w:t>36.质疑与接收</w:t>
      </w:r>
      <w:r>
        <w:rPr>
          <w:highlight w:val="none"/>
        </w:rPr>
        <w:tab/>
      </w:r>
      <w:r>
        <w:rPr>
          <w:highlight w:val="none"/>
        </w:rPr>
        <w:fldChar w:fldCharType="begin"/>
      </w:r>
      <w:r>
        <w:rPr>
          <w:highlight w:val="none"/>
        </w:rPr>
        <w:instrText xml:space="preserve"> PAGEREF _Toc870 \h </w:instrText>
      </w:r>
      <w:r>
        <w:rPr>
          <w:highlight w:val="none"/>
        </w:rPr>
        <w:fldChar w:fldCharType="separate"/>
      </w:r>
      <w:r>
        <w:rPr>
          <w:highlight w:val="none"/>
        </w:rPr>
        <w:t>14</w:t>
      </w:r>
      <w:r>
        <w:rPr>
          <w:highlight w:val="none"/>
        </w:rPr>
        <w:fldChar w:fldCharType="end"/>
      </w:r>
      <w:r>
        <w:rPr>
          <w:rFonts w:hint="eastAsia" w:ascii="仿宋" w:hAnsi="仿宋" w:eastAsia="仿宋" w:cs="仿宋"/>
          <w:color w:val="auto"/>
          <w:highlight w:val="none"/>
        </w:rPr>
        <w:fldChar w:fldCharType="end"/>
      </w:r>
    </w:p>
    <w:p w14:paraId="7E7292F9">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_Toc29106 </w:instrText>
      </w:r>
      <w:r>
        <w:rPr>
          <w:rFonts w:hint="eastAsia" w:ascii="仿宋" w:hAnsi="仿宋" w:eastAsia="仿宋" w:cs="仿宋"/>
          <w:highlight w:val="none"/>
        </w:rPr>
        <w:fldChar w:fldCharType="separate"/>
      </w:r>
      <w:r>
        <w:rPr>
          <w:rFonts w:hint="eastAsia" w:ascii="仿宋" w:hAnsi="仿宋" w:eastAsia="仿宋" w:cs="仿宋"/>
          <w:kern w:val="0"/>
          <w:szCs w:val="44"/>
          <w:highlight w:val="none"/>
          <w:lang w:eastAsia="zh-CN"/>
        </w:rPr>
        <w:t>第二章</w:t>
      </w:r>
      <w:r>
        <w:rPr>
          <w:rFonts w:hint="eastAsia" w:ascii="仿宋" w:hAnsi="仿宋" w:eastAsia="仿宋" w:cs="仿宋"/>
          <w:szCs w:val="44"/>
          <w:highlight w:val="none"/>
          <w:lang w:eastAsia="zh-CN"/>
        </w:rPr>
        <w:t xml:space="preserve">  投标文件格式</w:t>
      </w:r>
      <w:r>
        <w:rPr>
          <w:highlight w:val="none"/>
        </w:rPr>
        <w:tab/>
      </w:r>
      <w:r>
        <w:rPr>
          <w:highlight w:val="none"/>
        </w:rPr>
        <w:fldChar w:fldCharType="begin"/>
      </w:r>
      <w:r>
        <w:rPr>
          <w:highlight w:val="none"/>
        </w:rPr>
        <w:instrText xml:space="preserve"> PAGEREF _Toc29106 \h </w:instrText>
      </w:r>
      <w:r>
        <w:rPr>
          <w:highlight w:val="none"/>
        </w:rPr>
        <w:fldChar w:fldCharType="separate"/>
      </w:r>
      <w:r>
        <w:rPr>
          <w:highlight w:val="none"/>
        </w:rPr>
        <w:t>21</w:t>
      </w:r>
      <w:r>
        <w:rPr>
          <w:highlight w:val="none"/>
        </w:rPr>
        <w:fldChar w:fldCharType="end"/>
      </w:r>
      <w:r>
        <w:rPr>
          <w:rFonts w:hint="eastAsia" w:ascii="仿宋" w:hAnsi="仿宋" w:eastAsia="仿宋" w:cs="仿宋"/>
          <w:color w:val="auto"/>
          <w:highlight w:val="none"/>
        </w:rPr>
        <w:fldChar w:fldCharType="end"/>
      </w:r>
    </w:p>
    <w:p w14:paraId="2486E722">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_Toc3323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第一部分 开标一览表及资格证明文件</w:t>
      </w:r>
      <w:r>
        <w:rPr>
          <w:highlight w:val="none"/>
        </w:rPr>
        <w:tab/>
      </w:r>
      <w:r>
        <w:rPr>
          <w:highlight w:val="none"/>
        </w:rPr>
        <w:fldChar w:fldCharType="begin"/>
      </w:r>
      <w:r>
        <w:rPr>
          <w:highlight w:val="none"/>
        </w:rPr>
        <w:instrText xml:space="preserve"> PAGEREF _Toc3323 \h </w:instrText>
      </w:r>
      <w:r>
        <w:rPr>
          <w:highlight w:val="none"/>
        </w:rPr>
        <w:fldChar w:fldCharType="separate"/>
      </w:r>
      <w:r>
        <w:rPr>
          <w:highlight w:val="none"/>
        </w:rPr>
        <w:t>21</w:t>
      </w:r>
      <w:r>
        <w:rPr>
          <w:highlight w:val="none"/>
        </w:rPr>
        <w:fldChar w:fldCharType="end"/>
      </w:r>
      <w:r>
        <w:rPr>
          <w:rFonts w:hint="eastAsia" w:ascii="仿宋" w:hAnsi="仿宋" w:eastAsia="仿宋" w:cs="仿宋"/>
          <w:color w:val="auto"/>
          <w:highlight w:val="none"/>
        </w:rPr>
        <w:fldChar w:fldCharType="end"/>
      </w:r>
    </w:p>
    <w:p w14:paraId="2753D69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_Toc22537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1</w:t>
      </w:r>
      <w:r>
        <w:rPr>
          <w:rFonts w:hint="eastAsia" w:ascii="仿宋" w:hAnsi="仿宋" w:eastAsia="仿宋" w:cs="仿宋"/>
          <w:highlight w:val="none"/>
          <w:lang w:eastAsia="zh-CN"/>
        </w:rPr>
        <w:t xml:space="preserve">  法人或者非法人组织的营业执照等证明文件</w:t>
      </w:r>
      <w:r>
        <w:rPr>
          <w:highlight w:val="none"/>
        </w:rPr>
        <w:tab/>
      </w:r>
      <w:r>
        <w:rPr>
          <w:highlight w:val="none"/>
        </w:rPr>
        <w:fldChar w:fldCharType="begin"/>
      </w:r>
      <w:r>
        <w:rPr>
          <w:highlight w:val="none"/>
        </w:rPr>
        <w:instrText xml:space="preserve"> PAGEREF _Toc22537 \h </w:instrText>
      </w:r>
      <w:r>
        <w:rPr>
          <w:highlight w:val="none"/>
        </w:rPr>
        <w:fldChar w:fldCharType="separate"/>
      </w:r>
      <w:r>
        <w:rPr>
          <w:highlight w:val="none"/>
        </w:rPr>
        <w:t>22</w:t>
      </w:r>
      <w:r>
        <w:rPr>
          <w:highlight w:val="none"/>
        </w:rPr>
        <w:fldChar w:fldCharType="end"/>
      </w:r>
      <w:r>
        <w:rPr>
          <w:rFonts w:hint="eastAsia" w:ascii="仿宋" w:hAnsi="仿宋" w:eastAsia="仿宋" w:cs="仿宋"/>
          <w:color w:val="auto"/>
          <w:highlight w:val="none"/>
        </w:rPr>
        <w:fldChar w:fldCharType="end"/>
      </w:r>
    </w:p>
    <w:p w14:paraId="546FA797">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_Toc29141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2  法人身份证明或法人授权委托书</w:t>
      </w:r>
      <w:r>
        <w:rPr>
          <w:highlight w:val="none"/>
        </w:rPr>
        <w:tab/>
      </w:r>
      <w:r>
        <w:rPr>
          <w:highlight w:val="none"/>
        </w:rPr>
        <w:fldChar w:fldCharType="begin"/>
      </w:r>
      <w:r>
        <w:rPr>
          <w:highlight w:val="none"/>
        </w:rPr>
        <w:instrText xml:space="preserve"> PAGEREF _Toc29141 \h </w:instrText>
      </w:r>
      <w:r>
        <w:rPr>
          <w:highlight w:val="none"/>
        </w:rPr>
        <w:fldChar w:fldCharType="separate"/>
      </w:r>
      <w:r>
        <w:rPr>
          <w:highlight w:val="none"/>
        </w:rPr>
        <w:t>22</w:t>
      </w:r>
      <w:r>
        <w:rPr>
          <w:highlight w:val="none"/>
        </w:rPr>
        <w:fldChar w:fldCharType="end"/>
      </w:r>
      <w:r>
        <w:rPr>
          <w:rFonts w:hint="eastAsia" w:ascii="仿宋" w:hAnsi="仿宋" w:eastAsia="仿宋" w:cs="仿宋"/>
          <w:color w:val="auto"/>
          <w:highlight w:val="none"/>
        </w:rPr>
        <w:fldChar w:fldCharType="end"/>
      </w:r>
    </w:p>
    <w:p w14:paraId="3E2C0C4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_Toc32382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3</w:t>
      </w:r>
      <w:r>
        <w:rPr>
          <w:rFonts w:hint="eastAsia" w:ascii="仿宋" w:hAnsi="仿宋" w:eastAsia="仿宋" w:cs="仿宋"/>
          <w:highlight w:val="none"/>
          <w:lang w:eastAsia="zh-CN"/>
        </w:rPr>
        <w:t xml:space="preserve">  投标保证金缴纳凭证复印件或银行保函复印件</w:t>
      </w:r>
      <w:r>
        <w:rPr>
          <w:highlight w:val="none"/>
        </w:rPr>
        <w:tab/>
      </w:r>
      <w:r>
        <w:rPr>
          <w:highlight w:val="none"/>
        </w:rPr>
        <w:fldChar w:fldCharType="begin"/>
      </w:r>
      <w:r>
        <w:rPr>
          <w:highlight w:val="none"/>
        </w:rPr>
        <w:instrText xml:space="preserve"> PAGEREF _Toc32382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22D75B8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_Toc10632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4</w:t>
      </w:r>
      <w:r>
        <w:rPr>
          <w:rFonts w:hint="eastAsia" w:ascii="仿宋" w:hAnsi="仿宋" w:eastAsia="仿宋" w:cs="仿宋"/>
          <w:highlight w:val="none"/>
          <w:lang w:eastAsia="zh-CN"/>
        </w:rPr>
        <w:t xml:space="preserve">  投标企业依法缴纳近</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个月任意一个月社会保险的凭据</w:t>
      </w:r>
      <w:r>
        <w:rPr>
          <w:highlight w:val="none"/>
        </w:rPr>
        <w:tab/>
      </w:r>
      <w:r>
        <w:rPr>
          <w:highlight w:val="none"/>
        </w:rPr>
        <w:fldChar w:fldCharType="begin"/>
      </w:r>
      <w:r>
        <w:rPr>
          <w:highlight w:val="none"/>
        </w:rPr>
        <w:instrText xml:space="preserve"> PAGEREF _Toc10632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0AA34B3E">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_Toc22473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eastAsia="zh-CN"/>
        </w:rPr>
        <w:t xml:space="preserve">  投标企业提供税务部门出具的近</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个月任意一个月的完税证明</w:t>
      </w:r>
      <w:r>
        <w:rPr>
          <w:highlight w:val="none"/>
        </w:rPr>
        <w:tab/>
      </w:r>
      <w:r>
        <w:rPr>
          <w:highlight w:val="none"/>
        </w:rPr>
        <w:fldChar w:fldCharType="begin"/>
      </w:r>
      <w:r>
        <w:rPr>
          <w:highlight w:val="none"/>
        </w:rPr>
        <w:instrText xml:space="preserve"> PAGEREF _Toc22473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117CCD50">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_Toc6041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 xml:space="preserve">6  </w:t>
      </w:r>
      <w:r>
        <w:rPr>
          <w:rFonts w:hint="eastAsia" w:ascii="仿宋" w:hAnsi="仿宋" w:eastAsia="仿宋" w:cs="仿宋"/>
          <w:highlight w:val="none"/>
          <w:lang w:eastAsia="zh-CN"/>
        </w:rPr>
        <w:t>近两年任意一年完整的财务审计报告（新成立公司提供开标前三个月内任意一个月有效银行资信证明）</w:t>
      </w:r>
      <w:r>
        <w:rPr>
          <w:highlight w:val="none"/>
        </w:rPr>
        <w:tab/>
      </w:r>
      <w:r>
        <w:rPr>
          <w:highlight w:val="none"/>
        </w:rPr>
        <w:fldChar w:fldCharType="begin"/>
      </w:r>
      <w:r>
        <w:rPr>
          <w:highlight w:val="none"/>
        </w:rPr>
        <w:instrText xml:space="preserve"> PAGEREF _Toc6041 \h </w:instrText>
      </w:r>
      <w:r>
        <w:rPr>
          <w:highlight w:val="none"/>
        </w:rPr>
        <w:fldChar w:fldCharType="separate"/>
      </w:r>
      <w:r>
        <w:rPr>
          <w:highlight w:val="none"/>
        </w:rPr>
        <w:t>24</w:t>
      </w:r>
      <w:r>
        <w:rPr>
          <w:highlight w:val="none"/>
        </w:rPr>
        <w:fldChar w:fldCharType="end"/>
      </w:r>
      <w:r>
        <w:rPr>
          <w:rFonts w:hint="eastAsia" w:ascii="仿宋" w:hAnsi="仿宋" w:eastAsia="仿宋" w:cs="仿宋"/>
          <w:color w:val="auto"/>
          <w:highlight w:val="none"/>
        </w:rPr>
        <w:fldChar w:fldCharType="end"/>
      </w:r>
    </w:p>
    <w:p w14:paraId="34321F0C">
      <w:pPr>
        <w:pStyle w:val="19"/>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_Toc11868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第二部分</w:t>
      </w:r>
      <w:r>
        <w:rPr>
          <w:rFonts w:hint="eastAsia" w:ascii="仿宋" w:hAnsi="仿宋" w:eastAsia="仿宋" w:cs="仿宋"/>
          <w:szCs w:val="24"/>
          <w:highlight w:val="none"/>
          <w:lang w:eastAsia="zh-CN"/>
        </w:rPr>
        <w:t xml:space="preserve"> 商务及技术文件</w:t>
      </w:r>
      <w:r>
        <w:rPr>
          <w:highlight w:val="none"/>
        </w:rPr>
        <w:tab/>
      </w:r>
      <w:r>
        <w:rPr>
          <w:highlight w:val="none"/>
        </w:rPr>
        <w:fldChar w:fldCharType="begin"/>
      </w:r>
      <w:r>
        <w:rPr>
          <w:highlight w:val="none"/>
        </w:rPr>
        <w:instrText xml:space="preserve"> PAGEREF _Toc11868 \h </w:instrText>
      </w:r>
      <w:r>
        <w:rPr>
          <w:highlight w:val="none"/>
        </w:rPr>
        <w:fldChar w:fldCharType="separate"/>
      </w:r>
      <w:r>
        <w:rPr>
          <w:highlight w:val="none"/>
        </w:rPr>
        <w:t>25</w:t>
      </w:r>
      <w:r>
        <w:rPr>
          <w:highlight w:val="none"/>
        </w:rPr>
        <w:fldChar w:fldCharType="end"/>
      </w:r>
      <w:r>
        <w:rPr>
          <w:rFonts w:hint="eastAsia" w:ascii="仿宋" w:hAnsi="仿宋" w:eastAsia="仿宋" w:cs="仿宋"/>
          <w:color w:val="auto"/>
          <w:highlight w:val="none"/>
        </w:rPr>
        <w:fldChar w:fldCharType="end"/>
      </w:r>
    </w:p>
    <w:p w14:paraId="585FDBC4">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_Toc1452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1  投标书</w:t>
      </w:r>
      <w:r>
        <w:rPr>
          <w:highlight w:val="none"/>
        </w:rPr>
        <w:tab/>
      </w:r>
      <w:r>
        <w:rPr>
          <w:highlight w:val="none"/>
        </w:rPr>
        <w:fldChar w:fldCharType="begin"/>
      </w:r>
      <w:r>
        <w:rPr>
          <w:highlight w:val="none"/>
        </w:rPr>
        <w:instrText xml:space="preserve"> PAGEREF _Toc1452 \h </w:instrText>
      </w:r>
      <w:r>
        <w:rPr>
          <w:highlight w:val="none"/>
        </w:rPr>
        <w:fldChar w:fldCharType="separate"/>
      </w:r>
      <w:r>
        <w:rPr>
          <w:highlight w:val="none"/>
        </w:rPr>
        <w:t>26</w:t>
      </w:r>
      <w:r>
        <w:rPr>
          <w:highlight w:val="none"/>
        </w:rPr>
        <w:fldChar w:fldCharType="end"/>
      </w:r>
      <w:r>
        <w:rPr>
          <w:rFonts w:hint="eastAsia" w:ascii="仿宋" w:hAnsi="仿宋" w:eastAsia="仿宋" w:cs="仿宋"/>
          <w:color w:val="auto"/>
          <w:highlight w:val="none"/>
        </w:rPr>
        <w:fldChar w:fldCharType="end"/>
      </w:r>
    </w:p>
    <w:p w14:paraId="6D29B2A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_Toc4701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2</w:t>
      </w:r>
      <w:r>
        <w:rPr>
          <w:rFonts w:hint="eastAsia" w:ascii="仿宋" w:hAnsi="仿宋" w:eastAsia="仿宋" w:cs="仿宋"/>
          <w:highlight w:val="none"/>
          <w:lang w:eastAsia="zh-CN"/>
        </w:rPr>
        <w:t xml:space="preserve">  开标一览表</w:t>
      </w:r>
      <w:r>
        <w:rPr>
          <w:highlight w:val="none"/>
        </w:rPr>
        <w:tab/>
      </w:r>
      <w:r>
        <w:rPr>
          <w:highlight w:val="none"/>
        </w:rPr>
        <w:fldChar w:fldCharType="begin"/>
      </w:r>
      <w:r>
        <w:rPr>
          <w:highlight w:val="none"/>
        </w:rPr>
        <w:instrText xml:space="preserve"> PAGEREF _Toc4701 \h </w:instrText>
      </w:r>
      <w:r>
        <w:rPr>
          <w:highlight w:val="none"/>
        </w:rPr>
        <w:fldChar w:fldCharType="separate"/>
      </w:r>
      <w:r>
        <w:rPr>
          <w:highlight w:val="none"/>
        </w:rPr>
        <w:t>27</w:t>
      </w:r>
      <w:r>
        <w:rPr>
          <w:highlight w:val="none"/>
        </w:rPr>
        <w:fldChar w:fldCharType="end"/>
      </w:r>
      <w:r>
        <w:rPr>
          <w:rFonts w:hint="eastAsia" w:ascii="仿宋" w:hAnsi="仿宋" w:eastAsia="仿宋" w:cs="仿宋"/>
          <w:color w:val="auto"/>
          <w:highlight w:val="none"/>
        </w:rPr>
        <w:fldChar w:fldCharType="end"/>
      </w:r>
    </w:p>
    <w:p w14:paraId="5BD41179">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_Toc17435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3</w:t>
      </w:r>
      <w:r>
        <w:rPr>
          <w:rFonts w:hint="eastAsia" w:ascii="仿宋" w:hAnsi="仿宋" w:eastAsia="仿宋" w:cs="仿宋"/>
          <w:highlight w:val="none"/>
          <w:lang w:eastAsia="zh-CN"/>
        </w:rPr>
        <w:t xml:space="preserve">  投标分项报价表</w:t>
      </w:r>
      <w:r>
        <w:rPr>
          <w:highlight w:val="none"/>
        </w:rPr>
        <w:tab/>
      </w:r>
      <w:r>
        <w:rPr>
          <w:highlight w:val="none"/>
        </w:rPr>
        <w:fldChar w:fldCharType="begin"/>
      </w:r>
      <w:r>
        <w:rPr>
          <w:highlight w:val="none"/>
        </w:rPr>
        <w:instrText xml:space="preserve"> PAGEREF _Toc17435 \h </w:instrText>
      </w:r>
      <w:r>
        <w:rPr>
          <w:highlight w:val="none"/>
        </w:rPr>
        <w:fldChar w:fldCharType="separate"/>
      </w:r>
      <w:r>
        <w:rPr>
          <w:highlight w:val="none"/>
        </w:rPr>
        <w:t>28</w:t>
      </w:r>
      <w:r>
        <w:rPr>
          <w:highlight w:val="none"/>
        </w:rPr>
        <w:fldChar w:fldCharType="end"/>
      </w:r>
      <w:r>
        <w:rPr>
          <w:rFonts w:hint="eastAsia" w:ascii="仿宋" w:hAnsi="仿宋" w:eastAsia="仿宋" w:cs="仿宋"/>
          <w:color w:val="auto"/>
          <w:highlight w:val="none"/>
        </w:rPr>
        <w:fldChar w:fldCharType="end"/>
      </w:r>
    </w:p>
    <w:p w14:paraId="44AD7C9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_Toc14433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4</w:t>
      </w:r>
      <w:r>
        <w:rPr>
          <w:rFonts w:hint="eastAsia" w:ascii="仿宋" w:hAnsi="仿宋" w:eastAsia="仿宋" w:cs="仿宋"/>
          <w:highlight w:val="none"/>
          <w:lang w:eastAsia="zh-CN"/>
        </w:rPr>
        <w:t xml:space="preserve"> 技术规格偏离表</w:t>
      </w:r>
      <w:r>
        <w:rPr>
          <w:highlight w:val="none"/>
        </w:rPr>
        <w:tab/>
      </w:r>
      <w:r>
        <w:rPr>
          <w:highlight w:val="none"/>
        </w:rPr>
        <w:fldChar w:fldCharType="begin"/>
      </w:r>
      <w:r>
        <w:rPr>
          <w:highlight w:val="none"/>
        </w:rPr>
        <w:instrText xml:space="preserve"> PAGEREF _Toc14433 \h </w:instrText>
      </w:r>
      <w:r>
        <w:rPr>
          <w:highlight w:val="none"/>
        </w:rPr>
        <w:fldChar w:fldCharType="separate"/>
      </w:r>
      <w:r>
        <w:rPr>
          <w:highlight w:val="none"/>
        </w:rPr>
        <w:t>29</w:t>
      </w:r>
      <w:r>
        <w:rPr>
          <w:highlight w:val="none"/>
        </w:rPr>
        <w:fldChar w:fldCharType="end"/>
      </w:r>
      <w:r>
        <w:rPr>
          <w:rFonts w:hint="eastAsia" w:ascii="仿宋" w:hAnsi="仿宋" w:eastAsia="仿宋" w:cs="仿宋"/>
          <w:color w:val="auto"/>
          <w:highlight w:val="none"/>
        </w:rPr>
        <w:fldChar w:fldCharType="end"/>
      </w:r>
    </w:p>
    <w:p w14:paraId="0F217C9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_Toc19514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eastAsia="zh-CN"/>
        </w:rPr>
        <w:t xml:space="preserve"> 商务条款偏离表</w:t>
      </w:r>
      <w:r>
        <w:rPr>
          <w:highlight w:val="none"/>
        </w:rPr>
        <w:tab/>
      </w:r>
      <w:r>
        <w:rPr>
          <w:highlight w:val="none"/>
        </w:rPr>
        <w:fldChar w:fldCharType="begin"/>
      </w:r>
      <w:r>
        <w:rPr>
          <w:highlight w:val="none"/>
        </w:rPr>
        <w:instrText xml:space="preserve"> PAGEREF _Toc19514 \h </w:instrText>
      </w:r>
      <w:r>
        <w:rPr>
          <w:highlight w:val="none"/>
        </w:rPr>
        <w:fldChar w:fldCharType="separate"/>
      </w:r>
      <w:r>
        <w:rPr>
          <w:highlight w:val="none"/>
        </w:rPr>
        <w:t>30</w:t>
      </w:r>
      <w:r>
        <w:rPr>
          <w:highlight w:val="none"/>
        </w:rPr>
        <w:fldChar w:fldCharType="end"/>
      </w:r>
      <w:r>
        <w:rPr>
          <w:rFonts w:hint="eastAsia" w:ascii="仿宋" w:hAnsi="仿宋" w:eastAsia="仿宋" w:cs="仿宋"/>
          <w:color w:val="auto"/>
          <w:highlight w:val="none"/>
        </w:rPr>
        <w:fldChar w:fldCharType="end"/>
      </w:r>
    </w:p>
    <w:p w14:paraId="7DF0EF36">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_Toc22301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6-1 中小企业声明函</w:t>
      </w:r>
      <w:r>
        <w:rPr>
          <w:rFonts w:hint="eastAsia" w:ascii="仿宋" w:hAnsi="仿宋" w:eastAsia="仿宋" w:cs="仿宋"/>
          <w:color w:val="0000FF"/>
          <w:highlight w:val="none"/>
          <w:lang w:val="en-US" w:eastAsia="zh-CN"/>
        </w:rPr>
        <w:t>（货物）</w:t>
      </w:r>
      <w:r>
        <w:rPr>
          <w:highlight w:val="none"/>
        </w:rPr>
        <w:tab/>
      </w:r>
      <w:r>
        <w:rPr>
          <w:highlight w:val="none"/>
        </w:rPr>
        <w:fldChar w:fldCharType="begin"/>
      </w:r>
      <w:r>
        <w:rPr>
          <w:highlight w:val="none"/>
        </w:rPr>
        <w:instrText xml:space="preserve"> PAGEREF _Toc22301 \h </w:instrText>
      </w:r>
      <w:r>
        <w:rPr>
          <w:highlight w:val="none"/>
        </w:rPr>
        <w:fldChar w:fldCharType="separate"/>
      </w:r>
      <w:r>
        <w:rPr>
          <w:highlight w:val="none"/>
        </w:rPr>
        <w:t>31</w:t>
      </w:r>
      <w:r>
        <w:rPr>
          <w:highlight w:val="none"/>
        </w:rPr>
        <w:fldChar w:fldCharType="end"/>
      </w:r>
      <w:r>
        <w:rPr>
          <w:rFonts w:hint="eastAsia" w:ascii="仿宋" w:hAnsi="仿宋" w:eastAsia="仿宋" w:cs="仿宋"/>
          <w:color w:val="auto"/>
          <w:highlight w:val="none"/>
        </w:rPr>
        <w:fldChar w:fldCharType="end"/>
      </w:r>
    </w:p>
    <w:p w14:paraId="244ADC2F">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_Toc23003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eastAsia="zh-CN"/>
        </w:rPr>
        <w:t>-2 残疾人福利性单位声明函（若无，可不填）</w:t>
      </w:r>
      <w:r>
        <w:rPr>
          <w:highlight w:val="none"/>
        </w:rPr>
        <w:tab/>
      </w:r>
      <w:r>
        <w:rPr>
          <w:highlight w:val="none"/>
        </w:rPr>
        <w:fldChar w:fldCharType="begin"/>
      </w:r>
      <w:r>
        <w:rPr>
          <w:highlight w:val="none"/>
        </w:rPr>
        <w:instrText xml:space="preserve"> PAGEREF _Toc23003 \h </w:instrText>
      </w:r>
      <w:r>
        <w:rPr>
          <w:highlight w:val="none"/>
        </w:rPr>
        <w:fldChar w:fldCharType="separate"/>
      </w:r>
      <w:r>
        <w:rPr>
          <w:highlight w:val="none"/>
        </w:rPr>
        <w:t>34</w:t>
      </w:r>
      <w:r>
        <w:rPr>
          <w:highlight w:val="none"/>
        </w:rPr>
        <w:fldChar w:fldCharType="end"/>
      </w:r>
      <w:r>
        <w:rPr>
          <w:rFonts w:hint="eastAsia" w:ascii="仿宋" w:hAnsi="仿宋" w:eastAsia="仿宋" w:cs="仿宋"/>
          <w:color w:val="auto"/>
          <w:highlight w:val="none"/>
        </w:rPr>
        <w:fldChar w:fldCharType="end"/>
      </w:r>
    </w:p>
    <w:p w14:paraId="1E318318">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_Toc17247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eastAsia="zh-CN"/>
        </w:rPr>
        <w:t>-3</w:t>
      </w:r>
      <w:r>
        <w:rPr>
          <w:rFonts w:hint="eastAsia" w:ascii="仿宋" w:hAnsi="仿宋" w:eastAsia="仿宋" w:cs="仿宋"/>
          <w:highlight w:val="none"/>
          <w:lang w:val="en-US" w:eastAsia="zh-CN"/>
        </w:rPr>
        <w:t xml:space="preserve"> </w:t>
      </w:r>
      <w:r>
        <w:rPr>
          <w:rFonts w:hint="eastAsia" w:ascii="仿宋" w:hAnsi="仿宋" w:eastAsia="仿宋" w:cs="仿宋"/>
          <w:highlight w:val="none"/>
          <w:lang w:eastAsia="zh-CN"/>
        </w:rPr>
        <w:t>监狱企业声明函（若无，可不填）</w:t>
      </w:r>
      <w:r>
        <w:rPr>
          <w:highlight w:val="none"/>
        </w:rPr>
        <w:tab/>
      </w:r>
      <w:r>
        <w:rPr>
          <w:highlight w:val="none"/>
        </w:rPr>
        <w:fldChar w:fldCharType="begin"/>
      </w:r>
      <w:r>
        <w:rPr>
          <w:highlight w:val="none"/>
        </w:rPr>
        <w:instrText xml:space="preserve"> PAGEREF _Toc17247 \h </w:instrText>
      </w:r>
      <w:r>
        <w:rPr>
          <w:highlight w:val="none"/>
        </w:rPr>
        <w:fldChar w:fldCharType="separate"/>
      </w:r>
      <w:r>
        <w:rPr>
          <w:highlight w:val="none"/>
        </w:rPr>
        <w:t>34</w:t>
      </w:r>
      <w:r>
        <w:rPr>
          <w:highlight w:val="none"/>
        </w:rPr>
        <w:fldChar w:fldCharType="end"/>
      </w:r>
      <w:r>
        <w:rPr>
          <w:rFonts w:hint="eastAsia" w:ascii="仿宋" w:hAnsi="仿宋" w:eastAsia="仿宋" w:cs="仿宋"/>
          <w:color w:val="auto"/>
          <w:highlight w:val="none"/>
        </w:rPr>
        <w:fldChar w:fldCharType="end"/>
      </w:r>
    </w:p>
    <w:p w14:paraId="15FC39E3">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_Toc24012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6-4 节能、环境标志产品（若本项目采购内容中无以下清单货物，可不填）</w:t>
      </w:r>
      <w:r>
        <w:rPr>
          <w:highlight w:val="none"/>
        </w:rPr>
        <w:tab/>
      </w:r>
      <w:r>
        <w:rPr>
          <w:highlight w:val="none"/>
        </w:rPr>
        <w:fldChar w:fldCharType="begin"/>
      </w:r>
      <w:r>
        <w:rPr>
          <w:highlight w:val="none"/>
        </w:rPr>
        <w:instrText xml:space="preserve"> PAGEREF _Toc24012 \h </w:instrText>
      </w:r>
      <w:r>
        <w:rPr>
          <w:highlight w:val="none"/>
        </w:rPr>
        <w:fldChar w:fldCharType="separate"/>
      </w:r>
      <w:r>
        <w:rPr>
          <w:highlight w:val="none"/>
        </w:rPr>
        <w:t>35</w:t>
      </w:r>
      <w:r>
        <w:rPr>
          <w:highlight w:val="none"/>
        </w:rPr>
        <w:fldChar w:fldCharType="end"/>
      </w:r>
      <w:r>
        <w:rPr>
          <w:rFonts w:hint="eastAsia" w:ascii="仿宋" w:hAnsi="仿宋" w:eastAsia="仿宋" w:cs="仿宋"/>
          <w:color w:val="auto"/>
          <w:highlight w:val="none"/>
        </w:rPr>
        <w:fldChar w:fldCharType="end"/>
      </w:r>
    </w:p>
    <w:p w14:paraId="4CC2EB0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_Toc17677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lang w:eastAsia="zh-CN"/>
        </w:rPr>
        <w:t xml:space="preserve"> 投标文件还应包括第五章、综合评分表的所有技术文件</w:t>
      </w:r>
      <w:r>
        <w:rPr>
          <w:highlight w:val="none"/>
        </w:rPr>
        <w:tab/>
      </w:r>
      <w:r>
        <w:rPr>
          <w:highlight w:val="none"/>
        </w:rPr>
        <w:fldChar w:fldCharType="begin"/>
      </w:r>
      <w:r>
        <w:rPr>
          <w:highlight w:val="none"/>
        </w:rPr>
        <w:instrText xml:space="preserve"> PAGEREF _Toc17677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5F19E61B">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_Toc31074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lang w:eastAsia="zh-CN"/>
        </w:rPr>
        <w:t xml:space="preserve"> 投标人关联单位的说明</w:t>
      </w:r>
      <w:r>
        <w:rPr>
          <w:highlight w:val="none"/>
        </w:rPr>
        <w:tab/>
      </w:r>
      <w:r>
        <w:rPr>
          <w:highlight w:val="none"/>
        </w:rPr>
        <w:fldChar w:fldCharType="begin"/>
      </w:r>
      <w:r>
        <w:rPr>
          <w:highlight w:val="none"/>
        </w:rPr>
        <w:instrText xml:space="preserve"> PAGEREF _Toc31074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0A9DB041">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_Toc13576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9</w:t>
      </w:r>
      <w:r>
        <w:rPr>
          <w:rFonts w:hint="eastAsia" w:ascii="仿宋" w:hAnsi="仿宋" w:eastAsia="仿宋" w:cs="仿宋"/>
          <w:highlight w:val="none"/>
          <w:lang w:eastAsia="zh-CN"/>
        </w:rPr>
        <w:t xml:space="preserve"> 其他有利于投标人的文件或证明材料</w:t>
      </w:r>
      <w:r>
        <w:rPr>
          <w:highlight w:val="none"/>
        </w:rPr>
        <w:tab/>
      </w:r>
      <w:r>
        <w:rPr>
          <w:highlight w:val="none"/>
        </w:rPr>
        <w:fldChar w:fldCharType="begin"/>
      </w:r>
      <w:r>
        <w:rPr>
          <w:highlight w:val="none"/>
        </w:rPr>
        <w:instrText xml:space="preserve"> PAGEREF _Toc13576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309D7F52">
      <w:pPr>
        <w:pStyle w:val="11"/>
        <w:tabs>
          <w:tab w:val="right" w:leader="dot" w:pos="9786"/>
          <w:tab w:val="clear" w:pos="1260"/>
          <w:tab w:val="clear" w:pos="8630"/>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_Toc29526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10</w:t>
      </w:r>
      <w:r>
        <w:rPr>
          <w:rFonts w:hint="eastAsia" w:ascii="仿宋" w:hAnsi="仿宋" w:eastAsia="仿宋" w:cs="仿宋"/>
          <w:highlight w:val="none"/>
          <w:lang w:eastAsia="zh-CN"/>
        </w:rPr>
        <w:t xml:space="preserve"> 对本项目投标文件（响应文件）中资料真实性的承诺</w:t>
      </w:r>
      <w:r>
        <w:rPr>
          <w:highlight w:val="none"/>
        </w:rPr>
        <w:tab/>
      </w:r>
      <w:r>
        <w:rPr>
          <w:highlight w:val="none"/>
        </w:rPr>
        <w:fldChar w:fldCharType="begin"/>
      </w:r>
      <w:r>
        <w:rPr>
          <w:highlight w:val="none"/>
        </w:rPr>
        <w:instrText xml:space="preserve"> PAGEREF _Toc29526 \h </w:instrText>
      </w:r>
      <w:r>
        <w:rPr>
          <w:highlight w:val="none"/>
        </w:rPr>
        <w:fldChar w:fldCharType="separate"/>
      </w:r>
      <w:r>
        <w:rPr>
          <w:highlight w:val="none"/>
        </w:rPr>
        <w:t>36</w:t>
      </w:r>
      <w:r>
        <w:rPr>
          <w:highlight w:val="none"/>
        </w:rPr>
        <w:fldChar w:fldCharType="end"/>
      </w:r>
      <w:r>
        <w:rPr>
          <w:rFonts w:hint="eastAsia" w:ascii="仿宋" w:hAnsi="仿宋" w:eastAsia="仿宋" w:cs="仿宋"/>
          <w:color w:val="auto"/>
          <w:highlight w:val="none"/>
        </w:rPr>
        <w:fldChar w:fldCharType="end"/>
      </w:r>
    </w:p>
    <w:p w14:paraId="5C53FE4A">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_Toc13081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第三章  投标邀请</w:t>
      </w:r>
      <w:r>
        <w:rPr>
          <w:highlight w:val="none"/>
        </w:rPr>
        <w:tab/>
      </w:r>
      <w:r>
        <w:rPr>
          <w:highlight w:val="none"/>
        </w:rPr>
        <w:fldChar w:fldCharType="begin"/>
      </w:r>
      <w:r>
        <w:rPr>
          <w:highlight w:val="none"/>
        </w:rPr>
        <w:instrText xml:space="preserve"> PAGEREF _Toc13081 \h </w:instrText>
      </w:r>
      <w:r>
        <w:rPr>
          <w:highlight w:val="none"/>
        </w:rPr>
        <w:fldChar w:fldCharType="separate"/>
      </w:r>
      <w:r>
        <w:rPr>
          <w:highlight w:val="none"/>
        </w:rPr>
        <w:t>38</w:t>
      </w:r>
      <w:r>
        <w:rPr>
          <w:highlight w:val="none"/>
        </w:rPr>
        <w:fldChar w:fldCharType="end"/>
      </w:r>
      <w:r>
        <w:rPr>
          <w:rFonts w:hint="eastAsia" w:ascii="仿宋" w:hAnsi="仿宋" w:eastAsia="仿宋" w:cs="仿宋"/>
          <w:color w:val="auto"/>
          <w:highlight w:val="none"/>
        </w:rPr>
        <w:fldChar w:fldCharType="end"/>
      </w:r>
    </w:p>
    <w:p w14:paraId="6E172F21">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_Toc22648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第四章  投标人须知资料表</w:t>
      </w:r>
      <w:r>
        <w:rPr>
          <w:highlight w:val="none"/>
        </w:rPr>
        <w:tab/>
      </w:r>
      <w:r>
        <w:rPr>
          <w:highlight w:val="none"/>
        </w:rPr>
        <w:fldChar w:fldCharType="begin"/>
      </w:r>
      <w:r>
        <w:rPr>
          <w:highlight w:val="none"/>
        </w:rPr>
        <w:instrText xml:space="preserve"> PAGEREF _Toc22648 \h </w:instrText>
      </w:r>
      <w:r>
        <w:rPr>
          <w:highlight w:val="none"/>
        </w:rPr>
        <w:fldChar w:fldCharType="separate"/>
      </w:r>
      <w:r>
        <w:rPr>
          <w:highlight w:val="none"/>
        </w:rPr>
        <w:t>40</w:t>
      </w:r>
      <w:r>
        <w:rPr>
          <w:highlight w:val="none"/>
        </w:rPr>
        <w:fldChar w:fldCharType="end"/>
      </w:r>
      <w:r>
        <w:rPr>
          <w:rFonts w:hint="eastAsia" w:ascii="仿宋" w:hAnsi="仿宋" w:eastAsia="仿宋" w:cs="仿宋"/>
          <w:color w:val="auto"/>
          <w:highlight w:val="none"/>
        </w:rPr>
        <w:fldChar w:fldCharType="end"/>
      </w:r>
    </w:p>
    <w:p w14:paraId="24A77F14">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_Toc31830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第五章  货物需求一览表及技术规格</w:t>
      </w:r>
      <w:r>
        <w:rPr>
          <w:highlight w:val="none"/>
        </w:rPr>
        <w:tab/>
      </w:r>
      <w:r>
        <w:rPr>
          <w:highlight w:val="none"/>
        </w:rPr>
        <w:fldChar w:fldCharType="begin"/>
      </w:r>
      <w:r>
        <w:rPr>
          <w:highlight w:val="none"/>
        </w:rPr>
        <w:instrText xml:space="preserve"> PAGEREF _Toc31830 \h </w:instrText>
      </w:r>
      <w:r>
        <w:rPr>
          <w:highlight w:val="none"/>
        </w:rPr>
        <w:fldChar w:fldCharType="separate"/>
      </w:r>
      <w:r>
        <w:rPr>
          <w:highlight w:val="none"/>
        </w:rPr>
        <w:t>43</w:t>
      </w:r>
      <w:r>
        <w:rPr>
          <w:highlight w:val="none"/>
        </w:rPr>
        <w:fldChar w:fldCharType="end"/>
      </w:r>
      <w:r>
        <w:rPr>
          <w:rFonts w:hint="eastAsia" w:ascii="仿宋" w:hAnsi="仿宋" w:eastAsia="仿宋" w:cs="仿宋"/>
          <w:color w:val="auto"/>
          <w:highlight w:val="none"/>
        </w:rPr>
        <w:fldChar w:fldCharType="end"/>
      </w:r>
    </w:p>
    <w:p w14:paraId="2368A065">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_Toc20225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第六章  评标方法和标准</w:t>
      </w:r>
      <w:r>
        <w:rPr>
          <w:highlight w:val="none"/>
        </w:rPr>
        <w:tab/>
      </w:r>
      <w:r>
        <w:rPr>
          <w:highlight w:val="none"/>
        </w:rPr>
        <w:fldChar w:fldCharType="begin"/>
      </w:r>
      <w:r>
        <w:rPr>
          <w:highlight w:val="none"/>
        </w:rPr>
        <w:instrText xml:space="preserve"> PAGEREF _Toc20225 \h </w:instrText>
      </w:r>
      <w:r>
        <w:rPr>
          <w:highlight w:val="none"/>
        </w:rPr>
        <w:fldChar w:fldCharType="separate"/>
      </w:r>
      <w:r>
        <w:rPr>
          <w:highlight w:val="none"/>
        </w:rPr>
        <w:t>43</w:t>
      </w:r>
      <w:r>
        <w:rPr>
          <w:highlight w:val="none"/>
        </w:rPr>
        <w:fldChar w:fldCharType="end"/>
      </w:r>
      <w:r>
        <w:rPr>
          <w:rFonts w:hint="eastAsia" w:ascii="仿宋" w:hAnsi="仿宋" w:eastAsia="仿宋" w:cs="仿宋"/>
          <w:color w:val="auto"/>
          <w:highlight w:val="none"/>
        </w:rPr>
        <w:fldChar w:fldCharType="end"/>
      </w:r>
    </w:p>
    <w:p w14:paraId="5AACC936">
      <w:pPr>
        <w:pStyle w:val="16"/>
        <w:tabs>
          <w:tab w:val="right" w:leader="dot" w:pos="9786"/>
        </w:tabs>
        <w:rPr>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_Toc28063 </w:instrText>
      </w:r>
      <w:r>
        <w:rPr>
          <w:rFonts w:hint="eastAsia" w:ascii="仿宋" w:hAnsi="仿宋" w:eastAsia="仿宋" w:cs="仿宋"/>
          <w:highlight w:val="none"/>
        </w:rPr>
        <w:fldChar w:fldCharType="separate"/>
      </w:r>
      <w:r>
        <w:rPr>
          <w:rFonts w:hint="eastAsia" w:ascii="仿宋" w:hAnsi="仿宋" w:eastAsia="仿宋" w:cs="仿宋"/>
          <w:szCs w:val="44"/>
          <w:highlight w:val="none"/>
          <w:lang w:eastAsia="zh-CN"/>
        </w:rPr>
        <w:t>第七章  政府采购合同</w:t>
      </w:r>
      <w:r>
        <w:rPr>
          <w:highlight w:val="none"/>
        </w:rPr>
        <w:tab/>
      </w:r>
      <w:r>
        <w:rPr>
          <w:highlight w:val="none"/>
        </w:rPr>
        <w:fldChar w:fldCharType="begin"/>
      </w:r>
      <w:r>
        <w:rPr>
          <w:highlight w:val="none"/>
        </w:rPr>
        <w:instrText xml:space="preserve"> PAGEREF _Toc28063 \h </w:instrText>
      </w:r>
      <w:r>
        <w:rPr>
          <w:highlight w:val="none"/>
        </w:rPr>
        <w:fldChar w:fldCharType="separate"/>
      </w:r>
      <w:r>
        <w:rPr>
          <w:highlight w:val="none"/>
        </w:rPr>
        <w:t>76</w:t>
      </w:r>
      <w:r>
        <w:rPr>
          <w:highlight w:val="none"/>
        </w:rPr>
        <w:fldChar w:fldCharType="end"/>
      </w:r>
      <w:r>
        <w:rPr>
          <w:rFonts w:hint="eastAsia" w:ascii="仿宋" w:hAnsi="仿宋" w:eastAsia="仿宋" w:cs="仿宋"/>
          <w:color w:val="auto"/>
          <w:highlight w:val="none"/>
        </w:rPr>
        <w:fldChar w:fldCharType="end"/>
      </w:r>
    </w:p>
    <w:p w14:paraId="3412D111">
      <w:pPr>
        <w:pStyle w:val="17"/>
        <w:rPr>
          <w:rFonts w:hint="eastAsia" w:ascii="仿宋" w:hAnsi="仿宋" w:eastAsia="仿宋" w:cs="仿宋"/>
          <w:color w:val="auto"/>
          <w:sz w:val="44"/>
          <w:szCs w:val="44"/>
          <w:highlight w:val="none"/>
        </w:rPr>
      </w:pPr>
      <w:r>
        <w:rPr>
          <w:rFonts w:hint="eastAsia" w:ascii="仿宋" w:hAnsi="仿宋" w:eastAsia="仿宋" w:cs="仿宋"/>
          <w:color w:val="auto"/>
          <w:highlight w:val="none"/>
        </w:rPr>
        <w:fldChar w:fldCharType="end"/>
      </w:r>
      <w:bookmarkStart w:id="13" w:name="_Toc13803"/>
    </w:p>
    <w:p w14:paraId="4708C198">
      <w:pPr>
        <w:pStyle w:val="2"/>
        <w:tabs>
          <w:tab w:val="left" w:pos="0"/>
        </w:tabs>
        <w:spacing w:before="0" w:after="0" w:line="240" w:lineRule="atLeast"/>
        <w:jc w:val="both"/>
        <w:rPr>
          <w:rFonts w:hint="eastAsia" w:ascii="仿宋" w:hAnsi="仿宋" w:eastAsia="仿宋" w:cs="仿宋"/>
          <w:color w:val="auto"/>
          <w:kern w:val="0"/>
          <w:sz w:val="44"/>
          <w:szCs w:val="44"/>
          <w:highlight w:val="none"/>
        </w:rPr>
        <w:sectPr>
          <w:headerReference r:id="rId5" w:type="default"/>
          <w:footerReference r:id="rId6" w:type="default"/>
          <w:pgSz w:w="11906" w:h="16838"/>
          <w:pgMar w:top="1043" w:right="1060" w:bottom="1043" w:left="1060" w:header="851" w:footer="992" w:gutter="0"/>
          <w:pgNumType w:start="1"/>
          <w:cols w:space="720" w:num="1"/>
          <w:docGrid w:type="linesAndChars" w:linePitch="312" w:charSpace="0"/>
        </w:sectPr>
      </w:pPr>
      <w:bookmarkStart w:id="14" w:name="_Toc11726"/>
    </w:p>
    <w:bookmarkEnd w:id="13"/>
    <w:bookmarkEnd w:id="14"/>
    <w:p w14:paraId="26FD09A6">
      <w:pPr>
        <w:pStyle w:val="2"/>
        <w:tabs>
          <w:tab w:val="left" w:pos="0"/>
        </w:tabs>
        <w:spacing w:before="0" w:after="0" w:line="240" w:lineRule="atLeast"/>
        <w:rPr>
          <w:rFonts w:hint="eastAsia" w:ascii="仿宋" w:hAnsi="仿宋" w:eastAsia="仿宋" w:cs="仿宋"/>
          <w:b w:val="0"/>
          <w:color w:val="auto"/>
          <w:sz w:val="20"/>
          <w:highlight w:val="none"/>
          <w:lang w:eastAsia="zh-CN"/>
        </w:rPr>
      </w:pPr>
      <w:bookmarkStart w:id="15" w:name="_Toc25393"/>
      <w:bookmarkStart w:id="16" w:name="_Toc7749"/>
      <w:bookmarkStart w:id="17" w:name="_Toc8923"/>
      <w:bookmarkStart w:id="18" w:name="_Toc27266"/>
      <w:bookmarkStart w:id="19" w:name="_Toc7794"/>
      <w:bookmarkStart w:id="20" w:name="_Toc749"/>
      <w:bookmarkStart w:id="21" w:name="_Toc4823"/>
      <w:bookmarkStart w:id="22" w:name="_Toc23583"/>
      <w:r>
        <w:rPr>
          <w:rFonts w:hint="eastAsia" w:ascii="仿宋" w:hAnsi="仿宋" w:eastAsia="仿宋" w:cs="仿宋"/>
          <w:color w:val="auto"/>
          <w:kern w:val="0"/>
          <w:sz w:val="44"/>
          <w:szCs w:val="44"/>
          <w:highlight w:val="none"/>
          <w:lang w:eastAsia="zh-CN"/>
        </w:rPr>
        <w:t>第一章</w:t>
      </w:r>
      <w:bookmarkStart w:id="23" w:name="_Toc515647756"/>
      <w:r>
        <w:rPr>
          <w:rFonts w:hint="eastAsia" w:ascii="仿宋" w:hAnsi="仿宋" w:eastAsia="仿宋" w:cs="仿宋"/>
          <w:color w:val="auto"/>
          <w:sz w:val="44"/>
          <w:szCs w:val="44"/>
          <w:highlight w:val="none"/>
          <w:lang w:eastAsia="zh-CN"/>
        </w:rPr>
        <w:t>投标人须知</w:t>
      </w:r>
      <w:bookmarkEnd w:id="15"/>
      <w:bookmarkEnd w:id="16"/>
      <w:bookmarkEnd w:id="17"/>
      <w:bookmarkEnd w:id="18"/>
      <w:bookmarkEnd w:id="19"/>
      <w:bookmarkEnd w:id="20"/>
      <w:bookmarkEnd w:id="21"/>
      <w:bookmarkEnd w:id="22"/>
      <w:bookmarkEnd w:id="23"/>
    </w:p>
    <w:p w14:paraId="7560DCFD">
      <w:pPr>
        <w:pStyle w:val="3"/>
        <w:spacing w:before="0" w:line="240" w:lineRule="atLeast"/>
        <w:ind w:left="1079" w:leftChars="257" w:hanging="539"/>
        <w:rPr>
          <w:rFonts w:hint="eastAsia" w:ascii="仿宋" w:hAnsi="仿宋" w:eastAsia="仿宋" w:cs="仿宋"/>
          <w:b w:val="0"/>
          <w:color w:val="auto"/>
          <w:sz w:val="24"/>
          <w:highlight w:val="none"/>
          <w:lang w:eastAsia="zh-CN"/>
        </w:rPr>
      </w:pPr>
      <w:bookmarkStart w:id="24" w:name="_Toc515647757"/>
      <w:bookmarkStart w:id="25" w:name="_Toc520356143"/>
      <w:bookmarkStart w:id="26" w:name="_Toc216582805"/>
      <w:bookmarkStart w:id="27" w:name="_Toc27848"/>
      <w:bookmarkStart w:id="28" w:name="_Toc21015"/>
      <w:bookmarkStart w:id="29" w:name="_Toc22145"/>
      <w:bookmarkStart w:id="30" w:name="_Toc21215"/>
      <w:bookmarkStart w:id="31" w:name="_Toc1988"/>
      <w:bookmarkStart w:id="32" w:name="_Toc24426"/>
      <w:bookmarkStart w:id="33" w:name="_Toc28279"/>
      <w:bookmarkStart w:id="34" w:name="_Toc28649"/>
      <w:bookmarkStart w:id="35" w:name="_Toc17202"/>
      <w:bookmarkStart w:id="36" w:name="_Toc13870"/>
      <w:bookmarkStart w:id="37" w:name="_Toc18007"/>
      <w:bookmarkStart w:id="38" w:name="_Toc13562"/>
      <w:bookmarkStart w:id="39" w:name="_Toc28131"/>
      <w:r>
        <w:rPr>
          <w:rFonts w:hint="eastAsia" w:ascii="仿宋" w:hAnsi="仿宋" w:eastAsia="仿宋" w:cs="仿宋"/>
          <w:color w:val="auto"/>
          <w:sz w:val="28"/>
          <w:highlight w:val="none"/>
          <w:lang w:eastAsia="zh-CN"/>
        </w:rPr>
        <w:t>一</w:t>
      </w:r>
      <w:bookmarkEnd w:id="24"/>
      <w:bookmarkEnd w:id="25"/>
      <w:bookmarkEnd w:id="26"/>
      <w:r>
        <w:rPr>
          <w:rFonts w:hint="eastAsia" w:ascii="仿宋" w:hAnsi="仿宋" w:eastAsia="仿宋" w:cs="仿宋"/>
          <w:color w:val="auto"/>
          <w:sz w:val="28"/>
          <w:highlight w:val="none"/>
          <w:lang w:eastAsia="zh-CN"/>
        </w:rPr>
        <w:t xml:space="preserve"> 总 则</w:t>
      </w:r>
      <w:bookmarkEnd w:id="27"/>
      <w:bookmarkEnd w:id="28"/>
      <w:bookmarkEnd w:id="29"/>
      <w:bookmarkEnd w:id="30"/>
      <w:bookmarkEnd w:id="31"/>
      <w:bookmarkEnd w:id="32"/>
      <w:bookmarkEnd w:id="33"/>
      <w:bookmarkEnd w:id="34"/>
      <w:bookmarkEnd w:id="35"/>
      <w:bookmarkEnd w:id="36"/>
      <w:bookmarkEnd w:id="37"/>
      <w:bookmarkEnd w:id="38"/>
      <w:bookmarkEnd w:id="39"/>
    </w:p>
    <w:p w14:paraId="07411DA4">
      <w:pPr>
        <w:pStyle w:val="4"/>
        <w:spacing w:before="0" w:after="0" w:line="288" w:lineRule="auto"/>
        <w:rPr>
          <w:rFonts w:hint="eastAsia" w:ascii="仿宋" w:hAnsi="仿宋" w:eastAsia="仿宋" w:cs="仿宋"/>
          <w:color w:val="auto"/>
          <w:highlight w:val="none"/>
          <w:lang w:eastAsia="zh-CN"/>
        </w:rPr>
      </w:pPr>
      <w:bookmarkStart w:id="40" w:name="_Toc520356144"/>
      <w:bookmarkStart w:id="41" w:name="_Toc16352"/>
      <w:bookmarkStart w:id="42" w:name="_Toc20172"/>
      <w:bookmarkStart w:id="43" w:name="_Toc32189"/>
      <w:bookmarkStart w:id="44" w:name="_Toc515647758"/>
      <w:bookmarkStart w:id="45" w:name="_Toc29428"/>
      <w:bookmarkStart w:id="46" w:name="_Toc6990"/>
      <w:bookmarkStart w:id="47" w:name="_Toc19622"/>
      <w:bookmarkStart w:id="48" w:name="_Toc5999"/>
      <w:bookmarkStart w:id="49" w:name="_Toc17376"/>
      <w:bookmarkStart w:id="50" w:name="_Toc11245"/>
      <w:bookmarkStart w:id="51" w:name="_Toc14500"/>
      <w:bookmarkStart w:id="52" w:name="_Toc9357"/>
      <w:bookmarkStart w:id="53" w:name="_Toc568"/>
      <w:bookmarkStart w:id="54" w:name="_Toc32623"/>
      <w:r>
        <w:rPr>
          <w:rFonts w:hint="eastAsia" w:ascii="仿宋" w:hAnsi="仿宋" w:eastAsia="仿宋" w:cs="仿宋"/>
          <w:color w:val="auto"/>
          <w:highlight w:val="none"/>
          <w:lang w:eastAsia="zh-CN"/>
        </w:rPr>
        <w:t>1.采购人、采购代理机构及</w:t>
      </w:r>
      <w:bookmarkEnd w:id="40"/>
      <w:r>
        <w:rPr>
          <w:rFonts w:hint="eastAsia" w:ascii="仿宋" w:hAnsi="仿宋" w:eastAsia="仿宋" w:cs="仿宋"/>
          <w:color w:val="auto"/>
          <w:highlight w:val="none"/>
          <w:lang w:eastAsia="zh-CN"/>
        </w:rPr>
        <w:t>投标人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3B433D2">
      <w:pPr>
        <w:numPr>
          <w:ilvl w:val="1"/>
          <w:numId w:val="1"/>
        </w:numPr>
        <w:tabs>
          <w:tab w:val="left" w:pos="0"/>
        </w:tabs>
        <w:spacing w:line="288" w:lineRule="auto"/>
        <w:ind w:hanging="89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采购人：是指依法开展政府采购活动的国家机关、事业单位、团体组织。</w:t>
      </w:r>
    </w:p>
    <w:p w14:paraId="52E3DB62">
      <w:pPr>
        <w:tabs>
          <w:tab w:val="left" w:pos="0"/>
        </w:tabs>
        <w:spacing w:line="288" w:lineRule="auto"/>
        <w:ind w:left="9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本项目的采购人见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0CC63BBD">
      <w:pPr>
        <w:numPr>
          <w:ilvl w:val="1"/>
          <w:numId w:val="1"/>
        </w:numPr>
        <w:tabs>
          <w:tab w:val="left" w:pos="0"/>
        </w:tabs>
        <w:spacing w:line="288" w:lineRule="auto"/>
        <w:ind w:hanging="89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采购代理机构：是指在集中采购机构或从事采购代理业务的社会中介机构。本项目的采购代理机构见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70765020">
      <w:pPr>
        <w:numPr>
          <w:ilvl w:val="1"/>
          <w:numId w:val="1"/>
        </w:numPr>
        <w:spacing w:line="288" w:lineRule="auto"/>
        <w:ind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投标人：是指向采购人提供货物、工程或者服务的法人、非法人组织或者自然人。本项目的投标人及其投标货物须满足以下条件：</w:t>
      </w:r>
    </w:p>
    <w:p w14:paraId="45A9AC2F">
      <w:pPr>
        <w:spacing w:line="288" w:lineRule="auto"/>
        <w:ind w:left="850" w:hanging="849" w:hangingChars="354"/>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在中华人民共和国境内注册，能够独立承担民事责任，有生产或供应能力的本国供应商。</w:t>
      </w:r>
    </w:p>
    <w:p w14:paraId="3324B46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1.3.2  具备《中华人民共和国政府采购法》第二十二条关于供应商条件的规定，遵守本项目采购人本级和上级财政部门政府采购的有关规定。</w:t>
      </w:r>
    </w:p>
    <w:p w14:paraId="6E73A22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1.3.3   以采购代理机构认可的方式获得了本项目的招标文件。</w:t>
      </w:r>
    </w:p>
    <w:p w14:paraId="7A63A3E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1.3.4   提供符合</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中规定的资格证明文件。</w:t>
      </w:r>
    </w:p>
    <w:p w14:paraId="20799F4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1.3.5   若</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中写明允许采购进口产品，投标人应保证所投产品可履行合法报通关手续进入中国关境内。</w:t>
      </w:r>
    </w:p>
    <w:p w14:paraId="304014EB">
      <w:pPr>
        <w:spacing w:line="288" w:lineRule="auto"/>
        <w:ind w:left="899" w:leftChars="4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若</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中未写明允许采购进口产品，如投标人所投产品为进口产品，其投标将被认定为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620625D">
      <w:pPr>
        <w:spacing w:line="288" w:lineRule="auto"/>
        <w:ind w:left="840" w:hanging="840" w:hanging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1.3.6  若</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中写明专门面向中小企业采购的，如投标人为非中小企业且所投产品为非中小企业产品，其投标将被认定为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876165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如</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中允许联合体投标，对联合体规定如下：</w:t>
      </w:r>
    </w:p>
    <w:p w14:paraId="05261C5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1.4.1   两个以上供应商可以组成一个投标联合体，以一个投标人的身份投标。</w:t>
      </w:r>
    </w:p>
    <w:p w14:paraId="093D557F">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1.4.2   联合体各方均应符合《中华人民共和国政府采购法》第二十二条规定的条件。</w:t>
      </w:r>
    </w:p>
    <w:p w14:paraId="2A37157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1.4.3   采购人根据采购项目对投标人的特殊要求，联合体中至少应当有一方符合相关规定。</w:t>
      </w:r>
    </w:p>
    <w:p w14:paraId="490165B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1.4.4   联合体各方应签订共同投标协议，明确约定联合体各方承担的工作和相应的责任，并将共同投标协议连同作为投标文件第一部分的内容提交。</w:t>
      </w:r>
    </w:p>
    <w:p w14:paraId="02C28A1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1.4.5   大中型企业、其他自然人、法人或者非法人组织与小型、微型企业组成联合体共同参加投标，共同投标协议中应写明小型、微型企业的协议合同金额占到共同投标协议投标总金额的比例。</w:t>
      </w:r>
    </w:p>
    <w:p w14:paraId="08C9B7C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1.4.6  联合体中有同类资质的供应商按照联合体分工承担相同工作的，按照较低的资质等级确定联合体的资质等级。</w:t>
      </w:r>
    </w:p>
    <w:p w14:paraId="1D78586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5F059B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1.4.8   对联合体投标的其他资格要求见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41790C4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1.5    单位负责人为同一人或者存在直接控股、管理关系的不同供应商，其相关投标将被认定为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6FBD025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553AFEA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1.7</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投标人在投标过程中不得向采购人提供、给予任何有价值的物品，影响其正常决策行为。一经发现，其将被认定为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51E94479">
      <w:pPr>
        <w:pStyle w:val="4"/>
        <w:spacing w:before="0" w:after="0" w:line="288" w:lineRule="auto"/>
        <w:rPr>
          <w:rFonts w:hint="eastAsia" w:ascii="仿宋" w:hAnsi="仿宋" w:eastAsia="仿宋" w:cs="仿宋"/>
          <w:color w:val="auto"/>
          <w:highlight w:val="none"/>
          <w:lang w:eastAsia="zh-CN"/>
        </w:rPr>
      </w:pPr>
      <w:bookmarkStart w:id="55" w:name="_Toc14658"/>
      <w:bookmarkStart w:id="56" w:name="_Toc4315"/>
      <w:bookmarkStart w:id="57" w:name="_Toc12139"/>
      <w:bookmarkStart w:id="58" w:name="_Toc7361"/>
      <w:bookmarkStart w:id="59" w:name="_Toc8874"/>
      <w:bookmarkStart w:id="60" w:name="_Toc21316"/>
      <w:bookmarkStart w:id="61" w:name="_Toc25043"/>
      <w:bookmarkStart w:id="62" w:name="_Toc14117"/>
      <w:bookmarkStart w:id="63" w:name="_Toc515647759"/>
      <w:bookmarkStart w:id="64" w:name="_Toc5286"/>
      <w:bookmarkStart w:id="65" w:name="_Toc28178"/>
      <w:bookmarkStart w:id="66" w:name="_Toc17808"/>
      <w:bookmarkStart w:id="67" w:name="_Toc4322"/>
      <w:bookmarkStart w:id="68" w:name="_Toc21544"/>
      <w:r>
        <w:rPr>
          <w:rFonts w:hint="eastAsia" w:ascii="仿宋" w:hAnsi="仿宋" w:eastAsia="仿宋" w:cs="仿宋"/>
          <w:color w:val="auto"/>
          <w:highlight w:val="none"/>
          <w:lang w:eastAsia="zh-CN"/>
        </w:rPr>
        <w:t>2.资金来源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95437A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本项目的采购人已获得足以支付本次招标后所签订的合同项下的资金（包括财政性资金和本项目采购中无法与财政性资金分割的非财政性资金）。</w:t>
      </w:r>
    </w:p>
    <w:p w14:paraId="5A78983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2.2    项目预算金额和分项或分包最高限价</w:t>
      </w:r>
      <w:r>
        <w:rPr>
          <w:rFonts w:hint="eastAsia" w:ascii="仿宋" w:hAnsi="仿宋" w:eastAsia="仿宋" w:cs="仿宋"/>
          <w:color w:val="auto"/>
          <w:sz w:val="24"/>
          <w:highlight w:val="none"/>
          <w:u w:val="single" w:color="000000"/>
          <w:lang w:eastAsia="zh-CN"/>
        </w:rPr>
        <w:t>见投标人须知资料表</w:t>
      </w:r>
      <w:r>
        <w:rPr>
          <w:rFonts w:hint="eastAsia" w:ascii="仿宋" w:hAnsi="仿宋" w:eastAsia="仿宋" w:cs="仿宋"/>
          <w:color w:val="auto"/>
          <w:sz w:val="24"/>
          <w:highlight w:val="none"/>
          <w:lang w:eastAsia="zh-CN"/>
        </w:rPr>
        <w:t>。</w:t>
      </w:r>
    </w:p>
    <w:p w14:paraId="421F942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    投标人报价超过招标文件规定的预算金额或者分项、分包最高限价的，其投标将被认定为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11DC4931">
      <w:pPr>
        <w:pStyle w:val="4"/>
        <w:spacing w:before="0" w:after="0" w:line="288" w:lineRule="auto"/>
        <w:rPr>
          <w:rFonts w:hint="eastAsia" w:ascii="仿宋" w:hAnsi="仿宋" w:eastAsia="仿宋" w:cs="仿宋"/>
          <w:color w:val="auto"/>
          <w:highlight w:val="none"/>
          <w:lang w:eastAsia="zh-CN"/>
        </w:rPr>
      </w:pPr>
      <w:bookmarkStart w:id="69" w:name="_Toc26702"/>
      <w:bookmarkStart w:id="70" w:name="_Toc12066"/>
      <w:bookmarkStart w:id="71" w:name="_Toc20548"/>
      <w:bookmarkStart w:id="72" w:name="_Toc13828"/>
      <w:bookmarkStart w:id="73" w:name="_Toc25643"/>
      <w:bookmarkStart w:id="74" w:name="_Toc15936"/>
      <w:bookmarkStart w:id="75" w:name="_Toc26014"/>
      <w:bookmarkStart w:id="76" w:name="_Toc31923"/>
      <w:bookmarkStart w:id="77" w:name="_Toc520356145"/>
      <w:bookmarkStart w:id="78" w:name="_Toc13235"/>
      <w:bookmarkStart w:id="79" w:name="_Toc17722"/>
      <w:bookmarkStart w:id="80" w:name="_Toc245"/>
      <w:bookmarkStart w:id="81" w:name="_Toc515647760"/>
      <w:bookmarkStart w:id="82" w:name="_Toc20526"/>
      <w:bookmarkStart w:id="83" w:name="_Toc15057"/>
      <w:r>
        <w:rPr>
          <w:rFonts w:hint="eastAsia" w:ascii="仿宋" w:hAnsi="仿宋" w:eastAsia="仿宋" w:cs="仿宋"/>
          <w:color w:val="auto"/>
          <w:highlight w:val="none"/>
          <w:lang w:eastAsia="zh-CN"/>
        </w:rPr>
        <w:t>3.投标费用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A7030E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不论投标的结果如何，投标人应承担所有与准备和参加投标有关的费用。</w:t>
      </w:r>
    </w:p>
    <w:p w14:paraId="56C9829D">
      <w:pPr>
        <w:pStyle w:val="4"/>
        <w:spacing w:before="0" w:after="0" w:line="288" w:lineRule="auto"/>
        <w:rPr>
          <w:rFonts w:hint="eastAsia" w:ascii="仿宋" w:hAnsi="仿宋" w:eastAsia="仿宋" w:cs="仿宋"/>
          <w:color w:val="auto"/>
          <w:highlight w:val="none"/>
          <w:lang w:eastAsia="zh-CN"/>
        </w:rPr>
      </w:pPr>
      <w:bookmarkStart w:id="84" w:name="_Toc24113"/>
      <w:bookmarkStart w:id="85" w:name="_Toc6116"/>
      <w:bookmarkStart w:id="86" w:name="_Toc4463"/>
      <w:bookmarkStart w:id="87" w:name="_Toc3354"/>
      <w:bookmarkStart w:id="88" w:name="_Toc515647761"/>
      <w:bookmarkStart w:id="89" w:name="_Toc25102"/>
      <w:bookmarkStart w:id="90" w:name="_Toc31798"/>
      <w:bookmarkStart w:id="91" w:name="_Toc18730"/>
      <w:bookmarkStart w:id="92" w:name="_Toc22881"/>
      <w:bookmarkStart w:id="93" w:name="_Toc20058"/>
      <w:bookmarkStart w:id="94" w:name="_Toc3200"/>
      <w:bookmarkStart w:id="95" w:name="_Toc5363"/>
      <w:bookmarkStart w:id="96" w:name="_Toc32665"/>
      <w:bookmarkStart w:id="97" w:name="_Toc28041"/>
      <w:r>
        <w:rPr>
          <w:rFonts w:hint="eastAsia" w:ascii="仿宋" w:hAnsi="仿宋" w:eastAsia="仿宋" w:cs="仿宋"/>
          <w:color w:val="auto"/>
          <w:highlight w:val="none"/>
          <w:lang w:eastAsia="zh-CN"/>
        </w:rPr>
        <w:t>4.适用法律</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9D5A93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38EEF7D6">
      <w:pPr>
        <w:rPr>
          <w:rFonts w:hint="eastAsia" w:ascii="仿宋" w:hAnsi="仿宋" w:eastAsia="仿宋" w:cs="仿宋"/>
          <w:color w:val="auto"/>
          <w:highlight w:val="none"/>
          <w:lang w:eastAsia="zh-CN"/>
        </w:rPr>
      </w:pPr>
      <w:bookmarkStart w:id="98" w:name="_Toc30891"/>
      <w:bookmarkStart w:id="99" w:name="_Toc21566"/>
      <w:bookmarkStart w:id="100" w:name="_Toc10643"/>
      <w:bookmarkStart w:id="101" w:name="_Toc8117"/>
      <w:bookmarkStart w:id="102" w:name="_Toc520356146"/>
      <w:bookmarkStart w:id="103" w:name="_Toc4063"/>
      <w:bookmarkStart w:id="104" w:name="_Toc28572"/>
      <w:bookmarkStart w:id="105" w:name="_Toc1733"/>
      <w:bookmarkStart w:id="106" w:name="_Toc216582806"/>
      <w:bookmarkStart w:id="107" w:name="_Toc6944"/>
      <w:bookmarkStart w:id="108" w:name="_Toc19184"/>
      <w:bookmarkStart w:id="109" w:name="_Toc515647762"/>
      <w:bookmarkStart w:id="110" w:name="_Toc17538"/>
      <w:bookmarkStart w:id="111" w:name="_Toc4365"/>
    </w:p>
    <w:p w14:paraId="068BBF0C">
      <w:pPr>
        <w:pStyle w:val="3"/>
        <w:spacing w:before="0" w:line="288" w:lineRule="auto"/>
        <w:ind w:left="1080" w:leftChars="257" w:hanging="540"/>
        <w:rPr>
          <w:rFonts w:hint="eastAsia" w:ascii="仿宋" w:hAnsi="仿宋" w:eastAsia="仿宋" w:cs="仿宋"/>
          <w:color w:val="auto"/>
          <w:sz w:val="28"/>
          <w:highlight w:val="none"/>
          <w:lang w:eastAsia="zh-CN"/>
        </w:rPr>
      </w:pPr>
      <w:bookmarkStart w:id="112" w:name="_Toc5480"/>
      <w:r>
        <w:rPr>
          <w:rFonts w:hint="eastAsia" w:ascii="仿宋" w:hAnsi="仿宋" w:eastAsia="仿宋" w:cs="仿宋"/>
          <w:color w:val="auto"/>
          <w:sz w:val="28"/>
          <w:highlight w:val="none"/>
          <w:lang w:eastAsia="zh-CN"/>
        </w:rPr>
        <w:t>二 招标文件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115F689">
      <w:pPr>
        <w:pStyle w:val="5"/>
        <w:spacing w:line="288" w:lineRule="auto"/>
        <w:rPr>
          <w:rFonts w:hint="eastAsia" w:ascii="仿宋" w:hAnsi="仿宋" w:eastAsia="仿宋" w:cs="仿宋"/>
          <w:color w:val="auto"/>
          <w:highlight w:val="none"/>
          <w:lang w:eastAsia="zh-CN"/>
        </w:rPr>
      </w:pPr>
    </w:p>
    <w:p w14:paraId="3AF64858">
      <w:pPr>
        <w:pStyle w:val="4"/>
        <w:spacing w:before="0" w:after="0" w:line="288" w:lineRule="auto"/>
        <w:rPr>
          <w:rFonts w:hint="eastAsia" w:ascii="仿宋" w:hAnsi="仿宋" w:eastAsia="仿宋" w:cs="仿宋"/>
          <w:color w:val="auto"/>
          <w:highlight w:val="none"/>
          <w:lang w:eastAsia="zh-CN"/>
        </w:rPr>
      </w:pPr>
      <w:bookmarkStart w:id="113" w:name="_Toc6246"/>
      <w:bookmarkStart w:id="114" w:name="_Toc22748"/>
      <w:bookmarkStart w:id="115" w:name="_Toc14084"/>
      <w:bookmarkStart w:id="116" w:name="_Toc520356147"/>
      <w:bookmarkStart w:id="117" w:name="_Toc14637"/>
      <w:bookmarkStart w:id="118" w:name="_Toc4671"/>
      <w:bookmarkStart w:id="119" w:name="_Toc25743"/>
      <w:bookmarkStart w:id="120" w:name="_Toc481"/>
      <w:bookmarkStart w:id="121" w:name="_Toc515647763"/>
      <w:bookmarkStart w:id="122" w:name="_Toc28647"/>
      <w:bookmarkStart w:id="123" w:name="_Toc5326"/>
      <w:bookmarkStart w:id="124" w:name="_Toc11582"/>
      <w:bookmarkStart w:id="125" w:name="_Toc31723"/>
      <w:bookmarkStart w:id="126" w:name="_Toc1617"/>
      <w:bookmarkStart w:id="127" w:name="_Toc17225"/>
      <w:r>
        <w:rPr>
          <w:rFonts w:hint="eastAsia" w:ascii="仿宋" w:hAnsi="仿宋" w:eastAsia="仿宋" w:cs="仿宋"/>
          <w:color w:val="auto"/>
          <w:highlight w:val="none"/>
          <w:lang w:eastAsia="zh-CN"/>
        </w:rPr>
        <w:t>5.招标文件构成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DCFB7B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招标文件分为三册共7章，内容如下：</w:t>
      </w:r>
    </w:p>
    <w:p w14:paraId="0ADD1C18">
      <w:pPr>
        <w:spacing w:line="288" w:lineRule="auto"/>
        <w:ind w:left="1079"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14:paraId="1FFCCD93">
      <w:pPr>
        <w:numPr>
          <w:ilvl w:val="0"/>
          <w:numId w:val="2"/>
        </w:numPr>
        <w:tabs>
          <w:tab w:val="left" w:pos="0"/>
        </w:tabs>
        <w:spacing w:line="288" w:lineRule="auto"/>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w:t>
      </w:r>
    </w:p>
    <w:p w14:paraId="701A81FF">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投标文件格式</w:t>
      </w:r>
    </w:p>
    <w:p w14:paraId="65B2142D">
      <w:p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14:paraId="762B07D2">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14:paraId="77F6BA03">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投标人须知资料表</w:t>
      </w:r>
    </w:p>
    <w:p w14:paraId="27841538">
      <w:pPr>
        <w:numPr>
          <w:ilvl w:val="0"/>
          <w:numId w:val="2"/>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货物需求一览表及技术规格</w:t>
      </w:r>
    </w:p>
    <w:p w14:paraId="713E2544">
      <w:pPr>
        <w:numPr>
          <w:ilvl w:val="0"/>
          <w:numId w:val="2"/>
        </w:numPr>
        <w:spacing w:line="288" w:lineRule="auto"/>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评标方法和标准</w:t>
      </w:r>
    </w:p>
    <w:p w14:paraId="29410EBA">
      <w:pPr>
        <w:spacing w:line="288" w:lineRule="auto"/>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14:paraId="578B7D50">
      <w:pPr>
        <w:numPr>
          <w:ilvl w:val="0"/>
          <w:numId w:val="2"/>
        </w:numPr>
        <w:spacing w:line="288" w:lineRule="auto"/>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政府采购合同格式</w:t>
      </w:r>
    </w:p>
    <w:p w14:paraId="6732CC5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如本文件的前后内容不一致，以最后描述为准。</w:t>
      </w:r>
    </w:p>
    <w:p w14:paraId="7E6A169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B1A6796">
      <w:pPr>
        <w:pStyle w:val="4"/>
        <w:spacing w:before="0" w:after="0" w:line="288" w:lineRule="auto"/>
        <w:rPr>
          <w:rFonts w:hint="eastAsia" w:ascii="仿宋" w:hAnsi="仿宋" w:eastAsia="仿宋" w:cs="仿宋"/>
          <w:color w:val="auto"/>
          <w:highlight w:val="none"/>
          <w:lang w:eastAsia="zh-CN"/>
        </w:rPr>
      </w:pPr>
      <w:bookmarkStart w:id="128" w:name="_Toc520356148"/>
      <w:bookmarkStart w:id="129" w:name="_Toc515904805"/>
      <w:bookmarkStart w:id="130" w:name="_Toc1925"/>
      <w:bookmarkStart w:id="131" w:name="_Toc4976"/>
      <w:bookmarkStart w:id="132" w:name="_Toc4118"/>
      <w:bookmarkStart w:id="133" w:name="_Toc9232"/>
      <w:bookmarkStart w:id="134" w:name="_Toc27562"/>
      <w:bookmarkStart w:id="135" w:name="_Toc2703"/>
      <w:bookmarkStart w:id="136" w:name="_Toc20175"/>
      <w:bookmarkStart w:id="137" w:name="_Toc7323"/>
      <w:bookmarkStart w:id="138" w:name="_Toc18688"/>
      <w:bookmarkStart w:id="139" w:name="_Toc26044"/>
      <w:bookmarkStart w:id="140" w:name="_Toc3154"/>
      <w:bookmarkStart w:id="141" w:name="_Toc1922"/>
      <w:bookmarkStart w:id="142" w:name="_Toc4284"/>
      <w:r>
        <w:rPr>
          <w:rFonts w:hint="eastAsia" w:ascii="仿宋" w:hAnsi="仿宋" w:eastAsia="仿宋" w:cs="仿宋"/>
          <w:color w:val="auto"/>
          <w:highlight w:val="none"/>
          <w:lang w:eastAsia="zh-CN"/>
        </w:rPr>
        <w:t>6.招标文件的澄清</w:t>
      </w:r>
      <w:bookmarkEnd w:id="128"/>
      <w:bookmarkEnd w:id="129"/>
      <w:r>
        <w:rPr>
          <w:rFonts w:hint="eastAsia" w:ascii="仿宋" w:hAnsi="仿宋" w:eastAsia="仿宋" w:cs="仿宋"/>
          <w:color w:val="auto"/>
          <w:highlight w:val="none"/>
          <w:lang w:eastAsia="zh-CN"/>
        </w:rPr>
        <w:t>与修改</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43CAB7AF">
      <w:pPr>
        <w:pStyle w:val="5"/>
        <w:spacing w:line="288" w:lineRule="auto"/>
        <w:ind w:left="840" w:hanging="840" w:hangingChars="35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6.1    为了保证对招标文件的澄清和修改满足法律的时限要求，任何要求对招标文件进行澄清的投标人，均应在投标截止期十五日前，以书面形式将澄清要求通知采购人或采购代理机构。</w:t>
      </w:r>
    </w:p>
    <w:p w14:paraId="5FD65367">
      <w:pPr>
        <w:pStyle w:val="5"/>
        <w:spacing w:line="288" w:lineRule="auto"/>
        <w:ind w:left="840" w:hanging="840" w:hangingChars="350"/>
        <w:rPr>
          <w:rFonts w:hint="eastAsia" w:ascii="仿宋" w:hAnsi="仿宋" w:eastAsia="仿宋" w:cs="仿宋"/>
          <w:color w:val="auto"/>
          <w:szCs w:val="24"/>
          <w:highlight w:val="none"/>
          <w:lang w:eastAsia="zh-CN"/>
        </w:rPr>
      </w:pPr>
      <w:bookmarkStart w:id="143" w:name="_Toc515904806"/>
      <w:bookmarkStart w:id="144" w:name="_Toc520356149"/>
      <w:bookmarkStart w:id="145" w:name="_Ref467378678"/>
      <w:r>
        <w:rPr>
          <w:rFonts w:hint="eastAsia" w:ascii="仿宋" w:hAnsi="仿宋" w:eastAsia="仿宋" w:cs="仿宋"/>
          <w:color w:val="auto"/>
          <w:szCs w:val="24"/>
          <w:highlight w:val="none"/>
          <w:lang w:eastAsia="zh-CN"/>
        </w:rPr>
        <w:t>6.2</w:t>
      </w:r>
      <w:r>
        <w:rPr>
          <w:rFonts w:hint="eastAsia" w:ascii="仿宋" w:hAnsi="仿宋" w:eastAsia="仿宋" w:cs="仿宋"/>
          <w:color w:val="auto"/>
          <w:szCs w:val="24"/>
          <w:highlight w:val="none"/>
          <w:lang w:eastAsia="zh-CN"/>
        </w:rPr>
        <w:tab/>
      </w:r>
      <w:r>
        <w:rPr>
          <w:rFonts w:hint="eastAsia" w:ascii="仿宋" w:hAnsi="仿宋" w:eastAsia="仿宋" w:cs="仿宋"/>
          <w:color w:val="auto"/>
          <w:szCs w:val="24"/>
          <w:highlight w:val="none"/>
          <w:lang w:eastAsia="zh-CN"/>
        </w:rPr>
        <w:t>采购人可主动地或在解答投标人提出的澄清问题时对招标文件进行澄清或修改。采购代理机构将以发布澄清（更正）公告的方式，澄清或修改招标文件，澄清或修改内容作为招标文件的组成部分。</w:t>
      </w:r>
    </w:p>
    <w:p w14:paraId="66815581">
      <w:pPr>
        <w:pStyle w:val="5"/>
        <w:spacing w:line="288" w:lineRule="auto"/>
        <w:ind w:left="840" w:hanging="840" w:hangingChars="35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6.3</w:t>
      </w:r>
      <w:r>
        <w:rPr>
          <w:rFonts w:hint="eastAsia" w:ascii="仿宋" w:hAnsi="仿宋" w:eastAsia="仿宋" w:cs="仿宋"/>
          <w:color w:val="auto"/>
          <w:szCs w:val="24"/>
          <w:highlight w:val="none"/>
          <w:lang w:eastAsia="zh-CN"/>
        </w:rPr>
        <w:tab/>
      </w:r>
      <w:r>
        <w:rPr>
          <w:rFonts w:hint="eastAsia" w:ascii="仿宋" w:hAnsi="仿宋" w:eastAsia="仿宋" w:cs="仿宋"/>
          <w:color w:val="auto"/>
          <w:szCs w:val="24"/>
          <w:highlight w:val="none"/>
          <w:lang w:eastAsia="zh-CN"/>
        </w:rPr>
        <w:t>澄清或者修改的内容可能影响投标文件编制的，采购代理机构将以书面形式通知所有购买招标文件的潜在投标人，并对其具有约束力。投标人在收到上述通知后，应及时向采购代理机构回函确认。</w:t>
      </w:r>
    </w:p>
    <w:p w14:paraId="63CA11B9">
      <w:pPr>
        <w:pStyle w:val="4"/>
        <w:tabs>
          <w:tab w:val="left" w:pos="900"/>
        </w:tabs>
        <w:spacing w:before="0" w:after="0" w:line="288" w:lineRule="auto"/>
        <w:rPr>
          <w:rFonts w:hint="eastAsia" w:ascii="仿宋" w:hAnsi="仿宋" w:eastAsia="仿宋" w:cs="仿宋"/>
          <w:color w:val="auto"/>
          <w:highlight w:val="none"/>
          <w:lang w:eastAsia="zh-CN"/>
        </w:rPr>
      </w:pPr>
      <w:bookmarkStart w:id="146" w:name="_Toc2744"/>
      <w:bookmarkStart w:id="147" w:name="_Toc19841"/>
      <w:bookmarkStart w:id="148" w:name="_Toc23166"/>
      <w:bookmarkStart w:id="149" w:name="_Toc4653"/>
      <w:bookmarkStart w:id="150" w:name="_Toc330"/>
      <w:bookmarkStart w:id="151" w:name="_Toc25416"/>
      <w:bookmarkStart w:id="152" w:name="_Toc21993"/>
      <w:bookmarkStart w:id="153" w:name="_Toc25635"/>
      <w:bookmarkStart w:id="154" w:name="_Toc14569"/>
      <w:bookmarkStart w:id="155" w:name="_Toc25461"/>
      <w:bookmarkStart w:id="156" w:name="_Toc9128"/>
      <w:bookmarkStart w:id="157" w:name="_Toc12448"/>
      <w:bookmarkStart w:id="158" w:name="_Toc7775"/>
      <w:r>
        <w:rPr>
          <w:rFonts w:hint="eastAsia" w:ascii="仿宋" w:hAnsi="仿宋" w:eastAsia="仿宋" w:cs="仿宋"/>
          <w:color w:val="auto"/>
          <w:highlight w:val="none"/>
          <w:lang w:eastAsia="zh-CN"/>
        </w:rPr>
        <w:t>7</w:t>
      </w:r>
      <w:bookmarkEnd w:id="143"/>
      <w:bookmarkEnd w:id="144"/>
      <w:bookmarkEnd w:id="145"/>
      <w:r>
        <w:rPr>
          <w:rFonts w:hint="eastAsia" w:ascii="仿宋" w:hAnsi="仿宋" w:eastAsia="仿宋" w:cs="仿宋"/>
          <w:color w:val="auto"/>
          <w:highlight w:val="none"/>
          <w:lang w:eastAsia="zh-CN"/>
        </w:rPr>
        <w:t>.投标截止时间的顺延</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6844819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为使投标人准备投标时有足够的时间对招标文件的澄清或者修改部分进行研究，采购人将依法决定是否顺延投标截止时间。</w:t>
      </w:r>
    </w:p>
    <w:p w14:paraId="70E31DAC">
      <w:pPr>
        <w:pStyle w:val="3"/>
        <w:tabs>
          <w:tab w:val="left" w:pos="900"/>
        </w:tabs>
        <w:spacing w:before="0" w:line="288" w:lineRule="auto"/>
        <w:ind w:left="1080" w:leftChars="257" w:hanging="540"/>
        <w:rPr>
          <w:rFonts w:hint="eastAsia" w:ascii="仿宋" w:hAnsi="仿宋" w:eastAsia="仿宋" w:cs="仿宋"/>
          <w:b w:val="0"/>
          <w:color w:val="auto"/>
          <w:sz w:val="24"/>
          <w:highlight w:val="none"/>
          <w:lang w:eastAsia="zh-CN"/>
        </w:rPr>
      </w:pPr>
      <w:bookmarkStart w:id="159" w:name="_Toc516367020"/>
      <w:bookmarkStart w:id="160" w:name="_Toc22175"/>
      <w:bookmarkStart w:id="161" w:name="_Toc31039"/>
      <w:bookmarkStart w:id="162" w:name="_Toc1752"/>
      <w:bookmarkStart w:id="163" w:name="_Toc7636"/>
      <w:bookmarkStart w:id="164" w:name="_Toc8381"/>
      <w:bookmarkStart w:id="165" w:name="_Toc15802"/>
      <w:bookmarkStart w:id="166" w:name="_Toc30808"/>
      <w:bookmarkStart w:id="167" w:name="_Toc12340"/>
      <w:bookmarkStart w:id="168" w:name="_Toc216582807"/>
      <w:bookmarkStart w:id="169" w:name="_Toc19696"/>
      <w:bookmarkStart w:id="170" w:name="_Toc25866"/>
      <w:bookmarkStart w:id="171" w:name="_Toc14530"/>
      <w:bookmarkStart w:id="172" w:name="_Toc23336"/>
      <w:bookmarkStart w:id="173" w:name="_Toc8537"/>
      <w:bookmarkStart w:id="174" w:name="_Toc515647766"/>
      <w:bookmarkStart w:id="175" w:name="_Toc520356150"/>
      <w:r>
        <w:rPr>
          <w:rFonts w:hint="eastAsia" w:ascii="仿宋" w:hAnsi="仿宋" w:eastAsia="仿宋" w:cs="仿宋"/>
          <w:color w:val="auto"/>
          <w:sz w:val="28"/>
          <w:highlight w:val="none"/>
          <w:lang w:eastAsia="zh-CN"/>
        </w:rPr>
        <w:t>三 投标文件</w:t>
      </w:r>
      <w:bookmarkEnd w:id="159"/>
      <w:r>
        <w:rPr>
          <w:rFonts w:hint="eastAsia" w:ascii="仿宋" w:hAnsi="仿宋" w:eastAsia="仿宋" w:cs="仿宋"/>
          <w:color w:val="auto"/>
          <w:sz w:val="28"/>
          <w:highlight w:val="none"/>
          <w:lang w:eastAsia="zh-CN"/>
        </w:rPr>
        <w:t>的编制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645C71B">
      <w:pPr>
        <w:pStyle w:val="4"/>
        <w:tabs>
          <w:tab w:val="left" w:pos="900"/>
        </w:tabs>
        <w:spacing w:before="0" w:after="0" w:line="288" w:lineRule="auto"/>
        <w:rPr>
          <w:rFonts w:hint="eastAsia" w:ascii="仿宋" w:hAnsi="仿宋" w:eastAsia="仿宋" w:cs="仿宋"/>
          <w:color w:val="auto"/>
          <w:highlight w:val="none"/>
          <w:lang w:eastAsia="zh-CN"/>
        </w:rPr>
      </w:pPr>
      <w:bookmarkStart w:id="176" w:name="_Toc15952"/>
      <w:bookmarkStart w:id="177" w:name="_Toc515647767"/>
      <w:bookmarkStart w:id="178" w:name="_Toc516367021"/>
      <w:bookmarkStart w:id="179" w:name="_Toc520356151"/>
      <w:bookmarkStart w:id="180" w:name="_Toc2259"/>
      <w:bookmarkStart w:id="181" w:name="_Toc27410"/>
      <w:bookmarkStart w:id="182" w:name="_Toc11023"/>
      <w:bookmarkStart w:id="183" w:name="_Toc6449"/>
      <w:bookmarkStart w:id="184" w:name="_Toc7786"/>
      <w:bookmarkStart w:id="185" w:name="_Toc11230"/>
      <w:bookmarkStart w:id="186" w:name="_Toc30570"/>
      <w:bookmarkStart w:id="187" w:name="_Toc6680"/>
      <w:bookmarkStart w:id="188" w:name="_Toc28725"/>
      <w:bookmarkStart w:id="189" w:name="_Toc15590"/>
      <w:bookmarkStart w:id="190" w:name="_Toc10758"/>
      <w:bookmarkStart w:id="191" w:name="_Toc3553"/>
      <w:r>
        <w:rPr>
          <w:rFonts w:hint="eastAsia" w:ascii="仿宋" w:hAnsi="仿宋" w:eastAsia="仿宋" w:cs="仿宋"/>
          <w:color w:val="auto"/>
          <w:highlight w:val="none"/>
          <w:lang w:eastAsia="zh-CN"/>
        </w:rPr>
        <w:t>8.</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投标范围及投标文件中标准和计量单位的使用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ACBEAC9">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项目有分包的，投标人可对招标文件其中某一个或几个分包货物进行投标，除非在</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中另有规定。</w:t>
      </w:r>
    </w:p>
    <w:p w14:paraId="53B74A4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8.2     投标人应当对所投分包招标文件中“服务需求”所列的所有内容进行投标，如仅响应某一包中的部分内容，其该包投标将被认定为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2898F58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8.3     无论招标文件第5章货物需求一览表及技术规格中是否要求，投标人所投货物均应符合国家强制性标准。</w:t>
      </w:r>
    </w:p>
    <w:p w14:paraId="296C7E5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8.4     除招标文件中有特殊要求外，投标文件中所使用的计量单位，应采用中华人民共和国法定计量单位。</w:t>
      </w:r>
    </w:p>
    <w:p w14:paraId="103071D1">
      <w:pPr>
        <w:pStyle w:val="4"/>
        <w:tabs>
          <w:tab w:val="left" w:pos="900"/>
        </w:tabs>
        <w:spacing w:before="0" w:after="0" w:line="288" w:lineRule="auto"/>
        <w:rPr>
          <w:rFonts w:hint="eastAsia" w:ascii="仿宋" w:hAnsi="仿宋" w:eastAsia="仿宋" w:cs="仿宋"/>
          <w:color w:val="auto"/>
          <w:highlight w:val="none"/>
          <w:lang w:eastAsia="zh-CN"/>
        </w:rPr>
      </w:pPr>
      <w:bookmarkStart w:id="192" w:name="_Toc516367022"/>
      <w:bookmarkStart w:id="193" w:name="_Ref467306195"/>
      <w:bookmarkStart w:id="194" w:name="_Ref467306676"/>
      <w:bookmarkStart w:id="195" w:name="_Toc17949"/>
      <w:bookmarkStart w:id="196" w:name="_Toc6112"/>
      <w:bookmarkStart w:id="197" w:name="_Toc10364"/>
      <w:bookmarkStart w:id="198" w:name="_Toc2072"/>
      <w:bookmarkStart w:id="199" w:name="_Toc18692"/>
      <w:bookmarkStart w:id="200" w:name="_Toc17979"/>
      <w:bookmarkStart w:id="201" w:name="_Toc18627"/>
      <w:bookmarkStart w:id="202" w:name="_Toc9237"/>
      <w:bookmarkStart w:id="203" w:name="_Toc13854"/>
      <w:bookmarkStart w:id="204" w:name="_Toc28307"/>
      <w:bookmarkStart w:id="205" w:name="_Toc515647768"/>
      <w:bookmarkStart w:id="206" w:name="_Toc520356152"/>
      <w:bookmarkStart w:id="207" w:name="_Toc9389"/>
      <w:bookmarkStart w:id="208" w:name="_Toc22989"/>
      <w:bookmarkStart w:id="209" w:name="_Toc21249"/>
      <w:r>
        <w:rPr>
          <w:rFonts w:hint="eastAsia" w:ascii="仿宋" w:hAnsi="仿宋" w:eastAsia="仿宋" w:cs="仿宋"/>
          <w:color w:val="auto"/>
          <w:highlight w:val="none"/>
          <w:lang w:eastAsia="zh-CN"/>
        </w:rPr>
        <w:t>9.投标文件</w:t>
      </w:r>
      <w:bookmarkEnd w:id="192"/>
      <w:bookmarkEnd w:id="193"/>
      <w:bookmarkEnd w:id="194"/>
      <w:r>
        <w:rPr>
          <w:rFonts w:hint="eastAsia" w:ascii="仿宋" w:hAnsi="仿宋" w:eastAsia="仿宋" w:cs="仿宋"/>
          <w:color w:val="auto"/>
          <w:highlight w:val="none"/>
          <w:lang w:eastAsia="zh-CN"/>
        </w:rPr>
        <w:t>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9BE07B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9.1     投标单位应完整地按招标文件提供的响应文件格式及要求编写响应文件，投标单位须</w:t>
      </w:r>
    </w:p>
    <w:p w14:paraId="37B0ADAC">
      <w:pPr>
        <w:spacing w:line="288" w:lineRule="auto"/>
        <w:ind w:left="958" w:leftChars="45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在投标截止时间前完成在系统上递交电子响应文件。投标单位的电子响应文件是经过CA 证书加密后上传提交的，任何单位或个人均无法在投标截止时间(即投标时间)</w:t>
      </w:r>
    </w:p>
    <w:p w14:paraId="44FBC3AC">
      <w:pPr>
        <w:spacing w:line="288"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之前查看或篡改，不存在泄密风险。（严格按照政采云电子投标流程制作并上传电</w:t>
      </w:r>
    </w:p>
    <w:p w14:paraId="23960D12">
      <w:pPr>
        <w:spacing w:line="288"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子响应文件）</w:t>
      </w:r>
    </w:p>
    <w:p w14:paraId="2E41621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9.2    上述文件应按照招标文件规定的格式填写、签署和盖章招标文件中的格式供参考，投标文件中的内容可自行调整但应包括格式内的所有内容。</w:t>
      </w:r>
    </w:p>
    <w:p w14:paraId="548863AB">
      <w:pPr>
        <w:pStyle w:val="4"/>
        <w:tabs>
          <w:tab w:val="left" w:pos="900"/>
        </w:tabs>
        <w:spacing w:before="0" w:after="0" w:line="288" w:lineRule="auto"/>
        <w:rPr>
          <w:rFonts w:hint="eastAsia" w:ascii="仿宋" w:hAnsi="仿宋" w:eastAsia="仿宋" w:cs="仿宋"/>
          <w:color w:val="auto"/>
          <w:highlight w:val="none"/>
          <w:lang w:eastAsia="zh-CN"/>
        </w:rPr>
      </w:pPr>
      <w:bookmarkStart w:id="210" w:name="_Toc30942"/>
      <w:bookmarkStart w:id="211" w:name="_Toc7354"/>
      <w:bookmarkStart w:id="212" w:name="_Toc3494"/>
      <w:bookmarkStart w:id="213" w:name="_Toc22816"/>
      <w:bookmarkStart w:id="214" w:name="_Toc10379"/>
      <w:bookmarkStart w:id="215" w:name="_Toc4601"/>
      <w:bookmarkStart w:id="216" w:name="_Toc31875"/>
      <w:bookmarkStart w:id="217" w:name="_Toc13143"/>
      <w:bookmarkStart w:id="218" w:name="_Toc516367023"/>
      <w:bookmarkStart w:id="219" w:name="_Toc520356153"/>
      <w:bookmarkStart w:id="220" w:name="_Toc6889"/>
      <w:bookmarkStart w:id="221" w:name="_Toc21436"/>
      <w:bookmarkStart w:id="222" w:name="_Toc515647769"/>
      <w:bookmarkStart w:id="223" w:name="_Toc22144"/>
      <w:bookmarkStart w:id="224" w:name="_Toc5539"/>
      <w:bookmarkStart w:id="225" w:name="_Toc2871"/>
      <w:r>
        <w:rPr>
          <w:rFonts w:hint="eastAsia" w:ascii="仿宋" w:hAnsi="仿宋" w:eastAsia="仿宋" w:cs="仿宋"/>
          <w:color w:val="auto"/>
          <w:highlight w:val="none"/>
          <w:lang w:eastAsia="zh-CN"/>
        </w:rPr>
        <w:t>10.</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证明投标标的的合格性和符合招标文件规定的技术文件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048C20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投标人应提交证明文件，证明其投标内容符合招标文件规定。该证明文件是投标文件的一部分。</w:t>
      </w:r>
    </w:p>
    <w:p w14:paraId="27A199C7">
      <w:pPr>
        <w:spacing w:line="288" w:lineRule="auto"/>
        <w:ind w:left="900" w:hanging="900" w:hangingChars="375"/>
        <w:rPr>
          <w:rFonts w:hint="eastAsia" w:ascii="仿宋" w:hAnsi="仿宋" w:eastAsia="仿宋" w:cs="仿宋"/>
          <w:color w:val="auto"/>
          <w:sz w:val="24"/>
          <w:highlight w:val="none"/>
          <w:lang w:eastAsia="zh-CN"/>
        </w:rPr>
      </w:pPr>
      <w:bookmarkStart w:id="226" w:name="_Ref467306244"/>
      <w:r>
        <w:rPr>
          <w:rFonts w:hint="eastAsia" w:ascii="仿宋" w:hAnsi="仿宋" w:eastAsia="仿宋" w:cs="仿宋"/>
          <w:color w:val="auto"/>
          <w:sz w:val="24"/>
          <w:highlight w:val="none"/>
          <w:lang w:eastAsia="zh-CN"/>
        </w:rPr>
        <w:t>10.2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上款所述的证明文件，可以是文字资料、图纸和数据，</w:t>
      </w:r>
      <w:bookmarkEnd w:id="226"/>
      <w:r>
        <w:rPr>
          <w:rFonts w:hint="eastAsia" w:ascii="仿宋" w:hAnsi="仿宋" w:eastAsia="仿宋" w:cs="仿宋"/>
          <w:color w:val="auto"/>
          <w:sz w:val="24"/>
          <w:highlight w:val="none"/>
          <w:lang w:eastAsia="zh-CN"/>
        </w:rPr>
        <w:t>它包括：</w:t>
      </w:r>
    </w:p>
    <w:p w14:paraId="568BC92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10.2.1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货物主要技术指标和性能的详细说明；</w:t>
      </w:r>
    </w:p>
    <w:p w14:paraId="7FCC69D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10.2.2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货物从买方开始使用至招标文件规定的保质期内正常、连续地使用所必须的备件和专用工具清单，包括备件和专用工具的货源及现行价格；</w:t>
      </w:r>
    </w:p>
    <w:p w14:paraId="66C4157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10.2.3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对照招标文件技术规格，逐条说明所提供货物及伴随的工程和服务已对招标文件的技术规格做出了实质性的响应，或申明与技术规格条文的偏差和例外。</w:t>
      </w:r>
    </w:p>
    <w:p w14:paraId="13C9A34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2D1BC007">
      <w:pPr>
        <w:pStyle w:val="4"/>
        <w:spacing w:before="0" w:after="0" w:line="288" w:lineRule="auto"/>
        <w:rPr>
          <w:rFonts w:hint="eastAsia" w:ascii="仿宋" w:hAnsi="仿宋" w:eastAsia="仿宋" w:cs="仿宋"/>
          <w:color w:val="auto"/>
          <w:highlight w:val="none"/>
          <w:lang w:eastAsia="zh-CN"/>
        </w:rPr>
      </w:pPr>
      <w:bookmarkStart w:id="227" w:name="_Toc515647770"/>
      <w:bookmarkStart w:id="228" w:name="_Toc2418"/>
      <w:bookmarkStart w:id="229" w:name="_Toc14959"/>
      <w:bookmarkStart w:id="230" w:name="_Toc21624"/>
      <w:bookmarkStart w:id="231" w:name="_Toc520356155"/>
      <w:bookmarkStart w:id="232" w:name="_Toc13077"/>
      <w:bookmarkStart w:id="233" w:name="_Toc1965"/>
      <w:bookmarkStart w:id="234" w:name="_Toc6623"/>
      <w:bookmarkStart w:id="235" w:name="_Toc784"/>
      <w:bookmarkStart w:id="236" w:name="_Toc1082"/>
      <w:bookmarkStart w:id="237" w:name="_Toc19624"/>
      <w:bookmarkStart w:id="238" w:name="_Toc28319"/>
      <w:bookmarkStart w:id="239" w:name="_Toc23231"/>
      <w:bookmarkStart w:id="240" w:name="_Toc9907"/>
      <w:bookmarkStart w:id="241" w:name="_Toc2248"/>
      <w:r>
        <w:rPr>
          <w:rFonts w:hint="eastAsia" w:ascii="仿宋" w:hAnsi="仿宋" w:eastAsia="仿宋" w:cs="仿宋"/>
          <w:color w:val="auto"/>
          <w:highlight w:val="none"/>
          <w:lang w:eastAsia="zh-CN"/>
        </w:rPr>
        <w:t>11.投标报价</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C2D4B8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467290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投标人应在投标分项报价表上标明投标货物及相关服务的单价（如适用）和总价，并由法定代表人或其授权代表签署。</w:t>
      </w:r>
    </w:p>
    <w:p w14:paraId="1A729DC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投标分项报价表上的价格应按下列方式填写：</w:t>
      </w:r>
    </w:p>
    <w:p w14:paraId="1F58FA4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11.3.1  投标货物（包括备品备件、专用工具等）的出厂价（包括已在中国国内的进口货物完税后的仓库交货价、展室交货价或货架交货价），投标货物安装、调试、检验、技术服务和培训等费用；</w:t>
      </w:r>
    </w:p>
    <w:p w14:paraId="7FAAAF7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11.3.2  货物运至最终目的地的运输费和保险费用。</w:t>
      </w:r>
    </w:p>
    <w:p w14:paraId="7E40021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11.4</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37CE841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11.5</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每种货物只能有一个投标报价。采购人不接受具有附加条件的报价。</w:t>
      </w:r>
    </w:p>
    <w:p w14:paraId="012D661A">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11.6    投标文件中应写明投标产品的产地、数量/面积、养护服务期、供货期，未明确写明的其投标将被认定为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800AE77">
      <w:pPr>
        <w:pStyle w:val="4"/>
        <w:spacing w:before="0" w:after="0" w:line="288" w:lineRule="auto"/>
        <w:rPr>
          <w:rFonts w:hint="eastAsia" w:ascii="仿宋" w:hAnsi="仿宋" w:eastAsia="仿宋" w:cs="仿宋"/>
          <w:color w:val="auto"/>
          <w:highlight w:val="none"/>
          <w:lang w:eastAsia="zh-CN"/>
        </w:rPr>
      </w:pPr>
      <w:bookmarkStart w:id="242" w:name="_Toc1823"/>
      <w:bookmarkStart w:id="243" w:name="_Toc17296"/>
      <w:bookmarkStart w:id="244" w:name="_Toc29572"/>
      <w:bookmarkStart w:id="245" w:name="_Toc13084"/>
      <w:bookmarkStart w:id="246" w:name="_Toc520356156"/>
      <w:bookmarkStart w:id="247" w:name="_Toc27024"/>
      <w:bookmarkStart w:id="248" w:name="_Toc31739"/>
      <w:bookmarkStart w:id="249" w:name="_Toc17788"/>
      <w:bookmarkStart w:id="250" w:name="_Toc22212"/>
      <w:bookmarkStart w:id="251" w:name="_Ref467306513"/>
      <w:bookmarkStart w:id="252" w:name="_Toc17357"/>
      <w:bookmarkStart w:id="253" w:name="_Toc8651"/>
      <w:bookmarkStart w:id="254" w:name="_Toc515647771"/>
      <w:bookmarkStart w:id="255" w:name="_Toc11514"/>
      <w:bookmarkStart w:id="256" w:name="_Toc3689"/>
      <w:bookmarkStart w:id="257" w:name="_Toc17068"/>
      <w:r>
        <w:rPr>
          <w:rFonts w:hint="eastAsia" w:ascii="仿宋" w:hAnsi="仿宋" w:eastAsia="仿宋" w:cs="仿宋"/>
          <w:color w:val="auto"/>
          <w:highlight w:val="none"/>
          <w:lang w:eastAsia="zh-CN"/>
        </w:rPr>
        <w:t>12.投标保证金</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D840B69">
      <w:pPr>
        <w:spacing w:line="288" w:lineRule="auto"/>
        <w:ind w:left="900" w:hanging="900" w:hangingChars="375"/>
        <w:rPr>
          <w:rFonts w:hint="eastAsia" w:ascii="仿宋" w:hAnsi="仿宋" w:eastAsia="仿宋" w:cs="仿宋"/>
          <w:color w:val="auto"/>
          <w:sz w:val="24"/>
          <w:highlight w:val="none"/>
          <w:lang w:eastAsia="zh-CN"/>
        </w:rPr>
      </w:pPr>
      <w:bookmarkStart w:id="258" w:name="_Ref467306302"/>
      <w:r>
        <w:rPr>
          <w:rFonts w:hint="eastAsia" w:ascii="仿宋" w:hAnsi="仿宋" w:eastAsia="仿宋" w:cs="仿宋"/>
          <w:color w:val="auto"/>
          <w:sz w:val="24"/>
          <w:highlight w:val="none"/>
          <w:lang w:eastAsia="zh-CN"/>
        </w:rPr>
        <w:t>12.1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投标人应提交</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中规定的投标保证金</w:t>
      </w:r>
      <w:bookmarkEnd w:id="258"/>
      <w:r>
        <w:rPr>
          <w:rFonts w:hint="eastAsia" w:ascii="仿宋" w:hAnsi="仿宋" w:eastAsia="仿宋" w:cs="仿宋"/>
          <w:color w:val="auto"/>
          <w:sz w:val="24"/>
          <w:highlight w:val="none"/>
          <w:lang w:eastAsia="zh-CN"/>
        </w:rPr>
        <w:t>，并作为其投标的一部分。</w:t>
      </w:r>
    </w:p>
    <w:p w14:paraId="5AC128B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投标人存在下列情形的，投标保证金不予退还：</w:t>
      </w:r>
    </w:p>
    <w:p w14:paraId="32AF4F1A">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bookmarkStart w:id="259" w:name="_Ref467306336"/>
      <w:r>
        <w:rPr>
          <w:rFonts w:hint="eastAsia" w:ascii="仿宋" w:hAnsi="仿宋" w:eastAsia="仿宋" w:cs="仿宋"/>
          <w:color w:val="auto"/>
          <w:sz w:val="24"/>
          <w:highlight w:val="none"/>
          <w:lang w:eastAsia="zh-CN"/>
        </w:rPr>
        <w:t>（1）在投标有效期内，撤销投标的；</w:t>
      </w:r>
    </w:p>
    <w:p w14:paraId="011634C3">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（2）中标后不按本须知第30条的规定与采购人签订合同的；</w:t>
      </w:r>
    </w:p>
    <w:p w14:paraId="2BCF2427">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（3）中标后不按本须知第31条的规定提交履约保证金的；</w:t>
      </w:r>
    </w:p>
    <w:p w14:paraId="2B6B9A4D">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（4）中标后不按本须知第32条的规定缴纳中标服务费的；</w:t>
      </w:r>
    </w:p>
    <w:p w14:paraId="5D24ACF0">
      <w:pPr>
        <w:pStyle w:val="12"/>
        <w:tabs>
          <w:tab w:val="left" w:pos="2240"/>
        </w:tabs>
        <w:spacing w:line="288" w:lineRule="auto"/>
        <w:ind w:left="1079" w:leftChars="371" w:hanging="300" w:hanging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（5）存在其他违法违规行为的。</w:t>
      </w:r>
    </w:p>
    <w:p w14:paraId="5E7BCB8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12.3</w:t>
      </w:r>
      <w:r>
        <w:rPr>
          <w:rFonts w:hint="eastAsia" w:ascii="仿宋" w:hAnsi="仿宋" w:eastAsia="仿宋" w:cs="仿宋"/>
          <w:color w:val="auto"/>
          <w:sz w:val="24"/>
          <w:highlight w:val="none"/>
          <w:lang w:eastAsia="zh-CN"/>
        </w:rPr>
        <w:tab/>
      </w:r>
      <w:bookmarkEnd w:id="259"/>
      <w:r>
        <w:rPr>
          <w:rFonts w:hint="eastAsia" w:ascii="仿宋" w:hAnsi="仿宋" w:eastAsia="仿宋" w:cs="仿宋"/>
          <w:color w:val="auto"/>
          <w:sz w:val="24"/>
          <w:highlight w:val="none"/>
          <w:lang w:eastAsia="zh-CN"/>
        </w:rPr>
        <w:t>政府采购信用担保试点范围内的项目，接受符合财政部门规定的政府采购投标担保函原件。</w:t>
      </w:r>
    </w:p>
    <w:p w14:paraId="50AEDE3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12.4</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投标人未按本须知规定提交投标保证金的，其投标将被认定为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1AB3D772">
      <w:pPr>
        <w:spacing w:line="288"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12.4.1  采用电汇形式的，一般可以实时入账。</w:t>
      </w:r>
    </w:p>
    <w:p w14:paraId="0B644A1F">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14:paraId="0B11F0D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12.5   联合体投标的，可以由联合体中的一方或者共同提交投标保证金。以一方名义提交投标保证金的，对联合体各方均具有约束力。</w:t>
      </w:r>
    </w:p>
    <w:p w14:paraId="7F627554">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投标保证金的退还</w:t>
      </w:r>
    </w:p>
    <w:p w14:paraId="3736B618">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12.6.1  中标人应在与采购人签订合同之日起5个工作日内，及时联系保证金收受机构办理投标保证金无息退还手续。</w:t>
      </w:r>
    </w:p>
    <w:p w14:paraId="5BD272D7">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12.6.2  未中标投标人的投标保证金将在中标通知书发出之日暨中标结果公告公布之日起5个工作日内无息退还。投标人应及时联系保证金收受机构办理退还投标保证金手续。</w:t>
      </w:r>
    </w:p>
    <w:p w14:paraId="1D4D4816">
      <w:pPr>
        <w:spacing w:line="288"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12.6.3  政府采购投标担保函不予退回。</w:t>
      </w:r>
    </w:p>
    <w:p w14:paraId="21BB1C49">
      <w:pPr>
        <w:spacing w:line="288" w:lineRule="auto"/>
        <w:ind w:left="960" w:right="-121"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12.7    因投标人自身原因导致无法及时退还的，采购人或采购代理机构将不承担相应责任。</w:t>
      </w:r>
    </w:p>
    <w:p w14:paraId="53D9DC9F">
      <w:pPr>
        <w:pStyle w:val="4"/>
        <w:spacing w:before="0" w:after="0" w:line="288" w:lineRule="auto"/>
        <w:rPr>
          <w:rFonts w:hint="eastAsia" w:ascii="仿宋" w:hAnsi="仿宋" w:eastAsia="仿宋" w:cs="仿宋"/>
          <w:color w:val="auto"/>
          <w:highlight w:val="none"/>
          <w:lang w:eastAsia="zh-CN"/>
        </w:rPr>
      </w:pPr>
      <w:bookmarkStart w:id="260" w:name="_Toc15069"/>
      <w:bookmarkStart w:id="261" w:name="_Toc28684"/>
      <w:bookmarkStart w:id="262" w:name="_Toc23590"/>
      <w:bookmarkStart w:id="263" w:name="_Toc22901"/>
      <w:bookmarkStart w:id="264" w:name="_Toc32569"/>
      <w:bookmarkStart w:id="265" w:name="_Toc9445"/>
      <w:bookmarkStart w:id="266" w:name="_Toc17879"/>
      <w:bookmarkStart w:id="267" w:name="_Toc15117"/>
      <w:bookmarkStart w:id="268" w:name="_Toc14721"/>
      <w:bookmarkStart w:id="269" w:name="_Toc26844"/>
      <w:bookmarkStart w:id="270" w:name="_Toc515647772"/>
      <w:bookmarkStart w:id="271" w:name="_Toc19849"/>
      <w:bookmarkStart w:id="272" w:name="_Toc520356157"/>
      <w:bookmarkStart w:id="273" w:name="_Toc2130"/>
      <w:bookmarkStart w:id="274" w:name="_Toc30629"/>
      <w:r>
        <w:rPr>
          <w:rFonts w:hint="eastAsia" w:ascii="仿宋" w:hAnsi="仿宋" w:eastAsia="仿宋" w:cs="仿宋"/>
          <w:color w:val="auto"/>
          <w:highlight w:val="none"/>
          <w:lang w:eastAsia="zh-CN"/>
        </w:rPr>
        <w:t>13.投标有效期</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3C2143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投标应在</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中规定时间内保持有效。投标有效期不满足要求的投标，其投标将被认定为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623532A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7365BDB3">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14.响应文件的签署及规定</w:t>
      </w:r>
    </w:p>
    <w:p w14:paraId="3B9DB867">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14.1 供应商应按供应商须知资料表中的规定，准备和递交（加密上传）电子响应文件。</w:t>
      </w:r>
    </w:p>
    <w:p w14:paraId="14F60C48">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14.2 所有响应文件应按照招标文件规定的格式填写、签署和盖章。</w:t>
      </w:r>
    </w:p>
    <w:p w14:paraId="5ED3A0EF">
      <w:pPr>
        <w:spacing w:line="288" w:lineRule="auto"/>
        <w:ind w:left="904" w:hanging="904" w:hangingChars="375"/>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14.3 响应文件因字迹潦草、表达不清所引起的后果由供应商负责。</w:t>
      </w:r>
    </w:p>
    <w:p w14:paraId="7B1D649D">
      <w:pPr>
        <w:pStyle w:val="3"/>
        <w:spacing w:before="0" w:line="288" w:lineRule="auto"/>
        <w:ind w:left="1080" w:leftChars="257" w:hanging="540"/>
        <w:rPr>
          <w:rFonts w:hint="eastAsia" w:ascii="仿宋" w:hAnsi="仿宋" w:eastAsia="仿宋" w:cs="仿宋"/>
          <w:color w:val="auto"/>
          <w:sz w:val="28"/>
          <w:highlight w:val="none"/>
          <w:lang w:eastAsia="zh-CN"/>
        </w:rPr>
      </w:pPr>
      <w:bookmarkStart w:id="275" w:name="_Toc25700"/>
      <w:bookmarkStart w:id="276" w:name="_Toc11179"/>
      <w:bookmarkStart w:id="277" w:name="_Toc22560"/>
      <w:bookmarkStart w:id="278" w:name="_Toc31447"/>
      <w:bookmarkStart w:id="279" w:name="_Toc25200"/>
      <w:bookmarkStart w:id="280" w:name="_Toc5332"/>
      <w:bookmarkStart w:id="281" w:name="_Toc520356159"/>
      <w:bookmarkStart w:id="282" w:name="_Toc11483"/>
      <w:bookmarkStart w:id="283" w:name="_Toc25925"/>
      <w:bookmarkStart w:id="284" w:name="_Toc9509"/>
      <w:bookmarkStart w:id="285" w:name="_Toc27533"/>
      <w:bookmarkStart w:id="286" w:name="_Toc216582808"/>
      <w:bookmarkStart w:id="287" w:name="_Toc24071"/>
      <w:bookmarkStart w:id="288" w:name="_Toc515647774"/>
      <w:bookmarkStart w:id="289" w:name="_Toc22843"/>
      <w:bookmarkStart w:id="290" w:name="_Toc16865"/>
      <w:r>
        <w:rPr>
          <w:rFonts w:hint="eastAsia" w:ascii="仿宋" w:hAnsi="仿宋" w:eastAsia="仿宋" w:cs="仿宋"/>
          <w:color w:val="auto"/>
          <w:sz w:val="28"/>
          <w:highlight w:val="none"/>
          <w:lang w:eastAsia="zh-CN"/>
        </w:rPr>
        <w:t>四 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4DF623A">
      <w:pPr>
        <w:pStyle w:val="4"/>
        <w:tabs>
          <w:tab w:val="left" w:pos="900"/>
        </w:tabs>
        <w:spacing w:before="0" w:after="0" w:line="288" w:lineRule="auto"/>
        <w:rPr>
          <w:rFonts w:hint="eastAsia" w:ascii="仿宋" w:hAnsi="仿宋" w:eastAsia="仿宋" w:cs="仿宋"/>
          <w:color w:val="auto"/>
          <w:highlight w:val="none"/>
          <w:lang w:eastAsia="zh-CN"/>
        </w:rPr>
      </w:pPr>
      <w:bookmarkStart w:id="291" w:name="_Toc21645"/>
      <w:bookmarkStart w:id="292" w:name="_Toc632"/>
      <w:bookmarkStart w:id="293" w:name="_Toc16795"/>
      <w:bookmarkStart w:id="294" w:name="_Toc26374"/>
      <w:bookmarkStart w:id="295" w:name="_Toc26195"/>
      <w:bookmarkStart w:id="296" w:name="_Toc32337"/>
      <w:bookmarkStart w:id="297" w:name="_Toc32131"/>
      <w:bookmarkStart w:id="298" w:name="_Toc515647775"/>
      <w:bookmarkStart w:id="299" w:name="_Toc520356160"/>
      <w:bookmarkStart w:id="300" w:name="_Toc6343"/>
      <w:r>
        <w:rPr>
          <w:rFonts w:hint="eastAsia" w:ascii="仿宋" w:hAnsi="仿宋" w:eastAsia="仿宋" w:cs="仿宋"/>
          <w:color w:val="auto"/>
          <w:highlight w:val="none"/>
          <w:lang w:eastAsia="zh-CN"/>
        </w:rPr>
        <w:t>15.投标文件的密封和标记</w:t>
      </w:r>
      <w:bookmarkEnd w:id="291"/>
      <w:bookmarkEnd w:id="292"/>
      <w:bookmarkEnd w:id="293"/>
      <w:bookmarkEnd w:id="294"/>
      <w:bookmarkEnd w:id="295"/>
      <w:bookmarkEnd w:id="296"/>
      <w:bookmarkEnd w:id="297"/>
      <w:bookmarkEnd w:id="298"/>
      <w:bookmarkEnd w:id="299"/>
      <w:bookmarkEnd w:id="300"/>
    </w:p>
    <w:p w14:paraId="42A83C52">
      <w:pPr>
        <w:tabs>
          <w:tab w:val="left" w:pos="-200"/>
          <w:tab w:val="left" w:pos="5580"/>
        </w:tabs>
        <w:spacing w:line="240" w:lineRule="atLeast"/>
        <w:ind w:left="960" w:hanging="960" w:hangingChars="400"/>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 xml:space="preserve">15.1    </w:t>
      </w:r>
      <w:r>
        <w:rPr>
          <w:rFonts w:hint="eastAsia" w:ascii="仿宋" w:hAnsi="仿宋" w:eastAsia="仿宋" w:cs="仿宋"/>
          <w:b/>
          <w:bCs/>
          <w:color w:val="auto"/>
          <w:sz w:val="24"/>
          <w:highlight w:val="none"/>
          <w:lang w:eastAsia="zh-CN"/>
        </w:rPr>
        <w:t>供应商应完整地按招标文件提供的投标文件格式及要求编写投标文件，供应商须在投标截止时间前完成在新疆政采云平台https://www.zcygov.cn 系统上递交电子投标文件。供应商的电子投标文件是经过CA证书加密后上传提交的，任何单位或个人均无法在投标截止时间之前查看或篡改，不存在泄密风险。（严格按照政采云电子投标流程制作并上传电子响应文件）</w:t>
      </w:r>
    </w:p>
    <w:p w14:paraId="4B083043">
      <w:pPr>
        <w:spacing w:line="288" w:lineRule="auto"/>
        <w:ind w:left="900" w:hanging="900" w:hangingChars="375"/>
        <w:rPr>
          <w:rFonts w:hint="eastAsia" w:ascii="仿宋" w:hAnsi="仿宋" w:eastAsia="仿宋" w:cs="仿宋"/>
          <w:color w:val="auto"/>
          <w:sz w:val="24"/>
          <w:highlight w:val="none"/>
          <w:lang w:eastAsia="zh-CN"/>
        </w:rPr>
      </w:pPr>
      <w:bookmarkStart w:id="301" w:name="_Toc28106"/>
      <w:r>
        <w:rPr>
          <w:rFonts w:hint="eastAsia" w:ascii="仿宋" w:hAnsi="仿宋" w:eastAsia="仿宋" w:cs="仿宋"/>
          <w:color w:val="auto"/>
          <w:sz w:val="24"/>
          <w:highlight w:val="none"/>
          <w:lang w:eastAsia="zh-CN"/>
        </w:rPr>
        <w:t xml:space="preserve">15.2   </w:t>
      </w:r>
      <w:bookmarkEnd w:id="301"/>
      <w:r>
        <w:rPr>
          <w:rFonts w:hint="eastAsia" w:ascii="仿宋" w:hAnsi="仿宋" w:eastAsia="仿宋" w:cs="仿宋"/>
          <w:color w:val="auto"/>
          <w:sz w:val="24"/>
          <w:highlight w:val="none"/>
          <w:lang w:eastAsia="zh-CN"/>
        </w:rPr>
        <w:t>供应商因自身原因导致电子投标文件无法导入电子评标系统的，该响应文件视为</w:t>
      </w:r>
      <w:r>
        <w:rPr>
          <w:rFonts w:hint="eastAsia" w:ascii="仿宋" w:hAnsi="仿宋" w:eastAsia="仿宋" w:cs="仿宋"/>
          <w:b/>
          <w:bCs/>
          <w:color w:val="auto"/>
          <w:sz w:val="24"/>
          <w:highlight w:val="none"/>
          <w:lang w:eastAsia="zh-CN"/>
        </w:rPr>
        <w:t>无效文件。</w:t>
      </w:r>
    </w:p>
    <w:p w14:paraId="569456B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15.3    电子投标文件具有法律效力,与其他形式的响应文件在内容和格式上等同，若投标文件与招标文件要求不一致，其内容影响成交结果时，责任由供应商自行承担。</w:t>
      </w:r>
    </w:p>
    <w:p w14:paraId="21702100">
      <w:pPr>
        <w:pStyle w:val="4"/>
        <w:tabs>
          <w:tab w:val="left" w:pos="900"/>
        </w:tabs>
        <w:spacing w:before="0" w:after="0" w:line="288" w:lineRule="auto"/>
        <w:rPr>
          <w:rFonts w:hint="eastAsia" w:ascii="仿宋" w:hAnsi="仿宋" w:eastAsia="仿宋" w:cs="仿宋"/>
          <w:color w:val="auto"/>
          <w:highlight w:val="none"/>
          <w:lang w:eastAsia="zh-CN"/>
        </w:rPr>
      </w:pPr>
      <w:bookmarkStart w:id="302" w:name="_Toc27547"/>
      <w:bookmarkStart w:id="303" w:name="_Toc520356161"/>
      <w:bookmarkStart w:id="304" w:name="_Toc12751"/>
      <w:bookmarkStart w:id="305" w:name="_Toc17361"/>
      <w:bookmarkStart w:id="306" w:name="_Toc7106"/>
      <w:bookmarkStart w:id="307" w:name="_Toc28170"/>
      <w:bookmarkStart w:id="308" w:name="_Toc515647776"/>
      <w:bookmarkStart w:id="309" w:name="_Toc24017"/>
      <w:bookmarkStart w:id="310" w:name="_Toc9840"/>
      <w:bookmarkStart w:id="311" w:name="_Toc1456"/>
      <w:r>
        <w:rPr>
          <w:rFonts w:hint="eastAsia" w:ascii="仿宋" w:hAnsi="仿宋" w:eastAsia="仿宋" w:cs="仿宋"/>
          <w:color w:val="auto"/>
          <w:highlight w:val="none"/>
          <w:lang w:eastAsia="zh-CN"/>
        </w:rPr>
        <w:t>16.投标截止</w:t>
      </w:r>
      <w:bookmarkEnd w:id="302"/>
      <w:bookmarkEnd w:id="303"/>
      <w:bookmarkEnd w:id="304"/>
      <w:bookmarkEnd w:id="305"/>
      <w:bookmarkEnd w:id="306"/>
      <w:bookmarkEnd w:id="307"/>
      <w:bookmarkEnd w:id="308"/>
      <w:bookmarkEnd w:id="309"/>
      <w:bookmarkEnd w:id="310"/>
      <w:bookmarkEnd w:id="311"/>
    </w:p>
    <w:p w14:paraId="051BA5BB">
      <w:pPr>
        <w:spacing w:line="240" w:lineRule="atLeast"/>
        <w:ind w:left="900" w:hanging="900" w:hangingChars="375"/>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16.1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投标人应在</w:t>
      </w:r>
      <w:r>
        <w:rPr>
          <w:rFonts w:hint="eastAsia" w:ascii="仿宋" w:hAnsi="仿宋" w:eastAsia="仿宋" w:cs="仿宋"/>
          <w:b/>
          <w:bCs/>
          <w:color w:val="auto"/>
          <w:sz w:val="24"/>
          <w:highlight w:val="none"/>
          <w:u w:val="single"/>
          <w:lang w:eastAsia="zh-CN"/>
        </w:rPr>
        <w:t>投标人须知资料表</w:t>
      </w:r>
      <w:r>
        <w:rPr>
          <w:rFonts w:hint="eastAsia" w:ascii="仿宋" w:hAnsi="仿宋" w:eastAsia="仿宋" w:cs="仿宋"/>
          <w:color w:val="auto"/>
          <w:sz w:val="24"/>
          <w:highlight w:val="none"/>
          <w:lang w:eastAsia="zh-CN"/>
        </w:rPr>
        <w:t>中规定的截止时间前，将投标文件递交到招标公告中规定的地点。</w:t>
      </w:r>
      <w:r>
        <w:rPr>
          <w:rFonts w:hint="eastAsia" w:ascii="仿宋" w:hAnsi="仿宋" w:eastAsia="仿宋" w:cs="仿宋"/>
          <w:b/>
          <w:bCs/>
          <w:color w:val="auto"/>
          <w:sz w:val="24"/>
          <w:highlight w:val="none"/>
          <w:lang w:eastAsia="zh-CN"/>
        </w:rPr>
        <w:t>解密时间30分钟，逾期未解密的视为投标无效。</w:t>
      </w:r>
    </w:p>
    <w:p w14:paraId="35CCEBB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16.2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采购人和采购代理机构有权按本须知的规定，延迟投标截止时间。在此情况下，采购人、采购代理机构和投标人受投标截止时间制约的所有权利和义务均应延长至新的截止时间。</w:t>
      </w:r>
    </w:p>
    <w:p w14:paraId="05DA7F5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16.3</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采购人和采购代理机构将拒绝接收在投标截止时间后上传的投标文件</w:t>
      </w:r>
    </w:p>
    <w:p w14:paraId="0641D4F1">
      <w:pPr>
        <w:pStyle w:val="4"/>
        <w:spacing w:before="0" w:after="0" w:line="240" w:lineRule="atLeast"/>
        <w:rPr>
          <w:rFonts w:hint="eastAsia" w:ascii="仿宋" w:hAnsi="仿宋" w:eastAsia="仿宋" w:cs="仿宋"/>
          <w:color w:val="auto"/>
          <w:highlight w:val="none"/>
          <w:lang w:eastAsia="zh-CN"/>
        </w:rPr>
      </w:pPr>
      <w:bookmarkStart w:id="312" w:name="_Toc31670"/>
      <w:bookmarkStart w:id="313" w:name="_Toc11458"/>
      <w:bookmarkStart w:id="314" w:name="_Toc520356162"/>
      <w:bookmarkStart w:id="315" w:name="_Toc24275"/>
      <w:bookmarkStart w:id="316" w:name="_Toc18537"/>
      <w:bookmarkStart w:id="317" w:name="_Toc24785"/>
      <w:bookmarkStart w:id="318" w:name="_Toc5718"/>
      <w:bookmarkStart w:id="319" w:name="_Toc515647777"/>
      <w:bookmarkStart w:id="320" w:name="_Toc21703"/>
      <w:bookmarkStart w:id="321" w:name="_Toc9987"/>
      <w:r>
        <w:rPr>
          <w:rFonts w:hint="eastAsia" w:ascii="仿宋" w:hAnsi="仿宋" w:eastAsia="仿宋" w:cs="仿宋"/>
          <w:color w:val="auto"/>
          <w:highlight w:val="none"/>
          <w:lang w:eastAsia="zh-CN"/>
        </w:rPr>
        <w:t>17.投标文件的接收、修改与撤回</w:t>
      </w:r>
      <w:bookmarkEnd w:id="312"/>
      <w:bookmarkEnd w:id="313"/>
      <w:bookmarkEnd w:id="314"/>
      <w:bookmarkEnd w:id="315"/>
      <w:bookmarkEnd w:id="316"/>
      <w:bookmarkEnd w:id="317"/>
      <w:bookmarkEnd w:id="318"/>
      <w:bookmarkEnd w:id="319"/>
      <w:bookmarkEnd w:id="320"/>
      <w:bookmarkEnd w:id="321"/>
    </w:p>
    <w:p w14:paraId="54F668EC">
      <w:pPr>
        <w:spacing w:line="240" w:lineRule="atLeast"/>
        <w:ind w:left="900" w:hanging="900" w:hangingChars="375"/>
        <w:rPr>
          <w:rFonts w:hint="eastAsia" w:ascii="仿宋" w:hAnsi="仿宋" w:eastAsia="仿宋" w:cs="仿宋"/>
          <w:b/>
          <w:color w:val="auto"/>
          <w:highlight w:val="none"/>
          <w:lang w:eastAsia="zh-CN"/>
        </w:rPr>
      </w:pPr>
      <w:r>
        <w:rPr>
          <w:rFonts w:hint="eastAsia" w:ascii="仿宋" w:hAnsi="仿宋" w:eastAsia="仿宋" w:cs="仿宋"/>
          <w:color w:val="auto"/>
          <w:sz w:val="24"/>
          <w:highlight w:val="none"/>
          <w:lang w:eastAsia="zh-CN"/>
        </w:rPr>
        <w:t>17.1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在投标截止时间后上传投标文件的，采购人和采购代理机构将</w:t>
      </w:r>
      <w:r>
        <w:rPr>
          <w:rFonts w:hint="eastAsia" w:ascii="仿宋" w:hAnsi="仿宋" w:eastAsia="仿宋" w:cs="仿宋"/>
          <w:b/>
          <w:bCs/>
          <w:color w:val="auto"/>
          <w:sz w:val="24"/>
          <w:highlight w:val="none"/>
          <w:lang w:eastAsia="zh-CN"/>
        </w:rPr>
        <w:t>拒绝接收</w:t>
      </w:r>
      <w:r>
        <w:rPr>
          <w:rFonts w:hint="eastAsia" w:ascii="仿宋" w:hAnsi="仿宋" w:eastAsia="仿宋" w:cs="仿宋"/>
          <w:color w:val="auto"/>
          <w:sz w:val="24"/>
          <w:highlight w:val="none"/>
          <w:lang w:eastAsia="zh-CN"/>
        </w:rPr>
        <w:t>。</w:t>
      </w:r>
    </w:p>
    <w:p w14:paraId="08B63CF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17.2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采购人或者采购代理机构收到投标文件后，应当如实记载投标文件的送达时间和密封情况。</w:t>
      </w:r>
    </w:p>
    <w:p w14:paraId="0FE1726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递交投标文件以后，如果投标人要进行修改或撤回投标，须提出书面申请并在投标截止时间前上传至</w:t>
      </w:r>
      <w:r>
        <w:rPr>
          <w:rFonts w:hint="eastAsia" w:ascii="仿宋" w:hAnsi="仿宋" w:eastAsia="仿宋" w:cs="仿宋"/>
          <w:b/>
          <w:bCs/>
          <w:color w:val="auto"/>
          <w:sz w:val="24"/>
          <w:highlight w:val="none"/>
        </w:rPr>
        <w:t>新疆政采云平台https://www.zcygov.cn</w:t>
      </w:r>
      <w:r>
        <w:rPr>
          <w:rFonts w:hint="eastAsia" w:ascii="仿宋" w:hAnsi="仿宋" w:eastAsia="仿宋" w:cs="仿宋"/>
          <w:color w:val="auto"/>
          <w:sz w:val="24"/>
          <w:highlight w:val="none"/>
        </w:rPr>
        <w:t>，投标人对投标文件的修改或撤回通知应按本须知规定编制、密封、标记。</w:t>
      </w:r>
      <w:r>
        <w:rPr>
          <w:rFonts w:hint="eastAsia" w:ascii="仿宋" w:hAnsi="仿宋" w:eastAsia="仿宋" w:cs="仿宋"/>
          <w:color w:val="auto"/>
          <w:sz w:val="24"/>
          <w:highlight w:val="none"/>
          <w:lang w:eastAsia="zh-CN"/>
        </w:rPr>
        <w:t>采购人和采购代理机构将予以接收，并视为投标文件的组成部分。</w:t>
      </w:r>
    </w:p>
    <w:p w14:paraId="19AB5F2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17.4</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在投标截止期之后，采购人和采购代理机构不接受投标人主动对其投标文件做任何修改。</w:t>
      </w:r>
    </w:p>
    <w:p w14:paraId="7A6E236B">
      <w:pPr>
        <w:spacing w:line="288" w:lineRule="auto"/>
        <w:ind w:left="900" w:hanging="900" w:hangingChars="375"/>
        <w:rPr>
          <w:rFonts w:hint="eastAsia" w:ascii="仿宋" w:hAnsi="仿宋" w:eastAsia="仿宋" w:cs="仿宋"/>
          <w:color w:val="auto"/>
          <w:sz w:val="24"/>
          <w:highlight w:val="none"/>
          <w:lang w:eastAsia="zh-CN"/>
        </w:rPr>
      </w:pPr>
      <w:bookmarkStart w:id="322" w:name="_Toc26872"/>
      <w:bookmarkStart w:id="323" w:name="_Toc19583"/>
      <w:bookmarkStart w:id="324" w:name="_Toc13495"/>
      <w:r>
        <w:rPr>
          <w:rFonts w:hint="eastAsia" w:ascii="仿宋" w:hAnsi="仿宋" w:eastAsia="仿宋" w:cs="仿宋"/>
          <w:color w:val="auto"/>
          <w:sz w:val="24"/>
          <w:highlight w:val="none"/>
          <w:lang w:eastAsia="zh-CN"/>
        </w:rPr>
        <w:t>17.5</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采购人和采购代理机构对所接收投标文件概不退回。</w:t>
      </w:r>
      <w:bookmarkEnd w:id="322"/>
      <w:bookmarkEnd w:id="323"/>
      <w:bookmarkEnd w:id="324"/>
    </w:p>
    <w:p w14:paraId="338926C5">
      <w:pPr>
        <w:pStyle w:val="3"/>
        <w:spacing w:before="0" w:line="288" w:lineRule="auto"/>
        <w:ind w:left="1080" w:leftChars="257" w:hanging="540"/>
        <w:rPr>
          <w:rFonts w:hint="eastAsia" w:ascii="仿宋" w:hAnsi="仿宋" w:eastAsia="仿宋" w:cs="仿宋"/>
          <w:color w:val="auto"/>
          <w:sz w:val="28"/>
          <w:highlight w:val="none"/>
        </w:rPr>
      </w:pPr>
      <w:bookmarkStart w:id="325" w:name="_Toc26876"/>
      <w:bookmarkStart w:id="326" w:name="_Toc520356163"/>
      <w:bookmarkStart w:id="327" w:name="_Toc28398"/>
      <w:bookmarkStart w:id="328" w:name="_Toc28581"/>
      <w:bookmarkStart w:id="329" w:name="_Toc26891"/>
      <w:bookmarkStart w:id="330" w:name="_Toc12436"/>
      <w:bookmarkStart w:id="331" w:name="_Toc20246"/>
      <w:bookmarkStart w:id="332" w:name="_Toc515647778"/>
      <w:bookmarkStart w:id="333" w:name="_Toc4683"/>
      <w:bookmarkStart w:id="334" w:name="_Toc25610"/>
      <w:bookmarkStart w:id="335" w:name="_Toc1135"/>
      <w:bookmarkStart w:id="336" w:name="_Toc22638"/>
      <w:bookmarkStart w:id="337" w:name="_Toc6326"/>
      <w:bookmarkStart w:id="338" w:name="_Toc27778"/>
      <w:bookmarkStart w:id="339" w:name="_Toc216582809"/>
      <w:bookmarkStart w:id="340" w:name="_Toc5077"/>
      <w:bookmarkStart w:id="341" w:name="_Toc515647780"/>
      <w:bookmarkStart w:id="342" w:name="_Toc21372"/>
      <w:bookmarkStart w:id="343" w:name="_Toc31290"/>
      <w:bookmarkStart w:id="344" w:name="_Toc19296"/>
      <w:r>
        <w:rPr>
          <w:rFonts w:hint="eastAsia" w:ascii="仿宋" w:hAnsi="仿宋" w:eastAsia="仿宋" w:cs="仿宋"/>
          <w:color w:val="auto"/>
          <w:sz w:val="28"/>
          <w:highlight w:val="none"/>
        </w:rPr>
        <w:t>五 开标及评标</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4646D0B">
      <w:pPr>
        <w:pStyle w:val="4"/>
        <w:numPr>
          <w:ilvl w:val="0"/>
          <w:numId w:val="3"/>
        </w:numPr>
        <w:spacing w:line="288" w:lineRule="auto"/>
        <w:rPr>
          <w:rFonts w:hint="eastAsia" w:ascii="仿宋" w:hAnsi="仿宋" w:eastAsia="仿宋" w:cs="仿宋"/>
          <w:color w:val="auto"/>
          <w:highlight w:val="none"/>
        </w:rPr>
      </w:pPr>
      <w:bookmarkStart w:id="345" w:name="_Toc25345"/>
      <w:bookmarkStart w:id="346" w:name="_Toc18521"/>
      <w:bookmarkStart w:id="347" w:name="_Toc17235"/>
      <w:bookmarkStart w:id="348" w:name="_Toc11395"/>
      <w:bookmarkStart w:id="349" w:name="_Toc21932"/>
      <w:bookmarkStart w:id="350" w:name="_Toc30168"/>
      <w:bookmarkStart w:id="351" w:name="_Toc433"/>
      <w:bookmarkStart w:id="352" w:name="_Toc520356164"/>
      <w:bookmarkStart w:id="353" w:name="_Toc32258"/>
      <w:bookmarkStart w:id="354" w:name="_Toc515647779"/>
      <w:bookmarkStart w:id="355" w:name="_Toc28774"/>
      <w:bookmarkStart w:id="356" w:name="_Toc7186"/>
      <w:bookmarkStart w:id="357" w:name="_Toc6310"/>
      <w:bookmarkStart w:id="358" w:name="_Toc15239"/>
      <w:bookmarkStart w:id="359" w:name="_Toc17257"/>
      <w:r>
        <w:rPr>
          <w:rFonts w:hint="eastAsia" w:ascii="仿宋" w:hAnsi="仿宋" w:eastAsia="仿宋" w:cs="仿宋"/>
          <w:color w:val="auto"/>
          <w:highlight w:val="none"/>
        </w:rPr>
        <w:t>开标</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F801376">
      <w:pPr>
        <w:numPr>
          <w:ilvl w:val="1"/>
          <w:numId w:val="3"/>
        </w:num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采购人和采购代理机构将按</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中规定的开标时间和地点组织公开开标并邀请所有投标人代表参加。</w:t>
      </w:r>
    </w:p>
    <w:p w14:paraId="53D3F7E5">
      <w:pPr>
        <w:spacing w:line="288" w:lineRule="auto"/>
        <w:ind w:left="735" w:leftChars="350" w:firstLine="120" w:firstLine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投标人不足3家的，不得开标。</w:t>
      </w:r>
    </w:p>
    <w:p w14:paraId="086902D5">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18.2   </w:t>
      </w:r>
      <w:r>
        <w:rPr>
          <w:rFonts w:hint="eastAsia" w:ascii="仿宋" w:hAnsi="仿宋" w:eastAsia="仿宋" w:cs="仿宋"/>
          <w:b/>
          <w:bCs/>
          <w:color w:val="auto"/>
          <w:sz w:val="24"/>
          <w:highlight w:val="none"/>
          <w:lang w:eastAsia="zh-CN"/>
        </w:rPr>
        <w:t>开标时，由代理机构工作人员点击响应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 w:hAnsi="仿宋" w:eastAsia="仿宋" w:cs="仿宋"/>
          <w:color w:val="auto"/>
          <w:sz w:val="24"/>
          <w:highlight w:val="none"/>
          <w:lang w:eastAsia="zh-CN"/>
        </w:rPr>
        <w:t>。</w:t>
      </w:r>
    </w:p>
    <w:p w14:paraId="54295F9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18.3   采购人或采购代理机构将对开标过程进行记录，由参加开标的各投标人代表和相关工作人员签字确认，并存档备查。</w:t>
      </w:r>
    </w:p>
    <w:p w14:paraId="3224403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18.4    投标人代表对开标过程和开标记录有疑义，以及认为采购人、采购代理机构相关工作人员有需要回避的情形的，应当场提出询问或者回避申请。</w:t>
      </w:r>
    </w:p>
    <w:p w14:paraId="5D90F138">
      <w:pPr>
        <w:pStyle w:val="4"/>
        <w:spacing w:before="0" w:after="0" w:line="288" w:lineRule="auto"/>
        <w:rPr>
          <w:rFonts w:hint="eastAsia" w:ascii="仿宋" w:hAnsi="仿宋" w:eastAsia="仿宋" w:cs="仿宋"/>
          <w:color w:val="auto"/>
          <w:highlight w:val="none"/>
          <w:lang w:eastAsia="zh-CN"/>
        </w:rPr>
      </w:pPr>
      <w:bookmarkStart w:id="360" w:name="_Toc11574"/>
      <w:bookmarkStart w:id="361" w:name="_Toc3739"/>
      <w:bookmarkStart w:id="362" w:name="_Toc1719"/>
      <w:bookmarkStart w:id="363" w:name="_Toc13177"/>
      <w:bookmarkStart w:id="364" w:name="_Toc30404"/>
      <w:bookmarkStart w:id="365" w:name="_Toc12012"/>
      <w:bookmarkStart w:id="366" w:name="_Toc10173"/>
      <w:bookmarkStart w:id="367" w:name="_Toc1947"/>
      <w:bookmarkStart w:id="368" w:name="_Toc10635"/>
      <w:bookmarkStart w:id="369" w:name="_Toc16060"/>
      <w:r>
        <w:rPr>
          <w:rFonts w:hint="eastAsia" w:ascii="仿宋" w:hAnsi="仿宋" w:eastAsia="仿宋" w:cs="仿宋"/>
          <w:color w:val="auto"/>
          <w:highlight w:val="none"/>
          <w:lang w:eastAsia="zh-CN"/>
        </w:rPr>
        <w:t>19.资格审查及组建评标委员会</w:t>
      </w:r>
      <w:bookmarkEnd w:id="341"/>
      <w:bookmarkEnd w:id="342"/>
      <w:bookmarkEnd w:id="343"/>
      <w:bookmarkEnd w:id="344"/>
      <w:bookmarkEnd w:id="360"/>
      <w:bookmarkEnd w:id="361"/>
      <w:bookmarkEnd w:id="362"/>
      <w:bookmarkEnd w:id="363"/>
      <w:bookmarkEnd w:id="364"/>
      <w:bookmarkEnd w:id="365"/>
      <w:bookmarkEnd w:id="366"/>
      <w:bookmarkEnd w:id="367"/>
      <w:bookmarkEnd w:id="368"/>
      <w:bookmarkEnd w:id="369"/>
    </w:p>
    <w:p w14:paraId="4A186996">
      <w:pPr>
        <w:spacing w:line="288" w:lineRule="auto"/>
        <w:ind w:left="960" w:hanging="960" w:hanging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19.1    采购人或采购代理机构依据法律法规和招标文件中规定的内容，对投标人及其货物的资格进行审查，未通过资格审查的投标人不进入评标；通过资格审查的投标人少于不足三家的，不得评标。</w:t>
      </w:r>
    </w:p>
    <w:p w14:paraId="3CF3FD52">
      <w:pPr>
        <w:spacing w:line="240" w:lineRule="atLeast"/>
        <w:ind w:left="857" w:leftChars="2" w:hanging="85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19.2</w:t>
      </w:r>
      <w:bookmarkStart w:id="370" w:name="_Toc520356166"/>
      <w:r>
        <w:rPr>
          <w:rFonts w:hint="eastAsia" w:ascii="仿宋" w:hAnsi="仿宋" w:eastAsia="仿宋" w:cs="仿宋"/>
          <w:color w:val="auto"/>
          <w:sz w:val="24"/>
          <w:highlight w:val="none"/>
          <w:lang w:eastAsia="zh-CN"/>
        </w:rPr>
        <w:t>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CDAF7DF">
      <w:pPr>
        <w:spacing w:line="240" w:lineRule="atLeast"/>
        <w:ind w:left="857" w:leftChars="2" w:hanging="853"/>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78681E1F">
      <w:pPr>
        <w:spacing w:line="240" w:lineRule="atLeast"/>
        <w:ind w:left="857" w:leftChars="2" w:hanging="85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以联合体形式参加投标的，联合体任何成员存在以上不良信用记录的，联合体投标将被认定为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7691B127">
      <w:pPr>
        <w:spacing w:line="240" w:lineRule="atLeast"/>
        <w:ind w:left="857" w:leftChars="2" w:hanging="853"/>
        <w:rPr>
          <w:rFonts w:hint="eastAsia" w:ascii="仿宋" w:hAnsi="仿宋" w:eastAsia="仿宋" w:cs="仿宋"/>
          <w:color w:val="auto"/>
          <w:sz w:val="24"/>
          <w:highlight w:val="none"/>
          <w:lang w:eastAsia="zh-CN"/>
        </w:rPr>
      </w:pPr>
      <w:r>
        <w:rPr>
          <w:rFonts w:hint="eastAsia" w:ascii="仿宋" w:hAnsi="仿宋" w:eastAsia="仿宋" w:cs="仿宋"/>
          <w:color w:val="auto"/>
          <w:highlight w:val="none"/>
          <w:lang w:eastAsia="zh-CN"/>
        </w:rPr>
        <w:t xml:space="preserve">19.2.2 </w:t>
      </w:r>
      <w:r>
        <w:rPr>
          <w:rFonts w:hint="eastAsia" w:ascii="仿宋" w:hAnsi="仿宋" w:eastAsia="仿宋" w:cs="仿宋"/>
          <w:color w:val="auto"/>
          <w:sz w:val="24"/>
          <w:highlight w:val="none"/>
          <w:lang w:eastAsia="zh-CN"/>
        </w:rPr>
        <w:t>查询及记录方式：采购人或采购代理机构经办人将查询网页打印、签字并存档备查。投标人不良信用记录以采购人或采购代理机构查询结果为准。</w:t>
      </w:r>
    </w:p>
    <w:p w14:paraId="0F8F7114">
      <w:pPr>
        <w:spacing w:line="240" w:lineRule="atLeast"/>
        <w:ind w:left="969" w:leftChars="458" w:hanging="7" w:hangingChars="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在本招标文件规定的查询时间之后，网站信息发生的任何变更均不再作为评标依据。</w:t>
      </w:r>
    </w:p>
    <w:p w14:paraId="51F49112">
      <w:pPr>
        <w:spacing w:line="240" w:lineRule="atLeast"/>
        <w:ind w:left="969" w:leftChars="458" w:hanging="7" w:hangingChars="3"/>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投标人自行提供的与网站信息不一致的其他证明材料亦不作为资格审查依据。</w:t>
      </w:r>
    </w:p>
    <w:p w14:paraId="2CEC9246">
      <w:pPr>
        <w:pStyle w:val="17"/>
        <w:ind w:left="960" w:hanging="960" w:hangingChars="400"/>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19.3   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bCs/>
          <w:color w:val="auto"/>
          <w:sz w:val="24"/>
          <w:highlight w:val="none"/>
          <w:u w:val="single"/>
          <w:lang w:eastAsia="zh-CN"/>
        </w:rPr>
        <w:t>本项目评标委员会由5人单数组成，其中：业主代表1人，评委4人（政采云专家库随机抽取）。</w:t>
      </w:r>
    </w:p>
    <w:p w14:paraId="2A3FA84D">
      <w:pPr>
        <w:pStyle w:val="17"/>
        <w:rPr>
          <w:rFonts w:hint="eastAsia" w:ascii="仿宋" w:hAnsi="仿宋" w:eastAsia="仿宋" w:cs="仿宋"/>
          <w:color w:val="auto"/>
          <w:highlight w:val="none"/>
          <w:lang w:eastAsia="zh-CN"/>
        </w:rPr>
      </w:pPr>
    </w:p>
    <w:p w14:paraId="31F4AE24">
      <w:pPr>
        <w:pStyle w:val="4"/>
        <w:spacing w:before="0" w:after="0" w:line="288" w:lineRule="auto"/>
        <w:rPr>
          <w:rFonts w:hint="eastAsia" w:ascii="仿宋" w:hAnsi="仿宋" w:eastAsia="仿宋" w:cs="仿宋"/>
          <w:b w:val="0"/>
          <w:bCs/>
          <w:color w:val="auto"/>
          <w:highlight w:val="none"/>
          <w:bdr w:val="single" w:color="auto" w:sz="4" w:space="0"/>
          <w:lang w:eastAsia="zh-CN"/>
        </w:rPr>
      </w:pPr>
      <w:bookmarkStart w:id="371" w:name="_Toc28479"/>
      <w:bookmarkStart w:id="372" w:name="_Toc20899"/>
      <w:bookmarkStart w:id="373" w:name="_Toc25418"/>
      <w:bookmarkStart w:id="374" w:name="_Toc23586"/>
      <w:bookmarkStart w:id="375" w:name="_Toc13960"/>
      <w:bookmarkStart w:id="376" w:name="_Toc515647781"/>
      <w:bookmarkStart w:id="377" w:name="_Toc12297"/>
      <w:bookmarkStart w:id="378" w:name="_Toc21183"/>
      <w:bookmarkStart w:id="379" w:name="_Toc26332"/>
      <w:bookmarkStart w:id="380" w:name="_Toc19949"/>
      <w:bookmarkStart w:id="381" w:name="_Toc30633"/>
      <w:bookmarkStart w:id="382" w:name="_Toc29906"/>
      <w:bookmarkStart w:id="383" w:name="_Toc2541"/>
      <w:bookmarkStart w:id="384" w:name="_Toc23153"/>
      <w:r>
        <w:rPr>
          <w:rFonts w:hint="eastAsia" w:ascii="仿宋" w:hAnsi="仿宋" w:eastAsia="仿宋" w:cs="仿宋"/>
          <w:color w:val="auto"/>
          <w:highlight w:val="none"/>
          <w:lang w:eastAsia="zh-CN"/>
        </w:rPr>
        <w:t>20.投标文件</w:t>
      </w:r>
      <w:bookmarkEnd w:id="370"/>
      <w:r>
        <w:rPr>
          <w:rFonts w:hint="eastAsia" w:ascii="仿宋" w:hAnsi="仿宋" w:eastAsia="仿宋" w:cs="仿宋"/>
          <w:color w:val="auto"/>
          <w:highlight w:val="none"/>
          <w:lang w:eastAsia="zh-CN"/>
        </w:rPr>
        <w:t>符合性审查与澄清</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E4C89F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20.1   符合性审查是指依据招标文件的规定，从投标文件的有效性和完整性对招标文件的响应程度进行审查，以确定是否对招标文件的实质性要求做出响应。</w:t>
      </w:r>
      <w:bookmarkStart w:id="385" w:name="_Hlt522424701"/>
      <w:bookmarkEnd w:id="385"/>
      <w:bookmarkStart w:id="386" w:name="_Toc520356167"/>
    </w:p>
    <w:p w14:paraId="3302905C">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投标文件的澄清</w:t>
      </w:r>
    </w:p>
    <w:p w14:paraId="11319A9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47762D8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20.2.2  投标人的的澄清、说明或补正将作为投标文件的一部分。</w:t>
      </w:r>
    </w:p>
    <w:p w14:paraId="6BAF3AAE">
      <w:pPr>
        <w:spacing w:line="288" w:lineRule="auto"/>
        <w:ind w:left="904" w:hanging="904" w:hangingChars="375"/>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20.3  投标文件报价出现前后不一致的，按照下列规定修正：</w:t>
      </w:r>
    </w:p>
    <w:p w14:paraId="26D7B3B4">
      <w:pPr>
        <w:spacing w:line="288" w:lineRule="auto"/>
        <w:ind w:left="1019" w:leftChars="228" w:hanging="540" w:hangingChars="2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（一）投标文件中开标一览表（报价表）内容与投标文件中相应内容不一致的，以开标一览表（报价表）为准；</w:t>
      </w:r>
    </w:p>
    <w:p w14:paraId="0D596815">
      <w:pPr>
        <w:spacing w:line="288" w:lineRule="auto"/>
        <w:ind w:left="899" w:leftChars="228" w:hanging="420" w:hanging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（二）大写金额和小写金额不一致的，以大写金额为准；</w:t>
      </w:r>
    </w:p>
    <w:p w14:paraId="0DF14426">
      <w:pPr>
        <w:spacing w:line="288" w:lineRule="auto"/>
        <w:ind w:left="1019" w:leftChars="114" w:hanging="780" w:hangingChars="3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（三）单价金额小数点或者百分比有明显错位的，以开标一览表的总价为准，并修改单价；</w:t>
      </w:r>
    </w:p>
    <w:p w14:paraId="3D30D200">
      <w:pPr>
        <w:spacing w:line="288" w:lineRule="auto"/>
        <w:ind w:left="899" w:leftChars="114" w:hanging="660" w:hangingChars="2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（四）总价金额与按单价汇总金额不一致的，以单价金额计算结果为准。</w:t>
      </w:r>
    </w:p>
    <w:p w14:paraId="6241CC81">
      <w:pPr>
        <w:spacing w:line="288" w:lineRule="auto"/>
        <w:ind w:left="899" w:leftChars="228" w:hanging="420" w:hanging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082B0009">
      <w:pPr>
        <w:spacing w:line="288" w:lineRule="auto"/>
        <w:ind w:left="735" w:leftChars="350" w:firstLine="120" w:firstLine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对不同文字文本投标文件的解释发生异议的，以中文文本为准。</w:t>
      </w:r>
    </w:p>
    <w:p w14:paraId="7F92C660">
      <w:pPr>
        <w:spacing w:line="288" w:lineRule="auto"/>
        <w:ind w:left="904" w:hanging="904" w:hangingChars="375"/>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20.4   如一个分包内只有一种产品，不同投标人所投产品为同一品牌的，按如下方式处理：</w:t>
      </w:r>
    </w:p>
    <w:p w14:paraId="557E2A5F">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159AC5A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14:paraId="60B353A4">
      <w:pPr>
        <w:spacing w:line="288" w:lineRule="auto"/>
        <w:ind w:left="900" w:hanging="900" w:hangingChars="375"/>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 xml:space="preserve">20.5   </w:t>
      </w:r>
      <w:r>
        <w:rPr>
          <w:rFonts w:hint="eastAsia" w:ascii="仿宋" w:hAnsi="仿宋" w:eastAsia="仿宋" w:cs="仿宋"/>
          <w:b/>
          <w:bCs/>
          <w:color w:val="auto"/>
          <w:sz w:val="24"/>
          <w:highlight w:val="none"/>
          <w:lang w:eastAsia="zh-CN"/>
        </w:rPr>
        <w:t>如一个分包内包含多种产品的，采购人或采购代理机构将在</w:t>
      </w:r>
      <w:r>
        <w:rPr>
          <w:rFonts w:hint="eastAsia" w:ascii="仿宋" w:hAnsi="仿宋" w:eastAsia="仿宋" w:cs="仿宋"/>
          <w:b/>
          <w:bCs/>
          <w:color w:val="auto"/>
          <w:sz w:val="24"/>
          <w:highlight w:val="none"/>
          <w:u w:val="single" w:color="000000"/>
          <w:lang w:eastAsia="zh-CN"/>
        </w:rPr>
        <w:t>投标人须知资料表</w:t>
      </w:r>
      <w:r>
        <w:rPr>
          <w:rFonts w:hint="eastAsia" w:ascii="仿宋" w:hAnsi="仿宋" w:eastAsia="仿宋" w:cs="仿宋"/>
          <w:b/>
          <w:bCs/>
          <w:color w:val="auto"/>
          <w:sz w:val="24"/>
          <w:highlight w:val="none"/>
          <w:lang w:eastAsia="zh-CN"/>
        </w:rPr>
        <w:t>中载明核心产品。</w:t>
      </w:r>
    </w:p>
    <w:p w14:paraId="5C37BF61">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20.6   投标人所投产品如被列入财政部与国家主管部门颁发的节能产品目录或环境标志产品目录，应提供相关证明，在评标时予以优先采购，具体优先采购办法见第六章评标方法和标准。</w:t>
      </w:r>
    </w:p>
    <w:p w14:paraId="542890A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w:t>
      </w:r>
    </w:p>
    <w:p w14:paraId="446C361B">
      <w:pPr>
        <w:pStyle w:val="4"/>
        <w:spacing w:before="0" w:after="0" w:line="288" w:lineRule="auto"/>
        <w:rPr>
          <w:rFonts w:hint="eastAsia" w:ascii="仿宋" w:hAnsi="仿宋" w:eastAsia="仿宋" w:cs="仿宋"/>
          <w:color w:val="auto"/>
          <w:highlight w:val="none"/>
          <w:lang w:eastAsia="zh-CN"/>
        </w:rPr>
      </w:pPr>
      <w:bookmarkStart w:id="387" w:name="_Toc24227"/>
      <w:bookmarkStart w:id="388" w:name="_Toc6034"/>
      <w:bookmarkStart w:id="389" w:name="_Toc8063"/>
      <w:bookmarkStart w:id="390" w:name="_Toc6364"/>
      <w:bookmarkStart w:id="391" w:name="_Toc9469"/>
      <w:bookmarkStart w:id="392" w:name="_Toc18529"/>
      <w:bookmarkStart w:id="393" w:name="_Toc5986"/>
      <w:bookmarkStart w:id="394" w:name="_Toc15064"/>
      <w:bookmarkStart w:id="395" w:name="_Toc12839"/>
      <w:bookmarkStart w:id="396" w:name="_Toc515647782"/>
      <w:bookmarkStart w:id="397" w:name="_Toc15628"/>
      <w:bookmarkStart w:id="398" w:name="_Toc5230"/>
      <w:bookmarkStart w:id="399" w:name="_Toc6003"/>
      <w:bookmarkStart w:id="400" w:name="_Toc25623"/>
      <w:r>
        <w:rPr>
          <w:rFonts w:hint="eastAsia" w:ascii="仿宋" w:hAnsi="仿宋" w:eastAsia="仿宋" w:cs="仿宋"/>
          <w:color w:val="auto"/>
          <w:highlight w:val="none"/>
          <w:lang w:eastAsia="zh-CN"/>
        </w:rPr>
        <w:t>21.投标偏离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385C092">
      <w:pPr>
        <w:spacing w:line="288" w:lineRule="auto"/>
        <w:ind w:left="848" w:leftChars="99" w:hanging="640" w:hangingChars="26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评标委员会可以接受投标文件中不构成实质性偏离的不正规或不一致。</w:t>
      </w:r>
    </w:p>
    <w:p w14:paraId="11F6C140">
      <w:pPr>
        <w:pStyle w:val="4"/>
        <w:spacing w:before="0" w:after="0" w:line="288" w:lineRule="auto"/>
        <w:rPr>
          <w:rFonts w:hint="eastAsia" w:ascii="仿宋" w:hAnsi="仿宋" w:eastAsia="仿宋" w:cs="仿宋"/>
          <w:color w:val="auto"/>
          <w:highlight w:val="none"/>
          <w:lang w:eastAsia="zh-CN"/>
        </w:rPr>
      </w:pPr>
      <w:bookmarkStart w:id="401" w:name="_Toc515647783"/>
      <w:bookmarkStart w:id="402" w:name="_Toc23936"/>
      <w:bookmarkStart w:id="403" w:name="_Toc7006"/>
      <w:bookmarkStart w:id="404" w:name="_Toc18719"/>
      <w:bookmarkStart w:id="405" w:name="_Toc32270"/>
      <w:bookmarkStart w:id="406" w:name="_Toc21597"/>
      <w:bookmarkStart w:id="407" w:name="_Toc4950"/>
      <w:bookmarkStart w:id="408" w:name="_Toc506"/>
      <w:bookmarkStart w:id="409" w:name="_Toc15752"/>
      <w:bookmarkStart w:id="410" w:name="_Toc6092"/>
      <w:bookmarkStart w:id="411" w:name="_Toc21189"/>
      <w:bookmarkStart w:id="412" w:name="_Toc17567"/>
      <w:bookmarkStart w:id="413" w:name="_Toc5457"/>
      <w:bookmarkStart w:id="414" w:name="_Toc21694"/>
      <w:r>
        <w:rPr>
          <w:rFonts w:hint="eastAsia" w:ascii="仿宋" w:hAnsi="仿宋" w:eastAsia="仿宋" w:cs="仿宋"/>
          <w:color w:val="auto"/>
          <w:highlight w:val="none"/>
          <w:lang w:eastAsia="zh-CN"/>
        </w:rPr>
        <w:t>22.投标</w:t>
      </w:r>
      <w:bookmarkEnd w:id="401"/>
      <w:r>
        <w:rPr>
          <w:rFonts w:hint="eastAsia" w:ascii="仿宋" w:hAnsi="仿宋" w:eastAsia="仿宋" w:cs="仿宋"/>
          <w:color w:val="auto"/>
          <w:highlight w:val="none"/>
          <w:lang w:eastAsia="zh-CN"/>
        </w:rPr>
        <w:t>无效</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004E40D4">
      <w:pPr>
        <w:spacing w:line="288" w:lineRule="auto"/>
        <w:ind w:left="852" w:leftChars="-23"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。投标人不得通过修正或撤销不符合要求的偏离，从而使其投标成为实质上响应的投标。</w:t>
      </w:r>
    </w:p>
    <w:p w14:paraId="467B55BF">
      <w:pPr>
        <w:spacing w:line="288" w:lineRule="auto"/>
        <w:ind w:left="792" w:leftChars="37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评标委员会决定投标的响应性只根据招标文件要求、投标文件内容及财政主管部门指定相关信息发布媒体。</w:t>
      </w:r>
    </w:p>
    <w:p w14:paraId="1867F185">
      <w:pPr>
        <w:spacing w:line="288" w:lineRule="auto"/>
        <w:ind w:left="900" w:hanging="900" w:hangingChars="375"/>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lang w:eastAsia="zh-CN"/>
        </w:rPr>
        <w:t>22.2</w:t>
      </w:r>
      <w:r>
        <w:rPr>
          <w:rFonts w:hint="eastAsia" w:ascii="仿宋" w:hAnsi="仿宋" w:eastAsia="仿宋" w:cs="仿宋"/>
          <w:color w:val="auto"/>
          <w:sz w:val="24"/>
          <w:highlight w:val="none"/>
          <w:lang w:eastAsia="zh-CN"/>
        </w:rPr>
        <w:tab/>
      </w:r>
      <w:r>
        <w:rPr>
          <w:rFonts w:hint="eastAsia" w:ascii="仿宋" w:hAnsi="仿宋" w:eastAsia="仿宋" w:cs="仿宋"/>
          <w:b/>
          <w:bCs/>
          <w:color w:val="auto"/>
          <w:sz w:val="24"/>
          <w:highlight w:val="none"/>
          <w:lang w:eastAsia="zh-CN"/>
        </w:rPr>
        <w:t>如发现下列情况之一的，其投标将被认定为投标无效：（以下情形应当在招标文件中规定，并以醒目的方式标明）</w:t>
      </w:r>
    </w:p>
    <w:p w14:paraId="11B61FC3">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未按招标文件规定的形式和金额提交投标保证金的；</w:t>
      </w:r>
    </w:p>
    <w:p w14:paraId="3C01AD39">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未按照招标文件规定要求签署、盖章的；</w:t>
      </w:r>
    </w:p>
    <w:p w14:paraId="2E75B6D3">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未满足招标文件中技术条款的实质性要求；</w:t>
      </w:r>
    </w:p>
    <w:p w14:paraId="3FF4661C">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与其他投标人串通投标，或者与招标人串通投标；</w:t>
      </w:r>
    </w:p>
    <w:p w14:paraId="110A36F0">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属于招标文件规定的其他</w:t>
      </w:r>
      <w:r>
        <w:rPr>
          <w:rFonts w:hint="eastAsia" w:ascii="仿宋" w:hAnsi="仿宋" w:eastAsia="仿宋" w:cs="仿宋"/>
          <w:b/>
          <w:bCs/>
          <w:color w:val="auto"/>
          <w:sz w:val="24"/>
          <w:highlight w:val="none"/>
          <w:lang w:eastAsia="zh-CN"/>
        </w:rPr>
        <w:t>投标无效</w:t>
      </w:r>
      <w:r>
        <w:rPr>
          <w:rFonts w:hint="eastAsia" w:ascii="仿宋" w:hAnsi="仿宋" w:eastAsia="仿宋" w:cs="仿宋"/>
          <w:color w:val="auto"/>
          <w:sz w:val="24"/>
          <w:highlight w:val="none"/>
          <w:lang w:eastAsia="zh-CN"/>
        </w:rPr>
        <w:t>情形；</w:t>
      </w:r>
    </w:p>
    <w:p w14:paraId="5EC64C21">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评标委员会认为投标人的报价明显低于其他通过符合性检查投标人的报价，有可能影响履约的，且投标人未按照规定证明其报价合理性的；</w:t>
      </w:r>
    </w:p>
    <w:p w14:paraId="28D681E6">
      <w:pPr>
        <w:numPr>
          <w:ilvl w:val="0"/>
          <w:numId w:val="4"/>
        </w:numPr>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投标文件含有采购人不能接受的附加条件的；</w:t>
      </w:r>
    </w:p>
    <w:p w14:paraId="2026A098">
      <w:pPr>
        <w:numPr>
          <w:ilvl w:val="0"/>
          <w:numId w:val="4"/>
        </w:numPr>
        <w:tabs>
          <w:tab w:val="left" w:pos="0"/>
        </w:tabs>
        <w:spacing w:line="288" w:lineRule="auto"/>
        <w:ind w:left="1081" w:leftChars="429" w:hanging="1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不符合法规和招标文件中规定的其他实质性要求的。</w:t>
      </w:r>
    </w:p>
    <w:p w14:paraId="1F332385">
      <w:pPr>
        <w:tabs>
          <w:tab w:val="left" w:pos="0"/>
        </w:tabs>
        <w:spacing w:line="288" w:lineRule="auto"/>
        <w:rPr>
          <w:rFonts w:hint="eastAsia" w:ascii="仿宋" w:hAnsi="仿宋" w:eastAsia="仿宋" w:cs="仿宋"/>
          <w:b/>
          <w:bCs/>
          <w:color w:val="auto"/>
          <w:sz w:val="24"/>
          <w:highlight w:val="none"/>
          <w:lang w:eastAsia="zh-CN"/>
        </w:rPr>
      </w:pPr>
      <w:bookmarkStart w:id="415" w:name="_Toc22941"/>
      <w:bookmarkStart w:id="416" w:name="_Toc13652"/>
      <w:bookmarkStart w:id="417" w:name="_Toc515647784"/>
      <w:bookmarkStart w:id="418" w:name="_Toc8521"/>
      <w:r>
        <w:rPr>
          <w:rFonts w:hint="eastAsia" w:ascii="仿宋" w:hAnsi="仿宋" w:eastAsia="仿宋" w:cs="仿宋"/>
          <w:b/>
          <w:bCs/>
          <w:color w:val="auto"/>
          <w:sz w:val="24"/>
          <w:highlight w:val="none"/>
          <w:lang w:eastAsia="zh-CN"/>
        </w:rPr>
        <w:t>23.</w:t>
      </w:r>
      <w:bookmarkEnd w:id="386"/>
      <w:r>
        <w:rPr>
          <w:rFonts w:hint="eastAsia" w:ascii="仿宋" w:hAnsi="仿宋" w:eastAsia="仿宋" w:cs="仿宋"/>
          <w:b/>
          <w:bCs/>
          <w:color w:val="auto"/>
          <w:sz w:val="24"/>
          <w:highlight w:val="none"/>
          <w:lang w:eastAsia="zh-CN"/>
        </w:rPr>
        <w:t>比较与评价</w:t>
      </w:r>
      <w:bookmarkEnd w:id="415"/>
      <w:bookmarkEnd w:id="416"/>
      <w:bookmarkEnd w:id="417"/>
      <w:bookmarkEnd w:id="418"/>
    </w:p>
    <w:p w14:paraId="109D3A7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经符合性审查合格的投标文件，评标委员会将根据招标文件确定的评标方法和标准，对其投标文件作进一步的比较和评价。</w:t>
      </w:r>
    </w:p>
    <w:p w14:paraId="4076B30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23.2  </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评标严格按照招标文件的要求和条件进行。根据实际情况，在</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中规定采用下列一种评标方法，详细评标标准见招标文件第六章：</w:t>
      </w:r>
    </w:p>
    <w:p w14:paraId="1658360D">
      <w:pPr>
        <w:pStyle w:val="12"/>
        <w:spacing w:line="288" w:lineRule="auto"/>
        <w:ind w:left="899" w:leftChars="342" w:hanging="1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 最低评标价法，是指投标文件满足招标文件全部实质性要求，且投标报价最低的投标人为中标候选人的评标方法。</w:t>
      </w:r>
    </w:p>
    <w:p w14:paraId="3986BB54">
      <w:pPr>
        <w:pStyle w:val="12"/>
        <w:spacing w:line="288" w:lineRule="auto"/>
        <w:ind w:left="898" w:leftChars="342" w:hanging="1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综合评分法，是指投标文件满足招标文件全部实质性要求，且按照评审因素的量化指标评审得分最高的投标人为中标候选人的评标方法。</w:t>
      </w:r>
    </w:p>
    <w:p w14:paraId="7793B201">
      <w:pPr>
        <w:pStyle w:val="12"/>
        <w:kinsoku/>
        <w:autoSpaceDE/>
        <w:autoSpaceDN/>
        <w:adjustRightInd/>
        <w:snapToGrid/>
        <w:spacing w:line="288" w:lineRule="auto"/>
        <w:ind w:left="960" w:hanging="960" w:hanging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23.3    </w:t>
      </w:r>
      <w:r>
        <w:rPr>
          <w:rFonts w:hint="eastAsia" w:ascii="仿宋" w:hAnsi="仿宋" w:eastAsia="仿宋" w:cs="仿宋"/>
          <w:color w:val="auto"/>
          <w:sz w:val="24"/>
          <w:szCs w:val="24"/>
          <w:highlight w:val="none"/>
          <w:u w:val="single"/>
          <w:lang w:eastAsia="zh-CN"/>
        </w:rPr>
        <w:t>根据《政府采购促进中小企业发展管理办法》(财库「2020]46号)、《关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w:t>
      </w:r>
      <w:bookmarkStart w:id="419" w:name="OLE_LINK1"/>
      <w:r>
        <w:rPr>
          <w:rFonts w:hint="eastAsia" w:ascii="仿宋" w:hAnsi="仿宋" w:eastAsia="仿宋" w:cs="仿宋"/>
          <w:color w:val="auto"/>
          <w:sz w:val="24"/>
          <w:szCs w:val="24"/>
          <w:highlight w:val="none"/>
          <w:u w:val="single"/>
          <w:lang w:eastAsia="zh-CN"/>
        </w:rPr>
        <w:t>投标报价扣除10%后参与评审</w:t>
      </w:r>
      <w:bookmarkEnd w:id="419"/>
      <w:r>
        <w:rPr>
          <w:rFonts w:hint="eastAsia" w:ascii="仿宋" w:hAnsi="仿宋" w:eastAsia="仿宋" w:cs="仿宋"/>
          <w:color w:val="auto"/>
          <w:sz w:val="24"/>
          <w:szCs w:val="24"/>
          <w:highlight w:val="none"/>
          <w:u w:val="single"/>
          <w:lang w:eastAsia="zh-CN"/>
        </w:rPr>
        <w:t>。具体办法详见招标文件第6章。</w:t>
      </w:r>
    </w:p>
    <w:p w14:paraId="68773077">
      <w:pPr>
        <w:pStyle w:val="12"/>
        <w:spacing w:line="288" w:lineRule="auto"/>
        <w:ind w:left="898" w:leftChars="342" w:hanging="180"/>
        <w:rPr>
          <w:rFonts w:hint="eastAsia" w:ascii="仿宋" w:hAnsi="仿宋" w:eastAsia="仿宋" w:cs="仿宋"/>
          <w:color w:val="auto"/>
          <w:sz w:val="24"/>
          <w:szCs w:val="24"/>
          <w:highlight w:val="none"/>
          <w:lang w:eastAsia="zh-CN"/>
        </w:rPr>
      </w:pPr>
    </w:p>
    <w:p w14:paraId="697CAFD5">
      <w:pPr>
        <w:pStyle w:val="4"/>
        <w:spacing w:before="0" w:after="0" w:line="288" w:lineRule="auto"/>
        <w:rPr>
          <w:rFonts w:hint="eastAsia" w:ascii="仿宋" w:hAnsi="仿宋" w:eastAsia="仿宋" w:cs="仿宋"/>
          <w:color w:val="auto"/>
          <w:highlight w:val="none"/>
          <w:lang w:eastAsia="zh-CN"/>
        </w:rPr>
      </w:pPr>
      <w:bookmarkStart w:id="420" w:name="_Toc520356168"/>
      <w:bookmarkStart w:id="421" w:name="_Toc20227"/>
      <w:bookmarkStart w:id="422" w:name="_Toc24607"/>
      <w:bookmarkStart w:id="423" w:name="_Toc15293"/>
      <w:bookmarkStart w:id="424" w:name="_Toc23673"/>
      <w:bookmarkStart w:id="425" w:name="_Toc31728"/>
      <w:bookmarkStart w:id="426" w:name="_Toc18723"/>
      <w:bookmarkStart w:id="427" w:name="_Toc29670"/>
      <w:bookmarkStart w:id="428" w:name="_Toc11401"/>
      <w:bookmarkStart w:id="429" w:name="_Toc9378"/>
      <w:bookmarkStart w:id="430" w:name="_Toc8424"/>
      <w:bookmarkStart w:id="431" w:name="_Toc14242"/>
      <w:bookmarkStart w:id="432" w:name="_Toc15050"/>
      <w:bookmarkStart w:id="433" w:name="_Toc17546"/>
      <w:bookmarkStart w:id="434" w:name="_Toc515647785"/>
      <w:r>
        <w:rPr>
          <w:rFonts w:hint="eastAsia" w:ascii="仿宋" w:hAnsi="仿宋" w:eastAsia="仿宋" w:cs="仿宋"/>
          <w:color w:val="auto"/>
          <w:highlight w:val="none"/>
          <w:lang w:eastAsia="zh-CN"/>
        </w:rPr>
        <w:t>24</w:t>
      </w:r>
      <w:bookmarkEnd w:id="420"/>
      <w:r>
        <w:rPr>
          <w:rFonts w:hint="eastAsia" w:ascii="仿宋" w:hAnsi="仿宋" w:eastAsia="仿宋" w:cs="仿宋"/>
          <w:color w:val="auto"/>
          <w:highlight w:val="none"/>
          <w:lang w:eastAsia="zh-CN"/>
        </w:rPr>
        <w:t>.废标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583414C">
      <w:pPr>
        <w:spacing w:line="288" w:lineRule="auto"/>
        <w:ind w:left="898" w:leftChars="399" w:hanging="60" w:hangingChars="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出现下列情形之一，将导致项目废标：</w:t>
      </w:r>
    </w:p>
    <w:p w14:paraId="6702E53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（1）符合专业条件的供应商或者对招标文件做实质性响应的供应商不足三家；</w:t>
      </w:r>
    </w:p>
    <w:p w14:paraId="7FE6C49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（2）出现影响采购公正的违法、违规行为的；</w:t>
      </w:r>
    </w:p>
    <w:p w14:paraId="6E84C5D4">
      <w:pPr>
        <w:spacing w:line="288" w:lineRule="auto"/>
        <w:ind w:firstLine="840" w:firstLine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（3）投标人的报价均超过了采购预算，采购人不能支付的；</w:t>
      </w:r>
    </w:p>
    <w:p w14:paraId="56FA3E4E">
      <w:pPr>
        <w:spacing w:line="288" w:lineRule="auto"/>
        <w:ind w:firstLine="840" w:firstLineChars="3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（4）因重大变故，采购任务取消的。</w:t>
      </w:r>
    </w:p>
    <w:p w14:paraId="2E836F32">
      <w:pPr>
        <w:pStyle w:val="4"/>
        <w:spacing w:before="0" w:after="0" w:line="288" w:lineRule="auto"/>
        <w:rPr>
          <w:rFonts w:hint="eastAsia" w:ascii="仿宋" w:hAnsi="仿宋" w:eastAsia="仿宋" w:cs="仿宋"/>
          <w:color w:val="auto"/>
          <w:highlight w:val="none"/>
          <w:lang w:eastAsia="zh-CN"/>
        </w:rPr>
      </w:pPr>
      <w:bookmarkStart w:id="435" w:name="_Toc515647786"/>
      <w:bookmarkStart w:id="436" w:name="_Toc12228"/>
      <w:bookmarkStart w:id="437" w:name="_Toc20311"/>
      <w:bookmarkStart w:id="438" w:name="_Toc19908"/>
      <w:bookmarkStart w:id="439" w:name="_Toc18758"/>
      <w:bookmarkStart w:id="440" w:name="_Toc11175"/>
      <w:bookmarkStart w:id="441" w:name="_Toc24972"/>
      <w:bookmarkStart w:id="442" w:name="_Toc10707"/>
      <w:bookmarkStart w:id="443" w:name="_Toc16912"/>
      <w:bookmarkStart w:id="444" w:name="_Toc30606"/>
      <w:bookmarkStart w:id="445" w:name="_Toc27384"/>
      <w:bookmarkStart w:id="446" w:name="_Toc31289"/>
      <w:bookmarkStart w:id="447" w:name="_Toc11699"/>
      <w:bookmarkStart w:id="448" w:name="_Toc30826"/>
      <w:bookmarkStart w:id="449" w:name="_Toc520356169"/>
      <w:r>
        <w:rPr>
          <w:rFonts w:hint="eastAsia" w:ascii="仿宋" w:hAnsi="仿宋" w:eastAsia="仿宋" w:cs="仿宋"/>
          <w:color w:val="auto"/>
          <w:highlight w:val="none"/>
          <w:lang w:eastAsia="zh-CN"/>
        </w:rPr>
        <w:t>25.保密原则</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1E2A407">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25.1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评标将在严格保密的情况下进行。</w:t>
      </w:r>
    </w:p>
    <w:p w14:paraId="00D2248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25.2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政府采购评审专家应当遵守评审工作纪律，不得泄露评审文件、评审情况和评审中获悉的商业秘密。</w:t>
      </w:r>
      <w:bookmarkStart w:id="450" w:name="_Toc2153"/>
      <w:bookmarkStart w:id="451" w:name="_Toc12143"/>
      <w:bookmarkStart w:id="452" w:name="_Toc216582810"/>
      <w:bookmarkStart w:id="453" w:name="_Toc515647787"/>
      <w:bookmarkStart w:id="454" w:name="_Toc23904"/>
    </w:p>
    <w:p w14:paraId="46468183">
      <w:pPr>
        <w:pStyle w:val="3"/>
        <w:spacing w:before="0" w:line="288" w:lineRule="auto"/>
        <w:ind w:left="1080" w:leftChars="257" w:hanging="540"/>
        <w:rPr>
          <w:rFonts w:hint="eastAsia" w:ascii="仿宋" w:hAnsi="仿宋" w:eastAsia="仿宋" w:cs="仿宋"/>
          <w:color w:val="auto"/>
          <w:sz w:val="28"/>
          <w:highlight w:val="none"/>
          <w:lang w:eastAsia="zh-CN"/>
        </w:rPr>
      </w:pPr>
      <w:bookmarkStart w:id="455" w:name="_Toc2098"/>
      <w:bookmarkStart w:id="456" w:name="_Toc31457"/>
      <w:bookmarkStart w:id="457" w:name="_Toc29576"/>
      <w:bookmarkStart w:id="458" w:name="_Toc11673"/>
      <w:bookmarkStart w:id="459" w:name="_Toc13388"/>
      <w:bookmarkStart w:id="460" w:name="_Toc17670"/>
      <w:bookmarkStart w:id="461" w:name="_Toc12298"/>
      <w:bookmarkStart w:id="462" w:name="_Toc6207"/>
      <w:bookmarkStart w:id="463" w:name="_Toc31174"/>
      <w:bookmarkStart w:id="464" w:name="_Toc4031"/>
      <w:r>
        <w:rPr>
          <w:rFonts w:hint="eastAsia" w:ascii="仿宋" w:hAnsi="仿宋" w:eastAsia="仿宋" w:cs="仿宋"/>
          <w:color w:val="auto"/>
          <w:sz w:val="28"/>
          <w:highlight w:val="none"/>
          <w:lang w:eastAsia="zh-CN"/>
        </w:rPr>
        <w:t xml:space="preserve">六 </w:t>
      </w:r>
      <w:bookmarkEnd w:id="449"/>
      <w:r>
        <w:rPr>
          <w:rFonts w:hint="eastAsia" w:ascii="仿宋" w:hAnsi="仿宋" w:eastAsia="仿宋" w:cs="仿宋"/>
          <w:color w:val="auto"/>
          <w:sz w:val="28"/>
          <w:highlight w:val="none"/>
          <w:lang w:eastAsia="zh-CN"/>
        </w:rPr>
        <w:t>确定中标</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CE4D51">
      <w:pPr>
        <w:pStyle w:val="5"/>
        <w:spacing w:line="288" w:lineRule="auto"/>
        <w:rPr>
          <w:rFonts w:hint="eastAsia" w:ascii="仿宋" w:hAnsi="仿宋" w:eastAsia="仿宋" w:cs="仿宋"/>
          <w:color w:val="auto"/>
          <w:highlight w:val="none"/>
          <w:lang w:eastAsia="zh-CN"/>
        </w:rPr>
      </w:pPr>
    </w:p>
    <w:p w14:paraId="3885231C">
      <w:pPr>
        <w:pStyle w:val="4"/>
        <w:spacing w:before="0" w:after="0" w:line="288" w:lineRule="auto"/>
        <w:rPr>
          <w:rFonts w:hint="eastAsia" w:ascii="仿宋" w:hAnsi="仿宋" w:eastAsia="仿宋" w:cs="仿宋"/>
          <w:color w:val="auto"/>
          <w:highlight w:val="none"/>
          <w:lang w:eastAsia="zh-CN"/>
        </w:rPr>
      </w:pPr>
      <w:bookmarkStart w:id="465" w:name="_Toc520356170"/>
      <w:bookmarkStart w:id="466" w:name="_Toc23617"/>
      <w:bookmarkStart w:id="467" w:name="_Toc515647788"/>
      <w:bookmarkStart w:id="468" w:name="_Toc13522"/>
      <w:bookmarkStart w:id="469" w:name="_Toc30908"/>
      <w:bookmarkStart w:id="470" w:name="_Ref467307010"/>
      <w:bookmarkStart w:id="471" w:name="_Toc32399"/>
      <w:bookmarkStart w:id="472" w:name="_Toc22599"/>
      <w:bookmarkStart w:id="473" w:name="_Toc286"/>
      <w:bookmarkStart w:id="474" w:name="_Toc25225"/>
      <w:bookmarkStart w:id="475" w:name="_Toc28066"/>
      <w:bookmarkStart w:id="476" w:name="_Toc29826"/>
      <w:bookmarkStart w:id="477" w:name="_Toc23538"/>
      <w:bookmarkStart w:id="478" w:name="_Toc23762"/>
      <w:bookmarkStart w:id="479" w:name="_Toc11587"/>
      <w:bookmarkStart w:id="480" w:name="_Toc30556"/>
      <w:r>
        <w:rPr>
          <w:rFonts w:hint="eastAsia" w:ascii="仿宋" w:hAnsi="仿宋" w:eastAsia="仿宋" w:cs="仿宋"/>
          <w:color w:val="auto"/>
          <w:highlight w:val="none"/>
          <w:lang w:eastAsia="zh-CN"/>
        </w:rPr>
        <w:t>26.中标候选人的确定原则及标准</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F249434">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除第28条规定外，对实质上响应招标文件的投标人按下列方法进行排序，确定投标候选人：</w:t>
      </w:r>
    </w:p>
    <w:p w14:paraId="70BE84AB">
      <w:pPr>
        <w:spacing w:line="288" w:lineRule="auto"/>
        <w:ind w:left="901"/>
        <w:rPr>
          <w:rFonts w:hint="eastAsia" w:ascii="仿宋" w:hAnsi="仿宋" w:eastAsia="仿宋" w:cs="仿宋"/>
          <w:color w:val="auto"/>
          <w:sz w:val="24"/>
          <w:highlight w:val="none"/>
          <w:lang w:eastAsia="zh-CN"/>
        </w:rPr>
      </w:pPr>
      <w:bookmarkStart w:id="481" w:name="_Toc520356171"/>
      <w:bookmarkStart w:id="482" w:name="_Toc515647789"/>
      <w:r>
        <w:rPr>
          <w:rFonts w:hint="eastAsia" w:ascii="仿宋" w:hAnsi="仿宋" w:eastAsia="仿宋" w:cs="仿宋"/>
          <w:color w:val="auto"/>
          <w:sz w:val="24"/>
          <w:highlight w:val="none"/>
          <w:lang w:eastAsia="zh-CN"/>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21145AB9">
      <w:pPr>
        <w:spacing w:line="288" w:lineRule="auto"/>
        <w:ind w:left="90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（2）采用综合评分法的，评标结果按评审后得分由高到低顺序排列。得分相同的，按修正和扣除后的投标报价由低到高顺序排列。得分与投标报价均相同的处理方式详见招标文件第6章。</w:t>
      </w:r>
    </w:p>
    <w:p w14:paraId="5E2F0772">
      <w:pPr>
        <w:pStyle w:val="4"/>
        <w:tabs>
          <w:tab w:val="left" w:pos="900"/>
        </w:tabs>
        <w:spacing w:before="0" w:after="0" w:line="288" w:lineRule="auto"/>
        <w:rPr>
          <w:rFonts w:hint="eastAsia" w:ascii="仿宋" w:hAnsi="仿宋" w:eastAsia="仿宋" w:cs="仿宋"/>
          <w:color w:val="auto"/>
          <w:highlight w:val="none"/>
          <w:lang w:eastAsia="zh-CN"/>
        </w:rPr>
      </w:pPr>
      <w:bookmarkStart w:id="483" w:name="_Toc15415"/>
      <w:bookmarkStart w:id="484" w:name="_Toc19685"/>
      <w:bookmarkStart w:id="485" w:name="_Toc19950"/>
      <w:bookmarkStart w:id="486" w:name="_Toc14469"/>
      <w:bookmarkStart w:id="487" w:name="_Toc10359"/>
      <w:bookmarkStart w:id="488" w:name="_Toc28266"/>
      <w:bookmarkStart w:id="489" w:name="_Toc23951"/>
      <w:bookmarkStart w:id="490" w:name="_Toc9653"/>
      <w:bookmarkStart w:id="491" w:name="_Toc17755"/>
      <w:bookmarkStart w:id="492" w:name="_Toc16479"/>
      <w:bookmarkStart w:id="493" w:name="_Toc22105"/>
      <w:bookmarkStart w:id="494" w:name="_Toc1493"/>
      <w:bookmarkStart w:id="495" w:name="_Toc8300"/>
      <w:r>
        <w:rPr>
          <w:rFonts w:hint="eastAsia" w:ascii="仿宋" w:hAnsi="仿宋" w:eastAsia="仿宋" w:cs="仿宋"/>
          <w:color w:val="auto"/>
          <w:highlight w:val="none"/>
          <w:lang w:eastAsia="zh-CN"/>
        </w:rPr>
        <w:t>27</w:t>
      </w:r>
      <w:bookmarkEnd w:id="481"/>
      <w:r>
        <w:rPr>
          <w:rFonts w:hint="eastAsia" w:ascii="仿宋" w:hAnsi="仿宋" w:eastAsia="仿宋" w:cs="仿宋"/>
          <w:color w:val="auto"/>
          <w:highlight w:val="none"/>
          <w:lang w:eastAsia="zh-CN"/>
        </w:rPr>
        <w:t>.确定中标候选人和中标人</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8096AC3">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评标委员会将根据评标标准，按</w:t>
      </w:r>
      <w:r>
        <w:rPr>
          <w:rFonts w:hint="eastAsia" w:ascii="仿宋" w:hAnsi="仿宋" w:eastAsia="仿宋" w:cs="仿宋"/>
          <w:color w:val="auto"/>
          <w:sz w:val="24"/>
          <w:highlight w:val="none"/>
          <w:u w:val="single" w:color="000000"/>
          <w:lang w:eastAsia="zh-CN"/>
        </w:rPr>
        <w:t>投标人须知资料表中</w:t>
      </w:r>
      <w:r>
        <w:rPr>
          <w:rFonts w:hint="eastAsia" w:ascii="仿宋" w:hAnsi="仿宋" w:eastAsia="仿宋" w:cs="仿宋"/>
          <w:color w:val="auto"/>
          <w:sz w:val="24"/>
          <w:highlight w:val="none"/>
          <w:lang w:eastAsia="zh-CN"/>
        </w:rPr>
        <w:t>规定数量推荐中标候选人；或根据采购人的委托，直接确定中标人。</w:t>
      </w:r>
    </w:p>
    <w:p w14:paraId="1861E107">
      <w:pPr>
        <w:pStyle w:val="4"/>
        <w:tabs>
          <w:tab w:val="left" w:pos="900"/>
        </w:tabs>
        <w:spacing w:before="0" w:after="0" w:line="288" w:lineRule="auto"/>
        <w:rPr>
          <w:rFonts w:hint="eastAsia" w:ascii="仿宋" w:hAnsi="仿宋" w:eastAsia="仿宋" w:cs="仿宋"/>
          <w:color w:val="auto"/>
          <w:highlight w:val="none"/>
          <w:lang w:eastAsia="zh-CN"/>
        </w:rPr>
      </w:pPr>
      <w:bookmarkStart w:id="496" w:name="_Ref467306874"/>
      <w:bookmarkStart w:id="497" w:name="_Toc520356173"/>
      <w:bookmarkStart w:id="498" w:name="_Toc8958"/>
      <w:bookmarkStart w:id="499" w:name="_Toc28562"/>
      <w:bookmarkStart w:id="500" w:name="_Toc27049"/>
      <w:bookmarkStart w:id="501" w:name="_Toc19331"/>
      <w:bookmarkStart w:id="502" w:name="_Toc26160"/>
      <w:bookmarkStart w:id="503" w:name="_Toc11867"/>
      <w:bookmarkStart w:id="504" w:name="_Toc16986"/>
      <w:bookmarkStart w:id="505" w:name="_Toc28621"/>
      <w:bookmarkStart w:id="506" w:name="_Toc26197"/>
      <w:bookmarkStart w:id="507" w:name="_Toc515647790"/>
      <w:bookmarkStart w:id="508" w:name="_Toc13782"/>
      <w:bookmarkStart w:id="509" w:name="_Toc6582"/>
      <w:bookmarkStart w:id="510" w:name="_Toc8389"/>
      <w:bookmarkStart w:id="511" w:name="_Toc7783"/>
      <w:r>
        <w:rPr>
          <w:rFonts w:hint="eastAsia" w:ascii="仿宋" w:hAnsi="仿宋" w:eastAsia="仿宋" w:cs="仿宋"/>
          <w:color w:val="auto"/>
          <w:highlight w:val="none"/>
          <w:lang w:eastAsia="zh-CN"/>
        </w:rPr>
        <w:t>28.</w:t>
      </w:r>
      <w:bookmarkEnd w:id="496"/>
      <w:bookmarkEnd w:id="497"/>
      <w:r>
        <w:rPr>
          <w:rFonts w:hint="eastAsia" w:ascii="仿宋" w:hAnsi="仿宋" w:eastAsia="仿宋" w:cs="仿宋"/>
          <w:color w:val="auto"/>
          <w:highlight w:val="none"/>
          <w:lang w:eastAsia="zh-CN"/>
        </w:rPr>
        <w:t>采购任务取消</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6007C5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因重大变故采购任务取消时，采购人有权拒绝任何投标人中标，且对受影响的投标人不承担任何责任。</w:t>
      </w:r>
      <w:bookmarkStart w:id="512" w:name="_Toc520356174"/>
    </w:p>
    <w:p w14:paraId="17C104C0">
      <w:pPr>
        <w:pStyle w:val="4"/>
        <w:spacing w:before="0" w:after="0" w:line="288" w:lineRule="auto"/>
        <w:rPr>
          <w:rFonts w:hint="eastAsia" w:ascii="仿宋" w:hAnsi="仿宋" w:eastAsia="仿宋" w:cs="仿宋"/>
          <w:color w:val="auto"/>
          <w:highlight w:val="none"/>
          <w:lang w:eastAsia="zh-CN"/>
        </w:rPr>
      </w:pPr>
      <w:bookmarkStart w:id="513" w:name="_Toc30170"/>
      <w:bookmarkStart w:id="514" w:name="_Toc3276"/>
      <w:bookmarkStart w:id="515" w:name="_Toc22190"/>
      <w:bookmarkStart w:id="516" w:name="_Toc31992"/>
      <w:bookmarkStart w:id="517" w:name="_Toc515647791"/>
      <w:bookmarkStart w:id="518" w:name="_Toc14229"/>
      <w:bookmarkStart w:id="519" w:name="_Toc31281"/>
      <w:bookmarkStart w:id="520" w:name="_Toc13508"/>
      <w:bookmarkStart w:id="521" w:name="_Toc31099"/>
      <w:bookmarkStart w:id="522" w:name="_Toc5136"/>
      <w:bookmarkStart w:id="523" w:name="_Toc25468"/>
      <w:bookmarkStart w:id="524" w:name="_Toc10164"/>
      <w:bookmarkStart w:id="525" w:name="_Toc31142"/>
      <w:bookmarkStart w:id="526" w:name="_Toc2614"/>
      <w:r>
        <w:rPr>
          <w:rFonts w:hint="eastAsia" w:ascii="仿宋" w:hAnsi="仿宋" w:eastAsia="仿宋" w:cs="仿宋"/>
          <w:color w:val="auto"/>
          <w:highlight w:val="none"/>
          <w:lang w:eastAsia="zh-CN"/>
        </w:rPr>
        <w:t>29.中标通知书</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17226EA">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29.1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在投标有效期内，中标人确定后，采购人或者采购代理机构发布中标公告，公示期后以书面形式向中标人发出中标通知书。</w:t>
      </w:r>
    </w:p>
    <w:p w14:paraId="74FBA3C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29.2</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中标通知书是合同的组成部分。</w:t>
      </w:r>
    </w:p>
    <w:p w14:paraId="2E6B26BD">
      <w:pPr>
        <w:pStyle w:val="4"/>
        <w:spacing w:before="0" w:after="0" w:line="288" w:lineRule="auto"/>
        <w:rPr>
          <w:rFonts w:hint="eastAsia" w:ascii="仿宋" w:hAnsi="仿宋" w:eastAsia="仿宋" w:cs="仿宋"/>
          <w:color w:val="auto"/>
          <w:highlight w:val="none"/>
          <w:lang w:eastAsia="zh-CN"/>
        </w:rPr>
      </w:pPr>
      <w:bookmarkStart w:id="527" w:name="_Toc7779"/>
      <w:bookmarkStart w:id="528" w:name="_Toc28520"/>
      <w:bookmarkStart w:id="529" w:name="_Toc10227"/>
      <w:bookmarkStart w:id="530" w:name="_Toc19020"/>
      <w:bookmarkStart w:id="531" w:name="_Toc28367"/>
      <w:bookmarkStart w:id="532" w:name="_Ref467306978"/>
      <w:bookmarkStart w:id="533" w:name="_Ref467307204"/>
      <w:bookmarkStart w:id="534" w:name="_Toc515647792"/>
      <w:bookmarkStart w:id="535" w:name="_Toc790"/>
      <w:bookmarkStart w:id="536" w:name="_Toc520356175"/>
      <w:bookmarkStart w:id="537" w:name="_Toc27557"/>
      <w:bookmarkStart w:id="538" w:name="_Toc17224"/>
      <w:bookmarkStart w:id="539" w:name="_Toc24763"/>
      <w:bookmarkStart w:id="540" w:name="_Toc32036"/>
      <w:bookmarkStart w:id="541" w:name="_Toc31080"/>
      <w:bookmarkStart w:id="542" w:name="_Ref467306377"/>
      <w:bookmarkStart w:id="543" w:name="_Toc10386"/>
      <w:bookmarkStart w:id="544" w:name="_Ref467307062"/>
      <w:bookmarkStart w:id="545" w:name="_Toc14795"/>
      <w:r>
        <w:rPr>
          <w:rFonts w:hint="eastAsia" w:ascii="仿宋" w:hAnsi="仿宋" w:eastAsia="仿宋" w:cs="仿宋"/>
          <w:color w:val="auto"/>
          <w:highlight w:val="none"/>
          <w:lang w:eastAsia="zh-CN"/>
        </w:rPr>
        <w:t>30.签订合同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061CF3C9">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中标人应当自发出中标通知书之日起30日内，与采购人签订合同。</w:t>
      </w:r>
    </w:p>
    <w:p w14:paraId="09450E19">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30.2</w:t>
      </w:r>
      <w:r>
        <w:rPr>
          <w:rFonts w:hint="eastAsia" w:ascii="仿宋" w:hAnsi="仿宋" w:eastAsia="仿宋" w:cs="仿宋"/>
          <w:color w:val="auto"/>
          <w:sz w:val="24"/>
          <w:highlight w:val="none"/>
          <w:lang w:eastAsia="zh-CN"/>
        </w:rPr>
        <w:tab/>
      </w:r>
      <w:bookmarkStart w:id="546" w:name="_Ref467307090"/>
      <w:bookmarkStart w:id="547" w:name="_Ref467306425"/>
      <w:bookmarkStart w:id="548" w:name="_Toc520356176"/>
      <w:r>
        <w:rPr>
          <w:rFonts w:hint="eastAsia" w:ascii="仿宋" w:hAnsi="仿宋" w:eastAsia="仿宋" w:cs="仿宋"/>
          <w:color w:val="auto"/>
          <w:sz w:val="24"/>
          <w:highlight w:val="none"/>
          <w:lang w:eastAsia="zh-CN"/>
        </w:rPr>
        <w:t>招标文件、中标人的投标文件及其澄清文件等，均为签订合同的依据。</w:t>
      </w:r>
    </w:p>
    <w:p w14:paraId="6172D59F">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30.3   中标人拒绝与采购人签订合同的，采购人可以按照评审报告推荐的中标候选人名单排序，确定下一中标候选人为中标人，也可以重新开展政府采购活动。</w:t>
      </w:r>
    </w:p>
    <w:p w14:paraId="58F608F1">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30.4   当出现法规规定的</w:t>
      </w:r>
      <w:r>
        <w:rPr>
          <w:rFonts w:hint="eastAsia" w:ascii="仿宋" w:hAnsi="仿宋" w:eastAsia="仿宋" w:cs="仿宋"/>
          <w:b/>
          <w:color w:val="auto"/>
          <w:sz w:val="24"/>
          <w:highlight w:val="none"/>
          <w:lang w:eastAsia="zh-CN"/>
        </w:rPr>
        <w:t>中标无效或中标结果无效</w:t>
      </w:r>
      <w:r>
        <w:rPr>
          <w:rFonts w:hint="eastAsia" w:ascii="仿宋" w:hAnsi="仿宋" w:eastAsia="仿宋" w:cs="仿宋"/>
          <w:color w:val="auto"/>
          <w:sz w:val="24"/>
          <w:highlight w:val="none"/>
          <w:lang w:eastAsia="zh-CN"/>
        </w:rPr>
        <w:t>情形时，采购人可与排名下一位的中标候选人另行签订合同，或依法重新开展采购活动。</w:t>
      </w:r>
    </w:p>
    <w:p w14:paraId="7F202F3F">
      <w:pPr>
        <w:pStyle w:val="4"/>
        <w:spacing w:before="0" w:after="0" w:line="288" w:lineRule="auto"/>
        <w:rPr>
          <w:rFonts w:hint="eastAsia" w:ascii="仿宋" w:hAnsi="仿宋" w:eastAsia="仿宋" w:cs="仿宋"/>
          <w:color w:val="auto"/>
          <w:highlight w:val="none"/>
          <w:lang w:eastAsia="zh-CN"/>
        </w:rPr>
      </w:pPr>
      <w:bookmarkStart w:id="549" w:name="_Toc25751"/>
      <w:bookmarkStart w:id="550" w:name="_Toc27954"/>
      <w:bookmarkStart w:id="551" w:name="_Toc7188"/>
      <w:bookmarkStart w:id="552" w:name="_Toc16031"/>
      <w:bookmarkStart w:id="553" w:name="_Toc13900"/>
      <w:bookmarkStart w:id="554" w:name="_Toc22555"/>
      <w:bookmarkStart w:id="555" w:name="_Toc10395"/>
      <w:bookmarkStart w:id="556" w:name="_Toc515647793"/>
      <w:bookmarkStart w:id="557" w:name="_Toc25154"/>
      <w:bookmarkStart w:id="558" w:name="_Toc11523"/>
      <w:bookmarkStart w:id="559" w:name="_Toc16785"/>
      <w:bookmarkStart w:id="560" w:name="_Toc23806"/>
      <w:bookmarkStart w:id="561" w:name="_Toc5487"/>
      <w:bookmarkStart w:id="562" w:name="_Toc14080"/>
      <w:r>
        <w:rPr>
          <w:rFonts w:hint="eastAsia" w:ascii="仿宋" w:hAnsi="仿宋" w:eastAsia="仿宋" w:cs="仿宋"/>
          <w:color w:val="auto"/>
          <w:highlight w:val="none"/>
          <w:lang w:eastAsia="zh-CN"/>
        </w:rPr>
        <w:t>31.履约保证金</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D537EE1">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31.1</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中标人应按照</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规定向采购人缴纳履约保证金。</w:t>
      </w:r>
    </w:p>
    <w:p w14:paraId="1F26E9AB">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31.2   如果中标人没有按照上述履约保证金的规定执行，将视为放弃中标资格，中标人的投标保证金将不予退还。在此情况下，采购人可确定下一候选人为中标人，也可以重新开展采购活动。</w:t>
      </w:r>
    </w:p>
    <w:p w14:paraId="0906B123">
      <w:pPr>
        <w:pStyle w:val="4"/>
        <w:spacing w:before="0" w:after="0" w:line="288" w:lineRule="auto"/>
        <w:rPr>
          <w:rFonts w:hint="eastAsia" w:ascii="仿宋" w:hAnsi="仿宋" w:eastAsia="仿宋" w:cs="仿宋"/>
          <w:color w:val="auto"/>
          <w:highlight w:val="none"/>
          <w:lang w:eastAsia="zh-CN"/>
        </w:rPr>
      </w:pPr>
      <w:bookmarkStart w:id="563" w:name="_Toc10961"/>
      <w:bookmarkStart w:id="564" w:name="_Toc31936"/>
      <w:bookmarkStart w:id="565" w:name="_Toc29408"/>
      <w:bookmarkStart w:id="566" w:name="_Toc32069"/>
      <w:bookmarkStart w:id="567" w:name="_Toc27777"/>
      <w:bookmarkStart w:id="568" w:name="_Toc30049"/>
      <w:bookmarkStart w:id="569" w:name="_Toc24667"/>
      <w:bookmarkStart w:id="570" w:name="_Toc12106"/>
      <w:bookmarkStart w:id="571" w:name="_Toc15895"/>
      <w:bookmarkStart w:id="572" w:name="_Toc19288"/>
      <w:bookmarkStart w:id="573" w:name="_Toc3090"/>
      <w:bookmarkStart w:id="574" w:name="_Toc7922"/>
      <w:bookmarkStart w:id="575" w:name="_Toc11875"/>
      <w:bookmarkStart w:id="576" w:name="_Toc515647794"/>
      <w:r>
        <w:rPr>
          <w:rFonts w:hint="eastAsia" w:ascii="仿宋" w:hAnsi="仿宋" w:eastAsia="仿宋" w:cs="仿宋"/>
          <w:color w:val="auto"/>
          <w:highlight w:val="none"/>
          <w:lang w:eastAsia="zh-CN"/>
        </w:rPr>
        <w:t>32.中标服务费</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4416597">
      <w:pPr>
        <w:spacing w:line="288" w:lineRule="auto"/>
        <w:ind w:left="840" w:leftChars="200" w:hanging="420" w:hangingChars="1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中标人须按照</w:t>
      </w:r>
      <w:r>
        <w:rPr>
          <w:rFonts w:hint="eastAsia" w:ascii="仿宋" w:hAnsi="仿宋" w:eastAsia="仿宋" w:cs="仿宋"/>
          <w:color w:val="auto"/>
          <w:sz w:val="24"/>
          <w:highlight w:val="none"/>
          <w:u w:val="single" w:color="000000"/>
          <w:lang w:eastAsia="zh-CN"/>
        </w:rPr>
        <w:t>投标须知资料表</w:t>
      </w:r>
      <w:r>
        <w:rPr>
          <w:rFonts w:hint="eastAsia" w:ascii="仿宋" w:hAnsi="仿宋" w:eastAsia="仿宋" w:cs="仿宋"/>
          <w:color w:val="auto"/>
          <w:sz w:val="24"/>
          <w:highlight w:val="none"/>
          <w:lang w:eastAsia="zh-CN"/>
        </w:rPr>
        <w:t>规定，向采购代理机构支付中标服务费。</w:t>
      </w:r>
    </w:p>
    <w:p w14:paraId="78376064">
      <w:pPr>
        <w:pStyle w:val="4"/>
        <w:spacing w:before="0" w:after="0" w:line="288" w:lineRule="auto"/>
        <w:rPr>
          <w:rFonts w:hint="eastAsia" w:ascii="仿宋" w:hAnsi="仿宋" w:eastAsia="仿宋" w:cs="仿宋"/>
          <w:color w:val="auto"/>
          <w:highlight w:val="none"/>
          <w:lang w:eastAsia="zh-CN"/>
        </w:rPr>
      </w:pPr>
      <w:bookmarkStart w:id="577" w:name="_Toc24674"/>
      <w:bookmarkStart w:id="578" w:name="_Toc13588"/>
      <w:bookmarkStart w:id="579" w:name="_Toc515647795"/>
      <w:bookmarkStart w:id="580" w:name="_Toc12385"/>
      <w:bookmarkStart w:id="581" w:name="_Toc17196"/>
      <w:bookmarkStart w:id="582" w:name="_Toc24553"/>
      <w:bookmarkStart w:id="583" w:name="_Toc14390"/>
      <w:bookmarkStart w:id="584" w:name="_Toc7049"/>
      <w:bookmarkStart w:id="585" w:name="_Toc30722"/>
      <w:bookmarkStart w:id="586" w:name="_Toc16253"/>
      <w:bookmarkStart w:id="587" w:name="_Toc3954"/>
      <w:bookmarkStart w:id="588" w:name="_Toc28457"/>
      <w:bookmarkStart w:id="589" w:name="_Toc6923"/>
      <w:bookmarkStart w:id="590" w:name="_Toc10427"/>
      <w:r>
        <w:rPr>
          <w:rFonts w:hint="eastAsia" w:ascii="仿宋" w:hAnsi="仿宋" w:eastAsia="仿宋" w:cs="仿宋"/>
          <w:color w:val="auto"/>
          <w:highlight w:val="none"/>
          <w:lang w:eastAsia="zh-CN"/>
        </w:rPr>
        <w:t>33.政府采购信用担保</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B3AABC0">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33.1   本项目是否属于信用担保试点范围见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5FA6A446">
      <w:pPr>
        <w:spacing w:line="288" w:lineRule="auto"/>
        <w:ind w:left="850" w:hanging="849" w:hangingChars="354"/>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   如属于政府采购信用担保试点范围内，中小型企业投标人可以自由按照财政部门的规定，采用投标担保、履约担保和融资担保。</w:t>
      </w:r>
    </w:p>
    <w:p w14:paraId="596FA7B2">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33.2.1 投标人递交的投标担保函和履约担保函应符合本招标文件的规定。</w:t>
      </w:r>
    </w:p>
    <w:p w14:paraId="647B181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33.2.2 中标人可以采取融资担保的形式为政府采购项目履约进行融资。</w:t>
      </w:r>
    </w:p>
    <w:p w14:paraId="01389BC5">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33.2.3 合格的政府采购专业信用担保机构名单见</w:t>
      </w:r>
      <w:r>
        <w:rPr>
          <w:rFonts w:hint="eastAsia" w:ascii="仿宋" w:hAnsi="仿宋" w:eastAsia="仿宋" w:cs="仿宋"/>
          <w:color w:val="auto"/>
          <w:sz w:val="24"/>
          <w:highlight w:val="none"/>
          <w:u w:val="single" w:color="000000"/>
          <w:lang w:eastAsia="zh-CN"/>
        </w:rPr>
        <w:t>投标人须知资料表</w:t>
      </w:r>
      <w:r>
        <w:rPr>
          <w:rFonts w:hint="eastAsia" w:ascii="仿宋" w:hAnsi="仿宋" w:eastAsia="仿宋" w:cs="仿宋"/>
          <w:color w:val="auto"/>
          <w:sz w:val="24"/>
          <w:highlight w:val="none"/>
          <w:lang w:eastAsia="zh-CN"/>
        </w:rPr>
        <w:t>。</w:t>
      </w:r>
    </w:p>
    <w:p w14:paraId="3AA731C4">
      <w:pPr>
        <w:pStyle w:val="4"/>
        <w:spacing w:before="0" w:after="0" w:line="288" w:lineRule="auto"/>
        <w:rPr>
          <w:rFonts w:hint="eastAsia" w:ascii="仿宋" w:hAnsi="仿宋" w:eastAsia="仿宋" w:cs="仿宋"/>
          <w:color w:val="auto"/>
          <w:highlight w:val="none"/>
          <w:lang w:eastAsia="zh-CN"/>
        </w:rPr>
      </w:pPr>
      <w:bookmarkStart w:id="591" w:name="_Toc515647796"/>
      <w:bookmarkStart w:id="592" w:name="_Toc7"/>
      <w:bookmarkStart w:id="593" w:name="_Toc29352"/>
      <w:bookmarkStart w:id="594" w:name="_Toc9817"/>
      <w:bookmarkStart w:id="595" w:name="_Toc6716"/>
      <w:bookmarkStart w:id="596" w:name="_Toc23999"/>
      <w:bookmarkStart w:id="597" w:name="_Toc27198"/>
      <w:bookmarkStart w:id="598" w:name="_Toc9688"/>
      <w:bookmarkStart w:id="599" w:name="_Toc28024"/>
      <w:bookmarkStart w:id="600" w:name="_Toc20713"/>
      <w:bookmarkStart w:id="601" w:name="_Toc27852"/>
      <w:bookmarkStart w:id="602" w:name="_Toc22070"/>
      <w:bookmarkStart w:id="603" w:name="_Toc2133"/>
      <w:bookmarkStart w:id="604" w:name="_Toc21223"/>
      <w:r>
        <w:rPr>
          <w:rFonts w:hint="eastAsia" w:ascii="仿宋" w:hAnsi="仿宋" w:eastAsia="仿宋" w:cs="仿宋"/>
          <w:color w:val="auto"/>
          <w:highlight w:val="none"/>
          <w:lang w:eastAsia="zh-CN"/>
        </w:rPr>
        <w:t>34.廉洁自律规定</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1CCFCB96">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34.1   采购代理机构工作人员不得以不正当手段获取政府采购代理业务，不得与采购人、供应商恶意串通操纵政府采购活动。</w:t>
      </w:r>
    </w:p>
    <w:p w14:paraId="295135DA">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34.2   采购代理机构工作人员不得接受采购人或者供应商组织的宴请、旅游、娱乐，不得收受礼品、现金、有价证券等，不得向采购人或者供应商报销应当由个人承担的费用。</w:t>
      </w:r>
    </w:p>
    <w:p w14:paraId="3C5D6FEE">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34.3   为强化采购代理机构内部监督机制，供应商可按</w:t>
      </w:r>
      <w:r>
        <w:rPr>
          <w:rFonts w:hint="eastAsia" w:ascii="仿宋" w:hAnsi="仿宋" w:eastAsia="仿宋" w:cs="仿宋"/>
          <w:color w:val="auto"/>
          <w:sz w:val="24"/>
          <w:highlight w:val="none"/>
          <w:u w:val="single" w:color="000000"/>
          <w:lang w:eastAsia="zh-CN"/>
        </w:rPr>
        <w:t>投标人须知资料表中的</w:t>
      </w:r>
      <w:r>
        <w:rPr>
          <w:rFonts w:hint="eastAsia" w:ascii="仿宋" w:hAnsi="仿宋" w:eastAsia="仿宋" w:cs="仿宋"/>
          <w:color w:val="auto"/>
          <w:sz w:val="24"/>
          <w:highlight w:val="none"/>
          <w:lang w:eastAsia="zh-CN"/>
        </w:rPr>
        <w:t>监督电话和邮箱，反映采购代理机构的廉洁自律等问题。</w:t>
      </w:r>
    </w:p>
    <w:p w14:paraId="4056564E">
      <w:pPr>
        <w:pStyle w:val="4"/>
        <w:spacing w:before="0" w:after="0" w:line="288" w:lineRule="auto"/>
        <w:rPr>
          <w:rFonts w:hint="eastAsia" w:ascii="仿宋" w:hAnsi="仿宋" w:eastAsia="仿宋" w:cs="仿宋"/>
          <w:color w:val="auto"/>
          <w:highlight w:val="none"/>
          <w:lang w:eastAsia="zh-CN"/>
        </w:rPr>
      </w:pPr>
      <w:bookmarkStart w:id="605" w:name="_Toc7266"/>
      <w:bookmarkStart w:id="606" w:name="_Toc6874"/>
      <w:bookmarkStart w:id="607" w:name="_Toc11586"/>
      <w:bookmarkStart w:id="608" w:name="_Toc14897"/>
      <w:bookmarkStart w:id="609" w:name="_Toc3888"/>
      <w:bookmarkStart w:id="610" w:name="_Toc515647797"/>
      <w:bookmarkStart w:id="611" w:name="_Toc10437"/>
      <w:bookmarkStart w:id="612" w:name="_Toc22285"/>
      <w:bookmarkStart w:id="613" w:name="_Toc1541"/>
      <w:bookmarkStart w:id="614" w:name="_Toc18027"/>
      <w:bookmarkStart w:id="615" w:name="_Toc31644"/>
      <w:bookmarkStart w:id="616" w:name="_Toc25480"/>
      <w:bookmarkStart w:id="617" w:name="_Toc10376"/>
      <w:bookmarkStart w:id="618" w:name="_Toc24038"/>
      <w:r>
        <w:rPr>
          <w:rFonts w:hint="eastAsia" w:ascii="仿宋" w:hAnsi="仿宋" w:eastAsia="仿宋" w:cs="仿宋"/>
          <w:color w:val="auto"/>
          <w:highlight w:val="none"/>
          <w:lang w:eastAsia="zh-CN"/>
        </w:rPr>
        <w:t>35.人员回避</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A48B0BD">
      <w:pPr>
        <w:spacing w:line="288" w:lineRule="auto"/>
        <w:ind w:left="900" w:hanging="900" w:hangingChars="3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投标人认为采购人员及其相关人员有法律法规所列与其他供应商有利害关系的，可以向采购人或采购代理机构书面提出回避申请，并说明理由。</w:t>
      </w:r>
    </w:p>
    <w:p w14:paraId="2B278CED">
      <w:pPr>
        <w:pStyle w:val="4"/>
        <w:spacing w:before="0" w:after="0" w:line="340" w:lineRule="exact"/>
        <w:rPr>
          <w:rFonts w:hint="eastAsia" w:ascii="仿宋" w:hAnsi="仿宋" w:eastAsia="仿宋" w:cs="仿宋"/>
          <w:color w:val="auto"/>
          <w:szCs w:val="24"/>
          <w:highlight w:val="none"/>
          <w:u w:val="none"/>
          <w:lang w:eastAsia="zh-CN"/>
        </w:rPr>
      </w:pPr>
      <w:bookmarkStart w:id="619" w:name="_Toc16862"/>
      <w:bookmarkStart w:id="620" w:name="_Toc870"/>
      <w:bookmarkStart w:id="621" w:name="_Toc23678"/>
      <w:bookmarkStart w:id="622" w:name="_Toc3083"/>
      <w:bookmarkStart w:id="623" w:name="_Toc30751"/>
      <w:bookmarkStart w:id="624" w:name="_Toc23883"/>
      <w:bookmarkStart w:id="625" w:name="_Toc518923103"/>
      <w:r>
        <w:rPr>
          <w:rFonts w:hint="eastAsia" w:ascii="仿宋" w:hAnsi="仿宋" w:eastAsia="仿宋" w:cs="仿宋"/>
          <w:color w:val="auto"/>
          <w:szCs w:val="24"/>
          <w:highlight w:val="none"/>
          <w:u w:val="none"/>
          <w:lang w:eastAsia="zh-CN"/>
        </w:rPr>
        <w:t>36.质疑与接收</w:t>
      </w:r>
      <w:bookmarkEnd w:id="619"/>
      <w:bookmarkEnd w:id="620"/>
    </w:p>
    <w:p w14:paraId="4987CD3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36.1   供应商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47DE095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FB51B7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超出法定质疑期的、重复提出的、分次提出的或内容、形式不符合《政府采购质疑和投诉办法》的，质疑供应商将依法承担不利后果。</w:t>
      </w:r>
    </w:p>
    <w:p w14:paraId="70886838">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36.3   采购代理机构质疑函接收部门、联系电话和通讯地址, 见供应商须知资料表。</w:t>
      </w:r>
    </w:p>
    <w:p w14:paraId="51AD7EF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36.4、质疑的提出</w:t>
      </w:r>
    </w:p>
    <w:p w14:paraId="2E44F89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36.5   本采购文件中所称质疑及答复，是指参加本次采购活动的供应商对政府采购活动中的采购文件、采购过程和成交结果向采购方提出质疑，采购方答复质疑的行为。</w:t>
      </w:r>
    </w:p>
    <w:p w14:paraId="5460ADC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36FA425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（一）对可以质疑的采购文件提出质疑的，为收到采购文件之日或者采购文件公告期限届满之日；</w:t>
      </w:r>
    </w:p>
    <w:p w14:paraId="29E86BA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（二）对采购过程提出质疑的，为各采购程序环节结束之日；</w:t>
      </w:r>
    </w:p>
    <w:p w14:paraId="341644B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（三）对成交结果提出质疑的，为成交结果公告期限届满之日。</w:t>
      </w:r>
    </w:p>
    <w:p w14:paraId="5AF4AF0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36.7   对可以质疑的采购文件提出质疑的，质疑人为参与本项目的报价方或潜在报价方。可质疑的文件为采购公告以及采购文件（包括属于其组成部分的澄清、修改、补充文件和评审标准、合同文本等）。</w:t>
      </w:r>
    </w:p>
    <w:p w14:paraId="1C08B20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D8E3D0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36.9   提出质疑应当符合下列条件：</w:t>
      </w:r>
    </w:p>
    <w:p w14:paraId="07014FF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（一）质疑主体应当符合有关规定；</w:t>
      </w:r>
    </w:p>
    <w:p w14:paraId="40D23E0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（二）在质疑法定期限内提出；</w:t>
      </w:r>
    </w:p>
    <w:p w14:paraId="0FDA350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（三）属于可以提出质疑的政府采购事项受理范围和本项目采购人的管辖权范围；</w:t>
      </w:r>
    </w:p>
    <w:p w14:paraId="5624D4D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（四）政府采购法律、法规、规章规定的其他条件。</w:t>
      </w:r>
    </w:p>
    <w:p w14:paraId="57864D66">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987067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40.1  质疑人所提供的证明材料应当具有真实性、合法性以及与质疑事项的关联性和证明力，否则不能作为认定该质疑事项成立的依据。</w:t>
      </w:r>
    </w:p>
    <w:p w14:paraId="51ADB6E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40.2   质疑人提出质疑时应当提交质疑函。质疑函包括下列内容：</w:t>
      </w:r>
    </w:p>
    <w:p w14:paraId="612242C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（一）提出质疑的质疑人的名称、地址、邮编、联系人及联系电话等；</w:t>
      </w:r>
    </w:p>
    <w:p w14:paraId="0B66C4C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（二）质疑项目的名称、编号；</w:t>
      </w:r>
    </w:p>
    <w:p w14:paraId="78ECDAA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（三）质疑事项；</w:t>
      </w:r>
    </w:p>
    <w:p w14:paraId="6ACAA30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（四）事实依据和证明材料；</w:t>
      </w:r>
    </w:p>
    <w:p w14:paraId="3555DD4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（五）法律依据；</w:t>
      </w:r>
    </w:p>
    <w:p w14:paraId="6FA68871">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（六）提出质疑的日期。</w:t>
      </w:r>
    </w:p>
    <w:p w14:paraId="55358D4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质疑函采用实名制。质疑人为自然人的应当由本人签字，并附有效身份证明文件；质疑人为法人或者非法人组织的应当由法定代表人或者负责人签字并加盖公章，并附有效身份证明文件。</w:t>
      </w:r>
    </w:p>
    <w:p w14:paraId="09D3BC6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40.3    质疑人可以委托代理人进行质疑。代理人应当提交授权委托书。授权委托书应当载明委托代理的具体权限、期限和相关事项。</w:t>
      </w:r>
    </w:p>
    <w:p w14:paraId="3F672AF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40.4、质疑的审查和受理</w:t>
      </w:r>
    </w:p>
    <w:p w14:paraId="17A03408">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采购方在收到质疑函后应当及时审查是否符合质疑受理条件，对符合质疑受理条件的，及时予以受理。</w:t>
      </w:r>
    </w:p>
    <w:p w14:paraId="05031AD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40.5   对不符合质疑受理条件的，分别按照下列不同情形予以处理：</w:t>
      </w:r>
    </w:p>
    <w:p w14:paraId="0516D68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（一）质疑函内容不符合规定的，告知质疑人进行修改并重新提出质疑。修改后质疑事项仍不具体、不明确或者最终递交质疑函的时间超过质疑法定期限的，不予受理；</w:t>
      </w:r>
    </w:p>
    <w:p w14:paraId="5C02805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（二）质疑主体不符合有关规定的，告知质疑人不予受理；</w:t>
      </w:r>
    </w:p>
    <w:p w14:paraId="0F299A6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（三）超过质疑法定期限提出质疑的，告知质疑人不予受理；</w:t>
      </w:r>
    </w:p>
    <w:p w14:paraId="3660536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（四）对不属于可以提出质疑的政府采购事项提出质疑的，告知质疑人不予受理；</w:t>
      </w:r>
    </w:p>
    <w:p w14:paraId="7A57068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（五）质疑不属于本项目采购方管辖的，告知质疑人向有管辖权的采购人提出质疑；</w:t>
      </w:r>
    </w:p>
    <w:p w14:paraId="762B5EE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（六）质疑不符合其他条件的，告知质疑人不予受理。</w:t>
      </w:r>
    </w:p>
    <w:p w14:paraId="3DB29B9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40.6、质疑的处理和答复</w:t>
      </w:r>
    </w:p>
    <w:p w14:paraId="1B4377F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40.7   采购方受理质疑后，将及时把质疑函发送给被质疑人，并要求其在一定限期内提交书面答复，同时提供有关证据、依据和相关材料。</w:t>
      </w:r>
    </w:p>
    <w:p w14:paraId="10F0C72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40.8   对于质疑事项中涉及的问题较多、情况比较复杂的，为了全面查清事实、取得充分的证据，采购方认为有必要时，可以进行调查取证或者组织质证。</w:t>
      </w:r>
    </w:p>
    <w:p w14:paraId="49771A1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40.9   对评审过程、成交结果提出质疑的，采购方可以组织原评审委员会协助答复质疑。</w:t>
      </w:r>
    </w:p>
    <w:p w14:paraId="1B0186D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   质疑处理过程中，质疑人书面申请撤回质疑的，将终止质疑处理程序。</w:t>
      </w:r>
    </w:p>
    <w:p w14:paraId="7A0E70F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41.1   质疑人拒绝配合采购方依法对质疑进行调查处理的，采购方将按质疑人自动撤回质疑处理；被质疑人拒绝配合采购方依法对质疑进行调查处理的，采购方将视同其认可质疑事项。</w:t>
      </w:r>
    </w:p>
    <w:p w14:paraId="030497A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41.1   质疑人拒绝配合采购方依法对质疑进行调查处理的，采购方将按质疑人自动撤回质疑处理；被质疑人拒绝配合采购方依法对质疑进行调查处理的，采购方将视同其认可质疑事项。</w:t>
      </w:r>
    </w:p>
    <w:p w14:paraId="5B6CD33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41.2   采购方将在正式受理质疑后7个工作日内作出答复。</w:t>
      </w:r>
    </w:p>
    <w:p w14:paraId="6566DB8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41.3   质疑答复应当包括下列内容：</w:t>
      </w:r>
    </w:p>
    <w:p w14:paraId="6C0B5E80">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（一）质疑人的姓名或者名称；</w:t>
      </w:r>
    </w:p>
    <w:p w14:paraId="717C0C5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（二）收到质疑函的日期、质疑项目名称及编号；</w:t>
      </w:r>
    </w:p>
    <w:p w14:paraId="6B0234E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（三）质疑事项、质疑答复的具体内容、事实依据和法律依据；</w:t>
      </w:r>
    </w:p>
    <w:p w14:paraId="0649E41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（四）告知质疑供应商依法投诉的权利；</w:t>
      </w:r>
    </w:p>
    <w:p w14:paraId="3AC74BC0">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（五）质疑答复人名称；</w:t>
      </w:r>
    </w:p>
    <w:p w14:paraId="3E79AB8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（六）答复质疑的日期。</w:t>
      </w:r>
    </w:p>
    <w:p w14:paraId="1CEC9733">
      <w:pPr>
        <w:widowControl w:val="0"/>
        <w:spacing w:line="340" w:lineRule="exact"/>
        <w:ind w:left="904" w:hanging="904" w:hangingChars="375"/>
        <w:jc w:val="center"/>
        <w:textAlignment w:val="auto"/>
        <w:rPr>
          <w:rFonts w:hint="eastAsia" w:ascii="仿宋" w:hAnsi="仿宋" w:eastAsia="仿宋" w:cs="仿宋"/>
          <w:b/>
          <w:bCs/>
          <w:color w:val="auto"/>
          <w:sz w:val="24"/>
          <w:highlight w:val="none"/>
          <w:lang w:eastAsia="zh-CN"/>
        </w:rPr>
      </w:pPr>
    </w:p>
    <w:p w14:paraId="16EA1A42">
      <w:pPr>
        <w:widowControl w:val="0"/>
        <w:spacing w:line="340" w:lineRule="exact"/>
        <w:ind w:left="904" w:hanging="904" w:hangingChars="375"/>
        <w:jc w:val="center"/>
        <w:textAlignment w:val="auto"/>
        <w:rPr>
          <w:rFonts w:hint="eastAsia" w:ascii="仿宋" w:hAnsi="仿宋" w:eastAsia="仿宋" w:cs="仿宋"/>
          <w:b/>
          <w:bCs/>
          <w:color w:val="auto"/>
          <w:sz w:val="24"/>
          <w:highlight w:val="none"/>
          <w:lang w:eastAsia="zh-CN"/>
        </w:rPr>
      </w:pPr>
    </w:p>
    <w:p w14:paraId="112BAB3C">
      <w:pPr>
        <w:widowControl w:val="0"/>
        <w:spacing w:line="340" w:lineRule="exact"/>
        <w:ind w:left="904" w:hanging="904" w:hangingChars="375"/>
        <w:jc w:val="center"/>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质疑函范本</w:t>
      </w:r>
    </w:p>
    <w:p w14:paraId="2D6906C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一、质疑供应商基本信息</w:t>
      </w:r>
    </w:p>
    <w:p w14:paraId="4CC6290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质疑供应商：</w:t>
      </w:r>
    </w:p>
    <w:p w14:paraId="5EA4F2FD">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地址：邮编：</w:t>
      </w:r>
    </w:p>
    <w:p w14:paraId="418504F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联系人：联系电话：</w:t>
      </w:r>
    </w:p>
    <w:p w14:paraId="001F757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授权代表：</w:t>
      </w:r>
    </w:p>
    <w:p w14:paraId="5C9C96F3">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w:t>
      </w:r>
    </w:p>
    <w:p w14:paraId="62083C8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地址：邮编：</w:t>
      </w:r>
    </w:p>
    <w:p w14:paraId="39ECEC47">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二、质疑项目基本情况</w:t>
      </w:r>
    </w:p>
    <w:p w14:paraId="6B31AFE0">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质疑项目的名称：</w:t>
      </w:r>
    </w:p>
    <w:p w14:paraId="546CB23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质疑项目的编号：包号：</w:t>
      </w:r>
    </w:p>
    <w:p w14:paraId="0E761F11">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采购人名称：</w:t>
      </w:r>
    </w:p>
    <w:p w14:paraId="23EEAF26">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采购文件获取日期：</w:t>
      </w:r>
    </w:p>
    <w:p w14:paraId="4DF95539">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三、质疑事项具体内容</w:t>
      </w:r>
    </w:p>
    <w:p w14:paraId="643F236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质疑事项1：</w:t>
      </w:r>
    </w:p>
    <w:p w14:paraId="67C362CC">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事实依据：</w:t>
      </w:r>
    </w:p>
    <w:p w14:paraId="398C9DC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78EFFF54">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法律依据：</w:t>
      </w:r>
    </w:p>
    <w:p w14:paraId="5289A98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5EDCDE12">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质疑事项2</w:t>
      </w:r>
    </w:p>
    <w:p w14:paraId="385B2338">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62778F6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四、与质疑事项相关的质疑请求</w:t>
      </w:r>
    </w:p>
    <w:p w14:paraId="16C095CB">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请求：</w:t>
      </w:r>
    </w:p>
    <w:p w14:paraId="4D687A9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签字(签章)：公章：</w:t>
      </w:r>
    </w:p>
    <w:p w14:paraId="5231A88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p>
    <w:p w14:paraId="3BEB75F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3728877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p>
    <w:p w14:paraId="2C933F1A">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质疑函制作说明：</w:t>
      </w:r>
    </w:p>
    <w:p w14:paraId="77272C3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1.供应商提出质疑时，应提交质疑函和必要的证明材料。</w:t>
      </w:r>
    </w:p>
    <w:p w14:paraId="1A164C96">
      <w:pPr>
        <w:widowControl w:val="0"/>
        <w:spacing w:line="3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3354A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3.质疑供应商若对项目的某一分包进行质疑，质疑函中应列明具体分包号。</w:t>
      </w:r>
    </w:p>
    <w:p w14:paraId="5C4A9B2E">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4.质疑函的质疑事项应具体、明确，并有必要的事实依据和法律依据。</w:t>
      </w:r>
    </w:p>
    <w:p w14:paraId="3EBA043F">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5.质疑函的质疑请求应与质疑事项相关。</w:t>
      </w:r>
    </w:p>
    <w:p w14:paraId="40D49B75">
      <w:pPr>
        <w:widowControl w:val="0"/>
        <w:spacing w:line="340" w:lineRule="exact"/>
        <w:ind w:left="900" w:hanging="900" w:hangingChars="37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6.质疑供应商为自然人的，质疑函应由本人签字；质疑供应商为法人或者其他组织的，质疑函应由法定代表人、主要负责人，或者其授权代表签字或者盖章，并加盖公章。</w:t>
      </w:r>
    </w:p>
    <w:p w14:paraId="0A97AED9">
      <w:pPr>
        <w:widowControl w:val="0"/>
        <w:spacing w:line="240" w:lineRule="atLeast"/>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br w:type="page"/>
      </w:r>
      <w:r>
        <w:rPr>
          <w:rFonts w:hint="eastAsia" w:ascii="仿宋" w:hAnsi="仿宋" w:eastAsia="仿宋" w:cs="仿宋"/>
          <w:color w:val="auto"/>
          <w:highlight w:val="none"/>
          <w:lang w:eastAsia="zh-CN"/>
        </w:rPr>
        <w:t>附件1：履约保证金保函（格式）</w:t>
      </w:r>
      <w:bookmarkEnd w:id="621"/>
      <w:bookmarkEnd w:id="622"/>
      <w:bookmarkEnd w:id="623"/>
      <w:bookmarkEnd w:id="624"/>
      <w:bookmarkEnd w:id="625"/>
    </w:p>
    <w:p w14:paraId="4D782070">
      <w:pPr>
        <w:pStyle w:val="12"/>
        <w:widowControl w:val="0"/>
        <w:spacing w:line="240" w:lineRule="atLeast"/>
        <w:ind w:left="1080" w:leftChars="257" w:hanging="54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（中标后开具）</w:t>
      </w:r>
    </w:p>
    <w:p w14:paraId="0906B8BA">
      <w:pPr>
        <w:pStyle w:val="12"/>
        <w:widowControl w:val="0"/>
        <w:spacing w:line="240" w:lineRule="atLeast"/>
        <w:ind w:left="1080" w:leftChars="257" w:hanging="540"/>
        <w:rPr>
          <w:rFonts w:hint="eastAsia" w:ascii="仿宋" w:hAnsi="仿宋" w:eastAsia="仿宋" w:cs="仿宋"/>
          <w:b/>
          <w:color w:val="auto"/>
          <w:sz w:val="24"/>
          <w:highlight w:val="none"/>
          <w:lang w:eastAsia="zh-CN"/>
        </w:rPr>
      </w:pPr>
    </w:p>
    <w:p w14:paraId="2F36486D">
      <w:pPr>
        <w:pStyle w:val="12"/>
        <w:widowControl w:val="0"/>
        <w:spacing w:line="240" w:lineRule="atLeast"/>
        <w:ind w:left="1080" w:leftChars="257" w:hanging="540"/>
        <w:rPr>
          <w:rFonts w:hint="eastAsia" w:ascii="仿宋" w:hAnsi="仿宋" w:eastAsia="仿宋" w:cs="仿宋"/>
          <w:b/>
          <w:color w:val="auto"/>
          <w:sz w:val="24"/>
          <w:highlight w:val="none"/>
          <w:lang w:eastAsia="zh-CN"/>
        </w:rPr>
      </w:pPr>
    </w:p>
    <w:p w14:paraId="26545D59">
      <w:pPr>
        <w:pStyle w:val="12"/>
        <w:widowControl w:val="0"/>
        <w:spacing w:line="24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 (</w:t>
      </w:r>
      <w:r>
        <w:rPr>
          <w:rFonts w:hint="eastAsia" w:ascii="仿宋" w:hAnsi="仿宋" w:eastAsia="仿宋" w:cs="仿宋"/>
          <w:i/>
          <w:color w:val="auto"/>
          <w:sz w:val="24"/>
          <w:szCs w:val="24"/>
          <w:highlight w:val="none"/>
          <w:u w:val="single"/>
          <w:lang w:eastAsia="zh-CN"/>
        </w:rPr>
        <w:t>买方名称</w:t>
      </w:r>
      <w:r>
        <w:rPr>
          <w:rFonts w:hint="eastAsia" w:ascii="仿宋" w:hAnsi="仿宋" w:eastAsia="仿宋" w:cs="仿宋"/>
          <w:color w:val="auto"/>
          <w:sz w:val="24"/>
          <w:szCs w:val="24"/>
          <w:highlight w:val="none"/>
          <w:lang w:eastAsia="zh-CN"/>
        </w:rPr>
        <w:t>)</w:t>
      </w:r>
    </w:p>
    <w:p w14:paraId="6AB09A44">
      <w:pPr>
        <w:pStyle w:val="12"/>
        <w:widowControl w:val="0"/>
        <w:spacing w:line="240" w:lineRule="atLeast"/>
        <w:ind w:left="1080" w:leftChars="257" w:hanging="54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号合同履约保函</w:t>
      </w:r>
    </w:p>
    <w:p w14:paraId="6B676699">
      <w:pPr>
        <w:pStyle w:val="12"/>
        <w:widowControl w:val="0"/>
        <w:spacing w:line="240" w:lineRule="atLeast"/>
        <w:ind w:left="1080" w:leftChars="257" w:hanging="540"/>
        <w:jc w:val="center"/>
        <w:rPr>
          <w:rFonts w:hint="eastAsia" w:ascii="仿宋" w:hAnsi="仿宋" w:eastAsia="仿宋" w:cs="仿宋"/>
          <w:color w:val="auto"/>
          <w:sz w:val="24"/>
          <w:szCs w:val="24"/>
          <w:highlight w:val="none"/>
          <w:lang w:eastAsia="zh-CN"/>
        </w:rPr>
      </w:pPr>
    </w:p>
    <w:p w14:paraId="1C944C66">
      <w:pPr>
        <w:pStyle w:val="12"/>
        <w:widowControl w:val="0"/>
        <w:spacing w:line="240" w:lineRule="atLeast"/>
        <w:ind w:firstLine="600" w:firstLineChars="2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本保函作为贵方与(</w:t>
      </w:r>
      <w:r>
        <w:rPr>
          <w:rFonts w:hint="eastAsia" w:ascii="仿宋" w:hAnsi="仿宋" w:eastAsia="仿宋" w:cs="仿宋"/>
          <w:i/>
          <w:color w:val="auto"/>
          <w:sz w:val="24"/>
          <w:szCs w:val="24"/>
          <w:highlight w:val="none"/>
          <w:u w:val="single"/>
          <w:lang w:eastAsia="zh-CN"/>
        </w:rPr>
        <w:t>卖方名称</w:t>
      </w:r>
      <w:r>
        <w:rPr>
          <w:rFonts w:hint="eastAsia" w:ascii="仿宋" w:hAnsi="仿宋" w:eastAsia="仿宋" w:cs="仿宋"/>
          <w:color w:val="auto"/>
          <w:sz w:val="24"/>
          <w:szCs w:val="24"/>
          <w:highlight w:val="none"/>
          <w:lang w:eastAsia="zh-CN"/>
        </w:rPr>
        <w:t>)(以下简称卖方)于年月日就项目(以下简称项目)项下提供(</w:t>
      </w:r>
      <w:r>
        <w:rPr>
          <w:rFonts w:hint="eastAsia" w:ascii="仿宋" w:hAnsi="仿宋" w:eastAsia="仿宋" w:cs="仿宋"/>
          <w:i/>
          <w:color w:val="auto"/>
          <w:sz w:val="24"/>
          <w:szCs w:val="24"/>
          <w:highlight w:val="none"/>
          <w:u w:val="single"/>
          <w:lang w:eastAsia="zh-CN"/>
        </w:rPr>
        <w:t>货物名称</w:t>
      </w:r>
      <w:r>
        <w:rPr>
          <w:rFonts w:hint="eastAsia" w:ascii="仿宋" w:hAnsi="仿宋" w:eastAsia="仿宋" w:cs="仿宋"/>
          <w:color w:val="auto"/>
          <w:sz w:val="24"/>
          <w:szCs w:val="24"/>
          <w:highlight w:val="none"/>
          <w:lang w:eastAsia="zh-CN"/>
        </w:rPr>
        <w:t>)(以下简称货物)签订的(</w:t>
      </w:r>
      <w:r>
        <w:rPr>
          <w:rFonts w:hint="eastAsia" w:ascii="仿宋" w:hAnsi="仿宋" w:eastAsia="仿宋" w:cs="仿宋"/>
          <w:i/>
          <w:color w:val="auto"/>
          <w:sz w:val="24"/>
          <w:szCs w:val="24"/>
          <w:highlight w:val="none"/>
          <w:u w:val="single"/>
          <w:lang w:eastAsia="zh-CN"/>
        </w:rPr>
        <w:t>合同号</w:t>
      </w:r>
      <w:r>
        <w:rPr>
          <w:rFonts w:hint="eastAsia" w:ascii="仿宋" w:hAnsi="仿宋" w:eastAsia="仿宋" w:cs="仿宋"/>
          <w:color w:val="auto"/>
          <w:sz w:val="24"/>
          <w:szCs w:val="24"/>
          <w:highlight w:val="none"/>
          <w:lang w:eastAsia="zh-CN"/>
        </w:rPr>
        <w:t>)号合同的履约保函。</w:t>
      </w:r>
    </w:p>
    <w:p w14:paraId="1ED44873">
      <w:pPr>
        <w:pStyle w:val="12"/>
        <w:widowControl w:val="0"/>
        <w:spacing w:line="240" w:lineRule="atLeast"/>
        <w:ind w:firstLine="540" w:firstLineChars="22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i/>
          <w:color w:val="auto"/>
          <w:sz w:val="24"/>
          <w:szCs w:val="24"/>
          <w:highlight w:val="none"/>
          <w:u w:val="single"/>
          <w:lang w:eastAsia="zh-CN"/>
        </w:rPr>
        <w:t>出具保函的银行名称</w:t>
      </w:r>
      <w:r>
        <w:rPr>
          <w:rFonts w:hint="eastAsia" w:ascii="仿宋" w:hAnsi="仿宋" w:eastAsia="仿宋" w:cs="仿宋"/>
          <w:color w:val="auto"/>
          <w:sz w:val="24"/>
          <w:szCs w:val="24"/>
          <w:highlight w:val="none"/>
          <w:lang w:eastAsia="zh-CN"/>
        </w:rPr>
        <w:t>)(以下简称银行)无条件地、不可撤销地具结保证本行、其继承人和受让人无追索地向贵方以(</w:t>
      </w:r>
      <w:r>
        <w:rPr>
          <w:rFonts w:hint="eastAsia" w:ascii="仿宋" w:hAnsi="仿宋" w:eastAsia="仿宋" w:cs="仿宋"/>
          <w:i/>
          <w:color w:val="auto"/>
          <w:sz w:val="24"/>
          <w:szCs w:val="24"/>
          <w:highlight w:val="none"/>
          <w:u w:val="single"/>
          <w:lang w:eastAsia="zh-CN"/>
        </w:rPr>
        <w:t>货币名称</w:t>
      </w:r>
      <w:r>
        <w:rPr>
          <w:rFonts w:hint="eastAsia" w:ascii="仿宋" w:hAnsi="仿宋" w:eastAsia="仿宋" w:cs="仿宋"/>
          <w:color w:val="auto"/>
          <w:sz w:val="24"/>
          <w:szCs w:val="24"/>
          <w:highlight w:val="none"/>
          <w:lang w:eastAsia="zh-CN"/>
        </w:rPr>
        <w:t>)支付总额不超过(</w:t>
      </w:r>
      <w:r>
        <w:rPr>
          <w:rFonts w:hint="eastAsia" w:ascii="仿宋" w:hAnsi="仿宋" w:eastAsia="仿宋" w:cs="仿宋"/>
          <w:i/>
          <w:color w:val="auto"/>
          <w:sz w:val="24"/>
          <w:szCs w:val="24"/>
          <w:highlight w:val="none"/>
          <w:u w:val="single"/>
          <w:lang w:eastAsia="zh-CN"/>
        </w:rPr>
        <w:t>货币数量</w:t>
      </w:r>
      <w:r>
        <w:rPr>
          <w:rFonts w:hint="eastAsia" w:ascii="仿宋" w:hAnsi="仿宋" w:eastAsia="仿宋" w:cs="仿宋"/>
          <w:color w:val="auto"/>
          <w:sz w:val="24"/>
          <w:szCs w:val="24"/>
          <w:highlight w:val="none"/>
          <w:lang w:eastAsia="zh-CN"/>
        </w:rPr>
        <w:t>),即相当于合同价格的%,并以此约定如下:</w:t>
      </w:r>
    </w:p>
    <w:p w14:paraId="4F1AEF70">
      <w:pPr>
        <w:pStyle w:val="12"/>
        <w:widowControl w:val="0"/>
        <w:spacing w:line="240" w:lineRule="atLeast"/>
        <w:ind w:left="540" w:leftChars="25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2DA48341">
      <w:pPr>
        <w:pStyle w:val="12"/>
        <w:widowControl w:val="0"/>
        <w:spacing w:line="240" w:lineRule="atLeast"/>
        <w:ind w:left="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2.本保函项下的任何支付应为免税和净值。对于现有或将来的税收、关税、收费、费用扣减或预提税款，不论这些款项是何种性质和由谁征收，都不应从本保函项下的支付中扣除。</w:t>
      </w:r>
    </w:p>
    <w:p w14:paraId="4FD09BE8">
      <w:pPr>
        <w:pStyle w:val="12"/>
        <w:widowControl w:val="0"/>
        <w:spacing w:line="240" w:lineRule="atLeast"/>
        <w:ind w:left="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D9A2E8B">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bookmarkStart w:id="626" w:name="_Toc6985"/>
      <w:bookmarkStart w:id="627" w:name="_Toc1076"/>
      <w:r>
        <w:rPr>
          <w:rFonts w:hint="eastAsia" w:ascii="仿宋" w:hAnsi="仿宋" w:eastAsia="仿宋" w:cs="仿宋"/>
          <w:color w:val="auto"/>
          <w:sz w:val="24"/>
          <w:szCs w:val="24"/>
          <w:highlight w:val="none"/>
          <w:lang w:eastAsia="zh-CN"/>
        </w:rPr>
        <w:t>4.本保函在本合同规定的保证期期满前完全有效。</w:t>
      </w:r>
      <w:bookmarkEnd w:id="626"/>
      <w:bookmarkEnd w:id="627"/>
    </w:p>
    <w:p w14:paraId="4D3B919F">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p>
    <w:p w14:paraId="05895E0D">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谨启</w:t>
      </w:r>
    </w:p>
    <w:p w14:paraId="605784F7">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出具保函银行名称：</w:t>
      </w:r>
    </w:p>
    <w:p w14:paraId="5C39A7FB">
      <w:pPr>
        <w:pStyle w:val="12"/>
        <w:widowControl w:val="0"/>
        <w:spacing w:line="240" w:lineRule="atLeast"/>
        <w:ind w:left="1080" w:leftChars="257" w:hanging="54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签字人姓名和职务：</w:t>
      </w:r>
    </w:p>
    <w:p w14:paraId="27418E35">
      <w:pPr>
        <w:pStyle w:val="12"/>
        <w:widowControl w:val="0"/>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签字人签名：</w:t>
      </w:r>
    </w:p>
    <w:p w14:paraId="12B9C7F8">
      <w:pPr>
        <w:pStyle w:val="12"/>
        <w:widowControl w:val="0"/>
        <w:spacing w:line="240" w:lineRule="atLeast"/>
        <w:ind w:left="1080" w:leftChars="257" w:hanging="54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公章：</w:t>
      </w:r>
    </w:p>
    <w:p w14:paraId="760A9A2C">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757F7C48">
      <w:pPr>
        <w:pStyle w:val="8"/>
        <w:tabs>
          <w:tab w:val="left" w:pos="567"/>
        </w:tabs>
        <w:rPr>
          <w:rFonts w:hint="eastAsia" w:ascii="仿宋" w:hAnsi="仿宋" w:eastAsia="仿宋" w:cs="仿宋"/>
          <w:color w:val="auto"/>
          <w:highlight w:val="none"/>
          <w:lang w:eastAsia="zh-CN"/>
        </w:rPr>
      </w:pPr>
    </w:p>
    <w:p w14:paraId="56F66972">
      <w:pPr>
        <w:widowControl w:val="0"/>
        <w:spacing w:line="240" w:lineRule="atLeast"/>
        <w:ind w:left="1080" w:leftChars="257" w:hanging="540"/>
        <w:rPr>
          <w:rFonts w:hint="eastAsia" w:ascii="仿宋" w:hAnsi="仿宋" w:eastAsia="仿宋" w:cs="仿宋"/>
          <w:color w:val="auto"/>
          <w:highlight w:val="none"/>
          <w:lang w:eastAsia="zh-CN"/>
        </w:rPr>
      </w:pPr>
      <w:bookmarkStart w:id="628" w:name="_Toc16707"/>
      <w:bookmarkStart w:id="629" w:name="_Toc27788"/>
      <w:bookmarkStart w:id="630" w:name="_Toc27581"/>
      <w:bookmarkStart w:id="631" w:name="_Toc22540"/>
      <w:bookmarkStart w:id="632" w:name="_Toc21744"/>
      <w:bookmarkStart w:id="633" w:name="_Toc518923104"/>
      <w:r>
        <w:rPr>
          <w:rFonts w:hint="eastAsia" w:ascii="仿宋" w:hAnsi="仿宋" w:eastAsia="仿宋" w:cs="仿宋"/>
          <w:color w:val="auto"/>
          <w:highlight w:val="none"/>
          <w:lang w:eastAsia="zh-CN"/>
        </w:rPr>
        <w:t>附件2：履约担保函格式</w:t>
      </w:r>
      <w:bookmarkEnd w:id="628"/>
      <w:bookmarkEnd w:id="629"/>
      <w:bookmarkEnd w:id="630"/>
      <w:bookmarkEnd w:id="631"/>
      <w:bookmarkEnd w:id="632"/>
      <w:bookmarkEnd w:id="633"/>
    </w:p>
    <w:p w14:paraId="4353BF28">
      <w:pPr>
        <w:widowControl w:val="0"/>
        <w:spacing w:line="240" w:lineRule="atLeast"/>
        <w:ind w:left="1080" w:leftChars="257" w:hanging="540"/>
        <w:rPr>
          <w:rFonts w:hint="eastAsia" w:ascii="仿宋" w:hAnsi="仿宋" w:eastAsia="仿宋" w:cs="仿宋"/>
          <w:color w:val="auto"/>
          <w:highlight w:val="none"/>
          <w:lang w:eastAsia="zh-CN"/>
        </w:rPr>
      </w:pPr>
      <w:bookmarkStart w:id="634" w:name="_Toc162"/>
      <w:bookmarkStart w:id="635" w:name="_Toc7209"/>
      <w:bookmarkStart w:id="636" w:name="_Toc13962"/>
      <w:bookmarkStart w:id="637" w:name="_Toc32574"/>
      <w:bookmarkStart w:id="638" w:name="_Toc515647801"/>
      <w:bookmarkStart w:id="639" w:name="_Toc9735"/>
      <w:r>
        <w:rPr>
          <w:rFonts w:hint="eastAsia" w:ascii="仿宋" w:hAnsi="仿宋" w:eastAsia="仿宋" w:cs="仿宋"/>
          <w:color w:val="auto"/>
          <w:highlight w:val="none"/>
          <w:lang w:eastAsia="zh-CN"/>
        </w:rPr>
        <w:t>（采用政府采购信用担保形式时使用）</w:t>
      </w:r>
      <w:bookmarkEnd w:id="634"/>
      <w:bookmarkEnd w:id="635"/>
      <w:bookmarkEnd w:id="636"/>
      <w:bookmarkEnd w:id="637"/>
      <w:bookmarkEnd w:id="638"/>
      <w:bookmarkEnd w:id="639"/>
    </w:p>
    <w:p w14:paraId="08BE725B">
      <w:pPr>
        <w:widowControl w:val="0"/>
        <w:spacing w:line="240" w:lineRule="atLeast"/>
        <w:ind w:left="1080" w:leftChars="257" w:hanging="540"/>
        <w:rPr>
          <w:rFonts w:hint="eastAsia" w:ascii="仿宋" w:hAnsi="仿宋" w:eastAsia="仿宋" w:cs="仿宋"/>
          <w:b/>
          <w:color w:val="auto"/>
          <w:sz w:val="24"/>
          <w:szCs w:val="20"/>
          <w:highlight w:val="none"/>
          <w:lang w:eastAsia="zh-CN"/>
        </w:rPr>
      </w:pPr>
    </w:p>
    <w:p w14:paraId="4EB326F9">
      <w:pPr>
        <w:widowControl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政府采购履约担保函（项目用）</w:t>
      </w:r>
    </w:p>
    <w:p w14:paraId="5798F85E">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编号：</w:t>
      </w:r>
    </w:p>
    <w:p w14:paraId="370FABFD">
      <w:pPr>
        <w:widowControl w:val="0"/>
        <w:rPr>
          <w:rFonts w:hint="eastAsia" w:ascii="仿宋" w:hAnsi="仿宋" w:eastAsia="仿宋" w:cs="仿宋"/>
          <w:color w:val="auto"/>
          <w:sz w:val="24"/>
          <w:highlight w:val="none"/>
          <w:lang w:eastAsia="zh-CN"/>
        </w:rPr>
      </w:pPr>
    </w:p>
    <w:p w14:paraId="7EC72D09">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274C0E37">
      <w:pPr>
        <w:widowControl w:val="0"/>
        <w:rPr>
          <w:rFonts w:hint="eastAsia" w:ascii="仿宋" w:hAnsi="仿宋" w:eastAsia="仿宋" w:cs="仿宋"/>
          <w:color w:val="auto"/>
          <w:sz w:val="24"/>
          <w:highlight w:val="none"/>
          <w:lang w:eastAsia="zh-CN"/>
        </w:rPr>
      </w:pPr>
    </w:p>
    <w:p w14:paraId="7AE724DD">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鉴于你方与（以下简称供应商）于年月日签定编号为</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的《政府采购合同》（以下简称主合同），且依据该合同的约定，供应商应在年</w:t>
      </w:r>
    </w:p>
    <w:p w14:paraId="34944214">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月日前向你方交纳履约保证金，且可以履约担保函的形式交纳履约保证金。应供应商的申请，我方以保证的方式向你方提供如下履约保证金担保：</w:t>
      </w:r>
    </w:p>
    <w:p w14:paraId="739B62B3">
      <w:pPr>
        <w:widowControl w:val="0"/>
        <w:ind w:firstLine="480" w:firstLineChars="200"/>
        <w:rPr>
          <w:rFonts w:hint="eastAsia" w:ascii="仿宋" w:hAnsi="仿宋" w:eastAsia="仿宋" w:cs="仿宋"/>
          <w:color w:val="auto"/>
          <w:sz w:val="24"/>
          <w:highlight w:val="none"/>
          <w:lang w:eastAsia="zh-CN"/>
        </w:rPr>
      </w:pPr>
      <w:bookmarkStart w:id="640" w:name="_Toc16807"/>
      <w:r>
        <w:rPr>
          <w:rFonts w:hint="eastAsia" w:ascii="仿宋" w:hAnsi="仿宋" w:eastAsia="仿宋" w:cs="仿宋"/>
          <w:color w:val="auto"/>
          <w:sz w:val="24"/>
          <w:highlight w:val="none"/>
          <w:lang w:eastAsia="zh-CN"/>
        </w:rPr>
        <w:t>一、保证责任的情形及保证金额</w:t>
      </w:r>
      <w:bookmarkEnd w:id="640"/>
    </w:p>
    <w:p w14:paraId="1FCAD865">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（一）在供应商出现下列情形之一时，我方承担保证责任：</w:t>
      </w:r>
    </w:p>
    <w:p w14:paraId="302E6EA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1．将中标项目转让给他人，或者在投标文件中未说明，且未经采购招标机构人同意，将中标项目分包给他人的；</w:t>
      </w:r>
    </w:p>
    <w:p w14:paraId="7FBFCA3E">
      <w:pPr>
        <w:widowControl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w:t>
      </w:r>
      <w:bookmarkStart w:id="641" w:name="_Toc806"/>
      <w:bookmarkStart w:id="642" w:name="_Toc2434"/>
      <w:bookmarkStart w:id="643" w:name="_Toc30650"/>
      <w:r>
        <w:rPr>
          <w:rFonts w:hint="eastAsia" w:ascii="仿宋" w:hAnsi="仿宋" w:eastAsia="仿宋" w:cs="仿宋"/>
          <w:color w:val="auto"/>
          <w:sz w:val="24"/>
          <w:highlight w:val="none"/>
          <w:lang w:eastAsia="zh-CN"/>
        </w:rPr>
        <w:t>2．主合同约定的应当缴纳履约保证金的情形:</w:t>
      </w:r>
      <w:bookmarkEnd w:id="641"/>
      <w:bookmarkEnd w:id="642"/>
      <w:bookmarkEnd w:id="643"/>
    </w:p>
    <w:p w14:paraId="7D3C047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（1）未按主合同约定的质量、数量和期限供应货物/提供服务/完成工程的；</w:t>
      </w:r>
    </w:p>
    <w:p w14:paraId="183D46A7">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u w:val="single"/>
          <w:lang w:eastAsia="zh-CN"/>
        </w:rPr>
        <w:t xml:space="preserve">                                                        。</w:t>
      </w:r>
    </w:p>
    <w:p w14:paraId="4FA2B6BA">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（二）我方的保证范围是主合同约定的合同价款总额的%数额为元（大写），币种为。（即主合同履约保证金金额）</w:t>
      </w:r>
    </w:p>
    <w:p w14:paraId="7F838DF1">
      <w:pPr>
        <w:widowControl w:val="0"/>
        <w:ind w:firstLine="480" w:firstLineChars="200"/>
        <w:rPr>
          <w:rFonts w:hint="eastAsia" w:ascii="仿宋" w:hAnsi="仿宋" w:eastAsia="仿宋" w:cs="仿宋"/>
          <w:color w:val="auto"/>
          <w:sz w:val="24"/>
          <w:highlight w:val="none"/>
          <w:lang w:eastAsia="zh-CN"/>
        </w:rPr>
      </w:pPr>
      <w:bookmarkStart w:id="644" w:name="_Toc16733"/>
      <w:r>
        <w:rPr>
          <w:rFonts w:hint="eastAsia" w:ascii="仿宋" w:hAnsi="仿宋" w:eastAsia="仿宋" w:cs="仿宋"/>
          <w:color w:val="auto"/>
          <w:sz w:val="24"/>
          <w:highlight w:val="none"/>
          <w:lang w:eastAsia="zh-CN"/>
        </w:rPr>
        <w:t>二、保证的方式及保证期间</w:t>
      </w:r>
      <w:bookmarkEnd w:id="644"/>
    </w:p>
    <w:p w14:paraId="1191F87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我方保证的方式为：连带责任保证。</w:t>
      </w:r>
    </w:p>
    <w:p w14:paraId="0815296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我方保证的期间为：自本合同生效之日起至供应商按照主合同约定的供货/完工期限届满后日内。</w:t>
      </w:r>
    </w:p>
    <w:p w14:paraId="7E7FC09A">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如果供应商未按主合同约定向贵方供应货物/提供服务/完成工程的，由我方在保证金额内向你方支付上述款项。</w:t>
      </w:r>
    </w:p>
    <w:p w14:paraId="7025B44A">
      <w:pPr>
        <w:widowControl w:val="0"/>
        <w:ind w:firstLine="480" w:firstLineChars="200"/>
        <w:rPr>
          <w:rFonts w:hint="eastAsia" w:ascii="仿宋" w:hAnsi="仿宋" w:eastAsia="仿宋" w:cs="仿宋"/>
          <w:color w:val="auto"/>
          <w:sz w:val="24"/>
          <w:highlight w:val="none"/>
          <w:lang w:eastAsia="zh-CN"/>
        </w:rPr>
      </w:pPr>
      <w:bookmarkStart w:id="645" w:name="_Toc19668"/>
      <w:r>
        <w:rPr>
          <w:rFonts w:hint="eastAsia" w:ascii="仿宋" w:hAnsi="仿宋" w:eastAsia="仿宋" w:cs="仿宋"/>
          <w:color w:val="auto"/>
          <w:sz w:val="24"/>
          <w:highlight w:val="none"/>
          <w:lang w:eastAsia="zh-CN"/>
        </w:rPr>
        <w:t>三、承担保证责任的程序</w:t>
      </w:r>
      <w:bookmarkEnd w:id="645"/>
    </w:p>
    <w:p w14:paraId="78CDA56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1．你方要求我方承担保证责任的，应在本保函保证期间内向我方发出书面索赔通知。索赔通知应写明要求索赔的金额，支付款项应到达的帐号。并附有证明供应商违约事实的证明材料。</w:t>
      </w:r>
    </w:p>
    <w:p w14:paraId="243184B6">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54E22CB5">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 我方收到你方的书面索赔通知及相应证明材料，在工作日内进行核定后按照本保函的承诺承担保证责任。</w:t>
      </w:r>
    </w:p>
    <w:p w14:paraId="79A59D21">
      <w:pPr>
        <w:widowControl w:val="0"/>
        <w:ind w:firstLine="480" w:firstLineChars="200"/>
        <w:rPr>
          <w:rFonts w:hint="eastAsia" w:ascii="仿宋" w:hAnsi="仿宋" w:eastAsia="仿宋" w:cs="仿宋"/>
          <w:color w:val="auto"/>
          <w:sz w:val="24"/>
          <w:highlight w:val="none"/>
          <w:lang w:eastAsia="zh-CN"/>
        </w:rPr>
      </w:pPr>
      <w:bookmarkStart w:id="646" w:name="_Toc11641"/>
      <w:r>
        <w:rPr>
          <w:rFonts w:hint="eastAsia" w:ascii="仿宋" w:hAnsi="仿宋" w:eastAsia="仿宋" w:cs="仿宋"/>
          <w:color w:val="auto"/>
          <w:sz w:val="24"/>
          <w:highlight w:val="none"/>
          <w:lang w:eastAsia="zh-CN"/>
        </w:rPr>
        <w:t>四、保证责任的终止</w:t>
      </w:r>
      <w:bookmarkEnd w:id="646"/>
    </w:p>
    <w:p w14:paraId="11738D7E">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1B9C92F">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2．我方按照本保函向你方履行了保证责任后，自我方向你方支付款项（支付款项从我方账户划出）之日起，保证责任即终止。</w:t>
      </w:r>
    </w:p>
    <w:p w14:paraId="7478B5F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3．按照法律法规的规定或出现应终止我方保证责任的其它情形的，我方在本保函项下的保证责任亦终止。</w:t>
      </w:r>
    </w:p>
    <w:p w14:paraId="4A3E760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49B4BA9">
      <w:pPr>
        <w:widowControl w:val="0"/>
        <w:ind w:firstLine="480" w:firstLineChars="200"/>
        <w:rPr>
          <w:rFonts w:hint="eastAsia" w:ascii="仿宋" w:hAnsi="仿宋" w:eastAsia="仿宋" w:cs="仿宋"/>
          <w:color w:val="auto"/>
          <w:sz w:val="24"/>
          <w:highlight w:val="none"/>
          <w:lang w:eastAsia="zh-CN"/>
        </w:rPr>
      </w:pPr>
      <w:bookmarkStart w:id="647" w:name="_Toc3542"/>
      <w:r>
        <w:rPr>
          <w:rFonts w:hint="eastAsia" w:ascii="仿宋" w:hAnsi="仿宋" w:eastAsia="仿宋" w:cs="仿宋"/>
          <w:color w:val="auto"/>
          <w:sz w:val="24"/>
          <w:highlight w:val="none"/>
          <w:lang w:eastAsia="zh-CN"/>
        </w:rPr>
        <w:t>五、免责条款</w:t>
      </w:r>
      <w:bookmarkEnd w:id="647"/>
    </w:p>
    <w:p w14:paraId="2BDF922B">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1．因你方违反主合同约定致使供应商不能履行义务的，我方不承担保证责任。</w:t>
      </w:r>
    </w:p>
    <w:p w14:paraId="6702EA80">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2．依照法律法规的规定或你方与供应商的另行约定，全部或者部分免除供应商应缴纳的保证金义务的，我方亦免除相应的保证责任。</w:t>
      </w:r>
    </w:p>
    <w:p w14:paraId="1800E342">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3．因不可抗力造成供应商不能履行供货义务的，我方不承担保证责任。</w:t>
      </w:r>
    </w:p>
    <w:p w14:paraId="505DE2D8">
      <w:pPr>
        <w:widowControl w:val="0"/>
        <w:ind w:firstLine="480" w:firstLineChars="200"/>
        <w:rPr>
          <w:rFonts w:hint="eastAsia" w:ascii="仿宋" w:hAnsi="仿宋" w:eastAsia="仿宋" w:cs="仿宋"/>
          <w:color w:val="auto"/>
          <w:sz w:val="24"/>
          <w:highlight w:val="none"/>
          <w:lang w:eastAsia="zh-CN"/>
        </w:rPr>
      </w:pPr>
      <w:bookmarkStart w:id="648" w:name="_Toc908"/>
      <w:r>
        <w:rPr>
          <w:rFonts w:hint="eastAsia" w:ascii="仿宋" w:hAnsi="仿宋" w:eastAsia="仿宋" w:cs="仿宋"/>
          <w:color w:val="auto"/>
          <w:sz w:val="24"/>
          <w:highlight w:val="none"/>
          <w:lang w:eastAsia="zh-CN"/>
        </w:rPr>
        <w:t>六、争议的解决</w:t>
      </w:r>
      <w:bookmarkEnd w:id="648"/>
    </w:p>
    <w:p w14:paraId="5995E1B3">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因本保函发生的纠纷，由你我双方协商解决，协商不成的，通过诉讼程序解决，诉讼管辖地法院为法院。</w:t>
      </w:r>
    </w:p>
    <w:p w14:paraId="3480F134">
      <w:pPr>
        <w:widowControl w:val="0"/>
        <w:ind w:firstLine="480" w:firstLineChars="200"/>
        <w:rPr>
          <w:rFonts w:hint="eastAsia" w:ascii="仿宋" w:hAnsi="仿宋" w:eastAsia="仿宋" w:cs="仿宋"/>
          <w:color w:val="auto"/>
          <w:sz w:val="24"/>
          <w:highlight w:val="none"/>
          <w:lang w:eastAsia="zh-CN"/>
        </w:rPr>
      </w:pPr>
      <w:bookmarkStart w:id="649" w:name="_Toc17651"/>
      <w:r>
        <w:rPr>
          <w:rFonts w:hint="eastAsia" w:ascii="仿宋" w:hAnsi="仿宋" w:eastAsia="仿宋" w:cs="仿宋"/>
          <w:color w:val="auto"/>
          <w:sz w:val="24"/>
          <w:highlight w:val="none"/>
          <w:lang w:eastAsia="zh-CN"/>
        </w:rPr>
        <w:t>七、保函的生效</w:t>
      </w:r>
      <w:bookmarkEnd w:id="649"/>
    </w:p>
    <w:p w14:paraId="3EDC464F">
      <w:pPr>
        <w:widowControl w:val="0"/>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本保函自我方加盖公章之日起生效。</w:t>
      </w:r>
    </w:p>
    <w:p w14:paraId="5CF4B604">
      <w:pPr>
        <w:pStyle w:val="17"/>
        <w:rPr>
          <w:rFonts w:hint="eastAsia" w:ascii="仿宋" w:hAnsi="仿宋" w:eastAsia="仿宋" w:cs="仿宋"/>
          <w:color w:val="auto"/>
          <w:sz w:val="24"/>
          <w:highlight w:val="none"/>
          <w:lang w:eastAsia="zh-CN"/>
        </w:rPr>
      </w:pPr>
    </w:p>
    <w:p w14:paraId="6901599B">
      <w:pPr>
        <w:pStyle w:val="8"/>
        <w:tabs>
          <w:tab w:val="left" w:pos="567"/>
        </w:tabs>
        <w:rPr>
          <w:rFonts w:hint="eastAsia" w:ascii="仿宋" w:hAnsi="仿宋" w:eastAsia="仿宋" w:cs="仿宋"/>
          <w:color w:val="auto"/>
          <w:highlight w:val="none"/>
          <w:lang w:eastAsia="zh-CN"/>
        </w:rPr>
      </w:pPr>
    </w:p>
    <w:p w14:paraId="36B67F6D">
      <w:pPr>
        <w:widowControl w:val="0"/>
        <w:rPr>
          <w:rFonts w:hint="eastAsia" w:ascii="仿宋" w:hAnsi="仿宋" w:eastAsia="仿宋" w:cs="仿宋"/>
          <w:color w:val="auto"/>
          <w:sz w:val="24"/>
          <w:highlight w:val="none"/>
          <w:lang w:eastAsia="zh-CN"/>
        </w:rPr>
      </w:pPr>
    </w:p>
    <w:p w14:paraId="2AA07C95">
      <w:pPr>
        <w:widowControl w:val="0"/>
        <w:rPr>
          <w:rFonts w:hint="eastAsia" w:ascii="仿宋" w:hAnsi="仿宋" w:eastAsia="仿宋" w:cs="仿宋"/>
          <w:color w:val="auto"/>
          <w:sz w:val="24"/>
          <w:highlight w:val="none"/>
          <w:lang w:eastAsia="zh-CN"/>
        </w:rPr>
      </w:pPr>
    </w:p>
    <w:p w14:paraId="06E15254">
      <w:pPr>
        <w:widowControl w:val="0"/>
        <w:ind w:left="5040"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保证人：（公章）</w:t>
      </w:r>
    </w:p>
    <w:p w14:paraId="7A70F14A">
      <w:pPr>
        <w:widowControl w:val="0"/>
        <w:ind w:left="5040"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年     月      日</w:t>
      </w:r>
    </w:p>
    <w:p w14:paraId="0FF0654F">
      <w:pPr>
        <w:widowControl w:val="0"/>
        <w:rPr>
          <w:rFonts w:hint="eastAsia" w:ascii="仿宋" w:hAnsi="仿宋" w:eastAsia="仿宋" w:cs="仿宋"/>
          <w:color w:val="auto"/>
          <w:sz w:val="24"/>
          <w:highlight w:val="none"/>
          <w:lang w:eastAsia="zh-CN"/>
        </w:rPr>
      </w:pPr>
    </w:p>
    <w:p w14:paraId="4A52603E">
      <w:pPr>
        <w:rPr>
          <w:rFonts w:hint="eastAsia" w:ascii="仿宋" w:hAnsi="仿宋" w:eastAsia="仿宋" w:cs="仿宋"/>
          <w:color w:val="auto"/>
          <w:sz w:val="44"/>
          <w:szCs w:val="44"/>
          <w:highlight w:val="none"/>
          <w:lang w:eastAsia="zh-CN"/>
        </w:rPr>
      </w:pPr>
      <w:r>
        <w:rPr>
          <w:rFonts w:hint="eastAsia" w:ascii="仿宋" w:hAnsi="仿宋" w:eastAsia="仿宋" w:cs="仿宋"/>
          <w:b/>
          <w:color w:val="auto"/>
          <w:sz w:val="44"/>
          <w:szCs w:val="44"/>
          <w:highlight w:val="none"/>
          <w:lang w:eastAsia="zh-CN"/>
        </w:rPr>
        <w:br w:type="page"/>
      </w:r>
    </w:p>
    <w:p w14:paraId="2C401FC6">
      <w:pPr>
        <w:pStyle w:val="2"/>
        <w:tabs>
          <w:tab w:val="left" w:pos="0"/>
        </w:tabs>
        <w:spacing w:before="0" w:after="0" w:line="240" w:lineRule="atLeast"/>
        <w:rPr>
          <w:rFonts w:hint="eastAsia" w:ascii="仿宋" w:hAnsi="仿宋" w:eastAsia="仿宋" w:cs="仿宋"/>
          <w:color w:val="auto"/>
          <w:sz w:val="44"/>
          <w:szCs w:val="44"/>
          <w:highlight w:val="none"/>
          <w:lang w:eastAsia="zh-CN"/>
        </w:rPr>
      </w:pPr>
      <w:bookmarkStart w:id="650" w:name="_Toc29106"/>
      <w:r>
        <w:rPr>
          <w:rFonts w:hint="eastAsia" w:ascii="仿宋" w:hAnsi="仿宋" w:eastAsia="仿宋" w:cs="仿宋"/>
          <w:color w:val="auto"/>
          <w:kern w:val="0"/>
          <w:sz w:val="44"/>
          <w:szCs w:val="44"/>
          <w:highlight w:val="none"/>
          <w:lang w:eastAsia="zh-CN"/>
        </w:rPr>
        <w:t>第二章</w:t>
      </w:r>
      <w:r>
        <w:rPr>
          <w:rFonts w:hint="eastAsia" w:ascii="仿宋" w:hAnsi="仿宋" w:eastAsia="仿宋" w:cs="仿宋"/>
          <w:color w:val="auto"/>
          <w:sz w:val="44"/>
          <w:szCs w:val="44"/>
          <w:highlight w:val="none"/>
          <w:lang w:eastAsia="zh-CN"/>
        </w:rPr>
        <w:t xml:space="preserve">  投标文件格式</w:t>
      </w:r>
      <w:bookmarkEnd w:id="4"/>
      <w:bookmarkEnd w:id="5"/>
      <w:bookmarkEnd w:id="6"/>
      <w:bookmarkEnd w:id="7"/>
      <w:bookmarkEnd w:id="8"/>
      <w:bookmarkEnd w:id="9"/>
      <w:bookmarkEnd w:id="10"/>
      <w:bookmarkEnd w:id="11"/>
      <w:bookmarkEnd w:id="12"/>
      <w:bookmarkEnd w:id="650"/>
    </w:p>
    <w:p w14:paraId="34BFB13A">
      <w:pPr>
        <w:rPr>
          <w:rFonts w:hint="eastAsia" w:ascii="仿宋" w:hAnsi="仿宋" w:eastAsia="仿宋" w:cs="仿宋"/>
          <w:color w:val="auto"/>
          <w:sz w:val="20"/>
          <w:highlight w:val="none"/>
          <w:lang w:eastAsia="zh-CN"/>
        </w:rPr>
      </w:pPr>
    </w:p>
    <w:p w14:paraId="7BBAA1E7">
      <w:pPr>
        <w:rPr>
          <w:rFonts w:hint="eastAsia" w:ascii="仿宋" w:hAnsi="仿宋" w:eastAsia="仿宋" w:cs="仿宋"/>
          <w:color w:val="auto"/>
          <w:highlight w:val="none"/>
          <w:lang w:eastAsia="zh-CN"/>
        </w:rPr>
      </w:pPr>
      <w:bookmarkStart w:id="651" w:name="_Toc518923107"/>
      <w:bookmarkStart w:id="652" w:name="_Toc15142"/>
    </w:p>
    <w:p w14:paraId="51FDDA1C">
      <w:pPr>
        <w:pStyle w:val="3"/>
        <w:spacing w:before="0" w:line="240" w:lineRule="atLeast"/>
        <w:ind w:left="1080" w:leftChars="257" w:hanging="540"/>
        <w:rPr>
          <w:rFonts w:hint="eastAsia" w:ascii="仿宋" w:hAnsi="仿宋" w:eastAsia="仿宋" w:cs="仿宋"/>
          <w:color w:val="auto"/>
          <w:sz w:val="24"/>
          <w:highlight w:val="none"/>
          <w:lang w:eastAsia="zh-CN"/>
        </w:rPr>
      </w:pPr>
      <w:bookmarkStart w:id="653" w:name="_Toc21312"/>
      <w:bookmarkStart w:id="654" w:name="_Toc7162"/>
      <w:bookmarkStart w:id="655" w:name="_Toc11730"/>
      <w:bookmarkStart w:id="656" w:name="_Toc8875"/>
      <w:bookmarkStart w:id="657" w:name="_Toc11201"/>
      <w:bookmarkStart w:id="658" w:name="_Toc24822"/>
      <w:bookmarkStart w:id="659" w:name="_Toc10047"/>
      <w:bookmarkStart w:id="660" w:name="_Toc13309"/>
      <w:bookmarkStart w:id="661" w:name="_Toc3323"/>
      <w:bookmarkStart w:id="662" w:name="_Toc14363"/>
      <w:r>
        <w:rPr>
          <w:rFonts w:hint="eastAsia" w:ascii="仿宋" w:hAnsi="仿宋" w:eastAsia="仿宋" w:cs="仿宋"/>
          <w:color w:val="auto"/>
          <w:sz w:val="24"/>
          <w:highlight w:val="none"/>
          <w:lang w:eastAsia="zh-CN"/>
        </w:rPr>
        <w:t>第一部分 开标一览表及资格证明文件</w:t>
      </w:r>
      <w:bookmarkEnd w:id="651"/>
      <w:bookmarkEnd w:id="652"/>
      <w:bookmarkEnd w:id="653"/>
      <w:bookmarkEnd w:id="654"/>
      <w:bookmarkEnd w:id="655"/>
      <w:bookmarkEnd w:id="656"/>
      <w:bookmarkEnd w:id="657"/>
      <w:bookmarkEnd w:id="658"/>
      <w:bookmarkEnd w:id="659"/>
      <w:bookmarkEnd w:id="660"/>
      <w:bookmarkEnd w:id="661"/>
      <w:bookmarkEnd w:id="662"/>
    </w:p>
    <w:p w14:paraId="5760F19F">
      <w:pPr>
        <w:spacing w:line="288" w:lineRule="auto"/>
        <w:rPr>
          <w:rFonts w:hint="eastAsia" w:ascii="仿宋" w:hAnsi="仿宋" w:eastAsia="仿宋" w:cs="仿宋"/>
          <w:color w:val="auto"/>
          <w:sz w:val="24"/>
          <w:highlight w:val="none"/>
          <w:lang w:eastAsia="zh-CN"/>
        </w:rPr>
      </w:pPr>
    </w:p>
    <w:p w14:paraId="0F4BAED4">
      <w:pPr>
        <w:spacing w:line="240" w:lineRule="atLeast"/>
        <w:ind w:left="708" w:hanging="708" w:hangingChars="295"/>
        <w:jc w:val="center"/>
        <w:rPr>
          <w:rFonts w:hint="eastAsia" w:ascii="仿宋" w:hAnsi="仿宋" w:eastAsia="仿宋" w:cs="仿宋"/>
          <w:color w:val="auto"/>
          <w:sz w:val="24"/>
          <w:highlight w:val="none"/>
          <w:lang w:eastAsia="zh-CN"/>
        </w:rPr>
      </w:pPr>
    </w:p>
    <w:p w14:paraId="45D97ED3">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法人或者非法人组织的营业执照等证明文件复印件（须加盖本单位章）或自然人的身份证明复印件</w:t>
      </w:r>
    </w:p>
    <w:p w14:paraId="4C79EB63">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bCs/>
          <w:iCs/>
          <w:snapToGrid w:val="0"/>
          <w:color w:val="000000"/>
          <w:sz w:val="24"/>
          <w:szCs w:val="24"/>
          <w:highlight w:val="none"/>
          <w:lang w:val="en-US" w:eastAsia="zh-CN" w:bidi="ar-SA"/>
        </w:rPr>
        <w:t>、法人身份证明或法人授权委托书</w:t>
      </w:r>
      <w:r>
        <w:rPr>
          <w:rFonts w:hint="eastAsia" w:ascii="仿宋" w:hAnsi="仿宋" w:eastAsia="仿宋" w:cs="仿宋"/>
          <w:bCs/>
          <w:iCs/>
          <w:snapToGrid w:val="0"/>
          <w:color w:val="000000"/>
          <w:sz w:val="24"/>
          <w:szCs w:val="24"/>
          <w:highlight w:val="none"/>
          <w:lang w:val="en-US" w:eastAsia="en-US" w:bidi="ar-SA"/>
        </w:rPr>
        <w:t>（</w:t>
      </w:r>
      <w:r>
        <w:rPr>
          <w:rFonts w:hint="eastAsia" w:ascii="仿宋" w:hAnsi="仿宋" w:eastAsia="仿宋" w:cs="仿宋"/>
          <w:bCs/>
          <w:iCs/>
          <w:sz w:val="24"/>
          <w:szCs w:val="24"/>
          <w:highlight w:val="none"/>
        </w:rPr>
        <w:t>自然人投标的无需提供，投标人为法人的提供法人证明书</w:t>
      </w:r>
      <w:r>
        <w:rPr>
          <w:rFonts w:hint="eastAsia" w:ascii="仿宋" w:hAnsi="仿宋" w:eastAsia="仿宋" w:cs="仿宋"/>
          <w:bCs/>
          <w:iCs/>
          <w:sz w:val="24"/>
          <w:szCs w:val="24"/>
          <w:highlight w:val="none"/>
          <w:lang w:eastAsia="zh-CN"/>
        </w:rPr>
        <w:t>）</w:t>
      </w:r>
    </w:p>
    <w:p w14:paraId="4B8B19D5">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、投标保证金缴纳凭证复印件或银行保函复印件</w:t>
      </w:r>
    </w:p>
    <w:p w14:paraId="16C1AA8B">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投标企业依法缴纳近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个月任意一个月社会保险的凭据</w:t>
      </w:r>
    </w:p>
    <w:p w14:paraId="7D8991A0">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投标企业提供税务部门出具的近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个月任意一个月的完税证明</w:t>
      </w:r>
    </w:p>
    <w:p w14:paraId="29B0A2BC">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近两年任意一年完整的财务审计报告（新成立公司提供开标前三个月内任意一个月有效银行资信证明）</w:t>
      </w:r>
    </w:p>
    <w:p w14:paraId="0F9AB7F6">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bCs/>
          <w:iCs/>
          <w:sz w:val="24"/>
          <w:szCs w:val="24"/>
          <w:highlight w:val="none"/>
        </w:rPr>
        <w:t>参与政府采购活动供应商在前3年内未被“信用中国”网站（www.creditchina.gov.cn）、“中国政府采购网”(www.ccgp.gov.cn)列入失信被执行人、</w:t>
      </w:r>
      <w:r>
        <w:rPr>
          <w:rFonts w:hint="eastAsia" w:ascii="仿宋" w:hAnsi="仿宋" w:eastAsia="仿宋" w:cs="仿宋"/>
          <w:bCs/>
          <w:iCs/>
          <w:sz w:val="24"/>
          <w:szCs w:val="24"/>
          <w:highlight w:val="none"/>
          <w:lang w:eastAsia="zh-CN"/>
        </w:rPr>
        <w:t>重大税收违法失信主体</w:t>
      </w:r>
      <w:r>
        <w:rPr>
          <w:rFonts w:hint="eastAsia" w:ascii="仿宋" w:hAnsi="仿宋" w:eastAsia="仿宋" w:cs="仿宋"/>
          <w:bCs/>
          <w:iCs/>
          <w:sz w:val="24"/>
          <w:szCs w:val="24"/>
          <w:highlight w:val="none"/>
        </w:rPr>
        <w:t>、政府采购严重失信行为记录名单（提供网页截图）；（以招标代理或招标人查询为准）</w:t>
      </w:r>
    </w:p>
    <w:p w14:paraId="1D2F4CD6">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、参加政府采购活动前3年内在经营活动中没有重大违法记录的书面声明及反商业受贿承诺</w:t>
      </w:r>
    </w:p>
    <w:p w14:paraId="782DB955">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sz w:val="24"/>
          <w:szCs w:val="24"/>
          <w:highlight w:val="none"/>
        </w:rPr>
        <w:t>本项目不接受联合体投标</w:t>
      </w:r>
    </w:p>
    <w:p w14:paraId="0919B73B">
      <w:pPr>
        <w:pStyle w:val="12"/>
        <w:spacing w:line="288"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投标人须知资料表要求的其他资格证明文件</w:t>
      </w:r>
    </w:p>
    <w:p w14:paraId="256B1827">
      <w:pPr>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lang w:eastAsia="zh-CN"/>
        </w:rPr>
        <w:br w:type="page"/>
      </w:r>
    </w:p>
    <w:p w14:paraId="7A0BA4A9">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63" w:name="_Toc22537"/>
      <w:bookmarkStart w:id="664" w:name="_Toc32287"/>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lang w:eastAsia="zh-CN"/>
        </w:rPr>
        <w:t xml:space="preserve">  法人或者非法人组织的营业执照等证明文件</w:t>
      </w:r>
      <w:bookmarkEnd w:id="663"/>
      <w:bookmarkEnd w:id="664"/>
    </w:p>
    <w:p w14:paraId="6C54E3E2">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3C8E0DA9">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说明：1.提供有效的营业执照等证明文件复印件，复印件上应加盖本单位章。</w:t>
      </w:r>
    </w:p>
    <w:p w14:paraId="30642241">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 投标人为自然人的，应提供身份证明的复印件。</w:t>
      </w:r>
    </w:p>
    <w:p w14:paraId="7500B116">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3.联合体投标应提供联合体各方满足以上要求的证明文件。</w:t>
      </w:r>
    </w:p>
    <w:p w14:paraId="7F2FEA34">
      <w:pPr>
        <w:pStyle w:val="12"/>
        <w:tabs>
          <w:tab w:val="left" w:pos="5580"/>
        </w:tabs>
        <w:spacing w:line="288" w:lineRule="auto"/>
        <w:rPr>
          <w:rFonts w:hint="eastAsia" w:ascii="仿宋" w:hAnsi="仿宋" w:eastAsia="仿宋" w:cs="仿宋"/>
          <w:color w:val="auto"/>
          <w:sz w:val="24"/>
          <w:highlight w:val="none"/>
          <w:lang w:eastAsia="zh-CN"/>
        </w:rPr>
      </w:pPr>
    </w:p>
    <w:p w14:paraId="0B3EDFCE">
      <w:pPr>
        <w:pStyle w:val="12"/>
        <w:tabs>
          <w:tab w:val="left" w:pos="5580"/>
        </w:tabs>
        <w:spacing w:line="288" w:lineRule="auto"/>
        <w:rPr>
          <w:rFonts w:hint="eastAsia" w:ascii="仿宋" w:hAnsi="仿宋" w:eastAsia="仿宋" w:cs="仿宋"/>
          <w:color w:val="auto"/>
          <w:sz w:val="24"/>
          <w:highlight w:val="none"/>
          <w:lang w:eastAsia="zh-CN"/>
        </w:rPr>
      </w:pPr>
    </w:p>
    <w:p w14:paraId="23970924">
      <w:pPr>
        <w:pStyle w:val="4"/>
        <w:spacing w:before="0" w:after="0" w:line="288" w:lineRule="auto"/>
        <w:ind w:left="1079" w:leftChars="257" w:hanging="539"/>
        <w:jc w:val="center"/>
        <w:rPr>
          <w:rFonts w:hint="eastAsia" w:ascii="仿宋" w:hAnsi="仿宋" w:eastAsia="仿宋" w:cs="仿宋"/>
          <w:color w:val="auto"/>
          <w:highlight w:val="none"/>
          <w:u w:val="none"/>
          <w:lang w:val="en-US" w:eastAsia="zh-CN"/>
        </w:rPr>
      </w:pPr>
      <w:bookmarkStart w:id="665" w:name="_Toc29141"/>
      <w:bookmarkStart w:id="666" w:name="_Toc7115"/>
      <w:r>
        <w:rPr>
          <w:rFonts w:hint="eastAsia" w:ascii="仿宋" w:hAnsi="仿宋" w:eastAsia="仿宋" w:cs="仿宋"/>
          <w:color w:val="auto"/>
          <w:highlight w:val="none"/>
          <w:u w:val="none"/>
          <w:lang w:val="en-US" w:eastAsia="zh-CN"/>
        </w:rPr>
        <w:t>2  法人身份证明或法人授权委托书</w:t>
      </w:r>
      <w:bookmarkEnd w:id="665"/>
      <w:bookmarkEnd w:id="666"/>
    </w:p>
    <w:p w14:paraId="10AA02F3">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512DF364">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说明：含法人身份证复印件和被授权人身份有效证件（身份证复印件）;</w:t>
      </w:r>
    </w:p>
    <w:p w14:paraId="38A1813F">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02C18840">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81A30C8">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6539AA2F">
      <w:pPr>
        <w:spacing w:line="360" w:lineRule="auto"/>
        <w:jc w:val="center"/>
        <w:rPr>
          <w:rFonts w:hint="eastAsia" w:ascii="仿宋" w:hAnsi="仿宋" w:eastAsia="仿宋" w:cs="仿宋"/>
          <w:b/>
          <w:bCs/>
          <w:color w:val="auto"/>
          <w:sz w:val="32"/>
          <w:szCs w:val="22"/>
          <w:highlight w:val="none"/>
          <w:lang w:eastAsia="zh-CN"/>
        </w:rPr>
      </w:pPr>
      <w:r>
        <w:rPr>
          <w:rFonts w:hint="eastAsia" w:ascii="仿宋" w:hAnsi="仿宋" w:eastAsia="仿宋" w:cs="仿宋"/>
          <w:b/>
          <w:bCs/>
          <w:color w:val="auto"/>
          <w:sz w:val="24"/>
          <w:szCs w:val="24"/>
          <w:highlight w:val="none"/>
          <w:u w:val="none"/>
          <w:lang w:val="en-US" w:eastAsia="zh-CN"/>
        </w:rPr>
        <w:t>法人身份证明</w:t>
      </w:r>
    </w:p>
    <w:p w14:paraId="5B79E578">
      <w:pPr>
        <w:spacing w:line="360" w:lineRule="auto"/>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lang w:eastAsia="zh-CN"/>
        </w:rPr>
        <w:t>同志，现任我单位</w:t>
      </w:r>
      <w:r>
        <w:rPr>
          <w:rFonts w:hint="eastAsia" w:ascii="仿宋" w:hAnsi="仿宋" w:eastAsia="仿宋" w:cs="仿宋"/>
          <w:color w:val="auto"/>
          <w:sz w:val="24"/>
          <w:szCs w:val="20"/>
          <w:highlight w:val="none"/>
          <w:u w:val="single" w:color="000000"/>
          <w:lang w:eastAsia="zh-CN"/>
        </w:rPr>
        <w:t xml:space="preserve">          职</w:t>
      </w:r>
      <w:r>
        <w:rPr>
          <w:rFonts w:hint="eastAsia" w:ascii="仿宋" w:hAnsi="仿宋" w:eastAsia="仿宋" w:cs="仿宋"/>
          <w:color w:val="auto"/>
          <w:sz w:val="24"/>
          <w:szCs w:val="20"/>
          <w:highlight w:val="none"/>
          <w:lang w:eastAsia="zh-CN"/>
        </w:rPr>
        <w:t xml:space="preserve">务，为法定代表人，特此证明。       </w:t>
      </w:r>
    </w:p>
    <w:p w14:paraId="08211455">
      <w:pPr>
        <w:spacing w:line="360" w:lineRule="auto"/>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附：代表人性别：</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u w:val="single" w:color="000000"/>
          <w:lang w:val="en-US" w:eastAsia="zh-CN"/>
        </w:rPr>
        <w:t xml:space="preserve">        </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lang w:eastAsia="zh-CN"/>
        </w:rPr>
        <w:t xml:space="preserve">     身份证号码：</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u w:val="single" w:color="000000"/>
          <w:lang w:val="en-US" w:eastAsia="zh-CN"/>
        </w:rPr>
        <w:t xml:space="preserve">             </w:t>
      </w:r>
      <w:r>
        <w:rPr>
          <w:rFonts w:hint="eastAsia" w:ascii="仿宋" w:hAnsi="仿宋" w:eastAsia="仿宋" w:cs="仿宋"/>
          <w:color w:val="auto"/>
          <w:sz w:val="24"/>
          <w:szCs w:val="20"/>
          <w:highlight w:val="none"/>
          <w:u w:val="single" w:color="000000"/>
          <w:lang w:eastAsia="zh-CN"/>
        </w:rPr>
        <w:t xml:space="preserve">     </w:t>
      </w:r>
    </w:p>
    <w:p w14:paraId="76269722">
      <w:pPr>
        <w:spacing w:line="360" w:lineRule="auto"/>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联系电话：</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u w:val="single" w:color="000000"/>
          <w:lang w:val="en-US" w:eastAsia="zh-CN"/>
        </w:rPr>
        <w:t xml:space="preserve">        </w:t>
      </w:r>
      <w:r>
        <w:rPr>
          <w:rFonts w:hint="eastAsia" w:ascii="仿宋" w:hAnsi="仿宋" w:eastAsia="仿宋" w:cs="仿宋"/>
          <w:color w:val="auto"/>
          <w:sz w:val="24"/>
          <w:szCs w:val="20"/>
          <w:highlight w:val="none"/>
          <w:u w:val="single" w:color="000000"/>
          <w:lang w:eastAsia="zh-CN"/>
        </w:rPr>
        <w:t xml:space="preserve">  </w:t>
      </w:r>
      <w:r>
        <w:rPr>
          <w:rFonts w:hint="eastAsia" w:ascii="仿宋" w:hAnsi="仿宋" w:eastAsia="仿宋" w:cs="仿宋"/>
          <w:color w:val="auto"/>
          <w:sz w:val="24"/>
          <w:szCs w:val="20"/>
          <w:highlight w:val="none"/>
          <w:lang w:eastAsia="zh-CN"/>
        </w:rPr>
        <w:t xml:space="preserve">       </w:t>
      </w:r>
    </w:p>
    <w:p w14:paraId="18919698">
      <w:pPr>
        <w:spacing w:line="360"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说明：</w:t>
      </w:r>
    </w:p>
    <w:p w14:paraId="68A47E61">
      <w:pPr>
        <w:spacing w:line="360" w:lineRule="auto"/>
        <w:ind w:firstLine="240" w:firstLineChars="1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1、法定代表人为企业事业单位、国家机关、社会团体的主要行政负责人。</w:t>
      </w:r>
    </w:p>
    <w:p w14:paraId="3E610887">
      <w:pPr>
        <w:spacing w:line="360"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  2、内容必须填写真实、清楚、涂改无效，不得转让。</w:t>
      </w:r>
    </w:p>
    <w:p w14:paraId="557460BD">
      <w:pPr>
        <w:spacing w:line="360" w:lineRule="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mc:AlternateContent>
          <mc:Choice Requires="wps">
            <w:drawing>
              <wp:anchor distT="0" distB="0" distL="114300" distR="114300" simplePos="0" relativeHeight="251666432" behindDoc="0" locked="0" layoutInCell="1" allowOverlap="1">
                <wp:simplePos x="0" y="0"/>
                <wp:positionH relativeFrom="column">
                  <wp:posOffset>3191510</wp:posOffset>
                </wp:positionH>
                <wp:positionV relativeFrom="paragraph">
                  <wp:posOffset>28575</wp:posOffset>
                </wp:positionV>
                <wp:extent cx="2529205" cy="1605915"/>
                <wp:effectExtent l="7620" t="7620" r="15875" b="24765"/>
                <wp:wrapNone/>
                <wp:docPr id="12" name="圆角矩形 12"/>
                <wp:cNvGraphicFramePr/>
                <a:graphic xmlns:a="http://schemas.openxmlformats.org/drawingml/2006/main">
                  <a:graphicData uri="http://schemas.microsoft.com/office/word/2010/wordprocessingShape">
                    <wps:wsp>
                      <wps:cNvSpPr/>
                      <wps:spPr>
                        <a:xfrm>
                          <a:off x="0" y="0"/>
                          <a:ext cx="2529205" cy="16059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7B059DD">
                            <w:pPr>
                              <w:jc w:val="center"/>
                              <w:rPr>
                                <w:rFonts w:hAnsi="宋体"/>
                              </w:rPr>
                            </w:pPr>
                          </w:p>
                          <w:p w14:paraId="3E26C7F8">
                            <w:pPr>
                              <w:jc w:val="center"/>
                              <w:rPr>
                                <w:rFonts w:hAnsi="宋体"/>
                              </w:rPr>
                            </w:pPr>
                          </w:p>
                          <w:p w14:paraId="70E7C12F">
                            <w:pPr>
                              <w:jc w:val="center"/>
                              <w:rPr>
                                <w:rFonts w:hAnsi="宋体"/>
                              </w:rPr>
                            </w:pPr>
                          </w:p>
                          <w:p w14:paraId="5F003B8C">
                            <w:pPr>
                              <w:jc w:val="center"/>
                            </w:pPr>
                            <w:r>
                              <w:rPr>
                                <w:rFonts w:hint="eastAsia" w:hAnsi="宋体"/>
                              </w:rPr>
                              <w:t>法人身份证复印件反面</w:t>
                            </w:r>
                          </w:p>
                          <w:p w14:paraId="262AC806"/>
                          <w:p w14:paraId="08D4FC94">
                            <w:pPr>
                              <w:pStyle w:val="5"/>
                            </w:pPr>
                          </w:p>
                          <w:p w14:paraId="02BBCD51">
                            <w:pPr>
                              <w:pStyle w:val="5"/>
                            </w:pPr>
                          </w:p>
                          <w:p w14:paraId="39B5DF65">
                            <w:pPr>
                              <w:pStyle w:val="5"/>
                            </w:pPr>
                          </w:p>
                          <w:p w14:paraId="77A6D657">
                            <w:pPr>
                              <w:pStyle w:val="5"/>
                            </w:pPr>
                          </w:p>
                        </w:txbxContent>
                      </wps:txbx>
                      <wps:bodyPr upright="1"/>
                    </wps:wsp>
                  </a:graphicData>
                </a:graphic>
              </wp:anchor>
            </w:drawing>
          </mc:Choice>
          <mc:Fallback>
            <w:pict>
              <v:roundrect id="_x0000_s1026" o:spid="_x0000_s1026" o:spt="2" style="position:absolute;left:0pt;margin-left:251.3pt;margin-top:2.25pt;height:126.45pt;width:199.15pt;z-index:251666432;mso-width-relative:page;mso-height-relative:page;" fillcolor="#FFFFFF" filled="t" stroked="t" coordsize="21600,21600" arcsize="0.166666666666667" o:gfxdata="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svtnbAAAACQEAAA8AAAAAAAAAAQAgAAAAIgAAAGRycy9kb3ducmV2LnhtbFBL&#10;AQIUABQAAAAIAIdO4kAK8R/JLAIAAGgEAAAOAAAAAAAAAAEAIAAAACoBAABkcnMvZTJvRG9jLnht&#10;bFBLBQYAAAAABgAGAFkBAADIBQAAAAA=&#10;">
                <v:fill on="t" focussize="0,0"/>
                <v:stroke weight="1.25pt" color="#808080" joinstyle="round"/>
                <v:imagedata o:title=""/>
                <o:lock v:ext="edit" aspectratio="f"/>
                <v:textbox>
                  <w:txbxContent>
                    <w:p w14:paraId="67B059DD">
                      <w:pPr>
                        <w:jc w:val="center"/>
                        <w:rPr>
                          <w:rFonts w:hAnsi="宋体"/>
                        </w:rPr>
                      </w:pPr>
                    </w:p>
                    <w:p w14:paraId="3E26C7F8">
                      <w:pPr>
                        <w:jc w:val="center"/>
                        <w:rPr>
                          <w:rFonts w:hAnsi="宋体"/>
                        </w:rPr>
                      </w:pPr>
                    </w:p>
                    <w:p w14:paraId="70E7C12F">
                      <w:pPr>
                        <w:jc w:val="center"/>
                        <w:rPr>
                          <w:rFonts w:hAnsi="宋体"/>
                        </w:rPr>
                      </w:pPr>
                    </w:p>
                    <w:p w14:paraId="5F003B8C">
                      <w:pPr>
                        <w:jc w:val="center"/>
                      </w:pPr>
                      <w:r>
                        <w:rPr>
                          <w:rFonts w:hint="eastAsia" w:hAnsi="宋体"/>
                        </w:rPr>
                        <w:t>法人身份证复印件反面</w:t>
                      </w:r>
                    </w:p>
                    <w:p w14:paraId="262AC806"/>
                    <w:p w14:paraId="08D4FC94">
                      <w:pPr>
                        <w:pStyle w:val="5"/>
                      </w:pPr>
                    </w:p>
                    <w:p w14:paraId="02BBCD51">
                      <w:pPr>
                        <w:pStyle w:val="5"/>
                      </w:pPr>
                    </w:p>
                    <w:p w14:paraId="39B5DF65">
                      <w:pPr>
                        <w:pStyle w:val="5"/>
                      </w:pPr>
                    </w:p>
                    <w:p w14:paraId="77A6D657">
                      <w:pPr>
                        <w:pStyle w:val="5"/>
                      </w:pPr>
                    </w:p>
                  </w:txbxContent>
                </v:textbox>
              </v:roundrect>
            </w:pict>
          </mc:Fallback>
        </mc:AlternateContent>
      </w:r>
      <w:r>
        <w:rPr>
          <w:rFonts w:hint="eastAsia" w:ascii="仿宋" w:hAnsi="仿宋" w:eastAsia="仿宋" w:cs="仿宋"/>
          <w:color w:val="auto"/>
          <w:sz w:val="24"/>
          <w:szCs w:val="20"/>
          <w:highlight w:val="none"/>
          <w:lang w:eastAsia="zh-CN"/>
        </w:rPr>
        <mc:AlternateContent>
          <mc:Choice Requires="wps">
            <w:drawing>
              <wp:anchor distT="0" distB="0" distL="114300" distR="114300" simplePos="0" relativeHeight="251665408" behindDoc="0" locked="0" layoutInCell="1" allowOverlap="1">
                <wp:simplePos x="0" y="0"/>
                <wp:positionH relativeFrom="column">
                  <wp:posOffset>154305</wp:posOffset>
                </wp:positionH>
                <wp:positionV relativeFrom="paragraph">
                  <wp:posOffset>10795</wp:posOffset>
                </wp:positionV>
                <wp:extent cx="2496185" cy="1652270"/>
                <wp:effectExtent l="4445" t="4445" r="13970" b="19685"/>
                <wp:wrapNone/>
                <wp:docPr id="17" name="流程图: 可选过程 17"/>
                <wp:cNvGraphicFramePr/>
                <a:graphic xmlns:a="http://schemas.openxmlformats.org/drawingml/2006/main">
                  <a:graphicData uri="http://schemas.microsoft.com/office/word/2010/wordprocessingShape">
                    <wps:wsp>
                      <wps:cNvSpPr/>
                      <wps:spPr>
                        <a:xfrm>
                          <a:off x="0" y="0"/>
                          <a:ext cx="2496185" cy="16522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C9140F">
                            <w:pPr>
                              <w:jc w:val="center"/>
                              <w:rPr>
                                <w:rFonts w:hAnsi="宋体"/>
                              </w:rPr>
                            </w:pPr>
                          </w:p>
                          <w:p w14:paraId="4ECE9F8C">
                            <w:pPr>
                              <w:jc w:val="center"/>
                              <w:rPr>
                                <w:rFonts w:hAnsi="宋体"/>
                              </w:rPr>
                            </w:pPr>
                          </w:p>
                          <w:p w14:paraId="29BF01A0">
                            <w:pPr>
                              <w:jc w:val="center"/>
                              <w:rPr>
                                <w:rFonts w:hAnsi="宋体"/>
                              </w:rPr>
                            </w:pPr>
                          </w:p>
                          <w:p w14:paraId="6E5D5066">
                            <w:pPr>
                              <w:jc w:val="center"/>
                              <w:rPr>
                                <w:lang w:eastAsia="zh-CN"/>
                              </w:rPr>
                            </w:pPr>
                            <w:r>
                              <w:rPr>
                                <w:rFonts w:hint="eastAsia" w:hAnsi="宋体"/>
                                <w:lang w:eastAsia="zh-CN"/>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30.1pt;width:196.55pt;z-index:251665408;mso-width-relative:page;mso-height-relative:page;" fillcolor="#FFFFFF" filled="t" stroked="t" coordsize="21600,21600" o:gfxdata="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CAuu1gAAAAgBAAAPAAAAAAAAAAEAIAAAACIAAABkcnMvZG93bnJldi54bWxQ&#10;SwECFAAUAAAACACHTuJAN9nLuzICAABgBAAADgAAAAAAAAABACAAAAAlAQAAZHJzL2Uyb0RvYy54&#10;bWxQSwUGAAAAAAYABgBZAQAAyQUAAAAA&#10;">
                <v:fill on="t" focussize="0,0"/>
                <v:stroke color="#000000" joinstyle="miter"/>
                <v:imagedata o:title=""/>
                <o:lock v:ext="edit" aspectratio="f"/>
                <v:textbox>
                  <w:txbxContent>
                    <w:p w14:paraId="70C9140F">
                      <w:pPr>
                        <w:jc w:val="center"/>
                        <w:rPr>
                          <w:rFonts w:hAnsi="宋体"/>
                        </w:rPr>
                      </w:pPr>
                    </w:p>
                    <w:p w14:paraId="4ECE9F8C">
                      <w:pPr>
                        <w:jc w:val="center"/>
                        <w:rPr>
                          <w:rFonts w:hAnsi="宋体"/>
                        </w:rPr>
                      </w:pPr>
                    </w:p>
                    <w:p w14:paraId="29BF01A0">
                      <w:pPr>
                        <w:jc w:val="center"/>
                        <w:rPr>
                          <w:rFonts w:hAnsi="宋体"/>
                        </w:rPr>
                      </w:pPr>
                    </w:p>
                    <w:p w14:paraId="6E5D5066">
                      <w:pPr>
                        <w:jc w:val="center"/>
                        <w:rPr>
                          <w:lang w:eastAsia="zh-CN"/>
                        </w:rPr>
                      </w:pPr>
                      <w:r>
                        <w:rPr>
                          <w:rFonts w:hint="eastAsia" w:hAnsi="宋体"/>
                          <w:lang w:eastAsia="zh-CN"/>
                        </w:rPr>
                        <w:t>法定代表人身份证复印件</w:t>
                      </w:r>
                    </w:p>
                  </w:txbxContent>
                </v:textbox>
              </v:shape>
            </w:pict>
          </mc:Fallback>
        </mc:AlternateContent>
      </w:r>
    </w:p>
    <w:p w14:paraId="149DD4E7">
      <w:pPr>
        <w:spacing w:line="360" w:lineRule="auto"/>
        <w:rPr>
          <w:rFonts w:hint="eastAsia" w:ascii="仿宋" w:hAnsi="仿宋" w:eastAsia="仿宋" w:cs="仿宋"/>
          <w:color w:val="auto"/>
          <w:sz w:val="24"/>
          <w:szCs w:val="20"/>
          <w:highlight w:val="none"/>
          <w:lang w:eastAsia="zh-CN"/>
        </w:rPr>
      </w:pPr>
    </w:p>
    <w:p w14:paraId="43314301">
      <w:pPr>
        <w:spacing w:line="360" w:lineRule="auto"/>
        <w:rPr>
          <w:rFonts w:hint="eastAsia" w:ascii="仿宋" w:hAnsi="仿宋" w:eastAsia="仿宋" w:cs="仿宋"/>
          <w:color w:val="auto"/>
          <w:sz w:val="24"/>
          <w:szCs w:val="20"/>
          <w:highlight w:val="none"/>
          <w:lang w:eastAsia="zh-CN"/>
        </w:rPr>
      </w:pPr>
    </w:p>
    <w:p w14:paraId="5DB94C6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0"/>
          <w:highlight w:val="none"/>
          <w:lang w:eastAsia="zh-CN"/>
        </w:rPr>
      </w:pPr>
    </w:p>
    <w:p w14:paraId="37261247">
      <w:pPr>
        <w:spacing w:line="360" w:lineRule="auto"/>
        <w:ind w:right="246"/>
        <w:rPr>
          <w:rFonts w:hint="eastAsia" w:ascii="仿宋" w:hAnsi="仿宋" w:eastAsia="仿宋" w:cs="仿宋"/>
          <w:color w:val="auto"/>
          <w:sz w:val="24"/>
          <w:szCs w:val="20"/>
          <w:highlight w:val="none"/>
          <w:lang w:eastAsia="zh-CN"/>
        </w:rPr>
      </w:pPr>
    </w:p>
    <w:p w14:paraId="3CA28A1F">
      <w:pPr>
        <w:spacing w:line="360" w:lineRule="auto"/>
        <w:ind w:right="246" w:firstLine="784" w:firstLineChars="327"/>
        <w:rPr>
          <w:rFonts w:hint="eastAsia" w:ascii="仿宋" w:hAnsi="仿宋" w:eastAsia="仿宋" w:cs="仿宋"/>
          <w:color w:val="auto"/>
          <w:sz w:val="24"/>
          <w:szCs w:val="20"/>
          <w:highlight w:val="none"/>
          <w:lang w:eastAsia="zh-CN"/>
        </w:rPr>
      </w:pPr>
    </w:p>
    <w:p w14:paraId="0657F55A">
      <w:pPr>
        <w:spacing w:line="360" w:lineRule="auto"/>
        <w:ind w:right="246" w:firstLine="784" w:firstLineChars="327"/>
        <w:rPr>
          <w:rFonts w:hint="eastAsia" w:ascii="仿宋" w:hAnsi="仿宋" w:eastAsia="仿宋" w:cs="仿宋"/>
          <w:color w:val="auto"/>
          <w:sz w:val="24"/>
          <w:szCs w:val="20"/>
          <w:highlight w:val="none"/>
          <w:lang w:eastAsia="zh-CN"/>
        </w:rPr>
      </w:pPr>
    </w:p>
    <w:p w14:paraId="2B2971AB">
      <w:pPr>
        <w:spacing w:line="360" w:lineRule="auto"/>
        <w:ind w:right="246" w:firstLine="784" w:firstLineChars="327"/>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供应商（盖章）：                              </w:t>
      </w:r>
    </w:p>
    <w:p w14:paraId="720F6A92">
      <w:pPr>
        <w:spacing w:line="360" w:lineRule="auto"/>
        <w:ind w:firstLine="784" w:firstLineChars="327"/>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法定代表人（签字或盖章）：                    </w:t>
      </w:r>
    </w:p>
    <w:p w14:paraId="3F709808">
      <w:pPr>
        <w:spacing w:line="360" w:lineRule="auto"/>
        <w:ind w:firstLine="784" w:firstLineChars="327"/>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日期：                                       </w:t>
      </w:r>
    </w:p>
    <w:p w14:paraId="72824EF0">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1EFAB25C">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4BF5AC1">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3C4CB248">
      <w:pPr>
        <w:spacing w:line="360" w:lineRule="auto"/>
        <w:jc w:val="both"/>
        <w:rPr>
          <w:rFonts w:hint="eastAsia" w:ascii="仿宋" w:hAnsi="仿宋" w:eastAsia="仿宋" w:cs="仿宋"/>
          <w:b/>
          <w:bCs/>
          <w:color w:val="auto"/>
          <w:sz w:val="24"/>
          <w:szCs w:val="24"/>
          <w:highlight w:val="none"/>
          <w:u w:val="none"/>
          <w:lang w:val="en-US" w:eastAsia="zh-CN"/>
        </w:rPr>
      </w:pPr>
    </w:p>
    <w:p w14:paraId="63A0377A">
      <w:pPr>
        <w:spacing w:line="360" w:lineRule="auto"/>
        <w:jc w:val="center"/>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法定代表人授权委托书</w:t>
      </w:r>
    </w:p>
    <w:p w14:paraId="47AC0F39">
      <w:pPr>
        <w:rPr>
          <w:rFonts w:hint="eastAsia" w:ascii="仿宋" w:hAnsi="仿宋" w:eastAsia="仿宋" w:cs="仿宋"/>
          <w:color w:val="auto"/>
          <w:highlight w:val="none"/>
          <w:lang w:eastAsia="zh-CN"/>
        </w:rPr>
      </w:pPr>
    </w:p>
    <w:p w14:paraId="57A62AEF">
      <w:pPr>
        <w:pStyle w:val="12"/>
        <w:tabs>
          <w:tab w:val="left" w:pos="5580"/>
        </w:tabs>
        <w:kinsoku/>
        <w:autoSpaceDE/>
        <w:autoSpaceDN/>
        <w:adjustRightInd/>
        <w:snapToGrid/>
        <w:spacing w:line="240" w:lineRule="atLeas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本授权书声明：注册于</w:t>
      </w:r>
      <w:r>
        <w:rPr>
          <w:rFonts w:hint="eastAsia" w:ascii="仿宋" w:hAnsi="仿宋" w:eastAsia="仿宋" w:cs="仿宋"/>
          <w:color w:val="auto"/>
          <w:sz w:val="24"/>
          <w:highlight w:val="none"/>
          <w:u w:val="single"/>
          <w:lang w:eastAsia="zh-CN"/>
        </w:rPr>
        <w:t>（国家或地区的名称）</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lang w:eastAsia="zh-CN"/>
        </w:rPr>
        <w:t>的在下面签字的</w:t>
      </w:r>
      <w:r>
        <w:rPr>
          <w:rFonts w:hint="eastAsia" w:ascii="仿宋" w:hAnsi="仿宋" w:eastAsia="仿宋" w:cs="仿宋"/>
          <w:color w:val="auto"/>
          <w:sz w:val="24"/>
          <w:highlight w:val="none"/>
          <w:u w:val="single"/>
          <w:lang w:eastAsia="zh-CN"/>
        </w:rPr>
        <w:t>（法人代表姓名、职务）</w:t>
      </w:r>
      <w:r>
        <w:rPr>
          <w:rFonts w:hint="eastAsia" w:ascii="仿宋" w:hAnsi="仿宋" w:eastAsia="仿宋" w:cs="仿宋"/>
          <w:color w:val="auto"/>
          <w:sz w:val="24"/>
          <w:highlight w:val="none"/>
          <w:lang w:eastAsia="zh-CN"/>
        </w:rPr>
        <w:t>代表我单位授权</w:t>
      </w:r>
      <w:r>
        <w:rPr>
          <w:rFonts w:hint="eastAsia" w:ascii="仿宋" w:hAnsi="仿宋" w:eastAsia="仿宋" w:cs="仿宋"/>
          <w:color w:val="auto"/>
          <w:sz w:val="24"/>
          <w:highlight w:val="none"/>
          <w:u w:val="single"/>
          <w:lang w:eastAsia="zh-CN"/>
        </w:rPr>
        <w:t>（单位名称）</w:t>
      </w:r>
      <w:r>
        <w:rPr>
          <w:rFonts w:hint="eastAsia" w:ascii="仿宋" w:hAnsi="仿宋" w:eastAsia="仿宋" w:cs="仿宋"/>
          <w:color w:val="auto"/>
          <w:sz w:val="24"/>
          <w:highlight w:val="none"/>
          <w:lang w:eastAsia="zh-CN"/>
        </w:rPr>
        <w:t>的在下面签字的</w:t>
      </w:r>
      <w:r>
        <w:rPr>
          <w:rFonts w:hint="eastAsia" w:ascii="仿宋" w:hAnsi="仿宋" w:eastAsia="仿宋" w:cs="仿宋"/>
          <w:color w:val="auto"/>
          <w:sz w:val="24"/>
          <w:highlight w:val="none"/>
          <w:u w:val="single"/>
          <w:lang w:eastAsia="zh-CN"/>
        </w:rPr>
        <w:t>（被授权人的姓名、职务）</w:t>
      </w:r>
      <w:r>
        <w:rPr>
          <w:rFonts w:hint="eastAsia" w:ascii="仿宋" w:hAnsi="仿宋" w:eastAsia="仿宋" w:cs="仿宋"/>
          <w:color w:val="auto"/>
          <w:sz w:val="24"/>
          <w:highlight w:val="none"/>
          <w:lang w:eastAsia="zh-CN"/>
        </w:rPr>
        <w:t>为我单位的合法代理人，就项目名称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（编号名称）</w:t>
      </w:r>
      <w:r>
        <w:rPr>
          <w:rFonts w:hint="eastAsia" w:ascii="仿宋" w:hAnsi="仿宋" w:eastAsia="仿宋" w:cs="仿宋"/>
          <w:color w:val="auto"/>
          <w:sz w:val="24"/>
          <w:highlight w:val="none"/>
          <w:lang w:eastAsia="zh-CN"/>
        </w:rPr>
        <w:t>公开招标，以我单位名义处理一切与之有关的事务。</w:t>
      </w:r>
      <w:r>
        <w:rPr>
          <w:rFonts w:hint="eastAsia" w:ascii="仿宋" w:hAnsi="仿宋" w:eastAsia="仿宋" w:cs="仿宋"/>
          <w:color w:val="auto"/>
          <w:sz w:val="24"/>
          <w:highlight w:val="none"/>
          <w:lang w:eastAsia="zh-CN"/>
        </w:rPr>
        <w:cr/>
      </w:r>
    </w:p>
    <w:p w14:paraId="64813C90">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68480" behindDoc="0" locked="0" layoutInCell="1" allowOverlap="1">
                <wp:simplePos x="0" y="0"/>
                <wp:positionH relativeFrom="column">
                  <wp:posOffset>2810510</wp:posOffset>
                </wp:positionH>
                <wp:positionV relativeFrom="paragraph">
                  <wp:posOffset>591185</wp:posOffset>
                </wp:positionV>
                <wp:extent cx="2506980" cy="1424940"/>
                <wp:effectExtent l="8255" t="7620" r="18415" b="15240"/>
                <wp:wrapNone/>
                <wp:docPr id="18" name="圆角矩形 18"/>
                <wp:cNvGraphicFramePr/>
                <a:graphic xmlns:a="http://schemas.openxmlformats.org/drawingml/2006/main">
                  <a:graphicData uri="http://schemas.microsoft.com/office/word/2010/wordprocessingShape">
                    <wps:wsp>
                      <wps:cNvSpPr/>
                      <wps:spPr>
                        <a:xfrm>
                          <a:off x="0" y="0"/>
                          <a:ext cx="2506980" cy="14249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0B51D88">
                            <w:pPr>
                              <w:rPr>
                                <w:rFonts w:hAnsi="宋体"/>
                              </w:rPr>
                            </w:pPr>
                          </w:p>
                          <w:p w14:paraId="4F4D3979">
                            <w:pPr>
                              <w:rPr>
                                <w:rFonts w:hAnsi="宋体"/>
                              </w:rPr>
                            </w:pPr>
                          </w:p>
                          <w:p w14:paraId="7CAC5FEB">
                            <w:pPr>
                              <w:rPr>
                                <w:lang w:eastAsia="zh-CN"/>
                              </w:rPr>
                            </w:pPr>
                            <w:r>
                              <w:rPr>
                                <w:rFonts w:hint="eastAsia" w:hAnsi="宋体"/>
                                <w:lang w:eastAsia="zh-CN"/>
                              </w:rPr>
                              <w:t>授权委托人身份证复印件反面</w:t>
                            </w:r>
                          </w:p>
                          <w:p w14:paraId="0C239ACB">
                            <w:pPr>
                              <w:rPr>
                                <w:lang w:eastAsia="zh-CN"/>
                              </w:rPr>
                            </w:pPr>
                          </w:p>
                        </w:txbxContent>
                      </wps:txbx>
                      <wps:bodyPr upright="1"/>
                    </wps:wsp>
                  </a:graphicData>
                </a:graphic>
              </wp:anchor>
            </w:drawing>
          </mc:Choice>
          <mc:Fallback>
            <w:pict>
              <v:roundrect id="_x0000_s1026" o:spid="_x0000_s1026" o:spt="2" style="position:absolute;left:0pt;margin-left:221.3pt;margin-top:46.55pt;height:112.2pt;width:197.4pt;z-index:251668480;mso-width-relative:page;mso-height-relative:page;" fillcolor="#FFFFFF" filled="t" stroked="t" coordsize="21600,21600" arcsize="0.166666666666667" o:gfxdata="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S9eSLcAAAACgEAAA8AAAAAAAAAAQAgAAAAIgAAAGRycy9kb3ducmV2Lnht&#10;bFBLAQIUABQAAAAIAIdO4kAIxVa+LgIAAGgEAAAOAAAAAAAAAAEAIAAAACsBAABkcnMvZTJvRG9j&#10;LnhtbFBLBQYAAAAABgAGAFkBAADLBQAAAAA=&#10;">
                <v:fill on="t" focussize="0,0"/>
                <v:stroke weight="1.25pt" color="#808080" joinstyle="round"/>
                <v:imagedata o:title=""/>
                <o:lock v:ext="edit" aspectratio="f"/>
                <v:textbox>
                  <w:txbxContent>
                    <w:p w14:paraId="10B51D88">
                      <w:pPr>
                        <w:rPr>
                          <w:rFonts w:hAnsi="宋体"/>
                        </w:rPr>
                      </w:pPr>
                    </w:p>
                    <w:p w14:paraId="4F4D3979">
                      <w:pPr>
                        <w:rPr>
                          <w:rFonts w:hAnsi="宋体"/>
                        </w:rPr>
                      </w:pPr>
                    </w:p>
                    <w:p w14:paraId="7CAC5FEB">
                      <w:pPr>
                        <w:rPr>
                          <w:lang w:eastAsia="zh-CN"/>
                        </w:rPr>
                      </w:pPr>
                      <w:r>
                        <w:rPr>
                          <w:rFonts w:hint="eastAsia" w:hAnsi="宋体"/>
                          <w:lang w:eastAsia="zh-CN"/>
                        </w:rPr>
                        <w:t>授权委托人身份证复印件反面</w:t>
                      </w:r>
                    </w:p>
                    <w:p w14:paraId="0C239ACB">
                      <w:pPr>
                        <w:rPr>
                          <w:lang w:eastAsia="zh-CN"/>
                        </w:rPr>
                      </w:pPr>
                    </w:p>
                  </w:txbxContent>
                </v:textbox>
              </v:roundrect>
            </w:pict>
          </mc:Fallback>
        </mc:AlternateContent>
      </w:r>
      <w:r>
        <w:rPr>
          <w:rFonts w:hint="eastAsia" w:ascii="仿宋" w:hAnsi="仿宋" w:eastAsia="仿宋" w:cs="仿宋"/>
          <w:color w:val="auto"/>
          <w:sz w:val="24"/>
          <w:highlight w:val="none"/>
          <w:lang w:eastAsia="zh-CN"/>
        </w:rPr>
        <w:t>本授权书于           年     月     日签字生效,特此声明。</w:t>
      </w:r>
      <w:r>
        <w:rPr>
          <w:rFonts w:hint="eastAsia" w:ascii="仿宋" w:hAnsi="仿宋" w:eastAsia="仿宋" w:cs="仿宋"/>
          <w:color w:val="auto"/>
          <w:sz w:val="24"/>
          <w:highlight w:val="none"/>
          <w:lang w:eastAsia="zh-CN"/>
        </w:rPr>
        <w:cr/>
      </w:r>
      <w:r>
        <w:rPr>
          <w:rFonts w:hint="eastAsia" w:ascii="仿宋" w:hAnsi="仿宋" w:eastAsia="仿宋" w:cs="仿宋"/>
          <w:color w:val="auto"/>
          <w:sz w:val="24"/>
          <w:highlight w:val="none"/>
          <w:lang w:eastAsia="zh-CN"/>
        </w:rPr>
        <w:cr/>
      </w:r>
    </w:p>
    <w:p w14:paraId="6CBDE12A">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67456" behindDoc="0" locked="0" layoutInCell="1" allowOverlap="1">
                <wp:simplePos x="0" y="0"/>
                <wp:positionH relativeFrom="column">
                  <wp:posOffset>241935</wp:posOffset>
                </wp:positionH>
                <wp:positionV relativeFrom="paragraph">
                  <wp:posOffset>6350</wp:posOffset>
                </wp:positionV>
                <wp:extent cx="2440305" cy="1426210"/>
                <wp:effectExtent l="4445" t="4445" r="12700" b="17145"/>
                <wp:wrapNone/>
                <wp:docPr id="19" name="流程图: 可选过程 19"/>
                <wp:cNvGraphicFramePr/>
                <a:graphic xmlns:a="http://schemas.openxmlformats.org/drawingml/2006/main">
                  <a:graphicData uri="http://schemas.microsoft.com/office/word/2010/wordprocessingShape">
                    <wps:wsp>
                      <wps:cNvSpPr/>
                      <wps:spPr>
                        <a:xfrm>
                          <a:off x="0" y="0"/>
                          <a:ext cx="2440305" cy="14262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3089D0">
                            <w:pPr>
                              <w:jc w:val="center"/>
                              <w:rPr>
                                <w:rFonts w:hAnsi="宋体"/>
                              </w:rPr>
                            </w:pPr>
                          </w:p>
                          <w:p w14:paraId="17E488DB">
                            <w:pPr>
                              <w:jc w:val="center"/>
                              <w:rPr>
                                <w:rFonts w:hAnsi="宋体"/>
                              </w:rPr>
                            </w:pPr>
                          </w:p>
                          <w:p w14:paraId="7E715EAC">
                            <w:pPr>
                              <w:rPr>
                                <w:lang w:eastAsia="zh-CN"/>
                              </w:rPr>
                            </w:pPr>
                            <w:r>
                              <w:rPr>
                                <w:rFonts w:hint="eastAsia" w:hAnsi="宋体"/>
                                <w:lang w:eastAsia="zh-CN"/>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112.3pt;width:192.15pt;z-index:251667456;mso-width-relative:page;mso-height-relative:page;" fillcolor="#FFFFFF" filled="t" stroked="t" coordsize="21600,21600" o:gfxdata="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iXziHWAAAACAEAAA8AAAAAAAAAAQAgAAAAIgAAAGRycy9kb3ducmV2LnhtbFBL&#10;AQIUABQAAAAIAIdO4kCLbP6BMQIAAGAEAAAOAAAAAAAAAAEAIAAAACUBAABkcnMvZTJvRG9jLnht&#10;bFBLBQYAAAAABgAGAFkBAADIBQAAAAA=&#10;">
                <v:fill on="t" focussize="0,0"/>
                <v:stroke color="#000000" joinstyle="miter"/>
                <v:imagedata o:title=""/>
                <o:lock v:ext="edit" aspectratio="f"/>
                <v:textbox>
                  <w:txbxContent>
                    <w:p w14:paraId="7F3089D0">
                      <w:pPr>
                        <w:jc w:val="center"/>
                        <w:rPr>
                          <w:rFonts w:hAnsi="宋体"/>
                        </w:rPr>
                      </w:pPr>
                    </w:p>
                    <w:p w14:paraId="17E488DB">
                      <w:pPr>
                        <w:jc w:val="center"/>
                        <w:rPr>
                          <w:rFonts w:hAnsi="宋体"/>
                        </w:rPr>
                      </w:pPr>
                    </w:p>
                    <w:p w14:paraId="7E715EAC">
                      <w:pPr>
                        <w:rPr>
                          <w:lang w:eastAsia="zh-CN"/>
                        </w:rPr>
                      </w:pPr>
                      <w:r>
                        <w:rPr>
                          <w:rFonts w:hint="eastAsia" w:hAnsi="宋体"/>
                          <w:lang w:eastAsia="zh-CN"/>
                        </w:rPr>
                        <w:t>授权委托人身份证复印件正面</w:t>
                      </w:r>
                    </w:p>
                  </w:txbxContent>
                </v:textbox>
              </v:shape>
            </w:pict>
          </mc:Fallback>
        </mc:AlternateContent>
      </w:r>
    </w:p>
    <w:p w14:paraId="2D8A32BB">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0BD41232">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49E75A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2ED4C7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871155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70C61FC6">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6FDB1A63">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70528" behindDoc="0" locked="0" layoutInCell="1" allowOverlap="1">
                <wp:simplePos x="0" y="0"/>
                <wp:positionH relativeFrom="column">
                  <wp:posOffset>2845435</wp:posOffset>
                </wp:positionH>
                <wp:positionV relativeFrom="paragraph">
                  <wp:posOffset>121285</wp:posOffset>
                </wp:positionV>
                <wp:extent cx="2491105" cy="1392555"/>
                <wp:effectExtent l="7620" t="7620" r="15875" b="9525"/>
                <wp:wrapNone/>
                <wp:docPr id="20" name="圆角矩形 20"/>
                <wp:cNvGraphicFramePr/>
                <a:graphic xmlns:a="http://schemas.openxmlformats.org/drawingml/2006/main">
                  <a:graphicData uri="http://schemas.microsoft.com/office/word/2010/wordprocessingShape">
                    <wps:wsp>
                      <wps:cNvSpPr/>
                      <wps:spPr>
                        <a:xfrm>
                          <a:off x="0" y="0"/>
                          <a:ext cx="2491105" cy="13925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69FBD3F">
                            <w:pPr>
                              <w:rPr>
                                <w:rFonts w:hAnsi="宋体"/>
                              </w:rPr>
                            </w:pPr>
                          </w:p>
                          <w:p w14:paraId="19023332">
                            <w:pPr>
                              <w:ind w:firstLine="420" w:firstLineChars="200"/>
                              <w:rPr>
                                <w:rFonts w:hAnsi="宋体"/>
                              </w:rPr>
                            </w:pPr>
                          </w:p>
                          <w:p w14:paraId="0D79813F">
                            <w:pPr>
                              <w:ind w:firstLine="420" w:firstLineChars="200"/>
                            </w:pPr>
                            <w:r>
                              <w:rPr>
                                <w:rFonts w:hint="eastAsia" w:hAnsi="宋体"/>
                              </w:rPr>
                              <w:t>法人身份证复印件反面</w:t>
                            </w:r>
                          </w:p>
                          <w:p w14:paraId="706C87A1"/>
                        </w:txbxContent>
                      </wps:txbx>
                      <wps:bodyPr upright="1"/>
                    </wps:wsp>
                  </a:graphicData>
                </a:graphic>
              </wp:anchor>
            </w:drawing>
          </mc:Choice>
          <mc:Fallback>
            <w:pict>
              <v:roundrect id="_x0000_s1026" o:spid="_x0000_s1026" o:spt="2" style="position:absolute;left:0pt;margin-left:224.05pt;margin-top:9.55pt;height:109.65pt;width:196.15pt;z-index:251670528;mso-width-relative:page;mso-height-relative:page;" fillcolor="#FFFFFF" filled="t" stroked="t" coordsize="21600,21600" arcsize="0.166666666666667" o:gfxdata="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6ks42wAAAAoBAAAPAAAAAAAAAAEAIAAAACIAAABkcnMvZG93bnJldi54bWxQ&#10;SwECFAAUAAAACACHTuJAyAPBPC0CAABoBAAADgAAAAAAAAABACAAAAAqAQAAZHJzL2Uyb0RvYy54&#10;bWxQSwUGAAAAAAYABgBZAQAAyQUAAAAA&#10;">
                <v:fill on="t" focussize="0,0"/>
                <v:stroke weight="1.25pt" color="#808080" joinstyle="round"/>
                <v:imagedata o:title=""/>
                <o:lock v:ext="edit" aspectratio="f"/>
                <v:textbox>
                  <w:txbxContent>
                    <w:p w14:paraId="569FBD3F">
                      <w:pPr>
                        <w:rPr>
                          <w:rFonts w:hAnsi="宋体"/>
                        </w:rPr>
                      </w:pPr>
                    </w:p>
                    <w:p w14:paraId="19023332">
                      <w:pPr>
                        <w:ind w:firstLine="420" w:firstLineChars="200"/>
                        <w:rPr>
                          <w:rFonts w:hAnsi="宋体"/>
                        </w:rPr>
                      </w:pPr>
                    </w:p>
                    <w:p w14:paraId="0D79813F">
                      <w:pPr>
                        <w:ind w:firstLine="420" w:firstLineChars="200"/>
                      </w:pPr>
                      <w:r>
                        <w:rPr>
                          <w:rFonts w:hint="eastAsia" w:hAnsi="宋体"/>
                        </w:rPr>
                        <w:t>法人身份证复印件反面</w:t>
                      </w:r>
                    </w:p>
                    <w:p w14:paraId="706C87A1"/>
                  </w:txbxContent>
                </v:textbox>
              </v:roundrect>
            </w:pict>
          </mc:Fallback>
        </mc:AlternateContent>
      </w:r>
      <w:r>
        <w:rPr>
          <w:rFonts w:hint="eastAsia" w:ascii="仿宋" w:hAnsi="仿宋" w:eastAsia="仿宋" w:cs="仿宋"/>
          <w:color w:val="auto"/>
          <w:sz w:val="24"/>
          <w:highlight w:val="none"/>
          <w:lang w:eastAsia="zh-CN"/>
        </w:rPr>
        <mc:AlternateContent>
          <mc:Choice Requires="wps">
            <w:drawing>
              <wp:anchor distT="0" distB="0" distL="114300" distR="114300" simplePos="0" relativeHeight="251669504" behindDoc="0" locked="0" layoutInCell="1" allowOverlap="1">
                <wp:simplePos x="0" y="0"/>
                <wp:positionH relativeFrom="column">
                  <wp:posOffset>244475</wp:posOffset>
                </wp:positionH>
                <wp:positionV relativeFrom="paragraph">
                  <wp:posOffset>111125</wp:posOffset>
                </wp:positionV>
                <wp:extent cx="2461895" cy="1411605"/>
                <wp:effectExtent l="7620" t="7620" r="26035" b="9525"/>
                <wp:wrapNone/>
                <wp:docPr id="21" name="圆角矩形 21"/>
                <wp:cNvGraphicFramePr/>
                <a:graphic xmlns:a="http://schemas.openxmlformats.org/drawingml/2006/main">
                  <a:graphicData uri="http://schemas.microsoft.com/office/word/2010/wordprocessingShape">
                    <wps:wsp>
                      <wps:cNvSpPr/>
                      <wps:spPr>
                        <a:xfrm>
                          <a:off x="0" y="0"/>
                          <a:ext cx="2461895" cy="141160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5C712DF">
                            <w:pPr>
                              <w:jc w:val="center"/>
                              <w:rPr>
                                <w:rFonts w:hAnsi="宋体"/>
                              </w:rPr>
                            </w:pPr>
                          </w:p>
                          <w:p w14:paraId="41113082">
                            <w:pPr>
                              <w:jc w:val="center"/>
                              <w:rPr>
                                <w:rFonts w:hAnsi="宋体"/>
                              </w:rPr>
                            </w:pPr>
                          </w:p>
                          <w:p w14:paraId="26E5B4E0">
                            <w:pPr>
                              <w:ind w:firstLine="420" w:firstLineChars="200"/>
                            </w:pPr>
                            <w:r>
                              <w:rPr>
                                <w:rFonts w:hint="eastAsia" w:hAnsi="宋体"/>
                              </w:rPr>
                              <w:t>法人身份证复印件正面</w:t>
                            </w:r>
                          </w:p>
                          <w:p w14:paraId="005DB7E4"/>
                        </w:txbxContent>
                      </wps:txbx>
                      <wps:bodyPr upright="1"/>
                    </wps:wsp>
                  </a:graphicData>
                </a:graphic>
              </wp:anchor>
            </w:drawing>
          </mc:Choice>
          <mc:Fallback>
            <w:pict>
              <v:roundrect id="_x0000_s1026" o:spid="_x0000_s1026" o:spt="2" style="position:absolute;left:0pt;margin-left:19.25pt;margin-top:8.75pt;height:111.15pt;width:193.85pt;z-index:251669504;mso-width-relative:page;mso-height-relative:page;" fillcolor="#FFFFFF" filled="t" stroked="t" coordsize="21600,21600" arcsize="0.166666666666667" o:gfxdata="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A1a52wAAAAkBAAAPAAAAAAAAAAEAIAAAACIAAABkcnMvZG93bnJldi54bWxQ&#10;SwECFAAUAAAACACHTuJATHVJqS0CAABoBAAADgAAAAAAAAABACAAAAAqAQAAZHJzL2Uyb0RvYy54&#10;bWxQSwUGAAAAAAYABgBZAQAAyQUAAAAA&#10;">
                <v:fill on="t" focussize="0,0"/>
                <v:stroke weight="1.25pt" color="#808080" joinstyle="round"/>
                <v:imagedata o:title=""/>
                <o:lock v:ext="edit" aspectratio="f"/>
                <v:textbox>
                  <w:txbxContent>
                    <w:p w14:paraId="55C712DF">
                      <w:pPr>
                        <w:jc w:val="center"/>
                        <w:rPr>
                          <w:rFonts w:hAnsi="宋体"/>
                        </w:rPr>
                      </w:pPr>
                    </w:p>
                    <w:p w14:paraId="41113082">
                      <w:pPr>
                        <w:jc w:val="center"/>
                        <w:rPr>
                          <w:rFonts w:hAnsi="宋体"/>
                        </w:rPr>
                      </w:pPr>
                    </w:p>
                    <w:p w14:paraId="26E5B4E0">
                      <w:pPr>
                        <w:ind w:firstLine="420" w:firstLineChars="200"/>
                      </w:pPr>
                      <w:r>
                        <w:rPr>
                          <w:rFonts w:hint="eastAsia" w:hAnsi="宋体"/>
                        </w:rPr>
                        <w:t>法人身份证复印件正面</w:t>
                      </w:r>
                    </w:p>
                    <w:p w14:paraId="005DB7E4"/>
                  </w:txbxContent>
                </v:textbox>
              </v:roundrect>
            </w:pict>
          </mc:Fallback>
        </mc:AlternateContent>
      </w:r>
    </w:p>
    <w:p w14:paraId="6397AB8E">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876596F">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41E917B5">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5767E136">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4E68198C">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2C0DA26A">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13BCDCFD">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430EAC6E">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5E16F81F">
      <w:pPr>
        <w:pStyle w:val="51"/>
        <w:tabs>
          <w:tab w:val="left" w:pos="5580"/>
        </w:tabs>
        <w:spacing w:line="360" w:lineRule="auto"/>
        <w:ind w:left="-540" w:leftChars="-257" w:firstLine="900" w:firstLineChars="375"/>
        <w:rPr>
          <w:rFonts w:hint="eastAsia" w:ascii="仿宋" w:hAnsi="仿宋" w:eastAsia="仿宋" w:cs="仿宋"/>
          <w:sz w:val="24"/>
          <w:highlight w:val="none"/>
        </w:rPr>
      </w:pPr>
    </w:p>
    <w:p w14:paraId="09D8BF3A">
      <w:pPr>
        <w:pStyle w:val="51"/>
        <w:tabs>
          <w:tab w:val="left" w:pos="5580"/>
        </w:tabs>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u w:val="single"/>
        </w:rPr>
        <w:t>投标人（盖单位章）</w:t>
      </w:r>
      <w:r>
        <w:rPr>
          <w:rFonts w:hint="eastAsia" w:ascii="仿宋" w:hAnsi="仿宋" w:eastAsia="仿宋" w:cs="仿宋"/>
          <w:sz w:val="24"/>
          <w:highlight w:val="none"/>
          <w:u w:val="single"/>
          <w:lang w:eastAsia="zh-CN"/>
        </w:rPr>
        <w:t>：</w:t>
      </w:r>
    </w:p>
    <w:p w14:paraId="74B62E48">
      <w:pPr>
        <w:pStyle w:val="51"/>
        <w:tabs>
          <w:tab w:val="left" w:pos="5580"/>
        </w:tabs>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法定代表人（或企业负责人）（签字或签章）</w:t>
      </w:r>
      <w:r>
        <w:rPr>
          <w:rFonts w:hint="eastAsia" w:ascii="仿宋" w:hAnsi="仿宋" w:eastAsia="仿宋" w:cs="仿宋"/>
          <w:sz w:val="24"/>
          <w:highlight w:val="none"/>
        </w:rPr>
        <w:t>：</w:t>
      </w:r>
    </w:p>
    <w:p w14:paraId="7C3A2210">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身份证号码：</w:t>
      </w:r>
      <w:r>
        <w:rPr>
          <w:rFonts w:hint="eastAsia" w:ascii="仿宋" w:hAnsi="仿宋" w:eastAsia="仿宋" w:cs="仿宋"/>
          <w:sz w:val="24"/>
          <w:highlight w:val="none"/>
          <w:u w:val="single"/>
          <w:lang w:val="en-US" w:eastAsia="zh-CN"/>
        </w:rPr>
        <w:t xml:space="preserve">                            </w:t>
      </w:r>
    </w:p>
    <w:p w14:paraId="63B50F1F">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委托代理人：</w:t>
      </w:r>
      <w:r>
        <w:rPr>
          <w:rFonts w:hint="eastAsia" w:ascii="仿宋" w:hAnsi="仿宋" w:eastAsia="仿宋" w:cs="仿宋"/>
          <w:sz w:val="24"/>
          <w:highlight w:val="none"/>
          <w:u w:val="single"/>
          <w:lang w:val="en-US" w:eastAsia="zh-CN"/>
        </w:rPr>
        <w:t xml:space="preserve">                            </w:t>
      </w:r>
    </w:p>
    <w:p w14:paraId="5C53A6D6">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身份证号码：</w:t>
      </w:r>
      <w:r>
        <w:rPr>
          <w:rFonts w:hint="eastAsia" w:ascii="仿宋" w:hAnsi="仿宋" w:eastAsia="仿宋" w:cs="仿宋"/>
          <w:sz w:val="24"/>
          <w:highlight w:val="none"/>
          <w:u w:val="single"/>
          <w:lang w:val="en-US" w:eastAsia="zh-CN"/>
        </w:rPr>
        <w:t xml:space="preserve">                            </w:t>
      </w:r>
    </w:p>
    <w:p w14:paraId="0D799D42">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详细通讯地址</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 xml:space="preserve"> </w:t>
      </w:r>
    </w:p>
    <w:p w14:paraId="7EC3DC29">
      <w:pPr>
        <w:pStyle w:val="51"/>
        <w:tabs>
          <w:tab w:val="left" w:pos="5580"/>
        </w:tabs>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邮政编码</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p>
    <w:p w14:paraId="1CE0D9C3">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传真</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p>
    <w:p w14:paraId="513160A6">
      <w:pPr>
        <w:pStyle w:val="51"/>
        <w:tabs>
          <w:tab w:val="left" w:pos="5580"/>
        </w:tabs>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rPr>
        <w:t>电话</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 xml:space="preserve">                                  </w:t>
      </w:r>
    </w:p>
    <w:p w14:paraId="221CC3A6">
      <w:pPr>
        <w:rPr>
          <w:rFonts w:hint="eastAsia" w:ascii="仿宋" w:hAnsi="仿宋" w:eastAsia="仿宋" w:cs="仿宋"/>
          <w:color w:val="auto"/>
          <w:highlight w:val="none"/>
          <w:lang w:eastAsia="zh-CN"/>
        </w:rPr>
      </w:pPr>
      <w:r>
        <w:rPr>
          <w:rFonts w:hint="eastAsia" w:ascii="仿宋" w:hAnsi="仿宋" w:eastAsia="仿宋" w:cs="仿宋"/>
          <w:b/>
          <w:bCs/>
          <w:iCs/>
          <w:color w:val="auto"/>
          <w:sz w:val="24"/>
          <w:highlight w:val="none"/>
          <w:lang w:eastAsia="zh-CN"/>
        </w:rPr>
        <w:br w:type="page"/>
      </w:r>
    </w:p>
    <w:p w14:paraId="5AA9A8AB">
      <w:pPr>
        <w:rPr>
          <w:rFonts w:hint="eastAsia" w:ascii="仿宋" w:hAnsi="仿宋" w:eastAsia="仿宋" w:cs="仿宋"/>
          <w:color w:val="auto"/>
          <w:highlight w:val="none"/>
          <w:lang w:eastAsia="zh-CN"/>
        </w:rPr>
      </w:pPr>
    </w:p>
    <w:p w14:paraId="4CB39ED6">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67" w:name="_Toc415"/>
      <w:bookmarkStart w:id="668" w:name="_Toc32382"/>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 xml:space="preserve">  投标保证金缴纳凭证复印件或银行保函复印件</w:t>
      </w:r>
      <w:bookmarkEnd w:id="667"/>
      <w:bookmarkEnd w:id="668"/>
    </w:p>
    <w:p w14:paraId="67DF047C">
      <w:pPr>
        <w:pStyle w:val="21"/>
        <w:spacing w:beforeAutospacing="0" w:afterAutospacing="0" w:line="360" w:lineRule="auto"/>
        <w:ind w:left="147"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投标保证金应当以支票、汇票、本票或者金融机构、担保机构出具的保函等非现金形式提交。投标人未按照招标文件要求提交投标保证金的，投标无效。投标人可将本项目保证金凭证的复印件作为缴纳凭证体现在本部分中，复印件上应加盖本单位章；使用银行保函等其他投标担保函的，应将担保函复印件，体现在本部分中；如采用政府采购信用担保形式的，将复印件体现在本部分中，复印件上应加盖本单位章。</w:t>
      </w:r>
    </w:p>
    <w:p w14:paraId="59FA71FA">
      <w:pPr>
        <w:rPr>
          <w:rFonts w:hint="eastAsia" w:ascii="仿宋" w:hAnsi="仿宋" w:eastAsia="仿宋" w:cs="仿宋"/>
          <w:color w:val="auto"/>
          <w:highlight w:val="none"/>
          <w:lang w:eastAsia="zh-CN"/>
        </w:rPr>
      </w:pPr>
    </w:p>
    <w:p w14:paraId="1F9F025F">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69" w:name="_Toc10632"/>
      <w:bookmarkStart w:id="670" w:name="_Toc23564"/>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lang w:eastAsia="zh-CN"/>
        </w:rPr>
        <w:t xml:space="preserve">  投标企业依法缴纳近</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个月任意一个月社会保险的凭据</w:t>
      </w:r>
      <w:bookmarkEnd w:id="669"/>
      <w:bookmarkEnd w:id="670"/>
    </w:p>
    <w:p w14:paraId="209C0086">
      <w:pPr>
        <w:pStyle w:val="12"/>
        <w:tabs>
          <w:tab w:val="left" w:pos="5580"/>
        </w:tabs>
        <w:spacing w:line="288" w:lineRule="auto"/>
        <w:rPr>
          <w:rFonts w:hint="eastAsia" w:ascii="仿宋" w:hAnsi="仿宋" w:eastAsia="仿宋" w:cs="仿宋"/>
          <w:b/>
          <w:color w:val="auto"/>
          <w:sz w:val="24"/>
          <w:highlight w:val="none"/>
          <w:lang w:eastAsia="zh-CN"/>
        </w:rPr>
      </w:pPr>
    </w:p>
    <w:p w14:paraId="7B048B53">
      <w:pPr>
        <w:pStyle w:val="12"/>
        <w:tabs>
          <w:tab w:val="left" w:pos="5580"/>
        </w:tabs>
        <w:spacing w:line="240" w:lineRule="atLeast"/>
        <w:ind w:left="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说明：说明：1.按照</w:t>
      </w:r>
      <w:r>
        <w:rPr>
          <w:rFonts w:hint="eastAsia" w:ascii="仿宋" w:hAnsi="仿宋" w:eastAsia="仿宋" w:cs="仿宋"/>
          <w:color w:val="auto"/>
          <w:sz w:val="24"/>
          <w:highlight w:val="none"/>
          <w:u w:val="single"/>
          <w:lang w:eastAsia="zh-CN"/>
        </w:rPr>
        <w:t>投标人须知资料表</w:t>
      </w:r>
      <w:r>
        <w:rPr>
          <w:rFonts w:hint="eastAsia" w:ascii="仿宋" w:hAnsi="仿宋" w:eastAsia="仿宋" w:cs="仿宋"/>
          <w:color w:val="auto"/>
          <w:sz w:val="24"/>
          <w:highlight w:val="none"/>
          <w:lang w:eastAsia="zh-CN"/>
        </w:rPr>
        <w:t>中的规定提供复印件。</w:t>
      </w:r>
    </w:p>
    <w:p w14:paraId="4B689098">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2.复印件上应加盖本单位章。</w:t>
      </w:r>
    </w:p>
    <w:p w14:paraId="2EC22557">
      <w:pPr>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3.如果是联合体投标，联合体各方均需提供上述证明。</w:t>
      </w:r>
    </w:p>
    <w:p w14:paraId="2B295C7A">
      <w:pPr>
        <w:tabs>
          <w:tab w:val="left" w:pos="5580"/>
        </w:tabs>
        <w:spacing w:line="240" w:lineRule="atLeast"/>
        <w:ind w:left="1080" w:leftChars="257" w:hanging="540"/>
        <w:rPr>
          <w:rFonts w:hint="eastAsia" w:ascii="仿宋" w:hAnsi="仿宋" w:eastAsia="仿宋" w:cs="仿宋"/>
          <w:color w:val="auto"/>
          <w:sz w:val="24"/>
          <w:highlight w:val="none"/>
          <w:lang w:eastAsia="zh-CN"/>
        </w:rPr>
      </w:pPr>
    </w:p>
    <w:p w14:paraId="0B1A53B0">
      <w:pPr>
        <w:spacing w:line="288" w:lineRule="auto"/>
        <w:rPr>
          <w:rFonts w:hint="eastAsia" w:ascii="仿宋" w:hAnsi="仿宋" w:eastAsia="仿宋" w:cs="仿宋"/>
          <w:color w:val="auto"/>
          <w:sz w:val="24"/>
          <w:highlight w:val="none"/>
          <w:lang w:eastAsia="zh-CN"/>
        </w:rPr>
      </w:pPr>
    </w:p>
    <w:p w14:paraId="16CF5B28">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71" w:name="_Toc22473"/>
      <w:bookmarkStart w:id="672" w:name="_Toc4023"/>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lang w:eastAsia="zh-CN"/>
        </w:rPr>
        <w:t xml:space="preserve">  投标企业提供税务部门出具的近</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个月任意一个月的完税证明</w:t>
      </w:r>
      <w:bookmarkEnd w:id="671"/>
      <w:bookmarkEnd w:id="672"/>
    </w:p>
    <w:p w14:paraId="725FCD97">
      <w:pPr>
        <w:pStyle w:val="12"/>
        <w:tabs>
          <w:tab w:val="left" w:pos="5580"/>
        </w:tabs>
        <w:spacing w:line="240" w:lineRule="atLeast"/>
        <w:ind w:left="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说明：1.按照</w:t>
      </w:r>
      <w:r>
        <w:rPr>
          <w:rFonts w:hint="eastAsia" w:ascii="仿宋" w:hAnsi="仿宋" w:eastAsia="仿宋" w:cs="仿宋"/>
          <w:color w:val="auto"/>
          <w:sz w:val="24"/>
          <w:highlight w:val="none"/>
          <w:u w:val="single"/>
          <w:lang w:eastAsia="zh-CN"/>
        </w:rPr>
        <w:t>投标人须知资料表</w:t>
      </w:r>
      <w:r>
        <w:rPr>
          <w:rFonts w:hint="eastAsia" w:ascii="仿宋" w:hAnsi="仿宋" w:eastAsia="仿宋" w:cs="仿宋"/>
          <w:color w:val="auto"/>
          <w:sz w:val="24"/>
          <w:highlight w:val="none"/>
          <w:lang w:eastAsia="zh-CN"/>
        </w:rPr>
        <w:t>中的规定提供复印件。</w:t>
      </w:r>
    </w:p>
    <w:p w14:paraId="3E4DBC6D">
      <w:pPr>
        <w:pStyle w:val="12"/>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2.复印件上应加盖本单位章。</w:t>
      </w:r>
    </w:p>
    <w:p w14:paraId="1C23E280">
      <w:pPr>
        <w:pStyle w:val="12"/>
        <w:tabs>
          <w:tab w:val="left" w:pos="5580"/>
        </w:tabs>
        <w:spacing w:line="288" w:lineRule="auto"/>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3.如果是联合体投标，联合体各方均需提供上述证明。</w:t>
      </w:r>
    </w:p>
    <w:p w14:paraId="3D80F855">
      <w:pPr>
        <w:pStyle w:val="12"/>
        <w:tabs>
          <w:tab w:val="left" w:pos="5580"/>
        </w:tabs>
        <w:spacing w:line="288" w:lineRule="auto"/>
        <w:ind w:left="1080" w:leftChars="257" w:hanging="540"/>
        <w:rPr>
          <w:rFonts w:hint="eastAsia" w:ascii="仿宋" w:hAnsi="仿宋" w:eastAsia="仿宋" w:cs="仿宋"/>
          <w:b/>
          <w:bCs/>
          <w:spacing w:val="11"/>
          <w:sz w:val="23"/>
          <w:szCs w:val="23"/>
          <w:highlight w:val="none"/>
        </w:rPr>
      </w:pPr>
      <w:r>
        <w:rPr>
          <w:rFonts w:hint="eastAsia" w:ascii="仿宋" w:hAnsi="仿宋" w:eastAsia="仿宋" w:cs="仿宋"/>
          <w:b/>
          <w:bCs/>
          <w:spacing w:val="11"/>
          <w:sz w:val="23"/>
          <w:szCs w:val="23"/>
          <w:highlight w:val="none"/>
          <w:lang w:val="en-US" w:eastAsia="zh-CN"/>
        </w:rPr>
        <w:t>注：</w:t>
      </w:r>
      <w:r>
        <w:rPr>
          <w:rFonts w:hint="eastAsia" w:ascii="仿宋" w:hAnsi="仿宋" w:eastAsia="仿宋" w:cs="仿宋"/>
          <w:b/>
          <w:bCs/>
          <w:spacing w:val="11"/>
          <w:sz w:val="23"/>
          <w:szCs w:val="23"/>
          <w:highlight w:val="none"/>
          <w:lang w:eastAsia="zh-CN"/>
        </w:rPr>
        <w:t>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w:t>
      </w:r>
      <w:r>
        <w:rPr>
          <w:rFonts w:hint="eastAsia" w:ascii="仿宋" w:hAnsi="仿宋" w:eastAsia="仿宋" w:cs="仿宋"/>
          <w:b/>
          <w:bCs/>
          <w:spacing w:val="11"/>
          <w:sz w:val="23"/>
          <w:szCs w:val="23"/>
          <w:highlight w:val="none"/>
        </w:rPr>
        <w:t>请各供应商注意！</w:t>
      </w:r>
    </w:p>
    <w:p w14:paraId="0717B186">
      <w:pPr>
        <w:pStyle w:val="12"/>
        <w:tabs>
          <w:tab w:val="left" w:pos="5580"/>
        </w:tabs>
        <w:spacing w:line="288" w:lineRule="auto"/>
        <w:ind w:left="1080" w:leftChars="257" w:hanging="540"/>
        <w:rPr>
          <w:rFonts w:hint="eastAsia" w:ascii="仿宋" w:hAnsi="仿宋" w:eastAsia="仿宋" w:cs="仿宋"/>
          <w:b/>
          <w:bCs/>
          <w:spacing w:val="11"/>
          <w:sz w:val="23"/>
          <w:szCs w:val="23"/>
          <w:highlight w:val="none"/>
          <w:lang w:eastAsia="zh-CN"/>
        </w:rPr>
      </w:pPr>
    </w:p>
    <w:p w14:paraId="271F1812">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p>
    <w:p w14:paraId="6ECF9F41">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73" w:name="_Toc14289"/>
      <w:bookmarkStart w:id="674" w:name="_Toc6041"/>
      <w:r>
        <w:rPr>
          <w:rFonts w:hint="eastAsia" w:ascii="仿宋" w:hAnsi="仿宋" w:eastAsia="仿宋" w:cs="仿宋"/>
          <w:color w:val="auto"/>
          <w:highlight w:val="none"/>
          <w:u w:val="none"/>
          <w:lang w:val="en-US" w:eastAsia="zh-CN"/>
        </w:rPr>
        <w:t xml:space="preserve">6  </w:t>
      </w:r>
      <w:r>
        <w:rPr>
          <w:rFonts w:hint="eastAsia" w:ascii="仿宋" w:hAnsi="仿宋" w:eastAsia="仿宋" w:cs="仿宋"/>
          <w:color w:val="auto"/>
          <w:highlight w:val="none"/>
          <w:u w:val="none"/>
          <w:lang w:eastAsia="zh-CN"/>
        </w:rPr>
        <w:t>近两年任意一年完整的财务审计报告（新成立公司提供开标前三个月内任意一个月有效银行资信证明）</w:t>
      </w:r>
      <w:bookmarkEnd w:id="673"/>
      <w:bookmarkEnd w:id="674"/>
    </w:p>
    <w:p w14:paraId="21133168">
      <w:pPr>
        <w:tabs>
          <w:tab w:val="left" w:pos="5580"/>
        </w:tabs>
        <w:spacing w:line="240" w:lineRule="atLeast"/>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p w14:paraId="5086F5FE">
      <w:pPr>
        <w:tabs>
          <w:tab w:val="left" w:pos="5580"/>
        </w:tabs>
        <w:spacing w:line="240" w:lineRule="atLeast"/>
        <w:ind w:left="540"/>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1、如提供本单位202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或202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年度经会计师事务所出具的审计报告复印件须加盖</w:t>
      </w:r>
      <w:r>
        <w:rPr>
          <w:rFonts w:hint="eastAsia" w:ascii="仿宋" w:hAnsi="仿宋" w:eastAsia="仿宋" w:cs="仿宋"/>
          <w:bCs/>
          <w:color w:val="auto"/>
          <w:sz w:val="24"/>
          <w:szCs w:val="24"/>
          <w:highlight w:val="none"/>
          <w:lang w:eastAsia="zh-CN"/>
        </w:rPr>
        <w:t>本单位章。</w:t>
      </w:r>
    </w:p>
    <w:p w14:paraId="0E7CB1A7">
      <w:pPr>
        <w:tabs>
          <w:tab w:val="left" w:pos="5580"/>
        </w:tabs>
        <w:spacing w:line="240" w:lineRule="atLeast"/>
        <w:ind w:left="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000000"/>
          <w:kern w:val="2"/>
          <w:sz w:val="24"/>
          <w:szCs w:val="24"/>
          <w:highlight w:val="none"/>
        </w:rPr>
        <w:t>如提供银行出具的证明文件。银行证明文件需提供银行在开标日前三个月内开具证明文件的复印件并盖单位章。银行出具的证明文件应能说明该投标人与银行之间业务往来正常，企业信誉良好等。</w:t>
      </w:r>
    </w:p>
    <w:p w14:paraId="28FFE73F">
      <w:pPr>
        <w:tabs>
          <w:tab w:val="left" w:pos="5580"/>
        </w:tabs>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3、如果是联合体投标，联合体各方均需提供上述证明。</w:t>
      </w:r>
    </w:p>
    <w:p w14:paraId="024B52A5">
      <w:pPr>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br w:type="page"/>
      </w:r>
    </w:p>
    <w:p w14:paraId="676A857B">
      <w:pPr>
        <w:pStyle w:val="12"/>
        <w:tabs>
          <w:tab w:val="left" w:pos="5580"/>
        </w:tabs>
        <w:spacing w:line="288" w:lineRule="auto"/>
        <w:ind w:left="1080" w:leftChars="257" w:hanging="540"/>
        <w:rPr>
          <w:rFonts w:hint="eastAsia" w:ascii="仿宋" w:hAnsi="仿宋" w:eastAsia="仿宋" w:cs="仿宋"/>
          <w:color w:val="auto"/>
          <w:sz w:val="24"/>
          <w:highlight w:val="none"/>
          <w:lang w:eastAsia="zh-CN"/>
        </w:rPr>
      </w:pPr>
    </w:p>
    <w:p w14:paraId="4BC3EAAB">
      <w:pPr>
        <w:pStyle w:val="3"/>
        <w:spacing w:before="0" w:line="288" w:lineRule="auto"/>
        <w:ind w:left="1080" w:leftChars="257" w:hanging="540"/>
        <w:rPr>
          <w:rFonts w:hint="eastAsia" w:ascii="仿宋" w:hAnsi="仿宋" w:eastAsia="仿宋" w:cs="仿宋"/>
          <w:color w:val="auto"/>
          <w:sz w:val="24"/>
          <w:highlight w:val="none"/>
          <w:lang w:eastAsia="zh-CN"/>
        </w:rPr>
      </w:pPr>
      <w:bookmarkStart w:id="675" w:name="_Toc11180"/>
      <w:bookmarkStart w:id="676" w:name="_Toc21263"/>
      <w:bookmarkStart w:id="677" w:name="_Toc515647816"/>
      <w:bookmarkStart w:id="678" w:name="_Toc23967"/>
      <w:bookmarkStart w:id="679" w:name="_Toc168"/>
      <w:bookmarkStart w:id="680" w:name="_Toc27549"/>
      <w:bookmarkStart w:id="681" w:name="_Toc11868"/>
      <w:bookmarkStart w:id="682" w:name="_Toc22967"/>
      <w:bookmarkStart w:id="683" w:name="_Toc22608"/>
      <w:bookmarkStart w:id="684" w:name="_Toc26028"/>
      <w:bookmarkStart w:id="685" w:name="_Toc30317"/>
      <w:bookmarkStart w:id="686" w:name="_Toc26950"/>
      <w:bookmarkStart w:id="687" w:name="_Toc26404"/>
      <w:bookmarkStart w:id="688" w:name="_Toc19244"/>
      <w:r>
        <w:rPr>
          <w:rFonts w:hint="eastAsia" w:ascii="仿宋" w:hAnsi="仿宋" w:eastAsia="仿宋" w:cs="仿宋"/>
          <w:color w:val="auto"/>
          <w:sz w:val="24"/>
          <w:highlight w:val="none"/>
          <w:lang w:eastAsia="zh-CN"/>
        </w:rPr>
        <w:t>第二部分</w:t>
      </w:r>
      <w:r>
        <w:rPr>
          <w:rFonts w:hint="eastAsia" w:ascii="仿宋" w:hAnsi="仿宋" w:eastAsia="仿宋" w:cs="仿宋"/>
          <w:color w:val="auto"/>
          <w:sz w:val="24"/>
          <w:szCs w:val="24"/>
          <w:highlight w:val="none"/>
          <w:lang w:eastAsia="zh-CN"/>
        </w:rPr>
        <w:t xml:space="preserve"> 商务及技术文件</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2C7ED1D">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1、投标书</w:t>
      </w:r>
    </w:p>
    <w:p w14:paraId="02CE9731">
      <w:pPr>
        <w:pStyle w:val="12"/>
        <w:spacing w:line="288" w:lineRule="auto"/>
        <w:ind w:left="1080" w:leftChars="257" w:hanging="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w:t>
      </w:r>
    </w:p>
    <w:p w14:paraId="579A6488">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、投标分项报价表</w:t>
      </w:r>
    </w:p>
    <w:p w14:paraId="5D5C4EB0">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、技术规格偏离表</w:t>
      </w:r>
    </w:p>
    <w:p w14:paraId="5FFC078C">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、商务条款偏离表</w:t>
      </w:r>
    </w:p>
    <w:p w14:paraId="3EAABE6D">
      <w:pPr>
        <w:pStyle w:val="12"/>
        <w:spacing w:line="288" w:lineRule="auto"/>
        <w:ind w:left="1080" w:leftChars="257" w:hanging="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3F49128D">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-1《中小企业声明函（货物)》</w:t>
      </w:r>
    </w:p>
    <w:p w14:paraId="7E27BF6C">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-2《残疾人福利性单位声明函》</w:t>
      </w:r>
    </w:p>
    <w:p w14:paraId="51BDDE85">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-3《监狱企业适用》</w:t>
      </w:r>
    </w:p>
    <w:p w14:paraId="33DC65AD">
      <w:pPr>
        <w:pStyle w:val="12"/>
        <w:spacing w:line="288" w:lineRule="auto"/>
        <w:ind w:left="1080" w:leftChars="257" w:hanging="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 节能、环境标志产品</w:t>
      </w:r>
    </w:p>
    <w:p w14:paraId="749AB939">
      <w:pPr>
        <w:pStyle w:val="12"/>
        <w:spacing w:line="288" w:lineRule="auto"/>
        <w:ind w:left="1080" w:leftChars="257" w:hanging="54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、投标文件还应包括第五章、综合评分表的所有技术文件</w:t>
      </w:r>
    </w:p>
    <w:p w14:paraId="7319CED3">
      <w:pPr>
        <w:pStyle w:val="12"/>
        <w:spacing w:line="288"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、投标人关联单位的说明（格式自拟）</w:t>
      </w:r>
    </w:p>
    <w:p w14:paraId="34F7BFFE">
      <w:pPr>
        <w:pStyle w:val="12"/>
        <w:spacing w:line="288" w:lineRule="auto"/>
        <w:ind w:left="21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、其他有利于投标人的文件或证明材料</w:t>
      </w:r>
    </w:p>
    <w:p w14:paraId="5D52C43A">
      <w:pPr>
        <w:pStyle w:val="12"/>
        <w:spacing w:line="288" w:lineRule="auto"/>
        <w:ind w:left="21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、对本项目投标文件（响应文件）中资料真实性的承诺</w:t>
      </w:r>
    </w:p>
    <w:p w14:paraId="4FE007FD">
      <w:pPr>
        <w:pStyle w:val="12"/>
        <w:rPr>
          <w:rFonts w:hint="eastAsia" w:ascii="仿宋" w:hAnsi="仿宋" w:eastAsia="仿宋" w:cs="仿宋"/>
          <w:color w:val="auto"/>
          <w:sz w:val="24"/>
          <w:szCs w:val="24"/>
          <w:highlight w:val="none"/>
          <w:lang w:eastAsia="zh-CN"/>
        </w:rPr>
      </w:pPr>
    </w:p>
    <w:p w14:paraId="01DE7BB3">
      <w:pPr>
        <w:rPr>
          <w:rFonts w:hint="eastAsia" w:ascii="仿宋" w:hAnsi="仿宋" w:eastAsia="仿宋" w:cs="仿宋"/>
          <w:color w:val="auto"/>
          <w:highlight w:val="none"/>
          <w:lang w:eastAsia="zh-CN"/>
        </w:rPr>
      </w:pPr>
      <w:bookmarkStart w:id="689" w:name="_Toc31638"/>
      <w:bookmarkStart w:id="690" w:name="_Toc25213"/>
      <w:bookmarkStart w:id="691" w:name="_Toc11043"/>
      <w:bookmarkStart w:id="692" w:name="_Toc17635"/>
      <w:bookmarkStart w:id="693" w:name="_Toc21159"/>
      <w:bookmarkStart w:id="694" w:name="_Toc31410"/>
      <w:bookmarkStart w:id="695" w:name="_Toc14062"/>
      <w:bookmarkStart w:id="696" w:name="_Toc3618"/>
      <w:bookmarkStart w:id="697" w:name="_Toc24743"/>
      <w:r>
        <w:rPr>
          <w:rFonts w:hint="eastAsia" w:ascii="仿宋" w:hAnsi="仿宋" w:eastAsia="仿宋" w:cs="仿宋"/>
          <w:color w:val="auto"/>
          <w:highlight w:val="none"/>
          <w:lang w:eastAsia="zh-CN"/>
        </w:rPr>
        <w:br w:type="page"/>
      </w:r>
    </w:p>
    <w:bookmarkEnd w:id="689"/>
    <w:bookmarkEnd w:id="690"/>
    <w:bookmarkEnd w:id="691"/>
    <w:bookmarkEnd w:id="692"/>
    <w:bookmarkEnd w:id="693"/>
    <w:bookmarkEnd w:id="694"/>
    <w:bookmarkEnd w:id="695"/>
    <w:bookmarkEnd w:id="696"/>
    <w:bookmarkEnd w:id="697"/>
    <w:p w14:paraId="347B5468">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698" w:name="_Toc1452"/>
      <w:bookmarkStart w:id="699" w:name="_Toc6283"/>
      <w:r>
        <w:rPr>
          <w:rFonts w:hint="eastAsia" w:ascii="仿宋" w:hAnsi="仿宋" w:eastAsia="仿宋" w:cs="仿宋"/>
          <w:color w:val="auto"/>
          <w:highlight w:val="none"/>
          <w:u w:val="none"/>
          <w:lang w:eastAsia="zh-CN"/>
        </w:rPr>
        <w:t>1  投标书</w:t>
      </w:r>
      <w:bookmarkEnd w:id="698"/>
      <w:bookmarkEnd w:id="699"/>
    </w:p>
    <w:p w14:paraId="069F4556">
      <w:pPr>
        <w:tabs>
          <w:tab w:val="left" w:pos="5580"/>
        </w:tabs>
        <w:spacing w:line="240" w:lineRule="atLeast"/>
        <w:ind w:left="1080" w:leftChars="257" w:hanging="540"/>
        <w:rPr>
          <w:rFonts w:hint="eastAsia" w:ascii="仿宋" w:hAnsi="仿宋" w:eastAsia="仿宋" w:cs="仿宋"/>
          <w:color w:val="auto"/>
          <w:sz w:val="32"/>
          <w:szCs w:val="32"/>
          <w:highlight w:val="none"/>
          <w:lang w:eastAsia="zh-CN"/>
        </w:rPr>
      </w:pPr>
    </w:p>
    <w:p w14:paraId="5D5C96C7">
      <w:pPr>
        <w:tabs>
          <w:tab w:val="left" w:pos="5580"/>
        </w:tabs>
        <w:spacing w:line="320" w:lineRule="exact"/>
        <w:ind w:left="1080" w:hanging="10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致：</w:t>
      </w:r>
      <w:r>
        <w:rPr>
          <w:rFonts w:hint="eastAsia" w:ascii="仿宋" w:hAnsi="仿宋" w:eastAsia="仿宋" w:cs="仿宋"/>
          <w:color w:val="auto"/>
          <w:sz w:val="24"/>
          <w:highlight w:val="none"/>
          <w:u w:val="single" w:color="000000"/>
          <w:lang w:eastAsia="zh-CN"/>
        </w:rPr>
        <w:t xml:space="preserve"> （采购人名称）</w:t>
      </w:r>
    </w:p>
    <w:p w14:paraId="699EE02A">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438C191B">
      <w:pPr>
        <w:pStyle w:val="12"/>
        <w:tabs>
          <w:tab w:val="left" w:pos="5580"/>
        </w:tabs>
        <w:spacing w:line="400" w:lineRule="exact"/>
        <w:ind w:left="2" w:leftChars="1"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根据贵方(项目名称)项目的投标邀请(招标编号),签字代表(姓名、职务)经正式授权并代表投标人（名称、地址）上传</w:t>
      </w:r>
      <w:r>
        <w:rPr>
          <w:rFonts w:hint="eastAsia" w:ascii="仿宋" w:hAnsi="仿宋" w:eastAsia="仿宋" w:cs="仿宋"/>
          <w:color w:val="auto"/>
          <w:sz w:val="24"/>
          <w:szCs w:val="24"/>
          <w:highlight w:val="none"/>
          <w:u w:val="single"/>
          <w:lang w:eastAsia="zh-CN"/>
        </w:rPr>
        <w:t>响应文件</w:t>
      </w:r>
      <w:r>
        <w:rPr>
          <w:rFonts w:hint="eastAsia" w:ascii="仿宋" w:hAnsi="仿宋" w:eastAsia="仿宋" w:cs="仿宋"/>
          <w:color w:val="auto"/>
          <w:sz w:val="24"/>
          <w:szCs w:val="24"/>
          <w:highlight w:val="none"/>
          <w:lang w:eastAsia="zh-CN"/>
        </w:rPr>
        <w:t>，并以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形式</w:t>
      </w:r>
      <w:r>
        <w:rPr>
          <w:rFonts w:hint="eastAsia" w:ascii="仿宋" w:hAnsi="仿宋" w:eastAsia="仿宋" w:cs="仿宋"/>
          <w:color w:val="auto"/>
          <w:sz w:val="24"/>
          <w:szCs w:val="24"/>
          <w:highlight w:val="none"/>
          <w:lang w:eastAsia="zh-CN"/>
        </w:rPr>
        <w:t>出具的金额为人民币</w:t>
      </w:r>
      <w:r>
        <w:rPr>
          <w:rFonts w:hint="eastAsia" w:ascii="仿宋" w:hAnsi="仿宋" w:eastAsia="仿宋" w:cs="仿宋"/>
          <w:color w:val="auto"/>
          <w:sz w:val="24"/>
          <w:szCs w:val="24"/>
          <w:highlight w:val="none"/>
          <w:u w:val="single"/>
          <w:lang w:eastAsia="zh-CN"/>
        </w:rPr>
        <w:t>　　　　</w:t>
      </w:r>
      <w:r>
        <w:rPr>
          <w:rFonts w:hint="eastAsia" w:ascii="仿宋" w:hAnsi="仿宋" w:eastAsia="仿宋" w:cs="仿宋"/>
          <w:color w:val="auto"/>
          <w:sz w:val="24"/>
          <w:szCs w:val="24"/>
          <w:highlight w:val="none"/>
          <w:lang w:eastAsia="zh-CN"/>
        </w:rPr>
        <w:t>元的投标保证金。</w:t>
      </w:r>
    </w:p>
    <w:p w14:paraId="24E6668C">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据此，签字代表宣布同意如下：</w:t>
      </w:r>
    </w:p>
    <w:p w14:paraId="2C761AF7">
      <w:pPr>
        <w:pStyle w:val="12"/>
        <w:tabs>
          <w:tab w:val="left" w:pos="720"/>
          <w:tab w:val="left" w:pos="900"/>
        </w:tabs>
        <w:spacing w:line="320" w:lineRule="exact"/>
        <w:ind w:left="769" w:leftChars="257" w:hanging="22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（1）附投标价格表中规定的应提供服务的投标总价详见开标一览表。</w:t>
      </w:r>
    </w:p>
    <w:p w14:paraId="7C4B0A36">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（2）本投标有效期为自投标截止之日起个</w:t>
      </w:r>
      <w:r>
        <w:rPr>
          <w:rFonts w:hint="eastAsia" w:ascii="仿宋" w:hAnsi="仿宋" w:eastAsia="仿宋" w:cs="仿宋"/>
          <w:sz w:val="24"/>
          <w:highlight w:val="none"/>
          <w:u w:val="single"/>
          <w:lang w:val="en-US" w:eastAsia="zh-CN"/>
        </w:rPr>
        <w:t xml:space="preserve"> 90 </w:t>
      </w:r>
      <w:r>
        <w:rPr>
          <w:rFonts w:hint="eastAsia" w:ascii="仿宋" w:hAnsi="仿宋" w:eastAsia="仿宋" w:cs="仿宋"/>
          <w:color w:val="auto"/>
          <w:sz w:val="24"/>
          <w:highlight w:val="none"/>
          <w:lang w:eastAsia="zh-CN"/>
        </w:rPr>
        <w:t>日历日。</w:t>
      </w:r>
    </w:p>
    <w:p w14:paraId="5590680C">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（3）联合体中的大中型企业和其他自然人、法人或者非法人组织，与联合体中的小型、微型企业之间</w:t>
      </w:r>
      <w:r>
        <w:rPr>
          <w:rFonts w:hint="eastAsia" w:ascii="仿宋" w:hAnsi="仿宋" w:eastAsia="仿宋" w:cs="仿宋"/>
          <w:color w:val="auto"/>
          <w:sz w:val="24"/>
          <w:highlight w:val="none"/>
          <w:u w:val="single" w:color="000000"/>
          <w:lang w:eastAsia="zh-CN"/>
        </w:rPr>
        <w:t xml:space="preserve">     （</w:t>
      </w:r>
      <w:r>
        <w:rPr>
          <w:rFonts w:hint="eastAsia" w:ascii="仿宋" w:hAnsi="仿宋" w:eastAsia="仿宋" w:cs="仿宋"/>
          <w:color w:val="auto"/>
          <w:sz w:val="24"/>
          <w:highlight w:val="none"/>
          <w:lang w:eastAsia="zh-CN"/>
        </w:rPr>
        <w:t>存在、不存在）投资关系（如果是联合体的话）。</w:t>
      </w:r>
    </w:p>
    <w:p w14:paraId="1D591593">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（4）已详细审查全部招标文件，包括所有补充通知（如果有的话），完全理解并同意放弃对这方面有不明、误解和质疑的权力。</w:t>
      </w:r>
    </w:p>
    <w:p w14:paraId="699A8209">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（5）在规定的开标时间后，遵守招标文件中有关保证金的规定。</w:t>
      </w:r>
    </w:p>
    <w:p w14:paraId="69D961D3">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（6）根据投标人须知规定，我方不是为本项目提供整体设计、规范编制或者项目管理、监理、检测等服务的供应商，我方不是采购代理机构的附属机构。</w:t>
      </w:r>
    </w:p>
    <w:p w14:paraId="005BA971">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）按照贵方可能要求，提供与其投标有关的一切数据或资料，完全理解贵方不一定接受最低价的投标或收到的任何投标。</w:t>
      </w:r>
    </w:p>
    <w:p w14:paraId="2566FD77">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）按照招标文件的规定履行合同责任和义务。</w:t>
      </w:r>
    </w:p>
    <w:p w14:paraId="48270F98">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4AD723DF">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70F06B86">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2E117BCC">
      <w:pPr>
        <w:pStyle w:val="12"/>
        <w:tabs>
          <w:tab w:val="left" w:pos="5580"/>
        </w:tabs>
        <w:spacing w:line="360" w:lineRule="auto"/>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lang w:val="en-US" w:eastAsia="zh-CN"/>
        </w:rPr>
        <w:t>或签章</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4DE6C0C1">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投标人名称（全称）：</w:t>
      </w:r>
      <w:r>
        <w:rPr>
          <w:rFonts w:hint="eastAsia" w:ascii="仿宋" w:hAnsi="仿宋" w:eastAsia="仿宋" w:cs="仿宋"/>
          <w:sz w:val="24"/>
          <w:highlight w:val="none"/>
          <w:u w:val="single"/>
        </w:rPr>
        <w:t xml:space="preserve">                  </w:t>
      </w:r>
    </w:p>
    <w:p w14:paraId="48F6F8BF">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投标人开户银行（全称）：</w:t>
      </w:r>
      <w:r>
        <w:rPr>
          <w:rFonts w:hint="eastAsia" w:ascii="仿宋" w:hAnsi="仿宋" w:eastAsia="仿宋" w:cs="仿宋"/>
          <w:sz w:val="24"/>
          <w:highlight w:val="none"/>
          <w:u w:val="single"/>
        </w:rPr>
        <w:t xml:space="preserve">                  </w:t>
      </w:r>
    </w:p>
    <w:p w14:paraId="2913554C">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投标人银行帐号：</w:t>
      </w:r>
      <w:r>
        <w:rPr>
          <w:rFonts w:hint="eastAsia" w:ascii="仿宋" w:hAnsi="仿宋" w:eastAsia="仿宋" w:cs="仿宋"/>
          <w:sz w:val="24"/>
          <w:highlight w:val="none"/>
          <w:u w:val="single"/>
        </w:rPr>
        <w:t xml:space="preserve">                  </w:t>
      </w:r>
    </w:p>
    <w:p w14:paraId="290BA62E">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投标人单位章：</w:t>
      </w:r>
      <w:r>
        <w:rPr>
          <w:rFonts w:hint="eastAsia" w:ascii="仿宋" w:hAnsi="仿宋" w:eastAsia="仿宋" w:cs="仿宋"/>
          <w:sz w:val="24"/>
          <w:highlight w:val="none"/>
          <w:u w:val="single"/>
        </w:rPr>
        <w:t xml:space="preserve">                  </w:t>
      </w:r>
    </w:p>
    <w:p w14:paraId="5C9C2FFC">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期：</w:t>
      </w:r>
      <w:r>
        <w:rPr>
          <w:rFonts w:hint="eastAsia" w:ascii="仿宋" w:hAnsi="仿宋" w:eastAsia="仿宋" w:cs="仿宋"/>
          <w:sz w:val="24"/>
          <w:highlight w:val="none"/>
          <w:u w:val="single"/>
        </w:rPr>
        <w:t xml:space="preserve">                  </w:t>
      </w:r>
    </w:p>
    <w:p w14:paraId="1DD8DE42">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p>
    <w:p w14:paraId="64B940E4">
      <w:pPr>
        <w:pStyle w:val="12"/>
        <w:tabs>
          <w:tab w:val="left" w:pos="5580"/>
        </w:tabs>
        <w:spacing w:line="320" w:lineRule="exac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7D29E0E5">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00" w:name="_Toc18565"/>
      <w:bookmarkStart w:id="701" w:name="_Toc16568"/>
      <w:bookmarkStart w:id="702" w:name="_Toc2495"/>
      <w:bookmarkStart w:id="703" w:name="_Toc30524"/>
      <w:bookmarkStart w:id="704" w:name="_Toc29905"/>
      <w:bookmarkStart w:id="705" w:name="_Toc30573"/>
      <w:bookmarkStart w:id="706" w:name="_Toc9159"/>
      <w:bookmarkStart w:id="707" w:name="_Toc14603"/>
      <w:bookmarkStart w:id="708" w:name="_Toc14309"/>
      <w:bookmarkStart w:id="709" w:name="_Toc32488"/>
      <w:bookmarkStart w:id="710" w:name="_Toc4701"/>
      <w:bookmarkStart w:id="711" w:name="_Toc9428"/>
      <w:bookmarkStart w:id="712" w:name="_Toc515647804"/>
      <w:bookmarkStart w:id="713" w:name="_Toc2776"/>
      <w:bookmarkStart w:id="714" w:name="_Toc4959"/>
      <w:bookmarkStart w:id="715" w:name="_Toc16287"/>
      <w:bookmarkStart w:id="716" w:name="_Toc19321"/>
      <w:bookmarkStart w:id="717" w:name="_Toc216582816"/>
      <w:bookmarkStart w:id="718" w:name="_Toc14037"/>
      <w:bookmarkStart w:id="719" w:name="_Toc515647819"/>
      <w:bookmarkStart w:id="720" w:name="_Toc32398"/>
      <w:bookmarkStart w:id="721" w:name="_Toc18267"/>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lang w:eastAsia="zh-CN"/>
        </w:rPr>
        <w:t xml:space="preserve">  开标一览表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D77F840">
      <w:pPr>
        <w:tabs>
          <w:tab w:val="left" w:pos="1800"/>
          <w:tab w:val="left" w:pos="5580"/>
        </w:tabs>
        <w:spacing w:line="360" w:lineRule="auto"/>
        <w:ind w:right="-867" w:rightChars="-413"/>
        <w:rPr>
          <w:rFonts w:hint="eastAsia" w:ascii="仿宋" w:hAnsi="仿宋" w:eastAsia="仿宋" w:cs="仿宋"/>
          <w:sz w:val="24"/>
          <w:highlight w:val="none"/>
        </w:rPr>
      </w:pPr>
    </w:p>
    <w:p w14:paraId="1766F44E">
      <w:pPr>
        <w:tabs>
          <w:tab w:val="left" w:pos="1800"/>
          <w:tab w:val="left" w:pos="5580"/>
        </w:tabs>
        <w:spacing w:line="360" w:lineRule="auto"/>
        <w:ind w:right="-867" w:rightChars="-413"/>
        <w:rPr>
          <w:rFonts w:hint="eastAsia" w:ascii="仿宋" w:hAnsi="仿宋" w:eastAsia="仿宋" w:cs="仿宋"/>
          <w:sz w:val="24"/>
          <w:highlight w:val="none"/>
        </w:rPr>
      </w:pPr>
      <w:r>
        <w:rPr>
          <w:rFonts w:hint="eastAsia" w:ascii="仿宋" w:hAnsi="仿宋" w:eastAsia="仿宋" w:cs="仿宋"/>
          <w:sz w:val="24"/>
          <w:highlight w:val="none"/>
        </w:rPr>
        <w:t>项目名称：                招标编号：                报价单位：人民币</w:t>
      </w:r>
      <w:r>
        <w:rPr>
          <w:rFonts w:hint="eastAsia" w:ascii="仿宋" w:hAnsi="仿宋" w:eastAsia="仿宋" w:cs="仿宋"/>
          <w:b/>
          <w:sz w:val="24"/>
          <w:highlight w:val="none"/>
        </w:rPr>
        <w:t>元</w:t>
      </w:r>
    </w:p>
    <w:tbl>
      <w:tblPr>
        <w:tblStyle w:val="2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882"/>
        <w:gridCol w:w="1792"/>
        <w:gridCol w:w="1453"/>
        <w:gridCol w:w="1269"/>
        <w:gridCol w:w="1274"/>
      </w:tblGrid>
      <w:tr w14:paraId="1570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noWrap w:val="0"/>
            <w:vAlign w:val="center"/>
          </w:tcPr>
          <w:p w14:paraId="5725098A">
            <w:pPr>
              <w:keepNext w:val="0"/>
              <w:keepLines w:val="0"/>
              <w:suppressLineNumbers w:val="0"/>
              <w:tabs>
                <w:tab w:val="left" w:pos="5580"/>
              </w:tabs>
              <w:spacing w:before="0" w:beforeAutospacing="0" w:after="0" w:afterAutospacing="0" w:line="360" w:lineRule="auto"/>
              <w:ind w:left="0" w:right="-199"/>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1882" w:type="dxa"/>
            <w:noWrap w:val="0"/>
            <w:vAlign w:val="center"/>
          </w:tcPr>
          <w:p w14:paraId="49FFF78D">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投标总价</w:t>
            </w:r>
          </w:p>
        </w:tc>
        <w:tc>
          <w:tcPr>
            <w:tcW w:w="1792" w:type="dxa"/>
            <w:noWrap w:val="0"/>
            <w:vAlign w:val="center"/>
          </w:tcPr>
          <w:p w14:paraId="5FB19A11">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投标保证金缴纳方式</w:t>
            </w:r>
          </w:p>
        </w:tc>
        <w:tc>
          <w:tcPr>
            <w:tcW w:w="1453" w:type="dxa"/>
            <w:noWrap w:val="0"/>
            <w:vAlign w:val="center"/>
          </w:tcPr>
          <w:p w14:paraId="0413AE1C">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交货期</w:t>
            </w:r>
          </w:p>
        </w:tc>
        <w:tc>
          <w:tcPr>
            <w:tcW w:w="1269" w:type="dxa"/>
            <w:noWrap w:val="0"/>
            <w:vAlign w:val="center"/>
          </w:tcPr>
          <w:p w14:paraId="5E3044CF">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交货地点</w:t>
            </w:r>
          </w:p>
        </w:tc>
        <w:tc>
          <w:tcPr>
            <w:tcW w:w="1274" w:type="dxa"/>
            <w:noWrap w:val="0"/>
            <w:vAlign w:val="center"/>
          </w:tcPr>
          <w:p w14:paraId="37604C6C">
            <w:pPr>
              <w:keepNext w:val="0"/>
              <w:keepLines w:val="0"/>
              <w:suppressLineNumbers w:val="0"/>
              <w:tabs>
                <w:tab w:val="left" w:pos="5580"/>
              </w:tabs>
              <w:spacing w:before="0" w:beforeAutospacing="0" w:after="0" w:afterAutospacing="0" w:line="360"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7228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noWrap w:val="0"/>
            <w:vAlign w:val="center"/>
          </w:tcPr>
          <w:p w14:paraId="140AA3CC">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882" w:type="dxa"/>
            <w:noWrap w:val="0"/>
            <w:vAlign w:val="center"/>
          </w:tcPr>
          <w:p w14:paraId="2B15E3B8">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大写：</w:t>
            </w:r>
          </w:p>
          <w:p w14:paraId="0D9C190E">
            <w:pPr>
              <w:keepNext w:val="0"/>
              <w:keepLines w:val="0"/>
              <w:suppressLineNumbers w:val="0"/>
              <w:tabs>
                <w:tab w:val="left" w:pos="5580"/>
              </w:tabs>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小写：</w:t>
            </w:r>
          </w:p>
        </w:tc>
        <w:tc>
          <w:tcPr>
            <w:tcW w:w="1792" w:type="dxa"/>
            <w:noWrap w:val="0"/>
            <w:vAlign w:val="center"/>
          </w:tcPr>
          <w:p w14:paraId="78EB99F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453" w:type="dxa"/>
            <w:noWrap w:val="0"/>
            <w:vAlign w:val="center"/>
          </w:tcPr>
          <w:p w14:paraId="14A0BBC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269" w:type="dxa"/>
            <w:noWrap w:val="0"/>
            <w:vAlign w:val="center"/>
          </w:tcPr>
          <w:p w14:paraId="6E7DE114">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c>
          <w:tcPr>
            <w:tcW w:w="1274" w:type="dxa"/>
            <w:noWrap w:val="0"/>
            <w:vAlign w:val="center"/>
          </w:tcPr>
          <w:p w14:paraId="4B1B0C2F">
            <w:pPr>
              <w:keepNext w:val="0"/>
              <w:keepLines w:val="0"/>
              <w:suppressLineNumbers w:val="0"/>
              <w:tabs>
                <w:tab w:val="left" w:pos="5580"/>
              </w:tabs>
              <w:spacing w:before="0" w:beforeAutospacing="0" w:after="0" w:afterAutospacing="0" w:line="360" w:lineRule="auto"/>
              <w:ind w:left="1080" w:leftChars="257" w:right="0" w:hanging="540"/>
              <w:jc w:val="center"/>
              <w:rPr>
                <w:rFonts w:hint="eastAsia" w:ascii="仿宋" w:hAnsi="仿宋" w:eastAsia="仿宋" w:cs="仿宋"/>
                <w:sz w:val="24"/>
                <w:highlight w:val="none"/>
              </w:rPr>
            </w:pPr>
          </w:p>
        </w:tc>
      </w:tr>
    </w:tbl>
    <w:p w14:paraId="3F8F16F7">
      <w:pPr>
        <w:pStyle w:val="12"/>
        <w:tabs>
          <w:tab w:val="left" w:pos="5580"/>
        </w:tabs>
        <w:spacing w:line="360" w:lineRule="auto"/>
        <w:ind w:left="1080" w:leftChars="257" w:hanging="540"/>
        <w:rPr>
          <w:rFonts w:hint="eastAsia" w:ascii="仿宋" w:hAnsi="仿宋" w:eastAsia="仿宋" w:cs="仿宋"/>
          <w:sz w:val="24"/>
          <w:highlight w:val="none"/>
        </w:rPr>
      </w:pPr>
    </w:p>
    <w:p w14:paraId="4B280F37">
      <w:pPr>
        <w:pStyle w:val="12"/>
        <w:tabs>
          <w:tab w:val="left" w:pos="5580"/>
        </w:tabs>
        <w:spacing w:line="360" w:lineRule="auto"/>
        <w:rPr>
          <w:rFonts w:hint="eastAsia" w:ascii="仿宋" w:hAnsi="仿宋" w:eastAsia="仿宋" w:cs="仿宋"/>
          <w:sz w:val="24"/>
          <w:highlight w:val="none"/>
          <w:u w:val="single"/>
        </w:rPr>
      </w:pPr>
    </w:p>
    <w:p w14:paraId="44098E4B">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投标人名称（单位章）：</w:t>
      </w:r>
      <w:r>
        <w:rPr>
          <w:rFonts w:hint="eastAsia" w:ascii="仿宋" w:hAnsi="仿宋" w:eastAsia="仿宋" w:cs="仿宋"/>
          <w:sz w:val="24"/>
          <w:highlight w:val="none"/>
          <w:u w:val="single"/>
        </w:rPr>
        <w:t xml:space="preserve">                       </w:t>
      </w:r>
    </w:p>
    <w:p w14:paraId="54200B05">
      <w:pPr>
        <w:pStyle w:val="12"/>
        <w:tabs>
          <w:tab w:val="left" w:pos="5580"/>
        </w:tabs>
        <w:spacing w:line="360" w:lineRule="auto"/>
        <w:ind w:left="1080" w:leftChars="257" w:hanging="54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法定代表人或其委托代理人(签字</w:t>
      </w:r>
      <w:r>
        <w:rPr>
          <w:rFonts w:hint="eastAsia" w:ascii="仿宋" w:hAnsi="仿宋" w:eastAsia="仿宋" w:cs="仿宋"/>
          <w:sz w:val="24"/>
          <w:highlight w:val="none"/>
          <w:lang w:val="en-US" w:eastAsia="zh-CN"/>
        </w:rPr>
        <w:t>或签章</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val="en-US" w:eastAsia="zh-CN"/>
        </w:rPr>
        <w:t xml:space="preserve">   </w:t>
      </w:r>
    </w:p>
    <w:p w14:paraId="4C46850B">
      <w:pPr>
        <w:pStyle w:val="12"/>
        <w:tabs>
          <w:tab w:val="left" w:pos="5580"/>
        </w:tabs>
        <w:spacing w:line="360" w:lineRule="auto"/>
        <w:rPr>
          <w:rFonts w:hint="eastAsia" w:ascii="仿宋" w:hAnsi="仿宋" w:eastAsia="仿宋" w:cs="仿宋"/>
          <w:b/>
          <w:highlight w:val="none"/>
        </w:rPr>
      </w:pPr>
    </w:p>
    <w:p w14:paraId="300AD4F4">
      <w:pPr>
        <w:pStyle w:val="12"/>
        <w:tabs>
          <w:tab w:val="left" w:pos="5580"/>
        </w:tabs>
        <w:spacing w:line="360" w:lineRule="auto"/>
        <w:rPr>
          <w:rFonts w:hint="eastAsia" w:ascii="仿宋" w:hAnsi="仿宋" w:eastAsia="仿宋" w:cs="仿宋"/>
          <w:sz w:val="24"/>
          <w:highlight w:val="none"/>
          <w:u w:val="single"/>
        </w:rPr>
      </w:pPr>
    </w:p>
    <w:p w14:paraId="440188C2">
      <w:pPr>
        <w:pStyle w:val="12"/>
        <w:tabs>
          <w:tab w:val="left" w:pos="558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1、此表应按投标人须知的规定</w:t>
      </w:r>
      <w:r>
        <w:rPr>
          <w:rFonts w:hint="eastAsia" w:ascii="仿宋" w:hAnsi="仿宋" w:eastAsia="仿宋" w:cs="仿宋"/>
          <w:sz w:val="24"/>
          <w:highlight w:val="none"/>
          <w:lang w:val="en-US" w:eastAsia="zh-CN"/>
        </w:rPr>
        <w:t>上传</w:t>
      </w:r>
      <w:r>
        <w:rPr>
          <w:rFonts w:hint="eastAsia" w:ascii="仿宋" w:hAnsi="仿宋" w:eastAsia="仿宋" w:cs="仿宋"/>
          <w:sz w:val="24"/>
          <w:highlight w:val="none"/>
        </w:rPr>
        <w:t>。</w:t>
      </w:r>
    </w:p>
    <w:p w14:paraId="39DAF513">
      <w:pPr>
        <w:pStyle w:val="12"/>
        <w:numPr>
          <w:ilvl w:val="0"/>
          <w:numId w:val="5"/>
        </w:numPr>
        <w:tabs>
          <w:tab w:val="left" w:pos="5580"/>
        </w:tabs>
        <w:spacing w:line="360" w:lineRule="auto"/>
        <w:ind w:left="1079" w:leftChars="428" w:hanging="180" w:hangingChars="75"/>
        <w:rPr>
          <w:rFonts w:hint="eastAsia" w:ascii="仿宋" w:hAnsi="仿宋" w:eastAsia="仿宋" w:cs="仿宋"/>
          <w:sz w:val="24"/>
          <w:highlight w:val="none"/>
        </w:rPr>
      </w:pPr>
      <w:r>
        <w:rPr>
          <w:rFonts w:hint="eastAsia" w:ascii="仿宋" w:hAnsi="仿宋" w:eastAsia="仿宋" w:cs="仿宋"/>
          <w:sz w:val="24"/>
          <w:highlight w:val="none"/>
        </w:rPr>
        <w:t>此表中，投标总价应和投标分项报价表的总价相一致。</w:t>
      </w:r>
    </w:p>
    <w:p w14:paraId="6BA47FB1">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0620353D">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1B9EBD6F">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75A11E67">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54071928">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4BC172D2">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6C05110E">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5FA7F2EE">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681EE103">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0E917D53">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778AD3C4">
      <w:pPr>
        <w:pStyle w:val="12"/>
        <w:numPr>
          <w:ilvl w:val="0"/>
          <w:numId w:val="0"/>
        </w:numPr>
        <w:tabs>
          <w:tab w:val="left" w:pos="5580"/>
        </w:tabs>
        <w:kinsoku w:val="0"/>
        <w:autoSpaceDE w:val="0"/>
        <w:autoSpaceDN w:val="0"/>
        <w:adjustRightInd w:val="0"/>
        <w:snapToGrid w:val="0"/>
        <w:spacing w:line="360" w:lineRule="auto"/>
        <w:textAlignment w:val="baseline"/>
        <w:rPr>
          <w:rFonts w:hint="eastAsia" w:ascii="仿宋" w:hAnsi="仿宋" w:eastAsia="仿宋" w:cs="仿宋"/>
          <w:sz w:val="24"/>
          <w:highlight w:val="none"/>
        </w:rPr>
      </w:pPr>
    </w:p>
    <w:p w14:paraId="60B43D2D">
      <w:pPr>
        <w:pStyle w:val="4"/>
        <w:spacing w:before="0" w:after="0" w:line="288" w:lineRule="auto"/>
        <w:jc w:val="both"/>
        <w:rPr>
          <w:rFonts w:hint="eastAsia" w:ascii="仿宋" w:hAnsi="仿宋" w:eastAsia="仿宋" w:cs="仿宋"/>
          <w:color w:val="auto"/>
          <w:highlight w:val="none"/>
          <w:u w:val="none"/>
          <w:lang w:eastAsia="zh-CN"/>
        </w:rPr>
      </w:pPr>
    </w:p>
    <w:p w14:paraId="0D736DFD">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p>
    <w:bookmarkEnd w:id="715"/>
    <w:bookmarkEnd w:id="716"/>
    <w:p w14:paraId="21AF7C8F">
      <w:pPr>
        <w:pStyle w:val="12"/>
        <w:spacing w:line="240" w:lineRule="atLeast"/>
        <w:ind w:left="1080" w:leftChars="257" w:hanging="540"/>
        <w:rPr>
          <w:rFonts w:hint="eastAsia" w:ascii="仿宋" w:hAnsi="仿宋" w:eastAsia="仿宋" w:cs="仿宋"/>
          <w:color w:val="auto"/>
          <w:sz w:val="24"/>
          <w:highlight w:val="none"/>
          <w:lang w:eastAsia="zh-CN"/>
        </w:rPr>
      </w:pPr>
    </w:p>
    <w:p w14:paraId="091A5F14">
      <w:pPr>
        <w:pStyle w:val="12"/>
        <w:spacing w:line="240" w:lineRule="atLeast"/>
        <w:ind w:left="79" w:leftChars="-27" w:hanging="136" w:hangingChars="5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0B65D16A">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22" w:name="_Toc5531"/>
      <w:bookmarkStart w:id="723" w:name="_Toc17435"/>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lang w:eastAsia="zh-CN"/>
        </w:rPr>
        <w:t xml:space="preserve">  投标分项报价表</w:t>
      </w:r>
      <w:bookmarkEnd w:id="722"/>
      <w:bookmarkEnd w:id="723"/>
    </w:p>
    <w:p w14:paraId="336359FA">
      <w:pPr>
        <w:rPr>
          <w:rFonts w:hint="eastAsia" w:ascii="仿宋" w:hAnsi="仿宋" w:eastAsia="仿宋" w:cs="仿宋"/>
          <w:highlight w:val="none"/>
          <w:lang w:eastAsia="zh-CN"/>
        </w:rPr>
      </w:pPr>
      <w:r>
        <w:rPr>
          <w:rFonts w:hint="eastAsia" w:ascii="仿宋" w:hAnsi="仿宋" w:eastAsia="仿宋" w:cs="仿宋"/>
          <w:color w:val="auto"/>
          <w:sz w:val="24"/>
          <w:highlight w:val="none"/>
          <w:lang w:eastAsia="zh-CN"/>
        </w:rPr>
        <w:t xml:space="preserve">项目名称:                                        招标编号:    </w:t>
      </w:r>
    </w:p>
    <w:p w14:paraId="247B8779">
      <w:pPr>
        <w:pStyle w:val="12"/>
        <w:spacing w:line="240" w:lineRule="atLeast"/>
        <w:ind w:left="79" w:leftChars="-27" w:hanging="136" w:hangingChars="57"/>
        <w:rPr>
          <w:rFonts w:hint="eastAsia" w:ascii="仿宋" w:hAnsi="仿宋" w:eastAsia="仿宋" w:cs="仿宋"/>
          <w:color w:val="auto"/>
          <w:sz w:val="24"/>
          <w:highlight w:val="none"/>
          <w:lang w:eastAsia="zh-CN"/>
        </w:rPr>
      </w:pPr>
    </w:p>
    <w:p w14:paraId="16445BE0">
      <w:pPr>
        <w:pStyle w:val="12"/>
        <w:spacing w:line="240" w:lineRule="atLeast"/>
        <w:ind w:left="79" w:leftChars="-27" w:hanging="136" w:hangingChars="5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    段: 　 　                                  报价单位：人民币元</w:t>
      </w:r>
    </w:p>
    <w:p w14:paraId="5C995DE9">
      <w:pPr>
        <w:pStyle w:val="12"/>
        <w:spacing w:line="240" w:lineRule="atLeast"/>
        <w:ind w:left="1080" w:leftChars="257" w:hanging="540"/>
        <w:rPr>
          <w:rFonts w:hint="eastAsia" w:ascii="仿宋" w:hAnsi="仿宋" w:eastAsia="仿宋" w:cs="仿宋"/>
          <w:color w:val="auto"/>
          <w:sz w:val="24"/>
          <w:highlight w:val="none"/>
          <w:lang w:eastAsia="zh-CN"/>
        </w:rPr>
      </w:pPr>
    </w:p>
    <w:tbl>
      <w:tblPr>
        <w:tblStyle w:val="23"/>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859"/>
        <w:gridCol w:w="1422"/>
        <w:gridCol w:w="922"/>
        <w:gridCol w:w="967"/>
        <w:gridCol w:w="653"/>
      </w:tblGrid>
      <w:tr w14:paraId="3D97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noWrap/>
            <w:vAlign w:val="center"/>
          </w:tcPr>
          <w:p w14:paraId="4976546B">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15" w:type="dxa"/>
            <w:noWrap/>
            <w:vAlign w:val="center"/>
          </w:tcPr>
          <w:p w14:paraId="0426DD0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1290" w:type="dxa"/>
            <w:noWrap/>
            <w:vAlign w:val="center"/>
          </w:tcPr>
          <w:p w14:paraId="4736B889">
            <w:pPr>
              <w:pStyle w:val="12"/>
              <w:spacing w:line="240" w:lineRule="atLeast"/>
              <w:jc w:val="center"/>
              <w:rPr>
                <w:rFonts w:hint="eastAsia" w:ascii="仿宋" w:hAnsi="仿宋" w:eastAsia="仿宋" w:cs="仿宋"/>
                <w:color w:val="auto"/>
                <w:sz w:val="24"/>
                <w:highlight w:val="none"/>
              </w:rPr>
            </w:pPr>
          </w:p>
          <w:p w14:paraId="6CB0106F">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品牌型号</w:t>
            </w:r>
          </w:p>
          <w:p w14:paraId="19347A10">
            <w:pPr>
              <w:pStyle w:val="12"/>
              <w:spacing w:line="240" w:lineRule="atLeast"/>
              <w:jc w:val="center"/>
              <w:rPr>
                <w:rFonts w:hint="eastAsia" w:ascii="仿宋" w:hAnsi="仿宋" w:eastAsia="仿宋" w:cs="仿宋"/>
                <w:color w:val="auto"/>
                <w:sz w:val="24"/>
                <w:highlight w:val="none"/>
              </w:rPr>
            </w:pPr>
          </w:p>
        </w:tc>
        <w:tc>
          <w:tcPr>
            <w:tcW w:w="1185" w:type="dxa"/>
            <w:noWrap/>
            <w:vAlign w:val="center"/>
          </w:tcPr>
          <w:p w14:paraId="7F00AD22">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1005" w:type="dxa"/>
            <w:noWrap/>
            <w:vAlign w:val="center"/>
          </w:tcPr>
          <w:p w14:paraId="6E9CA24D">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59" w:type="dxa"/>
            <w:noWrap/>
            <w:vAlign w:val="center"/>
          </w:tcPr>
          <w:p w14:paraId="0F04E1FC">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422" w:type="dxa"/>
            <w:noWrap/>
            <w:vAlign w:val="center"/>
          </w:tcPr>
          <w:p w14:paraId="5EE5E3F7">
            <w:pPr>
              <w:pStyle w:val="12"/>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制造商名称</w:t>
            </w:r>
          </w:p>
        </w:tc>
        <w:tc>
          <w:tcPr>
            <w:tcW w:w="922" w:type="dxa"/>
            <w:noWrap/>
            <w:vAlign w:val="center"/>
          </w:tcPr>
          <w:p w14:paraId="732343D7">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7" w:type="dxa"/>
            <w:noWrap/>
            <w:vAlign w:val="center"/>
          </w:tcPr>
          <w:p w14:paraId="414E5C62">
            <w:pPr>
              <w:pStyle w:val="12"/>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总价</w:t>
            </w:r>
          </w:p>
        </w:tc>
        <w:tc>
          <w:tcPr>
            <w:tcW w:w="653" w:type="dxa"/>
            <w:noWrap/>
            <w:vAlign w:val="center"/>
          </w:tcPr>
          <w:p w14:paraId="6D2A9F1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32E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6679DEC8">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515" w:type="dxa"/>
            <w:noWrap/>
            <w:vAlign w:val="center"/>
          </w:tcPr>
          <w:p w14:paraId="139199EA">
            <w:pPr>
              <w:jc w:val="both"/>
              <w:textAlignment w:val="center"/>
              <w:rPr>
                <w:rFonts w:hint="eastAsia" w:ascii="仿宋" w:hAnsi="仿宋" w:eastAsia="仿宋" w:cs="仿宋"/>
                <w:color w:val="auto"/>
                <w:sz w:val="24"/>
                <w:highlight w:val="none"/>
              </w:rPr>
            </w:pPr>
          </w:p>
        </w:tc>
        <w:tc>
          <w:tcPr>
            <w:tcW w:w="1290" w:type="dxa"/>
            <w:noWrap/>
            <w:vAlign w:val="center"/>
          </w:tcPr>
          <w:p w14:paraId="3C0BCF03">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556632BC">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525B45BC">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70C0E3E6">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3F0D7ECF">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2ADA05CE">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121FB10E">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3AB0E295">
            <w:pPr>
              <w:pStyle w:val="12"/>
              <w:spacing w:line="240" w:lineRule="atLeast"/>
              <w:ind w:left="1080" w:leftChars="257" w:hanging="540"/>
              <w:jc w:val="center"/>
              <w:rPr>
                <w:rFonts w:hint="eastAsia" w:ascii="仿宋" w:hAnsi="仿宋" w:eastAsia="仿宋" w:cs="仿宋"/>
                <w:color w:val="auto"/>
                <w:sz w:val="24"/>
                <w:highlight w:val="none"/>
              </w:rPr>
            </w:pPr>
          </w:p>
        </w:tc>
      </w:tr>
      <w:tr w14:paraId="3239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0BCEF025">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515" w:type="dxa"/>
            <w:noWrap/>
            <w:vAlign w:val="center"/>
          </w:tcPr>
          <w:p w14:paraId="3E1503D8">
            <w:pPr>
              <w:jc w:val="both"/>
              <w:textAlignment w:val="center"/>
              <w:rPr>
                <w:rFonts w:hint="eastAsia" w:ascii="仿宋" w:hAnsi="仿宋" w:eastAsia="仿宋" w:cs="仿宋"/>
                <w:color w:val="auto"/>
                <w:sz w:val="24"/>
                <w:highlight w:val="none"/>
              </w:rPr>
            </w:pPr>
          </w:p>
        </w:tc>
        <w:tc>
          <w:tcPr>
            <w:tcW w:w="1290" w:type="dxa"/>
            <w:noWrap/>
            <w:vAlign w:val="center"/>
          </w:tcPr>
          <w:p w14:paraId="62EEF1C3">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17BC0746">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0686C78A">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48F2C67B">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3D2F438E">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28CFC64D">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29A57DAA">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207B445A">
            <w:pPr>
              <w:pStyle w:val="12"/>
              <w:spacing w:line="240" w:lineRule="atLeast"/>
              <w:ind w:left="1080" w:leftChars="257" w:hanging="540"/>
              <w:jc w:val="center"/>
              <w:rPr>
                <w:rFonts w:hint="eastAsia" w:ascii="仿宋" w:hAnsi="仿宋" w:eastAsia="仿宋" w:cs="仿宋"/>
                <w:color w:val="auto"/>
                <w:sz w:val="24"/>
                <w:highlight w:val="none"/>
              </w:rPr>
            </w:pPr>
          </w:p>
        </w:tc>
      </w:tr>
      <w:tr w14:paraId="113D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41B1ACAE">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515" w:type="dxa"/>
            <w:noWrap/>
            <w:vAlign w:val="center"/>
          </w:tcPr>
          <w:p w14:paraId="547353CC">
            <w:pPr>
              <w:jc w:val="both"/>
              <w:textAlignment w:val="center"/>
              <w:rPr>
                <w:rFonts w:hint="eastAsia" w:ascii="仿宋" w:hAnsi="仿宋" w:eastAsia="仿宋" w:cs="仿宋"/>
                <w:color w:val="auto"/>
                <w:sz w:val="24"/>
                <w:highlight w:val="none"/>
              </w:rPr>
            </w:pPr>
          </w:p>
        </w:tc>
        <w:tc>
          <w:tcPr>
            <w:tcW w:w="1290" w:type="dxa"/>
            <w:noWrap/>
            <w:vAlign w:val="center"/>
          </w:tcPr>
          <w:p w14:paraId="070713AC">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3C619228">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11C59D28">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6AAEE73A">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54FD03A9">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31DB4785">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5763814E">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3DC6014B">
            <w:pPr>
              <w:pStyle w:val="12"/>
              <w:spacing w:line="240" w:lineRule="atLeast"/>
              <w:ind w:left="1080" w:leftChars="257" w:hanging="540"/>
              <w:jc w:val="center"/>
              <w:rPr>
                <w:rFonts w:hint="eastAsia" w:ascii="仿宋" w:hAnsi="仿宋" w:eastAsia="仿宋" w:cs="仿宋"/>
                <w:color w:val="auto"/>
                <w:sz w:val="24"/>
                <w:highlight w:val="none"/>
              </w:rPr>
            </w:pPr>
          </w:p>
        </w:tc>
      </w:tr>
      <w:tr w14:paraId="6454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noWrap/>
            <w:vAlign w:val="center"/>
          </w:tcPr>
          <w:p w14:paraId="6499D4CD">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515" w:type="dxa"/>
            <w:noWrap/>
            <w:vAlign w:val="center"/>
          </w:tcPr>
          <w:p w14:paraId="2B978069">
            <w:pPr>
              <w:jc w:val="both"/>
              <w:textAlignment w:val="center"/>
              <w:rPr>
                <w:rFonts w:hint="eastAsia" w:ascii="仿宋" w:hAnsi="仿宋" w:eastAsia="仿宋" w:cs="仿宋"/>
                <w:color w:val="auto"/>
                <w:sz w:val="24"/>
                <w:highlight w:val="none"/>
              </w:rPr>
            </w:pPr>
          </w:p>
        </w:tc>
        <w:tc>
          <w:tcPr>
            <w:tcW w:w="1290" w:type="dxa"/>
            <w:noWrap/>
            <w:vAlign w:val="center"/>
          </w:tcPr>
          <w:p w14:paraId="12A1CE1B">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332D2531">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541D4B50">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158DFD12">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3C46B164">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734C205D">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551BCF61">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1D01EC92">
            <w:pPr>
              <w:pStyle w:val="12"/>
              <w:spacing w:line="240" w:lineRule="atLeast"/>
              <w:ind w:left="1080" w:leftChars="257" w:hanging="540"/>
              <w:jc w:val="center"/>
              <w:rPr>
                <w:rFonts w:hint="eastAsia" w:ascii="仿宋" w:hAnsi="仿宋" w:eastAsia="仿宋" w:cs="仿宋"/>
                <w:color w:val="auto"/>
                <w:sz w:val="24"/>
                <w:highlight w:val="none"/>
              </w:rPr>
            </w:pPr>
          </w:p>
        </w:tc>
      </w:tr>
      <w:tr w14:paraId="149D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noWrap/>
            <w:vAlign w:val="center"/>
          </w:tcPr>
          <w:p w14:paraId="3247DE5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515" w:type="dxa"/>
            <w:noWrap/>
            <w:vAlign w:val="center"/>
          </w:tcPr>
          <w:p w14:paraId="4D750203">
            <w:pPr>
              <w:jc w:val="both"/>
              <w:textAlignment w:val="center"/>
              <w:rPr>
                <w:rFonts w:hint="eastAsia" w:ascii="仿宋" w:hAnsi="仿宋" w:eastAsia="仿宋" w:cs="仿宋"/>
                <w:color w:val="auto"/>
                <w:sz w:val="24"/>
                <w:highlight w:val="none"/>
              </w:rPr>
            </w:pPr>
          </w:p>
        </w:tc>
        <w:tc>
          <w:tcPr>
            <w:tcW w:w="1290" w:type="dxa"/>
            <w:noWrap/>
            <w:vAlign w:val="center"/>
          </w:tcPr>
          <w:p w14:paraId="4CBA5E6D">
            <w:pPr>
              <w:pStyle w:val="12"/>
              <w:spacing w:line="240" w:lineRule="atLeast"/>
              <w:ind w:left="1080" w:leftChars="257" w:hanging="540"/>
              <w:jc w:val="center"/>
              <w:rPr>
                <w:rFonts w:hint="eastAsia" w:ascii="仿宋" w:hAnsi="仿宋" w:eastAsia="仿宋" w:cs="仿宋"/>
                <w:color w:val="auto"/>
                <w:sz w:val="24"/>
                <w:highlight w:val="none"/>
              </w:rPr>
            </w:pPr>
          </w:p>
        </w:tc>
        <w:tc>
          <w:tcPr>
            <w:tcW w:w="1185" w:type="dxa"/>
            <w:noWrap/>
            <w:vAlign w:val="center"/>
          </w:tcPr>
          <w:p w14:paraId="30D8535A">
            <w:pPr>
              <w:pStyle w:val="12"/>
              <w:spacing w:line="240" w:lineRule="atLeast"/>
              <w:ind w:left="1080" w:leftChars="257" w:hanging="540"/>
              <w:jc w:val="center"/>
              <w:rPr>
                <w:rFonts w:hint="eastAsia" w:ascii="仿宋" w:hAnsi="仿宋" w:eastAsia="仿宋" w:cs="仿宋"/>
                <w:color w:val="auto"/>
                <w:sz w:val="24"/>
                <w:highlight w:val="none"/>
              </w:rPr>
            </w:pPr>
          </w:p>
        </w:tc>
        <w:tc>
          <w:tcPr>
            <w:tcW w:w="1005" w:type="dxa"/>
            <w:noWrap/>
            <w:vAlign w:val="center"/>
          </w:tcPr>
          <w:p w14:paraId="4BB910E0">
            <w:pPr>
              <w:pStyle w:val="12"/>
              <w:spacing w:line="240" w:lineRule="atLeast"/>
              <w:ind w:left="1080" w:leftChars="257" w:hanging="540"/>
              <w:jc w:val="center"/>
              <w:rPr>
                <w:rFonts w:hint="eastAsia" w:ascii="仿宋" w:hAnsi="仿宋" w:eastAsia="仿宋" w:cs="仿宋"/>
                <w:color w:val="auto"/>
                <w:sz w:val="24"/>
                <w:highlight w:val="none"/>
              </w:rPr>
            </w:pPr>
          </w:p>
        </w:tc>
        <w:tc>
          <w:tcPr>
            <w:tcW w:w="859" w:type="dxa"/>
            <w:noWrap/>
            <w:vAlign w:val="center"/>
          </w:tcPr>
          <w:p w14:paraId="7CAFD683">
            <w:pPr>
              <w:pStyle w:val="12"/>
              <w:spacing w:line="240" w:lineRule="atLeast"/>
              <w:ind w:left="1080" w:leftChars="257" w:hanging="540"/>
              <w:jc w:val="center"/>
              <w:rPr>
                <w:rFonts w:hint="eastAsia" w:ascii="仿宋" w:hAnsi="仿宋" w:eastAsia="仿宋" w:cs="仿宋"/>
                <w:color w:val="auto"/>
                <w:sz w:val="24"/>
                <w:highlight w:val="none"/>
              </w:rPr>
            </w:pPr>
          </w:p>
        </w:tc>
        <w:tc>
          <w:tcPr>
            <w:tcW w:w="1422" w:type="dxa"/>
            <w:noWrap/>
            <w:vAlign w:val="center"/>
          </w:tcPr>
          <w:p w14:paraId="4844DA13">
            <w:pPr>
              <w:pStyle w:val="12"/>
              <w:spacing w:line="240" w:lineRule="atLeast"/>
              <w:ind w:left="1080" w:leftChars="257" w:hanging="540"/>
              <w:jc w:val="center"/>
              <w:rPr>
                <w:rFonts w:hint="eastAsia" w:ascii="仿宋" w:hAnsi="仿宋" w:eastAsia="仿宋" w:cs="仿宋"/>
                <w:color w:val="auto"/>
                <w:sz w:val="24"/>
                <w:highlight w:val="none"/>
              </w:rPr>
            </w:pPr>
          </w:p>
        </w:tc>
        <w:tc>
          <w:tcPr>
            <w:tcW w:w="922" w:type="dxa"/>
            <w:noWrap/>
            <w:vAlign w:val="center"/>
          </w:tcPr>
          <w:p w14:paraId="7C2DBFC3">
            <w:pPr>
              <w:pStyle w:val="12"/>
              <w:spacing w:line="240" w:lineRule="atLeast"/>
              <w:ind w:left="1080" w:leftChars="257" w:hanging="540"/>
              <w:jc w:val="center"/>
              <w:rPr>
                <w:rFonts w:hint="eastAsia" w:ascii="仿宋" w:hAnsi="仿宋" w:eastAsia="仿宋" w:cs="仿宋"/>
                <w:color w:val="auto"/>
                <w:sz w:val="24"/>
                <w:highlight w:val="none"/>
              </w:rPr>
            </w:pPr>
          </w:p>
        </w:tc>
        <w:tc>
          <w:tcPr>
            <w:tcW w:w="967" w:type="dxa"/>
            <w:noWrap/>
            <w:vAlign w:val="center"/>
          </w:tcPr>
          <w:p w14:paraId="620AC9A8">
            <w:pPr>
              <w:pStyle w:val="12"/>
              <w:spacing w:line="240" w:lineRule="atLeast"/>
              <w:ind w:left="1080" w:leftChars="257" w:hanging="540"/>
              <w:jc w:val="center"/>
              <w:rPr>
                <w:rFonts w:hint="eastAsia" w:ascii="仿宋" w:hAnsi="仿宋" w:eastAsia="仿宋" w:cs="仿宋"/>
                <w:color w:val="auto"/>
                <w:sz w:val="24"/>
                <w:highlight w:val="none"/>
              </w:rPr>
            </w:pPr>
          </w:p>
        </w:tc>
        <w:tc>
          <w:tcPr>
            <w:tcW w:w="653" w:type="dxa"/>
            <w:noWrap/>
            <w:vAlign w:val="center"/>
          </w:tcPr>
          <w:p w14:paraId="2905C5D5">
            <w:pPr>
              <w:pStyle w:val="12"/>
              <w:spacing w:line="240" w:lineRule="atLeast"/>
              <w:ind w:left="1080" w:leftChars="257" w:hanging="540"/>
              <w:jc w:val="center"/>
              <w:rPr>
                <w:rFonts w:hint="eastAsia" w:ascii="仿宋" w:hAnsi="仿宋" w:eastAsia="仿宋" w:cs="仿宋"/>
                <w:color w:val="auto"/>
                <w:sz w:val="24"/>
                <w:highlight w:val="none"/>
              </w:rPr>
            </w:pPr>
          </w:p>
        </w:tc>
      </w:tr>
      <w:tr w14:paraId="1D27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795" w:type="dxa"/>
            <w:gridSpan w:val="9"/>
            <w:noWrap/>
            <w:vAlign w:val="center"/>
          </w:tcPr>
          <w:p w14:paraId="620E8991">
            <w:pPr>
              <w:pStyle w:val="12"/>
              <w:spacing w:line="240" w:lineRule="atLeast"/>
              <w:ind w:left="1080" w:leftChars="257" w:hanging="540"/>
              <w:jc w:val="both"/>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653" w:type="dxa"/>
            <w:noWrap/>
            <w:vAlign w:val="center"/>
          </w:tcPr>
          <w:p w14:paraId="5D1D98A3">
            <w:pPr>
              <w:pStyle w:val="12"/>
              <w:spacing w:line="240" w:lineRule="atLeast"/>
              <w:ind w:left="1080" w:leftChars="257" w:hanging="540"/>
              <w:jc w:val="center"/>
              <w:rPr>
                <w:rFonts w:hint="eastAsia" w:ascii="仿宋" w:hAnsi="仿宋" w:eastAsia="仿宋" w:cs="仿宋"/>
                <w:color w:val="auto"/>
                <w:sz w:val="24"/>
                <w:highlight w:val="none"/>
              </w:rPr>
            </w:pPr>
          </w:p>
        </w:tc>
      </w:tr>
    </w:tbl>
    <w:p w14:paraId="214A6358">
      <w:pPr>
        <w:pStyle w:val="12"/>
        <w:spacing w:line="240" w:lineRule="atLeast"/>
        <w:ind w:left="1080" w:leftChars="257" w:hanging="540"/>
        <w:rPr>
          <w:rFonts w:hint="eastAsia" w:ascii="仿宋" w:hAnsi="仿宋" w:eastAsia="仿宋" w:cs="仿宋"/>
          <w:color w:val="auto"/>
          <w:sz w:val="24"/>
          <w:highlight w:val="none"/>
        </w:rPr>
      </w:pPr>
    </w:p>
    <w:p w14:paraId="131704F9">
      <w:pPr>
        <w:pStyle w:val="51"/>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法定代表人或其委托代理人（签字或签章）:</w:t>
      </w:r>
      <w:r>
        <w:rPr>
          <w:rFonts w:hint="eastAsia" w:ascii="仿宋" w:hAnsi="仿宋" w:eastAsia="仿宋" w:cs="仿宋"/>
          <w:sz w:val="24"/>
          <w:highlight w:val="none"/>
          <w:u w:val="single"/>
        </w:rPr>
        <w:t xml:space="preserve">             </w:t>
      </w:r>
    </w:p>
    <w:p w14:paraId="1B4BAA69">
      <w:pPr>
        <w:pStyle w:val="51"/>
        <w:tabs>
          <w:tab w:val="left" w:pos="5370"/>
        </w:tabs>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p>
    <w:p w14:paraId="4F719C34">
      <w:pPr>
        <w:pStyle w:val="51"/>
        <w:spacing w:line="360" w:lineRule="auto"/>
        <w:ind w:left="1080" w:leftChars="257" w:hanging="540"/>
        <w:rPr>
          <w:rFonts w:hint="eastAsia" w:ascii="仿宋" w:hAnsi="仿宋" w:eastAsia="仿宋" w:cs="仿宋"/>
          <w:sz w:val="24"/>
          <w:highlight w:val="none"/>
        </w:rPr>
      </w:pPr>
    </w:p>
    <w:p w14:paraId="5C09A000">
      <w:pPr>
        <w:pStyle w:val="51"/>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1.如果按单价计算的结果与总价不一致,以单价为准修正总价。</w:t>
      </w:r>
    </w:p>
    <w:p w14:paraId="73C2A4CE">
      <w:pPr>
        <w:pStyle w:val="51"/>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.如果不提供详细分项报价将视为没有实质性响应招标文件</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包括服务内容中货物（或软件）的</w:t>
      </w:r>
      <w:r>
        <w:rPr>
          <w:rFonts w:hint="eastAsia" w:ascii="仿宋" w:hAnsi="仿宋" w:eastAsia="仿宋" w:cs="仿宋"/>
          <w:b/>
          <w:bCs/>
          <w:sz w:val="24"/>
          <w:highlight w:val="none"/>
        </w:rPr>
        <w:t>名称、</w:t>
      </w:r>
      <w:r>
        <w:rPr>
          <w:rFonts w:hint="eastAsia" w:ascii="仿宋" w:hAnsi="仿宋" w:eastAsia="仿宋" w:cs="仿宋"/>
          <w:b/>
          <w:bCs/>
          <w:sz w:val="24"/>
          <w:highlight w:val="none"/>
          <w:lang w:val="en-US" w:eastAsia="zh-CN"/>
        </w:rPr>
        <w:t>品牌、</w:t>
      </w:r>
      <w:r>
        <w:rPr>
          <w:rFonts w:hint="eastAsia" w:ascii="仿宋" w:hAnsi="仿宋" w:eastAsia="仿宋" w:cs="仿宋"/>
          <w:b/>
          <w:bCs/>
          <w:sz w:val="24"/>
          <w:highlight w:val="none"/>
        </w:rPr>
        <w:t>型号、数量、制造商名称、单价、总价需全部完整填写</w:t>
      </w:r>
      <w:r>
        <w:rPr>
          <w:rFonts w:hint="eastAsia" w:ascii="仿宋" w:hAnsi="仿宋" w:eastAsia="仿宋" w:cs="仿宋"/>
          <w:b/>
          <w:bCs/>
          <w:sz w:val="24"/>
          <w:highlight w:val="none"/>
          <w:lang w:eastAsia="zh-CN"/>
        </w:rPr>
        <w:t>，若需求清单中含辅材或采购需求定制产品可在“品牌、型号”处填写“定制”</w:t>
      </w:r>
      <w:r>
        <w:rPr>
          <w:rFonts w:hint="eastAsia" w:ascii="仿宋" w:hAnsi="仿宋" w:eastAsia="仿宋" w:cs="仿宋"/>
          <w:b/>
          <w:bCs/>
          <w:sz w:val="24"/>
          <w:highlight w:val="none"/>
        </w:rPr>
        <w:t>）</w:t>
      </w:r>
      <w:r>
        <w:rPr>
          <w:rFonts w:hint="eastAsia" w:ascii="仿宋" w:hAnsi="仿宋" w:eastAsia="仿宋" w:cs="仿宋"/>
          <w:sz w:val="24"/>
          <w:highlight w:val="none"/>
        </w:rPr>
        <w:t>。</w:t>
      </w:r>
    </w:p>
    <w:p w14:paraId="2DB7A877">
      <w:pPr>
        <w:pStyle w:val="51"/>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4.如果投标人认为需要，</w:t>
      </w:r>
      <w:r>
        <w:rPr>
          <w:rFonts w:hint="eastAsia" w:ascii="仿宋" w:hAnsi="仿宋" w:eastAsia="仿宋" w:cs="仿宋"/>
          <w:sz w:val="24"/>
          <w:highlight w:val="none"/>
          <w:lang w:val="en-US" w:eastAsia="zh-CN"/>
        </w:rPr>
        <w:t>可在不删减原表基础上新增其他内容或</w:t>
      </w:r>
      <w:r>
        <w:rPr>
          <w:rFonts w:hint="eastAsia" w:ascii="仿宋" w:hAnsi="仿宋" w:eastAsia="仿宋" w:cs="仿宋"/>
          <w:sz w:val="24"/>
          <w:highlight w:val="none"/>
        </w:rPr>
        <w:t>另页描述。</w:t>
      </w:r>
    </w:p>
    <w:p w14:paraId="40CC7F67">
      <w:pPr>
        <w:pStyle w:val="12"/>
        <w:spacing w:line="240" w:lineRule="atLeast"/>
        <w:ind w:firstLine="480" w:firstLineChars="200"/>
        <w:rPr>
          <w:rFonts w:hint="eastAsia" w:ascii="仿宋" w:hAnsi="仿宋" w:eastAsia="仿宋" w:cs="仿宋"/>
          <w:sz w:val="24"/>
          <w:highlight w:val="none"/>
        </w:rPr>
      </w:pPr>
      <w:bookmarkStart w:id="724" w:name="_Toc31304"/>
      <w:bookmarkEnd w:id="724"/>
      <w:r>
        <w:rPr>
          <w:rFonts w:hint="eastAsia" w:ascii="仿宋" w:hAnsi="仿宋" w:eastAsia="仿宋" w:cs="仿宋"/>
          <w:sz w:val="24"/>
          <w:highlight w:val="none"/>
        </w:rPr>
        <w:t>5.如果开标一览表（报价表）内容与投标文件中明细表内容不一致的，以开标一览表（报价表）内容为准。</w:t>
      </w:r>
    </w:p>
    <w:p w14:paraId="3218E605">
      <w:pPr>
        <w:pStyle w:val="12"/>
        <w:spacing w:line="240" w:lineRule="atLeas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6.以上报价的货物、技术服务，包装、仓储、运输、装卸、保险、安装、税金（规费、税金）等的一切费用。</w:t>
      </w:r>
    </w:p>
    <w:p w14:paraId="68002230">
      <w:pPr>
        <w:rPr>
          <w:rFonts w:hint="eastAsia" w:ascii="仿宋" w:hAnsi="仿宋" w:eastAsia="仿宋" w:cs="仿宋"/>
          <w:color w:val="auto"/>
          <w:sz w:val="24"/>
          <w:highlight w:val="none"/>
          <w:lang w:eastAsia="zh-CN"/>
        </w:rPr>
      </w:pPr>
      <w:bookmarkStart w:id="725" w:name="_Toc25123"/>
      <w:bookmarkStart w:id="726" w:name="_Toc21472"/>
      <w:bookmarkStart w:id="727" w:name="_Toc1486"/>
      <w:bookmarkStart w:id="728" w:name="_Toc1207"/>
      <w:bookmarkStart w:id="729" w:name="_Toc7334"/>
      <w:bookmarkStart w:id="730" w:name="_Toc30769"/>
      <w:bookmarkStart w:id="731" w:name="_Toc24906"/>
      <w:bookmarkStart w:id="732" w:name="_Toc7368"/>
      <w:bookmarkStart w:id="733" w:name="_Toc19912"/>
      <w:r>
        <w:rPr>
          <w:rFonts w:hint="eastAsia" w:ascii="仿宋" w:hAnsi="仿宋" w:eastAsia="仿宋" w:cs="仿宋"/>
          <w:color w:val="auto"/>
          <w:highlight w:val="none"/>
          <w:lang w:eastAsia="zh-CN"/>
        </w:rPr>
        <w:br w:type="page"/>
      </w:r>
      <w:bookmarkEnd w:id="717"/>
      <w:bookmarkEnd w:id="718"/>
      <w:bookmarkEnd w:id="719"/>
      <w:bookmarkEnd w:id="720"/>
      <w:bookmarkEnd w:id="721"/>
      <w:bookmarkEnd w:id="725"/>
      <w:bookmarkEnd w:id="726"/>
      <w:bookmarkEnd w:id="727"/>
      <w:bookmarkEnd w:id="728"/>
      <w:bookmarkEnd w:id="729"/>
      <w:bookmarkEnd w:id="730"/>
      <w:bookmarkEnd w:id="731"/>
      <w:bookmarkEnd w:id="732"/>
      <w:bookmarkEnd w:id="733"/>
    </w:p>
    <w:p w14:paraId="70CD5C5E">
      <w:pPr>
        <w:pStyle w:val="12"/>
        <w:spacing w:line="240" w:lineRule="atLeast"/>
        <w:ind w:left="1080" w:leftChars="257" w:hanging="540"/>
        <w:jc w:val="center"/>
        <w:rPr>
          <w:rFonts w:hint="eastAsia" w:ascii="仿宋" w:hAnsi="仿宋" w:eastAsia="仿宋" w:cs="仿宋"/>
          <w:color w:val="auto"/>
          <w:sz w:val="24"/>
          <w:highlight w:val="none"/>
          <w:lang w:eastAsia="zh-CN"/>
        </w:rPr>
        <w:sectPr>
          <w:headerReference r:id="rId7" w:type="default"/>
          <w:footerReference r:id="rId8" w:type="default"/>
          <w:pgSz w:w="11906" w:h="16838"/>
          <w:pgMar w:top="1440" w:right="1797" w:bottom="1440" w:left="1797" w:header="851" w:footer="992" w:gutter="0"/>
          <w:cols w:space="720" w:num="1"/>
          <w:docGrid w:linePitch="312" w:charSpace="0"/>
        </w:sectPr>
      </w:pPr>
    </w:p>
    <w:p w14:paraId="4B244D1C">
      <w:pPr>
        <w:pStyle w:val="4"/>
        <w:spacing w:before="0" w:after="0" w:line="288" w:lineRule="auto"/>
        <w:jc w:val="center"/>
        <w:rPr>
          <w:rFonts w:hint="eastAsia" w:ascii="仿宋" w:hAnsi="仿宋" w:eastAsia="仿宋" w:cs="仿宋"/>
          <w:color w:val="auto"/>
          <w:highlight w:val="none"/>
          <w:u w:val="none"/>
          <w:lang w:eastAsia="zh-CN"/>
        </w:rPr>
      </w:pPr>
      <w:bookmarkStart w:id="734" w:name="_Toc14433"/>
      <w:bookmarkStart w:id="735" w:name="_Toc515647820"/>
      <w:bookmarkStart w:id="736" w:name="_Toc12128"/>
      <w:bookmarkStart w:id="737" w:name="_Toc29890"/>
      <w:bookmarkStart w:id="738" w:name="_Toc22563"/>
      <w:bookmarkStart w:id="739" w:name="_Toc10052"/>
      <w:bookmarkStart w:id="740" w:name="_Toc29133"/>
      <w:bookmarkStart w:id="741" w:name="_Toc5951"/>
      <w:bookmarkStart w:id="742" w:name="_Toc216582817"/>
      <w:bookmarkStart w:id="743" w:name="_Toc32464"/>
      <w:bookmarkStart w:id="744" w:name="_Toc28689"/>
      <w:bookmarkStart w:id="745" w:name="_Toc14695"/>
      <w:bookmarkStart w:id="746" w:name="_Toc24855"/>
      <w:bookmarkStart w:id="747" w:name="_Toc28959"/>
      <w:bookmarkStart w:id="748" w:name="_Toc29780"/>
      <w:bookmarkStart w:id="749" w:name="_Toc1112"/>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lang w:eastAsia="zh-CN"/>
        </w:rPr>
        <w:t xml:space="preserve"> 技术规格偏离表</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019DFF8C">
      <w:pPr>
        <w:pStyle w:val="12"/>
        <w:spacing w:line="240" w:lineRule="atLeast"/>
        <w:ind w:left="1080" w:leftChars="257" w:hanging="540"/>
        <w:rPr>
          <w:rFonts w:hint="eastAsia" w:ascii="仿宋" w:hAnsi="仿宋" w:eastAsia="仿宋" w:cs="仿宋"/>
          <w:color w:val="auto"/>
          <w:sz w:val="24"/>
          <w:highlight w:val="none"/>
          <w:lang w:eastAsia="zh-CN"/>
        </w:rPr>
      </w:pPr>
    </w:p>
    <w:p w14:paraId="5AF1DE04">
      <w:pPr>
        <w:pStyle w:val="12"/>
        <w:spacing w:line="240" w:lineRule="atLeast"/>
        <w:ind w:firstLine="360" w:firstLineChars="1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                       招标编号:                 包号:</w:t>
      </w:r>
    </w:p>
    <w:p w14:paraId="0173A914">
      <w:pPr>
        <w:pStyle w:val="12"/>
        <w:spacing w:line="240" w:lineRule="atLeast"/>
        <w:ind w:left="1080" w:leftChars="257" w:hanging="540"/>
        <w:rPr>
          <w:rFonts w:hint="eastAsia" w:ascii="仿宋" w:hAnsi="仿宋" w:eastAsia="仿宋" w:cs="仿宋"/>
          <w:color w:val="auto"/>
          <w:sz w:val="24"/>
          <w:highlight w:val="none"/>
          <w:lang w:eastAsia="zh-CN"/>
        </w:rPr>
      </w:pPr>
    </w:p>
    <w:tbl>
      <w:tblPr>
        <w:tblStyle w:val="23"/>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686"/>
        <w:gridCol w:w="1809"/>
        <w:gridCol w:w="1534"/>
        <w:gridCol w:w="1435"/>
        <w:gridCol w:w="1119"/>
      </w:tblGrid>
      <w:tr w14:paraId="2F03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vAlign w:val="center"/>
          </w:tcPr>
          <w:p w14:paraId="0206B7B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86" w:type="dxa"/>
            <w:noWrap/>
            <w:vAlign w:val="center"/>
          </w:tcPr>
          <w:p w14:paraId="527075B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1809" w:type="dxa"/>
            <w:noWrap/>
            <w:vAlign w:val="center"/>
          </w:tcPr>
          <w:p w14:paraId="5D3637D6">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534" w:type="dxa"/>
            <w:noWrap/>
            <w:vAlign w:val="center"/>
          </w:tcPr>
          <w:p w14:paraId="7E76A8A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1435" w:type="dxa"/>
            <w:noWrap/>
            <w:vAlign w:val="center"/>
          </w:tcPr>
          <w:p w14:paraId="6BFB1FE0">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119" w:type="dxa"/>
            <w:noWrap/>
            <w:vAlign w:val="center"/>
          </w:tcPr>
          <w:p w14:paraId="5D8D3820">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5D4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4F535371">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298BD070">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325EA3CC">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48728838">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299CD4C0">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30A8C630">
            <w:pPr>
              <w:pStyle w:val="12"/>
              <w:spacing w:line="240" w:lineRule="atLeast"/>
              <w:ind w:left="1080" w:leftChars="257" w:hanging="540"/>
              <w:rPr>
                <w:rFonts w:hint="eastAsia" w:ascii="仿宋" w:hAnsi="仿宋" w:eastAsia="仿宋" w:cs="仿宋"/>
                <w:color w:val="auto"/>
                <w:sz w:val="24"/>
                <w:highlight w:val="none"/>
              </w:rPr>
            </w:pPr>
          </w:p>
        </w:tc>
      </w:tr>
      <w:tr w14:paraId="704F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2F42E083">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7F7C77AF">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631451F8">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01C72DAA">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6F815EB1">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0FF7ECA4">
            <w:pPr>
              <w:pStyle w:val="12"/>
              <w:spacing w:line="240" w:lineRule="atLeast"/>
              <w:ind w:left="1080" w:leftChars="257" w:hanging="540"/>
              <w:rPr>
                <w:rFonts w:hint="eastAsia" w:ascii="仿宋" w:hAnsi="仿宋" w:eastAsia="仿宋" w:cs="仿宋"/>
                <w:color w:val="auto"/>
                <w:sz w:val="24"/>
                <w:highlight w:val="none"/>
              </w:rPr>
            </w:pPr>
          </w:p>
        </w:tc>
      </w:tr>
      <w:tr w14:paraId="30F3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5003610F">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3FFA37B1">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445E9BD7">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31FF5AA3">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45978505">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587E6F4C">
            <w:pPr>
              <w:pStyle w:val="12"/>
              <w:spacing w:line="240" w:lineRule="atLeast"/>
              <w:ind w:left="1080" w:leftChars="257" w:hanging="540"/>
              <w:rPr>
                <w:rFonts w:hint="eastAsia" w:ascii="仿宋" w:hAnsi="仿宋" w:eastAsia="仿宋" w:cs="仿宋"/>
                <w:color w:val="auto"/>
                <w:sz w:val="24"/>
                <w:highlight w:val="none"/>
              </w:rPr>
            </w:pPr>
          </w:p>
        </w:tc>
      </w:tr>
      <w:tr w14:paraId="31F7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196886E6">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910EFFA">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75538364">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65C16DA9">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31A75420">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6CCF39F4">
            <w:pPr>
              <w:pStyle w:val="12"/>
              <w:spacing w:line="240" w:lineRule="atLeast"/>
              <w:ind w:left="1080" w:leftChars="257" w:hanging="540"/>
              <w:rPr>
                <w:rFonts w:hint="eastAsia" w:ascii="仿宋" w:hAnsi="仿宋" w:eastAsia="仿宋" w:cs="仿宋"/>
                <w:color w:val="auto"/>
                <w:sz w:val="24"/>
                <w:highlight w:val="none"/>
              </w:rPr>
            </w:pPr>
          </w:p>
        </w:tc>
      </w:tr>
      <w:tr w14:paraId="716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78AE18CD">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241B5BC5">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605F86A6">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6258AE9B">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552AA335">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6BFAB8AF">
            <w:pPr>
              <w:pStyle w:val="12"/>
              <w:spacing w:line="240" w:lineRule="atLeast"/>
              <w:ind w:left="1080" w:leftChars="257" w:hanging="540"/>
              <w:rPr>
                <w:rFonts w:hint="eastAsia" w:ascii="仿宋" w:hAnsi="仿宋" w:eastAsia="仿宋" w:cs="仿宋"/>
                <w:color w:val="auto"/>
                <w:sz w:val="24"/>
                <w:highlight w:val="none"/>
              </w:rPr>
            </w:pPr>
          </w:p>
        </w:tc>
      </w:tr>
      <w:tr w14:paraId="5BD2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1806065A">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0ED69D15">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7EB2740B">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3A339397">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6B9A8C09">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40E4F858">
            <w:pPr>
              <w:pStyle w:val="12"/>
              <w:spacing w:line="240" w:lineRule="atLeast"/>
              <w:ind w:left="1080" w:leftChars="257" w:hanging="540"/>
              <w:rPr>
                <w:rFonts w:hint="eastAsia" w:ascii="仿宋" w:hAnsi="仿宋" w:eastAsia="仿宋" w:cs="仿宋"/>
                <w:color w:val="auto"/>
                <w:sz w:val="24"/>
                <w:highlight w:val="none"/>
              </w:rPr>
            </w:pPr>
          </w:p>
        </w:tc>
      </w:tr>
      <w:tr w14:paraId="6B17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0D566501">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88103F7">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0F6A44AD">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003561BC">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765EB070">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49449F90">
            <w:pPr>
              <w:pStyle w:val="12"/>
              <w:spacing w:line="240" w:lineRule="atLeast"/>
              <w:ind w:left="1080" w:leftChars="257" w:hanging="540"/>
              <w:rPr>
                <w:rFonts w:hint="eastAsia" w:ascii="仿宋" w:hAnsi="仿宋" w:eastAsia="仿宋" w:cs="仿宋"/>
                <w:color w:val="auto"/>
                <w:sz w:val="24"/>
                <w:highlight w:val="none"/>
              </w:rPr>
            </w:pPr>
          </w:p>
        </w:tc>
      </w:tr>
      <w:tr w14:paraId="23A0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69069DE1">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4DAD4BDC">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5FEB2B16">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7D57D7E6">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597B854A">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4844A54B">
            <w:pPr>
              <w:pStyle w:val="12"/>
              <w:spacing w:line="240" w:lineRule="atLeast"/>
              <w:ind w:left="1080" w:leftChars="257" w:hanging="540"/>
              <w:rPr>
                <w:rFonts w:hint="eastAsia" w:ascii="仿宋" w:hAnsi="仿宋" w:eastAsia="仿宋" w:cs="仿宋"/>
                <w:color w:val="auto"/>
                <w:sz w:val="24"/>
                <w:highlight w:val="none"/>
              </w:rPr>
            </w:pPr>
          </w:p>
        </w:tc>
      </w:tr>
      <w:tr w14:paraId="7E7F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9" w:type="dxa"/>
            <w:noWrap/>
          </w:tcPr>
          <w:p w14:paraId="109248D5">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840790B">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35FBAE21">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4D142339">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74E20A74">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54615A39">
            <w:pPr>
              <w:pStyle w:val="12"/>
              <w:spacing w:line="240" w:lineRule="atLeast"/>
              <w:ind w:left="1080" w:leftChars="257" w:hanging="540"/>
              <w:rPr>
                <w:rFonts w:hint="eastAsia" w:ascii="仿宋" w:hAnsi="仿宋" w:eastAsia="仿宋" w:cs="仿宋"/>
                <w:color w:val="auto"/>
                <w:sz w:val="24"/>
                <w:highlight w:val="none"/>
              </w:rPr>
            </w:pPr>
          </w:p>
        </w:tc>
      </w:tr>
      <w:tr w14:paraId="7191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06B4823A">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10372297">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0B91FF2E">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3E4B6D94">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286AEBE2">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0C9B4097">
            <w:pPr>
              <w:pStyle w:val="12"/>
              <w:spacing w:line="240" w:lineRule="atLeast"/>
              <w:ind w:left="1080" w:leftChars="257" w:hanging="540"/>
              <w:rPr>
                <w:rFonts w:hint="eastAsia" w:ascii="仿宋" w:hAnsi="仿宋" w:eastAsia="仿宋" w:cs="仿宋"/>
                <w:color w:val="auto"/>
                <w:sz w:val="24"/>
                <w:highlight w:val="none"/>
              </w:rPr>
            </w:pPr>
          </w:p>
        </w:tc>
      </w:tr>
      <w:tr w14:paraId="2F8C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9" w:type="dxa"/>
            <w:noWrap/>
          </w:tcPr>
          <w:p w14:paraId="5D58B383">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2358D67C">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149329B2">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463D4128">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07F7F84C">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0F8463EC">
            <w:pPr>
              <w:pStyle w:val="12"/>
              <w:spacing w:line="240" w:lineRule="atLeast"/>
              <w:ind w:left="1080" w:leftChars="257" w:hanging="540"/>
              <w:rPr>
                <w:rFonts w:hint="eastAsia" w:ascii="仿宋" w:hAnsi="仿宋" w:eastAsia="仿宋" w:cs="仿宋"/>
                <w:color w:val="auto"/>
                <w:sz w:val="24"/>
                <w:highlight w:val="none"/>
              </w:rPr>
            </w:pPr>
          </w:p>
        </w:tc>
      </w:tr>
      <w:tr w14:paraId="6653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9" w:type="dxa"/>
            <w:noWrap/>
          </w:tcPr>
          <w:p w14:paraId="2F2882DA">
            <w:pPr>
              <w:pStyle w:val="12"/>
              <w:spacing w:line="240" w:lineRule="atLeast"/>
              <w:ind w:left="1080" w:leftChars="257" w:hanging="540"/>
              <w:rPr>
                <w:rFonts w:hint="eastAsia" w:ascii="仿宋" w:hAnsi="仿宋" w:eastAsia="仿宋" w:cs="仿宋"/>
                <w:color w:val="auto"/>
                <w:sz w:val="24"/>
                <w:highlight w:val="none"/>
              </w:rPr>
            </w:pPr>
          </w:p>
        </w:tc>
        <w:tc>
          <w:tcPr>
            <w:tcW w:w="1686" w:type="dxa"/>
            <w:noWrap/>
          </w:tcPr>
          <w:p w14:paraId="62332C15">
            <w:pPr>
              <w:pStyle w:val="12"/>
              <w:spacing w:line="240" w:lineRule="atLeast"/>
              <w:ind w:left="1080" w:leftChars="257" w:hanging="540"/>
              <w:rPr>
                <w:rFonts w:hint="eastAsia" w:ascii="仿宋" w:hAnsi="仿宋" w:eastAsia="仿宋" w:cs="仿宋"/>
                <w:color w:val="auto"/>
                <w:sz w:val="24"/>
                <w:highlight w:val="none"/>
              </w:rPr>
            </w:pPr>
          </w:p>
        </w:tc>
        <w:tc>
          <w:tcPr>
            <w:tcW w:w="1809" w:type="dxa"/>
            <w:noWrap/>
          </w:tcPr>
          <w:p w14:paraId="447FA517">
            <w:pPr>
              <w:pStyle w:val="12"/>
              <w:spacing w:line="240" w:lineRule="atLeast"/>
              <w:ind w:left="1080" w:leftChars="257" w:hanging="540"/>
              <w:rPr>
                <w:rFonts w:hint="eastAsia" w:ascii="仿宋" w:hAnsi="仿宋" w:eastAsia="仿宋" w:cs="仿宋"/>
                <w:color w:val="auto"/>
                <w:sz w:val="24"/>
                <w:highlight w:val="none"/>
              </w:rPr>
            </w:pPr>
          </w:p>
        </w:tc>
        <w:tc>
          <w:tcPr>
            <w:tcW w:w="1534" w:type="dxa"/>
            <w:noWrap/>
          </w:tcPr>
          <w:p w14:paraId="28C249B1">
            <w:pPr>
              <w:pStyle w:val="12"/>
              <w:spacing w:line="240" w:lineRule="atLeast"/>
              <w:ind w:left="1080" w:leftChars="257" w:hanging="540"/>
              <w:rPr>
                <w:rFonts w:hint="eastAsia" w:ascii="仿宋" w:hAnsi="仿宋" w:eastAsia="仿宋" w:cs="仿宋"/>
                <w:color w:val="auto"/>
                <w:sz w:val="24"/>
                <w:highlight w:val="none"/>
              </w:rPr>
            </w:pPr>
          </w:p>
        </w:tc>
        <w:tc>
          <w:tcPr>
            <w:tcW w:w="1435" w:type="dxa"/>
            <w:noWrap/>
          </w:tcPr>
          <w:p w14:paraId="18F6AE34">
            <w:pPr>
              <w:pStyle w:val="12"/>
              <w:spacing w:line="240" w:lineRule="atLeast"/>
              <w:ind w:left="1080" w:leftChars="257" w:hanging="540"/>
              <w:rPr>
                <w:rFonts w:hint="eastAsia" w:ascii="仿宋" w:hAnsi="仿宋" w:eastAsia="仿宋" w:cs="仿宋"/>
                <w:color w:val="auto"/>
                <w:sz w:val="24"/>
                <w:highlight w:val="none"/>
              </w:rPr>
            </w:pPr>
          </w:p>
        </w:tc>
        <w:tc>
          <w:tcPr>
            <w:tcW w:w="1119" w:type="dxa"/>
            <w:noWrap/>
          </w:tcPr>
          <w:p w14:paraId="18374446">
            <w:pPr>
              <w:pStyle w:val="12"/>
              <w:spacing w:line="240" w:lineRule="atLeast"/>
              <w:ind w:left="1080" w:leftChars="257" w:hanging="540"/>
              <w:rPr>
                <w:rFonts w:hint="eastAsia" w:ascii="仿宋" w:hAnsi="仿宋" w:eastAsia="仿宋" w:cs="仿宋"/>
                <w:color w:val="auto"/>
                <w:sz w:val="24"/>
                <w:highlight w:val="none"/>
              </w:rPr>
            </w:pPr>
          </w:p>
        </w:tc>
      </w:tr>
    </w:tbl>
    <w:p w14:paraId="1211A29C">
      <w:pPr>
        <w:pStyle w:val="12"/>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w:t>
      </w:r>
    </w:p>
    <w:p w14:paraId="132A9DCF">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应对照采购文件采购需求中的技术参数</w:t>
      </w:r>
      <w:r>
        <w:rPr>
          <w:rFonts w:hint="eastAsia" w:ascii="仿宋" w:hAnsi="仿宋" w:eastAsia="仿宋" w:cs="仿宋"/>
          <w:sz w:val="24"/>
          <w:highlight w:val="none"/>
          <w:lang w:val="en-US" w:eastAsia="zh-CN"/>
        </w:rPr>
        <w:t>及要求</w:t>
      </w:r>
      <w:r>
        <w:rPr>
          <w:rFonts w:hint="eastAsia" w:ascii="仿宋" w:hAnsi="仿宋" w:eastAsia="仿宋" w:cs="仿宋"/>
          <w:sz w:val="24"/>
          <w:highlight w:val="none"/>
        </w:rPr>
        <w:t>，说明所提供产品</w:t>
      </w:r>
      <w:r>
        <w:rPr>
          <w:rFonts w:hint="eastAsia" w:ascii="仿宋" w:hAnsi="仿宋" w:eastAsia="仿宋" w:cs="仿宋"/>
          <w:sz w:val="24"/>
          <w:highlight w:val="none"/>
          <w:lang w:val="en-US" w:eastAsia="zh-CN"/>
        </w:rPr>
        <w:t>或（工程）服务</w:t>
      </w:r>
      <w:r>
        <w:rPr>
          <w:rFonts w:hint="eastAsia" w:ascii="仿宋" w:hAnsi="仿宋" w:eastAsia="仿宋" w:cs="仿宋"/>
          <w:sz w:val="24"/>
          <w:highlight w:val="none"/>
        </w:rPr>
        <w:t>对采购文件的技术参数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需求</w:t>
      </w:r>
      <w:r>
        <w:rPr>
          <w:rFonts w:hint="eastAsia" w:ascii="仿宋" w:hAnsi="仿宋" w:eastAsia="仿宋" w:cs="仿宋"/>
          <w:sz w:val="24"/>
          <w:highlight w:val="none"/>
          <w:lang w:eastAsia="zh-CN"/>
        </w:rPr>
        <w:t>）</w:t>
      </w:r>
      <w:r>
        <w:rPr>
          <w:rFonts w:hint="eastAsia" w:ascii="仿宋" w:hAnsi="仿宋" w:eastAsia="仿宋" w:cs="仿宋"/>
          <w:sz w:val="24"/>
          <w:highlight w:val="none"/>
        </w:rPr>
        <w:t>做出响应或偏离</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正偏离/负偏离/无偏离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48812114">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2、以上响应/偏离内容</w:t>
      </w:r>
      <w:r>
        <w:rPr>
          <w:rFonts w:hint="eastAsia" w:ascii="仿宋" w:hAnsi="仿宋" w:eastAsia="仿宋" w:cs="仿宋"/>
          <w:sz w:val="24"/>
          <w:highlight w:val="none"/>
          <w:lang w:val="en-US" w:eastAsia="zh-CN"/>
        </w:rPr>
        <w:t>投标人认为有必要提供说明或备注</w:t>
      </w:r>
      <w:r>
        <w:rPr>
          <w:rFonts w:hint="eastAsia" w:ascii="仿宋" w:hAnsi="仿宋" w:eastAsia="仿宋" w:cs="仿宋"/>
          <w:sz w:val="24"/>
          <w:highlight w:val="none"/>
        </w:rPr>
        <w:t>应在说明栏中注明该条在响应文件中相关部分(或页码)相应的依据;</w:t>
      </w:r>
    </w:p>
    <w:p w14:paraId="51C09466">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3、供应商所供产品（工程</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服务</w:t>
      </w:r>
      <w:r>
        <w:rPr>
          <w:rFonts w:hint="eastAsia" w:ascii="仿宋" w:hAnsi="仿宋" w:eastAsia="仿宋" w:cs="仿宋"/>
          <w:sz w:val="24"/>
          <w:highlight w:val="none"/>
          <w:lang w:val="en-US" w:eastAsia="zh-CN"/>
        </w:rPr>
        <w:t>需求</w:t>
      </w:r>
      <w:r>
        <w:rPr>
          <w:rFonts w:hint="eastAsia" w:ascii="仿宋" w:hAnsi="仿宋" w:eastAsia="仿宋" w:cs="仿宋"/>
          <w:sz w:val="24"/>
          <w:highlight w:val="none"/>
        </w:rPr>
        <w:t>）如与采购文件要求的技术规格及配置不一致，则需在上表说明栏中注明:</w:t>
      </w:r>
    </w:p>
    <w:p w14:paraId="1C957EBE">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4、如不按要求填写，产生的一切后果由供应商负责。</w:t>
      </w:r>
    </w:p>
    <w:p w14:paraId="0F099CB6">
      <w:pPr>
        <w:pStyle w:val="12"/>
        <w:spacing w:line="360" w:lineRule="auto"/>
        <w:ind w:left="1080" w:leftChars="257" w:hanging="540"/>
        <w:rPr>
          <w:rFonts w:hint="eastAsia" w:ascii="仿宋" w:hAnsi="仿宋" w:eastAsia="仿宋" w:cs="仿宋"/>
          <w:sz w:val="24"/>
          <w:highlight w:val="none"/>
        </w:rPr>
      </w:pPr>
    </w:p>
    <w:p w14:paraId="63A25879">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法定代表人或其委托代理人签字或签章: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1079F735">
      <w:pPr>
        <w:pStyle w:val="12"/>
        <w:tabs>
          <w:tab w:val="left" w:pos="5370"/>
        </w:tabs>
        <w:spacing w:line="360" w:lineRule="auto"/>
        <w:ind w:left="1080" w:leftChars="257" w:hanging="540"/>
        <w:rPr>
          <w:rFonts w:hint="eastAsia" w:ascii="仿宋" w:hAnsi="仿宋" w:eastAsia="仿宋" w:cs="仿宋"/>
          <w:color w:val="auto"/>
          <w:sz w:val="20"/>
          <w:highlight w:val="none"/>
          <w:lang w:eastAsia="zh-CN"/>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bookmarkStart w:id="750" w:name="_Toc216582818"/>
      <w:bookmarkStart w:id="751" w:name="_Toc515647821"/>
      <w:bookmarkStart w:id="752" w:name="_Toc1980"/>
      <w:bookmarkStart w:id="753" w:name="_Toc28374"/>
      <w:bookmarkStart w:id="754" w:name="_Toc23"/>
    </w:p>
    <w:p w14:paraId="063725F0">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55" w:name="_Toc16991"/>
      <w:bookmarkStart w:id="756" w:name="_Toc11176"/>
      <w:bookmarkStart w:id="757" w:name="_Toc29157"/>
      <w:bookmarkStart w:id="758" w:name="_Toc21884"/>
      <w:bookmarkStart w:id="759" w:name="_Toc19514"/>
      <w:bookmarkStart w:id="760" w:name="_Toc9803"/>
      <w:bookmarkStart w:id="761" w:name="_Toc11402"/>
      <w:bookmarkStart w:id="762" w:name="_Toc5952"/>
      <w:bookmarkStart w:id="763" w:name="_Toc471"/>
      <w:bookmarkStart w:id="764" w:name="_Toc14202"/>
      <w:bookmarkStart w:id="765" w:name="_Toc17874"/>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lang w:eastAsia="zh-CN"/>
        </w:rPr>
        <w:t xml:space="preserve"> 商务条款偏离表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4C5F6026">
      <w:pPr>
        <w:pStyle w:val="12"/>
        <w:spacing w:line="240" w:lineRule="atLeast"/>
        <w:rPr>
          <w:rFonts w:hint="eastAsia" w:ascii="仿宋" w:hAnsi="仿宋" w:eastAsia="仿宋" w:cs="仿宋"/>
          <w:color w:val="auto"/>
          <w:sz w:val="24"/>
          <w:highlight w:val="none"/>
          <w:lang w:eastAsia="zh-CN"/>
        </w:rPr>
      </w:pPr>
    </w:p>
    <w:p w14:paraId="4B8A000C">
      <w:pPr>
        <w:pStyle w:val="12"/>
        <w:spacing w:line="240" w:lineRule="atLeast"/>
        <w:ind w:left="1080" w:leftChars="257"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                      招标编号:             包号:</w:t>
      </w:r>
    </w:p>
    <w:p w14:paraId="079BF8E7">
      <w:pPr>
        <w:pStyle w:val="12"/>
        <w:spacing w:line="240" w:lineRule="atLeast"/>
        <w:ind w:left="1080" w:leftChars="257" w:hanging="540"/>
        <w:rPr>
          <w:rFonts w:hint="eastAsia" w:ascii="仿宋" w:hAnsi="仿宋" w:eastAsia="仿宋" w:cs="仿宋"/>
          <w:color w:val="auto"/>
          <w:sz w:val="24"/>
          <w:highlight w:val="none"/>
          <w:lang w:eastAsia="zh-CN"/>
        </w:rPr>
      </w:pPr>
    </w:p>
    <w:tbl>
      <w:tblPr>
        <w:tblStyle w:val="23"/>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14:paraId="38DC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vAlign w:val="center"/>
          </w:tcPr>
          <w:p w14:paraId="1E1E7724">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520" w:type="dxa"/>
            <w:noWrap/>
            <w:vAlign w:val="center"/>
          </w:tcPr>
          <w:p w14:paraId="06AF069B">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招标文件的商务条款</w:t>
            </w:r>
          </w:p>
        </w:tc>
        <w:tc>
          <w:tcPr>
            <w:tcW w:w="2520" w:type="dxa"/>
            <w:noWrap/>
            <w:vAlign w:val="center"/>
          </w:tcPr>
          <w:p w14:paraId="471EF023">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投标文件的商务条款</w:t>
            </w:r>
          </w:p>
        </w:tc>
        <w:tc>
          <w:tcPr>
            <w:tcW w:w="1805" w:type="dxa"/>
            <w:noWrap/>
            <w:vAlign w:val="center"/>
          </w:tcPr>
          <w:p w14:paraId="71B8E73F">
            <w:pPr>
              <w:pStyle w:val="12"/>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0DF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319DF0EF">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71955D66">
            <w:pPr>
              <w:pStyle w:val="12"/>
              <w:spacing w:line="240" w:lineRule="atLeast"/>
              <w:ind w:left="1080" w:leftChars="257" w:hanging="540"/>
              <w:jc w:val="center"/>
              <w:rPr>
                <w:rFonts w:hint="eastAsia" w:ascii="仿宋" w:hAnsi="仿宋" w:eastAsia="仿宋" w:cs="仿宋"/>
                <w:color w:val="auto"/>
                <w:sz w:val="24"/>
                <w:highlight w:val="none"/>
              </w:rPr>
            </w:pPr>
          </w:p>
        </w:tc>
        <w:tc>
          <w:tcPr>
            <w:tcW w:w="2520" w:type="dxa"/>
            <w:noWrap/>
          </w:tcPr>
          <w:p w14:paraId="2EA6EED6">
            <w:pPr>
              <w:pStyle w:val="12"/>
              <w:spacing w:line="240" w:lineRule="atLeast"/>
              <w:ind w:left="1080" w:leftChars="257" w:hanging="540"/>
              <w:jc w:val="center"/>
              <w:rPr>
                <w:rFonts w:hint="eastAsia" w:ascii="仿宋" w:hAnsi="仿宋" w:eastAsia="仿宋" w:cs="仿宋"/>
                <w:color w:val="auto"/>
                <w:sz w:val="24"/>
                <w:highlight w:val="none"/>
              </w:rPr>
            </w:pPr>
          </w:p>
        </w:tc>
        <w:tc>
          <w:tcPr>
            <w:tcW w:w="1805" w:type="dxa"/>
            <w:noWrap/>
          </w:tcPr>
          <w:p w14:paraId="045353D3">
            <w:pPr>
              <w:pStyle w:val="12"/>
              <w:spacing w:line="240" w:lineRule="atLeast"/>
              <w:ind w:left="1080" w:leftChars="257" w:hanging="540"/>
              <w:rPr>
                <w:rFonts w:hint="eastAsia" w:ascii="仿宋" w:hAnsi="仿宋" w:eastAsia="仿宋" w:cs="仿宋"/>
                <w:color w:val="auto"/>
                <w:sz w:val="24"/>
                <w:highlight w:val="none"/>
              </w:rPr>
            </w:pPr>
          </w:p>
        </w:tc>
      </w:tr>
      <w:tr w14:paraId="7F28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5AAA3CBD">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56EFCBD2">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67B9E6B7">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695CE134">
            <w:pPr>
              <w:pStyle w:val="12"/>
              <w:spacing w:line="240" w:lineRule="atLeast"/>
              <w:ind w:left="1080" w:leftChars="257" w:hanging="540"/>
              <w:rPr>
                <w:rFonts w:hint="eastAsia" w:ascii="仿宋" w:hAnsi="仿宋" w:eastAsia="仿宋" w:cs="仿宋"/>
                <w:color w:val="auto"/>
                <w:sz w:val="24"/>
                <w:highlight w:val="none"/>
              </w:rPr>
            </w:pPr>
          </w:p>
        </w:tc>
      </w:tr>
      <w:tr w14:paraId="29A2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1BAA3E15">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4423AB4">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0B35AD72">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349040A8">
            <w:pPr>
              <w:pStyle w:val="12"/>
              <w:spacing w:line="240" w:lineRule="atLeast"/>
              <w:ind w:left="1080" w:leftChars="257" w:hanging="540"/>
              <w:rPr>
                <w:rFonts w:hint="eastAsia" w:ascii="仿宋" w:hAnsi="仿宋" w:eastAsia="仿宋" w:cs="仿宋"/>
                <w:color w:val="auto"/>
                <w:sz w:val="24"/>
                <w:highlight w:val="none"/>
              </w:rPr>
            </w:pPr>
          </w:p>
        </w:tc>
      </w:tr>
      <w:tr w14:paraId="25BD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6A46ECB7">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1B539148">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77E94D6F">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7E35DA5A">
            <w:pPr>
              <w:pStyle w:val="12"/>
              <w:spacing w:line="240" w:lineRule="atLeast"/>
              <w:ind w:left="1080" w:leftChars="257" w:hanging="540"/>
              <w:rPr>
                <w:rFonts w:hint="eastAsia" w:ascii="仿宋" w:hAnsi="仿宋" w:eastAsia="仿宋" w:cs="仿宋"/>
                <w:color w:val="auto"/>
                <w:sz w:val="24"/>
                <w:highlight w:val="none"/>
              </w:rPr>
            </w:pPr>
          </w:p>
        </w:tc>
      </w:tr>
      <w:tr w14:paraId="5D22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91" w:type="dxa"/>
            <w:noWrap/>
          </w:tcPr>
          <w:p w14:paraId="0228490B">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02477316">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29972205">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76B229AD">
            <w:pPr>
              <w:pStyle w:val="12"/>
              <w:spacing w:line="240" w:lineRule="atLeast"/>
              <w:ind w:left="1080" w:leftChars="257" w:hanging="540"/>
              <w:rPr>
                <w:rFonts w:hint="eastAsia" w:ascii="仿宋" w:hAnsi="仿宋" w:eastAsia="仿宋" w:cs="仿宋"/>
                <w:color w:val="auto"/>
                <w:sz w:val="24"/>
                <w:highlight w:val="none"/>
              </w:rPr>
            </w:pPr>
          </w:p>
        </w:tc>
      </w:tr>
      <w:tr w14:paraId="2D69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423FBCCB">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38352834">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16035110">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7C5F93C3">
            <w:pPr>
              <w:pStyle w:val="12"/>
              <w:spacing w:line="240" w:lineRule="atLeast"/>
              <w:ind w:left="1080" w:leftChars="257" w:hanging="540"/>
              <w:rPr>
                <w:rFonts w:hint="eastAsia" w:ascii="仿宋" w:hAnsi="仿宋" w:eastAsia="仿宋" w:cs="仿宋"/>
                <w:color w:val="auto"/>
                <w:sz w:val="24"/>
                <w:highlight w:val="none"/>
              </w:rPr>
            </w:pPr>
          </w:p>
        </w:tc>
      </w:tr>
      <w:tr w14:paraId="6CE4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2DFB453E">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3D29E011">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2D05DCC8">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31AEABF6">
            <w:pPr>
              <w:pStyle w:val="12"/>
              <w:spacing w:line="240" w:lineRule="atLeast"/>
              <w:ind w:left="1080" w:leftChars="257" w:hanging="540"/>
              <w:rPr>
                <w:rFonts w:hint="eastAsia" w:ascii="仿宋" w:hAnsi="仿宋" w:eastAsia="仿宋" w:cs="仿宋"/>
                <w:color w:val="auto"/>
                <w:sz w:val="24"/>
                <w:highlight w:val="none"/>
              </w:rPr>
            </w:pPr>
          </w:p>
        </w:tc>
      </w:tr>
      <w:tr w14:paraId="0C56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2F29F555">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09F4629F">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5DCB355F">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1AF01414">
            <w:pPr>
              <w:pStyle w:val="12"/>
              <w:spacing w:line="240" w:lineRule="atLeast"/>
              <w:ind w:left="1080" w:leftChars="257" w:hanging="540"/>
              <w:rPr>
                <w:rFonts w:hint="eastAsia" w:ascii="仿宋" w:hAnsi="仿宋" w:eastAsia="仿宋" w:cs="仿宋"/>
                <w:color w:val="auto"/>
                <w:sz w:val="24"/>
                <w:highlight w:val="none"/>
              </w:rPr>
            </w:pPr>
          </w:p>
        </w:tc>
      </w:tr>
      <w:tr w14:paraId="0248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580802B6">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35753C0">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6E029AD0">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5B3513D8">
            <w:pPr>
              <w:pStyle w:val="12"/>
              <w:spacing w:line="240" w:lineRule="atLeast"/>
              <w:ind w:left="1080" w:leftChars="257" w:hanging="540"/>
              <w:rPr>
                <w:rFonts w:hint="eastAsia" w:ascii="仿宋" w:hAnsi="仿宋" w:eastAsia="仿宋" w:cs="仿宋"/>
                <w:color w:val="auto"/>
                <w:sz w:val="24"/>
                <w:highlight w:val="none"/>
              </w:rPr>
            </w:pPr>
          </w:p>
        </w:tc>
      </w:tr>
      <w:tr w14:paraId="1827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0B0EE75A">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269681C3">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F480CA4">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26D709F3">
            <w:pPr>
              <w:pStyle w:val="12"/>
              <w:spacing w:line="240" w:lineRule="atLeast"/>
              <w:ind w:left="1080" w:leftChars="257" w:hanging="540"/>
              <w:rPr>
                <w:rFonts w:hint="eastAsia" w:ascii="仿宋" w:hAnsi="仿宋" w:eastAsia="仿宋" w:cs="仿宋"/>
                <w:color w:val="auto"/>
                <w:sz w:val="24"/>
                <w:highlight w:val="none"/>
              </w:rPr>
            </w:pPr>
          </w:p>
        </w:tc>
      </w:tr>
      <w:tr w14:paraId="5751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noWrap/>
          </w:tcPr>
          <w:p w14:paraId="406C473B">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3E663180">
            <w:pPr>
              <w:pStyle w:val="12"/>
              <w:spacing w:line="240" w:lineRule="atLeast"/>
              <w:ind w:left="1080" w:leftChars="257" w:hanging="540"/>
              <w:rPr>
                <w:rFonts w:hint="eastAsia" w:ascii="仿宋" w:hAnsi="仿宋" w:eastAsia="仿宋" w:cs="仿宋"/>
                <w:color w:val="auto"/>
                <w:sz w:val="24"/>
                <w:highlight w:val="none"/>
              </w:rPr>
            </w:pPr>
          </w:p>
        </w:tc>
        <w:tc>
          <w:tcPr>
            <w:tcW w:w="2520" w:type="dxa"/>
            <w:noWrap/>
          </w:tcPr>
          <w:p w14:paraId="49D13628">
            <w:pPr>
              <w:pStyle w:val="12"/>
              <w:spacing w:line="240" w:lineRule="atLeast"/>
              <w:ind w:left="1080" w:leftChars="257" w:hanging="540"/>
              <w:rPr>
                <w:rFonts w:hint="eastAsia" w:ascii="仿宋" w:hAnsi="仿宋" w:eastAsia="仿宋" w:cs="仿宋"/>
                <w:color w:val="auto"/>
                <w:sz w:val="24"/>
                <w:highlight w:val="none"/>
              </w:rPr>
            </w:pPr>
          </w:p>
        </w:tc>
        <w:tc>
          <w:tcPr>
            <w:tcW w:w="1805" w:type="dxa"/>
            <w:noWrap/>
          </w:tcPr>
          <w:p w14:paraId="1B0AE851">
            <w:pPr>
              <w:pStyle w:val="12"/>
              <w:spacing w:line="240" w:lineRule="atLeast"/>
              <w:ind w:left="1080" w:leftChars="257" w:hanging="540"/>
              <w:rPr>
                <w:rFonts w:hint="eastAsia" w:ascii="仿宋" w:hAnsi="仿宋" w:eastAsia="仿宋" w:cs="仿宋"/>
                <w:color w:val="auto"/>
                <w:sz w:val="24"/>
                <w:highlight w:val="none"/>
              </w:rPr>
            </w:pPr>
          </w:p>
        </w:tc>
      </w:tr>
    </w:tbl>
    <w:p w14:paraId="43C38EA9">
      <w:pPr>
        <w:pStyle w:val="12"/>
        <w:spacing w:line="360" w:lineRule="auto"/>
        <w:ind w:left="1080" w:leftChars="257" w:hanging="540"/>
        <w:rPr>
          <w:rFonts w:hint="eastAsia" w:ascii="仿宋" w:hAnsi="仿宋" w:eastAsia="仿宋" w:cs="仿宋"/>
          <w:sz w:val="24"/>
          <w:highlight w:val="none"/>
        </w:rPr>
      </w:pPr>
      <w:bookmarkStart w:id="766" w:name="_Toc18272"/>
      <w:bookmarkStart w:id="767" w:name="_Toc18491"/>
      <w:bookmarkStart w:id="768" w:name="_Toc515647823"/>
      <w:bookmarkStart w:id="769" w:name="_Toc28936"/>
      <w:bookmarkStart w:id="770" w:name="_Toc10725"/>
      <w:bookmarkStart w:id="771" w:name="_Toc5437"/>
      <w:r>
        <w:rPr>
          <w:rFonts w:hint="eastAsia" w:ascii="仿宋" w:hAnsi="仿宋" w:eastAsia="仿宋" w:cs="仿宋"/>
          <w:sz w:val="24"/>
          <w:highlight w:val="none"/>
        </w:rPr>
        <w:t>注:</w:t>
      </w:r>
    </w:p>
    <w:p w14:paraId="49154D34">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1、商务条款包括</w:t>
      </w:r>
      <w:r>
        <w:rPr>
          <w:rFonts w:hint="eastAsia" w:ascii="仿宋" w:hAnsi="仿宋" w:eastAsia="仿宋" w:cs="仿宋"/>
          <w:sz w:val="24"/>
          <w:highlight w:val="none"/>
          <w:lang w:val="en-US" w:eastAsia="zh-CN"/>
        </w:rPr>
        <w:t>质保期、</w:t>
      </w:r>
      <w:r>
        <w:rPr>
          <w:rFonts w:hint="eastAsia" w:ascii="仿宋" w:hAnsi="仿宋" w:eastAsia="仿宋" w:cs="仿宋"/>
          <w:sz w:val="24"/>
          <w:highlight w:val="none"/>
        </w:rPr>
        <w:t>付款方式、</w:t>
      </w:r>
      <w:r>
        <w:rPr>
          <w:rFonts w:hint="eastAsia" w:ascii="仿宋" w:hAnsi="仿宋" w:eastAsia="仿宋" w:cs="仿宋"/>
          <w:sz w:val="24"/>
          <w:highlight w:val="none"/>
          <w:lang w:val="en-US" w:eastAsia="zh-CN"/>
        </w:rPr>
        <w:t>履约期限、履约地点</w:t>
      </w:r>
      <w:r>
        <w:rPr>
          <w:rFonts w:hint="eastAsia" w:ascii="仿宋" w:hAnsi="仿宋" w:eastAsia="仿宋" w:cs="仿宋"/>
          <w:sz w:val="24"/>
          <w:highlight w:val="none"/>
        </w:rPr>
        <w:t>等内容;</w:t>
      </w:r>
    </w:p>
    <w:p w14:paraId="3E017BC7">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应对照采购文件要求的商务条款内容，说明已对采购文件要求的商务条款作出了响应或偏离</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正偏离/负偏离/无偏离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3B507B78">
      <w:pPr>
        <w:pStyle w:val="12"/>
        <w:spacing w:line="360" w:lineRule="auto"/>
        <w:ind w:left="1080" w:leftChars="257" w:hanging="540"/>
        <w:rPr>
          <w:rFonts w:hint="eastAsia" w:ascii="仿宋" w:hAnsi="仿宋" w:eastAsia="仿宋" w:cs="仿宋"/>
          <w:sz w:val="24"/>
          <w:highlight w:val="none"/>
          <w:lang w:eastAsia="zh-CN"/>
        </w:rPr>
      </w:pPr>
      <w:r>
        <w:rPr>
          <w:rFonts w:hint="eastAsia" w:ascii="仿宋" w:hAnsi="仿宋" w:eastAsia="仿宋" w:cs="仿宋"/>
          <w:sz w:val="24"/>
          <w:highlight w:val="none"/>
        </w:rPr>
        <w:t>3、以上响应/偏离内容投标人认为有必要提供说明或备注应在说明栏中注明该条在响应文件中相关部分(或页码)相应的依据</w:t>
      </w:r>
      <w:r>
        <w:rPr>
          <w:rFonts w:hint="eastAsia" w:ascii="仿宋" w:hAnsi="仿宋" w:eastAsia="仿宋" w:cs="仿宋"/>
          <w:sz w:val="24"/>
          <w:highlight w:val="none"/>
          <w:lang w:eastAsia="zh-CN"/>
        </w:rPr>
        <w:t>；</w:t>
      </w:r>
    </w:p>
    <w:p w14:paraId="7067E523">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4、供应商所供产品</w:t>
      </w:r>
      <w:r>
        <w:rPr>
          <w:rFonts w:hint="eastAsia" w:ascii="仿宋" w:hAnsi="仿宋" w:eastAsia="仿宋" w:cs="仿宋"/>
          <w:sz w:val="24"/>
          <w:highlight w:val="none"/>
          <w:lang w:val="en-US" w:eastAsia="zh-CN"/>
        </w:rPr>
        <w:t>或服务</w:t>
      </w:r>
      <w:r>
        <w:rPr>
          <w:rFonts w:hint="eastAsia" w:ascii="仿宋" w:hAnsi="仿宋" w:eastAsia="仿宋" w:cs="仿宋"/>
          <w:sz w:val="24"/>
          <w:highlight w:val="none"/>
        </w:rPr>
        <w:t>如与采购文件要求的商务条款不一致，则需在上表说明栏中注明:</w:t>
      </w:r>
    </w:p>
    <w:p w14:paraId="3B4674D4">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5、如不按要求填写，产生的一切后果由供应商负责。</w:t>
      </w:r>
    </w:p>
    <w:p w14:paraId="299F963B">
      <w:pPr>
        <w:pStyle w:val="12"/>
        <w:spacing w:line="360" w:lineRule="auto"/>
        <w:ind w:left="1080" w:leftChars="257" w:hanging="540"/>
        <w:rPr>
          <w:rFonts w:hint="eastAsia" w:ascii="仿宋" w:hAnsi="仿宋" w:eastAsia="仿宋" w:cs="仿宋"/>
          <w:sz w:val="24"/>
          <w:highlight w:val="none"/>
        </w:rPr>
      </w:pPr>
    </w:p>
    <w:p w14:paraId="0102C54B">
      <w:pPr>
        <w:pStyle w:val="12"/>
        <w:spacing w:line="360" w:lineRule="auto"/>
        <w:ind w:left="1080" w:leftChars="257" w:hanging="540"/>
        <w:rPr>
          <w:rFonts w:hint="eastAsia" w:ascii="仿宋" w:hAnsi="仿宋" w:eastAsia="仿宋" w:cs="仿宋"/>
          <w:sz w:val="24"/>
          <w:highlight w:val="none"/>
        </w:rPr>
      </w:pPr>
    </w:p>
    <w:p w14:paraId="56EB673D">
      <w:pPr>
        <w:pStyle w:val="12"/>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法定代表人或其委托代理人</w:t>
      </w:r>
      <w:r>
        <w:rPr>
          <w:rFonts w:hint="eastAsia" w:ascii="仿宋" w:hAnsi="仿宋" w:eastAsia="仿宋" w:cs="仿宋"/>
          <w:sz w:val="24"/>
          <w:highlight w:val="none"/>
          <w:lang w:eastAsia="zh-CN"/>
        </w:rPr>
        <w:t>（</w:t>
      </w:r>
      <w:r>
        <w:rPr>
          <w:rFonts w:hint="eastAsia" w:ascii="仿宋" w:hAnsi="仿宋" w:eastAsia="仿宋" w:cs="仿宋"/>
          <w:sz w:val="24"/>
          <w:highlight w:val="none"/>
        </w:rPr>
        <w:t>签字或签章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593A6A72">
      <w:pPr>
        <w:pStyle w:val="12"/>
        <w:tabs>
          <w:tab w:val="left" w:pos="5370"/>
        </w:tabs>
        <w:spacing w:line="360" w:lineRule="auto"/>
        <w:ind w:left="1080" w:leftChars="257" w:hanging="540"/>
        <w:rPr>
          <w:rFonts w:hint="eastAsia" w:ascii="仿宋" w:hAnsi="仿宋" w:eastAsia="仿宋" w:cs="仿宋"/>
          <w:sz w:val="24"/>
          <w:highlight w:val="none"/>
          <w:u w:val="single"/>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p>
    <w:p w14:paraId="5F5BD6E1">
      <w:pPr>
        <w:rPr>
          <w:rFonts w:hint="eastAsia" w:ascii="仿宋" w:hAnsi="仿宋" w:eastAsia="仿宋" w:cs="仿宋"/>
          <w:color w:val="auto"/>
          <w:highlight w:val="none"/>
          <w:u w:val="none"/>
          <w:lang w:val="en-US" w:eastAsia="zh-CN"/>
        </w:rPr>
      </w:pPr>
    </w:p>
    <w:p w14:paraId="573EA0A8">
      <w:pPr>
        <w:rPr>
          <w:rFonts w:hint="eastAsia" w:ascii="仿宋" w:hAnsi="仿宋" w:eastAsia="仿宋" w:cs="仿宋"/>
          <w:color w:val="auto"/>
          <w:highlight w:val="none"/>
          <w:u w:val="none"/>
          <w:lang w:val="en-US" w:eastAsia="zh-CN"/>
        </w:rPr>
      </w:pPr>
    </w:p>
    <w:p w14:paraId="5F67A3C5">
      <w:pPr>
        <w:numPr>
          <w:ilvl w:val="0"/>
          <w:numId w:val="0"/>
        </w:numPr>
        <w:rPr>
          <w:rFonts w:hint="eastAsia" w:ascii="仿宋" w:hAnsi="仿宋" w:eastAsia="仿宋" w:cs="仿宋"/>
          <w:b/>
          <w:bCs w:val="0"/>
          <w:snapToGrid w:val="0"/>
          <w:color w:val="000000"/>
          <w:kern w:val="0"/>
          <w:sz w:val="28"/>
          <w:szCs w:val="28"/>
          <w:highlight w:val="none"/>
          <w:u w:val="none"/>
          <w:lang w:val="en-US" w:eastAsia="zh-CN" w:bidi="ar-SA"/>
        </w:rPr>
      </w:pPr>
      <w:r>
        <w:rPr>
          <w:rFonts w:hint="eastAsia" w:ascii="仿宋" w:hAnsi="仿宋" w:eastAsia="仿宋" w:cs="仿宋"/>
          <w:b/>
          <w:bCs w:val="0"/>
          <w:snapToGrid w:val="0"/>
          <w:color w:val="000000"/>
          <w:kern w:val="0"/>
          <w:sz w:val="28"/>
          <w:szCs w:val="28"/>
          <w:highlight w:val="none"/>
          <w:u w:val="none"/>
          <w:lang w:val="en-US" w:eastAsia="zh-CN" w:bidi="ar-SA"/>
        </w:rPr>
        <w:t>6、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3FF10F61">
      <w:pPr>
        <w:pStyle w:val="4"/>
        <w:spacing w:before="0" w:after="0" w:line="288" w:lineRule="auto"/>
        <w:ind w:left="1079" w:leftChars="257" w:hanging="539"/>
        <w:jc w:val="center"/>
        <w:rPr>
          <w:rFonts w:hint="eastAsia" w:ascii="仿宋" w:hAnsi="仿宋" w:eastAsia="仿宋" w:cs="仿宋"/>
          <w:color w:val="auto"/>
          <w:highlight w:val="none"/>
          <w:u w:val="none"/>
          <w:lang w:val="en-US" w:eastAsia="zh-CN"/>
        </w:rPr>
      </w:pPr>
      <w:bookmarkStart w:id="772" w:name="_Toc17813"/>
    </w:p>
    <w:p w14:paraId="3EFD4EAB">
      <w:pPr>
        <w:pStyle w:val="4"/>
        <w:spacing w:before="0" w:after="0" w:line="288" w:lineRule="auto"/>
        <w:ind w:left="1079" w:leftChars="257" w:hanging="539"/>
        <w:jc w:val="center"/>
        <w:rPr>
          <w:rFonts w:hint="eastAsia" w:ascii="仿宋_GB2312" w:hAnsi="仿宋_GB2312" w:eastAsia="仿宋_GB2312" w:cs="仿宋_GB2312"/>
          <w:color w:val="auto"/>
          <w:highlight w:val="none"/>
          <w:u w:val="none"/>
        </w:rPr>
      </w:pPr>
      <w:bookmarkStart w:id="773" w:name="_Toc22301"/>
      <w:r>
        <w:rPr>
          <w:rFonts w:hint="eastAsia" w:ascii="仿宋" w:hAnsi="仿宋" w:eastAsia="仿宋" w:cs="仿宋"/>
          <w:color w:val="auto"/>
          <w:highlight w:val="none"/>
          <w:u w:val="none"/>
          <w:lang w:val="en-US" w:eastAsia="zh-CN"/>
        </w:rPr>
        <w:t>6-1</w:t>
      </w:r>
      <w:bookmarkEnd w:id="766"/>
      <w:bookmarkEnd w:id="767"/>
      <w:bookmarkEnd w:id="768"/>
      <w:bookmarkEnd w:id="769"/>
      <w:bookmarkEnd w:id="770"/>
      <w:bookmarkEnd w:id="772"/>
      <w:bookmarkEnd w:id="773"/>
      <w:bookmarkStart w:id="774" w:name="_Toc29288"/>
      <w:bookmarkStart w:id="775" w:name="_Toc10977"/>
      <w:bookmarkStart w:id="776" w:name="_Toc11803"/>
      <w:bookmarkStart w:id="777" w:name="_Toc515647824"/>
      <w:r>
        <w:rPr>
          <w:rFonts w:hint="eastAsia" w:ascii="仿宋_GB2312" w:hAnsi="仿宋_GB2312" w:eastAsia="仿宋_GB2312" w:cs="仿宋_GB2312"/>
          <w:color w:val="auto"/>
          <w:highlight w:val="none"/>
          <w:u w:val="none"/>
        </w:rPr>
        <w:t>中小企业声明函（货物）</w:t>
      </w:r>
      <w:bookmarkEnd w:id="774"/>
    </w:p>
    <w:p w14:paraId="2B218C81">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shd w:val="clear" w:color="auto" w:fill="FFFFFF"/>
        </w:rPr>
        <w:t>     （单位名称）</w:t>
      </w:r>
      <w:r>
        <w:rPr>
          <w:rFonts w:hint="eastAsia" w:ascii="仿宋" w:hAnsi="仿宋" w:eastAsia="仿宋" w:cs="仿宋"/>
          <w:color w:val="auto"/>
          <w:kern w:val="0"/>
          <w:sz w:val="24"/>
          <w:highlight w:val="none"/>
          <w:shd w:val="clear" w:color="auto" w:fill="FFFFFF"/>
        </w:rPr>
        <w:t>的</w:t>
      </w:r>
      <w:r>
        <w:rPr>
          <w:rFonts w:hint="eastAsia" w:ascii="仿宋" w:hAnsi="仿宋" w:eastAsia="仿宋" w:cs="仿宋"/>
          <w:color w:val="auto"/>
          <w:kern w:val="0"/>
          <w:sz w:val="24"/>
          <w:highlight w:val="none"/>
          <w:u w:val="single"/>
          <w:shd w:val="clear" w:color="auto" w:fill="FFFFFF"/>
        </w:rPr>
        <w:t>    （项目名称）</w:t>
      </w:r>
      <w:r>
        <w:rPr>
          <w:rFonts w:hint="eastAsia" w:ascii="仿宋" w:hAnsi="仿宋" w:eastAsia="仿宋" w:cs="仿宋"/>
          <w:color w:val="auto"/>
          <w:kern w:val="0"/>
          <w:sz w:val="24"/>
          <w:highlight w:val="none"/>
          <w:shd w:val="clear" w:color="auto" w:fill="FFFFFF"/>
        </w:rPr>
        <w:t>采购活动，提供的货物全部由符合政策要求的中小企业制造。相关企业（含联合体中的中小企业、签订分包意向协议的中小企业）的具体情况如下：</w:t>
      </w:r>
    </w:p>
    <w:p w14:paraId="30312D88">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1.</w:t>
      </w:r>
      <w:r>
        <w:rPr>
          <w:rFonts w:hint="eastAsia" w:ascii="仿宋" w:hAnsi="仿宋" w:eastAsia="仿宋" w:cs="仿宋"/>
          <w:color w:val="auto"/>
          <w:kern w:val="0"/>
          <w:sz w:val="24"/>
          <w:highlight w:val="none"/>
          <w:u w:val="single"/>
          <w:shd w:val="clear" w:color="auto" w:fill="FFFFFF"/>
        </w:rPr>
        <w:t>     （标的名称）</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（采购文件中明确的所属行业）</w:t>
      </w:r>
      <w:r>
        <w:rPr>
          <w:rFonts w:hint="eastAsia" w:ascii="仿宋" w:hAnsi="仿宋" w:eastAsia="仿宋" w:cs="仿宋"/>
          <w:color w:val="auto"/>
          <w:kern w:val="0"/>
          <w:sz w:val="24"/>
          <w:highlight w:val="none"/>
          <w:shd w:val="clear" w:color="auto" w:fill="FFFFFF"/>
        </w:rPr>
        <w:t>行业；制造商为</w:t>
      </w:r>
      <w:r>
        <w:rPr>
          <w:rFonts w:hint="eastAsia" w:ascii="仿宋" w:hAnsi="仿宋" w:eastAsia="仿宋" w:cs="仿宋"/>
          <w:color w:val="auto"/>
          <w:kern w:val="0"/>
          <w:sz w:val="24"/>
          <w:highlight w:val="none"/>
          <w:u w:val="single"/>
          <w:shd w:val="clear" w:color="auto" w:fill="FFFFFF"/>
        </w:rPr>
        <w:t>       （企业名称）</w:t>
      </w:r>
      <w:r>
        <w:rPr>
          <w:rFonts w:hint="eastAsia" w:ascii="仿宋" w:hAnsi="仿宋" w:eastAsia="仿宋" w:cs="仿宋"/>
          <w:color w:val="auto"/>
          <w:kern w:val="0"/>
          <w:sz w:val="24"/>
          <w:highlight w:val="none"/>
          <w:shd w:val="clear" w:color="auto" w:fill="FFFFFF"/>
        </w:rPr>
        <w:t>，从业人员</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人，营业收入为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万元，资产总额为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w:t>
      </w:r>
      <w:r>
        <w:rPr>
          <w:rFonts w:hint="eastAsia" w:ascii="仿宋" w:hAnsi="仿宋" w:eastAsia="仿宋" w:cs="仿宋"/>
          <w:color w:val="auto"/>
          <w:kern w:val="0"/>
          <w:sz w:val="24"/>
          <w:highlight w:val="none"/>
          <w:shd w:val="clear" w:color="auto" w:fill="FFFFFF"/>
          <w:vertAlign w:val="superscript"/>
        </w:rPr>
        <w:t>1</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（中型企业、小型企业、微型企业）</w:t>
      </w:r>
      <w:r>
        <w:rPr>
          <w:rFonts w:hint="eastAsia" w:ascii="仿宋" w:hAnsi="仿宋" w:eastAsia="仿宋" w:cs="仿宋"/>
          <w:color w:val="auto"/>
          <w:kern w:val="0"/>
          <w:sz w:val="24"/>
          <w:highlight w:val="none"/>
          <w:shd w:val="clear" w:color="auto" w:fill="FFFFFF"/>
        </w:rPr>
        <w:t>；</w:t>
      </w:r>
    </w:p>
    <w:p w14:paraId="79C59135">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2.</w:t>
      </w:r>
      <w:r>
        <w:rPr>
          <w:rFonts w:hint="eastAsia" w:ascii="仿宋" w:hAnsi="仿宋" w:eastAsia="仿宋" w:cs="仿宋"/>
          <w:color w:val="auto"/>
          <w:kern w:val="0"/>
          <w:sz w:val="24"/>
          <w:highlight w:val="none"/>
          <w:u w:val="single"/>
          <w:shd w:val="clear" w:color="auto" w:fill="FFFFFF"/>
        </w:rPr>
        <w:t>     （标的名称）</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（采购文件中明确的所属行业）</w:t>
      </w:r>
      <w:r>
        <w:rPr>
          <w:rFonts w:hint="eastAsia" w:ascii="仿宋" w:hAnsi="仿宋" w:eastAsia="仿宋" w:cs="仿宋"/>
          <w:color w:val="auto"/>
          <w:kern w:val="0"/>
          <w:sz w:val="24"/>
          <w:highlight w:val="none"/>
          <w:shd w:val="clear" w:color="auto" w:fill="FFFFFF"/>
        </w:rPr>
        <w:t>行业；制造商为</w:t>
      </w:r>
      <w:r>
        <w:rPr>
          <w:rFonts w:hint="eastAsia" w:ascii="仿宋" w:hAnsi="仿宋" w:eastAsia="仿宋" w:cs="仿宋"/>
          <w:color w:val="auto"/>
          <w:kern w:val="0"/>
          <w:sz w:val="24"/>
          <w:highlight w:val="none"/>
          <w:u w:val="single"/>
          <w:shd w:val="clear" w:color="auto" w:fill="FFFFFF"/>
        </w:rPr>
        <w:t>       （企业名称）</w:t>
      </w:r>
      <w:r>
        <w:rPr>
          <w:rFonts w:hint="eastAsia" w:ascii="仿宋" w:hAnsi="仿宋" w:eastAsia="仿宋" w:cs="仿宋"/>
          <w:color w:val="auto"/>
          <w:kern w:val="0"/>
          <w:sz w:val="24"/>
          <w:highlight w:val="none"/>
          <w:shd w:val="clear" w:color="auto" w:fill="FFFFFF"/>
        </w:rPr>
        <w:t>，从业人员</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人，营业收入为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万元，资产总额为</w:t>
      </w:r>
      <w:r>
        <w:rPr>
          <w:rFonts w:hint="eastAsia" w:ascii="仿宋" w:hAnsi="仿宋" w:eastAsia="仿宋" w:cs="仿宋"/>
          <w:color w:val="auto"/>
          <w:kern w:val="0"/>
          <w:sz w:val="24"/>
          <w:highlight w:val="none"/>
          <w:u w:val="single"/>
          <w:shd w:val="clear" w:color="auto" w:fill="FFFFFF"/>
        </w:rPr>
        <w:t>   </w:t>
      </w:r>
      <w:r>
        <w:rPr>
          <w:rFonts w:hint="eastAsia" w:ascii="仿宋" w:hAnsi="仿宋" w:eastAsia="仿宋" w:cs="仿宋"/>
          <w:color w:val="auto"/>
          <w:kern w:val="0"/>
          <w:sz w:val="24"/>
          <w:highlight w:val="none"/>
          <w:shd w:val="clear" w:color="auto" w:fill="FFFFFF"/>
        </w:rPr>
        <w:t>万元</w:t>
      </w:r>
      <w:r>
        <w:rPr>
          <w:rFonts w:hint="eastAsia" w:ascii="仿宋" w:hAnsi="仿宋" w:eastAsia="仿宋" w:cs="仿宋"/>
          <w:color w:val="auto"/>
          <w:kern w:val="0"/>
          <w:sz w:val="24"/>
          <w:highlight w:val="none"/>
          <w:shd w:val="clear" w:color="auto" w:fill="FFFFFF"/>
          <w:vertAlign w:val="superscript"/>
        </w:rPr>
        <w:t>1</w:t>
      </w:r>
      <w:r>
        <w:rPr>
          <w:rFonts w:hint="eastAsia" w:ascii="仿宋" w:hAnsi="仿宋" w:eastAsia="仿宋" w:cs="仿宋"/>
          <w:color w:val="auto"/>
          <w:kern w:val="0"/>
          <w:sz w:val="24"/>
          <w:highlight w:val="none"/>
          <w:shd w:val="clear" w:color="auto" w:fill="FFFFFF"/>
        </w:rPr>
        <w:t>，属于</w:t>
      </w:r>
      <w:r>
        <w:rPr>
          <w:rFonts w:hint="eastAsia" w:ascii="仿宋" w:hAnsi="仿宋" w:eastAsia="仿宋" w:cs="仿宋"/>
          <w:color w:val="auto"/>
          <w:kern w:val="0"/>
          <w:sz w:val="24"/>
          <w:highlight w:val="none"/>
          <w:u w:val="single"/>
          <w:shd w:val="clear" w:color="auto" w:fill="FFFFFF"/>
        </w:rPr>
        <w:t>     （中型企业、小型企业、微型企业）</w:t>
      </w:r>
      <w:r>
        <w:rPr>
          <w:rFonts w:hint="eastAsia" w:ascii="仿宋" w:hAnsi="仿宋" w:eastAsia="仿宋" w:cs="仿宋"/>
          <w:color w:val="auto"/>
          <w:kern w:val="0"/>
          <w:sz w:val="24"/>
          <w:highlight w:val="none"/>
          <w:shd w:val="clear" w:color="auto" w:fill="FFFFFF"/>
        </w:rPr>
        <w:t>；</w:t>
      </w:r>
    </w:p>
    <w:p w14:paraId="7EC29A43">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w:t>
      </w:r>
    </w:p>
    <w:p w14:paraId="224CAC54">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以上企业，不属于大企业的分支机构，不存在控股股东为大企业的情形，也不存在与大企业的负责人为同一人的情形。</w:t>
      </w:r>
    </w:p>
    <w:p w14:paraId="780FE239">
      <w:pPr>
        <w:shd w:val="clear" w:color="auto" w:fill="FFFFFF"/>
        <w:spacing w:before="100" w:beforeAutospacing="1" w:after="100" w:afterAutospacing="1"/>
        <w:ind w:firstLine="4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本企业对上述声明内容的真实性负责。如有虚假，将依法承担相应责任。</w:t>
      </w:r>
    </w:p>
    <w:p w14:paraId="10294386">
      <w:pPr>
        <w:shd w:val="clear" w:color="auto" w:fill="FFFFFF"/>
        <w:spacing w:before="100" w:beforeAutospacing="1" w:after="100" w:afterAutospacing="1"/>
        <w:ind w:firstLine="52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企业名称（盖章）：</w:t>
      </w:r>
    </w:p>
    <w:p w14:paraId="5EC70D41">
      <w:pPr>
        <w:shd w:val="clear" w:color="auto" w:fill="FFFFFF"/>
        <w:spacing w:before="100" w:beforeAutospacing="1" w:after="100" w:afterAutospacing="1"/>
        <w:ind w:firstLine="5280"/>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shd w:val="clear" w:color="auto" w:fill="FFFFFF"/>
        </w:rPr>
        <w:t>日 期：</w:t>
      </w:r>
    </w:p>
    <w:p w14:paraId="1112643A">
      <w:pPr>
        <w:shd w:val="clear" w:color="auto" w:fill="FFFFFF"/>
        <w:spacing w:before="100" w:beforeAutospacing="1" w:after="100" w:afterAutospacing="1"/>
        <w:ind w:firstLine="480"/>
        <w:jc w:val="left"/>
        <w:textAlignment w:val="auto"/>
        <w:rPr>
          <w:rFonts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注：</w:t>
      </w:r>
    </w:p>
    <w:p w14:paraId="2FCEBBA7">
      <w:pPr>
        <w:shd w:val="clear" w:color="auto" w:fill="FFFFFF"/>
        <w:spacing w:before="100" w:beforeAutospacing="1" w:after="100" w:afterAutospacing="1"/>
        <w:ind w:firstLine="480"/>
        <w:jc w:val="left"/>
        <w:textAlignment w:val="auto"/>
        <w:rPr>
          <w:rFonts w:ascii="仿宋" w:hAnsi="仿宋" w:eastAsia="仿宋" w:cs="仿宋"/>
          <w:b/>
          <w:bCs/>
          <w:color w:val="auto"/>
          <w:kern w:val="0"/>
          <w:sz w:val="24"/>
          <w:highlight w:val="none"/>
          <w:shd w:val="clear" w:color="auto" w:fill="FFFFFF"/>
        </w:rPr>
      </w:pPr>
      <w:r>
        <w:rPr>
          <w:rFonts w:hint="eastAsia" w:ascii="仿宋" w:hAnsi="仿宋" w:eastAsia="仿宋" w:cs="仿宋"/>
          <w:b/>
          <w:bCs/>
          <w:color w:val="auto"/>
          <w:kern w:val="0"/>
          <w:sz w:val="24"/>
          <w:highlight w:val="none"/>
          <w:shd w:val="clear" w:color="auto" w:fill="FFFFFF"/>
        </w:rPr>
        <w:t>（1）从业人员、营业收入、资产总额填报上一年度数据，无上一年度数据的新成立企业可不填报。</w:t>
      </w:r>
    </w:p>
    <w:p w14:paraId="532C046E">
      <w:pPr>
        <w:shd w:val="clear" w:color="auto" w:fill="FFFFFF"/>
        <w:spacing w:before="100" w:beforeAutospacing="1" w:after="100" w:afterAutospacing="1"/>
        <w:ind w:firstLine="480"/>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shd w:val="clear" w:color="auto" w:fill="FFFFFF"/>
        </w:rPr>
        <w:t>（2）潜在投标企业属于中小微企业的，请在响应文件中提供“中小企业声明函”，如果未提供或提供虚假的“中小企业声明函”，投标企业将承担由此造成的一切不利后果。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13AF79D9">
      <w:pPr>
        <w:widowControl/>
        <w:spacing w:line="330" w:lineRule="atLeast"/>
        <w:ind w:firstLine="482" w:firstLineChars="200"/>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sz w:val="24"/>
          <w:highlight w:val="none"/>
          <w:shd w:val="clear" w:color="auto" w:fill="FFFFFF"/>
          <w:lang w:eastAsia="zh-CN"/>
        </w:rPr>
        <w:t>（3）</w:t>
      </w:r>
      <w:r>
        <w:rPr>
          <w:rFonts w:hint="eastAsia" w:ascii="仿宋" w:hAnsi="仿宋" w:eastAsia="仿宋" w:cs="仿宋"/>
          <w:b/>
          <w:bCs/>
          <w:color w:val="auto"/>
          <w:kern w:val="0"/>
          <w:sz w:val="24"/>
          <w:highlight w:val="none"/>
          <w:lang w:eastAsia="zh-CN"/>
        </w:rPr>
        <w:t>（本项目对应的中小企业划分标准所属行业为：</w:t>
      </w:r>
      <w:r>
        <w:rPr>
          <w:rFonts w:hint="eastAsia" w:ascii="仿宋" w:hAnsi="仿宋" w:eastAsia="仿宋" w:cs="仿宋"/>
          <w:b/>
          <w:bCs/>
          <w:color w:val="auto"/>
          <w:sz w:val="24"/>
          <w:highlight w:val="none"/>
        </w:rPr>
        <w:t>工业</w:t>
      </w:r>
      <w:r>
        <w:rPr>
          <w:rFonts w:hint="eastAsia" w:ascii="仿宋" w:hAnsi="仿宋" w:eastAsia="仿宋" w:cs="仿宋"/>
          <w:b/>
          <w:bCs/>
          <w:color w:val="auto"/>
          <w:kern w:val="0"/>
          <w:sz w:val="24"/>
          <w:highlight w:val="none"/>
          <w:lang w:eastAsia="zh-CN"/>
        </w:rPr>
        <w:t>）</w:t>
      </w:r>
      <w:bookmarkEnd w:id="775"/>
      <w:bookmarkEnd w:id="776"/>
      <w:bookmarkEnd w:id="777"/>
    </w:p>
    <w:p w14:paraId="22C5318D">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w:t>
      </w:r>
    </w:p>
    <w:p w14:paraId="08AEB424">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中小微企业划型标准</w:t>
      </w:r>
    </w:p>
    <w:tbl>
      <w:tblPr>
        <w:tblStyle w:val="23"/>
        <w:tblW w:w="9378" w:type="dxa"/>
        <w:jc w:val="center"/>
        <w:tblLayout w:type="fixed"/>
        <w:tblCellMar>
          <w:top w:w="0" w:type="dxa"/>
          <w:left w:w="108" w:type="dxa"/>
          <w:bottom w:w="0" w:type="dxa"/>
          <w:right w:w="108" w:type="dxa"/>
        </w:tblCellMar>
      </w:tblPr>
      <w:tblGrid>
        <w:gridCol w:w="1570"/>
        <w:gridCol w:w="1803"/>
        <w:gridCol w:w="1323"/>
        <w:gridCol w:w="1903"/>
        <w:gridCol w:w="1692"/>
        <w:gridCol w:w="1087"/>
      </w:tblGrid>
      <w:tr w14:paraId="352450D3">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ign w:val="center"/>
          </w:tcPr>
          <w:p w14:paraId="5AE07C49">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行业名称</w:t>
            </w:r>
          </w:p>
        </w:tc>
        <w:tc>
          <w:tcPr>
            <w:tcW w:w="1803" w:type="dxa"/>
            <w:tcBorders>
              <w:top w:val="single" w:color="auto" w:sz="4" w:space="0"/>
              <w:left w:val="nil"/>
              <w:bottom w:val="single" w:color="auto" w:sz="4" w:space="0"/>
              <w:right w:val="single" w:color="auto" w:sz="4" w:space="0"/>
            </w:tcBorders>
            <w:noWrap/>
            <w:vAlign w:val="center"/>
          </w:tcPr>
          <w:p w14:paraId="4AFAEB68">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指标名称</w:t>
            </w:r>
          </w:p>
        </w:tc>
        <w:tc>
          <w:tcPr>
            <w:tcW w:w="1323" w:type="dxa"/>
            <w:tcBorders>
              <w:top w:val="single" w:color="auto" w:sz="4" w:space="0"/>
              <w:left w:val="nil"/>
              <w:bottom w:val="single" w:color="auto" w:sz="4" w:space="0"/>
              <w:right w:val="single" w:color="auto" w:sz="4" w:space="0"/>
            </w:tcBorders>
            <w:noWrap/>
            <w:vAlign w:val="center"/>
          </w:tcPr>
          <w:p w14:paraId="613ADFD4">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计量单位</w:t>
            </w:r>
          </w:p>
        </w:tc>
        <w:tc>
          <w:tcPr>
            <w:tcW w:w="1903" w:type="dxa"/>
            <w:tcBorders>
              <w:top w:val="single" w:color="auto" w:sz="4" w:space="0"/>
              <w:left w:val="nil"/>
              <w:bottom w:val="single" w:color="auto" w:sz="4" w:space="0"/>
              <w:right w:val="single" w:color="auto" w:sz="4" w:space="0"/>
            </w:tcBorders>
            <w:noWrap/>
            <w:vAlign w:val="center"/>
          </w:tcPr>
          <w:p w14:paraId="053AF56C">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中型</w:t>
            </w:r>
          </w:p>
        </w:tc>
        <w:tc>
          <w:tcPr>
            <w:tcW w:w="1692" w:type="dxa"/>
            <w:tcBorders>
              <w:top w:val="single" w:color="auto" w:sz="4" w:space="0"/>
              <w:left w:val="nil"/>
              <w:bottom w:val="single" w:color="auto" w:sz="4" w:space="0"/>
              <w:right w:val="single" w:color="auto" w:sz="4" w:space="0"/>
            </w:tcBorders>
            <w:noWrap/>
            <w:vAlign w:val="center"/>
          </w:tcPr>
          <w:p w14:paraId="7720F05C">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小型</w:t>
            </w:r>
          </w:p>
        </w:tc>
        <w:tc>
          <w:tcPr>
            <w:tcW w:w="1087" w:type="dxa"/>
            <w:tcBorders>
              <w:top w:val="single" w:color="auto" w:sz="4" w:space="0"/>
              <w:left w:val="nil"/>
              <w:bottom w:val="single" w:color="auto" w:sz="4" w:space="0"/>
              <w:right w:val="single" w:color="auto" w:sz="4" w:space="0"/>
            </w:tcBorders>
            <w:noWrap/>
            <w:vAlign w:val="center"/>
          </w:tcPr>
          <w:p w14:paraId="72AF4D19">
            <w:pPr>
              <w:contextualSpacing/>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微型</w:t>
            </w:r>
          </w:p>
        </w:tc>
      </w:tr>
      <w:tr w14:paraId="7B4223D4">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14:paraId="00880B3C">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农、林、牧、渔</w:t>
            </w:r>
          </w:p>
        </w:tc>
        <w:tc>
          <w:tcPr>
            <w:tcW w:w="1803" w:type="dxa"/>
            <w:tcBorders>
              <w:top w:val="nil"/>
              <w:left w:val="nil"/>
              <w:bottom w:val="single" w:color="auto" w:sz="4" w:space="0"/>
              <w:right w:val="single" w:color="auto" w:sz="4" w:space="0"/>
            </w:tcBorders>
            <w:noWrap/>
            <w:vAlign w:val="center"/>
          </w:tcPr>
          <w:p w14:paraId="5533CA3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F85DD2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F60A69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500≤Y＜20000</w:t>
            </w:r>
          </w:p>
        </w:tc>
        <w:tc>
          <w:tcPr>
            <w:tcW w:w="1692" w:type="dxa"/>
            <w:tcBorders>
              <w:top w:val="nil"/>
              <w:left w:val="nil"/>
              <w:bottom w:val="single" w:color="auto" w:sz="4" w:space="0"/>
              <w:right w:val="single" w:color="auto" w:sz="4" w:space="0"/>
            </w:tcBorders>
            <w:noWrap/>
            <w:vAlign w:val="center"/>
          </w:tcPr>
          <w:p w14:paraId="5DCCD81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50≤Y＜500</w:t>
            </w:r>
          </w:p>
        </w:tc>
        <w:tc>
          <w:tcPr>
            <w:tcW w:w="1087" w:type="dxa"/>
            <w:tcBorders>
              <w:top w:val="nil"/>
              <w:left w:val="nil"/>
              <w:bottom w:val="single" w:color="auto" w:sz="4" w:space="0"/>
              <w:right w:val="single" w:color="auto" w:sz="4" w:space="0"/>
            </w:tcBorders>
            <w:noWrap/>
            <w:vAlign w:val="center"/>
          </w:tcPr>
          <w:p w14:paraId="314F4B8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Y＜50</w:t>
            </w:r>
          </w:p>
        </w:tc>
      </w:tr>
      <w:tr w14:paraId="5B42CA8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40419F71">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工业</w:t>
            </w:r>
          </w:p>
        </w:tc>
        <w:tc>
          <w:tcPr>
            <w:tcW w:w="1803" w:type="dxa"/>
            <w:tcBorders>
              <w:top w:val="nil"/>
              <w:left w:val="nil"/>
              <w:bottom w:val="single" w:color="auto" w:sz="4" w:space="0"/>
              <w:right w:val="single" w:color="auto" w:sz="4" w:space="0"/>
            </w:tcBorders>
            <w:noWrap/>
            <w:vAlign w:val="center"/>
          </w:tcPr>
          <w:p w14:paraId="3B91167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1F09A9C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9CB7EF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0C60AE4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20≤X＜300</w:t>
            </w:r>
          </w:p>
        </w:tc>
        <w:tc>
          <w:tcPr>
            <w:tcW w:w="1087" w:type="dxa"/>
            <w:tcBorders>
              <w:top w:val="nil"/>
              <w:left w:val="nil"/>
              <w:bottom w:val="single" w:color="auto" w:sz="4" w:space="0"/>
              <w:right w:val="single" w:color="auto" w:sz="4" w:space="0"/>
            </w:tcBorders>
            <w:noWrap/>
            <w:vAlign w:val="center"/>
          </w:tcPr>
          <w:p w14:paraId="7019E3D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4567977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EA52970">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6396AA3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6BAB0CB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19B1D3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2000≤Y＜40000</w:t>
            </w:r>
          </w:p>
        </w:tc>
        <w:tc>
          <w:tcPr>
            <w:tcW w:w="1692" w:type="dxa"/>
            <w:tcBorders>
              <w:top w:val="nil"/>
              <w:left w:val="nil"/>
              <w:bottom w:val="single" w:color="auto" w:sz="4" w:space="0"/>
              <w:right w:val="single" w:color="auto" w:sz="4" w:space="0"/>
            </w:tcBorders>
            <w:noWrap/>
            <w:vAlign w:val="center"/>
          </w:tcPr>
          <w:p w14:paraId="084F0B0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300≤Y＜2000</w:t>
            </w:r>
          </w:p>
        </w:tc>
        <w:tc>
          <w:tcPr>
            <w:tcW w:w="1087" w:type="dxa"/>
            <w:tcBorders>
              <w:top w:val="nil"/>
              <w:left w:val="nil"/>
              <w:bottom w:val="single" w:color="auto" w:sz="4" w:space="0"/>
              <w:right w:val="single" w:color="auto" w:sz="4" w:space="0"/>
            </w:tcBorders>
            <w:noWrap/>
            <w:vAlign w:val="center"/>
          </w:tcPr>
          <w:p w14:paraId="7848970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Y＜300</w:t>
            </w:r>
          </w:p>
        </w:tc>
      </w:tr>
      <w:tr w14:paraId="2FF8D1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161E04A">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建筑业</w:t>
            </w:r>
          </w:p>
        </w:tc>
        <w:tc>
          <w:tcPr>
            <w:tcW w:w="1803" w:type="dxa"/>
            <w:tcBorders>
              <w:top w:val="nil"/>
              <w:left w:val="nil"/>
              <w:bottom w:val="single" w:color="auto" w:sz="4" w:space="0"/>
              <w:right w:val="single" w:color="auto" w:sz="4" w:space="0"/>
            </w:tcBorders>
            <w:noWrap/>
            <w:vAlign w:val="center"/>
          </w:tcPr>
          <w:p w14:paraId="06FAD36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659D4F5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201E6D8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6000≤Y＜80000</w:t>
            </w:r>
          </w:p>
        </w:tc>
        <w:tc>
          <w:tcPr>
            <w:tcW w:w="1692" w:type="dxa"/>
            <w:tcBorders>
              <w:top w:val="nil"/>
              <w:left w:val="nil"/>
              <w:bottom w:val="single" w:color="auto" w:sz="4" w:space="0"/>
              <w:right w:val="single" w:color="auto" w:sz="4" w:space="0"/>
            </w:tcBorders>
            <w:noWrap/>
            <w:vAlign w:val="center"/>
          </w:tcPr>
          <w:p w14:paraId="65827F6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300≤Y＜6000</w:t>
            </w:r>
          </w:p>
        </w:tc>
        <w:tc>
          <w:tcPr>
            <w:tcW w:w="1087" w:type="dxa"/>
            <w:tcBorders>
              <w:top w:val="nil"/>
              <w:left w:val="nil"/>
              <w:bottom w:val="single" w:color="auto" w:sz="4" w:space="0"/>
              <w:right w:val="single" w:color="auto" w:sz="4" w:space="0"/>
            </w:tcBorders>
            <w:noWrap/>
            <w:vAlign w:val="center"/>
          </w:tcPr>
          <w:p w14:paraId="16433D8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Y＜300</w:t>
            </w:r>
          </w:p>
        </w:tc>
      </w:tr>
      <w:tr w14:paraId="11512E6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F258959">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3CD1F59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资产总额（Z）</w:t>
            </w:r>
          </w:p>
        </w:tc>
        <w:tc>
          <w:tcPr>
            <w:tcW w:w="1323" w:type="dxa"/>
            <w:tcBorders>
              <w:top w:val="nil"/>
              <w:left w:val="nil"/>
              <w:bottom w:val="single" w:color="auto" w:sz="4" w:space="0"/>
              <w:right w:val="single" w:color="auto" w:sz="4" w:space="0"/>
            </w:tcBorders>
            <w:noWrap/>
            <w:vAlign w:val="center"/>
          </w:tcPr>
          <w:p w14:paraId="2FEC9F4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3086FBB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5000≤Z＜80000</w:t>
            </w:r>
          </w:p>
        </w:tc>
        <w:tc>
          <w:tcPr>
            <w:tcW w:w="1692" w:type="dxa"/>
            <w:tcBorders>
              <w:top w:val="nil"/>
              <w:left w:val="nil"/>
              <w:bottom w:val="single" w:color="auto" w:sz="4" w:space="0"/>
              <w:right w:val="single" w:color="auto" w:sz="4" w:space="0"/>
            </w:tcBorders>
            <w:noWrap/>
            <w:vAlign w:val="center"/>
          </w:tcPr>
          <w:p w14:paraId="71D260D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300≤Z＜5000</w:t>
            </w:r>
          </w:p>
        </w:tc>
        <w:tc>
          <w:tcPr>
            <w:tcW w:w="1087" w:type="dxa"/>
            <w:tcBorders>
              <w:top w:val="nil"/>
              <w:left w:val="nil"/>
              <w:bottom w:val="single" w:color="auto" w:sz="4" w:space="0"/>
              <w:right w:val="single" w:color="auto" w:sz="4" w:space="0"/>
            </w:tcBorders>
            <w:noWrap/>
            <w:vAlign w:val="center"/>
          </w:tcPr>
          <w:p w14:paraId="3BE69EE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Z＜300</w:t>
            </w:r>
          </w:p>
        </w:tc>
      </w:tr>
      <w:tr w14:paraId="00ACDF1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28278BB9">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批发业</w:t>
            </w:r>
          </w:p>
        </w:tc>
        <w:tc>
          <w:tcPr>
            <w:tcW w:w="1803" w:type="dxa"/>
            <w:tcBorders>
              <w:top w:val="nil"/>
              <w:left w:val="nil"/>
              <w:bottom w:val="single" w:color="auto" w:sz="4" w:space="0"/>
              <w:right w:val="single" w:color="auto" w:sz="4" w:space="0"/>
            </w:tcBorders>
            <w:noWrap/>
            <w:vAlign w:val="center"/>
          </w:tcPr>
          <w:p w14:paraId="293B78A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58A16F5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0954544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20≤X＜200</w:t>
            </w:r>
          </w:p>
        </w:tc>
        <w:tc>
          <w:tcPr>
            <w:tcW w:w="1692" w:type="dxa"/>
            <w:tcBorders>
              <w:top w:val="nil"/>
              <w:left w:val="nil"/>
              <w:bottom w:val="single" w:color="auto" w:sz="4" w:space="0"/>
              <w:right w:val="single" w:color="auto" w:sz="4" w:space="0"/>
            </w:tcBorders>
            <w:noWrap/>
            <w:vAlign w:val="center"/>
          </w:tcPr>
          <w:p w14:paraId="1AAFD3F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5≤X＜20</w:t>
            </w:r>
          </w:p>
        </w:tc>
        <w:tc>
          <w:tcPr>
            <w:tcW w:w="1087" w:type="dxa"/>
            <w:tcBorders>
              <w:top w:val="nil"/>
              <w:left w:val="nil"/>
              <w:bottom w:val="single" w:color="auto" w:sz="4" w:space="0"/>
              <w:right w:val="single" w:color="auto" w:sz="4" w:space="0"/>
            </w:tcBorders>
            <w:noWrap/>
            <w:vAlign w:val="center"/>
          </w:tcPr>
          <w:p w14:paraId="2E2FD79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X＜5</w:t>
            </w:r>
          </w:p>
        </w:tc>
      </w:tr>
      <w:tr w14:paraId="7A53D04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33FC9A91">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090E332B">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AFDC3A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4AB2965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5000≤Y＜40000</w:t>
            </w:r>
          </w:p>
        </w:tc>
        <w:tc>
          <w:tcPr>
            <w:tcW w:w="1692" w:type="dxa"/>
            <w:tcBorders>
              <w:top w:val="nil"/>
              <w:left w:val="nil"/>
              <w:bottom w:val="single" w:color="auto" w:sz="4" w:space="0"/>
              <w:right w:val="single" w:color="auto" w:sz="4" w:space="0"/>
            </w:tcBorders>
            <w:noWrap/>
            <w:vAlign w:val="center"/>
          </w:tcPr>
          <w:p w14:paraId="43A7D61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1000≤Y＜5000</w:t>
            </w:r>
          </w:p>
        </w:tc>
        <w:tc>
          <w:tcPr>
            <w:tcW w:w="1087" w:type="dxa"/>
            <w:tcBorders>
              <w:top w:val="nil"/>
              <w:left w:val="nil"/>
              <w:bottom w:val="single" w:color="auto" w:sz="4" w:space="0"/>
              <w:right w:val="single" w:color="auto" w:sz="4" w:space="0"/>
            </w:tcBorders>
            <w:noWrap/>
            <w:vAlign w:val="center"/>
          </w:tcPr>
          <w:p w14:paraId="4AA4DBD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Y＜1000</w:t>
            </w:r>
          </w:p>
        </w:tc>
      </w:tr>
      <w:tr w14:paraId="2494C6D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6325EC3">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零售业</w:t>
            </w:r>
          </w:p>
        </w:tc>
        <w:tc>
          <w:tcPr>
            <w:tcW w:w="1803" w:type="dxa"/>
            <w:tcBorders>
              <w:top w:val="nil"/>
              <w:left w:val="nil"/>
              <w:bottom w:val="single" w:color="auto" w:sz="4" w:space="0"/>
              <w:right w:val="single" w:color="auto" w:sz="4" w:space="0"/>
            </w:tcBorders>
            <w:noWrap/>
            <w:vAlign w:val="center"/>
          </w:tcPr>
          <w:p w14:paraId="6986D4A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36FAA6F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4DAD5DE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50≤X＜300</w:t>
            </w:r>
          </w:p>
        </w:tc>
        <w:tc>
          <w:tcPr>
            <w:tcW w:w="1692" w:type="dxa"/>
            <w:tcBorders>
              <w:top w:val="nil"/>
              <w:left w:val="nil"/>
              <w:bottom w:val="single" w:color="auto" w:sz="4" w:space="0"/>
              <w:right w:val="single" w:color="auto" w:sz="4" w:space="0"/>
            </w:tcBorders>
            <w:noWrap/>
            <w:vAlign w:val="center"/>
          </w:tcPr>
          <w:p w14:paraId="1ADB8AE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10≤X＜50</w:t>
            </w:r>
          </w:p>
        </w:tc>
        <w:tc>
          <w:tcPr>
            <w:tcW w:w="1087" w:type="dxa"/>
            <w:tcBorders>
              <w:top w:val="nil"/>
              <w:left w:val="nil"/>
              <w:bottom w:val="single" w:color="auto" w:sz="4" w:space="0"/>
              <w:right w:val="single" w:color="auto" w:sz="4" w:space="0"/>
            </w:tcBorders>
            <w:noWrap/>
            <w:vAlign w:val="center"/>
          </w:tcPr>
          <w:p w14:paraId="7232FAB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08851E6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59BD36DF">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70E8F17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383E553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1B52C2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500≤Y＜20000</w:t>
            </w:r>
          </w:p>
        </w:tc>
        <w:tc>
          <w:tcPr>
            <w:tcW w:w="1692" w:type="dxa"/>
            <w:tcBorders>
              <w:top w:val="nil"/>
              <w:left w:val="nil"/>
              <w:bottom w:val="single" w:color="auto" w:sz="4" w:space="0"/>
              <w:right w:val="single" w:color="auto" w:sz="4" w:space="0"/>
            </w:tcBorders>
            <w:noWrap/>
            <w:vAlign w:val="center"/>
          </w:tcPr>
          <w:p w14:paraId="786A756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100≤Y＜500</w:t>
            </w:r>
          </w:p>
        </w:tc>
        <w:tc>
          <w:tcPr>
            <w:tcW w:w="1087" w:type="dxa"/>
            <w:tcBorders>
              <w:top w:val="nil"/>
              <w:left w:val="nil"/>
              <w:bottom w:val="single" w:color="auto" w:sz="4" w:space="0"/>
              <w:right w:val="single" w:color="auto" w:sz="4" w:space="0"/>
            </w:tcBorders>
            <w:noWrap/>
            <w:vAlign w:val="center"/>
          </w:tcPr>
          <w:p w14:paraId="74BC0FF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26403D2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55716F87">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交通运输业</w:t>
            </w:r>
          </w:p>
        </w:tc>
        <w:tc>
          <w:tcPr>
            <w:tcW w:w="1803" w:type="dxa"/>
            <w:tcBorders>
              <w:top w:val="nil"/>
              <w:left w:val="nil"/>
              <w:bottom w:val="single" w:color="auto" w:sz="4" w:space="0"/>
              <w:right w:val="single" w:color="auto" w:sz="4" w:space="0"/>
            </w:tcBorders>
            <w:noWrap/>
            <w:vAlign w:val="center"/>
          </w:tcPr>
          <w:p w14:paraId="7F0097E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33289B4B">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06A955F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6C615B8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20≤X＜300</w:t>
            </w:r>
          </w:p>
        </w:tc>
        <w:tc>
          <w:tcPr>
            <w:tcW w:w="1087" w:type="dxa"/>
            <w:tcBorders>
              <w:top w:val="nil"/>
              <w:left w:val="nil"/>
              <w:bottom w:val="single" w:color="auto" w:sz="4" w:space="0"/>
              <w:right w:val="single" w:color="auto" w:sz="4" w:space="0"/>
            </w:tcBorders>
            <w:noWrap/>
            <w:vAlign w:val="center"/>
          </w:tcPr>
          <w:p w14:paraId="68E31C8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2DE721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558B2AC2">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27EDA7A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837499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40A9978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3000≤Y＜30000</w:t>
            </w:r>
          </w:p>
        </w:tc>
        <w:tc>
          <w:tcPr>
            <w:tcW w:w="1692" w:type="dxa"/>
            <w:tcBorders>
              <w:top w:val="nil"/>
              <w:left w:val="nil"/>
              <w:bottom w:val="single" w:color="auto" w:sz="4" w:space="0"/>
              <w:right w:val="single" w:color="auto" w:sz="4" w:space="0"/>
            </w:tcBorders>
            <w:noWrap/>
            <w:vAlign w:val="center"/>
          </w:tcPr>
          <w:p w14:paraId="623255D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200≤Y＜3000</w:t>
            </w:r>
          </w:p>
        </w:tc>
        <w:tc>
          <w:tcPr>
            <w:tcW w:w="1087" w:type="dxa"/>
            <w:tcBorders>
              <w:top w:val="nil"/>
              <w:left w:val="nil"/>
              <w:bottom w:val="single" w:color="auto" w:sz="4" w:space="0"/>
              <w:right w:val="single" w:color="auto" w:sz="4" w:space="0"/>
            </w:tcBorders>
            <w:noWrap/>
            <w:vAlign w:val="center"/>
          </w:tcPr>
          <w:p w14:paraId="046EADD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Y＜200</w:t>
            </w:r>
          </w:p>
        </w:tc>
      </w:tr>
      <w:tr w14:paraId="5B3FFE8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4610AD86">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仓储业</w:t>
            </w:r>
          </w:p>
        </w:tc>
        <w:tc>
          <w:tcPr>
            <w:tcW w:w="1803" w:type="dxa"/>
            <w:tcBorders>
              <w:top w:val="nil"/>
              <w:left w:val="nil"/>
              <w:bottom w:val="single" w:color="auto" w:sz="4" w:space="0"/>
              <w:right w:val="single" w:color="auto" w:sz="4" w:space="0"/>
            </w:tcBorders>
            <w:noWrap/>
            <w:vAlign w:val="center"/>
          </w:tcPr>
          <w:p w14:paraId="6EF5DAD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70A9F65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33F6086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100≤X＜200</w:t>
            </w:r>
          </w:p>
        </w:tc>
        <w:tc>
          <w:tcPr>
            <w:tcW w:w="1692" w:type="dxa"/>
            <w:tcBorders>
              <w:top w:val="nil"/>
              <w:left w:val="nil"/>
              <w:bottom w:val="single" w:color="auto" w:sz="4" w:space="0"/>
              <w:right w:val="single" w:color="auto" w:sz="4" w:space="0"/>
            </w:tcBorders>
            <w:noWrap/>
            <w:vAlign w:val="center"/>
          </w:tcPr>
          <w:p w14:paraId="03B5F37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20≤X＜100</w:t>
            </w:r>
          </w:p>
        </w:tc>
        <w:tc>
          <w:tcPr>
            <w:tcW w:w="1087" w:type="dxa"/>
            <w:tcBorders>
              <w:top w:val="nil"/>
              <w:left w:val="nil"/>
              <w:bottom w:val="single" w:color="auto" w:sz="4" w:space="0"/>
              <w:right w:val="single" w:color="auto" w:sz="4" w:space="0"/>
            </w:tcBorders>
            <w:noWrap/>
            <w:vAlign w:val="center"/>
          </w:tcPr>
          <w:p w14:paraId="2C92B02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18CAC2C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0BF7E5D">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456BC27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4CC6516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7E3B178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1000≤Y＜30000</w:t>
            </w:r>
          </w:p>
        </w:tc>
        <w:tc>
          <w:tcPr>
            <w:tcW w:w="1692" w:type="dxa"/>
            <w:tcBorders>
              <w:top w:val="nil"/>
              <w:left w:val="nil"/>
              <w:bottom w:val="single" w:color="auto" w:sz="4" w:space="0"/>
              <w:right w:val="single" w:color="auto" w:sz="4" w:space="0"/>
            </w:tcBorders>
            <w:noWrap/>
            <w:vAlign w:val="center"/>
          </w:tcPr>
          <w:p w14:paraId="4B94BCF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100≤Y＜1000</w:t>
            </w:r>
          </w:p>
        </w:tc>
        <w:tc>
          <w:tcPr>
            <w:tcW w:w="1087" w:type="dxa"/>
            <w:tcBorders>
              <w:top w:val="nil"/>
              <w:left w:val="nil"/>
              <w:bottom w:val="single" w:color="auto" w:sz="4" w:space="0"/>
              <w:right w:val="single" w:color="auto" w:sz="4" w:space="0"/>
            </w:tcBorders>
            <w:noWrap/>
            <w:vAlign w:val="center"/>
          </w:tcPr>
          <w:p w14:paraId="0770BCA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33E1BA4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7740D2CE">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邮政业</w:t>
            </w:r>
          </w:p>
        </w:tc>
        <w:tc>
          <w:tcPr>
            <w:tcW w:w="1803" w:type="dxa"/>
            <w:tcBorders>
              <w:top w:val="nil"/>
              <w:left w:val="nil"/>
              <w:bottom w:val="single" w:color="auto" w:sz="4" w:space="0"/>
              <w:right w:val="single" w:color="auto" w:sz="4" w:space="0"/>
            </w:tcBorders>
            <w:noWrap/>
            <w:vAlign w:val="center"/>
          </w:tcPr>
          <w:p w14:paraId="238605C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35341A9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4EE72E4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1B514FA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20≤X＜300</w:t>
            </w:r>
          </w:p>
        </w:tc>
        <w:tc>
          <w:tcPr>
            <w:tcW w:w="1087" w:type="dxa"/>
            <w:tcBorders>
              <w:top w:val="nil"/>
              <w:left w:val="nil"/>
              <w:bottom w:val="single" w:color="auto" w:sz="4" w:space="0"/>
              <w:right w:val="single" w:color="auto" w:sz="4" w:space="0"/>
            </w:tcBorders>
            <w:noWrap/>
            <w:vAlign w:val="center"/>
          </w:tcPr>
          <w:p w14:paraId="4C7E5D8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X＜20</w:t>
            </w:r>
          </w:p>
        </w:tc>
      </w:tr>
      <w:tr w14:paraId="2EAADCD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D4C6EEA">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2A7E14D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0532E8A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74FAA4B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2000≤Y＜30000</w:t>
            </w:r>
          </w:p>
        </w:tc>
        <w:tc>
          <w:tcPr>
            <w:tcW w:w="1692" w:type="dxa"/>
            <w:tcBorders>
              <w:top w:val="nil"/>
              <w:left w:val="nil"/>
              <w:bottom w:val="single" w:color="auto" w:sz="4" w:space="0"/>
              <w:right w:val="single" w:color="auto" w:sz="4" w:space="0"/>
            </w:tcBorders>
            <w:noWrap/>
            <w:vAlign w:val="center"/>
          </w:tcPr>
          <w:p w14:paraId="3E9EC88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100≤Y＜2000</w:t>
            </w:r>
          </w:p>
        </w:tc>
        <w:tc>
          <w:tcPr>
            <w:tcW w:w="1087" w:type="dxa"/>
            <w:tcBorders>
              <w:top w:val="nil"/>
              <w:left w:val="nil"/>
              <w:bottom w:val="single" w:color="auto" w:sz="4" w:space="0"/>
              <w:right w:val="single" w:color="auto" w:sz="4" w:space="0"/>
            </w:tcBorders>
            <w:noWrap/>
            <w:vAlign w:val="center"/>
          </w:tcPr>
          <w:p w14:paraId="10E14BE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69DF55B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35FD28C7">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住宿业</w:t>
            </w:r>
          </w:p>
        </w:tc>
        <w:tc>
          <w:tcPr>
            <w:tcW w:w="1803" w:type="dxa"/>
            <w:tcBorders>
              <w:top w:val="nil"/>
              <w:left w:val="nil"/>
              <w:bottom w:val="single" w:color="auto" w:sz="4" w:space="0"/>
              <w:right w:val="single" w:color="auto" w:sz="4" w:space="0"/>
            </w:tcBorders>
            <w:noWrap/>
            <w:vAlign w:val="center"/>
          </w:tcPr>
          <w:p w14:paraId="6216D3C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17C67DE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35A3C6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32A00E5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45607FC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44967D3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6CC74B84">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19A41EA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188B291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2FD4307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2000≤Y＜10000</w:t>
            </w:r>
          </w:p>
        </w:tc>
        <w:tc>
          <w:tcPr>
            <w:tcW w:w="1692" w:type="dxa"/>
            <w:tcBorders>
              <w:top w:val="nil"/>
              <w:left w:val="nil"/>
              <w:bottom w:val="single" w:color="auto" w:sz="4" w:space="0"/>
              <w:right w:val="single" w:color="auto" w:sz="4" w:space="0"/>
            </w:tcBorders>
            <w:noWrap/>
            <w:vAlign w:val="center"/>
          </w:tcPr>
          <w:p w14:paraId="0027CF1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100≤Y＜2000</w:t>
            </w:r>
          </w:p>
        </w:tc>
        <w:tc>
          <w:tcPr>
            <w:tcW w:w="1087" w:type="dxa"/>
            <w:tcBorders>
              <w:top w:val="nil"/>
              <w:left w:val="nil"/>
              <w:bottom w:val="single" w:color="auto" w:sz="4" w:space="0"/>
              <w:right w:val="single" w:color="auto" w:sz="4" w:space="0"/>
            </w:tcBorders>
            <w:noWrap/>
            <w:vAlign w:val="center"/>
          </w:tcPr>
          <w:p w14:paraId="1F87F69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4DFE591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24EEE18">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餐饮业</w:t>
            </w:r>
          </w:p>
        </w:tc>
        <w:tc>
          <w:tcPr>
            <w:tcW w:w="1803" w:type="dxa"/>
            <w:tcBorders>
              <w:top w:val="nil"/>
              <w:left w:val="nil"/>
              <w:bottom w:val="single" w:color="auto" w:sz="4" w:space="0"/>
              <w:right w:val="single" w:color="auto" w:sz="4" w:space="0"/>
            </w:tcBorders>
            <w:noWrap/>
            <w:vAlign w:val="center"/>
          </w:tcPr>
          <w:p w14:paraId="622A784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1BC71AEB">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BE0D72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332025B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50946C4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0A18027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45FD3BC">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32BC656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58D5C5E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D963D4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2000≤Y＜10000</w:t>
            </w:r>
          </w:p>
        </w:tc>
        <w:tc>
          <w:tcPr>
            <w:tcW w:w="1692" w:type="dxa"/>
            <w:tcBorders>
              <w:top w:val="nil"/>
              <w:left w:val="nil"/>
              <w:bottom w:val="single" w:color="auto" w:sz="4" w:space="0"/>
              <w:right w:val="single" w:color="auto" w:sz="4" w:space="0"/>
            </w:tcBorders>
            <w:noWrap/>
            <w:vAlign w:val="center"/>
          </w:tcPr>
          <w:p w14:paraId="08611EF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100≤Y＜2000</w:t>
            </w:r>
          </w:p>
        </w:tc>
        <w:tc>
          <w:tcPr>
            <w:tcW w:w="1087" w:type="dxa"/>
            <w:tcBorders>
              <w:top w:val="nil"/>
              <w:left w:val="nil"/>
              <w:bottom w:val="single" w:color="auto" w:sz="4" w:space="0"/>
              <w:right w:val="single" w:color="auto" w:sz="4" w:space="0"/>
            </w:tcBorders>
            <w:noWrap/>
            <w:vAlign w:val="center"/>
          </w:tcPr>
          <w:p w14:paraId="0DBC09D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10D3F1F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1CE679B1">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信息传输业</w:t>
            </w:r>
          </w:p>
        </w:tc>
        <w:tc>
          <w:tcPr>
            <w:tcW w:w="1803" w:type="dxa"/>
            <w:tcBorders>
              <w:top w:val="nil"/>
              <w:left w:val="nil"/>
              <w:bottom w:val="single" w:color="auto" w:sz="4" w:space="0"/>
              <w:right w:val="single" w:color="auto" w:sz="4" w:space="0"/>
            </w:tcBorders>
            <w:noWrap/>
            <w:vAlign w:val="center"/>
          </w:tcPr>
          <w:p w14:paraId="233634A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07EA546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178681F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100≤X＜2000</w:t>
            </w:r>
          </w:p>
        </w:tc>
        <w:tc>
          <w:tcPr>
            <w:tcW w:w="1692" w:type="dxa"/>
            <w:tcBorders>
              <w:top w:val="nil"/>
              <w:left w:val="nil"/>
              <w:bottom w:val="single" w:color="auto" w:sz="4" w:space="0"/>
              <w:right w:val="single" w:color="auto" w:sz="4" w:space="0"/>
            </w:tcBorders>
            <w:noWrap/>
            <w:vAlign w:val="center"/>
          </w:tcPr>
          <w:p w14:paraId="084B1F8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6AD1388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4B26DE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ABF5FA8">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57CD9D0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5538EDB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19EF5A4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1000≤Y＜100000</w:t>
            </w:r>
          </w:p>
        </w:tc>
        <w:tc>
          <w:tcPr>
            <w:tcW w:w="1692" w:type="dxa"/>
            <w:tcBorders>
              <w:top w:val="nil"/>
              <w:left w:val="nil"/>
              <w:bottom w:val="single" w:color="auto" w:sz="4" w:space="0"/>
              <w:right w:val="single" w:color="auto" w:sz="4" w:space="0"/>
            </w:tcBorders>
            <w:noWrap/>
            <w:vAlign w:val="center"/>
          </w:tcPr>
          <w:p w14:paraId="24B02CD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100≤Y＜1000</w:t>
            </w:r>
          </w:p>
        </w:tc>
        <w:tc>
          <w:tcPr>
            <w:tcW w:w="1087" w:type="dxa"/>
            <w:tcBorders>
              <w:top w:val="nil"/>
              <w:left w:val="nil"/>
              <w:bottom w:val="single" w:color="auto" w:sz="4" w:space="0"/>
              <w:right w:val="single" w:color="auto" w:sz="4" w:space="0"/>
            </w:tcBorders>
            <w:noWrap/>
            <w:vAlign w:val="center"/>
          </w:tcPr>
          <w:p w14:paraId="462958B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3FBA429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61CEBB07">
            <w:pPr>
              <w:contextualSpacing/>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软件和信息技术服务业</w:t>
            </w:r>
          </w:p>
        </w:tc>
        <w:tc>
          <w:tcPr>
            <w:tcW w:w="1803" w:type="dxa"/>
            <w:tcBorders>
              <w:top w:val="nil"/>
              <w:left w:val="nil"/>
              <w:bottom w:val="single" w:color="auto" w:sz="4" w:space="0"/>
              <w:right w:val="single" w:color="auto" w:sz="4" w:space="0"/>
            </w:tcBorders>
            <w:noWrap/>
            <w:vAlign w:val="center"/>
          </w:tcPr>
          <w:p w14:paraId="331B3D5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75110B9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736D1B6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4FD2C06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5B08924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539620E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43E3D46E">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1E103C8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6AE267D4">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DF9C1D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1000≤Y＜10000</w:t>
            </w:r>
          </w:p>
        </w:tc>
        <w:tc>
          <w:tcPr>
            <w:tcW w:w="1692" w:type="dxa"/>
            <w:tcBorders>
              <w:top w:val="nil"/>
              <w:left w:val="nil"/>
              <w:bottom w:val="single" w:color="auto" w:sz="4" w:space="0"/>
              <w:right w:val="single" w:color="auto" w:sz="4" w:space="0"/>
            </w:tcBorders>
            <w:noWrap/>
            <w:vAlign w:val="center"/>
          </w:tcPr>
          <w:p w14:paraId="1602253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50≤Y＜1000</w:t>
            </w:r>
          </w:p>
        </w:tc>
        <w:tc>
          <w:tcPr>
            <w:tcW w:w="1087" w:type="dxa"/>
            <w:tcBorders>
              <w:top w:val="nil"/>
              <w:left w:val="nil"/>
              <w:bottom w:val="single" w:color="auto" w:sz="4" w:space="0"/>
              <w:right w:val="single" w:color="auto" w:sz="4" w:space="0"/>
            </w:tcBorders>
            <w:noWrap/>
            <w:vAlign w:val="center"/>
          </w:tcPr>
          <w:p w14:paraId="5455B57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Y＜50</w:t>
            </w:r>
          </w:p>
        </w:tc>
      </w:tr>
      <w:tr w14:paraId="0EC41A3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06CEF220">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房地产开发经营</w:t>
            </w:r>
          </w:p>
        </w:tc>
        <w:tc>
          <w:tcPr>
            <w:tcW w:w="1803" w:type="dxa"/>
            <w:tcBorders>
              <w:top w:val="nil"/>
              <w:left w:val="nil"/>
              <w:bottom w:val="single" w:color="auto" w:sz="4" w:space="0"/>
              <w:right w:val="single" w:color="auto" w:sz="4" w:space="0"/>
            </w:tcBorders>
            <w:noWrap/>
            <w:vAlign w:val="center"/>
          </w:tcPr>
          <w:p w14:paraId="287ACE1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3EBA398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45012D1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1000≤Y＜200000</w:t>
            </w:r>
          </w:p>
        </w:tc>
        <w:tc>
          <w:tcPr>
            <w:tcW w:w="1692" w:type="dxa"/>
            <w:tcBorders>
              <w:top w:val="nil"/>
              <w:left w:val="nil"/>
              <w:bottom w:val="single" w:color="auto" w:sz="4" w:space="0"/>
              <w:right w:val="single" w:color="auto" w:sz="4" w:space="0"/>
            </w:tcBorders>
            <w:noWrap/>
            <w:vAlign w:val="center"/>
          </w:tcPr>
          <w:p w14:paraId="7BFD61F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100≤X＜1000</w:t>
            </w:r>
          </w:p>
        </w:tc>
        <w:tc>
          <w:tcPr>
            <w:tcW w:w="1087" w:type="dxa"/>
            <w:tcBorders>
              <w:top w:val="nil"/>
              <w:left w:val="nil"/>
              <w:bottom w:val="single" w:color="auto" w:sz="4" w:space="0"/>
              <w:right w:val="single" w:color="auto" w:sz="4" w:space="0"/>
            </w:tcBorders>
            <w:noWrap/>
            <w:vAlign w:val="center"/>
          </w:tcPr>
          <w:p w14:paraId="68990B3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X＜100</w:t>
            </w:r>
          </w:p>
        </w:tc>
      </w:tr>
      <w:tr w14:paraId="22B0571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07CA9DDF">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07CE615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资产总额（Z）</w:t>
            </w:r>
          </w:p>
        </w:tc>
        <w:tc>
          <w:tcPr>
            <w:tcW w:w="1323" w:type="dxa"/>
            <w:tcBorders>
              <w:top w:val="nil"/>
              <w:left w:val="nil"/>
              <w:bottom w:val="single" w:color="auto" w:sz="4" w:space="0"/>
              <w:right w:val="single" w:color="auto" w:sz="4" w:space="0"/>
            </w:tcBorders>
            <w:noWrap/>
            <w:vAlign w:val="center"/>
          </w:tcPr>
          <w:p w14:paraId="059C094A">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7FBBAE5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5000≤Z＜10000</w:t>
            </w:r>
          </w:p>
        </w:tc>
        <w:tc>
          <w:tcPr>
            <w:tcW w:w="1692" w:type="dxa"/>
            <w:tcBorders>
              <w:top w:val="nil"/>
              <w:left w:val="nil"/>
              <w:bottom w:val="single" w:color="auto" w:sz="4" w:space="0"/>
              <w:right w:val="single" w:color="auto" w:sz="4" w:space="0"/>
            </w:tcBorders>
            <w:noWrap/>
            <w:vAlign w:val="center"/>
          </w:tcPr>
          <w:p w14:paraId="7972582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2000≤Y＜5000</w:t>
            </w:r>
          </w:p>
        </w:tc>
        <w:tc>
          <w:tcPr>
            <w:tcW w:w="1087" w:type="dxa"/>
            <w:tcBorders>
              <w:top w:val="nil"/>
              <w:left w:val="nil"/>
              <w:bottom w:val="single" w:color="auto" w:sz="4" w:space="0"/>
              <w:right w:val="single" w:color="auto" w:sz="4" w:space="0"/>
            </w:tcBorders>
            <w:noWrap/>
            <w:vAlign w:val="center"/>
          </w:tcPr>
          <w:p w14:paraId="1630224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Y＜2000</w:t>
            </w:r>
          </w:p>
        </w:tc>
      </w:tr>
      <w:tr w14:paraId="415CC1B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6875CB48">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物业管理</w:t>
            </w:r>
          </w:p>
        </w:tc>
        <w:tc>
          <w:tcPr>
            <w:tcW w:w="1803" w:type="dxa"/>
            <w:tcBorders>
              <w:top w:val="nil"/>
              <w:left w:val="nil"/>
              <w:bottom w:val="single" w:color="auto" w:sz="4" w:space="0"/>
              <w:right w:val="single" w:color="auto" w:sz="4" w:space="0"/>
            </w:tcBorders>
            <w:noWrap/>
            <w:vAlign w:val="center"/>
          </w:tcPr>
          <w:p w14:paraId="139F4FD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2264FC5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3B44BF8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300≤X＜1000</w:t>
            </w:r>
          </w:p>
        </w:tc>
        <w:tc>
          <w:tcPr>
            <w:tcW w:w="1692" w:type="dxa"/>
            <w:tcBorders>
              <w:top w:val="nil"/>
              <w:left w:val="nil"/>
              <w:bottom w:val="single" w:color="auto" w:sz="4" w:space="0"/>
              <w:right w:val="single" w:color="auto" w:sz="4" w:space="0"/>
            </w:tcBorders>
            <w:noWrap/>
            <w:vAlign w:val="center"/>
          </w:tcPr>
          <w:p w14:paraId="2EA9BD9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087" w:type="dxa"/>
            <w:tcBorders>
              <w:top w:val="nil"/>
              <w:left w:val="nil"/>
              <w:bottom w:val="single" w:color="auto" w:sz="4" w:space="0"/>
              <w:right w:val="single" w:color="auto" w:sz="4" w:space="0"/>
            </w:tcBorders>
            <w:noWrap/>
            <w:vAlign w:val="center"/>
          </w:tcPr>
          <w:p w14:paraId="41DC685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X＜100</w:t>
            </w:r>
          </w:p>
        </w:tc>
      </w:tr>
      <w:tr w14:paraId="43F71E9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7C585997">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08EE57C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营业收入（Y）</w:t>
            </w:r>
          </w:p>
        </w:tc>
        <w:tc>
          <w:tcPr>
            <w:tcW w:w="1323" w:type="dxa"/>
            <w:tcBorders>
              <w:top w:val="nil"/>
              <w:left w:val="nil"/>
              <w:bottom w:val="single" w:color="auto" w:sz="4" w:space="0"/>
              <w:right w:val="single" w:color="auto" w:sz="4" w:space="0"/>
            </w:tcBorders>
            <w:noWrap/>
            <w:vAlign w:val="center"/>
          </w:tcPr>
          <w:p w14:paraId="2B65C12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5812EED9">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1000≤Y＜5000</w:t>
            </w:r>
          </w:p>
        </w:tc>
        <w:tc>
          <w:tcPr>
            <w:tcW w:w="1692" w:type="dxa"/>
            <w:tcBorders>
              <w:top w:val="nil"/>
              <w:left w:val="nil"/>
              <w:bottom w:val="single" w:color="auto" w:sz="4" w:space="0"/>
              <w:right w:val="single" w:color="auto" w:sz="4" w:space="0"/>
            </w:tcBorders>
            <w:noWrap/>
            <w:vAlign w:val="center"/>
          </w:tcPr>
          <w:p w14:paraId="316C6F3E">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500≤Y＜1000</w:t>
            </w:r>
          </w:p>
        </w:tc>
        <w:tc>
          <w:tcPr>
            <w:tcW w:w="1087" w:type="dxa"/>
            <w:tcBorders>
              <w:top w:val="nil"/>
              <w:left w:val="nil"/>
              <w:bottom w:val="single" w:color="auto" w:sz="4" w:space="0"/>
              <w:right w:val="single" w:color="auto" w:sz="4" w:space="0"/>
            </w:tcBorders>
            <w:noWrap/>
            <w:vAlign w:val="center"/>
          </w:tcPr>
          <w:p w14:paraId="4F25C863">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Y＜500</w:t>
            </w:r>
          </w:p>
        </w:tc>
      </w:tr>
      <w:tr w14:paraId="6E4D19BF">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ign w:val="center"/>
          </w:tcPr>
          <w:p w14:paraId="34A35106">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租赁和商务服务业</w:t>
            </w:r>
          </w:p>
        </w:tc>
        <w:tc>
          <w:tcPr>
            <w:tcW w:w="1803" w:type="dxa"/>
            <w:tcBorders>
              <w:top w:val="nil"/>
              <w:left w:val="nil"/>
              <w:bottom w:val="single" w:color="auto" w:sz="4" w:space="0"/>
              <w:right w:val="single" w:color="auto" w:sz="4" w:space="0"/>
            </w:tcBorders>
            <w:noWrap/>
            <w:vAlign w:val="center"/>
          </w:tcPr>
          <w:p w14:paraId="5563D9B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7B00373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536CA47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2709881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47AF6017">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r w14:paraId="1912198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ign w:val="center"/>
          </w:tcPr>
          <w:p w14:paraId="1C78634E">
            <w:pPr>
              <w:contextualSpacing/>
              <w:jc w:val="center"/>
              <w:rPr>
                <w:rFonts w:hint="eastAsia" w:ascii="仿宋" w:hAnsi="仿宋" w:eastAsia="仿宋" w:cs="仿宋"/>
                <w:b/>
                <w:bCs/>
                <w:color w:val="auto"/>
                <w:sz w:val="24"/>
                <w:highlight w:val="none"/>
              </w:rPr>
            </w:pPr>
          </w:p>
        </w:tc>
        <w:tc>
          <w:tcPr>
            <w:tcW w:w="1803" w:type="dxa"/>
            <w:tcBorders>
              <w:top w:val="nil"/>
              <w:left w:val="nil"/>
              <w:bottom w:val="single" w:color="auto" w:sz="4" w:space="0"/>
              <w:right w:val="single" w:color="auto" w:sz="4" w:space="0"/>
            </w:tcBorders>
            <w:noWrap/>
            <w:vAlign w:val="center"/>
          </w:tcPr>
          <w:p w14:paraId="1C336FA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资产总额（Z）</w:t>
            </w:r>
          </w:p>
        </w:tc>
        <w:tc>
          <w:tcPr>
            <w:tcW w:w="1323" w:type="dxa"/>
            <w:tcBorders>
              <w:top w:val="nil"/>
              <w:left w:val="nil"/>
              <w:bottom w:val="single" w:color="auto" w:sz="4" w:space="0"/>
              <w:right w:val="single" w:color="auto" w:sz="4" w:space="0"/>
            </w:tcBorders>
            <w:noWrap/>
            <w:vAlign w:val="center"/>
          </w:tcPr>
          <w:p w14:paraId="6DC71FA6">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903" w:type="dxa"/>
            <w:tcBorders>
              <w:top w:val="nil"/>
              <w:left w:val="nil"/>
              <w:bottom w:val="single" w:color="auto" w:sz="4" w:space="0"/>
              <w:right w:val="single" w:color="auto" w:sz="4" w:space="0"/>
            </w:tcBorders>
            <w:noWrap/>
            <w:vAlign w:val="center"/>
          </w:tcPr>
          <w:p w14:paraId="62655D8F">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8000≤Z＜120000</w:t>
            </w:r>
          </w:p>
        </w:tc>
        <w:tc>
          <w:tcPr>
            <w:tcW w:w="1692" w:type="dxa"/>
            <w:tcBorders>
              <w:top w:val="nil"/>
              <w:left w:val="nil"/>
              <w:bottom w:val="single" w:color="auto" w:sz="4" w:space="0"/>
              <w:right w:val="single" w:color="auto" w:sz="4" w:space="0"/>
            </w:tcBorders>
            <w:noWrap/>
            <w:vAlign w:val="center"/>
          </w:tcPr>
          <w:p w14:paraId="5B45CFC5">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100≤Z＜8000</w:t>
            </w:r>
          </w:p>
        </w:tc>
        <w:tc>
          <w:tcPr>
            <w:tcW w:w="1087" w:type="dxa"/>
            <w:tcBorders>
              <w:top w:val="nil"/>
              <w:left w:val="nil"/>
              <w:bottom w:val="single" w:color="auto" w:sz="4" w:space="0"/>
              <w:right w:val="single" w:color="auto" w:sz="4" w:space="0"/>
            </w:tcBorders>
            <w:noWrap/>
            <w:vAlign w:val="center"/>
          </w:tcPr>
          <w:p w14:paraId="0B5DBD4D">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Y＜100</w:t>
            </w:r>
          </w:p>
        </w:tc>
      </w:tr>
      <w:tr w14:paraId="12760F0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ign w:val="center"/>
          </w:tcPr>
          <w:p w14:paraId="54335698">
            <w:pPr>
              <w:contextualSpacing/>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其他未列明行业</w:t>
            </w:r>
          </w:p>
        </w:tc>
        <w:tc>
          <w:tcPr>
            <w:tcW w:w="1803" w:type="dxa"/>
            <w:tcBorders>
              <w:top w:val="nil"/>
              <w:left w:val="nil"/>
              <w:bottom w:val="single" w:color="auto" w:sz="4" w:space="0"/>
              <w:right w:val="single" w:color="auto" w:sz="4" w:space="0"/>
            </w:tcBorders>
            <w:noWrap/>
            <w:vAlign w:val="center"/>
          </w:tcPr>
          <w:p w14:paraId="78953901">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从业人员（X）</w:t>
            </w:r>
          </w:p>
        </w:tc>
        <w:tc>
          <w:tcPr>
            <w:tcW w:w="1323" w:type="dxa"/>
            <w:tcBorders>
              <w:top w:val="nil"/>
              <w:left w:val="nil"/>
              <w:bottom w:val="single" w:color="auto" w:sz="4" w:space="0"/>
              <w:right w:val="single" w:color="auto" w:sz="4" w:space="0"/>
            </w:tcBorders>
            <w:noWrap/>
            <w:vAlign w:val="center"/>
          </w:tcPr>
          <w:p w14:paraId="435DAFBC">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tc>
        <w:tc>
          <w:tcPr>
            <w:tcW w:w="1903" w:type="dxa"/>
            <w:tcBorders>
              <w:top w:val="nil"/>
              <w:left w:val="nil"/>
              <w:bottom w:val="single" w:color="auto" w:sz="4" w:space="0"/>
              <w:right w:val="single" w:color="auto" w:sz="4" w:space="0"/>
            </w:tcBorders>
            <w:noWrap/>
            <w:vAlign w:val="center"/>
          </w:tcPr>
          <w:p w14:paraId="29A54DB8">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100≤X＜300</w:t>
            </w:r>
          </w:p>
        </w:tc>
        <w:tc>
          <w:tcPr>
            <w:tcW w:w="1692" w:type="dxa"/>
            <w:tcBorders>
              <w:top w:val="nil"/>
              <w:left w:val="nil"/>
              <w:bottom w:val="single" w:color="auto" w:sz="4" w:space="0"/>
              <w:right w:val="single" w:color="auto" w:sz="4" w:space="0"/>
            </w:tcBorders>
            <w:noWrap/>
            <w:vAlign w:val="center"/>
          </w:tcPr>
          <w:p w14:paraId="5F679780">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10≤X＜100</w:t>
            </w:r>
          </w:p>
        </w:tc>
        <w:tc>
          <w:tcPr>
            <w:tcW w:w="1087" w:type="dxa"/>
            <w:tcBorders>
              <w:top w:val="nil"/>
              <w:left w:val="nil"/>
              <w:bottom w:val="single" w:color="auto" w:sz="4" w:space="0"/>
              <w:right w:val="single" w:color="auto" w:sz="4" w:space="0"/>
            </w:tcBorders>
            <w:noWrap/>
            <w:vAlign w:val="center"/>
          </w:tcPr>
          <w:p w14:paraId="2884AA52">
            <w:pPr>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X＜10</w:t>
            </w:r>
          </w:p>
        </w:tc>
      </w:tr>
    </w:tbl>
    <w:p w14:paraId="6382BC45">
      <w:pPr>
        <w:spacing w:line="460" w:lineRule="exact"/>
        <w:ind w:firstLine="482"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b/>
          <w:bCs/>
          <w:color w:val="auto"/>
          <w:sz w:val="24"/>
          <w:highlight w:val="none"/>
          <w:shd w:val="clear" w:color="auto" w:fill="FFFFFF"/>
          <w:lang w:eastAsia="zh-CN"/>
        </w:rPr>
        <w:t>说明：</w:t>
      </w:r>
      <w:r>
        <w:rPr>
          <w:rFonts w:hint="eastAsia" w:ascii="仿宋" w:hAnsi="仿宋" w:eastAsia="仿宋" w:cs="仿宋"/>
          <w:color w:val="auto"/>
          <w:sz w:val="24"/>
          <w:highlight w:val="none"/>
          <w:shd w:val="clear" w:color="auto" w:fill="FFFFFF"/>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20AF2DD5">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本招标文件所称中小企业，是指在中华人民共和国境内依法设立，依据国务院批准的</w:t>
      </w:r>
    </w:p>
    <w:p w14:paraId="3DC70433">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0B9C815">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（1）在货物采购项目中，货物由中小企业制造，即货物由中小企业生产且使用该中小企业商号或者注册商标，不对其中涉及的工程承建商和服务的承接商作出要求；</w:t>
      </w:r>
    </w:p>
    <w:p w14:paraId="56510689">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（2）在工程采购项目中，工程由中小企业承建，即工程施工单位为中小企业，不对其中涉及的货物的制造商和服务的承接商作出要求；</w:t>
      </w:r>
    </w:p>
    <w:p w14:paraId="6D457365">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（3）在服务采购项目中，服务由中小企业承接，即提供服务的人员为中小企业依照《中华人民共和国劳动合同法》订立劳动合同的从业人员，不对其中涉及的货物的制造商和工程承建商作出要求。</w:t>
      </w:r>
    </w:p>
    <w:p w14:paraId="35DBF7C0">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FFAEB78">
      <w:pPr>
        <w:spacing w:line="460" w:lineRule="exact"/>
        <w:ind w:firstLine="480" w:firstLineChars="200"/>
        <w:textAlignment w:val="auto"/>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eastAsia="zh-CN"/>
        </w:rPr>
        <w:t>依据本招标文件规定享受扶持政策获得政府采购合同的，小微企业不得将合同分包给大中型企业，中型企业不得将合同分包给大型企业。</w:t>
      </w:r>
    </w:p>
    <w:p w14:paraId="7D89A396">
      <w:pPr>
        <w:rPr>
          <w:rFonts w:hint="eastAsia" w:ascii="仿宋" w:hAnsi="仿宋" w:eastAsia="仿宋" w:cs="仿宋"/>
          <w:color w:val="auto"/>
          <w:highlight w:val="none"/>
          <w:lang w:eastAsia="zh-CN"/>
        </w:rPr>
      </w:pPr>
    </w:p>
    <w:p w14:paraId="6335E266">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25FFC77">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78" w:name="_Toc18658"/>
      <w:bookmarkStart w:id="779" w:name="_Toc23003"/>
      <w:r>
        <w:rPr>
          <w:rFonts w:hint="eastAsia" w:ascii="仿宋" w:hAnsi="仿宋" w:eastAsia="仿宋" w:cs="仿宋"/>
          <w:color w:val="auto"/>
          <w:highlight w:val="none"/>
          <w:u w:val="none"/>
          <w:lang w:val="en-US" w:eastAsia="zh-CN"/>
        </w:rPr>
        <w:t>6</w:t>
      </w:r>
      <w:r>
        <w:rPr>
          <w:rFonts w:hint="eastAsia" w:ascii="仿宋" w:hAnsi="仿宋" w:eastAsia="仿宋" w:cs="仿宋"/>
          <w:color w:val="auto"/>
          <w:highlight w:val="none"/>
          <w:u w:val="none"/>
          <w:lang w:eastAsia="zh-CN"/>
        </w:rPr>
        <w:t>-2 残疾人福利性单位声明函（若无，可不填）</w:t>
      </w:r>
      <w:bookmarkEnd w:id="778"/>
      <w:bookmarkEnd w:id="779"/>
    </w:p>
    <w:p w14:paraId="481560D4">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14:paraId="2F249EC8">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1. （标的名称），制造商为（单位名称），属于残疾人福利性单位；</w:t>
      </w:r>
    </w:p>
    <w:p w14:paraId="2DEF251F">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2. （标的名称），制造商为（单位名称），属于残疾人福利性单位。</w:t>
      </w:r>
    </w:p>
    <w:p w14:paraId="0A764472">
      <w:pPr>
        <w:snapToGrid w:val="0"/>
        <w:spacing w:line="400" w:lineRule="exact"/>
        <w:ind w:firstLine="480" w:firstLineChars="200"/>
        <w:textAlignment w:val="baseline"/>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 xml:space="preserve">…… </w:t>
      </w:r>
    </w:p>
    <w:p w14:paraId="7CC994E3">
      <w:pPr>
        <w:snapToGrid w:val="0"/>
        <w:spacing w:line="400" w:lineRule="exact"/>
        <w:ind w:firstLine="480" w:firstLineChars="200"/>
        <w:textAlignment w:val="baseline"/>
        <w:rPr>
          <w:rFonts w:hint="eastAsia" w:ascii="仿宋" w:hAnsi="仿宋" w:eastAsia="仿宋" w:cs="仿宋"/>
          <w:kern w:val="0"/>
          <w:sz w:val="24"/>
          <w:highlight w:val="none"/>
          <w:lang w:eastAsia="zh-CN"/>
        </w:rPr>
      </w:pPr>
      <w:bookmarkStart w:id="780" w:name="_Hlk73562331"/>
      <w:r>
        <w:rPr>
          <w:rFonts w:hint="eastAsia" w:ascii="仿宋" w:hAnsi="仿宋" w:eastAsia="仿宋" w:cs="仿宋"/>
          <w:kern w:val="0"/>
          <w:sz w:val="24"/>
          <w:highlight w:val="none"/>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bookmarkEnd w:id="780"/>
    </w:p>
    <w:p w14:paraId="3900747F">
      <w:pPr>
        <w:snapToGrid w:val="0"/>
        <w:spacing w:line="400" w:lineRule="exact"/>
        <w:ind w:firstLine="480" w:firstLineChars="200"/>
        <w:textAlignment w:val="baseline"/>
        <w:rPr>
          <w:rFonts w:hint="eastAsia" w:ascii="仿宋" w:hAnsi="仿宋" w:eastAsia="仿宋" w:cs="仿宋"/>
          <w:kern w:val="0"/>
          <w:sz w:val="24"/>
          <w:highlight w:val="none"/>
          <w:lang w:eastAsia="zh-CN"/>
        </w:rPr>
      </w:pPr>
    </w:p>
    <w:p w14:paraId="1ABED925">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投标人（单位盖章）：________</w:t>
      </w:r>
    </w:p>
    <w:p w14:paraId="285D7634">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日  期：_______</w:t>
      </w:r>
    </w:p>
    <w:p w14:paraId="7FDAEFC6">
      <w:pPr>
        <w:rPr>
          <w:rFonts w:hint="eastAsia" w:ascii="仿宋" w:hAnsi="仿宋" w:eastAsia="仿宋" w:cs="仿宋"/>
          <w:color w:val="auto"/>
          <w:highlight w:val="none"/>
          <w:lang w:eastAsia="zh-CN"/>
        </w:rPr>
      </w:pPr>
    </w:p>
    <w:p w14:paraId="5E3DC9B1">
      <w:pPr>
        <w:rPr>
          <w:rFonts w:hint="eastAsia" w:ascii="仿宋" w:hAnsi="仿宋" w:eastAsia="仿宋" w:cs="仿宋"/>
          <w:color w:val="auto"/>
          <w:highlight w:val="none"/>
          <w:lang w:eastAsia="zh-CN"/>
        </w:rPr>
      </w:pPr>
    </w:p>
    <w:p w14:paraId="6D0CCCC9">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81" w:name="_Toc19006"/>
      <w:bookmarkStart w:id="782" w:name="_Toc2813"/>
      <w:bookmarkStart w:id="783" w:name="_Toc16783"/>
      <w:bookmarkStart w:id="784" w:name="_Toc13378"/>
      <w:bookmarkStart w:id="785" w:name="_Toc28310"/>
      <w:bookmarkStart w:id="786" w:name="_Toc7440"/>
      <w:bookmarkStart w:id="787" w:name="_Toc17181"/>
      <w:bookmarkStart w:id="788" w:name="_Toc8498"/>
      <w:bookmarkStart w:id="789" w:name="_Toc9078"/>
      <w:bookmarkStart w:id="790" w:name="_Toc19677"/>
      <w:bookmarkStart w:id="791" w:name="_Toc11271"/>
      <w:bookmarkStart w:id="792" w:name="_Toc17247"/>
      <w:bookmarkStart w:id="793" w:name="_Toc25838"/>
      <w:r>
        <w:rPr>
          <w:rFonts w:hint="eastAsia" w:ascii="仿宋" w:hAnsi="仿宋" w:eastAsia="仿宋" w:cs="仿宋"/>
          <w:color w:val="auto"/>
          <w:highlight w:val="none"/>
          <w:u w:val="none"/>
          <w:lang w:val="en-US" w:eastAsia="zh-CN"/>
        </w:rPr>
        <w:t>6</w:t>
      </w:r>
      <w:r>
        <w:rPr>
          <w:rFonts w:hint="eastAsia" w:ascii="仿宋" w:hAnsi="仿宋" w:eastAsia="仿宋" w:cs="仿宋"/>
          <w:color w:val="auto"/>
          <w:highlight w:val="none"/>
          <w:u w:val="none"/>
          <w:lang w:eastAsia="zh-CN"/>
        </w:rPr>
        <w:t>-3</w:t>
      </w:r>
      <w:bookmarkEnd w:id="781"/>
      <w:bookmarkEnd w:id="782"/>
      <w:bookmarkEnd w:id="783"/>
      <w:bookmarkEnd w:id="784"/>
      <w:bookmarkEnd w:id="785"/>
      <w:bookmarkEnd w:id="786"/>
      <w:bookmarkEnd w:id="787"/>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u w:val="none"/>
          <w:lang w:eastAsia="zh-CN"/>
        </w:rPr>
        <w:t>监狱企业</w:t>
      </w:r>
      <w:bookmarkEnd w:id="788"/>
      <w:r>
        <w:rPr>
          <w:rFonts w:hint="eastAsia" w:ascii="仿宋" w:hAnsi="仿宋" w:eastAsia="仿宋" w:cs="仿宋"/>
          <w:color w:val="auto"/>
          <w:highlight w:val="none"/>
          <w:u w:val="none"/>
          <w:lang w:eastAsia="zh-CN"/>
        </w:rPr>
        <w:t>声明函</w:t>
      </w:r>
      <w:bookmarkEnd w:id="789"/>
      <w:bookmarkEnd w:id="790"/>
      <w:bookmarkEnd w:id="791"/>
      <w:r>
        <w:rPr>
          <w:rFonts w:hint="eastAsia" w:ascii="仿宋" w:hAnsi="仿宋" w:eastAsia="仿宋" w:cs="仿宋"/>
          <w:color w:val="auto"/>
          <w:highlight w:val="none"/>
          <w:u w:val="none"/>
          <w:lang w:eastAsia="zh-CN"/>
        </w:rPr>
        <w:t>（若无，可不填）</w:t>
      </w:r>
      <w:bookmarkEnd w:id="792"/>
      <w:bookmarkEnd w:id="793"/>
    </w:p>
    <w:p w14:paraId="1BD93840">
      <w:pPr>
        <w:snapToGrid w:val="0"/>
        <w:spacing w:line="400" w:lineRule="exact"/>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 号）的规定，本公司（联合体）参加</w:t>
      </w:r>
      <w:r>
        <w:rPr>
          <w:rFonts w:hint="eastAsia" w:ascii="仿宋" w:hAnsi="仿宋" w:eastAsia="仿宋" w:cs="仿宋"/>
          <w:kern w:val="0"/>
          <w:sz w:val="24"/>
          <w:highlight w:val="none"/>
          <w:u w:val="single"/>
        </w:rPr>
        <w:t xml:space="preserve"> （单位名称）</w:t>
      </w:r>
      <w:r>
        <w:rPr>
          <w:rFonts w:hint="eastAsia" w:ascii="仿宋" w:hAnsi="仿宋" w:eastAsia="仿宋" w:cs="仿宋"/>
          <w:kern w:val="0"/>
          <w:sz w:val="24"/>
          <w:highlight w:val="none"/>
        </w:rPr>
        <w:t xml:space="preserve"> 的 </w:t>
      </w:r>
      <w:r>
        <w:rPr>
          <w:rFonts w:hint="eastAsia" w:ascii="仿宋" w:hAnsi="仿宋" w:eastAsia="仿宋" w:cs="仿宋"/>
          <w:kern w:val="0"/>
          <w:sz w:val="24"/>
          <w:highlight w:val="none"/>
          <w:u w:val="single"/>
        </w:rPr>
        <w:t>（项目名称）</w:t>
      </w:r>
      <w:r>
        <w:rPr>
          <w:rFonts w:hint="eastAsia" w:ascii="仿宋" w:hAnsi="仿宋" w:eastAsia="仿宋" w:cs="仿宋"/>
          <w:kern w:val="0"/>
          <w:sz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58DB86AC">
      <w:pPr>
        <w:snapToGrid w:val="0"/>
        <w:spacing w:line="400" w:lineRule="exact"/>
        <w:ind w:firstLine="480" w:firstLineChars="200"/>
        <w:textAlignment w:val="baseline"/>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，承接单位为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sz w:val="24"/>
          <w:highlight w:val="none"/>
          <w:u w:val="single"/>
        </w:rPr>
        <w:t>监狱企业</w:t>
      </w:r>
      <w:r>
        <w:rPr>
          <w:rFonts w:hint="eastAsia" w:ascii="仿宋" w:hAnsi="仿宋" w:eastAsia="仿宋" w:cs="仿宋"/>
          <w:sz w:val="24"/>
          <w:highlight w:val="none"/>
        </w:rPr>
        <w:t>；</w:t>
      </w:r>
    </w:p>
    <w:p w14:paraId="6A56A724">
      <w:pPr>
        <w:spacing w:after="60" w:afterLines="25"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，承接单位为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，属于</w:t>
      </w:r>
      <w:r>
        <w:rPr>
          <w:rFonts w:hint="eastAsia" w:ascii="仿宋" w:hAnsi="仿宋" w:eastAsia="仿宋" w:cs="仿宋"/>
          <w:sz w:val="24"/>
          <w:highlight w:val="none"/>
          <w:u w:val="single"/>
        </w:rPr>
        <w:t>监狱企业</w:t>
      </w:r>
      <w:r>
        <w:rPr>
          <w:rFonts w:hint="eastAsia" w:ascii="仿宋" w:hAnsi="仿宋" w:eastAsia="仿宋" w:cs="仿宋"/>
          <w:sz w:val="24"/>
          <w:highlight w:val="none"/>
        </w:rPr>
        <w:t>。</w:t>
      </w:r>
    </w:p>
    <w:p w14:paraId="30BAEBC2">
      <w:pPr>
        <w:spacing w:after="60" w:afterLines="25" w:line="40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 xml:space="preserve">…… </w:t>
      </w:r>
    </w:p>
    <w:p w14:paraId="591019CD">
      <w:pPr>
        <w:snapToGrid w:val="0"/>
        <w:spacing w:line="400" w:lineRule="exact"/>
        <w:ind w:firstLine="480" w:firstLineChars="20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本单位对上述声明的真实性负责。如有虚假，依法承担相应责任。</w:t>
      </w:r>
    </w:p>
    <w:p w14:paraId="4645DC6D">
      <w:pPr>
        <w:snapToGrid w:val="0"/>
        <w:spacing w:line="400" w:lineRule="exact"/>
        <w:textAlignment w:val="baseline"/>
        <w:rPr>
          <w:rFonts w:hint="eastAsia" w:ascii="仿宋" w:hAnsi="仿宋" w:eastAsia="仿宋" w:cs="仿宋"/>
          <w:kern w:val="0"/>
          <w:sz w:val="24"/>
          <w:highlight w:val="none"/>
        </w:rPr>
      </w:pPr>
    </w:p>
    <w:p w14:paraId="07E6765C">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附：省级以上监狱管理局、戒毒管理局（含新疆生产建设兵团）出具的监狱企业证明文件。</w:t>
      </w:r>
    </w:p>
    <w:p w14:paraId="0213D008">
      <w:pPr>
        <w:snapToGrid w:val="0"/>
        <w:spacing w:line="400" w:lineRule="exact"/>
        <w:ind w:left="1080" w:leftChars="257" w:hanging="540"/>
        <w:textAlignment w:val="baseline"/>
        <w:rPr>
          <w:rFonts w:hint="eastAsia" w:ascii="仿宋" w:hAnsi="仿宋" w:eastAsia="仿宋" w:cs="仿宋"/>
          <w:kern w:val="0"/>
          <w:sz w:val="24"/>
          <w:highlight w:val="none"/>
        </w:rPr>
      </w:pPr>
    </w:p>
    <w:p w14:paraId="41548CE6">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投标人（单位盖章）：________</w:t>
      </w:r>
    </w:p>
    <w:p w14:paraId="66954B98">
      <w:pPr>
        <w:snapToGrid w:val="0"/>
        <w:spacing w:line="400" w:lineRule="exact"/>
        <w:ind w:left="1080" w:leftChars="257" w:hanging="540"/>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日  期：_______</w:t>
      </w:r>
    </w:p>
    <w:p w14:paraId="17471691">
      <w:pPr>
        <w:snapToGrid w:val="0"/>
        <w:spacing w:line="400" w:lineRule="exact"/>
        <w:ind w:left="1080" w:leftChars="257" w:hanging="540"/>
        <w:textAlignment w:val="baseline"/>
        <w:rPr>
          <w:rFonts w:hint="eastAsia" w:ascii="仿宋" w:hAnsi="仿宋" w:eastAsia="仿宋" w:cs="仿宋"/>
          <w:kern w:val="0"/>
          <w:sz w:val="24"/>
          <w:highlight w:val="none"/>
          <w:lang w:eastAsia="zh-CN"/>
        </w:rPr>
      </w:pPr>
    </w:p>
    <w:p w14:paraId="655CC79D">
      <w:pPr>
        <w:pStyle w:val="4"/>
        <w:spacing w:before="0" w:after="0" w:line="288" w:lineRule="auto"/>
        <w:jc w:val="both"/>
        <w:rPr>
          <w:rFonts w:hint="eastAsia" w:ascii="仿宋" w:hAnsi="仿宋" w:eastAsia="仿宋" w:cs="仿宋"/>
          <w:color w:val="auto"/>
          <w:highlight w:val="none"/>
          <w:u w:val="none"/>
          <w:lang w:val="en-US" w:eastAsia="zh-CN"/>
        </w:rPr>
      </w:pPr>
      <w:bookmarkStart w:id="794" w:name="_Toc22178"/>
    </w:p>
    <w:p w14:paraId="746D5253">
      <w:pPr>
        <w:pStyle w:val="4"/>
        <w:spacing w:before="0" w:after="0" w:line="288" w:lineRule="auto"/>
        <w:jc w:val="center"/>
        <w:rPr>
          <w:rFonts w:hint="eastAsia" w:ascii="仿宋" w:hAnsi="仿宋" w:eastAsia="仿宋" w:cs="仿宋"/>
          <w:color w:val="auto"/>
          <w:highlight w:val="none"/>
          <w:u w:val="none"/>
          <w:lang w:val="en-US" w:eastAsia="zh-CN"/>
        </w:rPr>
      </w:pPr>
      <w:bookmarkStart w:id="795" w:name="_Toc24012"/>
      <w:bookmarkStart w:id="796" w:name="_Toc4963"/>
      <w:r>
        <w:rPr>
          <w:rFonts w:hint="eastAsia" w:ascii="仿宋" w:hAnsi="仿宋" w:eastAsia="仿宋" w:cs="仿宋"/>
          <w:color w:val="auto"/>
          <w:highlight w:val="none"/>
          <w:u w:val="none"/>
          <w:lang w:val="en-US" w:eastAsia="zh-CN"/>
        </w:rPr>
        <w:t>6-4 节能、环境标志产品（若本项目采购内容中无以下清单货物，可不填）</w:t>
      </w:r>
      <w:bookmarkEnd w:id="795"/>
      <w:bookmarkEnd w:id="796"/>
    </w:p>
    <w:p w14:paraId="02303B4B">
      <w:pPr>
        <w:rPr>
          <w:rFonts w:hint="eastAsia" w:ascii="仿宋" w:hAnsi="仿宋" w:eastAsia="仿宋" w:cs="仿宋"/>
          <w:highlight w:val="none"/>
          <w:lang w:val="en-US" w:eastAsia="zh-CN"/>
        </w:rPr>
      </w:pPr>
    </w:p>
    <w:p w14:paraId="7382DF64">
      <w:pPr>
        <w:pStyle w:val="51"/>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投标人在投标时请参考以下2个文件填写下表：</w:t>
      </w:r>
    </w:p>
    <w:p w14:paraId="41DEC966">
      <w:pPr>
        <w:pStyle w:val="51"/>
        <w:numPr>
          <w:ilvl w:val="0"/>
          <w:numId w:val="0"/>
        </w:numPr>
        <w:spacing w:line="360" w:lineRule="auto"/>
        <w:ind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rPr>
        <w:t>关于印发环境标志产品政府采购品目清单的通知</w:t>
      </w:r>
      <w:r>
        <w:rPr>
          <w:rFonts w:hint="eastAsia" w:ascii="仿宋" w:hAnsi="仿宋" w:eastAsia="仿宋" w:cs="仿宋"/>
          <w:b/>
          <w:bCs/>
          <w:color w:val="auto"/>
          <w:kern w:val="0"/>
          <w:sz w:val="24"/>
          <w:highlight w:val="none"/>
          <w:lang w:val="en-US" w:eastAsia="zh-CN"/>
        </w:rPr>
        <w:t>》（</w:t>
      </w:r>
      <w:r>
        <w:rPr>
          <w:rFonts w:hint="eastAsia" w:ascii="仿宋" w:hAnsi="仿宋" w:eastAsia="仿宋" w:cs="仿宋"/>
          <w:b/>
          <w:bCs/>
          <w:color w:val="auto"/>
          <w:kern w:val="0"/>
          <w:sz w:val="24"/>
          <w:highlight w:val="none"/>
        </w:rPr>
        <w:t>财库〔2019〕18号</w:t>
      </w:r>
      <w:r>
        <w:rPr>
          <w:rFonts w:hint="eastAsia" w:ascii="仿宋" w:hAnsi="仿宋" w:eastAsia="仿宋" w:cs="仿宋"/>
          <w:b/>
          <w:bCs/>
          <w:color w:val="auto"/>
          <w:kern w:val="0"/>
          <w:sz w:val="24"/>
          <w:highlight w:val="none"/>
          <w:lang w:val="en-US" w:eastAsia="zh-CN"/>
        </w:rPr>
        <w:t>）</w:t>
      </w:r>
      <w:r>
        <w:rPr>
          <w:rFonts w:hint="eastAsia" w:ascii="仿宋" w:hAnsi="仿宋" w:eastAsia="仿宋" w:cs="仿宋"/>
          <w:b/>
          <w:bCs/>
          <w:color w:val="auto"/>
          <w:kern w:val="0"/>
          <w:sz w:val="24"/>
          <w:highlight w:val="none"/>
        </w:rPr>
        <w:t>附件：环境标志产品政府采购品目清单</w:t>
      </w:r>
    </w:p>
    <w:p w14:paraId="01EC8110">
      <w:pPr>
        <w:pStyle w:val="51"/>
        <w:numPr>
          <w:ilvl w:val="0"/>
          <w:numId w:val="0"/>
        </w:numPr>
        <w:spacing w:line="360" w:lineRule="auto"/>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2.《关于印发节能产品政府采购品目清单的通知》（财库〔2019〕19号）附件：节能产品政府采购品目清单</w:t>
      </w:r>
    </w:p>
    <w:tbl>
      <w:tblPr>
        <w:tblStyle w:val="24"/>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498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450BE3E2">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highlight w:val="none"/>
                <w:vertAlign w:val="baseline"/>
                <w:lang w:val="en-US" w:eastAsia="zh-CN"/>
              </w:rPr>
              <w:t>序号</w:t>
            </w:r>
          </w:p>
        </w:tc>
        <w:tc>
          <w:tcPr>
            <w:tcW w:w="2376" w:type="dxa"/>
            <w:noWrap w:val="0"/>
            <w:vAlign w:val="center"/>
          </w:tcPr>
          <w:p w14:paraId="3900F5D4">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rPr>
            </w:pPr>
            <w:r>
              <w:rPr>
                <w:rFonts w:hint="eastAsia" w:ascii="仿宋" w:hAnsi="仿宋" w:eastAsia="仿宋" w:cs="仿宋"/>
                <w:b/>
                <w:bCs w:val="0"/>
                <w:color w:val="auto"/>
                <w:highlight w:val="none"/>
                <w:vertAlign w:val="baseline"/>
              </w:rPr>
              <w:t>产品名称(标的名称)</w:t>
            </w:r>
          </w:p>
        </w:tc>
        <w:tc>
          <w:tcPr>
            <w:tcW w:w="1640" w:type="dxa"/>
            <w:noWrap w:val="0"/>
            <w:vAlign w:val="center"/>
          </w:tcPr>
          <w:p w14:paraId="15F82A72">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highlight w:val="none"/>
                <w:vertAlign w:val="baseline"/>
                <w:lang w:val="en-US" w:eastAsia="zh-CN"/>
              </w:rPr>
              <w:t>节能认证证书编号</w:t>
            </w:r>
          </w:p>
        </w:tc>
        <w:tc>
          <w:tcPr>
            <w:tcW w:w="3369" w:type="dxa"/>
            <w:noWrap w:val="0"/>
            <w:vAlign w:val="center"/>
          </w:tcPr>
          <w:p w14:paraId="52BF6C1D">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sz w:val="22"/>
                <w:szCs w:val="18"/>
                <w:highlight w:val="none"/>
                <w:vertAlign w:val="baseline"/>
              </w:rPr>
              <w:t>提供所投产品有效的节能产品认证证书(复印件加盖供应商公章)</w:t>
            </w:r>
            <w:r>
              <w:rPr>
                <w:rFonts w:hint="eastAsia" w:ascii="仿宋" w:hAnsi="仿宋" w:eastAsia="仿宋" w:cs="仿宋"/>
                <w:b/>
                <w:bCs w:val="0"/>
                <w:color w:val="auto"/>
                <w:sz w:val="22"/>
                <w:szCs w:val="18"/>
                <w:highlight w:val="none"/>
                <w:vertAlign w:val="baseline"/>
                <w:lang w:val="en-US" w:eastAsia="zh-CN"/>
              </w:rPr>
              <w:t>可附本页后</w:t>
            </w:r>
          </w:p>
        </w:tc>
        <w:tc>
          <w:tcPr>
            <w:tcW w:w="927" w:type="dxa"/>
            <w:noWrap w:val="0"/>
            <w:vAlign w:val="center"/>
          </w:tcPr>
          <w:p w14:paraId="77042F3E">
            <w:pPr>
              <w:pStyle w:val="52"/>
              <w:keepNext w:val="0"/>
              <w:keepLines w:val="0"/>
              <w:widowControl w:val="0"/>
              <w:suppressLineNumbers w:val="0"/>
              <w:spacing w:beforeAutospacing="0" w:afterAutospacing="0"/>
              <w:ind w:left="0" w:right="0"/>
              <w:jc w:val="center"/>
              <w:rPr>
                <w:rFonts w:hint="eastAsia" w:ascii="仿宋" w:hAnsi="仿宋" w:eastAsia="仿宋" w:cs="仿宋"/>
                <w:b/>
                <w:bCs w:val="0"/>
                <w:color w:val="auto"/>
                <w:highlight w:val="none"/>
                <w:vertAlign w:val="baseline"/>
                <w:lang w:val="en-US" w:eastAsia="zh-CN"/>
              </w:rPr>
            </w:pPr>
            <w:r>
              <w:rPr>
                <w:rFonts w:hint="eastAsia" w:ascii="仿宋" w:hAnsi="仿宋" w:eastAsia="仿宋" w:cs="仿宋"/>
                <w:b/>
                <w:bCs w:val="0"/>
                <w:color w:val="auto"/>
                <w:highlight w:val="none"/>
                <w:vertAlign w:val="baseline"/>
                <w:lang w:val="en-US" w:eastAsia="zh-CN"/>
              </w:rPr>
              <w:t>备注</w:t>
            </w:r>
          </w:p>
        </w:tc>
      </w:tr>
      <w:tr w14:paraId="2383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31B378B">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2376" w:type="dxa"/>
            <w:noWrap w:val="0"/>
            <w:vAlign w:val="top"/>
          </w:tcPr>
          <w:p w14:paraId="6FC69CBE">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lang w:val="en-US" w:eastAsia="zh-CN"/>
              </w:rPr>
            </w:pPr>
            <w:r>
              <w:rPr>
                <w:rFonts w:hint="eastAsia" w:ascii="仿宋" w:hAnsi="仿宋" w:eastAsia="仿宋" w:cs="仿宋"/>
                <w:b w:val="0"/>
                <w:bCs w:val="0"/>
                <w:color w:val="auto"/>
                <w:sz w:val="19"/>
                <w:szCs w:val="19"/>
                <w:highlight w:val="none"/>
              </w:rPr>
              <w:t>A020101 计算机设备</w:t>
            </w:r>
            <w:r>
              <w:rPr>
                <w:rFonts w:hint="eastAsia" w:ascii="仿宋" w:hAnsi="仿宋" w:eastAsia="仿宋" w:cs="仿宋"/>
                <w:b w:val="0"/>
                <w:bCs w:val="0"/>
                <w:color w:val="auto"/>
                <w:sz w:val="19"/>
                <w:szCs w:val="19"/>
                <w:highlight w:val="none"/>
                <w:lang w:val="en-US" w:eastAsia="zh-CN"/>
              </w:rPr>
              <w:t>（</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台式计算机/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便携式计算机/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平板式计算机）</w:t>
            </w:r>
          </w:p>
        </w:tc>
        <w:tc>
          <w:tcPr>
            <w:tcW w:w="1640" w:type="dxa"/>
            <w:noWrap w:val="0"/>
            <w:vAlign w:val="top"/>
          </w:tcPr>
          <w:p w14:paraId="4AB2A09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2B700105">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p>
        </w:tc>
        <w:tc>
          <w:tcPr>
            <w:tcW w:w="927" w:type="dxa"/>
            <w:noWrap w:val="0"/>
            <w:vAlign w:val="top"/>
          </w:tcPr>
          <w:p w14:paraId="116D8169">
            <w:pPr>
              <w:pStyle w:val="52"/>
              <w:keepNext w:val="0"/>
              <w:keepLines w:val="0"/>
              <w:widowControl w:val="0"/>
              <w:suppressLineNumbers w:val="0"/>
              <w:spacing w:beforeAutospacing="0" w:afterAutospacing="0"/>
              <w:ind w:left="0" w:right="0"/>
              <w:rPr>
                <w:rFonts w:hint="eastAsia" w:ascii="仿宋" w:hAnsi="仿宋" w:eastAsia="仿宋" w:cs="仿宋"/>
                <w:color w:val="auto"/>
                <w:sz w:val="21"/>
                <w:szCs w:val="16"/>
                <w:highlight w:val="none"/>
                <w:vertAlign w:val="baseline"/>
                <w:lang w:val="en-US" w:eastAsia="zh-CN"/>
              </w:rPr>
            </w:pPr>
          </w:p>
        </w:tc>
      </w:tr>
      <w:tr w14:paraId="1736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C1AE50B">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2376" w:type="dxa"/>
            <w:noWrap w:val="0"/>
            <w:vAlign w:val="top"/>
          </w:tcPr>
          <w:p w14:paraId="6320656C">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lang w:val="en-US" w:eastAsia="zh-CN"/>
              </w:rPr>
            </w:pPr>
            <w:r>
              <w:rPr>
                <w:rFonts w:hint="eastAsia" w:ascii="仿宋" w:hAnsi="仿宋" w:eastAsia="仿宋" w:cs="仿宋"/>
                <w:b w:val="0"/>
                <w:bCs w:val="0"/>
                <w:color w:val="auto"/>
                <w:sz w:val="19"/>
                <w:szCs w:val="19"/>
                <w:highlight w:val="none"/>
              </w:rPr>
              <w:t>A02010601 打印设备</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激光打印机/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lang w:val="en-US" w:eastAsia="zh-CN"/>
              </w:rPr>
              <w:t>针式打印机）</w:t>
            </w:r>
          </w:p>
        </w:tc>
        <w:tc>
          <w:tcPr>
            <w:tcW w:w="1640" w:type="dxa"/>
            <w:noWrap w:val="0"/>
            <w:vAlign w:val="top"/>
          </w:tcPr>
          <w:p w14:paraId="4E52FDF6">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eastAsia="zh-CN"/>
              </w:rPr>
            </w:pPr>
          </w:p>
        </w:tc>
        <w:tc>
          <w:tcPr>
            <w:tcW w:w="3369" w:type="dxa"/>
            <w:noWrap w:val="0"/>
            <w:vAlign w:val="top"/>
          </w:tcPr>
          <w:p w14:paraId="08C0C5E7">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418E45A9">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000F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07F314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2376" w:type="dxa"/>
            <w:noWrap w:val="0"/>
            <w:vAlign w:val="top"/>
          </w:tcPr>
          <w:p w14:paraId="4D3013F7">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A0201060401 液晶 显示器</w:t>
            </w:r>
          </w:p>
        </w:tc>
        <w:tc>
          <w:tcPr>
            <w:tcW w:w="1640" w:type="dxa"/>
            <w:noWrap w:val="0"/>
            <w:vAlign w:val="top"/>
          </w:tcPr>
          <w:p w14:paraId="176AFF6F">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4A260A9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p>
        </w:tc>
        <w:tc>
          <w:tcPr>
            <w:tcW w:w="927" w:type="dxa"/>
            <w:noWrap w:val="0"/>
            <w:vAlign w:val="top"/>
          </w:tcPr>
          <w:p w14:paraId="316615B4">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p>
        </w:tc>
      </w:tr>
      <w:tr w14:paraId="0462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BF1B31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2376" w:type="dxa"/>
            <w:noWrap w:val="0"/>
            <w:vAlign w:val="top"/>
          </w:tcPr>
          <w:p w14:paraId="0691B625">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lang w:eastAsia="zh-CN"/>
              </w:rPr>
            </w:pPr>
            <w:r>
              <w:rPr>
                <w:rFonts w:hint="eastAsia" w:ascii="仿宋" w:hAnsi="仿宋" w:eastAsia="仿宋" w:cs="仿宋"/>
                <w:b w:val="0"/>
                <w:bCs w:val="0"/>
                <w:color w:val="auto"/>
                <w:sz w:val="19"/>
                <w:szCs w:val="19"/>
                <w:highlight w:val="none"/>
              </w:rPr>
              <w:t>A020523 制冷 空调设备</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制冷压缩机</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空调机组</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专用制 冷、空调设备</w:t>
            </w:r>
          </w:p>
        </w:tc>
        <w:tc>
          <w:tcPr>
            <w:tcW w:w="1640" w:type="dxa"/>
            <w:noWrap w:val="0"/>
            <w:vAlign w:val="top"/>
          </w:tcPr>
          <w:p w14:paraId="582F2A6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3AE352DC">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74125FF5">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792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C83C2E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2376" w:type="dxa"/>
            <w:noWrap w:val="0"/>
            <w:vAlign w:val="top"/>
          </w:tcPr>
          <w:p w14:paraId="2630056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A020609 镇流器</w:t>
            </w:r>
          </w:p>
        </w:tc>
        <w:tc>
          <w:tcPr>
            <w:tcW w:w="1640" w:type="dxa"/>
            <w:noWrap w:val="0"/>
            <w:vAlign w:val="top"/>
          </w:tcPr>
          <w:p w14:paraId="7A53C8C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0AD2FCE7">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503AD8F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4E60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1E715E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2376" w:type="dxa"/>
            <w:noWrap w:val="0"/>
            <w:vAlign w:val="top"/>
          </w:tcPr>
          <w:p w14:paraId="51A0109C">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A0206180203 空调机</w:t>
            </w:r>
          </w:p>
        </w:tc>
        <w:tc>
          <w:tcPr>
            <w:tcW w:w="1640" w:type="dxa"/>
            <w:noWrap w:val="0"/>
            <w:vAlign w:val="top"/>
          </w:tcPr>
          <w:p w14:paraId="1F25ECD8">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5550187C">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62900AFF">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689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1418AB4">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2376" w:type="dxa"/>
            <w:noWrap w:val="0"/>
            <w:vAlign w:val="top"/>
          </w:tcPr>
          <w:p w14:paraId="59EE985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eastAsia="zh-CN"/>
              </w:rPr>
            </w:pPr>
            <w:r>
              <w:rPr>
                <w:rFonts w:hint="eastAsia" w:ascii="仿宋" w:hAnsi="仿宋" w:eastAsia="仿宋" w:cs="仿宋"/>
                <w:b w:val="0"/>
                <w:bCs w:val="0"/>
                <w:color w:val="auto"/>
                <w:sz w:val="19"/>
                <w:szCs w:val="19"/>
                <w:highlight w:val="none"/>
              </w:rPr>
              <w:t>A02061808 热水器</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电热水器</w:t>
            </w:r>
            <w:r>
              <w:rPr>
                <w:rFonts w:hint="eastAsia" w:ascii="仿宋" w:hAnsi="仿宋" w:eastAsia="仿宋" w:cs="仿宋"/>
                <w:b w:val="0"/>
                <w:bCs w:val="0"/>
                <w:color w:val="auto"/>
                <w:sz w:val="19"/>
                <w:szCs w:val="19"/>
                <w:highlight w:val="none"/>
                <w:lang w:eastAsia="zh-CN"/>
              </w:rPr>
              <w:t>）</w:t>
            </w:r>
          </w:p>
        </w:tc>
        <w:tc>
          <w:tcPr>
            <w:tcW w:w="1640" w:type="dxa"/>
            <w:noWrap w:val="0"/>
            <w:vAlign w:val="top"/>
          </w:tcPr>
          <w:p w14:paraId="1EA8CFF5">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609FFA64">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20D5386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36D8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8194A0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w:t>
            </w:r>
          </w:p>
        </w:tc>
        <w:tc>
          <w:tcPr>
            <w:tcW w:w="2376" w:type="dxa"/>
            <w:noWrap w:val="0"/>
            <w:vAlign w:val="top"/>
          </w:tcPr>
          <w:p w14:paraId="1312562B">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eastAsia="zh-CN"/>
              </w:rPr>
            </w:pPr>
            <w:r>
              <w:rPr>
                <w:rFonts w:hint="eastAsia" w:ascii="仿宋" w:hAnsi="仿宋" w:eastAsia="仿宋" w:cs="仿宋"/>
                <w:b w:val="0"/>
                <w:bCs w:val="0"/>
                <w:color w:val="auto"/>
                <w:sz w:val="19"/>
                <w:szCs w:val="19"/>
                <w:highlight w:val="none"/>
              </w:rPr>
              <w:t xml:space="preserve">A020619 照明设备 </w:t>
            </w: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普通照明用双端 荧光灯</w:t>
            </w:r>
            <w:r>
              <w:rPr>
                <w:rFonts w:hint="eastAsia" w:ascii="仿宋" w:hAnsi="仿宋" w:eastAsia="仿宋" w:cs="仿宋"/>
                <w:b w:val="0"/>
                <w:bCs w:val="0"/>
                <w:color w:val="auto"/>
                <w:sz w:val="19"/>
                <w:szCs w:val="19"/>
                <w:highlight w:val="none"/>
                <w:lang w:eastAsia="zh-CN"/>
              </w:rPr>
              <w:t>）</w:t>
            </w:r>
          </w:p>
        </w:tc>
        <w:tc>
          <w:tcPr>
            <w:tcW w:w="1640" w:type="dxa"/>
            <w:noWrap w:val="0"/>
            <w:vAlign w:val="top"/>
          </w:tcPr>
          <w:p w14:paraId="6B488A99">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716B323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7FCD162D">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481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5C6F17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9</w:t>
            </w:r>
          </w:p>
        </w:tc>
        <w:tc>
          <w:tcPr>
            <w:tcW w:w="2376" w:type="dxa"/>
            <w:noWrap w:val="0"/>
            <w:vAlign w:val="top"/>
          </w:tcPr>
          <w:p w14:paraId="313F91AB">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A020910 电视设备</w:t>
            </w:r>
          </w:p>
        </w:tc>
        <w:tc>
          <w:tcPr>
            <w:tcW w:w="1640" w:type="dxa"/>
            <w:noWrap w:val="0"/>
            <w:vAlign w:val="top"/>
          </w:tcPr>
          <w:p w14:paraId="58985B78">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1D39C64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171CEFE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5BE9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3A4FF29">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10</w:t>
            </w:r>
          </w:p>
        </w:tc>
        <w:tc>
          <w:tcPr>
            <w:tcW w:w="2376" w:type="dxa"/>
            <w:noWrap w:val="0"/>
            <w:vAlign w:val="top"/>
          </w:tcPr>
          <w:p w14:paraId="71FFAE7E">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A020911 视频设备</w:t>
            </w:r>
          </w:p>
        </w:tc>
        <w:tc>
          <w:tcPr>
            <w:tcW w:w="1640" w:type="dxa"/>
            <w:noWrap w:val="0"/>
            <w:vAlign w:val="top"/>
          </w:tcPr>
          <w:p w14:paraId="3EA8101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55608A9F">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0C3B8A2A">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43A2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36EFB7A">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11</w:t>
            </w:r>
          </w:p>
        </w:tc>
        <w:tc>
          <w:tcPr>
            <w:tcW w:w="2376" w:type="dxa"/>
            <w:noWrap w:val="0"/>
            <w:vAlign w:val="top"/>
          </w:tcPr>
          <w:p w14:paraId="2A5A347C">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A060805 便器</w:t>
            </w:r>
          </w:p>
        </w:tc>
        <w:tc>
          <w:tcPr>
            <w:tcW w:w="1640" w:type="dxa"/>
            <w:noWrap w:val="0"/>
            <w:vAlign w:val="top"/>
          </w:tcPr>
          <w:p w14:paraId="79E97220">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7A91B918">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21A7C21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r w14:paraId="1FE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7107552">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c>
          <w:tcPr>
            <w:tcW w:w="2376" w:type="dxa"/>
            <w:noWrap w:val="0"/>
            <w:vAlign w:val="top"/>
          </w:tcPr>
          <w:p w14:paraId="1ED22BB9">
            <w:pPr>
              <w:pStyle w:val="52"/>
              <w:keepNext w:val="0"/>
              <w:keepLines w:val="0"/>
              <w:widowControl w:val="0"/>
              <w:suppressLineNumbers w:val="0"/>
              <w:spacing w:beforeAutospacing="0" w:afterAutospacing="0"/>
              <w:ind w:left="0" w:right="0"/>
              <w:rPr>
                <w:rFonts w:hint="eastAsia" w:ascii="仿宋" w:hAnsi="仿宋" w:eastAsia="仿宋" w:cs="仿宋"/>
                <w:b w:val="0"/>
                <w:bCs w:val="0"/>
                <w:color w:val="auto"/>
                <w:sz w:val="19"/>
                <w:szCs w:val="19"/>
                <w:highlight w:val="none"/>
              </w:rPr>
            </w:pPr>
            <w:r>
              <w:rPr>
                <w:rFonts w:hint="eastAsia" w:ascii="仿宋" w:hAnsi="仿宋" w:eastAsia="仿宋" w:cs="仿宋"/>
                <w:b w:val="0"/>
                <w:bCs w:val="0"/>
                <w:color w:val="auto"/>
                <w:sz w:val="19"/>
                <w:szCs w:val="19"/>
                <w:highlight w:val="none"/>
                <w:lang w:eastAsia="zh-CN"/>
              </w:rPr>
              <w:t>★</w:t>
            </w:r>
            <w:r>
              <w:rPr>
                <w:rFonts w:hint="eastAsia" w:ascii="仿宋" w:hAnsi="仿宋" w:eastAsia="仿宋" w:cs="仿宋"/>
                <w:b w:val="0"/>
                <w:bCs w:val="0"/>
                <w:color w:val="auto"/>
                <w:sz w:val="19"/>
                <w:szCs w:val="19"/>
                <w:highlight w:val="none"/>
              </w:rPr>
              <w:t>A060806 水嘴</w:t>
            </w:r>
          </w:p>
        </w:tc>
        <w:tc>
          <w:tcPr>
            <w:tcW w:w="1640" w:type="dxa"/>
            <w:noWrap w:val="0"/>
            <w:vAlign w:val="top"/>
          </w:tcPr>
          <w:p w14:paraId="7FA2BE2E">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3369" w:type="dxa"/>
            <w:noWrap w:val="0"/>
            <w:vAlign w:val="top"/>
          </w:tcPr>
          <w:p w14:paraId="473050FA">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c>
          <w:tcPr>
            <w:tcW w:w="927" w:type="dxa"/>
            <w:noWrap w:val="0"/>
            <w:vAlign w:val="top"/>
          </w:tcPr>
          <w:p w14:paraId="55D71003">
            <w:pPr>
              <w:pStyle w:val="52"/>
              <w:keepNext w:val="0"/>
              <w:keepLines w:val="0"/>
              <w:widowControl w:val="0"/>
              <w:suppressLineNumbers w:val="0"/>
              <w:spacing w:beforeAutospacing="0" w:afterAutospacing="0"/>
              <w:ind w:left="0" w:right="0"/>
              <w:rPr>
                <w:rFonts w:hint="eastAsia" w:ascii="仿宋" w:hAnsi="仿宋" w:eastAsia="仿宋" w:cs="仿宋"/>
                <w:color w:val="auto"/>
                <w:highlight w:val="none"/>
                <w:vertAlign w:val="baseline"/>
              </w:rPr>
            </w:pPr>
          </w:p>
        </w:tc>
      </w:tr>
    </w:tbl>
    <w:p w14:paraId="21D77F1D">
      <w:pPr>
        <w:rPr>
          <w:rFonts w:hint="eastAsia" w:ascii="仿宋" w:hAnsi="仿宋" w:eastAsia="仿宋" w:cs="仿宋"/>
          <w:b/>
          <w:bCs/>
          <w:color w:val="auto"/>
          <w:kern w:val="0"/>
          <w:sz w:val="24"/>
          <w:highlight w:val="none"/>
        </w:rPr>
      </w:pPr>
    </w:p>
    <w:p w14:paraId="56C19E65">
      <w:pPr>
        <w:snapToGrid w:val="0"/>
        <w:spacing w:line="400" w:lineRule="exact"/>
        <w:ind w:firstLine="482" w:firstLineChars="200"/>
        <w:textAlignment w:val="baseline"/>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备注：“</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”标注的为政府强制采购产品。以上带“</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”符号的为实质性要求，不满足的将作为无效投标处理（或者无效响应处理</w:t>
      </w:r>
      <w:r>
        <w:rPr>
          <w:rFonts w:hint="eastAsia" w:ascii="仿宋" w:hAnsi="仿宋" w:eastAsia="仿宋" w:cs="仿宋"/>
          <w:color w:val="auto"/>
          <w:sz w:val="24"/>
          <w:highlight w:val="none"/>
        </w:rPr>
        <w:t>）。</w:t>
      </w:r>
    </w:p>
    <w:p w14:paraId="5C85D1A5">
      <w:pPr>
        <w:snapToGrid w:val="0"/>
        <w:spacing w:line="400" w:lineRule="exact"/>
        <w:ind w:firstLine="480" w:firstLineChars="200"/>
        <w:textAlignment w:val="baseline"/>
        <w:rPr>
          <w:rFonts w:hint="eastAsia" w:ascii="仿宋" w:hAnsi="仿宋" w:eastAsia="仿宋" w:cs="仿宋"/>
          <w:color w:val="auto"/>
          <w:sz w:val="24"/>
          <w:highlight w:val="none"/>
        </w:rPr>
      </w:pPr>
    </w:p>
    <w:p w14:paraId="36EBF4F3">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6-5关于符合本国产品标准的声明函；</w:t>
      </w:r>
    </w:p>
    <w:p w14:paraId="4DF678D1">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p>
    <w:p w14:paraId="409DB945">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《关于符合本国产品标准的声明函》</w:t>
      </w:r>
    </w:p>
    <w:p w14:paraId="727715EF">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p>
    <w:p w14:paraId="2AF52222">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 xml:space="preserve">    本公司（单位）郑重声明，根据《国务院办公厅关于在政府采购中实施本国产品标准及相关政策的通知》（国办发〔2025〕34号）的规定，本公司（单位）提供的以下产品属于本国产品。具体情况如下：</w:t>
      </w:r>
    </w:p>
    <w:p w14:paraId="5D8FC2C1">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6304AD5C">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2.（产品名称2），生产厂为（厂名），厂址为（生产厂址）。（产品名称2）的中国境内生产的组件成本占比≥（规定比例）。（产品名称2）的（关键组件）在中国境内生产。（产品名称2）的（关键工序）在中国境内完成。</w:t>
      </w:r>
    </w:p>
    <w:p w14:paraId="56E162C1">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w:t>
      </w:r>
    </w:p>
    <w:p w14:paraId="5F571260">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本公司（单位）对上述声明内容的真实性负责。如有虚假，愿承担相应法律责任。</w:t>
      </w:r>
    </w:p>
    <w:p w14:paraId="48FB46C3">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p>
    <w:p w14:paraId="547CD5DC">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公司（单位）名称（盖章）：　        </w:t>
      </w:r>
    </w:p>
    <w:p w14:paraId="1E67158B">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日期：　     年　  月　  日         </w:t>
      </w:r>
    </w:p>
    <w:p w14:paraId="6ED7A55F">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p>
    <w:p w14:paraId="230BBCD9">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p>
    <w:p w14:paraId="342245F9">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p>
    <w:p w14:paraId="395AB86B">
      <w:pPr>
        <w:pStyle w:val="4"/>
        <w:keepNext w:val="0"/>
        <w:keepLines w:val="0"/>
        <w:pageBreakBefore w:val="0"/>
        <w:widowControl w:val="0"/>
        <w:wordWrap/>
        <w:overflowPunct/>
        <w:topLinePunct w:val="0"/>
        <w:bidi w:val="0"/>
        <w:spacing w:before="0" w:after="0" w:line="288" w:lineRule="auto"/>
        <w:ind w:firstLine="482" w:firstLineChars="200"/>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说明：相关政策详见《国务院办公厅关于在政府采购中实施本国产品标准及相关政策的通知》（国办发〔2025〕34号）</w:t>
      </w:r>
    </w:p>
    <w:p w14:paraId="681E9C85">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1.产品如有型号，请在“产品名称”栏一并填写。</w:t>
      </w:r>
    </w:p>
    <w:p w14:paraId="11291D08">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2.生产厂名与厂址应与生产厂营业执照载明的相关信息保持一致。</w:t>
      </w:r>
    </w:p>
    <w:p w14:paraId="7453571B">
      <w:pPr>
        <w:pStyle w:val="4"/>
        <w:keepNext w:val="0"/>
        <w:keepLines w:val="0"/>
        <w:pageBreakBefore w:val="0"/>
        <w:widowControl w:val="0"/>
        <w:wordWrap/>
        <w:overflowPunct/>
        <w:topLinePunct w:val="0"/>
        <w:bidi w:val="0"/>
        <w:spacing w:before="0" w:after="0" w:line="288" w:lineRule="auto"/>
        <w:jc w:val="left"/>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3.该产品的中国境内生产的组件成本占比相关要求实施前，“规定比例”栏可不填，下同。</w:t>
      </w:r>
    </w:p>
    <w:p w14:paraId="01434067">
      <w:pPr>
        <w:pStyle w:val="4"/>
        <w:keepNext w:val="0"/>
        <w:keepLines w:val="0"/>
        <w:pageBreakBefore w:val="0"/>
        <w:widowControl w:val="0"/>
        <w:wordWrap/>
        <w:overflowPunct/>
        <w:topLinePunct w:val="0"/>
        <w:bidi w:val="0"/>
        <w:spacing w:before="0" w:after="0" w:line="288" w:lineRule="auto"/>
        <w:jc w:val="center"/>
        <w:rPr>
          <w:rFonts w:hint="eastAsia" w:asciiTheme="minorEastAsia" w:hAnsiTheme="minorEastAsia" w:eastAsiaTheme="minorEastAsia" w:cstheme="minorEastAsia"/>
          <w:color w:val="auto"/>
          <w:sz w:val="24"/>
          <w:szCs w:val="24"/>
          <w:highlight w:val="red"/>
          <w:u w:val="none"/>
          <w:lang w:val="en-US" w:eastAsia="zh-CN"/>
        </w:rPr>
      </w:pPr>
      <w:r>
        <w:rPr>
          <w:rFonts w:hint="eastAsia" w:asciiTheme="minorEastAsia" w:hAnsiTheme="minorEastAsia" w:eastAsiaTheme="minorEastAsia" w:cstheme="minorEastAsia"/>
          <w:color w:val="auto"/>
          <w:sz w:val="24"/>
          <w:szCs w:val="24"/>
          <w:highlight w:val="red"/>
          <w:u w:val="none"/>
          <w:lang w:val="en-US" w:eastAsia="zh-CN"/>
        </w:rPr>
        <w:t>4.该产品的关键组件要求实施前，“关键组件”栏可不填，下同。</w:t>
      </w:r>
    </w:p>
    <w:p w14:paraId="35810FC0">
      <w:pPr>
        <w:pStyle w:val="4"/>
        <w:keepNext w:val="0"/>
        <w:keepLines w:val="0"/>
        <w:pageBreakBefore w:val="0"/>
        <w:widowControl w:val="0"/>
        <w:wordWrap/>
        <w:overflowPunct/>
        <w:topLinePunct w:val="0"/>
        <w:bidi w:val="0"/>
        <w:spacing w:before="0" w:after="0" w:line="288" w:lineRule="auto"/>
        <w:jc w:val="center"/>
        <w:rPr>
          <w:rFonts w:hint="eastAsia" w:ascii="仿宋" w:hAnsi="仿宋" w:eastAsia="仿宋" w:cs="仿宋"/>
          <w:color w:val="auto"/>
          <w:sz w:val="24"/>
          <w:highlight w:val="none"/>
        </w:rPr>
      </w:pPr>
      <w:r>
        <w:rPr>
          <w:rFonts w:hint="eastAsia" w:asciiTheme="minorEastAsia" w:hAnsiTheme="minorEastAsia" w:eastAsiaTheme="minorEastAsia" w:cstheme="minorEastAsia"/>
          <w:color w:val="auto"/>
          <w:sz w:val="24"/>
          <w:szCs w:val="24"/>
          <w:highlight w:val="red"/>
          <w:u w:val="none"/>
          <w:lang w:val="en-US" w:eastAsia="zh-CN"/>
        </w:rPr>
        <w:t>5.该产品的关键工序要求实施前，“关键工序”栏可不填，下同。</w:t>
      </w:r>
    </w:p>
    <w:p w14:paraId="5A7F2139">
      <w:pPr>
        <w:snapToGrid w:val="0"/>
        <w:spacing w:line="400" w:lineRule="exact"/>
        <w:ind w:firstLine="480" w:firstLineChars="200"/>
        <w:textAlignment w:val="baseline"/>
        <w:rPr>
          <w:rFonts w:hint="eastAsia" w:ascii="仿宋" w:hAnsi="仿宋" w:eastAsia="仿宋" w:cs="仿宋"/>
          <w:color w:val="auto"/>
          <w:sz w:val="24"/>
          <w:highlight w:val="none"/>
        </w:rPr>
      </w:pPr>
    </w:p>
    <w:p w14:paraId="259ACA8F">
      <w:pPr>
        <w:rPr>
          <w:rFonts w:hint="eastAsia" w:ascii="仿宋" w:hAnsi="仿宋" w:eastAsia="仿宋" w:cs="仿宋"/>
          <w:color w:val="auto"/>
          <w:highlight w:val="none"/>
          <w:lang w:eastAsia="zh-CN"/>
        </w:rPr>
      </w:pPr>
    </w:p>
    <w:p w14:paraId="3E16D446">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797" w:name="_Toc25322"/>
      <w:bookmarkStart w:id="798" w:name="_Toc17677"/>
      <w:r>
        <w:rPr>
          <w:rFonts w:hint="eastAsia" w:ascii="仿宋" w:hAnsi="仿宋" w:eastAsia="仿宋" w:cs="仿宋"/>
          <w:color w:val="auto"/>
          <w:highlight w:val="none"/>
          <w:u w:val="none"/>
          <w:lang w:val="en-US" w:eastAsia="zh-CN"/>
        </w:rPr>
        <w:t>7</w:t>
      </w:r>
      <w:r>
        <w:rPr>
          <w:rFonts w:hint="eastAsia" w:ascii="仿宋" w:hAnsi="仿宋" w:eastAsia="仿宋" w:cs="仿宋"/>
          <w:color w:val="auto"/>
          <w:highlight w:val="none"/>
          <w:u w:val="none"/>
          <w:lang w:eastAsia="zh-CN"/>
        </w:rPr>
        <w:t xml:space="preserve"> 投标文件还应包括第五章、综合评分表的所有技术文件</w:t>
      </w:r>
      <w:bookmarkEnd w:id="771"/>
      <w:bookmarkEnd w:id="794"/>
      <w:bookmarkEnd w:id="797"/>
      <w:bookmarkEnd w:id="798"/>
    </w:p>
    <w:p w14:paraId="69697A0F">
      <w:pPr>
        <w:rPr>
          <w:rFonts w:hint="eastAsia" w:ascii="仿宋" w:hAnsi="仿宋" w:eastAsia="仿宋" w:cs="仿宋"/>
          <w:color w:val="auto"/>
          <w:highlight w:val="none"/>
          <w:lang w:eastAsia="zh-CN"/>
        </w:rPr>
      </w:pPr>
      <w:bookmarkStart w:id="799" w:name="_Toc28099"/>
      <w:bookmarkStart w:id="800" w:name="_Toc30795"/>
      <w:bookmarkStart w:id="801" w:name="_Toc10002"/>
      <w:bookmarkStart w:id="802" w:name="_Toc515647827"/>
    </w:p>
    <w:p w14:paraId="7ACB6C46">
      <w:pPr>
        <w:pStyle w:val="22"/>
        <w:ind w:firstLine="0" w:firstLineChars="0"/>
        <w:rPr>
          <w:rFonts w:hint="eastAsia" w:ascii="仿宋" w:hAnsi="仿宋" w:eastAsia="仿宋" w:cs="仿宋"/>
          <w:color w:val="auto"/>
          <w:highlight w:val="none"/>
          <w:lang w:eastAsia="zh-CN"/>
        </w:rPr>
      </w:pPr>
    </w:p>
    <w:p w14:paraId="7B389E58">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803" w:name="_Toc14100"/>
      <w:bookmarkStart w:id="804" w:name="_Toc6646"/>
      <w:bookmarkStart w:id="805" w:name="_Toc8592"/>
      <w:bookmarkStart w:id="806" w:name="_Toc31074"/>
      <w:bookmarkStart w:id="807" w:name="_Toc24363"/>
      <w:bookmarkStart w:id="808" w:name="_Toc12381"/>
      <w:bookmarkStart w:id="809" w:name="_Toc6272"/>
      <w:bookmarkStart w:id="810" w:name="_Toc7250"/>
      <w:bookmarkStart w:id="811" w:name="_Toc26500"/>
      <w:bookmarkStart w:id="812" w:name="_Toc31636"/>
      <w:bookmarkStart w:id="813" w:name="_Toc15187"/>
      <w:r>
        <w:rPr>
          <w:rFonts w:hint="eastAsia" w:ascii="仿宋" w:hAnsi="仿宋" w:eastAsia="仿宋" w:cs="仿宋"/>
          <w:color w:val="auto"/>
          <w:highlight w:val="none"/>
          <w:u w:val="none"/>
          <w:lang w:val="en-US" w:eastAsia="zh-CN"/>
        </w:rPr>
        <w:t>8</w:t>
      </w:r>
      <w:r>
        <w:rPr>
          <w:rFonts w:hint="eastAsia" w:ascii="仿宋" w:hAnsi="仿宋" w:eastAsia="仿宋" w:cs="仿宋"/>
          <w:color w:val="auto"/>
          <w:highlight w:val="none"/>
          <w:u w:val="none"/>
          <w:lang w:eastAsia="zh-CN"/>
        </w:rPr>
        <w:t xml:space="preserve"> 投标人关联单位的说明</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526C385C">
      <w:pPr>
        <w:pStyle w:val="5"/>
        <w:jc w:val="center"/>
        <w:rPr>
          <w:rFonts w:hint="eastAsia" w:ascii="仿宋" w:hAnsi="仿宋" w:eastAsia="仿宋" w:cs="仿宋"/>
          <w:color w:val="auto"/>
          <w:highlight w:val="none"/>
          <w:lang w:eastAsia="zh-CN"/>
        </w:rPr>
      </w:pPr>
    </w:p>
    <w:p w14:paraId="524E0FFE">
      <w:pPr>
        <w:pStyle w:val="5"/>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说明：投标人应当如实披露与本单位存在下列关联关系的单位名称：</w:t>
      </w:r>
    </w:p>
    <w:p w14:paraId="27EAD0D7">
      <w:pPr>
        <w:pStyle w:val="5"/>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（1）与投标人单位负责人为同一人的其他单位；</w:t>
      </w:r>
    </w:p>
    <w:p w14:paraId="42C171C2">
      <w:pPr>
        <w:pStyle w:val="5"/>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（2）与投标人存在直接控股、管理关系的其他单位。</w:t>
      </w:r>
    </w:p>
    <w:p w14:paraId="7A0797AB">
      <w:pPr>
        <w:pStyle w:val="8"/>
        <w:tabs>
          <w:tab w:val="left" w:pos="567"/>
        </w:tabs>
        <w:rPr>
          <w:rFonts w:hint="eastAsia" w:ascii="仿宋" w:hAnsi="仿宋" w:eastAsia="仿宋" w:cs="仿宋"/>
          <w:color w:val="auto"/>
          <w:highlight w:val="none"/>
          <w:lang w:eastAsia="zh-CN"/>
        </w:rPr>
      </w:pPr>
    </w:p>
    <w:p w14:paraId="2943F2BC">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814" w:name="_Toc16143"/>
      <w:bookmarkStart w:id="815" w:name="_Toc5125"/>
      <w:bookmarkStart w:id="816" w:name="_Toc13576"/>
      <w:bookmarkStart w:id="817" w:name="_Toc28623"/>
      <w:r>
        <w:rPr>
          <w:rFonts w:hint="eastAsia" w:ascii="仿宋" w:hAnsi="仿宋" w:eastAsia="仿宋" w:cs="仿宋"/>
          <w:color w:val="auto"/>
          <w:highlight w:val="none"/>
          <w:u w:val="none"/>
          <w:lang w:val="en-US" w:eastAsia="zh-CN"/>
        </w:rPr>
        <w:t>9</w:t>
      </w:r>
      <w:r>
        <w:rPr>
          <w:rFonts w:hint="eastAsia" w:ascii="仿宋" w:hAnsi="仿宋" w:eastAsia="仿宋" w:cs="仿宋"/>
          <w:color w:val="auto"/>
          <w:highlight w:val="none"/>
          <w:u w:val="none"/>
          <w:lang w:eastAsia="zh-CN"/>
        </w:rPr>
        <w:t xml:space="preserve"> 其他有利于投标人的文件或证明材料</w:t>
      </w:r>
      <w:bookmarkEnd w:id="814"/>
      <w:bookmarkEnd w:id="815"/>
      <w:bookmarkEnd w:id="816"/>
      <w:bookmarkEnd w:id="817"/>
    </w:p>
    <w:p w14:paraId="64A63D40">
      <w:pPr>
        <w:pStyle w:val="17"/>
        <w:ind w:left="480" w:hanging="480" w:hangingChars="200"/>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lang w:eastAsia="zh-CN"/>
        </w:rPr>
        <w:t>注：参照“第六章评分方法和标准”，提供有力于投标人的其他证明文件或供货及实施方案、服务方案</w:t>
      </w:r>
      <w:bookmarkStart w:id="818" w:name="_Toc283"/>
      <w:bookmarkStart w:id="819" w:name="_Toc9043"/>
      <w:bookmarkStart w:id="820" w:name="_Toc26225"/>
      <w:bookmarkStart w:id="821" w:name="_Toc22391"/>
      <w:bookmarkStart w:id="822" w:name="_Toc9667"/>
      <w:bookmarkStart w:id="823" w:name="_Toc15737"/>
      <w:bookmarkStart w:id="824" w:name="_Toc31553"/>
    </w:p>
    <w:p w14:paraId="5C1B90A4">
      <w:pPr>
        <w:rPr>
          <w:rFonts w:hint="eastAsia" w:ascii="仿宋" w:hAnsi="仿宋" w:eastAsia="仿宋" w:cs="仿宋"/>
          <w:color w:val="auto"/>
          <w:highlight w:val="none"/>
          <w:lang w:eastAsia="zh-CN"/>
        </w:rPr>
      </w:pPr>
    </w:p>
    <w:p w14:paraId="3CF11648">
      <w:pPr>
        <w:rPr>
          <w:rFonts w:hint="eastAsia" w:ascii="仿宋" w:hAnsi="仿宋" w:eastAsia="仿宋" w:cs="仿宋"/>
          <w:color w:val="auto"/>
          <w:highlight w:val="none"/>
          <w:lang w:eastAsia="zh-CN"/>
        </w:rPr>
      </w:pPr>
    </w:p>
    <w:p w14:paraId="26FA7294">
      <w:pPr>
        <w:pStyle w:val="4"/>
        <w:spacing w:before="0" w:after="0" w:line="288" w:lineRule="auto"/>
        <w:ind w:left="1079" w:leftChars="257" w:hanging="539"/>
        <w:jc w:val="center"/>
        <w:rPr>
          <w:rFonts w:hint="eastAsia" w:ascii="仿宋" w:hAnsi="仿宋" w:eastAsia="仿宋" w:cs="仿宋"/>
          <w:color w:val="auto"/>
          <w:highlight w:val="none"/>
          <w:u w:val="none"/>
          <w:lang w:eastAsia="zh-CN"/>
        </w:rPr>
      </w:pPr>
      <w:bookmarkStart w:id="825" w:name="_Toc21278"/>
      <w:bookmarkStart w:id="826" w:name="_Toc29526"/>
      <w:bookmarkStart w:id="827" w:name="_Toc31446"/>
      <w:r>
        <w:rPr>
          <w:rFonts w:hint="eastAsia" w:ascii="仿宋" w:hAnsi="仿宋" w:eastAsia="仿宋" w:cs="仿宋"/>
          <w:color w:val="auto"/>
          <w:highlight w:val="none"/>
          <w:u w:val="none"/>
          <w:lang w:val="en-US" w:eastAsia="zh-CN"/>
        </w:rPr>
        <w:t>10</w:t>
      </w:r>
      <w:r>
        <w:rPr>
          <w:rFonts w:hint="eastAsia" w:ascii="仿宋" w:hAnsi="仿宋" w:eastAsia="仿宋" w:cs="仿宋"/>
          <w:color w:val="auto"/>
          <w:highlight w:val="none"/>
          <w:u w:val="none"/>
          <w:lang w:eastAsia="zh-CN"/>
        </w:rPr>
        <w:t xml:space="preserve"> 对本项目投标文件（响应文件）中资料真实性的承诺</w:t>
      </w:r>
      <w:bookmarkEnd w:id="818"/>
      <w:bookmarkEnd w:id="819"/>
      <w:bookmarkEnd w:id="820"/>
      <w:bookmarkEnd w:id="821"/>
      <w:bookmarkEnd w:id="822"/>
      <w:bookmarkEnd w:id="823"/>
      <w:bookmarkEnd w:id="824"/>
      <w:bookmarkEnd w:id="825"/>
      <w:bookmarkEnd w:id="826"/>
      <w:bookmarkEnd w:id="827"/>
    </w:p>
    <w:p w14:paraId="6FD87199">
      <w:pPr>
        <w:rPr>
          <w:rFonts w:hint="eastAsia" w:ascii="仿宋" w:hAnsi="仿宋" w:eastAsia="仿宋" w:cs="仿宋"/>
          <w:b/>
          <w:color w:val="auto"/>
          <w:sz w:val="28"/>
          <w:szCs w:val="28"/>
          <w:highlight w:val="none"/>
          <w:lang w:eastAsia="zh-CN"/>
        </w:rPr>
      </w:pPr>
    </w:p>
    <w:p w14:paraId="1ABE4879">
      <w:pPr>
        <w:spacing w:line="360" w:lineRule="auto"/>
        <w:jc w:val="left"/>
        <w:rPr>
          <w:rFonts w:hint="eastAsia" w:ascii="仿宋" w:hAnsi="仿宋" w:eastAsia="仿宋" w:cs="仿宋"/>
          <w:kern w:val="0"/>
          <w:sz w:val="24"/>
          <w:szCs w:val="20"/>
          <w:highlight w:val="none"/>
          <w:u w:val="single"/>
        </w:rPr>
      </w:pPr>
      <w:r>
        <w:rPr>
          <w:rFonts w:hint="eastAsia" w:ascii="仿宋" w:hAnsi="仿宋" w:eastAsia="仿宋" w:cs="仿宋"/>
          <w:b w:val="0"/>
          <w:bCs w:val="0"/>
          <w:kern w:val="0"/>
          <w:sz w:val="24"/>
          <w:szCs w:val="20"/>
          <w:highlight w:val="none"/>
          <w:u w:val="single"/>
        </w:rPr>
        <w:t xml:space="preserve">            （</w:t>
      </w:r>
      <w:r>
        <w:rPr>
          <w:rFonts w:hint="eastAsia" w:ascii="仿宋" w:hAnsi="仿宋" w:eastAsia="仿宋" w:cs="仿宋"/>
          <w:kern w:val="0"/>
          <w:sz w:val="24"/>
          <w:szCs w:val="20"/>
          <w:highlight w:val="none"/>
        </w:rPr>
        <w:t>项目名称）评标委员会：</w:t>
      </w:r>
    </w:p>
    <w:p w14:paraId="6FB88424">
      <w:pPr>
        <w:spacing w:line="360" w:lineRule="auto"/>
        <w:ind w:firstLine="480" w:firstLineChars="200"/>
        <w:jc w:val="left"/>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根据《中华人民共和国政府采购法》、《中华人民共和国政府采购法实施条例》等有关法律、法规的规定和</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szCs w:val="20"/>
          <w:highlight w:val="none"/>
        </w:rPr>
        <w:t>项目名称）招标文件的要求，我公司在参加</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szCs w:val="20"/>
          <w:highlight w:val="none"/>
        </w:rPr>
        <w:t>项目名称）响应文件（响应文件）中所提供资料真实性作如下承诺：</w:t>
      </w:r>
    </w:p>
    <w:p w14:paraId="57D22493">
      <w:pPr>
        <w:spacing w:line="360" w:lineRule="auto"/>
        <w:ind w:firstLine="480" w:firstLineChars="200"/>
        <w:jc w:val="left"/>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 xml:space="preserve">我公司将严格按招标文件要求，在编制本响应文件（响应文件）时，对响应文件中所提供的资料全部真实和正确，并对提供的所有资料（资格、其他材料等）的真实性负责！ </w:t>
      </w:r>
    </w:p>
    <w:p w14:paraId="78A0A3FD">
      <w:pPr>
        <w:spacing w:line="360" w:lineRule="auto"/>
        <w:ind w:firstLine="480" w:firstLineChars="200"/>
        <w:jc w:val="left"/>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对提供的全部资料中有存在不真实（伪造或租借等虚假资料）情形，将无条件接受任何处罚，自行承担由此引起的一切责任！</w:t>
      </w:r>
    </w:p>
    <w:p w14:paraId="17448A8A">
      <w:pPr>
        <w:spacing w:line="360" w:lineRule="auto"/>
        <w:ind w:firstLine="480" w:firstLineChars="200"/>
        <w:rPr>
          <w:rFonts w:hint="eastAsia" w:ascii="仿宋" w:hAnsi="仿宋" w:eastAsia="仿宋" w:cs="仿宋"/>
          <w:kern w:val="0"/>
          <w:sz w:val="24"/>
          <w:szCs w:val="20"/>
          <w:highlight w:val="none"/>
        </w:rPr>
      </w:pPr>
      <w:r>
        <w:rPr>
          <w:rFonts w:hint="eastAsia" w:ascii="仿宋" w:hAnsi="仿宋" w:eastAsia="仿宋" w:cs="仿宋"/>
          <w:kern w:val="0"/>
          <w:sz w:val="24"/>
          <w:szCs w:val="20"/>
          <w:highlight w:val="none"/>
        </w:rPr>
        <w:t>特此承诺</w:t>
      </w:r>
    </w:p>
    <w:p w14:paraId="1F8CD8DE">
      <w:pPr>
        <w:spacing w:line="360" w:lineRule="auto"/>
        <w:ind w:left="1080" w:leftChars="257" w:hanging="540"/>
        <w:jc w:val="center"/>
        <w:rPr>
          <w:rFonts w:hint="eastAsia" w:ascii="仿宋" w:hAnsi="仿宋" w:eastAsia="仿宋" w:cs="仿宋"/>
          <w:b/>
          <w:bCs/>
          <w:kern w:val="0"/>
          <w:sz w:val="24"/>
          <w:szCs w:val="20"/>
          <w:highlight w:val="none"/>
        </w:rPr>
      </w:pPr>
    </w:p>
    <w:p w14:paraId="54D42C54">
      <w:pPr>
        <w:widowControl/>
        <w:spacing w:line="560" w:lineRule="exact"/>
        <w:ind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供应商（盖单位章）：</w:t>
      </w:r>
    </w:p>
    <w:p w14:paraId="6B76824F">
      <w:pPr>
        <w:widowControl/>
        <w:spacing w:line="560" w:lineRule="exact"/>
        <w:ind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法定代表人或委托代理人（签字或签章）</w:t>
      </w:r>
      <w:r>
        <w:rPr>
          <w:rFonts w:hint="eastAsia" w:ascii="仿宋" w:hAnsi="仿宋" w:eastAsia="仿宋" w:cs="仿宋"/>
          <w:kern w:val="0"/>
          <w:sz w:val="24"/>
          <w:highlight w:val="none"/>
          <w:u w:val="single"/>
        </w:rPr>
        <w:t xml:space="preserve">：        </w:t>
      </w:r>
    </w:p>
    <w:p w14:paraId="595D2BBC">
      <w:pPr>
        <w:widowControl/>
        <w:spacing w:line="560" w:lineRule="exact"/>
        <w:ind w:firstLine="480" w:firstLineChars="20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日期：年 月 日</w:t>
      </w:r>
    </w:p>
    <w:p w14:paraId="23723930">
      <w:pPr>
        <w:spacing w:line="360" w:lineRule="auto"/>
        <w:ind w:left="4200" w:firstLine="420"/>
        <w:rPr>
          <w:rFonts w:hint="eastAsia" w:ascii="仿宋" w:hAnsi="仿宋" w:eastAsia="仿宋" w:cs="仿宋"/>
          <w:color w:val="auto"/>
          <w:sz w:val="24"/>
          <w:highlight w:val="none"/>
          <w:lang w:eastAsia="zh-CN"/>
        </w:rPr>
      </w:pPr>
    </w:p>
    <w:p w14:paraId="2C9E7FA6">
      <w:pPr>
        <w:rPr>
          <w:rFonts w:hint="eastAsia" w:asciiTheme="minorEastAsia" w:hAnsiTheme="minorEastAsia" w:eastAsiaTheme="minorEastAsia" w:cstheme="minorEastAsia"/>
          <w:b/>
          <w:color w:val="auto"/>
          <w:sz w:val="52"/>
          <w:szCs w:val="52"/>
          <w:highlight w:val="none"/>
          <w:lang w:eastAsia="zh-CN"/>
        </w:rPr>
      </w:pPr>
    </w:p>
    <w:p w14:paraId="10DC506E">
      <w:pPr>
        <w:spacing w:line="240" w:lineRule="atLeast"/>
        <w:jc w:val="both"/>
        <w:rPr>
          <w:rFonts w:hint="eastAsia" w:asciiTheme="minorEastAsia" w:hAnsiTheme="minorEastAsia" w:eastAsiaTheme="minorEastAsia" w:cstheme="minorEastAsia"/>
          <w:b/>
          <w:color w:val="auto"/>
          <w:sz w:val="52"/>
          <w:szCs w:val="52"/>
          <w:highlight w:val="none"/>
          <w:lang w:eastAsia="zh-CN"/>
        </w:rPr>
      </w:pPr>
    </w:p>
    <w:p w14:paraId="49CE8D29">
      <w:pPr>
        <w:spacing w:line="240" w:lineRule="atLeast"/>
        <w:ind w:left="1080" w:leftChars="257" w:hanging="540"/>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货物类</w:t>
      </w:r>
    </w:p>
    <w:p w14:paraId="1FDF4F99">
      <w:pPr>
        <w:pStyle w:val="17"/>
        <w:rPr>
          <w:rFonts w:hint="eastAsia" w:asciiTheme="minorEastAsia" w:hAnsiTheme="minorEastAsia" w:eastAsiaTheme="minorEastAsia" w:cstheme="minorEastAsia"/>
          <w:b/>
          <w:color w:val="auto"/>
          <w:sz w:val="52"/>
          <w:szCs w:val="52"/>
          <w:highlight w:val="none"/>
          <w:lang w:eastAsia="zh-CN"/>
        </w:rPr>
      </w:pPr>
    </w:p>
    <w:p w14:paraId="00C13277">
      <w:pPr>
        <w:pStyle w:val="8"/>
        <w:tabs>
          <w:tab w:val="left" w:pos="567"/>
        </w:tabs>
        <w:rPr>
          <w:rFonts w:hint="eastAsia" w:asciiTheme="minorEastAsia" w:hAnsiTheme="minorEastAsia" w:eastAsiaTheme="minorEastAsia" w:cstheme="minorEastAsia"/>
          <w:color w:val="auto"/>
          <w:highlight w:val="none"/>
          <w:lang w:eastAsia="zh-CN"/>
        </w:rPr>
      </w:pPr>
    </w:p>
    <w:p w14:paraId="22CE0041">
      <w:pPr>
        <w:pStyle w:val="8"/>
        <w:tabs>
          <w:tab w:val="left" w:pos="567"/>
        </w:tabs>
        <w:rPr>
          <w:rFonts w:hint="eastAsia" w:asciiTheme="minorEastAsia" w:hAnsiTheme="minorEastAsia" w:eastAsiaTheme="minorEastAsia" w:cstheme="minorEastAsia"/>
          <w:color w:val="auto"/>
          <w:highlight w:val="none"/>
          <w:lang w:eastAsia="zh-CN"/>
        </w:rPr>
      </w:pPr>
    </w:p>
    <w:p w14:paraId="76E647E9">
      <w:pPr>
        <w:rPr>
          <w:rFonts w:hint="eastAsia" w:asciiTheme="minorEastAsia" w:hAnsiTheme="minorEastAsia" w:eastAsiaTheme="minorEastAsia" w:cstheme="minorEastAsia"/>
          <w:color w:val="auto"/>
          <w:highlight w:val="none"/>
          <w:lang w:eastAsia="zh-CN"/>
        </w:rPr>
      </w:pPr>
    </w:p>
    <w:p w14:paraId="7B18E37F">
      <w:pPr>
        <w:spacing w:line="240" w:lineRule="atLeast"/>
        <w:jc w:val="both"/>
        <w:rPr>
          <w:rFonts w:hint="eastAsia" w:asciiTheme="minorEastAsia" w:hAnsiTheme="minorEastAsia" w:eastAsiaTheme="minorEastAsia" w:cstheme="minorEastAsia"/>
          <w:b/>
          <w:color w:val="auto"/>
          <w:sz w:val="52"/>
          <w:szCs w:val="52"/>
          <w:highlight w:val="none"/>
          <w:lang w:eastAsia="zh-CN"/>
        </w:rPr>
      </w:pPr>
    </w:p>
    <w:p w14:paraId="0ECC5CBC">
      <w:pPr>
        <w:spacing w:line="240" w:lineRule="atLeast"/>
        <w:ind w:left="1080" w:leftChars="257" w:hanging="540"/>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政府采购公开招标文件</w:t>
      </w:r>
    </w:p>
    <w:p w14:paraId="7180D9B7">
      <w:pPr>
        <w:spacing w:line="240" w:lineRule="atLeast"/>
        <w:ind w:left="1080" w:leftChars="257" w:hanging="540"/>
        <w:rPr>
          <w:rFonts w:hint="eastAsia" w:asciiTheme="minorEastAsia" w:hAnsiTheme="minorEastAsia" w:eastAsiaTheme="minorEastAsia" w:cstheme="minorEastAsia"/>
          <w:b/>
          <w:color w:val="auto"/>
          <w:sz w:val="28"/>
          <w:highlight w:val="none"/>
          <w:lang w:eastAsia="zh-CN"/>
        </w:rPr>
      </w:pPr>
    </w:p>
    <w:p w14:paraId="16C59829">
      <w:pPr>
        <w:pStyle w:val="17"/>
        <w:rPr>
          <w:rFonts w:hint="eastAsia" w:asciiTheme="minorEastAsia" w:hAnsiTheme="minorEastAsia" w:eastAsiaTheme="minorEastAsia" w:cstheme="minorEastAsia"/>
          <w:color w:val="auto"/>
          <w:highlight w:val="none"/>
          <w:lang w:eastAsia="zh-CN"/>
        </w:rPr>
      </w:pPr>
    </w:p>
    <w:p w14:paraId="57113F4E">
      <w:pPr>
        <w:pStyle w:val="8"/>
        <w:tabs>
          <w:tab w:val="left" w:pos="567"/>
        </w:tabs>
        <w:rPr>
          <w:rFonts w:hint="eastAsia" w:asciiTheme="minorEastAsia" w:hAnsiTheme="minorEastAsia" w:eastAsiaTheme="minorEastAsia" w:cstheme="minorEastAsia"/>
          <w:color w:val="auto"/>
          <w:highlight w:val="none"/>
          <w:lang w:eastAsia="zh-CN"/>
        </w:rPr>
      </w:pPr>
    </w:p>
    <w:p w14:paraId="5DAA2CFB">
      <w:pPr>
        <w:rPr>
          <w:rFonts w:hint="eastAsia" w:asciiTheme="minorEastAsia" w:hAnsiTheme="minorEastAsia" w:eastAsiaTheme="minorEastAsia" w:cstheme="minorEastAsia"/>
          <w:color w:val="auto"/>
          <w:highlight w:val="none"/>
          <w:lang w:eastAsia="zh-CN"/>
        </w:rPr>
      </w:pPr>
    </w:p>
    <w:p w14:paraId="7B0553AA">
      <w:pPr>
        <w:rPr>
          <w:rFonts w:hint="eastAsia" w:asciiTheme="minorEastAsia" w:hAnsiTheme="minorEastAsia" w:eastAsiaTheme="minorEastAsia" w:cstheme="minorEastAsia"/>
          <w:color w:val="auto"/>
          <w:highlight w:val="none"/>
          <w:lang w:eastAsia="zh-CN"/>
        </w:rPr>
      </w:pPr>
    </w:p>
    <w:p w14:paraId="3678D20A">
      <w:pPr>
        <w:spacing w:line="240" w:lineRule="atLeast"/>
        <w:jc w:val="both"/>
        <w:rPr>
          <w:rFonts w:hint="eastAsia" w:asciiTheme="minorEastAsia" w:hAnsiTheme="minorEastAsia" w:eastAsiaTheme="minorEastAsia" w:cstheme="minorEastAsia"/>
          <w:b/>
          <w:color w:val="auto"/>
          <w:sz w:val="48"/>
          <w:szCs w:val="48"/>
          <w:highlight w:val="none"/>
          <w:lang w:eastAsia="zh-CN"/>
        </w:rPr>
      </w:pPr>
    </w:p>
    <w:p w14:paraId="6806F7FE">
      <w:pPr>
        <w:spacing w:line="240" w:lineRule="atLeast"/>
        <w:ind w:left="1080" w:leftChars="257" w:hanging="540"/>
        <w:jc w:val="center"/>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第二册</w:t>
      </w:r>
    </w:p>
    <w:p w14:paraId="794139FD">
      <w:pP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br w:type="page"/>
      </w:r>
    </w:p>
    <w:p w14:paraId="6272ED43">
      <w:pPr>
        <w:pStyle w:val="2"/>
        <w:tabs>
          <w:tab w:val="left" w:pos="0"/>
        </w:tabs>
        <w:kinsoku/>
        <w:spacing w:before="0" w:after="0" w:line="360" w:lineRule="auto"/>
        <w:rPr>
          <w:rFonts w:hint="eastAsia" w:ascii="仿宋" w:hAnsi="仿宋" w:eastAsia="仿宋" w:cs="仿宋"/>
          <w:color w:val="auto"/>
          <w:sz w:val="44"/>
          <w:szCs w:val="44"/>
          <w:highlight w:val="none"/>
          <w:lang w:eastAsia="zh-CN"/>
        </w:rPr>
      </w:pPr>
      <w:bookmarkStart w:id="828" w:name="_Toc13081"/>
      <w:r>
        <w:rPr>
          <w:rFonts w:hint="eastAsia" w:ascii="仿宋" w:hAnsi="仿宋" w:eastAsia="仿宋" w:cs="仿宋"/>
          <w:color w:val="auto"/>
          <w:sz w:val="44"/>
          <w:szCs w:val="44"/>
          <w:highlight w:val="none"/>
          <w:lang w:eastAsia="zh-CN"/>
        </w:rPr>
        <w:t>第三章  投标邀请</w:t>
      </w:r>
      <w:bookmarkEnd w:id="828"/>
    </w:p>
    <w:p w14:paraId="0CE5A207">
      <w:pPr>
        <w:kinsoku/>
        <w:autoSpaceDE/>
        <w:autoSpaceDN/>
        <w:adjustRightInd/>
        <w:spacing w:line="396" w:lineRule="exact"/>
        <w:jc w:val="center"/>
        <w:rPr>
          <w:rStyle w:val="28"/>
          <w:rFonts w:hint="eastAsia" w:ascii="仿宋" w:hAnsi="仿宋" w:eastAsia="仿宋" w:cs="仿宋"/>
          <w:b/>
          <w:bCs/>
          <w:color w:val="auto"/>
          <w:sz w:val="28"/>
          <w:szCs w:val="28"/>
          <w:highlight w:val="none"/>
          <w:lang w:eastAsia="zh-CN"/>
        </w:rPr>
      </w:pPr>
      <w:r>
        <w:rPr>
          <w:rStyle w:val="28"/>
          <w:rFonts w:hint="eastAsia" w:ascii="仿宋" w:hAnsi="仿宋" w:eastAsia="仿宋" w:cs="仿宋"/>
          <w:b/>
          <w:bCs/>
          <w:color w:val="auto"/>
          <w:sz w:val="28"/>
          <w:szCs w:val="28"/>
          <w:highlight w:val="none"/>
          <w:lang w:eastAsia="zh-CN"/>
        </w:rPr>
        <w:t>【县级】伽师县2026年健康心理服务中心建设项目(二次)</w:t>
      </w:r>
    </w:p>
    <w:p w14:paraId="53FF782B">
      <w:pPr>
        <w:kinsoku/>
        <w:autoSpaceDE/>
        <w:autoSpaceDN/>
        <w:adjustRightInd/>
        <w:spacing w:line="396" w:lineRule="exact"/>
        <w:jc w:val="center"/>
        <w:rPr>
          <w:rStyle w:val="28"/>
          <w:rFonts w:hint="eastAsia" w:ascii="仿宋" w:hAnsi="仿宋" w:eastAsia="仿宋" w:cs="仿宋"/>
          <w:b/>
          <w:bCs/>
          <w:color w:val="auto"/>
          <w:sz w:val="28"/>
          <w:szCs w:val="28"/>
          <w:highlight w:val="none"/>
          <w:lang w:eastAsia="zh-CN"/>
        </w:rPr>
      </w:pPr>
      <w:r>
        <w:rPr>
          <w:rStyle w:val="28"/>
          <w:rFonts w:hint="eastAsia" w:ascii="仿宋" w:hAnsi="仿宋" w:eastAsia="仿宋" w:cs="仿宋"/>
          <w:b/>
          <w:bCs/>
          <w:color w:val="auto"/>
          <w:sz w:val="28"/>
          <w:szCs w:val="28"/>
          <w:highlight w:val="none"/>
          <w:lang w:eastAsia="zh-CN"/>
        </w:rPr>
        <w:t>公开招标公告</w:t>
      </w:r>
    </w:p>
    <w:p w14:paraId="152A8BF1">
      <w:pPr>
        <w:pBdr>
          <w:top w:val="single" w:color="000000" w:sz="4" w:space="1"/>
          <w:left w:val="single" w:color="000000" w:sz="4" w:space="4"/>
          <w:bottom w:val="single" w:color="000000" w:sz="4" w:space="1"/>
          <w:right w:val="single" w:color="000000" w:sz="4" w:space="4"/>
        </w:pBdr>
        <w:kinsoku/>
        <w:autoSpaceDE/>
        <w:autoSpaceDN/>
        <w:adjustRightInd/>
        <w:spacing w:line="396" w:lineRule="exact"/>
        <w:ind w:firstLine="560" w:firstLineChars="200"/>
        <w:rPr>
          <w:rStyle w:val="28"/>
          <w:rFonts w:hint="eastAsia" w:ascii="仿宋" w:hAnsi="仿宋" w:eastAsia="仿宋" w:cs="仿宋"/>
          <w:color w:val="auto"/>
          <w:sz w:val="28"/>
          <w:szCs w:val="28"/>
          <w:highlight w:val="none"/>
          <w:lang w:eastAsia="zh-CN"/>
        </w:rPr>
      </w:pPr>
      <w:r>
        <w:rPr>
          <w:rStyle w:val="28"/>
          <w:rFonts w:hint="eastAsia" w:ascii="仿宋" w:hAnsi="仿宋" w:eastAsia="仿宋" w:cs="仿宋"/>
          <w:color w:val="auto"/>
          <w:sz w:val="28"/>
          <w:szCs w:val="28"/>
          <w:highlight w:val="none"/>
          <w:lang w:eastAsia="zh-CN"/>
        </w:rPr>
        <w:t>项目概况</w:t>
      </w:r>
    </w:p>
    <w:p w14:paraId="2F0CD26C">
      <w:pPr>
        <w:pBdr>
          <w:top w:val="single" w:color="000000" w:sz="4" w:space="1"/>
          <w:left w:val="single" w:color="000000" w:sz="4" w:space="4"/>
          <w:bottom w:val="single" w:color="000000" w:sz="4" w:space="1"/>
          <w:right w:val="single" w:color="000000" w:sz="4" w:space="4"/>
        </w:pBdr>
        <w:kinsoku/>
        <w:autoSpaceDE/>
        <w:autoSpaceDN/>
        <w:adjustRightInd/>
        <w:spacing w:line="396" w:lineRule="exact"/>
        <w:ind w:firstLine="560" w:firstLineChars="200"/>
        <w:rPr>
          <w:rStyle w:val="28"/>
          <w:rFonts w:hint="eastAsia" w:ascii="仿宋" w:hAnsi="仿宋" w:eastAsia="仿宋" w:cs="仿宋"/>
          <w:color w:val="000000" w:themeColor="text1"/>
          <w:sz w:val="24"/>
          <w:highlight w:val="none"/>
          <w:lang w:eastAsia="zh-CN"/>
          <w14:textFill>
            <w14:solidFill>
              <w14:schemeClr w14:val="tx1"/>
            </w14:solidFill>
          </w14:textFill>
        </w:rPr>
      </w:pPr>
      <w:r>
        <w:rPr>
          <w:rStyle w:val="28"/>
          <w:rFonts w:hint="eastAsia" w:ascii="仿宋" w:hAnsi="仿宋" w:eastAsia="仿宋" w:cs="仿宋"/>
          <w:color w:val="auto"/>
          <w:sz w:val="28"/>
          <w:szCs w:val="28"/>
          <w:highlight w:val="none"/>
          <w:u w:val="single"/>
          <w:lang w:eastAsia="zh-CN"/>
        </w:rPr>
        <w:t>伽师县2026年健康心理服务中心建设项目(二次)</w:t>
      </w:r>
      <w:r>
        <w:rPr>
          <w:rStyle w:val="28"/>
          <w:rFonts w:hint="eastAsia" w:ascii="仿宋" w:hAnsi="仿宋" w:eastAsia="仿宋" w:cs="仿宋"/>
          <w:color w:val="auto"/>
          <w:sz w:val="28"/>
          <w:szCs w:val="28"/>
          <w:highlight w:val="none"/>
          <w:lang w:eastAsia="zh-CN"/>
        </w:rPr>
        <w:t>的潜在投标人应在</w:t>
      </w:r>
      <w:r>
        <w:rPr>
          <w:rStyle w:val="27"/>
          <w:rFonts w:hint="eastAsia" w:ascii="仿宋" w:hAnsi="仿宋" w:eastAsia="仿宋" w:cs="仿宋"/>
          <w:color w:val="auto"/>
          <w:sz w:val="24"/>
          <w:highlight w:val="none"/>
          <w:u w:color="0000FF"/>
          <w:lang w:eastAsia="zh-CN"/>
        </w:rPr>
        <w:t>http://www.ccgp-xinjiang.gov.cn</w:t>
      </w:r>
      <w:r>
        <w:rPr>
          <w:rStyle w:val="28"/>
          <w:rFonts w:hint="eastAsia" w:ascii="仿宋" w:hAnsi="仿宋" w:eastAsia="仿宋" w:cs="仿宋"/>
          <w:color w:val="auto"/>
          <w:sz w:val="28"/>
          <w:szCs w:val="28"/>
          <w:highlight w:val="none"/>
          <w:lang w:eastAsia="zh-CN"/>
        </w:rPr>
        <w:t>获取招标文件，</w:t>
      </w:r>
      <w:r>
        <w:rPr>
          <w:rFonts w:hint="eastAsia" w:ascii="仿宋" w:hAnsi="仿宋" w:eastAsia="仿宋" w:cs="仿宋"/>
          <w:color w:val="auto"/>
          <w:sz w:val="28"/>
          <w:szCs w:val="28"/>
          <w:highlight w:val="none"/>
          <w:lang w:eastAsia="zh-CN"/>
        </w:rPr>
        <w:t>并于</w:t>
      </w:r>
      <w:r>
        <w:rPr>
          <w:rFonts w:hint="eastAsia" w:ascii="仿宋" w:hAnsi="仿宋" w:eastAsia="仿宋" w:cs="仿宋"/>
          <w:bCs/>
          <w:color w:val="auto"/>
          <w:sz w:val="28"/>
          <w:szCs w:val="28"/>
          <w:highlight w:val="none"/>
          <w:u w:val="single"/>
          <w:lang w:eastAsia="zh-CN"/>
        </w:rPr>
        <w:t>202</w:t>
      </w:r>
      <w:r>
        <w:rPr>
          <w:rFonts w:hint="eastAsia" w:ascii="仿宋" w:hAnsi="仿宋" w:eastAsia="仿宋" w:cs="仿宋"/>
          <w:bCs/>
          <w:color w:val="auto"/>
          <w:sz w:val="28"/>
          <w:szCs w:val="28"/>
          <w:highlight w:val="none"/>
          <w:u w:val="single"/>
          <w:lang w:val="en-US" w:eastAsia="zh-CN"/>
        </w:rPr>
        <w:t>6</w:t>
      </w:r>
      <w:r>
        <w:rPr>
          <w:rFonts w:hint="eastAsia" w:ascii="仿宋" w:hAnsi="仿宋" w:eastAsia="仿宋" w:cs="仿宋"/>
          <w:bCs/>
          <w:color w:val="auto"/>
          <w:sz w:val="28"/>
          <w:szCs w:val="28"/>
          <w:highlight w:val="none"/>
          <w:u w:val="single"/>
          <w:lang w:eastAsia="zh-CN"/>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23</w:t>
      </w:r>
      <w:r>
        <w:rPr>
          <w:rFonts w:hint="eastAsia" w:ascii="仿宋" w:hAnsi="仿宋" w:eastAsia="仿宋" w:cs="仿宋"/>
          <w:bCs/>
          <w:color w:val="000000" w:themeColor="text1"/>
          <w:sz w:val="28"/>
          <w:szCs w:val="28"/>
          <w:highlight w:val="none"/>
          <w:u w:val="single"/>
          <w:lang w:eastAsia="zh-CN"/>
          <w14:textFill>
            <w14:solidFill>
              <w14:schemeClr w14:val="tx1"/>
            </w14:solidFill>
          </w14:textFill>
        </w:rPr>
        <w:t>日 11点00分（</w:t>
      </w:r>
      <w:r>
        <w:rPr>
          <w:rFonts w:hint="eastAsia" w:ascii="仿宋" w:hAnsi="仿宋" w:eastAsia="仿宋" w:cs="仿宋"/>
          <w:bCs/>
          <w:color w:val="000000" w:themeColor="text1"/>
          <w:sz w:val="28"/>
          <w:szCs w:val="28"/>
          <w:highlight w:val="none"/>
          <w:lang w:eastAsia="zh-CN"/>
          <w14:textFill>
            <w14:solidFill>
              <w14:schemeClr w14:val="tx1"/>
            </w14:solidFill>
          </w14:textFill>
        </w:rPr>
        <w:t>北京时间）前递交投标文件</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E44F853">
      <w:pPr>
        <w:pStyle w:val="30"/>
        <w:numPr>
          <w:ilvl w:val="0"/>
          <w:numId w:val="6"/>
        </w:numPr>
        <w:kinsoku/>
        <w:autoSpaceDE/>
        <w:autoSpaceDN/>
        <w:adjustRightInd/>
        <w:spacing w:before="0" w:line="396" w:lineRule="exact"/>
        <w:jc w:val="both"/>
        <w:rPr>
          <w:rStyle w:val="28"/>
          <w:rFonts w:hint="eastAsia" w:ascii="仿宋" w:hAnsi="仿宋" w:eastAsia="仿宋" w:cs="仿宋"/>
          <w:color w:val="auto"/>
          <w:kern w:val="2"/>
          <w:sz w:val="24"/>
          <w:szCs w:val="21"/>
          <w:highlight w:val="none"/>
        </w:rPr>
      </w:pPr>
      <w:r>
        <w:rPr>
          <w:rStyle w:val="28"/>
          <w:rFonts w:hint="eastAsia" w:ascii="仿宋" w:hAnsi="仿宋" w:eastAsia="仿宋" w:cs="仿宋"/>
          <w:color w:val="auto"/>
          <w:kern w:val="2"/>
          <w:sz w:val="24"/>
          <w:szCs w:val="21"/>
          <w:highlight w:val="none"/>
        </w:rPr>
        <w:t>项目基本情况</w:t>
      </w:r>
    </w:p>
    <w:p w14:paraId="645B4BC0">
      <w:pPr>
        <w:numPr>
          <w:ilvl w:val="0"/>
          <w:numId w:val="7"/>
        </w:numPr>
        <w:kinsoku/>
        <w:autoSpaceDE/>
        <w:autoSpaceDN/>
        <w:adjustRightInd/>
        <w:spacing w:line="396" w:lineRule="exact"/>
        <w:rPr>
          <w:rFonts w:hint="eastAsia" w:ascii="仿宋" w:hAnsi="仿宋" w:eastAsia="仿宋" w:cs="仿宋"/>
          <w:color w:val="auto"/>
          <w:kern w:val="2"/>
          <w:sz w:val="24"/>
          <w:highlight w:val="none"/>
          <w:lang w:eastAsia="zh-CN"/>
        </w:rPr>
      </w:pPr>
      <w:r>
        <w:rPr>
          <w:rStyle w:val="28"/>
          <w:rFonts w:hint="eastAsia" w:ascii="仿宋" w:hAnsi="仿宋" w:eastAsia="仿宋" w:cs="仿宋"/>
          <w:color w:val="auto"/>
          <w:sz w:val="24"/>
          <w:highlight w:val="none"/>
          <w:lang w:eastAsia="zh-CN"/>
        </w:rPr>
        <w:t>项目编号：KSJSX(GK)2026-19项目名称：</w:t>
      </w:r>
      <w:r>
        <w:rPr>
          <w:rStyle w:val="28"/>
          <w:rFonts w:hint="eastAsia" w:ascii="仿宋" w:hAnsi="仿宋" w:eastAsia="仿宋" w:cs="仿宋"/>
          <w:color w:val="auto"/>
          <w:sz w:val="28"/>
          <w:szCs w:val="28"/>
          <w:highlight w:val="none"/>
          <w:lang w:eastAsia="zh-CN"/>
        </w:rPr>
        <w:t>伽师县2026年健康心理服务中心建设项目(二次)</w:t>
      </w:r>
    </w:p>
    <w:p w14:paraId="5C058DD6">
      <w:pPr>
        <w:numPr>
          <w:ilvl w:val="0"/>
          <w:numId w:val="7"/>
        </w:numPr>
        <w:kinsoku/>
        <w:autoSpaceDE/>
        <w:autoSpaceDN/>
        <w:adjustRightInd/>
        <w:spacing w:line="396" w:lineRule="exact"/>
        <w:rPr>
          <w:rStyle w:val="28"/>
          <w:rFonts w:hint="eastAsia" w:ascii="仿宋" w:hAnsi="仿宋" w:eastAsia="仿宋" w:cs="仿宋"/>
          <w:color w:val="auto"/>
          <w:sz w:val="28"/>
          <w:szCs w:val="28"/>
          <w:highlight w:val="none"/>
          <w:lang w:eastAsia="zh-CN"/>
        </w:rPr>
      </w:pPr>
      <w:r>
        <w:rPr>
          <w:rStyle w:val="28"/>
          <w:rFonts w:hint="eastAsia" w:ascii="仿宋" w:hAnsi="仿宋" w:eastAsia="仿宋" w:cs="仿宋"/>
          <w:color w:val="auto"/>
          <w:sz w:val="28"/>
          <w:szCs w:val="28"/>
          <w:highlight w:val="none"/>
          <w:lang w:eastAsia="zh-CN"/>
        </w:rPr>
        <w:t>预算金额：</w:t>
      </w:r>
      <w:bookmarkStart w:id="829" w:name="OLE_LINK2"/>
      <w:r>
        <w:rPr>
          <w:rStyle w:val="28"/>
          <w:rFonts w:hint="eastAsia" w:ascii="仿宋" w:hAnsi="仿宋" w:eastAsia="仿宋" w:cs="仿宋"/>
          <w:color w:val="auto"/>
          <w:sz w:val="28"/>
          <w:szCs w:val="28"/>
          <w:highlight w:val="none"/>
          <w:lang w:val="en-US" w:eastAsia="zh-CN"/>
        </w:rPr>
        <w:t>2228527.2</w:t>
      </w:r>
      <w:r>
        <w:rPr>
          <w:rStyle w:val="28"/>
          <w:rFonts w:hint="eastAsia" w:ascii="仿宋" w:hAnsi="仿宋" w:eastAsia="仿宋" w:cs="仿宋"/>
          <w:color w:val="auto"/>
          <w:sz w:val="28"/>
          <w:szCs w:val="28"/>
          <w:highlight w:val="none"/>
          <w:lang w:eastAsia="zh-CN"/>
        </w:rPr>
        <w:t>元；最高限价：</w:t>
      </w:r>
      <w:r>
        <w:rPr>
          <w:rStyle w:val="28"/>
          <w:rFonts w:hint="eastAsia" w:ascii="仿宋" w:hAnsi="仿宋" w:eastAsia="仿宋" w:cs="仿宋"/>
          <w:color w:val="auto"/>
          <w:sz w:val="28"/>
          <w:szCs w:val="28"/>
          <w:highlight w:val="none"/>
          <w:lang w:val="en-US" w:eastAsia="zh-CN"/>
        </w:rPr>
        <w:t>2228527.2</w:t>
      </w:r>
      <w:r>
        <w:rPr>
          <w:rStyle w:val="28"/>
          <w:rFonts w:hint="eastAsia" w:ascii="仿宋" w:hAnsi="仿宋" w:eastAsia="仿宋" w:cs="仿宋"/>
          <w:color w:val="auto"/>
          <w:sz w:val="28"/>
          <w:szCs w:val="28"/>
          <w:highlight w:val="none"/>
          <w:lang w:eastAsia="zh-CN"/>
        </w:rPr>
        <w:t>元。</w:t>
      </w:r>
      <w:bookmarkEnd w:id="829"/>
    </w:p>
    <w:p w14:paraId="1E32AB8E">
      <w:pPr>
        <w:kinsoku/>
        <w:autoSpaceDE/>
        <w:autoSpaceDN/>
        <w:adjustRightInd/>
        <w:spacing w:line="396"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4.资金来源：</w:t>
      </w:r>
      <w:r>
        <w:rPr>
          <w:rStyle w:val="28"/>
          <w:rFonts w:hint="eastAsia" w:ascii="仿宋" w:hAnsi="仿宋" w:eastAsia="仿宋" w:cs="仿宋"/>
          <w:color w:val="auto"/>
          <w:sz w:val="24"/>
          <w:highlight w:val="none"/>
          <w:lang w:val="en-US" w:eastAsia="zh-CN"/>
        </w:rPr>
        <w:t>专项</w:t>
      </w:r>
      <w:r>
        <w:rPr>
          <w:rStyle w:val="28"/>
          <w:rFonts w:hint="eastAsia" w:ascii="仿宋" w:hAnsi="仿宋" w:eastAsia="仿宋" w:cs="仿宋"/>
          <w:color w:val="auto"/>
          <w:sz w:val="24"/>
          <w:highlight w:val="none"/>
          <w:lang w:eastAsia="zh-CN"/>
        </w:rPr>
        <w:t>资金</w:t>
      </w:r>
    </w:p>
    <w:p w14:paraId="26182F1E">
      <w:pPr>
        <w:kinsoku/>
        <w:autoSpaceDE/>
        <w:autoSpaceDN/>
        <w:adjustRightInd/>
        <w:spacing w:line="396" w:lineRule="exact"/>
        <w:rPr>
          <w:rFonts w:hint="eastAsia" w:ascii="仿宋" w:hAnsi="仿宋" w:eastAsia="仿宋" w:cs="仿宋"/>
          <w:b/>
          <w:bCs/>
          <w:color w:val="FF0000"/>
          <w:sz w:val="23"/>
          <w:szCs w:val="23"/>
          <w:highlight w:val="none"/>
          <w:lang w:eastAsia="zh-CN"/>
        </w:rPr>
      </w:pPr>
      <w:r>
        <w:rPr>
          <w:rStyle w:val="28"/>
          <w:rFonts w:hint="eastAsia" w:ascii="仿宋" w:hAnsi="仿宋" w:eastAsia="仿宋" w:cs="仿宋"/>
          <w:color w:val="auto"/>
          <w:sz w:val="24"/>
          <w:highlight w:val="none"/>
          <w:lang w:eastAsia="zh-CN"/>
        </w:rPr>
        <w:t>5.采购需求：</w:t>
      </w:r>
      <w:r>
        <w:rPr>
          <w:rStyle w:val="28"/>
          <w:rFonts w:hint="eastAsia" w:ascii="仿宋" w:hAnsi="仿宋" w:eastAsia="仿宋" w:cs="仿宋"/>
          <w:b/>
          <w:bCs/>
          <w:color w:val="auto"/>
          <w:sz w:val="24"/>
          <w:highlight w:val="none"/>
          <w:lang w:eastAsia="zh-CN"/>
        </w:rPr>
        <w:t>（详细设备、数量、具体参数及</w:t>
      </w:r>
      <w:r>
        <w:rPr>
          <w:rStyle w:val="28"/>
          <w:rFonts w:hint="eastAsia" w:ascii="仿宋" w:hAnsi="仿宋" w:eastAsia="仿宋" w:cs="仿宋"/>
          <w:b/>
          <w:bCs/>
          <w:color w:val="auto"/>
          <w:sz w:val="24"/>
          <w:highlight w:val="none"/>
          <w:lang w:val="en-US" w:eastAsia="zh-CN"/>
        </w:rPr>
        <w:t>图纸</w:t>
      </w:r>
      <w:r>
        <w:rPr>
          <w:rStyle w:val="28"/>
          <w:rFonts w:hint="eastAsia" w:ascii="仿宋" w:hAnsi="仿宋" w:eastAsia="仿宋" w:cs="仿宋"/>
          <w:b/>
          <w:bCs/>
          <w:color w:val="auto"/>
          <w:sz w:val="24"/>
          <w:highlight w:val="none"/>
          <w:lang w:eastAsia="zh-CN"/>
        </w:rPr>
        <w:t>要求见招标文件）；</w:t>
      </w:r>
    </w:p>
    <w:p w14:paraId="033920EF">
      <w:pPr>
        <w:kinsoku/>
        <w:autoSpaceDE/>
        <w:autoSpaceDN/>
        <w:adjustRightInd/>
        <w:spacing w:line="396"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6.合同履行期限：根据采购人需求，以签订合同为准。</w:t>
      </w:r>
    </w:p>
    <w:p w14:paraId="6B11FB39">
      <w:pPr>
        <w:kinsoku/>
        <w:autoSpaceDE/>
        <w:autoSpaceDN/>
        <w:adjustRightInd/>
        <w:spacing w:line="396"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本项目不接受联合体投标。</w:t>
      </w:r>
    </w:p>
    <w:p w14:paraId="609549DC">
      <w:pPr>
        <w:kinsoku/>
        <w:autoSpaceDE/>
        <w:autoSpaceDN/>
        <w:adjustRightInd/>
        <w:spacing w:line="396" w:lineRule="exact"/>
        <w:rPr>
          <w:rStyle w:val="28"/>
          <w:rFonts w:hint="eastAsia" w:ascii="仿宋" w:hAnsi="仿宋" w:eastAsia="仿宋" w:cs="仿宋"/>
          <w:b/>
          <w:bCs/>
          <w:color w:val="auto"/>
          <w:sz w:val="24"/>
          <w:highlight w:val="none"/>
          <w:lang w:eastAsia="zh-CN"/>
        </w:rPr>
      </w:pPr>
      <w:r>
        <w:rPr>
          <w:rStyle w:val="28"/>
          <w:rFonts w:hint="eastAsia" w:ascii="仿宋" w:hAnsi="仿宋" w:eastAsia="仿宋" w:cs="仿宋"/>
          <w:b/>
          <w:bCs/>
          <w:color w:val="auto"/>
          <w:sz w:val="24"/>
          <w:highlight w:val="none"/>
          <w:lang w:eastAsia="zh-CN"/>
        </w:rPr>
        <w:t>二、申请人的资格要求：</w:t>
      </w:r>
    </w:p>
    <w:p w14:paraId="2346E441">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1.满足《中华人民共和国政府采购法》第二十二条要求：</w:t>
      </w:r>
    </w:p>
    <w:p w14:paraId="27EBB921">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（1）具有独立承担民事责任的能力；</w:t>
      </w:r>
    </w:p>
    <w:p w14:paraId="10848462">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（2）具有健全的财务会计制度；</w:t>
      </w:r>
    </w:p>
    <w:p w14:paraId="6ACD5AAC">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（3）具有履行合同所必需的设备和专业技术能力；</w:t>
      </w:r>
    </w:p>
    <w:p w14:paraId="0B754352">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（4）有依法缴纳税收和社会保障资金的良好记录；</w:t>
      </w:r>
    </w:p>
    <w:p w14:paraId="10271C04">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（5）参加政府采购活动前三年内，在经营活动中没有重大违法记录；</w:t>
      </w:r>
    </w:p>
    <w:p w14:paraId="232BDA13">
      <w:pPr>
        <w:pStyle w:val="53"/>
        <w:kinsoku/>
        <w:autoSpaceDE/>
        <w:autoSpaceDN/>
        <w:adjustRightInd/>
        <w:snapToGrid/>
        <w:spacing w:line="360" w:lineRule="exact"/>
        <w:textAlignment w:val="auto"/>
        <w:rPr>
          <w:rFonts w:hint="eastAsia" w:ascii="仿宋" w:hAnsi="仿宋" w:eastAsia="仿宋" w:cs="仿宋"/>
          <w:snapToGrid/>
          <w:color w:val="000000"/>
          <w:szCs w:val="24"/>
          <w:highlight w:val="none"/>
          <w:lang w:eastAsia="zh-CN"/>
        </w:rPr>
      </w:pPr>
      <w:r>
        <w:rPr>
          <w:rFonts w:hint="eastAsia" w:ascii="仿宋" w:hAnsi="仿宋" w:eastAsia="仿宋" w:cs="仿宋"/>
          <w:snapToGrid/>
          <w:color w:val="000000"/>
          <w:szCs w:val="24"/>
          <w:highlight w:val="none"/>
          <w:lang w:eastAsia="zh-CN"/>
        </w:rPr>
        <w:t>（6）法律、行政法规规定的其他条件。</w:t>
      </w:r>
    </w:p>
    <w:p w14:paraId="44391CC7">
      <w:pPr>
        <w:widowControl w:val="0"/>
        <w:kinsoku/>
        <w:autoSpaceDE/>
        <w:autoSpaceDN/>
        <w:adjustRightInd/>
        <w:spacing w:line="396"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14:paraId="03DCE916">
      <w:pPr>
        <w:kinsoku/>
        <w:autoSpaceDE/>
        <w:autoSpaceDN/>
        <w:adjustRightInd/>
        <w:spacing w:line="396" w:lineRule="exact"/>
        <w:rPr>
          <w:rStyle w:val="28"/>
          <w:rFonts w:hint="eastAsia" w:ascii="仿宋" w:hAnsi="仿宋" w:eastAsia="仿宋" w:cs="仿宋"/>
          <w:b/>
          <w:bCs/>
          <w:color w:val="000000" w:themeColor="text1"/>
          <w:sz w:val="24"/>
          <w:highlight w:val="none"/>
          <w:lang w:eastAsia="zh-CN"/>
          <w14:textFill>
            <w14:solidFill>
              <w14:schemeClr w14:val="tx1"/>
            </w14:solidFill>
          </w14:textFill>
        </w:rPr>
      </w:pPr>
      <w:r>
        <w:rPr>
          <w:rStyle w:val="28"/>
          <w:rFonts w:hint="eastAsia" w:ascii="仿宋" w:hAnsi="仿宋" w:eastAsia="仿宋" w:cs="仿宋"/>
          <w:b/>
          <w:bCs/>
          <w:color w:val="auto"/>
          <w:sz w:val="24"/>
          <w:highlight w:val="none"/>
          <w:lang w:eastAsia="zh-CN"/>
        </w:rPr>
        <w:t>三、</w:t>
      </w:r>
      <w:r>
        <w:rPr>
          <w:rStyle w:val="28"/>
          <w:rFonts w:hint="eastAsia" w:ascii="仿宋" w:hAnsi="仿宋" w:eastAsia="仿宋" w:cs="仿宋"/>
          <w:b/>
          <w:bCs/>
          <w:color w:val="000000" w:themeColor="text1"/>
          <w:sz w:val="24"/>
          <w:highlight w:val="none"/>
          <w:lang w:eastAsia="zh-CN"/>
          <w14:textFill>
            <w14:solidFill>
              <w14:schemeClr w14:val="tx1"/>
            </w14:solidFill>
          </w14:textFill>
        </w:rPr>
        <w:t>获取招标文件</w:t>
      </w:r>
    </w:p>
    <w:p w14:paraId="3B2FF66D">
      <w:pPr>
        <w:kinsoku/>
        <w:autoSpaceDE/>
        <w:autoSpaceDN/>
        <w:adjustRightInd/>
        <w:spacing w:line="396"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获取时间</w:t>
      </w:r>
      <w:r>
        <w:rPr>
          <w:rFonts w:hint="eastAsia" w:ascii="仿宋" w:hAnsi="仿宋" w:eastAsia="仿宋" w:cs="仿宋"/>
          <w:color w:val="000000" w:themeColor="text1"/>
          <w:sz w:val="24"/>
          <w:highlight w:val="yellow"/>
          <w:lang w:eastAsia="zh-CN"/>
          <w14:textFill>
            <w14:solidFill>
              <w14:schemeClr w14:val="tx1"/>
            </w14:solidFill>
          </w14:textFill>
        </w:rPr>
        <w:t>：202</w:t>
      </w:r>
      <w:r>
        <w:rPr>
          <w:rFonts w:hint="eastAsia" w:ascii="仿宋" w:hAnsi="仿宋" w:eastAsia="仿宋" w:cs="仿宋"/>
          <w:color w:val="000000" w:themeColor="text1"/>
          <w:sz w:val="24"/>
          <w:highlight w:val="yellow"/>
          <w:lang w:val="en-US" w:eastAsia="zh-CN"/>
          <w14:textFill>
            <w14:solidFill>
              <w14:schemeClr w14:val="tx1"/>
            </w14:solidFill>
          </w14:textFill>
        </w:rPr>
        <w:t>6</w:t>
      </w:r>
      <w:r>
        <w:rPr>
          <w:rFonts w:hint="eastAsia" w:ascii="仿宋" w:hAnsi="仿宋" w:eastAsia="仿宋" w:cs="仿宋"/>
          <w:color w:val="000000" w:themeColor="text1"/>
          <w:sz w:val="24"/>
          <w:highlight w:val="yellow"/>
          <w:lang w:eastAsia="zh-CN"/>
          <w14:textFill>
            <w14:solidFill>
              <w14:schemeClr w14:val="tx1"/>
            </w14:solidFill>
          </w14:textFill>
        </w:rPr>
        <w:t>年</w:t>
      </w:r>
      <w:r>
        <w:rPr>
          <w:rFonts w:hint="eastAsia" w:ascii="仿宋" w:hAnsi="仿宋" w:eastAsia="仿宋" w:cs="仿宋"/>
          <w:color w:val="000000" w:themeColor="text1"/>
          <w:sz w:val="24"/>
          <w:highlight w:val="yellow"/>
          <w:lang w:val="en-US" w:eastAsia="zh-CN"/>
          <w14:textFill>
            <w14:solidFill>
              <w14:schemeClr w14:val="tx1"/>
            </w14:solidFill>
          </w14:textFill>
        </w:rPr>
        <w:t>5</w:t>
      </w:r>
      <w:r>
        <w:rPr>
          <w:rFonts w:hint="eastAsia" w:ascii="仿宋" w:hAnsi="仿宋" w:eastAsia="仿宋" w:cs="仿宋"/>
          <w:color w:val="000000" w:themeColor="text1"/>
          <w:sz w:val="24"/>
          <w:highlight w:val="yellow"/>
          <w:lang w:eastAsia="zh-CN"/>
          <w14:textFill>
            <w14:solidFill>
              <w14:schemeClr w14:val="tx1"/>
            </w14:solidFill>
          </w14:textFill>
        </w:rPr>
        <w:t>月</w:t>
      </w:r>
      <w:r>
        <w:rPr>
          <w:rFonts w:hint="eastAsia" w:ascii="仿宋" w:hAnsi="仿宋" w:eastAsia="仿宋" w:cs="仿宋"/>
          <w:color w:val="000000" w:themeColor="text1"/>
          <w:sz w:val="24"/>
          <w:highlight w:val="yellow"/>
          <w:lang w:val="en-US" w:eastAsia="zh-CN"/>
          <w14:textFill>
            <w14:solidFill>
              <w14:schemeClr w14:val="tx1"/>
            </w14:solidFill>
          </w14:textFill>
        </w:rPr>
        <w:t>21</w:t>
      </w:r>
      <w:r>
        <w:rPr>
          <w:rFonts w:hint="eastAsia" w:ascii="仿宋" w:hAnsi="仿宋" w:eastAsia="仿宋" w:cs="仿宋"/>
          <w:color w:val="000000" w:themeColor="text1"/>
          <w:sz w:val="24"/>
          <w:highlight w:val="yellow"/>
          <w:lang w:eastAsia="zh-CN"/>
          <w14:textFill>
            <w14:solidFill>
              <w14:schemeClr w14:val="tx1"/>
            </w14:solidFill>
          </w14:textFill>
        </w:rPr>
        <w:t>日至202</w:t>
      </w:r>
      <w:r>
        <w:rPr>
          <w:rFonts w:hint="eastAsia" w:ascii="仿宋" w:hAnsi="仿宋" w:eastAsia="仿宋" w:cs="仿宋"/>
          <w:color w:val="000000" w:themeColor="text1"/>
          <w:sz w:val="24"/>
          <w:highlight w:val="yellow"/>
          <w:lang w:val="en-US" w:eastAsia="zh-CN"/>
          <w14:textFill>
            <w14:solidFill>
              <w14:schemeClr w14:val="tx1"/>
            </w14:solidFill>
          </w14:textFill>
        </w:rPr>
        <w:t>6</w:t>
      </w:r>
      <w:r>
        <w:rPr>
          <w:rFonts w:hint="eastAsia" w:ascii="仿宋" w:hAnsi="仿宋" w:eastAsia="仿宋" w:cs="仿宋"/>
          <w:color w:val="000000" w:themeColor="text1"/>
          <w:sz w:val="24"/>
          <w:highlight w:val="yellow"/>
          <w:lang w:eastAsia="zh-CN"/>
          <w14:textFill>
            <w14:solidFill>
              <w14:schemeClr w14:val="tx1"/>
            </w14:solidFill>
          </w14:textFill>
        </w:rPr>
        <w:t>年</w:t>
      </w:r>
      <w:r>
        <w:rPr>
          <w:rFonts w:hint="eastAsia" w:ascii="仿宋" w:hAnsi="仿宋" w:eastAsia="仿宋" w:cs="仿宋"/>
          <w:color w:val="000000" w:themeColor="text1"/>
          <w:sz w:val="24"/>
          <w:highlight w:val="yellow"/>
          <w:lang w:val="en-US" w:eastAsia="zh-CN"/>
          <w14:textFill>
            <w14:solidFill>
              <w14:schemeClr w14:val="tx1"/>
            </w14:solidFill>
          </w14:textFill>
        </w:rPr>
        <w:t>6</w:t>
      </w:r>
      <w:r>
        <w:rPr>
          <w:rFonts w:hint="eastAsia" w:ascii="仿宋" w:hAnsi="仿宋" w:eastAsia="仿宋" w:cs="仿宋"/>
          <w:color w:val="000000" w:themeColor="text1"/>
          <w:sz w:val="24"/>
          <w:highlight w:val="yellow"/>
          <w:lang w:eastAsia="zh-CN"/>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日，每天上午 00:00 至 14:00，下午 14:00 至23:59（北京时间，法定节假日除外）。</w:t>
      </w:r>
    </w:p>
    <w:p w14:paraId="1E550F76">
      <w:pPr>
        <w:kinsoku/>
        <w:autoSpaceDE/>
        <w:autoSpaceDN/>
        <w:adjustRightInd/>
        <w:spacing w:line="396" w:lineRule="exact"/>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获取地点：新疆政府采购网</w:t>
      </w:r>
    </w:p>
    <w:p w14:paraId="0DA071D8">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获取方式：供应商登陆政采云平台 http://www.zcygov.cn/，在线获取招标文件 </w:t>
      </w:r>
    </w:p>
    <w:p w14:paraId="63FA3364">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（登录政府采购云平台→ 项目采购 → 获取招标文件，通过后可下载招标文件， </w:t>
      </w:r>
    </w:p>
    <w:p w14:paraId="20848E49">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如有操作性问题，可与政采云在线客服进行咨询，咨询电话：</w:t>
      </w:r>
      <w:r>
        <w:rPr>
          <w:rFonts w:hint="eastAsia" w:ascii="仿宋" w:hAnsi="仿宋" w:eastAsia="仿宋" w:cs="仿宋"/>
          <w:color w:val="auto"/>
          <w:highlight w:val="none"/>
          <w:shd w:val="clear" w:color="auto" w:fill="FFFFFF"/>
          <w:lang w:eastAsia="zh-CN"/>
        </w:rPr>
        <w:t>95763</w:t>
      </w:r>
      <w:r>
        <w:rPr>
          <w:rFonts w:hint="eastAsia" w:ascii="仿宋" w:hAnsi="仿宋" w:eastAsia="仿宋" w:cs="仿宋"/>
          <w:color w:val="auto"/>
          <w:sz w:val="24"/>
          <w:highlight w:val="none"/>
          <w:lang w:eastAsia="zh-CN"/>
        </w:rPr>
        <w:t>）</w:t>
      </w:r>
    </w:p>
    <w:p w14:paraId="79DCD736">
      <w:pPr>
        <w:kinsoku/>
        <w:autoSpaceDE/>
        <w:autoSpaceDN/>
        <w:adjustRightInd/>
        <w:spacing w:line="396"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售价：0元</w:t>
      </w:r>
    </w:p>
    <w:p w14:paraId="5A1D3968">
      <w:pPr>
        <w:kinsoku/>
        <w:autoSpaceDE/>
        <w:autoSpaceDN/>
        <w:adjustRightInd/>
        <w:spacing w:line="396" w:lineRule="exact"/>
        <w:rPr>
          <w:rStyle w:val="28"/>
          <w:rFonts w:hint="eastAsia" w:ascii="仿宋" w:hAnsi="仿宋" w:eastAsia="仿宋" w:cs="仿宋"/>
          <w:b/>
          <w:bCs/>
          <w:color w:val="auto"/>
          <w:sz w:val="30"/>
          <w:szCs w:val="30"/>
          <w:highlight w:val="none"/>
          <w:lang w:eastAsia="zh-CN"/>
        </w:rPr>
      </w:pPr>
      <w:r>
        <w:rPr>
          <w:rStyle w:val="28"/>
          <w:rFonts w:hint="eastAsia" w:ascii="仿宋" w:hAnsi="仿宋" w:eastAsia="仿宋" w:cs="仿宋"/>
          <w:b/>
          <w:bCs/>
          <w:color w:val="auto"/>
          <w:sz w:val="24"/>
          <w:highlight w:val="none"/>
          <w:lang w:eastAsia="zh-CN"/>
        </w:rPr>
        <w:t>四、提交投标文件截止时间、开标时间和地点</w:t>
      </w:r>
    </w:p>
    <w:p w14:paraId="61973D59">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提交投标文件截止时间：</w:t>
      </w:r>
      <w:r>
        <w:rPr>
          <w:rFonts w:hint="eastAsia" w:ascii="仿宋" w:hAnsi="仿宋" w:eastAsia="仿宋" w:cs="仿宋"/>
          <w:color w:val="000000" w:themeColor="text1"/>
          <w:sz w:val="24"/>
          <w:highlight w:val="none"/>
          <w:lang w:eastAsia="zh-CN"/>
          <w14:textFill>
            <w14:solidFill>
              <w14:schemeClr w14:val="tx1"/>
            </w14:solidFill>
          </w14:textFill>
        </w:rPr>
        <w:t>2026年6月23日 11时00分（北京时间）</w:t>
      </w:r>
      <w:r>
        <w:rPr>
          <w:rFonts w:hint="eastAsia" w:ascii="仿宋" w:hAnsi="仿宋" w:eastAsia="仿宋" w:cs="仿宋"/>
          <w:color w:val="000000" w:themeColor="text1"/>
          <w:sz w:val="24"/>
          <w:highlight w:val="none"/>
          <w14:textFill>
            <w14:solidFill>
              <w14:schemeClr w14:val="tx1"/>
            </w14:solidFill>
          </w14:textFill>
        </w:rPr>
        <w:t> </w:t>
      </w:r>
    </w:p>
    <w:p w14:paraId="673F55BC">
      <w:pPr>
        <w:widowControl w:val="0"/>
        <w:kinsoku/>
        <w:autoSpaceDE/>
        <w:autoSpaceDN/>
        <w:adjustRightInd/>
        <w:spacing w:line="396"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投标地点：政采云平台（https://login.zcygov.cn/user-login/#/login）</w:t>
      </w:r>
      <w:r>
        <w:rPr>
          <w:rFonts w:hint="eastAsia" w:ascii="仿宋" w:hAnsi="仿宋" w:eastAsia="仿宋" w:cs="仿宋"/>
          <w:color w:val="auto"/>
          <w:sz w:val="24"/>
          <w:highlight w:val="none"/>
          <w:lang w:val="en-US" w:eastAsia="zh-CN"/>
        </w:rPr>
        <w:t>在线提交</w:t>
      </w:r>
      <w:r>
        <w:rPr>
          <w:rFonts w:hint="eastAsia" w:ascii="仿宋" w:hAnsi="仿宋" w:eastAsia="仿宋" w:cs="仿宋"/>
          <w:color w:val="auto"/>
          <w:sz w:val="24"/>
          <w:highlight w:val="none"/>
        </w:rPr>
        <w:t xml:space="preserve"> </w:t>
      </w:r>
    </w:p>
    <w:p w14:paraId="1D62DAEF">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开标时间：2026年6月23日 11：00（北京时间） </w:t>
      </w:r>
    </w:p>
    <w:p w14:paraId="77646D64">
      <w:pPr>
        <w:widowControl w:val="0"/>
        <w:kinsoku/>
        <w:autoSpaceDE/>
        <w:autoSpaceDN/>
        <w:adjustRightInd/>
        <w:spacing w:line="396"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开标地点：政采云平台（https://login.zcygov.cn/user-login/#/login）</w:t>
      </w:r>
      <w:r>
        <w:rPr>
          <w:rFonts w:hint="eastAsia" w:ascii="仿宋" w:hAnsi="仿宋" w:eastAsia="仿宋" w:cs="仿宋"/>
          <w:color w:val="auto"/>
          <w:sz w:val="24"/>
          <w:highlight w:val="none"/>
          <w:lang w:val="en-US" w:eastAsia="zh-CN"/>
        </w:rPr>
        <w:t>不见面开标</w:t>
      </w:r>
    </w:p>
    <w:p w14:paraId="3A451E19">
      <w:pPr>
        <w:kinsoku/>
        <w:autoSpaceDE/>
        <w:autoSpaceDN/>
        <w:adjustRightInd/>
        <w:spacing w:line="396" w:lineRule="exact"/>
        <w:rPr>
          <w:rStyle w:val="28"/>
          <w:rFonts w:hint="eastAsia" w:ascii="仿宋" w:hAnsi="仿宋" w:eastAsia="仿宋" w:cs="仿宋"/>
          <w:b/>
          <w:bCs/>
          <w:color w:val="auto"/>
          <w:sz w:val="24"/>
          <w:highlight w:val="none"/>
          <w:lang w:eastAsia="zh-CN"/>
        </w:rPr>
      </w:pPr>
      <w:r>
        <w:rPr>
          <w:rStyle w:val="28"/>
          <w:rFonts w:hint="eastAsia" w:ascii="仿宋" w:hAnsi="仿宋" w:eastAsia="仿宋" w:cs="仿宋"/>
          <w:b/>
          <w:bCs/>
          <w:color w:val="auto"/>
          <w:sz w:val="24"/>
          <w:highlight w:val="none"/>
          <w:lang w:eastAsia="zh-CN"/>
        </w:rPr>
        <w:t>五、公告期限</w:t>
      </w:r>
    </w:p>
    <w:p w14:paraId="281AEDF2">
      <w:pPr>
        <w:kinsoku/>
        <w:autoSpaceDE/>
        <w:autoSpaceDN/>
        <w:adjustRightInd/>
        <w:spacing w:line="396" w:lineRule="exact"/>
        <w:rPr>
          <w:rFonts w:hint="eastAsia" w:ascii="仿宋" w:hAnsi="仿宋" w:eastAsia="仿宋" w:cs="仿宋"/>
          <w:color w:val="auto"/>
          <w:highlight w:val="none"/>
          <w:lang w:eastAsia="zh-CN"/>
        </w:rPr>
      </w:pPr>
      <w:r>
        <w:rPr>
          <w:rStyle w:val="28"/>
          <w:rFonts w:hint="eastAsia" w:ascii="仿宋" w:hAnsi="仿宋" w:eastAsia="仿宋" w:cs="仿宋"/>
          <w:color w:val="auto"/>
          <w:sz w:val="24"/>
          <w:highlight w:val="none"/>
          <w:lang w:eastAsia="zh-CN"/>
        </w:rPr>
        <w:t>自本公告发布之日起5个工作日。</w:t>
      </w:r>
    </w:p>
    <w:p w14:paraId="45579BB2">
      <w:pPr>
        <w:numPr>
          <w:ilvl w:val="0"/>
          <w:numId w:val="8"/>
        </w:numPr>
        <w:kinsoku/>
        <w:autoSpaceDE/>
        <w:autoSpaceDN/>
        <w:adjustRightInd/>
        <w:spacing w:line="396" w:lineRule="exact"/>
        <w:rPr>
          <w:rStyle w:val="28"/>
          <w:rFonts w:hint="eastAsia" w:ascii="仿宋" w:hAnsi="仿宋" w:eastAsia="仿宋" w:cs="仿宋"/>
          <w:color w:val="auto"/>
          <w:sz w:val="24"/>
          <w:highlight w:val="none"/>
        </w:rPr>
      </w:pPr>
      <w:r>
        <w:rPr>
          <w:rStyle w:val="28"/>
          <w:rFonts w:hint="eastAsia" w:ascii="仿宋" w:hAnsi="仿宋" w:eastAsia="仿宋" w:cs="仿宋"/>
          <w:b/>
          <w:bCs/>
          <w:color w:val="auto"/>
          <w:sz w:val="24"/>
          <w:highlight w:val="none"/>
        </w:rPr>
        <w:t>其他补充事宜</w:t>
      </w:r>
      <w:r>
        <w:rPr>
          <w:rStyle w:val="28"/>
          <w:rFonts w:hint="eastAsia" w:ascii="仿宋" w:hAnsi="仿宋" w:eastAsia="仿宋" w:cs="仿宋"/>
          <w:color w:val="auto"/>
          <w:sz w:val="24"/>
          <w:highlight w:val="none"/>
        </w:rPr>
        <w:t>：</w:t>
      </w:r>
    </w:p>
    <w:p w14:paraId="0E75260C">
      <w:pPr>
        <w:kinsoku/>
        <w:autoSpaceDE/>
        <w:autoSpaceDN/>
        <w:adjustRightInd/>
        <w:spacing w:line="396" w:lineRule="exact"/>
        <w:ind w:firstLine="480" w:firstLineChars="200"/>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lang w:eastAsia="zh-CN"/>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r>
        <w:rPr>
          <w:rStyle w:val="28"/>
          <w:rFonts w:hint="eastAsia" w:ascii="仿宋" w:hAnsi="仿宋" w:eastAsia="仿宋" w:cs="仿宋"/>
          <w:color w:val="auto"/>
          <w:sz w:val="24"/>
          <w:highlight w:val="none"/>
        </w:rPr>
        <w:t>具体开标时间以招标文件为准。</w:t>
      </w:r>
    </w:p>
    <w:p w14:paraId="0B1FC254">
      <w:pPr>
        <w:numPr>
          <w:ilvl w:val="0"/>
          <w:numId w:val="8"/>
        </w:numPr>
        <w:kinsoku/>
        <w:autoSpaceDE/>
        <w:autoSpaceDN/>
        <w:adjustRightInd/>
        <w:spacing w:line="396" w:lineRule="exact"/>
        <w:rPr>
          <w:rStyle w:val="28"/>
          <w:rFonts w:hint="eastAsia" w:ascii="仿宋" w:hAnsi="仿宋" w:eastAsia="仿宋" w:cs="仿宋"/>
          <w:color w:val="auto"/>
          <w:highlight w:val="none"/>
          <w:lang w:eastAsia="zh-CN"/>
        </w:rPr>
      </w:pPr>
      <w:r>
        <w:rPr>
          <w:rStyle w:val="28"/>
          <w:rFonts w:hint="eastAsia" w:ascii="仿宋" w:hAnsi="仿宋" w:eastAsia="仿宋" w:cs="仿宋"/>
          <w:b/>
          <w:bCs/>
          <w:color w:val="auto"/>
          <w:sz w:val="24"/>
          <w:highlight w:val="none"/>
          <w:lang w:eastAsia="zh-CN"/>
        </w:rPr>
        <w:t>对本次招标提出询问，请按以下方式联系。</w:t>
      </w:r>
    </w:p>
    <w:p w14:paraId="246E1D54">
      <w:pPr>
        <w:kinsoku/>
        <w:autoSpaceDE/>
        <w:autoSpaceDN/>
        <w:adjustRightInd/>
        <w:spacing w:line="396" w:lineRule="exact"/>
        <w:rPr>
          <w:rStyle w:val="28"/>
          <w:rFonts w:hint="eastAsia" w:ascii="仿宋" w:hAnsi="仿宋" w:eastAsia="仿宋" w:cs="仿宋"/>
          <w:b/>
          <w:bCs/>
          <w:color w:val="auto"/>
          <w:sz w:val="24"/>
          <w:highlight w:val="none"/>
          <w:lang w:eastAsia="zh-CN"/>
        </w:rPr>
      </w:pPr>
      <w:r>
        <w:rPr>
          <w:rStyle w:val="28"/>
          <w:rFonts w:hint="eastAsia" w:ascii="仿宋" w:hAnsi="仿宋" w:eastAsia="仿宋" w:cs="仿宋"/>
          <w:b/>
          <w:bCs/>
          <w:color w:val="auto"/>
          <w:sz w:val="24"/>
          <w:highlight w:val="none"/>
          <w:lang w:eastAsia="zh-CN"/>
        </w:rPr>
        <w:t>1.采购人信息</w:t>
      </w:r>
    </w:p>
    <w:p w14:paraId="3794472C">
      <w:pPr>
        <w:widowControl w:val="0"/>
        <w:kinsoku/>
        <w:autoSpaceDE/>
        <w:autoSpaceDN/>
        <w:adjustRightInd/>
        <w:snapToGri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  伽师县卫生健康委员会　　　　　</w:t>
      </w:r>
    </w:p>
    <w:p w14:paraId="527F29F7">
      <w:pPr>
        <w:widowControl w:val="0"/>
        <w:kinsoku/>
        <w:autoSpaceDE/>
        <w:autoSpaceDN/>
        <w:adjustRightInd/>
        <w:snapToGrid/>
        <w:spacing w:line="396"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地址：伽师县迎宾路15号</w:t>
      </w:r>
    </w:p>
    <w:p w14:paraId="11BC918C">
      <w:pPr>
        <w:widowControl w:val="0"/>
        <w:kinsoku/>
        <w:autoSpaceDE/>
        <w:autoSpaceDN/>
        <w:adjustRightInd/>
        <w:snapToGri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lang w:val="en-US" w:eastAsia="zh-CN"/>
        </w:rPr>
        <w:t>艾合麦提·呀森</w:t>
      </w:r>
      <w:r>
        <w:rPr>
          <w:rFonts w:hint="eastAsia" w:ascii="仿宋" w:hAnsi="仿宋" w:eastAsia="仿宋" w:cs="仿宋"/>
          <w:color w:val="auto"/>
          <w:sz w:val="24"/>
          <w:highlight w:val="none"/>
          <w:lang w:eastAsia="zh-CN"/>
        </w:rPr>
        <w:t>　　　　　　　　</w:t>
      </w:r>
    </w:p>
    <w:p w14:paraId="5EEE5CDC">
      <w:pPr>
        <w:kinsoku/>
        <w:autoSpaceDE/>
        <w:autoSpaceDN/>
        <w:adjustRightInd/>
        <w:spacing w:line="396" w:lineRule="exact"/>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联系方式：</w:t>
      </w:r>
      <w:r>
        <w:rPr>
          <w:rFonts w:hint="eastAsia" w:ascii="仿宋" w:hAnsi="仿宋" w:eastAsia="仿宋" w:cs="仿宋"/>
          <w:color w:val="auto"/>
          <w:sz w:val="24"/>
          <w:highlight w:val="none"/>
          <w:lang w:val="en-US" w:eastAsia="zh-CN"/>
        </w:rPr>
        <w:t>13899155697</w:t>
      </w:r>
    </w:p>
    <w:p w14:paraId="4CDAFC21">
      <w:pPr>
        <w:widowControl w:val="0"/>
        <w:kinsoku/>
        <w:autoSpaceDE/>
        <w:autoSpaceDN/>
        <w:adjustRightInd/>
        <w:spacing w:line="396" w:lineRule="exac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2.采购代理机构信息</w:t>
      </w:r>
    </w:p>
    <w:p w14:paraId="4A428786">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名 称：伽师县政府采购中心　</w:t>
      </w:r>
    </w:p>
    <w:p w14:paraId="5F1905FA">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址：伽师县行政审批局四楼（伽师县花园路3号）　</w:t>
      </w:r>
    </w:p>
    <w:p w14:paraId="1914BB59">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项目联系人：</w:t>
      </w:r>
      <w:r>
        <w:rPr>
          <w:rFonts w:hint="eastAsia" w:ascii="仿宋" w:hAnsi="仿宋" w:eastAsia="仿宋" w:cs="仿宋"/>
          <w:color w:val="auto"/>
          <w:sz w:val="24"/>
          <w:highlight w:val="none"/>
          <w:lang w:val="en-US" w:eastAsia="zh-CN"/>
        </w:rPr>
        <w:t>贺欢欢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玉素甫</w:t>
      </w:r>
    </w:p>
    <w:p w14:paraId="2307BC63">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联系方式：0998-5713206　</w:t>
      </w:r>
    </w:p>
    <w:p w14:paraId="703FA033">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3.同级政府采购监督管理部门名称:伽师县政府采购办</w:t>
      </w:r>
    </w:p>
    <w:p w14:paraId="2605E3B6">
      <w:pPr>
        <w:widowControl w:val="0"/>
        <w:kinsoku/>
        <w:autoSpaceDE/>
        <w:autoSpaceDN/>
        <w:adjustRightInd/>
        <w:spacing w:line="396"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联系人：阿依努尔</w:t>
      </w:r>
    </w:p>
    <w:p w14:paraId="12939E5B">
      <w:pPr>
        <w:rPr>
          <w:rFonts w:hint="eastAsia" w:ascii="仿宋" w:hAnsi="仿宋" w:eastAsia="仿宋" w:cs="仿宋"/>
          <w:color w:val="auto"/>
          <w:highlight w:val="none"/>
          <w:lang w:eastAsia="zh-CN"/>
        </w:rPr>
      </w:pPr>
      <w:r>
        <w:rPr>
          <w:rFonts w:hint="eastAsia" w:ascii="仿宋" w:hAnsi="仿宋" w:eastAsia="仿宋" w:cs="仿宋"/>
          <w:b w:val="0"/>
          <w:color w:val="auto"/>
          <w:kern w:val="2"/>
          <w:sz w:val="24"/>
          <w:szCs w:val="21"/>
          <w:highlight w:val="none"/>
          <w:lang w:eastAsia="zh-CN"/>
        </w:rPr>
        <w:t>监督投诉电</w:t>
      </w:r>
      <w:r>
        <w:rPr>
          <w:rFonts w:hint="eastAsia" w:ascii="仿宋" w:hAnsi="仿宋" w:eastAsia="仿宋" w:cs="仿宋"/>
          <w:b w:val="0"/>
          <w:snapToGrid w:val="0"/>
          <w:color w:val="auto"/>
          <w:kern w:val="0"/>
          <w:sz w:val="24"/>
          <w:szCs w:val="21"/>
          <w:highlight w:val="none"/>
          <w:lang w:val="en-US" w:eastAsia="zh-CN" w:bidi="ar-SA"/>
        </w:rPr>
        <w:t>话：0998-5713204</w:t>
      </w:r>
      <w:r>
        <w:rPr>
          <w:rFonts w:hint="eastAsia" w:ascii="仿宋" w:hAnsi="仿宋" w:eastAsia="仿宋" w:cs="仿宋"/>
          <w:color w:val="auto"/>
          <w:kern w:val="2"/>
          <w:sz w:val="24"/>
          <w:highlight w:val="none"/>
          <w:lang w:eastAsia="zh-CN"/>
        </w:rPr>
        <w:br w:type="page"/>
      </w:r>
    </w:p>
    <w:p w14:paraId="47E533F8">
      <w:pPr>
        <w:pStyle w:val="2"/>
        <w:tabs>
          <w:tab w:val="left" w:pos="0"/>
        </w:tabs>
        <w:spacing w:before="0" w:after="0" w:line="240" w:lineRule="atLeast"/>
        <w:rPr>
          <w:rFonts w:hint="eastAsia" w:ascii="仿宋" w:hAnsi="仿宋" w:eastAsia="仿宋" w:cs="仿宋"/>
          <w:color w:val="auto"/>
          <w:sz w:val="44"/>
          <w:szCs w:val="44"/>
          <w:highlight w:val="none"/>
          <w:lang w:eastAsia="zh-CN"/>
        </w:rPr>
      </w:pPr>
      <w:bookmarkStart w:id="830" w:name="_Toc22648"/>
      <w:r>
        <w:rPr>
          <w:rFonts w:hint="eastAsia" w:ascii="仿宋" w:hAnsi="仿宋" w:eastAsia="仿宋" w:cs="仿宋"/>
          <w:color w:val="auto"/>
          <w:sz w:val="44"/>
          <w:szCs w:val="44"/>
          <w:highlight w:val="none"/>
          <w:lang w:eastAsia="zh-CN"/>
        </w:rPr>
        <w:t>第四章  投标人须知资料表</w:t>
      </w:r>
      <w:bookmarkEnd w:id="830"/>
    </w:p>
    <w:p w14:paraId="1686644B">
      <w:pPr>
        <w:spacing w:line="240" w:lineRule="atLeast"/>
        <w:ind w:left="1080" w:leftChars="257" w:hanging="540"/>
        <w:rPr>
          <w:rStyle w:val="28"/>
          <w:rFonts w:hint="eastAsia" w:ascii="仿宋" w:hAnsi="仿宋" w:eastAsia="仿宋" w:cs="仿宋"/>
          <w:color w:val="auto"/>
          <w:sz w:val="36"/>
          <w:szCs w:val="36"/>
          <w:highlight w:val="none"/>
          <w:lang w:eastAsia="zh-CN"/>
        </w:rPr>
      </w:pPr>
    </w:p>
    <w:p w14:paraId="2AC75375">
      <w:pPr>
        <w:spacing w:line="240" w:lineRule="atLeast"/>
        <w:ind w:firstLine="600" w:firstLineChars="25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本表是本招标项目的具体资料，是对投标人须知的具体补充和修改，如有矛盾，应以本资料表为准。</w:t>
      </w:r>
    </w:p>
    <w:tbl>
      <w:tblPr>
        <w:tblStyle w:val="23"/>
        <w:tblW w:w="930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26"/>
        <w:gridCol w:w="8294"/>
      </w:tblGrid>
      <w:tr w14:paraId="0F465D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926" w:type="dxa"/>
            <w:tcBorders>
              <w:top w:val="single" w:color="000000" w:sz="12" w:space="0"/>
              <w:left w:val="single" w:color="000000" w:sz="12" w:space="0"/>
              <w:bottom w:val="single" w:color="000000" w:sz="6" w:space="0"/>
              <w:right w:val="single" w:color="000000" w:sz="6" w:space="0"/>
            </w:tcBorders>
            <w:vAlign w:val="center"/>
          </w:tcPr>
          <w:p w14:paraId="6C74379F">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条款号</w:t>
            </w:r>
          </w:p>
        </w:tc>
        <w:tc>
          <w:tcPr>
            <w:tcW w:w="8294" w:type="dxa"/>
            <w:tcBorders>
              <w:top w:val="single" w:color="000000" w:sz="12" w:space="0"/>
              <w:left w:val="single" w:color="000000" w:sz="6" w:space="0"/>
              <w:bottom w:val="single" w:color="000000" w:sz="6" w:space="0"/>
              <w:right w:val="single" w:color="000000" w:sz="12" w:space="0"/>
            </w:tcBorders>
            <w:vAlign w:val="center"/>
          </w:tcPr>
          <w:p w14:paraId="31FAE1F2">
            <w:pPr>
              <w:spacing w:line="240" w:lineRule="atLeast"/>
              <w:ind w:left="1080" w:leftChars="257" w:hanging="540"/>
              <w:jc w:val="center"/>
              <w:rPr>
                <w:rStyle w:val="28"/>
                <w:rFonts w:hint="eastAsia" w:ascii="仿宋" w:hAnsi="仿宋" w:eastAsia="仿宋" w:cs="仿宋"/>
                <w:b/>
                <w:color w:val="auto"/>
                <w:sz w:val="24"/>
                <w:highlight w:val="none"/>
              </w:rPr>
            </w:pPr>
            <w:r>
              <w:rPr>
                <w:rStyle w:val="28"/>
                <w:rFonts w:hint="eastAsia" w:ascii="仿宋" w:hAnsi="仿宋" w:eastAsia="仿宋" w:cs="仿宋"/>
                <w:b/>
                <w:color w:val="auto"/>
                <w:sz w:val="24"/>
                <w:highlight w:val="none"/>
              </w:rPr>
              <w:t>内      容</w:t>
            </w:r>
          </w:p>
        </w:tc>
      </w:tr>
      <w:tr w14:paraId="772B05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78482C80">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1.1</w:t>
            </w:r>
          </w:p>
        </w:tc>
        <w:tc>
          <w:tcPr>
            <w:tcW w:w="8294" w:type="dxa"/>
            <w:tcBorders>
              <w:top w:val="single" w:color="000000" w:sz="6" w:space="0"/>
              <w:left w:val="single" w:color="000000" w:sz="6" w:space="0"/>
              <w:bottom w:val="single" w:color="000000" w:sz="6" w:space="0"/>
              <w:right w:val="single" w:color="000000" w:sz="12" w:space="0"/>
            </w:tcBorders>
            <w:vAlign w:val="center"/>
          </w:tcPr>
          <w:p w14:paraId="0F72FC29">
            <w:pP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采购人：  伽师县卫生健康委员会</w:t>
            </w:r>
          </w:p>
          <w:p w14:paraId="04A83C79">
            <w:pPr>
              <w:rPr>
                <w:rStyle w:val="28"/>
                <w:rFonts w:hint="default" w:ascii="仿宋" w:hAnsi="仿宋" w:eastAsia="仿宋" w:cs="仿宋"/>
                <w:color w:val="auto"/>
                <w:sz w:val="24"/>
                <w:highlight w:val="none"/>
                <w:lang w:val="en-US" w:eastAsia="zh-CN"/>
              </w:rPr>
            </w:pPr>
            <w:r>
              <w:rPr>
                <w:rStyle w:val="28"/>
                <w:rFonts w:hint="eastAsia" w:ascii="仿宋" w:hAnsi="仿宋" w:eastAsia="仿宋" w:cs="仿宋"/>
                <w:color w:val="auto"/>
                <w:sz w:val="24"/>
                <w:highlight w:val="none"/>
                <w:lang w:eastAsia="zh-CN"/>
              </w:rPr>
              <w:t>联系人：</w:t>
            </w:r>
            <w:r>
              <w:rPr>
                <w:rStyle w:val="28"/>
                <w:rFonts w:hint="eastAsia" w:ascii="仿宋" w:hAnsi="仿宋" w:eastAsia="仿宋" w:cs="仿宋"/>
                <w:color w:val="auto"/>
                <w:sz w:val="24"/>
                <w:highlight w:val="none"/>
                <w:lang w:val="en-US" w:eastAsia="zh-CN"/>
              </w:rPr>
              <w:t>艾合麦提·呀森</w:t>
            </w:r>
            <w:r>
              <w:rPr>
                <w:rStyle w:val="28"/>
                <w:rFonts w:hint="eastAsia" w:ascii="仿宋" w:hAnsi="仿宋" w:eastAsia="仿宋" w:cs="仿宋"/>
                <w:color w:val="auto"/>
                <w:sz w:val="24"/>
                <w:highlight w:val="none"/>
                <w:lang w:eastAsia="zh-CN"/>
              </w:rPr>
              <w:t xml:space="preserve">     联系电话：</w:t>
            </w:r>
            <w:r>
              <w:rPr>
                <w:rStyle w:val="28"/>
                <w:rFonts w:hint="eastAsia" w:ascii="仿宋" w:hAnsi="仿宋" w:eastAsia="仿宋" w:cs="仿宋"/>
                <w:color w:val="auto"/>
                <w:sz w:val="24"/>
                <w:highlight w:val="none"/>
                <w:lang w:val="en-US" w:eastAsia="zh-CN"/>
              </w:rPr>
              <w:t>13899155697</w:t>
            </w:r>
          </w:p>
        </w:tc>
      </w:tr>
      <w:tr w14:paraId="2C03A3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5124ADDA">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2A6ED4E">
            <w:pPr>
              <w:spacing w:line="240" w:lineRule="atLeas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u w:val="single"/>
                <w:lang w:eastAsia="zh-CN"/>
              </w:rPr>
              <w:t>伽师县政府采购中心</w:t>
            </w:r>
          </w:p>
          <w:p w14:paraId="0DFDD817">
            <w:pPr>
              <w:spacing w:line="240" w:lineRule="atLeas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地址：</w:t>
            </w:r>
            <w:r>
              <w:rPr>
                <w:rFonts w:hint="eastAsia" w:ascii="仿宋" w:hAnsi="仿宋" w:eastAsia="仿宋" w:cs="仿宋"/>
                <w:color w:val="auto"/>
                <w:sz w:val="24"/>
                <w:highlight w:val="none"/>
                <w:u w:val="single"/>
                <w:lang w:eastAsia="zh-CN"/>
              </w:rPr>
              <w:t>伽师县行政审批局四楼（伽师县花园路3号）</w:t>
            </w:r>
          </w:p>
          <w:p w14:paraId="4086CDB7">
            <w:pPr>
              <w:widowControl w:val="0"/>
              <w:kinsoku/>
              <w:autoSpaceDE/>
              <w:autoSpaceDN/>
              <w:adjustRightInd/>
              <w:spacing w:line="396" w:lineRule="exact"/>
              <w:textAlignment w:val="auto"/>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lang w:val="en-US" w:eastAsia="zh-CN"/>
              </w:rPr>
              <w:t>贺欢欢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玉素甫</w:t>
            </w:r>
            <w:r>
              <w:rPr>
                <w:rFonts w:hint="eastAsia" w:ascii="仿宋" w:hAnsi="仿宋" w:eastAsia="仿宋" w:cs="仿宋"/>
                <w:color w:val="auto"/>
                <w:sz w:val="24"/>
                <w:highlight w:val="none"/>
                <w:lang w:eastAsia="zh-CN"/>
              </w:rPr>
              <w:t xml:space="preserve">         电  话：0998-5713206</w:t>
            </w:r>
          </w:p>
        </w:tc>
      </w:tr>
      <w:tr w14:paraId="1A14A5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71106C30">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1.3.1</w:t>
            </w:r>
          </w:p>
        </w:tc>
        <w:tc>
          <w:tcPr>
            <w:tcW w:w="8294" w:type="dxa"/>
            <w:tcBorders>
              <w:top w:val="single" w:color="000000" w:sz="6" w:space="0"/>
              <w:left w:val="single" w:color="000000" w:sz="6" w:space="0"/>
              <w:bottom w:val="single" w:color="000000" w:sz="6" w:space="0"/>
              <w:right w:val="single" w:color="000000" w:sz="12" w:space="0"/>
            </w:tcBorders>
            <w:vAlign w:val="center"/>
          </w:tcPr>
          <w:p w14:paraId="4DE7D3A6">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合格投标人开标时需提供的资格证明文件：</w:t>
            </w:r>
          </w:p>
          <w:p w14:paraId="14DD81E2">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1.提供有效的营业执照；</w:t>
            </w:r>
          </w:p>
          <w:p w14:paraId="53B68D71">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2.法定代表人证明或法定代表人授权委托书签字（章）并加盖公章；</w:t>
            </w:r>
          </w:p>
          <w:p w14:paraId="50640DD7">
            <w:pPr>
              <w:pStyle w:val="17"/>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highlight w:val="none"/>
                <w:lang w:eastAsia="zh-CN"/>
              </w:rPr>
              <w:t>3.</w:t>
            </w:r>
            <w:r>
              <w:rPr>
                <w:rFonts w:hint="eastAsia" w:ascii="仿宋" w:hAnsi="仿宋" w:eastAsia="仿宋" w:cs="仿宋"/>
                <w:bCs/>
                <w:iCs/>
                <w:sz w:val="24"/>
                <w:szCs w:val="24"/>
                <w:highlight w:val="none"/>
              </w:rPr>
              <w:t>投标企业依法缴纳近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个月任意一个月社会保险的凭据</w:t>
            </w:r>
            <w:r>
              <w:rPr>
                <w:rFonts w:hint="eastAsia" w:ascii="仿宋" w:hAnsi="仿宋" w:eastAsia="仿宋" w:cs="仿宋"/>
                <w:color w:val="auto"/>
                <w:kern w:val="2"/>
                <w:sz w:val="24"/>
                <w:szCs w:val="24"/>
                <w:highlight w:val="none"/>
                <w:lang w:eastAsia="zh-CN"/>
              </w:rPr>
              <w:t>；</w:t>
            </w:r>
          </w:p>
          <w:p w14:paraId="3E98B744">
            <w:pPr>
              <w:pStyle w:val="7"/>
              <w:ind w:left="0" w:leftChars="0"/>
              <w:rPr>
                <w:rFonts w:hint="eastAsia" w:ascii="仿宋" w:hAnsi="仿宋" w:eastAsia="仿宋" w:cs="仿宋"/>
                <w:color w:val="auto"/>
                <w:sz w:val="24"/>
                <w:highlight w:val="none"/>
                <w:lang w:eastAsia="zh-CN"/>
              </w:rPr>
            </w:pPr>
            <w:r>
              <w:rPr>
                <w:rFonts w:hint="eastAsia" w:ascii="仿宋" w:hAnsi="仿宋" w:eastAsia="仿宋" w:cs="仿宋"/>
                <w:color w:val="auto"/>
                <w:kern w:val="2"/>
                <w:sz w:val="24"/>
                <w:highlight w:val="none"/>
                <w:lang w:eastAsia="zh-CN"/>
              </w:rPr>
              <w:t>4.</w:t>
            </w:r>
            <w:r>
              <w:rPr>
                <w:rFonts w:hint="eastAsia" w:ascii="仿宋" w:hAnsi="仿宋" w:eastAsia="仿宋" w:cs="仿宋"/>
                <w:bCs/>
                <w:iCs/>
                <w:sz w:val="24"/>
                <w:szCs w:val="24"/>
                <w:highlight w:val="none"/>
              </w:rPr>
              <w:t>投标企业提供税务部门出具的近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个月任意一个月的完税证明</w:t>
            </w:r>
            <w:r>
              <w:rPr>
                <w:rFonts w:hint="eastAsia" w:ascii="仿宋" w:hAnsi="仿宋" w:eastAsia="仿宋" w:cs="仿宋"/>
                <w:color w:val="auto"/>
                <w:sz w:val="24"/>
                <w:highlight w:val="none"/>
                <w:lang w:eastAsia="zh-CN"/>
              </w:rPr>
              <w:t>；</w:t>
            </w:r>
          </w:p>
          <w:p w14:paraId="23E37EF5">
            <w:pPr>
              <w:pStyle w:val="17"/>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highlight w:val="none"/>
                <w:lang w:eastAsia="zh-CN"/>
              </w:rPr>
              <w:t>5.</w:t>
            </w:r>
            <w:r>
              <w:rPr>
                <w:rFonts w:hint="eastAsia" w:ascii="仿宋" w:hAnsi="仿宋" w:eastAsia="仿宋" w:cs="仿宋"/>
                <w:bCs/>
                <w:iCs/>
                <w:sz w:val="24"/>
                <w:szCs w:val="24"/>
                <w:highlight w:val="none"/>
              </w:rPr>
              <w:t>近两年任意一年完整的财务审计报告（</w:t>
            </w:r>
            <w:r>
              <w:rPr>
                <w:rFonts w:hint="eastAsia" w:ascii="仿宋" w:hAnsi="仿宋" w:eastAsia="仿宋" w:cs="仿宋"/>
                <w:bCs/>
                <w:iCs/>
                <w:sz w:val="24"/>
                <w:szCs w:val="24"/>
                <w:highlight w:val="none"/>
                <w:lang w:val="en-US" w:eastAsia="zh-CN"/>
              </w:rPr>
              <w:t>会计事务所2024年或2025年任意一年度财务审计报告，注册成立未满一年的</w:t>
            </w:r>
            <w:r>
              <w:rPr>
                <w:rFonts w:hint="eastAsia" w:ascii="仿宋" w:hAnsi="仿宋" w:eastAsia="仿宋" w:cs="仿宋"/>
                <w:bCs/>
                <w:iCs/>
                <w:sz w:val="24"/>
                <w:szCs w:val="24"/>
                <w:highlight w:val="none"/>
              </w:rPr>
              <w:t>新公司提供</w:t>
            </w:r>
            <w:r>
              <w:rPr>
                <w:rFonts w:hint="eastAsia" w:ascii="仿宋" w:hAnsi="仿宋" w:eastAsia="仿宋" w:cs="仿宋"/>
                <w:bCs/>
                <w:iCs/>
                <w:sz w:val="24"/>
                <w:szCs w:val="24"/>
                <w:highlight w:val="none"/>
                <w:lang w:val="en-US" w:eastAsia="zh-CN"/>
              </w:rPr>
              <w:t>近</w:t>
            </w:r>
            <w:r>
              <w:rPr>
                <w:rFonts w:hint="eastAsia" w:ascii="仿宋" w:hAnsi="仿宋" w:eastAsia="仿宋" w:cs="仿宋"/>
                <w:bCs/>
                <w:iCs/>
                <w:sz w:val="24"/>
                <w:szCs w:val="24"/>
                <w:highlight w:val="none"/>
              </w:rPr>
              <w:t>三个月内任意一个月</w:t>
            </w:r>
            <w:r>
              <w:rPr>
                <w:rFonts w:hint="eastAsia" w:ascii="仿宋" w:hAnsi="仿宋" w:eastAsia="仿宋" w:cs="仿宋"/>
                <w:bCs/>
                <w:iCs/>
                <w:sz w:val="24"/>
                <w:szCs w:val="24"/>
                <w:highlight w:val="none"/>
                <w:lang w:val="en-US" w:eastAsia="zh-CN"/>
              </w:rPr>
              <w:t>的</w:t>
            </w:r>
            <w:r>
              <w:rPr>
                <w:rFonts w:hint="eastAsia" w:ascii="仿宋" w:hAnsi="仿宋" w:eastAsia="仿宋" w:cs="仿宋"/>
                <w:bCs/>
                <w:iCs/>
                <w:sz w:val="24"/>
                <w:szCs w:val="24"/>
                <w:highlight w:val="none"/>
              </w:rPr>
              <w:t>银行资信证明）</w:t>
            </w:r>
            <w:r>
              <w:rPr>
                <w:rFonts w:hint="eastAsia" w:ascii="仿宋" w:hAnsi="仿宋" w:eastAsia="仿宋" w:cs="仿宋"/>
                <w:color w:val="auto"/>
                <w:kern w:val="2"/>
                <w:sz w:val="24"/>
                <w:szCs w:val="24"/>
                <w:highlight w:val="none"/>
                <w:lang w:eastAsia="zh-CN"/>
              </w:rPr>
              <w:t>；</w:t>
            </w:r>
          </w:p>
          <w:p w14:paraId="5B27FA80">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6.投标</w:t>
            </w:r>
            <w:r>
              <w:rPr>
                <w:rFonts w:hint="eastAsia" w:ascii="仿宋" w:hAnsi="仿宋" w:eastAsia="仿宋" w:cs="仿宋"/>
                <w:color w:val="auto"/>
                <w:sz w:val="24"/>
                <w:highlight w:val="none"/>
                <w:lang w:val="en-US" w:eastAsia="zh-CN"/>
              </w:rPr>
              <w:t>企业</w:t>
            </w:r>
            <w:r>
              <w:rPr>
                <w:rFonts w:hint="eastAsia" w:ascii="仿宋" w:hAnsi="仿宋" w:eastAsia="仿宋" w:cs="仿宋"/>
                <w:color w:val="auto"/>
                <w:sz w:val="24"/>
                <w:highlight w:val="none"/>
                <w:lang w:eastAsia="zh-CN"/>
              </w:rPr>
              <w:t>按招标文件要求缴纳投标保证金的缴款凭证或金融机构、担保机构出具的保函；</w:t>
            </w:r>
          </w:p>
          <w:p w14:paraId="6E3F2771">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7.</w:t>
            </w:r>
            <w:r>
              <w:rPr>
                <w:rFonts w:hint="eastAsia" w:ascii="仿宋" w:hAnsi="仿宋" w:eastAsia="仿宋" w:cs="仿宋"/>
                <w:bCs/>
                <w:iCs/>
                <w:sz w:val="24"/>
                <w:szCs w:val="24"/>
                <w:highlight w:val="none"/>
              </w:rPr>
              <w:t>参与政府采购活动供应商在前3年内未被“信用中国”网站（www.creditchina.gov.cn）、“中国政府采购网”(www.ccgp.gov.cn)列入失信被执行人、</w:t>
            </w:r>
            <w:r>
              <w:rPr>
                <w:rFonts w:hint="eastAsia" w:ascii="仿宋" w:hAnsi="仿宋" w:eastAsia="仿宋" w:cs="仿宋"/>
                <w:bCs/>
                <w:iCs/>
                <w:sz w:val="24"/>
                <w:szCs w:val="24"/>
                <w:highlight w:val="none"/>
                <w:lang w:eastAsia="zh-CN"/>
              </w:rPr>
              <w:t>重大税收违法失信主体</w:t>
            </w:r>
            <w:r>
              <w:rPr>
                <w:rFonts w:hint="eastAsia" w:ascii="仿宋" w:hAnsi="仿宋" w:eastAsia="仿宋" w:cs="仿宋"/>
                <w:bCs/>
                <w:iCs/>
                <w:sz w:val="24"/>
                <w:szCs w:val="24"/>
                <w:highlight w:val="none"/>
              </w:rPr>
              <w:t>、政府采购严重失信行为记录名单（提供网页截图）；（以招标代理或招标人查询为准）</w:t>
            </w:r>
          </w:p>
          <w:p w14:paraId="4EB7BB71">
            <w:pPr>
              <w:pStyle w:val="1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投标单位（供应商）其法人参加本次采购活动前三年内，在经营活动中没有重大违法记录的声明及对本次项目《反商业贿赂承诺书》；</w:t>
            </w:r>
          </w:p>
          <w:p w14:paraId="099C7141">
            <w:pPr>
              <w:pStyle w:val="17"/>
              <w:rPr>
                <w:rFonts w:hint="eastAsia" w:ascii="仿宋" w:hAnsi="仿宋" w:eastAsia="仿宋" w:cs="仿宋"/>
                <w:snapToGrid w:val="0"/>
                <w:color w:val="auto"/>
                <w:sz w:val="24"/>
                <w:szCs w:val="21"/>
                <w:highlight w:val="none"/>
                <w:lang w:val="en-US" w:eastAsia="en-US" w:bidi="ar-SA"/>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.本项目不接受联合体投标。</w:t>
            </w:r>
          </w:p>
          <w:p w14:paraId="2C577444">
            <w:pPr>
              <w:spacing w:before="142" w:line="243" w:lineRule="auto"/>
              <w:ind w:left="2"/>
              <w:jc w:val="both"/>
              <w:rPr>
                <w:rFonts w:hint="eastAsia" w:ascii="仿宋" w:hAnsi="仿宋" w:eastAsia="仿宋" w:cs="仿宋"/>
                <w:color w:val="auto"/>
                <w:highlight w:val="none"/>
              </w:rPr>
            </w:pPr>
            <w:r>
              <w:rPr>
                <w:rFonts w:hint="eastAsia" w:ascii="仿宋" w:hAnsi="仿宋" w:eastAsia="仿宋" w:cs="仿宋"/>
                <w:b/>
                <w:bCs/>
                <w:spacing w:val="11"/>
                <w:sz w:val="23"/>
                <w:szCs w:val="23"/>
                <w:highlight w:val="none"/>
                <w:lang w:eastAsia="zh-CN"/>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w:t>
            </w:r>
            <w:r>
              <w:rPr>
                <w:rFonts w:hint="eastAsia" w:ascii="仿宋" w:hAnsi="仿宋" w:eastAsia="仿宋" w:cs="仿宋"/>
                <w:b/>
                <w:bCs/>
                <w:spacing w:val="11"/>
                <w:sz w:val="23"/>
                <w:szCs w:val="23"/>
                <w:highlight w:val="none"/>
              </w:rPr>
              <w:t>请各供应商注意！</w:t>
            </w:r>
          </w:p>
        </w:tc>
      </w:tr>
      <w:tr w14:paraId="2042F4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41FF9D65">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1.3.2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95B1846">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是否允许采购进口产品：</w:t>
            </w:r>
            <w:r>
              <w:rPr>
                <w:rStyle w:val="28"/>
                <w:rFonts w:hint="eastAsia" w:ascii="仿宋" w:hAnsi="仿宋" w:eastAsia="仿宋" w:cs="仿宋"/>
                <w:color w:val="auto"/>
                <w:sz w:val="24"/>
                <w:highlight w:val="none"/>
                <w:u w:val="single"/>
                <w:lang w:val="en-US" w:eastAsia="zh-CN"/>
              </w:rPr>
              <w:t>否</w:t>
            </w:r>
          </w:p>
        </w:tc>
      </w:tr>
      <w:tr w14:paraId="0B652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54142DD3">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1.3.3</w:t>
            </w:r>
          </w:p>
        </w:tc>
        <w:tc>
          <w:tcPr>
            <w:tcW w:w="8294" w:type="dxa"/>
            <w:tcBorders>
              <w:top w:val="single" w:color="000000" w:sz="6" w:space="0"/>
              <w:left w:val="single" w:color="000000" w:sz="6" w:space="0"/>
              <w:bottom w:val="single" w:color="000000" w:sz="6" w:space="0"/>
              <w:right w:val="single" w:color="000000" w:sz="12" w:space="0"/>
            </w:tcBorders>
            <w:vAlign w:val="center"/>
          </w:tcPr>
          <w:p w14:paraId="43FF8238">
            <w:pPr>
              <w:spacing w:line="240" w:lineRule="atLeast"/>
              <w:rPr>
                <w:rStyle w:val="28"/>
                <w:rFonts w:hint="default" w:ascii="仿宋" w:hAnsi="仿宋" w:eastAsia="仿宋" w:cs="仿宋"/>
                <w:color w:val="auto"/>
                <w:sz w:val="24"/>
                <w:highlight w:val="none"/>
                <w:lang w:val="en-US" w:eastAsia="zh-CN"/>
              </w:rPr>
            </w:pPr>
            <w:r>
              <w:rPr>
                <w:rStyle w:val="28"/>
                <w:rFonts w:hint="eastAsia" w:ascii="仿宋" w:hAnsi="仿宋" w:eastAsia="仿宋" w:cs="仿宋"/>
                <w:color w:val="auto"/>
                <w:sz w:val="24"/>
                <w:highlight w:val="none"/>
                <w:lang w:eastAsia="zh-CN"/>
              </w:rPr>
              <w:t>是否为专门面向中小企业采购：</w:t>
            </w:r>
            <w:r>
              <w:rPr>
                <w:rStyle w:val="28"/>
                <w:rFonts w:hint="eastAsia" w:ascii="仿宋" w:hAnsi="仿宋" w:eastAsia="仿宋" w:cs="仿宋"/>
                <w:color w:val="auto"/>
                <w:sz w:val="24"/>
                <w:highlight w:val="none"/>
                <w:u w:val="single"/>
                <w:lang w:val="en-US" w:eastAsia="zh-CN"/>
              </w:rPr>
              <w:t>否</w:t>
            </w:r>
          </w:p>
        </w:tc>
      </w:tr>
      <w:tr w14:paraId="5D10D7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78450019">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lang w:eastAsia="zh-CN"/>
              </w:rPr>
              <w:t>·</w:t>
            </w:r>
            <w:r>
              <w:rPr>
                <w:rStyle w:val="28"/>
                <w:rFonts w:hint="eastAsia" w:ascii="仿宋" w:hAnsi="仿宋" w:eastAsia="仿宋" w:cs="仿宋"/>
                <w:color w:val="auto"/>
                <w:sz w:val="24"/>
                <w:highlight w:val="none"/>
              </w:rPr>
              <w:t>1.4.1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3E44CE1">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是否允许联合体投标：</w:t>
            </w:r>
            <w:r>
              <w:rPr>
                <w:rStyle w:val="28"/>
                <w:rFonts w:hint="eastAsia" w:ascii="仿宋" w:hAnsi="仿宋" w:eastAsia="仿宋" w:cs="仿宋"/>
                <w:color w:val="auto"/>
                <w:sz w:val="24"/>
                <w:highlight w:val="none"/>
                <w:u w:val="single"/>
                <w:lang w:eastAsia="zh-CN"/>
              </w:rPr>
              <w:t>否</w:t>
            </w:r>
          </w:p>
        </w:tc>
      </w:tr>
      <w:tr w14:paraId="59C4B2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37614E3">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1.4.2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442B870">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联合体的其他资格要求：无</w:t>
            </w:r>
          </w:p>
        </w:tc>
      </w:tr>
      <w:tr w14:paraId="4244A3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71C8177">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2.1</w:t>
            </w:r>
          </w:p>
        </w:tc>
        <w:tc>
          <w:tcPr>
            <w:tcW w:w="8294" w:type="dxa"/>
            <w:tcBorders>
              <w:top w:val="single" w:color="000000" w:sz="6" w:space="0"/>
              <w:left w:val="single" w:color="000000" w:sz="6" w:space="0"/>
              <w:bottom w:val="single" w:color="000000" w:sz="6" w:space="0"/>
              <w:right w:val="single" w:color="000000" w:sz="12" w:space="0"/>
            </w:tcBorders>
            <w:vAlign w:val="center"/>
          </w:tcPr>
          <w:p w14:paraId="4784F0DC">
            <w:pPr>
              <w:spacing w:line="240" w:lineRule="atLeast"/>
              <w:rPr>
                <w:rStyle w:val="28"/>
                <w:rFonts w:hint="eastAsia" w:ascii="仿宋" w:hAnsi="仿宋" w:eastAsia="仿宋" w:cs="仿宋"/>
                <w:b/>
                <w:bCs/>
                <w:color w:val="auto"/>
                <w:sz w:val="24"/>
                <w:highlight w:val="none"/>
                <w:lang w:val="zh-CN" w:eastAsia="zh-CN"/>
              </w:rPr>
            </w:pPr>
            <w:r>
              <w:rPr>
                <w:rStyle w:val="28"/>
                <w:rFonts w:hint="eastAsia" w:ascii="仿宋" w:hAnsi="仿宋" w:eastAsia="仿宋" w:cs="仿宋"/>
                <w:b/>
                <w:bCs/>
                <w:color w:val="auto"/>
                <w:sz w:val="24"/>
                <w:highlight w:val="none"/>
                <w:lang w:val="zh-CN" w:eastAsia="zh-CN"/>
              </w:rPr>
              <w:t>采购预算：</w:t>
            </w:r>
            <w:r>
              <w:rPr>
                <w:rStyle w:val="28"/>
                <w:rFonts w:hint="eastAsia" w:ascii="仿宋" w:hAnsi="仿宋" w:eastAsia="仿宋" w:cs="仿宋"/>
                <w:color w:val="auto"/>
                <w:sz w:val="24"/>
                <w:highlight w:val="none"/>
                <w:lang w:val="en-US" w:eastAsia="zh-CN"/>
              </w:rPr>
              <w:t>2228527.2</w:t>
            </w:r>
            <w:r>
              <w:rPr>
                <w:rFonts w:hint="eastAsia" w:ascii="仿宋" w:hAnsi="仿宋" w:eastAsia="仿宋" w:cs="仿宋"/>
                <w:color w:val="auto"/>
                <w:kern w:val="2"/>
                <w:sz w:val="24"/>
                <w:highlight w:val="none"/>
                <w:lang w:eastAsia="zh-CN"/>
              </w:rPr>
              <w:t>元；最高限价：</w:t>
            </w:r>
            <w:r>
              <w:rPr>
                <w:rStyle w:val="28"/>
                <w:rFonts w:hint="eastAsia" w:ascii="仿宋" w:hAnsi="仿宋" w:eastAsia="仿宋" w:cs="仿宋"/>
                <w:color w:val="auto"/>
                <w:sz w:val="24"/>
                <w:highlight w:val="none"/>
                <w:lang w:val="en-US" w:eastAsia="zh-CN"/>
              </w:rPr>
              <w:t>2228527.2</w:t>
            </w:r>
            <w:r>
              <w:rPr>
                <w:rFonts w:hint="eastAsia" w:ascii="仿宋" w:hAnsi="仿宋" w:eastAsia="仿宋" w:cs="仿宋"/>
                <w:color w:val="auto"/>
                <w:kern w:val="2"/>
                <w:sz w:val="24"/>
                <w:highlight w:val="none"/>
                <w:lang w:eastAsia="zh-CN"/>
              </w:rPr>
              <w:t>元。</w:t>
            </w:r>
          </w:p>
          <w:p w14:paraId="010759E7">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（超过最高限价的投标无效）；</w:t>
            </w:r>
          </w:p>
        </w:tc>
      </w:tr>
      <w:tr w14:paraId="707EB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5F5F5D25">
            <w:pPr>
              <w:spacing w:line="240" w:lineRule="atLeast"/>
              <w:jc w:val="center"/>
              <w:rPr>
                <w:rStyle w:val="28"/>
                <w:rFonts w:hint="eastAsia" w:ascii="仿宋" w:hAnsi="仿宋" w:eastAsia="仿宋" w:cs="仿宋"/>
                <w:color w:val="auto"/>
                <w:sz w:val="24"/>
                <w:highlight w:val="none"/>
                <w:lang w:val="zh-CN"/>
              </w:rPr>
            </w:pPr>
            <w:r>
              <w:rPr>
                <w:rStyle w:val="28"/>
                <w:rFonts w:hint="eastAsia" w:ascii="仿宋" w:hAnsi="仿宋" w:eastAsia="仿宋" w:cs="仿宋"/>
                <w:color w:val="auto"/>
                <w:sz w:val="24"/>
                <w:highlight w:val="none"/>
                <w:lang w:val="zh-CN"/>
              </w:rPr>
              <w:t>2.2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27918C3">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注：本项目不分标段</w:t>
            </w:r>
            <w:r>
              <w:rPr>
                <w:rFonts w:hint="eastAsia" w:ascii="仿宋" w:hAnsi="仿宋" w:eastAsia="仿宋" w:cs="仿宋"/>
                <w:bCs/>
                <w:color w:val="auto"/>
                <w:sz w:val="24"/>
                <w:szCs w:val="24"/>
                <w:highlight w:val="none"/>
                <w:lang w:eastAsia="zh-CN"/>
              </w:rPr>
              <w:t>。</w:t>
            </w:r>
          </w:p>
        </w:tc>
      </w:tr>
      <w:tr w14:paraId="0C2EF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6C0535C">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12.1</w:t>
            </w:r>
          </w:p>
        </w:tc>
        <w:tc>
          <w:tcPr>
            <w:tcW w:w="8294" w:type="dxa"/>
            <w:tcBorders>
              <w:top w:val="single" w:color="000000" w:sz="6" w:space="0"/>
              <w:left w:val="single" w:color="000000" w:sz="6" w:space="0"/>
              <w:bottom w:val="single" w:color="000000" w:sz="6" w:space="0"/>
              <w:right w:val="single" w:color="000000" w:sz="12" w:space="0"/>
            </w:tcBorders>
            <w:vAlign w:val="center"/>
          </w:tcPr>
          <w:tbl>
            <w:tblPr>
              <w:tblStyle w:val="37"/>
              <w:tblW w:w="859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3"/>
            </w:tblGrid>
            <w:tr w14:paraId="0C33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1" w:hRule="atLeast"/>
              </w:trPr>
              <w:tc>
                <w:tcPr>
                  <w:tcW w:w="8593" w:type="dxa"/>
                  <w:tcBorders>
                    <w:right w:val="single" w:color="000000" w:sz="10" w:space="0"/>
                  </w:tcBorders>
                </w:tcPr>
                <w:p w14:paraId="12A7D8F0">
                  <w:pPr>
                    <w:spacing w:before="43" w:line="408" w:lineRule="exact"/>
                    <w:ind w:left="6"/>
                    <w:rPr>
                      <w:rFonts w:hint="eastAsia" w:ascii="仿宋" w:hAnsi="仿宋" w:eastAsia="仿宋" w:cs="仿宋"/>
                      <w:color w:val="auto"/>
                      <w:kern w:val="2"/>
                      <w:sz w:val="24"/>
                      <w:szCs w:val="24"/>
                      <w:highlight w:val="none"/>
                      <w:lang w:eastAsia="zh-CN"/>
                    </w:rPr>
                  </w:pPr>
                  <w:r>
                    <w:rPr>
                      <w:rFonts w:hint="eastAsia" w:ascii="仿宋" w:hAnsi="仿宋" w:eastAsia="仿宋" w:cs="仿宋"/>
                      <w:spacing w:val="3"/>
                      <w:position w:val="4"/>
                      <w:sz w:val="23"/>
                      <w:szCs w:val="23"/>
                      <w:highlight w:val="none"/>
                      <w:lang w:eastAsia="zh-CN"/>
                    </w:rPr>
                    <w:t>投标保证金形式：</w:t>
                  </w:r>
                  <w:r>
                    <w:rPr>
                      <w:rFonts w:hint="eastAsia" w:ascii="仿宋" w:hAnsi="仿宋" w:eastAsia="仿宋" w:cs="仿宋"/>
                      <w:color w:val="auto"/>
                      <w:kern w:val="2"/>
                      <w:sz w:val="24"/>
                      <w:szCs w:val="24"/>
                      <w:highlight w:val="none"/>
                      <w:lang w:eastAsia="zh-CN"/>
                    </w:rPr>
                    <w:t>☑电汇☑支票☑本票☑保函☑等非现金形式提交</w:t>
                  </w:r>
                </w:p>
                <w:p w14:paraId="1FB5761A">
                  <w:pPr>
                    <w:spacing w:before="43" w:line="408" w:lineRule="exact"/>
                    <w:ind w:left="6"/>
                    <w:rPr>
                      <w:rFonts w:hint="default"/>
                      <w:highlight w:val="none"/>
                      <w:lang w:val="en-US" w:eastAsia="zh-CN"/>
                    </w:rPr>
                  </w:pPr>
                  <w:r>
                    <w:rPr>
                      <w:rFonts w:hint="eastAsia" w:ascii="仿宋" w:hAnsi="仿宋" w:eastAsia="仿宋" w:cs="仿宋"/>
                      <w:spacing w:val="2"/>
                      <w:position w:val="4"/>
                      <w:sz w:val="23"/>
                      <w:szCs w:val="23"/>
                      <w:highlight w:val="none"/>
                      <w:lang w:eastAsia="zh-CN"/>
                    </w:rPr>
                    <w:t>投标保证金数额：</w:t>
                  </w:r>
                  <w:r>
                    <w:rPr>
                      <w:rFonts w:hint="eastAsia" w:ascii="仿宋" w:hAnsi="仿宋" w:eastAsia="仿宋" w:cs="仿宋"/>
                      <w:spacing w:val="2"/>
                      <w:position w:val="4"/>
                      <w:sz w:val="23"/>
                      <w:szCs w:val="23"/>
                      <w:highlight w:val="none"/>
                      <w:lang w:val="en-US" w:eastAsia="zh-CN"/>
                    </w:rPr>
                    <w:t>20</w:t>
                  </w:r>
                  <w:r>
                    <w:rPr>
                      <w:rFonts w:hint="eastAsia" w:ascii="仿宋" w:hAnsi="仿宋" w:eastAsia="仿宋" w:cs="仿宋"/>
                      <w:spacing w:val="2"/>
                      <w:position w:val="4"/>
                      <w:sz w:val="23"/>
                      <w:szCs w:val="23"/>
                      <w:highlight w:val="none"/>
                      <w:lang w:eastAsia="zh-CN"/>
                    </w:rPr>
                    <w:t>000元（</w:t>
                  </w:r>
                  <w:r>
                    <w:rPr>
                      <w:rFonts w:hint="eastAsia" w:ascii="仿宋" w:hAnsi="仿宋" w:eastAsia="仿宋" w:cs="仿宋"/>
                      <w:spacing w:val="2"/>
                      <w:position w:val="4"/>
                      <w:sz w:val="23"/>
                      <w:szCs w:val="23"/>
                      <w:highlight w:val="none"/>
                      <w:lang w:val="en-US" w:eastAsia="zh-CN"/>
                    </w:rPr>
                    <w:t>贰万元整</w:t>
                  </w:r>
                  <w:r>
                    <w:rPr>
                      <w:rFonts w:hint="eastAsia" w:ascii="仿宋" w:hAnsi="仿宋" w:eastAsia="仿宋" w:cs="仿宋"/>
                      <w:spacing w:val="2"/>
                      <w:position w:val="4"/>
                      <w:sz w:val="23"/>
                      <w:szCs w:val="23"/>
                      <w:highlight w:val="none"/>
                      <w:lang w:eastAsia="zh-CN"/>
                    </w:rPr>
                    <w:t>）；</w:t>
                  </w:r>
                </w:p>
                <w:p w14:paraId="3A5CE8DC">
                  <w:pPr>
                    <w:spacing w:before="34" w:line="244" w:lineRule="auto"/>
                    <w:ind w:left="9" w:right="61" w:firstLine="5"/>
                    <w:jc w:val="both"/>
                    <w:rPr>
                      <w:rFonts w:hint="eastAsia" w:ascii="仿宋" w:hAnsi="仿宋" w:eastAsia="仿宋" w:cs="仿宋"/>
                      <w:spacing w:val="2"/>
                      <w:position w:val="4"/>
                      <w:sz w:val="23"/>
                      <w:szCs w:val="23"/>
                      <w:highlight w:val="none"/>
                      <w:lang w:eastAsia="zh-CN"/>
                    </w:rPr>
                  </w:pPr>
                  <w:r>
                    <w:rPr>
                      <w:rFonts w:hint="eastAsia" w:ascii="仿宋" w:hAnsi="仿宋" w:eastAsia="仿宋" w:cs="仿宋"/>
                      <w:spacing w:val="2"/>
                      <w:position w:val="4"/>
                      <w:sz w:val="23"/>
                      <w:szCs w:val="23"/>
                      <w:highlight w:val="none"/>
                      <w:lang w:eastAsia="zh-CN"/>
                    </w:rPr>
                    <w:t>投标保证金缴纳账户：伽师县卫生健康委员会</w:t>
                  </w:r>
                </w:p>
                <w:p w14:paraId="6AF1CFF7">
                  <w:pPr>
                    <w:spacing w:before="34" w:line="244" w:lineRule="auto"/>
                    <w:ind w:left="9" w:right="61" w:firstLine="5"/>
                    <w:jc w:val="both"/>
                    <w:rPr>
                      <w:rFonts w:hint="eastAsia" w:ascii="仿宋" w:hAnsi="仿宋" w:eastAsia="仿宋" w:cs="仿宋"/>
                      <w:spacing w:val="2"/>
                      <w:position w:val="4"/>
                      <w:sz w:val="23"/>
                      <w:szCs w:val="23"/>
                      <w:highlight w:val="none"/>
                      <w:lang w:eastAsia="zh-CN"/>
                    </w:rPr>
                  </w:pPr>
                  <w:r>
                    <w:rPr>
                      <w:rFonts w:hint="eastAsia" w:ascii="仿宋" w:hAnsi="仿宋" w:eastAsia="仿宋" w:cs="仿宋"/>
                      <w:spacing w:val="2"/>
                      <w:position w:val="4"/>
                      <w:sz w:val="23"/>
                      <w:szCs w:val="23"/>
                      <w:highlight w:val="none"/>
                      <w:lang w:eastAsia="zh-CN"/>
                    </w:rPr>
                    <w:t>银行账号：865010012010102912781　</w:t>
                  </w:r>
                </w:p>
                <w:p w14:paraId="4DA09582">
                  <w:pPr>
                    <w:spacing w:before="34" w:line="244" w:lineRule="auto"/>
                    <w:ind w:left="9" w:right="61" w:firstLine="5"/>
                    <w:jc w:val="both"/>
                    <w:rPr>
                      <w:rFonts w:hint="default" w:ascii="仿宋" w:hAnsi="仿宋" w:eastAsia="仿宋" w:cs="仿宋"/>
                      <w:spacing w:val="2"/>
                      <w:position w:val="4"/>
                      <w:sz w:val="23"/>
                      <w:szCs w:val="23"/>
                      <w:highlight w:val="none"/>
                      <w:lang w:val="en-US" w:eastAsia="zh-CN"/>
                    </w:rPr>
                  </w:pPr>
                  <w:r>
                    <w:rPr>
                      <w:rFonts w:hint="eastAsia" w:ascii="仿宋" w:hAnsi="仿宋" w:eastAsia="仿宋" w:cs="仿宋"/>
                      <w:spacing w:val="2"/>
                      <w:position w:val="4"/>
                      <w:sz w:val="23"/>
                      <w:szCs w:val="23"/>
                      <w:highlight w:val="none"/>
                      <w:lang w:eastAsia="zh-CN"/>
                    </w:rPr>
                    <w:t>开 户 行：</w:t>
                  </w:r>
                  <w:r>
                    <w:rPr>
                      <w:rFonts w:hint="eastAsia" w:ascii="仿宋" w:hAnsi="仿宋" w:eastAsia="仿宋" w:cs="仿宋"/>
                      <w:color w:val="auto"/>
                      <w:sz w:val="24"/>
                      <w:highlight w:val="none"/>
                      <w:lang w:eastAsia="zh-CN"/>
                    </w:rPr>
                    <w:t>伽师县农村信用合作联社</w:t>
                  </w:r>
                </w:p>
                <w:p w14:paraId="571D9875">
                  <w:pPr>
                    <w:spacing w:before="34" w:line="244" w:lineRule="auto"/>
                    <w:ind w:left="9" w:right="61" w:firstLine="5"/>
                    <w:jc w:val="both"/>
                    <w:rPr>
                      <w:rFonts w:hint="eastAsia" w:ascii="仿宋" w:hAnsi="仿宋" w:eastAsia="仿宋" w:cs="仿宋"/>
                      <w:sz w:val="23"/>
                      <w:szCs w:val="23"/>
                      <w:highlight w:val="none"/>
                      <w:lang w:eastAsia="zh-CN"/>
                    </w:rPr>
                  </w:pPr>
                  <w:r>
                    <w:rPr>
                      <w:rFonts w:hint="eastAsia" w:ascii="仿宋" w:hAnsi="仿宋" w:eastAsia="仿宋" w:cs="仿宋"/>
                      <w:b/>
                      <w:bCs/>
                      <w:spacing w:val="2"/>
                      <w:position w:val="4"/>
                      <w:sz w:val="23"/>
                      <w:szCs w:val="23"/>
                      <w:highlight w:val="none"/>
                      <w:lang w:eastAsia="zh-CN"/>
                    </w:rPr>
                    <w:t>注：退还投标保证金时需提供开户信息及开户行行号，请主动联系提供相</w:t>
                  </w:r>
                  <w:r>
                    <w:rPr>
                      <w:rFonts w:hint="eastAsia" w:ascii="仿宋" w:hAnsi="仿宋" w:eastAsia="仿宋" w:cs="仿宋"/>
                      <w:spacing w:val="2"/>
                      <w:position w:val="4"/>
                      <w:sz w:val="23"/>
                      <w:szCs w:val="23"/>
                      <w:highlight w:val="none"/>
                      <w:lang w:eastAsia="zh-CN"/>
                    </w:rPr>
                    <w:t>关资料。</w:t>
                  </w:r>
                  <w:r>
                    <w:rPr>
                      <w:rFonts w:hint="eastAsia" w:ascii="仿宋" w:hAnsi="仿宋" w:eastAsia="仿宋" w:cs="仿宋"/>
                      <w:b/>
                      <w:bCs/>
                      <w:spacing w:val="6"/>
                      <w:sz w:val="23"/>
                      <w:szCs w:val="23"/>
                      <w:highlight w:val="none"/>
                      <w:lang w:eastAsia="zh-CN"/>
                    </w:rPr>
                    <w:t>（根据中华人民共和国财政部令第</w:t>
                  </w:r>
                  <w:r>
                    <w:rPr>
                      <w:rFonts w:hint="eastAsia" w:ascii="仿宋" w:hAnsi="仿宋" w:eastAsia="仿宋" w:cs="仿宋"/>
                      <w:spacing w:val="-36"/>
                      <w:sz w:val="23"/>
                      <w:szCs w:val="23"/>
                      <w:highlight w:val="none"/>
                      <w:lang w:eastAsia="zh-CN"/>
                    </w:rPr>
                    <w:t xml:space="preserve"> </w:t>
                  </w:r>
                  <w:r>
                    <w:rPr>
                      <w:rFonts w:hint="eastAsia" w:ascii="仿宋" w:hAnsi="仿宋" w:eastAsia="仿宋" w:cs="仿宋"/>
                      <w:b/>
                      <w:bCs/>
                      <w:spacing w:val="6"/>
                      <w:sz w:val="23"/>
                      <w:szCs w:val="23"/>
                      <w:highlight w:val="none"/>
                      <w:lang w:eastAsia="zh-CN"/>
                    </w:rPr>
                    <w:t>87</w:t>
                  </w:r>
                  <w:r>
                    <w:rPr>
                      <w:rFonts w:hint="eastAsia" w:ascii="仿宋" w:hAnsi="仿宋" w:eastAsia="仿宋" w:cs="仿宋"/>
                      <w:spacing w:val="-31"/>
                      <w:sz w:val="23"/>
                      <w:szCs w:val="23"/>
                      <w:highlight w:val="none"/>
                      <w:lang w:eastAsia="zh-CN"/>
                    </w:rPr>
                    <w:t xml:space="preserve"> </w:t>
                  </w:r>
                  <w:r>
                    <w:rPr>
                      <w:rFonts w:hint="eastAsia" w:ascii="仿宋" w:hAnsi="仿宋" w:eastAsia="仿宋" w:cs="仿宋"/>
                      <w:b/>
                      <w:bCs/>
                      <w:spacing w:val="6"/>
                      <w:sz w:val="23"/>
                      <w:szCs w:val="23"/>
                      <w:highlight w:val="none"/>
                      <w:lang w:eastAsia="zh-CN"/>
                    </w:rPr>
                    <w:t>号《政府采购货物和服务招标投</w:t>
                  </w:r>
                  <w:r>
                    <w:rPr>
                      <w:rFonts w:hint="eastAsia" w:ascii="仿宋" w:hAnsi="仿宋" w:eastAsia="仿宋" w:cs="仿宋"/>
                      <w:sz w:val="23"/>
                      <w:szCs w:val="23"/>
                      <w:highlight w:val="none"/>
                      <w:lang w:eastAsia="zh-CN"/>
                    </w:rPr>
                    <w:t xml:space="preserve">  </w:t>
                  </w:r>
                  <w:r>
                    <w:rPr>
                      <w:rFonts w:hint="eastAsia" w:ascii="仿宋" w:hAnsi="仿宋" w:eastAsia="仿宋" w:cs="仿宋"/>
                      <w:b/>
                      <w:bCs/>
                      <w:spacing w:val="5"/>
                      <w:sz w:val="23"/>
                      <w:szCs w:val="23"/>
                      <w:highlight w:val="none"/>
                      <w:lang w:eastAsia="zh-CN"/>
                    </w:rPr>
                    <w:t>标管理办法》第</w:t>
                  </w:r>
                  <w:r>
                    <w:rPr>
                      <w:rFonts w:hint="eastAsia" w:ascii="仿宋" w:hAnsi="仿宋" w:eastAsia="仿宋" w:cs="仿宋"/>
                      <w:spacing w:val="-34"/>
                      <w:sz w:val="23"/>
                      <w:szCs w:val="23"/>
                      <w:highlight w:val="none"/>
                      <w:lang w:eastAsia="zh-CN"/>
                    </w:rPr>
                    <w:t xml:space="preserve"> </w:t>
                  </w:r>
                  <w:r>
                    <w:rPr>
                      <w:rFonts w:hint="eastAsia" w:ascii="仿宋" w:hAnsi="仿宋" w:eastAsia="仿宋" w:cs="仿宋"/>
                      <w:b/>
                      <w:bCs/>
                      <w:spacing w:val="5"/>
                      <w:sz w:val="23"/>
                      <w:szCs w:val="23"/>
                      <w:highlight w:val="none"/>
                      <w:lang w:eastAsia="zh-CN"/>
                    </w:rPr>
                    <w:t>38</w:t>
                  </w:r>
                  <w:r>
                    <w:rPr>
                      <w:rFonts w:hint="eastAsia" w:ascii="仿宋" w:hAnsi="仿宋" w:eastAsia="仿宋" w:cs="仿宋"/>
                      <w:spacing w:val="-34"/>
                      <w:sz w:val="23"/>
                      <w:szCs w:val="23"/>
                      <w:highlight w:val="none"/>
                      <w:lang w:eastAsia="zh-CN"/>
                    </w:rPr>
                    <w:t xml:space="preserve"> </w:t>
                  </w:r>
                  <w:r>
                    <w:rPr>
                      <w:rFonts w:hint="eastAsia" w:ascii="仿宋" w:hAnsi="仿宋" w:eastAsia="仿宋" w:cs="仿宋"/>
                      <w:b/>
                      <w:bCs/>
                      <w:spacing w:val="5"/>
                      <w:sz w:val="23"/>
                      <w:szCs w:val="23"/>
                      <w:highlight w:val="none"/>
                      <w:lang w:eastAsia="zh-CN"/>
                    </w:rPr>
                    <w:t>条：投标保证金应当自中标通知书发出之日起</w:t>
                  </w:r>
                  <w:r>
                    <w:rPr>
                      <w:rFonts w:hint="eastAsia" w:ascii="仿宋" w:hAnsi="仿宋" w:eastAsia="仿宋" w:cs="仿宋"/>
                      <w:spacing w:val="-39"/>
                      <w:sz w:val="23"/>
                      <w:szCs w:val="23"/>
                      <w:highlight w:val="none"/>
                      <w:lang w:eastAsia="zh-CN"/>
                    </w:rPr>
                    <w:t xml:space="preserve"> </w:t>
                  </w:r>
                  <w:r>
                    <w:rPr>
                      <w:rFonts w:hint="eastAsia" w:ascii="仿宋" w:hAnsi="仿宋" w:eastAsia="仿宋" w:cs="仿宋"/>
                      <w:b/>
                      <w:bCs/>
                      <w:spacing w:val="5"/>
                      <w:sz w:val="23"/>
                      <w:szCs w:val="23"/>
                      <w:highlight w:val="none"/>
                      <w:lang w:eastAsia="zh-CN"/>
                    </w:rPr>
                    <w:t>5</w:t>
                  </w:r>
                  <w:r>
                    <w:rPr>
                      <w:rFonts w:hint="eastAsia" w:ascii="仿宋" w:hAnsi="仿宋" w:eastAsia="仿宋" w:cs="仿宋"/>
                      <w:spacing w:val="-38"/>
                      <w:sz w:val="23"/>
                      <w:szCs w:val="23"/>
                      <w:highlight w:val="none"/>
                      <w:lang w:eastAsia="zh-CN"/>
                    </w:rPr>
                    <w:t xml:space="preserve"> </w:t>
                  </w:r>
                  <w:r>
                    <w:rPr>
                      <w:rFonts w:hint="eastAsia" w:ascii="仿宋" w:hAnsi="仿宋" w:eastAsia="仿宋" w:cs="仿宋"/>
                      <w:b/>
                      <w:bCs/>
                      <w:spacing w:val="5"/>
                      <w:sz w:val="23"/>
                      <w:szCs w:val="23"/>
                      <w:highlight w:val="none"/>
                      <w:lang w:eastAsia="zh-CN"/>
                    </w:rPr>
                    <w:t>个</w:t>
                  </w:r>
                  <w:r>
                    <w:rPr>
                      <w:rFonts w:hint="eastAsia" w:ascii="仿宋" w:hAnsi="仿宋" w:eastAsia="仿宋" w:cs="仿宋"/>
                      <w:b/>
                      <w:bCs/>
                      <w:spacing w:val="7"/>
                      <w:sz w:val="23"/>
                      <w:szCs w:val="23"/>
                      <w:highlight w:val="none"/>
                      <w:lang w:eastAsia="zh-CN"/>
                    </w:rPr>
                    <w:t>工作日内退还未中标人的投标保证金，采购人自采购合同签订之日起</w:t>
                  </w:r>
                  <w:r>
                    <w:rPr>
                      <w:rFonts w:hint="eastAsia" w:ascii="仿宋" w:hAnsi="仿宋" w:eastAsia="仿宋" w:cs="仿宋"/>
                      <w:spacing w:val="-32"/>
                      <w:sz w:val="23"/>
                      <w:szCs w:val="23"/>
                      <w:highlight w:val="none"/>
                      <w:lang w:eastAsia="zh-CN"/>
                    </w:rPr>
                    <w:t xml:space="preserve"> </w:t>
                  </w:r>
                  <w:r>
                    <w:rPr>
                      <w:rFonts w:hint="eastAsia" w:ascii="仿宋" w:hAnsi="仿宋" w:eastAsia="仿宋" w:cs="仿宋"/>
                      <w:b/>
                      <w:bCs/>
                      <w:spacing w:val="7"/>
                      <w:sz w:val="23"/>
                      <w:szCs w:val="23"/>
                      <w:highlight w:val="none"/>
                      <w:lang w:eastAsia="zh-CN"/>
                    </w:rPr>
                    <w:t>5</w:t>
                  </w:r>
                  <w:r>
                    <w:rPr>
                      <w:rFonts w:hint="eastAsia" w:ascii="仿宋" w:hAnsi="仿宋" w:eastAsia="仿宋" w:cs="仿宋"/>
                      <w:sz w:val="23"/>
                      <w:szCs w:val="23"/>
                      <w:highlight w:val="none"/>
                      <w:lang w:eastAsia="zh-CN"/>
                    </w:rPr>
                    <w:t xml:space="preserve"> </w:t>
                  </w:r>
                  <w:r>
                    <w:rPr>
                      <w:rFonts w:hint="eastAsia" w:ascii="仿宋" w:hAnsi="仿宋" w:eastAsia="仿宋" w:cs="仿宋"/>
                      <w:b/>
                      <w:bCs/>
                      <w:spacing w:val="6"/>
                      <w:sz w:val="23"/>
                      <w:szCs w:val="23"/>
                      <w:highlight w:val="none"/>
                      <w:lang w:eastAsia="zh-CN"/>
                    </w:rPr>
                    <w:t>个工作日内退还中标人的投标保证金。）</w:t>
                  </w:r>
                </w:p>
                <w:p w14:paraId="20B0DD9B">
                  <w:pPr>
                    <w:spacing w:before="29" w:line="215" w:lineRule="auto"/>
                    <w:ind w:left="6"/>
                    <w:rPr>
                      <w:rFonts w:hint="eastAsia" w:ascii="仿宋" w:hAnsi="仿宋" w:eastAsia="仿宋" w:cs="仿宋"/>
                      <w:sz w:val="23"/>
                      <w:szCs w:val="23"/>
                      <w:highlight w:val="none"/>
                      <w:lang w:eastAsia="zh-CN"/>
                    </w:rPr>
                  </w:pPr>
                  <w:r>
                    <w:rPr>
                      <w:rFonts w:hint="eastAsia" w:ascii="仿宋" w:hAnsi="仿宋" w:eastAsia="仿宋" w:cs="仿宋"/>
                      <w:b/>
                      <w:bCs/>
                      <w:spacing w:val="7"/>
                      <w:sz w:val="23"/>
                      <w:szCs w:val="23"/>
                      <w:highlight w:val="none"/>
                      <w:lang w:eastAsia="zh-CN"/>
                    </w:rPr>
                    <w:t>投标人未按招标文件规定缴纳投标保证金的</w:t>
                  </w:r>
                  <w:r>
                    <w:rPr>
                      <w:rFonts w:hint="eastAsia" w:ascii="仿宋" w:hAnsi="仿宋" w:eastAsia="仿宋" w:cs="仿宋"/>
                      <w:b/>
                      <w:bCs/>
                      <w:spacing w:val="6"/>
                      <w:sz w:val="23"/>
                      <w:szCs w:val="23"/>
                      <w:highlight w:val="none"/>
                      <w:lang w:eastAsia="zh-CN"/>
                    </w:rPr>
                    <w:t>,投标文件将被拒绝评审。</w:t>
                  </w:r>
                </w:p>
              </w:tc>
            </w:tr>
          </w:tbl>
          <w:p w14:paraId="480CEA22">
            <w:pPr>
              <w:pStyle w:val="17"/>
              <w:rPr>
                <w:rFonts w:hint="eastAsia" w:ascii="仿宋" w:hAnsi="仿宋" w:eastAsia="仿宋" w:cs="仿宋"/>
                <w:color w:val="auto"/>
                <w:highlight w:val="none"/>
                <w:lang w:eastAsia="zh-CN"/>
              </w:rPr>
            </w:pPr>
          </w:p>
        </w:tc>
      </w:tr>
      <w:tr w14:paraId="5D88BA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60607E5A">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13.1</w:t>
            </w:r>
          </w:p>
        </w:tc>
        <w:tc>
          <w:tcPr>
            <w:tcW w:w="8294" w:type="dxa"/>
            <w:tcBorders>
              <w:top w:val="single" w:color="000000" w:sz="6" w:space="0"/>
              <w:left w:val="single" w:color="000000" w:sz="6" w:space="0"/>
              <w:bottom w:val="single" w:color="000000" w:sz="6" w:space="0"/>
              <w:right w:val="single" w:color="000000" w:sz="12" w:space="0"/>
            </w:tcBorders>
            <w:vAlign w:val="center"/>
          </w:tcPr>
          <w:p w14:paraId="0B39FE62">
            <w:pPr>
              <w:spacing w:line="240" w:lineRule="atLeast"/>
              <w:rPr>
                <w:rStyle w:val="28"/>
                <w:rFonts w:hint="eastAsia" w:ascii="仿宋" w:hAnsi="仿宋" w:eastAsia="仿宋" w:cs="仿宋"/>
                <w:color w:val="auto"/>
                <w:sz w:val="24"/>
                <w:highlight w:val="none"/>
                <w:u w:val="single" w:color="000000"/>
              </w:rPr>
            </w:pPr>
            <w:r>
              <w:rPr>
                <w:rStyle w:val="28"/>
                <w:rFonts w:hint="eastAsia" w:ascii="仿宋" w:hAnsi="仿宋" w:eastAsia="仿宋" w:cs="仿宋"/>
                <w:color w:val="auto"/>
                <w:sz w:val="24"/>
                <w:highlight w:val="none"/>
              </w:rPr>
              <w:t>投标有效期：</w:t>
            </w:r>
            <w:r>
              <w:rPr>
                <w:rStyle w:val="28"/>
                <w:rFonts w:hint="eastAsia" w:ascii="仿宋" w:hAnsi="仿宋" w:eastAsia="仿宋" w:cs="仿宋"/>
                <w:color w:val="auto"/>
                <w:sz w:val="24"/>
                <w:highlight w:val="none"/>
                <w:u w:val="single" w:color="000000"/>
              </w:rPr>
              <w:t>90</w:t>
            </w:r>
            <w:r>
              <w:rPr>
                <w:rStyle w:val="28"/>
                <w:rFonts w:hint="eastAsia" w:ascii="仿宋" w:hAnsi="仿宋" w:eastAsia="仿宋" w:cs="仿宋"/>
                <w:color w:val="auto"/>
                <w:sz w:val="24"/>
                <w:highlight w:val="none"/>
              </w:rPr>
              <w:t>日历日</w:t>
            </w:r>
          </w:p>
        </w:tc>
      </w:tr>
      <w:tr w14:paraId="47E39D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26"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0C33E86">
            <w:pPr>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14.1</w:t>
            </w:r>
          </w:p>
        </w:tc>
        <w:tc>
          <w:tcPr>
            <w:tcW w:w="8294" w:type="dxa"/>
            <w:tcBorders>
              <w:top w:val="single" w:color="000000" w:sz="6" w:space="0"/>
              <w:left w:val="single" w:color="000000" w:sz="6" w:space="0"/>
              <w:bottom w:val="single" w:color="000000" w:sz="6" w:space="0"/>
              <w:right w:val="single" w:color="000000" w:sz="12" w:space="0"/>
            </w:tcBorders>
            <w:vAlign w:val="center"/>
          </w:tcPr>
          <w:p w14:paraId="584370D1">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1.本项目为电子招投标，供应商需要使用 CA 加密设备，凡参加本项目必须可自主通过新疆CA申领渠道“新疆政务通”申请政采云平台可使用的 CA 设备，如原有兵团或公共资源使用的 CA，可与新疆 CA 联系，申请增加电子证书即可，无需重复申领。 </w:t>
            </w:r>
          </w:p>
          <w:p w14:paraId="1A391302">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2.本项目实行网上投标，采用电子投标文件(供应商须使用 CA 加密设备通过政采云电子投标客户端制作投标文件)。若供应商参与投标，自行承担投标一切费用。 </w:t>
            </w:r>
          </w:p>
          <w:p w14:paraId="4A50CA42">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1BCA5754">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 95763 进行咨询。 </w:t>
            </w:r>
          </w:p>
          <w:p w14:paraId="10952095">
            <w:pP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045AA95F">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31D2A326">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2ED6DBBD">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8.各供应商须在投标截止时间前完成在系统上递交电子投标文件。 </w:t>
            </w:r>
          </w:p>
          <w:p w14:paraId="290438AC">
            <w:pPr>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716FB9B5">
            <w:pPr>
              <w:rPr>
                <w:rStyle w:val="28"/>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bidi="ar"/>
              </w:rPr>
              <w:t>9.解密时长为 30 分钟。</w:t>
            </w:r>
          </w:p>
        </w:tc>
      </w:tr>
      <w:tr w14:paraId="5691E4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B7B9541">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16.1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D732C0A">
            <w:pPr>
              <w:spacing w:line="240" w:lineRule="atLeast"/>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投标截止时间：2026年6月23日11：00（北京时间）</w:t>
            </w:r>
          </w:p>
        </w:tc>
      </w:tr>
      <w:tr w14:paraId="5D9BC0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DBA4B6C">
            <w:pPr>
              <w:spacing w:line="240" w:lineRule="atLeast"/>
              <w:jc w:val="center"/>
              <w:rPr>
                <w:rStyle w:val="28"/>
                <w:rFonts w:hint="eastAsia" w:ascii="仿宋" w:hAnsi="仿宋" w:eastAsia="仿宋" w:cs="仿宋"/>
                <w:color w:val="auto"/>
                <w:sz w:val="24"/>
                <w:highlight w:val="none"/>
              </w:rPr>
            </w:pPr>
            <w:r>
              <w:rPr>
                <w:rStyle w:val="28"/>
                <w:rFonts w:hint="eastAsia" w:ascii="仿宋" w:hAnsi="仿宋" w:eastAsia="仿宋" w:cs="仿宋"/>
                <w:color w:val="auto"/>
                <w:sz w:val="24"/>
                <w:highlight w:val="none"/>
              </w:rPr>
              <w:t>18.1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D83D88F">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开标时间：2026年6月23日1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：00（北京时间）</w:t>
            </w:r>
          </w:p>
          <w:p w14:paraId="63732DCA">
            <w:pPr>
              <w:rPr>
                <w:rStyle w:val="28"/>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开标地点：（https://login.zcygov.cn/user-login/#/login）</w:t>
            </w:r>
          </w:p>
        </w:tc>
      </w:tr>
      <w:tr w14:paraId="1ACEA5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380C4613">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20.1</w:t>
            </w:r>
          </w:p>
        </w:tc>
        <w:tc>
          <w:tcPr>
            <w:tcW w:w="8294" w:type="dxa"/>
            <w:tcBorders>
              <w:top w:val="single" w:color="000000" w:sz="6" w:space="0"/>
              <w:left w:val="single" w:color="000000" w:sz="6" w:space="0"/>
              <w:bottom w:val="single" w:color="000000" w:sz="6" w:space="0"/>
              <w:right w:val="single" w:color="000000" w:sz="12" w:space="0"/>
            </w:tcBorders>
            <w:vAlign w:val="center"/>
          </w:tcPr>
          <w:p w14:paraId="6C68A01E">
            <w:pPr>
              <w:rPr>
                <w:rFonts w:hint="default" w:ascii="仿宋" w:hAnsi="仿宋" w:eastAsia="仿宋" w:cs="仿宋"/>
                <w:color w:val="auto"/>
                <w:highlight w:val="none"/>
                <w:lang w:val="en-US" w:eastAsia="zh-CN"/>
              </w:rPr>
            </w:pPr>
            <w:r>
              <w:rPr>
                <w:rStyle w:val="28"/>
                <w:rFonts w:hint="eastAsia" w:ascii="仿宋" w:hAnsi="仿宋" w:eastAsia="仿宋" w:cs="仿宋"/>
                <w:color w:val="auto"/>
                <w:sz w:val="24"/>
                <w:highlight w:val="red"/>
                <w:lang w:eastAsia="zh-CN"/>
              </w:rPr>
              <w:t>核心产品：</w:t>
            </w:r>
            <w:r>
              <w:rPr>
                <w:rFonts w:hint="eastAsia" w:ascii="仿宋" w:hAnsi="仿宋" w:eastAsia="仿宋" w:cs="仿宋"/>
                <w:color w:val="auto"/>
                <w:sz w:val="24"/>
                <w:highlight w:val="red"/>
                <w:lang w:val="en-US" w:eastAsia="zh-CN"/>
              </w:rPr>
              <w:t>AI房树人心理分析系统</w:t>
            </w:r>
          </w:p>
        </w:tc>
      </w:tr>
      <w:tr w14:paraId="33C500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40006601">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23.2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063C7A87">
            <w:pPr>
              <w:spacing w:line="240" w:lineRule="atLeast"/>
              <w:rPr>
                <w:rStyle w:val="28"/>
                <w:rFonts w:hint="eastAsia" w:ascii="仿宋" w:hAnsi="仿宋" w:eastAsia="仿宋" w:cs="仿宋"/>
                <w:i/>
                <w:color w:val="auto"/>
                <w:sz w:val="24"/>
                <w:highlight w:val="none"/>
                <w:lang w:eastAsia="zh-CN"/>
              </w:rPr>
            </w:pPr>
            <w:r>
              <w:rPr>
                <w:rStyle w:val="28"/>
                <w:rFonts w:hint="eastAsia" w:ascii="仿宋" w:hAnsi="仿宋" w:eastAsia="仿宋" w:cs="仿宋"/>
                <w:color w:val="auto"/>
                <w:sz w:val="24"/>
                <w:highlight w:val="none"/>
                <w:lang w:eastAsia="zh-CN"/>
              </w:rPr>
              <w:t>本项目评标方法：</w:t>
            </w:r>
            <w:r>
              <w:rPr>
                <w:rStyle w:val="28"/>
                <w:rFonts w:hint="eastAsia" w:ascii="仿宋" w:hAnsi="仿宋" w:eastAsia="仿宋" w:cs="仿宋"/>
                <w:color w:val="auto"/>
                <w:sz w:val="24"/>
                <w:highlight w:val="none"/>
                <w:u w:val="single"/>
                <w:lang w:eastAsia="zh-CN"/>
              </w:rPr>
              <w:t>适用综合评分法</w:t>
            </w:r>
          </w:p>
        </w:tc>
      </w:tr>
      <w:tr w14:paraId="0A2D12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D26EC9B">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27</w:t>
            </w:r>
          </w:p>
        </w:tc>
        <w:tc>
          <w:tcPr>
            <w:tcW w:w="8294" w:type="dxa"/>
            <w:tcBorders>
              <w:top w:val="single" w:color="000000" w:sz="6" w:space="0"/>
              <w:left w:val="single" w:color="000000" w:sz="6" w:space="0"/>
              <w:bottom w:val="single" w:color="000000" w:sz="6" w:space="0"/>
              <w:right w:val="single" w:color="000000" w:sz="12" w:space="0"/>
            </w:tcBorders>
            <w:vAlign w:val="center"/>
          </w:tcPr>
          <w:p w14:paraId="7B1C7855">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招标人委托评标委员会直接确定推荐中标候选供应商的数量：</w:t>
            </w:r>
            <w:r>
              <w:rPr>
                <w:rStyle w:val="28"/>
                <w:rFonts w:hint="eastAsia" w:ascii="仿宋" w:hAnsi="仿宋" w:eastAsia="仿宋" w:cs="仿宋"/>
                <w:color w:val="auto"/>
                <w:sz w:val="24"/>
                <w:highlight w:val="none"/>
                <w:u w:val="single" w:color="000000"/>
                <w:lang w:eastAsia="zh-CN"/>
              </w:rPr>
              <w:t>3家</w:t>
            </w:r>
          </w:p>
        </w:tc>
      </w:tr>
      <w:tr w14:paraId="13AA27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0A3F84C4">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31.1</w:t>
            </w:r>
          </w:p>
        </w:tc>
        <w:tc>
          <w:tcPr>
            <w:tcW w:w="8294" w:type="dxa"/>
            <w:tcBorders>
              <w:top w:val="single" w:color="000000" w:sz="6" w:space="0"/>
              <w:left w:val="single" w:color="000000" w:sz="6" w:space="0"/>
              <w:bottom w:val="single" w:color="000000" w:sz="6" w:space="0"/>
              <w:right w:val="single" w:color="000000" w:sz="12" w:space="0"/>
            </w:tcBorders>
            <w:vAlign w:val="center"/>
          </w:tcPr>
          <w:p w14:paraId="7233267E">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履约保证金金额：</w:t>
            </w:r>
            <w:r>
              <w:rPr>
                <w:rFonts w:hint="eastAsia" w:ascii="仿宋" w:hAnsi="仿宋" w:eastAsia="仿宋" w:cs="仿宋"/>
                <w:color w:val="auto"/>
                <w:sz w:val="24"/>
                <w:highlight w:val="none"/>
                <w:lang w:eastAsia="zh-CN"/>
              </w:rPr>
              <w:t>不超过合同总价金额的10%</w:t>
            </w:r>
          </w:p>
          <w:p w14:paraId="114207AD">
            <w:pPr>
              <w:spacing w:before="43" w:line="408" w:lineRule="exact"/>
              <w:ind w:left="6"/>
              <w:rPr>
                <w:rFonts w:hint="eastAsia" w:ascii="仿宋" w:hAnsi="仿宋" w:eastAsia="仿宋" w:cs="仿宋"/>
                <w:color w:val="auto"/>
                <w:kern w:val="2"/>
                <w:sz w:val="24"/>
                <w:szCs w:val="24"/>
                <w:highlight w:val="none"/>
                <w:lang w:eastAsia="zh-CN"/>
              </w:rPr>
            </w:pPr>
            <w:r>
              <w:rPr>
                <w:rStyle w:val="28"/>
                <w:rFonts w:hint="eastAsia" w:ascii="仿宋" w:hAnsi="仿宋" w:eastAsia="仿宋" w:cs="仿宋"/>
                <w:color w:val="auto"/>
                <w:sz w:val="24"/>
                <w:highlight w:val="none"/>
                <w:lang w:eastAsia="zh-CN"/>
              </w:rPr>
              <w:t>履约保证金形式：</w:t>
            </w:r>
            <w:r>
              <w:rPr>
                <w:rFonts w:hint="eastAsia" w:ascii="仿宋" w:hAnsi="仿宋" w:eastAsia="仿宋" w:cs="仿宋"/>
                <w:color w:val="auto"/>
                <w:kern w:val="2"/>
                <w:sz w:val="24"/>
                <w:szCs w:val="24"/>
                <w:highlight w:val="none"/>
                <w:lang w:eastAsia="zh-CN"/>
              </w:rPr>
              <w:t>☑电汇☑支票☑本票☑保函☑等非现金形式提交</w:t>
            </w:r>
          </w:p>
          <w:p w14:paraId="001187C3">
            <w:pPr>
              <w:spacing w:line="240" w:lineRule="atLeast"/>
              <w:rPr>
                <w:rStyle w:val="28"/>
                <w:rFonts w:hint="eastAsia" w:ascii="仿宋" w:hAnsi="仿宋" w:eastAsia="仿宋" w:cs="仿宋"/>
                <w:color w:val="auto"/>
                <w:sz w:val="24"/>
                <w:highlight w:val="none"/>
                <w:u w:val="single"/>
                <w:lang w:eastAsia="zh-CN"/>
              </w:rPr>
            </w:pPr>
          </w:p>
          <w:p w14:paraId="67070C9D">
            <w:pPr>
              <w:spacing w:line="240" w:lineRule="atLeast"/>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提交履约保证金的时间：</w:t>
            </w:r>
            <w:r>
              <w:rPr>
                <w:rStyle w:val="28"/>
                <w:rFonts w:hint="eastAsia" w:ascii="仿宋" w:hAnsi="仿宋" w:eastAsia="仿宋" w:cs="仿宋"/>
                <w:color w:val="auto"/>
                <w:sz w:val="24"/>
                <w:highlight w:val="none"/>
                <w:u w:val="single"/>
                <w:lang w:val="zh-CN" w:eastAsia="zh-CN"/>
              </w:rPr>
              <w:t>中标、成交通知书发放后，政府采购合同签订前</w:t>
            </w:r>
            <w:r>
              <w:rPr>
                <w:rStyle w:val="28"/>
                <w:rFonts w:hint="eastAsia" w:ascii="仿宋" w:hAnsi="仿宋" w:eastAsia="仿宋" w:cs="仿宋"/>
                <w:color w:val="auto"/>
                <w:sz w:val="24"/>
                <w:highlight w:val="none"/>
                <w:lang w:val="zh-CN" w:eastAsia="zh-CN"/>
              </w:rPr>
              <w:t>。</w:t>
            </w:r>
          </w:p>
        </w:tc>
      </w:tr>
      <w:tr w14:paraId="54A9A8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4B6F9B10">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477D557C">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中标服务费：</w:t>
            </w:r>
            <w:r>
              <w:rPr>
                <w:rStyle w:val="28"/>
                <w:rFonts w:hint="eastAsia" w:ascii="仿宋" w:hAnsi="仿宋" w:eastAsia="仿宋" w:cs="仿宋"/>
                <w:color w:val="auto"/>
                <w:sz w:val="24"/>
                <w:highlight w:val="none"/>
                <w:u w:val="single"/>
                <w:lang w:eastAsia="zh-CN"/>
              </w:rPr>
              <w:t>本项目不收取中标服务费</w:t>
            </w:r>
          </w:p>
        </w:tc>
      </w:tr>
      <w:tr w14:paraId="5FF5E7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1D702425">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33.1</w:t>
            </w:r>
          </w:p>
        </w:tc>
        <w:tc>
          <w:tcPr>
            <w:tcW w:w="8294" w:type="dxa"/>
            <w:tcBorders>
              <w:top w:val="single" w:color="000000" w:sz="6" w:space="0"/>
              <w:left w:val="single" w:color="000000" w:sz="6" w:space="0"/>
              <w:bottom w:val="single" w:color="000000" w:sz="6" w:space="0"/>
              <w:right w:val="single" w:color="000000" w:sz="12" w:space="0"/>
            </w:tcBorders>
            <w:vAlign w:val="center"/>
          </w:tcPr>
          <w:p w14:paraId="46CE859B">
            <w:pPr>
              <w:spacing w:line="240" w:lineRule="atLeas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本项目是否属于信用担保试点范围：</w:t>
            </w:r>
            <w:r>
              <w:rPr>
                <w:rStyle w:val="28"/>
                <w:rFonts w:hint="eastAsia" w:ascii="仿宋" w:hAnsi="仿宋" w:eastAsia="仿宋" w:cs="仿宋"/>
                <w:color w:val="auto"/>
                <w:sz w:val="24"/>
                <w:highlight w:val="none"/>
                <w:u w:val="single"/>
                <w:lang w:eastAsia="zh-CN"/>
              </w:rPr>
              <w:t>否</w:t>
            </w:r>
          </w:p>
        </w:tc>
      </w:tr>
      <w:tr w14:paraId="552806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2680BCF0">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33.2</w:t>
            </w:r>
          </w:p>
        </w:tc>
        <w:tc>
          <w:tcPr>
            <w:tcW w:w="8294" w:type="dxa"/>
            <w:tcBorders>
              <w:top w:val="single" w:color="000000" w:sz="6" w:space="0"/>
              <w:left w:val="single" w:color="000000" w:sz="6" w:space="0"/>
              <w:bottom w:val="single" w:color="000000" w:sz="6" w:space="0"/>
              <w:right w:val="single" w:color="000000" w:sz="12" w:space="0"/>
            </w:tcBorders>
            <w:vAlign w:val="center"/>
          </w:tcPr>
          <w:p w14:paraId="2D4B68F6">
            <w:pPr>
              <w:spacing w:line="240" w:lineRule="atLeast"/>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政府采购专业担保机构：</w:t>
            </w:r>
            <w:r>
              <w:rPr>
                <w:rStyle w:val="28"/>
                <w:rFonts w:hint="eastAsia" w:ascii="仿宋" w:hAnsi="仿宋" w:eastAsia="仿宋" w:cs="仿宋"/>
                <w:color w:val="auto"/>
                <w:sz w:val="24"/>
                <w:highlight w:val="none"/>
                <w:u w:val="single"/>
                <w:lang w:eastAsia="zh-CN"/>
              </w:rPr>
              <w:t>无</w:t>
            </w:r>
          </w:p>
          <w:p w14:paraId="07557BD8">
            <w:pPr>
              <w:spacing w:line="240" w:lineRule="atLeast"/>
              <w:ind w:left="-48" w:leftChars="-23" w:firstLine="48" w:firstLineChars="2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本项目采购人本级和上级财政部门政府采购有关规定增加的担保机构：</w:t>
            </w:r>
            <w:r>
              <w:rPr>
                <w:rStyle w:val="28"/>
                <w:rFonts w:hint="eastAsia" w:ascii="仿宋" w:hAnsi="仿宋" w:eastAsia="仿宋" w:cs="仿宋"/>
                <w:color w:val="auto"/>
                <w:sz w:val="24"/>
                <w:highlight w:val="none"/>
                <w:u w:val="single"/>
                <w:lang w:eastAsia="zh-CN"/>
              </w:rPr>
              <w:t>无</w:t>
            </w:r>
          </w:p>
        </w:tc>
      </w:tr>
      <w:tr w14:paraId="604391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26" w:type="dxa"/>
            <w:tcBorders>
              <w:top w:val="single" w:color="000000" w:sz="6" w:space="0"/>
              <w:left w:val="single" w:color="000000" w:sz="12" w:space="0"/>
              <w:bottom w:val="single" w:color="000000" w:sz="6" w:space="0"/>
              <w:right w:val="single" w:color="000000" w:sz="6" w:space="0"/>
            </w:tcBorders>
            <w:vAlign w:val="center"/>
          </w:tcPr>
          <w:p w14:paraId="1071417D">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34.3</w:t>
            </w:r>
          </w:p>
        </w:tc>
        <w:tc>
          <w:tcPr>
            <w:tcW w:w="8294" w:type="dxa"/>
            <w:tcBorders>
              <w:top w:val="single" w:color="000000" w:sz="6" w:space="0"/>
              <w:left w:val="single" w:color="000000" w:sz="6" w:space="0"/>
              <w:bottom w:val="single" w:color="000000" w:sz="6" w:space="0"/>
              <w:right w:val="single" w:color="000000" w:sz="12" w:space="0"/>
            </w:tcBorders>
            <w:vAlign w:val="center"/>
          </w:tcPr>
          <w:p w14:paraId="5F2434CA">
            <w:pPr>
              <w:spacing w:line="240" w:lineRule="atLeast"/>
              <w:ind w:left="710" w:leftChars="-23" w:hanging="758"/>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反腐倡廉监督电话/邮箱：</w:t>
            </w:r>
            <w:r>
              <w:rPr>
                <w:rStyle w:val="28"/>
                <w:rFonts w:hint="eastAsia" w:ascii="仿宋" w:hAnsi="仿宋" w:eastAsia="仿宋" w:cs="仿宋"/>
                <w:color w:val="auto"/>
                <w:sz w:val="24"/>
                <w:highlight w:val="none"/>
                <w:u w:val="single" w:color="000000"/>
                <w:lang w:eastAsia="zh-CN"/>
              </w:rPr>
              <w:t>0998-6722230</w:t>
            </w:r>
          </w:p>
        </w:tc>
      </w:tr>
      <w:tr w14:paraId="43A8AE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926" w:type="dxa"/>
            <w:tcBorders>
              <w:top w:val="single" w:color="000000" w:sz="6" w:space="0"/>
              <w:left w:val="single" w:color="000000" w:sz="12" w:space="0"/>
              <w:bottom w:val="single" w:color="000000" w:sz="12" w:space="0"/>
              <w:right w:val="single" w:color="000000" w:sz="6" w:space="0"/>
            </w:tcBorders>
            <w:vAlign w:val="center"/>
          </w:tcPr>
          <w:p w14:paraId="402344B9">
            <w:pPr>
              <w:spacing w:line="240" w:lineRule="atLeast"/>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rPr>
              <w:t>36.3</w:t>
            </w:r>
          </w:p>
        </w:tc>
        <w:tc>
          <w:tcPr>
            <w:tcW w:w="8294" w:type="dxa"/>
            <w:tcBorders>
              <w:top w:val="single" w:color="000000" w:sz="6" w:space="0"/>
              <w:left w:val="single" w:color="000000" w:sz="6" w:space="0"/>
              <w:bottom w:val="single" w:color="000000" w:sz="12" w:space="0"/>
              <w:right w:val="single" w:color="000000" w:sz="12" w:space="0"/>
            </w:tcBorders>
            <w:vAlign w:val="center"/>
          </w:tcPr>
          <w:p w14:paraId="3550E5A8">
            <w:pPr>
              <w:spacing w:line="240" w:lineRule="atLeast"/>
              <w:ind w:left="710" w:leftChars="-23" w:hanging="758" w:hangingChars="316"/>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接收部门：</w:t>
            </w:r>
            <w:r>
              <w:rPr>
                <w:rFonts w:hint="eastAsia" w:ascii="仿宋" w:hAnsi="仿宋" w:eastAsia="仿宋" w:cs="仿宋"/>
                <w:color w:val="auto"/>
                <w:sz w:val="24"/>
                <w:highlight w:val="none"/>
                <w:u w:val="single"/>
                <w:lang w:eastAsia="zh-CN"/>
              </w:rPr>
              <w:t>伽师县政府采购管理办公室</w:t>
            </w:r>
          </w:p>
          <w:p w14:paraId="7759286A">
            <w:pPr>
              <w:spacing w:line="240" w:lineRule="atLeast"/>
              <w:ind w:left="710" w:leftChars="-23" w:hanging="758" w:hangingChars="316"/>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0998-571320</w:t>
            </w:r>
            <w:r>
              <w:rPr>
                <w:rFonts w:hint="eastAsia" w:ascii="仿宋" w:hAnsi="仿宋" w:eastAsia="仿宋" w:cs="仿宋"/>
                <w:color w:val="auto"/>
                <w:sz w:val="24"/>
                <w:highlight w:val="none"/>
                <w:u w:val="single"/>
                <w:lang w:val="en-US" w:eastAsia="zh-CN"/>
              </w:rPr>
              <w:t>4</w:t>
            </w:r>
          </w:p>
          <w:p w14:paraId="0AB2EC60">
            <w:pPr>
              <w:spacing w:line="240" w:lineRule="atLeast"/>
              <w:ind w:left="710" w:leftChars="-23" w:hanging="758"/>
              <w:rPr>
                <w:rStyle w:val="28"/>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 xml:space="preserve">伽师县行政审批局四楼 </w:t>
            </w:r>
          </w:p>
        </w:tc>
      </w:tr>
    </w:tbl>
    <w:tbl>
      <w:tblPr>
        <w:tblStyle w:val="24"/>
        <w:tblW w:w="847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510"/>
      </w:tblGrid>
      <w:tr w14:paraId="2066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60" w:type="dxa"/>
          </w:tcPr>
          <w:p w14:paraId="62F46437">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4073B902">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16F480F8">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75A8FFB2">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41CB5059">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6FF7F4FD">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31DD9D72">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649C988D">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07DF7DC1">
            <w:pPr>
              <w:widowControl w:val="0"/>
              <w:spacing w:line="240" w:lineRule="atLeast"/>
              <w:jc w:val="both"/>
              <w:rPr>
                <w:rStyle w:val="28"/>
                <w:rFonts w:hint="eastAsia" w:ascii="仿宋" w:hAnsi="仿宋" w:eastAsia="仿宋" w:cs="仿宋"/>
                <w:color w:val="auto"/>
                <w:sz w:val="24"/>
                <w:highlight w:val="none"/>
                <w:vertAlign w:val="baseline"/>
                <w:lang w:val="en-US" w:eastAsia="zh-CN"/>
              </w:rPr>
            </w:pPr>
          </w:p>
          <w:p w14:paraId="2CC990FA">
            <w:pPr>
              <w:widowControl w:val="0"/>
              <w:spacing w:line="240" w:lineRule="atLeast"/>
              <w:jc w:val="both"/>
              <w:rPr>
                <w:rStyle w:val="28"/>
                <w:rFonts w:hint="default" w:ascii="仿宋" w:hAnsi="仿宋" w:eastAsia="仿宋" w:cs="仿宋"/>
                <w:color w:val="auto"/>
                <w:sz w:val="24"/>
                <w:highlight w:val="none"/>
                <w:vertAlign w:val="baseline"/>
                <w:lang w:val="en-US" w:eastAsia="zh-CN"/>
              </w:rPr>
            </w:pPr>
            <w:r>
              <w:rPr>
                <w:rStyle w:val="28"/>
                <w:rFonts w:hint="eastAsia" w:ascii="仿宋" w:hAnsi="仿宋" w:eastAsia="仿宋" w:cs="仿宋"/>
                <w:color w:val="auto"/>
                <w:sz w:val="24"/>
                <w:highlight w:val="none"/>
                <w:vertAlign w:val="baseline"/>
                <w:lang w:val="en-US" w:eastAsia="zh-CN"/>
              </w:rPr>
              <w:t>注</w:t>
            </w:r>
          </w:p>
        </w:tc>
        <w:tc>
          <w:tcPr>
            <w:tcW w:w="7510" w:type="dxa"/>
            <w:shd w:val="clear" w:color="auto" w:fill="auto"/>
            <w:vAlign w:val="center"/>
          </w:tcPr>
          <w:p w14:paraId="72E46E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《关于推动解决政府采购异常低价问题的通知》财库〔2026〕2号</w:t>
            </w:r>
          </w:p>
          <w:p w14:paraId="00E96B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“强化政府采购异常低价审查</w:t>
            </w:r>
          </w:p>
          <w:p w14:paraId="1E1016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60" w:leftChars="0" w:right="0" w:hanging="760"/>
              <w:jc w:val="left"/>
              <w:textAlignment w:val="baseline"/>
              <w:rPr>
                <w:rFonts w:hint="eastAsia"/>
                <w:b/>
                <w:bCs/>
                <w:sz w:val="18"/>
                <w:szCs w:val="18"/>
                <w:highlight w:val="red"/>
              </w:rPr>
            </w:pPr>
            <w:r>
              <w:rPr>
                <w:rFonts w:hint="eastAsia"/>
                <w:b/>
                <w:bCs/>
                <w:sz w:val="18"/>
                <w:szCs w:val="18"/>
                <w:highlight w:val="red"/>
              </w:rPr>
              <w:t>（一）采购人应当在采购文件中明确，政府采购评审中出现下列情形之一的，评审委员会应当启动异常低价投标（响应）审查程序： </w:t>
            </w:r>
          </w:p>
          <w:p w14:paraId="33C412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1.投标（响应）报价低于全部通过符合性审查供应商投标（响应）报价平均值50%的，即投标（响应）报价&lt;全部通过符合性审查供应商投标（响应）报价平均值×50%； </w:t>
            </w:r>
          </w:p>
          <w:p w14:paraId="2D531F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2.投标（响应）报价低于通过符合性审查的次低报价供应商投标（响应）报价50%的，即投标（响应）报价&lt;通过符合性审查的次低报价供应商投标（响应）报价×50%； </w:t>
            </w:r>
          </w:p>
          <w:p w14:paraId="585859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3.投标（响应）报价低于采购项目最高限价45%的，即投标（响应）报价&lt;采购项目最高限价×45%； </w:t>
            </w:r>
          </w:p>
          <w:p w14:paraId="0CE28A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4.评审委员会基于专业判断，认为供应商报价过低，有可能影响产品质量或者不能诚信履约的其他情形。 </w:t>
            </w:r>
          </w:p>
          <w:p w14:paraId="4BAA1B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采购人可以结合具体项目实际情况，提高上述第1项至第3项中启动异常低价投标（响应）审查的数值标准，但是最高不得超过65%。 </w:t>
            </w:r>
          </w:p>
          <w:p w14:paraId="539297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相关法律法规对供应商报价有规定的，从其规定。 </w:t>
            </w:r>
          </w:p>
          <w:p w14:paraId="1CF69A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B6D6E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2D9D8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b/>
                <w:bCs/>
                <w:sz w:val="18"/>
                <w:szCs w:val="18"/>
                <w:highlight w:val="red"/>
              </w:rPr>
            </w:pPr>
            <w:r>
              <w:rPr>
                <w:rFonts w:hint="eastAsia"/>
                <w:b/>
                <w:bCs/>
                <w:sz w:val="18"/>
                <w:szCs w:val="18"/>
                <w:highlight w:val="red"/>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28B3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rightChars="0" w:hanging="760" w:firstLineChars="0"/>
              <w:jc w:val="left"/>
              <w:textAlignment w:val="baseline"/>
              <w:rPr>
                <w:rFonts w:hint="eastAsia"/>
                <w:b/>
                <w:bCs/>
                <w:sz w:val="18"/>
                <w:szCs w:val="18"/>
                <w:highlight w:val="red"/>
              </w:rPr>
            </w:pPr>
            <w:r>
              <w:rPr>
                <w:rFonts w:hint="eastAsia"/>
                <w:b/>
                <w:bCs/>
                <w:sz w:val="18"/>
                <w:szCs w:val="18"/>
                <w:highlight w:val="red"/>
              </w:rPr>
              <w:t>　　异常低价投标（响应）审查的启动原因、审查意见和审查结果应当在评审报告中记录，并随供应商提供的相关书面说明及证明材料，以及评审委员会有关互联网浏览、查询历史一并归档。”</w:t>
            </w:r>
          </w:p>
          <w:p w14:paraId="43956C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default"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《国务院办公厅关于在政府采购中实施本国产品标准及相关政策的通知》国办发〔2025〕34号</w:t>
            </w:r>
          </w:p>
          <w:p w14:paraId="09A885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“本国产品标准的适用范围：</w:t>
            </w:r>
          </w:p>
          <w:p w14:paraId="15ED5E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2ADD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602" w:leftChars="62" w:right="0" w:hanging="472" w:hangingChars="261"/>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对本国产品的支持政策：</w:t>
            </w:r>
          </w:p>
          <w:p w14:paraId="635A2C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602" w:leftChars="62" w:right="0" w:hanging="472" w:hangingChars="261"/>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政府采购活动中既有本国产品又有非本国产品参与竞争的，依法对本国产品给予价格评审优惠，对本国产品的报价给予20%的价格扣除，用扣除后的价格参与评审。</w:t>
            </w:r>
          </w:p>
          <w:p w14:paraId="6E7074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602" w:leftChars="62" w:right="0" w:hanging="472" w:hangingChars="261"/>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3325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602" w:leftChars="62" w:right="0" w:hanging="472" w:hangingChars="261"/>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政策执行要求：</w:t>
            </w:r>
          </w:p>
          <w:p w14:paraId="0B3C83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（一）产品在中国境内生产的组件成本核算规则。产品在中国境内生产的组件成本，按照《中国境内生产的组件成本核算基本规则》（见附件1）计算。</w:t>
            </w:r>
          </w:p>
          <w:p w14:paraId="0CF0DE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712" w:leftChars="-23" w:right="0" w:hanging="760"/>
              <w:jc w:val="left"/>
              <w:textAlignment w:val="baseline"/>
              <w:rPr>
                <w:rFonts w:hint="eastAsia" w:ascii="Times New Roman" w:hAnsi="Times New Roman" w:eastAsia="宋体"/>
                <w:b/>
                <w:bCs/>
                <w:sz w:val="18"/>
                <w:szCs w:val="18"/>
                <w:highlight w:val="red"/>
                <w:lang w:val="en-US" w:eastAsia="zh-CN"/>
              </w:rPr>
            </w:pPr>
            <w:r>
              <w:rPr>
                <w:rFonts w:hint="eastAsia" w:ascii="Times New Roman" w:hAnsi="Times New Roman" w:eastAsia="宋体"/>
                <w:b/>
                <w:bCs/>
                <w:sz w:val="18"/>
                <w:szCs w:val="18"/>
                <w:highlight w:val="red"/>
                <w:lang w:val="en-US" w:eastAsia="zh-CN"/>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B7C52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602" w:leftChars="62" w:right="0" w:rightChars="0" w:hanging="472" w:hangingChars="261"/>
              <w:jc w:val="left"/>
              <w:textAlignment w:val="baseline"/>
              <w:rPr>
                <w:rFonts w:hint="eastAsia" w:ascii="Arial" w:hAnsi="Arial" w:eastAsia="宋体" w:cs="Arial"/>
                <w:b/>
                <w:bCs/>
                <w:snapToGrid w:val="0"/>
                <w:color w:val="000000"/>
                <w:sz w:val="18"/>
                <w:szCs w:val="18"/>
                <w:highlight w:val="red"/>
                <w:lang w:val="en-US" w:eastAsia="zh-CN" w:bidi="ar-SA"/>
              </w:rPr>
            </w:pPr>
            <w:r>
              <w:rPr>
                <w:rFonts w:hint="eastAsia" w:ascii="Times New Roman" w:hAnsi="Times New Roman" w:eastAsia="宋体"/>
                <w:b/>
                <w:bCs/>
                <w:sz w:val="18"/>
                <w:szCs w:val="18"/>
                <w:highlight w:val="red"/>
                <w:lang w:val="en-US" w:eastAsia="zh-CN"/>
              </w:rPr>
              <w:t>采购人、采购代理机构应当随中标、成交结果同时公告中标、成交供应商提供的《声明函》或有关证明文件。”</w:t>
            </w:r>
          </w:p>
        </w:tc>
      </w:tr>
    </w:tbl>
    <w:p w14:paraId="1F2D5861">
      <w:pPr>
        <w:spacing w:line="240" w:lineRule="atLeast"/>
        <w:ind w:left="1080" w:leftChars="257" w:hanging="540"/>
        <w:rPr>
          <w:rStyle w:val="28"/>
          <w:rFonts w:hint="eastAsia" w:ascii="仿宋" w:hAnsi="仿宋" w:eastAsia="仿宋" w:cs="仿宋"/>
          <w:color w:val="auto"/>
          <w:sz w:val="24"/>
          <w:highlight w:val="none"/>
          <w:lang w:eastAsia="zh-CN"/>
        </w:rPr>
        <w:sectPr>
          <w:headerReference r:id="rId9" w:type="default"/>
          <w:footerReference r:id="rId11" w:type="default"/>
          <w:headerReference r:id="rId10" w:type="even"/>
          <w:footerReference r:id="rId12" w:type="even"/>
          <w:pgSz w:w="11906" w:h="16838"/>
          <w:pgMar w:top="1440" w:right="1797" w:bottom="1440" w:left="1797" w:header="851" w:footer="992" w:gutter="0"/>
          <w:cols w:space="425" w:num="1"/>
          <w:docGrid w:linePitch="312" w:charSpace="0"/>
        </w:sectPr>
      </w:pPr>
    </w:p>
    <w:p w14:paraId="78393ACF">
      <w:pPr>
        <w:pStyle w:val="2"/>
        <w:tabs>
          <w:tab w:val="left" w:pos="0"/>
        </w:tabs>
        <w:spacing w:before="0" w:after="0" w:line="240" w:lineRule="atLeast"/>
        <w:rPr>
          <w:rStyle w:val="28"/>
          <w:rFonts w:hint="eastAsia" w:ascii="仿宋" w:hAnsi="仿宋" w:eastAsia="仿宋" w:cs="仿宋"/>
          <w:bCs/>
          <w:color w:val="auto"/>
          <w:sz w:val="30"/>
          <w:szCs w:val="30"/>
          <w:highlight w:val="none"/>
          <w:lang w:eastAsia="zh-CN"/>
        </w:rPr>
      </w:pPr>
      <w:bookmarkStart w:id="831" w:name="_Toc31830"/>
      <w:r>
        <w:rPr>
          <w:rFonts w:hint="eastAsia" w:ascii="仿宋" w:hAnsi="仿宋" w:eastAsia="仿宋" w:cs="仿宋"/>
          <w:color w:val="auto"/>
          <w:sz w:val="44"/>
          <w:szCs w:val="44"/>
          <w:highlight w:val="none"/>
          <w:lang w:eastAsia="zh-CN"/>
        </w:rPr>
        <w:t>第五章  货物需求一览表及技术规格</w:t>
      </w:r>
      <w:bookmarkEnd w:id="831"/>
    </w:p>
    <w:p w14:paraId="132503D8">
      <w:pPr>
        <w:keepNext w:val="0"/>
        <w:keepLines w:val="0"/>
        <w:pageBreakBefore w:val="0"/>
        <w:widowControl/>
        <w:kinsoku/>
        <w:wordWrap/>
        <w:overflowPunct/>
        <w:topLinePunct w:val="0"/>
        <w:autoSpaceDE/>
        <w:autoSpaceDN/>
        <w:bidi w:val="0"/>
        <w:adjustRightInd/>
        <w:snapToGrid w:val="0"/>
        <w:spacing w:line="520" w:lineRule="exact"/>
        <w:textAlignment w:val="baseline"/>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项目名称：伽师县2026年健康心理服务中心建设项目(二次)</w:t>
      </w:r>
    </w:p>
    <w:p w14:paraId="6E784F60">
      <w:pPr>
        <w:keepNext w:val="0"/>
        <w:keepLines w:val="0"/>
        <w:pageBreakBefore w:val="0"/>
        <w:widowControl/>
        <w:kinsoku/>
        <w:wordWrap/>
        <w:overflowPunct/>
        <w:topLinePunct w:val="0"/>
        <w:autoSpaceDE/>
        <w:autoSpaceDN/>
        <w:bidi w:val="0"/>
        <w:adjustRightInd/>
        <w:snapToGrid w:val="0"/>
        <w:spacing w:line="520" w:lineRule="exact"/>
        <w:textAlignment w:val="baseline"/>
        <w:rPr>
          <w:rFonts w:hint="default" w:ascii="仿宋" w:hAnsi="仿宋" w:eastAsia="仿宋" w:cs="仿宋"/>
          <w:color w:val="auto"/>
          <w:highlight w:val="none"/>
          <w:lang w:val="en-US" w:eastAsia="zh-CN"/>
        </w:rPr>
      </w:pPr>
      <w:r>
        <w:rPr>
          <w:rStyle w:val="28"/>
          <w:rFonts w:hint="eastAsia" w:ascii="仿宋" w:hAnsi="仿宋" w:eastAsia="仿宋" w:cs="仿宋"/>
          <w:color w:val="auto"/>
          <w:sz w:val="24"/>
          <w:highlight w:val="none"/>
          <w:lang w:eastAsia="zh-CN"/>
        </w:rPr>
        <w:t>项目编号：KSJSX(GK)2026-19</w:t>
      </w:r>
    </w:p>
    <w:p w14:paraId="027314BA">
      <w:pPr>
        <w:keepNext w:val="0"/>
        <w:keepLines w:val="0"/>
        <w:pageBreakBefore w:val="0"/>
        <w:widowControl/>
        <w:wordWrap/>
        <w:overflowPunct/>
        <w:topLinePunct w:val="0"/>
        <w:bidi w:val="0"/>
        <w:snapToGrid w:val="0"/>
        <w:spacing w:line="520" w:lineRule="exact"/>
        <w:textAlignment w:val="baseline"/>
        <w:rPr>
          <w:rFonts w:hint="eastAsia" w:ascii="仿宋" w:hAnsi="仿宋" w:eastAsia="仿宋" w:cs="宋体"/>
          <w:sz w:val="28"/>
          <w:szCs w:val="36"/>
          <w:highlight w:val="none"/>
        </w:rPr>
      </w:pPr>
      <w:bookmarkStart w:id="832" w:name="_Toc10035"/>
      <w:bookmarkStart w:id="833" w:name="_Toc140751559"/>
      <w:r>
        <w:rPr>
          <w:rFonts w:hint="eastAsia" w:ascii="仿宋_GB2312" w:hAnsi="仿宋_GB2312" w:eastAsia="仿宋_GB2312" w:cs="仿宋_GB2312"/>
          <w:b/>
          <w:sz w:val="30"/>
          <w:szCs w:val="30"/>
          <w:highlight w:val="none"/>
        </w:rPr>
        <w:t>一、投标企业资格要求：</w:t>
      </w:r>
      <w:r>
        <w:rPr>
          <w:rFonts w:hint="eastAsia" w:ascii="仿宋" w:hAnsi="仿宋" w:eastAsia="仿宋" w:cs="宋体"/>
          <w:sz w:val="28"/>
          <w:szCs w:val="36"/>
          <w:highlight w:val="none"/>
        </w:rPr>
        <w:t>按照须知表内要求。</w:t>
      </w:r>
    </w:p>
    <w:p w14:paraId="302141B5">
      <w:pPr>
        <w:keepNext w:val="0"/>
        <w:keepLines w:val="0"/>
        <w:pageBreakBefore w:val="0"/>
        <w:widowControl/>
        <w:wordWrap/>
        <w:overflowPunct/>
        <w:topLinePunct w:val="0"/>
        <w:bidi w:val="0"/>
        <w:snapToGrid w:val="0"/>
        <w:spacing w:line="520" w:lineRule="exact"/>
        <w:ind w:right="31" w:rightChars="15"/>
        <w:textAlignment w:val="baseline"/>
        <w:rPr>
          <w:rFonts w:hint="eastAsia" w:ascii="仿宋_GB2312" w:hAnsi="仿宋_GB2312" w:eastAsia="仿宋_GB2312" w:cs="仿宋_GB2312"/>
          <w:b/>
          <w:color w:val="FF0000"/>
          <w:sz w:val="30"/>
          <w:szCs w:val="30"/>
          <w:highlight w:val="none"/>
          <w:lang w:eastAsia="zh-CN"/>
        </w:rPr>
      </w:pPr>
      <w:r>
        <w:rPr>
          <w:rFonts w:hint="eastAsia" w:ascii="仿宋_GB2312" w:hAnsi="仿宋_GB2312" w:eastAsia="仿宋_GB2312" w:cs="仿宋_GB2312"/>
          <w:b/>
          <w:sz w:val="30"/>
          <w:szCs w:val="30"/>
          <w:highlight w:val="none"/>
        </w:rPr>
        <w:t>二、</w:t>
      </w:r>
      <w:r>
        <w:rPr>
          <w:rFonts w:hint="eastAsia" w:ascii="仿宋_GB2312" w:hAnsi="仿宋_GB2312" w:eastAsia="仿宋_GB2312" w:cs="仿宋_GB2312"/>
          <w:b/>
          <w:color w:val="auto"/>
          <w:sz w:val="30"/>
          <w:szCs w:val="30"/>
          <w:highlight w:val="none"/>
        </w:rPr>
        <w:t>投标产品要求</w:t>
      </w:r>
      <w:r>
        <w:rPr>
          <w:rFonts w:hint="eastAsia" w:ascii="仿宋_GB2312" w:hAnsi="仿宋_GB2312" w:eastAsia="仿宋_GB2312" w:cs="仿宋_GB2312"/>
          <w:b/>
          <w:color w:val="000000" w:themeColor="text1"/>
          <w:sz w:val="30"/>
          <w:szCs w:val="30"/>
          <w:highlight w:val="none"/>
          <w14:textFill>
            <w14:solidFill>
              <w14:schemeClr w14:val="tx1"/>
            </w14:solidFill>
          </w14:textFill>
        </w:rPr>
        <w:t>：</w:t>
      </w:r>
      <w:r>
        <w:rPr>
          <w:rFonts w:hint="eastAsia" w:ascii="仿宋_GB2312" w:hAnsi="仿宋_GB2312" w:eastAsia="仿宋_GB2312" w:cs="仿宋_GB2312"/>
          <w:b/>
          <w:color w:val="000000" w:themeColor="text1"/>
          <w:sz w:val="30"/>
          <w:szCs w:val="30"/>
          <w:highlight w:val="red"/>
          <w:lang w:eastAsia="zh-CN"/>
          <w14:textFill>
            <w14:solidFill>
              <w14:schemeClr w14:val="tx1"/>
            </w14:solidFill>
          </w14:textFill>
        </w:rPr>
        <w:t>所有投标设备严格遵守《新疆维吾尔自治区本级行政事业单位通用办公设备家具配置标准》（新管发[</w:t>
      </w:r>
      <w:r>
        <w:rPr>
          <w:rFonts w:hint="eastAsia" w:ascii="仿宋_GB2312" w:hAnsi="仿宋_GB2312" w:eastAsia="仿宋_GB2312" w:cs="仿宋_GB2312"/>
          <w:b/>
          <w:color w:val="000000" w:themeColor="text1"/>
          <w:sz w:val="30"/>
          <w:szCs w:val="30"/>
          <w:highlight w:val="red"/>
          <w:lang w:val="en-US" w:eastAsia="zh-CN"/>
          <w14:textFill>
            <w14:solidFill>
              <w14:schemeClr w14:val="tx1"/>
            </w14:solidFill>
          </w14:textFill>
        </w:rPr>
        <w:t>2023</w:t>
      </w:r>
      <w:r>
        <w:rPr>
          <w:rFonts w:hint="eastAsia" w:ascii="仿宋_GB2312" w:hAnsi="仿宋_GB2312" w:eastAsia="仿宋_GB2312" w:cs="仿宋_GB2312"/>
          <w:b/>
          <w:color w:val="000000" w:themeColor="text1"/>
          <w:sz w:val="30"/>
          <w:szCs w:val="30"/>
          <w:highlight w:val="red"/>
          <w:lang w:eastAsia="zh-CN"/>
          <w14:textFill>
            <w14:solidFill>
              <w14:schemeClr w14:val="tx1"/>
            </w14:solidFill>
          </w14:textFill>
        </w:rPr>
        <w:t>]</w:t>
      </w:r>
      <w:r>
        <w:rPr>
          <w:rFonts w:hint="eastAsia" w:ascii="仿宋_GB2312" w:hAnsi="仿宋_GB2312" w:eastAsia="仿宋_GB2312" w:cs="仿宋_GB2312"/>
          <w:b/>
          <w:color w:val="000000" w:themeColor="text1"/>
          <w:sz w:val="30"/>
          <w:szCs w:val="30"/>
          <w:highlight w:val="red"/>
          <w:lang w:val="en-US" w:eastAsia="zh-CN"/>
          <w14:textFill>
            <w14:solidFill>
              <w14:schemeClr w14:val="tx1"/>
            </w14:solidFill>
          </w14:textFill>
        </w:rPr>
        <w:t xml:space="preserve"> 61号</w:t>
      </w:r>
      <w:r>
        <w:rPr>
          <w:rFonts w:hint="eastAsia" w:ascii="仿宋_GB2312" w:hAnsi="仿宋_GB2312" w:eastAsia="仿宋_GB2312" w:cs="仿宋_GB2312"/>
          <w:b/>
          <w:color w:val="000000" w:themeColor="text1"/>
          <w:sz w:val="30"/>
          <w:szCs w:val="30"/>
          <w:highlight w:val="red"/>
          <w:lang w:eastAsia="zh-CN"/>
          <w14:textFill>
            <w14:solidFill>
              <w14:schemeClr w14:val="tx1"/>
            </w14:solidFill>
          </w14:textFill>
        </w:rPr>
        <w:t>）文件的通知要求。</w:t>
      </w:r>
    </w:p>
    <w:bookmarkEnd w:id="832"/>
    <w:p w14:paraId="2A0CC40E">
      <w:pPr>
        <w:jc w:val="left"/>
        <w:rPr>
          <w:rFonts w:hint="eastAsia" w:ascii="方正仿宋_GB18030" w:hAnsi="方正仿宋_GB18030" w:eastAsia="方正仿宋_GB18030" w:cs="方正仿宋_GB18030"/>
          <w:sz w:val="28"/>
          <w:szCs w:val="28"/>
          <w:highlight w:val="none"/>
          <w:lang w:val="en-US" w:eastAsia="zh-CN"/>
        </w:rPr>
      </w:pPr>
      <w:bookmarkStart w:id="834" w:name="_Toc20225"/>
      <w:r>
        <w:rPr>
          <w:rFonts w:hint="eastAsia" w:ascii="方正仿宋_GB18030" w:hAnsi="方正仿宋_GB18030" w:eastAsia="方正仿宋_GB18030" w:cs="方正仿宋_GB18030"/>
          <w:sz w:val="28"/>
          <w:szCs w:val="28"/>
          <w:highlight w:val="none"/>
          <w:lang w:val="en-US" w:eastAsia="zh-CN"/>
        </w:rPr>
        <w:t>伽师县2026年健康心理服务中心建设项目(二次)</w:t>
      </w:r>
    </w:p>
    <w:tbl>
      <w:tblPr>
        <w:tblStyle w:val="23"/>
        <w:tblW w:w="10089" w:type="dxa"/>
        <w:tblInd w:w="-5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1420"/>
        <w:gridCol w:w="4863"/>
        <w:gridCol w:w="903"/>
        <w:gridCol w:w="971"/>
        <w:gridCol w:w="1052"/>
      </w:tblGrid>
      <w:tr w14:paraId="562C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3882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D7E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8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024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9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F585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28D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52"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1466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BDE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ADED2F">
            <w:pPr>
              <w:jc w:val="center"/>
              <w:rPr>
                <w:rFonts w:hint="eastAsia" w:ascii="宋体" w:hAnsi="宋体" w:eastAsia="宋体" w:cs="宋体"/>
                <w:i w:val="0"/>
                <w:iCs w:val="0"/>
                <w:color w:val="000000"/>
                <w:sz w:val="18"/>
                <w:szCs w:val="18"/>
                <w:u w:val="none"/>
              </w:rPr>
            </w:pPr>
          </w:p>
        </w:tc>
        <w:tc>
          <w:tcPr>
            <w:tcW w:w="1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7BA3CF">
            <w:pPr>
              <w:jc w:val="center"/>
              <w:rPr>
                <w:rFonts w:hint="eastAsia" w:ascii="宋体" w:hAnsi="宋体" w:eastAsia="宋体" w:cs="宋体"/>
                <w:i w:val="0"/>
                <w:iCs w:val="0"/>
                <w:color w:val="000000"/>
                <w:sz w:val="18"/>
                <w:szCs w:val="18"/>
                <w:u w:val="none"/>
              </w:rPr>
            </w:pPr>
          </w:p>
        </w:tc>
        <w:tc>
          <w:tcPr>
            <w:tcW w:w="48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5D0878">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9C1538">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720B61">
            <w:pPr>
              <w:jc w:val="center"/>
              <w:rPr>
                <w:rFonts w:hint="eastAsia" w:ascii="宋体" w:hAnsi="宋体" w:eastAsia="宋体" w:cs="宋体"/>
                <w:i w:val="0"/>
                <w:iCs w:val="0"/>
                <w:color w:val="000000"/>
                <w:sz w:val="18"/>
                <w:szCs w:val="18"/>
                <w:u w:val="none"/>
              </w:rPr>
            </w:pPr>
          </w:p>
        </w:tc>
        <w:tc>
          <w:tcPr>
            <w:tcW w:w="1052"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6F6B1505">
            <w:pPr>
              <w:jc w:val="center"/>
              <w:rPr>
                <w:rFonts w:hint="eastAsia" w:ascii="宋体" w:hAnsi="宋体" w:eastAsia="宋体" w:cs="宋体"/>
                <w:i w:val="0"/>
                <w:iCs w:val="0"/>
                <w:color w:val="000000"/>
                <w:sz w:val="18"/>
                <w:szCs w:val="18"/>
                <w:u w:val="none"/>
              </w:rPr>
            </w:pPr>
          </w:p>
        </w:tc>
      </w:tr>
      <w:tr w14:paraId="054E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26C3017">
            <w:pPr>
              <w:jc w:val="center"/>
              <w:rPr>
                <w:rFonts w:hint="eastAsia" w:ascii="宋体" w:hAnsi="宋体" w:eastAsia="宋体" w:cs="宋体"/>
                <w:i w:val="0"/>
                <w:iCs w:val="0"/>
                <w:color w:val="000000"/>
                <w:sz w:val="18"/>
                <w:szCs w:val="18"/>
                <w:u w:val="none"/>
              </w:rPr>
            </w:pPr>
          </w:p>
        </w:tc>
        <w:tc>
          <w:tcPr>
            <w:tcW w:w="1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0C9B1D">
            <w:pPr>
              <w:jc w:val="center"/>
              <w:rPr>
                <w:rFonts w:hint="eastAsia" w:ascii="宋体" w:hAnsi="宋体" w:eastAsia="宋体" w:cs="宋体"/>
                <w:i w:val="0"/>
                <w:iCs w:val="0"/>
                <w:color w:val="000000"/>
                <w:sz w:val="18"/>
                <w:szCs w:val="18"/>
                <w:u w:val="none"/>
              </w:rPr>
            </w:pPr>
          </w:p>
        </w:tc>
        <w:tc>
          <w:tcPr>
            <w:tcW w:w="48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89A5B7">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CC4AC3">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01A316">
            <w:pPr>
              <w:jc w:val="center"/>
              <w:rPr>
                <w:rFonts w:hint="eastAsia" w:ascii="宋体" w:hAnsi="宋体" w:eastAsia="宋体" w:cs="宋体"/>
                <w:i w:val="0"/>
                <w:iCs w:val="0"/>
                <w:color w:val="000000"/>
                <w:sz w:val="18"/>
                <w:szCs w:val="18"/>
                <w:u w:val="none"/>
              </w:rPr>
            </w:pPr>
          </w:p>
        </w:tc>
        <w:tc>
          <w:tcPr>
            <w:tcW w:w="1052"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3C3AE268">
            <w:pPr>
              <w:jc w:val="center"/>
              <w:rPr>
                <w:rFonts w:hint="eastAsia" w:ascii="宋体" w:hAnsi="宋体" w:eastAsia="宋体" w:cs="宋体"/>
                <w:i w:val="0"/>
                <w:iCs w:val="0"/>
                <w:color w:val="000000"/>
                <w:sz w:val="18"/>
                <w:szCs w:val="18"/>
                <w:u w:val="none"/>
              </w:rPr>
            </w:pPr>
          </w:p>
        </w:tc>
      </w:tr>
      <w:tr w14:paraId="3B8E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D29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56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E8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1.显示类型  LED显示屏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2.型号：100H5F Pro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3.屏幕尺寸：  100英寸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4.屏幕分辨率 超高清4K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5.护眼功能   低蓝光护眼认证有：“无闪屏护眼认证”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6.响应时间   2ms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7.屏幕比例   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8.色域标准   CDI-P3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9.亮度       400-600尼特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10.色域值     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11.核心参数系统 Coocaa (Android)运行内存/RAM4GB存储内存 64GB背光方式 直下式/DLEDCPU架构 四核A73WIFl频段 2.4G&amp;5G智能语音助手其他创维小维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12.音频参数发声单元个数 3音响功率50W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13.外观设计屏占比97%边框材质 金属底座材质 金属安装孔距800*400mm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14.端口参数 HDMI2.0接口数无HDMI2.1接口数3个</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3A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0AD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97E216">
            <w:pPr>
              <w:tabs>
                <w:tab w:val="left" w:pos="518"/>
              </w:tabs>
              <w:jc w:val="left"/>
              <w:rPr>
                <w:rFonts w:hint="default" w:ascii="宋体" w:hAnsi="宋体" w:eastAsia="宋体" w:cs="宋体"/>
                <w:i w:val="0"/>
                <w:iCs w:val="0"/>
                <w:color w:val="000000"/>
                <w:sz w:val="18"/>
                <w:szCs w:val="18"/>
                <w:u w:val="none"/>
                <w:lang w:val="en-US" w:eastAsia="zh-CN"/>
              </w:rPr>
            </w:pPr>
          </w:p>
        </w:tc>
      </w:tr>
      <w:tr w14:paraId="47EA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80" w:type="dxa"/>
            <w:tcBorders>
              <w:top w:val="single" w:color="000000" w:sz="4" w:space="0"/>
              <w:left w:val="single" w:color="000000" w:sz="8" w:space="0"/>
              <w:right w:val="single" w:color="000000" w:sz="4" w:space="0"/>
            </w:tcBorders>
            <w:shd w:val="clear" w:color="FFFFFF" w:fill="FFFFFF"/>
            <w:vAlign w:val="center"/>
          </w:tcPr>
          <w:p w14:paraId="2587E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20" w:type="dxa"/>
            <w:tcBorders>
              <w:top w:val="single" w:color="000000" w:sz="4" w:space="0"/>
              <w:left w:val="single" w:color="000000" w:sz="4" w:space="0"/>
              <w:right w:val="single" w:color="000000" w:sz="4" w:space="0"/>
            </w:tcBorders>
            <w:shd w:val="clear" w:color="FFFFFF" w:fill="FFFFFF"/>
            <w:vAlign w:val="center"/>
          </w:tcPr>
          <w:p w14:paraId="0007C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壁挂式空调</w:t>
            </w:r>
          </w:p>
        </w:tc>
        <w:tc>
          <w:tcPr>
            <w:tcW w:w="4863" w:type="dxa"/>
            <w:tcBorders>
              <w:top w:val="single" w:color="000000" w:sz="4" w:space="0"/>
              <w:left w:val="single" w:color="000000" w:sz="4" w:space="0"/>
              <w:right w:val="single" w:color="000000" w:sz="4" w:space="0"/>
            </w:tcBorders>
            <w:shd w:val="clear" w:color="FFFFFF" w:fill="FFFFFF"/>
            <w:vAlign w:val="center"/>
          </w:tcPr>
          <w:p w14:paraId="06A85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1.外观颜色   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2.控制方式   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3.能力名称   制冷量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4.能力数值   3510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5.能力单位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6.能效等级   一级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7.电源频率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8.变频/定频  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9.体积（m3） 0.18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10.包装体积（m3）0.30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11.包装清单遥控器*1件、7号电池* 2节、连接管*1套、包扎带*1卷、密封胶泥*200克、排水管*1根03墙孔挡板*1件、安装板*1件、自攻螺钉*5颗、塑料胀管*5个、排水接头*1个、使用安装说明书* 1本、连接管防拆帽*2个、保温管*2个、室内机*1台，室外机*1台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12.包装尺寸（mm）长845*宽204*高304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13.包装体积（m3）0.094535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14.机身尺寸（mm）长845*宽204*高304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15.机身体积（m3）0.052404 </w:t>
            </w:r>
          </w:p>
          <w:p w14:paraId="6AB18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038609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16.净重（Kg）9.5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17.毛重（Kg）12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18.机身尺寸（mm）长765*宽303*高555</w:t>
            </w:r>
          </w:p>
        </w:tc>
        <w:tc>
          <w:tcPr>
            <w:tcW w:w="903" w:type="dxa"/>
            <w:tcBorders>
              <w:top w:val="single" w:color="000000" w:sz="4" w:space="0"/>
              <w:left w:val="single" w:color="000000" w:sz="4" w:space="0"/>
              <w:right w:val="single" w:color="000000" w:sz="4" w:space="0"/>
            </w:tcBorders>
            <w:shd w:val="clear" w:color="FFFFFF" w:fill="FFFFFF"/>
            <w:vAlign w:val="center"/>
          </w:tcPr>
          <w:p w14:paraId="7146F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right w:val="single" w:color="000000" w:sz="4" w:space="0"/>
            </w:tcBorders>
            <w:shd w:val="clear" w:color="FFFFFF" w:fill="FFFFFF"/>
            <w:vAlign w:val="center"/>
          </w:tcPr>
          <w:p w14:paraId="157695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DBEE6E">
            <w:pPr>
              <w:jc w:val="right"/>
              <w:rPr>
                <w:rFonts w:hint="eastAsia" w:ascii="宋体" w:hAnsi="宋体" w:eastAsia="宋体" w:cs="宋体"/>
                <w:i w:val="0"/>
                <w:iCs w:val="0"/>
                <w:color w:val="000000"/>
                <w:sz w:val="18"/>
                <w:szCs w:val="18"/>
                <w:u w:val="none"/>
              </w:rPr>
            </w:pPr>
          </w:p>
        </w:tc>
      </w:tr>
      <w:tr w14:paraId="657F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76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5E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立式空调</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02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1.外观颜色   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2.控制方式   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3.能力名称   制冷量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4.能力数值   7220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5.能力单位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6.能效等级   一级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7.电源频率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8.变频/定频  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9.体积（m3） 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10.包装体积（m3）0.88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11.包装清单遥控器*1件、7号电池* 2节、连接管*1套、包扎带*1卷、密封胶泥*200克、排水管*1根03墙孔挡板*1件、安装板*1件、自攻螺钉*5颗、塑料胀管*5个、排水接头*1个、使用安装说明书* 1本、连接管防拆帽*2个、保温管*2个、室内机*1台，室外机*1台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12.内机规格信息包装尺寸（mm）长461*宽413*高1818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13.包装体积（m3）0.55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14.机身尺寸（mm）长461*宽413*高1818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机身体积（m3）0.35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16.净重（Kg）31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17.毛重（Kg）42</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3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065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78BD2">
            <w:pPr>
              <w:jc w:val="right"/>
              <w:rPr>
                <w:rFonts w:hint="eastAsia" w:ascii="宋体" w:hAnsi="宋体" w:eastAsia="宋体" w:cs="宋体"/>
                <w:i w:val="0"/>
                <w:iCs w:val="0"/>
                <w:color w:val="000000"/>
                <w:sz w:val="18"/>
                <w:szCs w:val="18"/>
                <w:u w:val="none"/>
              </w:rPr>
            </w:pPr>
          </w:p>
        </w:tc>
      </w:tr>
      <w:tr w14:paraId="48F2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D7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2D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监控摄像机</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CD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1.200万 1/2.7" CMOS 红外半球型网络摄像机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2.支持Smart侦测：10项事件检测，1项异常检测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3.最低照度: 彩色：0.002 Lux @（F1.2，AGC ON），黑白：0 Lux with IR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4.宽动态: 120 dB</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C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C30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BD7AE7">
            <w:pPr>
              <w:jc w:val="right"/>
              <w:rPr>
                <w:rFonts w:hint="eastAsia" w:ascii="宋体" w:hAnsi="宋体" w:eastAsia="宋体" w:cs="宋体"/>
                <w:i w:val="0"/>
                <w:iCs w:val="0"/>
                <w:color w:val="000000"/>
                <w:sz w:val="18"/>
                <w:szCs w:val="18"/>
                <w:u w:val="none"/>
              </w:rPr>
            </w:pPr>
          </w:p>
        </w:tc>
      </w:tr>
      <w:tr w14:paraId="558F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AB5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66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45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1.16路2盘位双网口，8000监控盘，4000监控盘，8+2综合线，小耳朵监控电源，5口交换机，5类水晶头</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65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389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vMerge w:val="restart"/>
            <w:tcBorders>
              <w:top w:val="single" w:color="000000" w:sz="4" w:space="0"/>
              <w:left w:val="single" w:color="000000" w:sz="4" w:space="0"/>
              <w:right w:val="single" w:color="000000" w:sz="8" w:space="0"/>
            </w:tcBorders>
            <w:shd w:val="clear" w:color="FFFFFF" w:fill="FFFFFF"/>
            <w:vAlign w:val="center"/>
          </w:tcPr>
          <w:p w14:paraId="1973CA2D">
            <w:pPr>
              <w:jc w:val="right"/>
              <w:rPr>
                <w:rFonts w:hint="eastAsia" w:ascii="宋体" w:hAnsi="宋体" w:eastAsia="宋体" w:cs="宋体"/>
                <w:i w:val="0"/>
                <w:iCs w:val="0"/>
                <w:color w:val="000000"/>
                <w:sz w:val="18"/>
                <w:szCs w:val="18"/>
                <w:u w:val="none"/>
              </w:rPr>
            </w:pPr>
          </w:p>
        </w:tc>
      </w:tr>
      <w:tr w14:paraId="4EA4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135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F9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55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1.27寸显示器</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7C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139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vMerge w:val="continue"/>
            <w:tcBorders>
              <w:left w:val="single" w:color="000000" w:sz="4" w:space="0"/>
              <w:bottom w:val="single" w:color="000000" w:sz="4" w:space="0"/>
              <w:right w:val="single" w:color="000000" w:sz="8" w:space="0"/>
            </w:tcBorders>
            <w:shd w:val="clear" w:color="FFFFFF" w:fill="FFFFFF"/>
            <w:vAlign w:val="center"/>
          </w:tcPr>
          <w:p w14:paraId="072896C0">
            <w:pPr>
              <w:jc w:val="right"/>
              <w:rPr>
                <w:rFonts w:hint="eastAsia" w:ascii="宋体" w:hAnsi="宋体" w:eastAsia="宋体" w:cs="宋体"/>
                <w:i w:val="0"/>
                <w:iCs w:val="0"/>
                <w:color w:val="000000"/>
                <w:sz w:val="18"/>
                <w:szCs w:val="18"/>
                <w:u w:val="none"/>
              </w:rPr>
            </w:pPr>
          </w:p>
        </w:tc>
      </w:tr>
      <w:tr w14:paraId="0451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4B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09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44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1.台式办公电脑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2.固态/无光驱/集显  I5-13420H/16G/512/WIFI/WIN11/7.4L/23.8寸</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40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A85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C889ED">
            <w:pPr>
              <w:jc w:val="right"/>
              <w:rPr>
                <w:rFonts w:hint="eastAsia" w:ascii="宋体" w:hAnsi="宋体" w:eastAsia="宋体" w:cs="宋体"/>
                <w:i w:val="0"/>
                <w:iCs w:val="0"/>
                <w:color w:val="000000"/>
                <w:sz w:val="18"/>
                <w:szCs w:val="18"/>
                <w:u w:val="none"/>
              </w:rPr>
            </w:pPr>
          </w:p>
        </w:tc>
      </w:tr>
      <w:tr w14:paraId="3410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3A038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39286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微笑打卡系统</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4C9950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p>
          <w:p w14:paraId="38F6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1、基于积极心理学、镜像神经元理论，通过微笑加强正向心理暗示，引导用户无意识模仿微笑，不仅能短期改善氛围，更可系统性提升组织韧性，提升个人的自我效能感。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2、要求支持打卡端、展示端双屏展示，支持打卡端打卡后自动上传至展示端展示。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3、打卡端支持照片轮播功能，支持点赞及查看各照片微笑指数。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4、开始打卡：要求支持用户打卡拍照，提供文字及语音鼓励引导。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5、要求打卡拍照完成后自动生成微笑指数，支持用户选择重新拍照、保存上传。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6、微笑指数为0时，无法上传照片，提醒用户重新拍照。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7、支持选择保存上传后自动生成照片编号，展示相似笑容，并在展示端突出显示本次打卡照片。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8、打卡记录：要求支持用户查看过往微笑打卡记录，提供如打卡时间、微笑指数、获赞数量等数据排序，支持进行点赞支持操作。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9、微笑科普：少于16篇图文类文章，不少于16篇微笑视听，不少于15个会心一笑音频。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10、要求展示端支持展示不少于4种3D动效。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11、支持选择显示打卡范围，自定义展示周期。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12、要求提供记录清理，支持查看系统保存的最早记录日期，支持清理特定日期之前全部打卡记。                                                                      </w:t>
            </w:r>
          </w:p>
          <w:p w14:paraId="17F2C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1、要求包含微笑打卡系统1套（预置安装）；打卡端1台。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1、打卡端外观尺寸：700mm*550mm*1774.2mm（±5mm）。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2、打卡端屏幕尺寸：32英寸。                                                                                                                                           3、显示终端75寸</w:t>
            </w:r>
          </w:p>
        </w:tc>
        <w:tc>
          <w:tcPr>
            <w:tcW w:w="903" w:type="dxa"/>
            <w:tcBorders>
              <w:top w:val="single" w:color="000000" w:sz="4" w:space="0"/>
              <w:left w:val="single" w:color="000000" w:sz="4" w:space="0"/>
              <w:right w:val="single" w:color="000000" w:sz="4" w:space="0"/>
            </w:tcBorders>
            <w:shd w:val="clear" w:color="FFFFFF" w:fill="FFFFFF"/>
            <w:vAlign w:val="center"/>
          </w:tcPr>
          <w:p w14:paraId="4EAB2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2AE05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D2622C">
            <w:pPr>
              <w:jc w:val="right"/>
              <w:rPr>
                <w:rFonts w:hint="eastAsia" w:ascii="宋体" w:hAnsi="宋体" w:eastAsia="宋体" w:cs="宋体"/>
                <w:i w:val="0"/>
                <w:iCs w:val="0"/>
                <w:color w:val="000000"/>
                <w:sz w:val="18"/>
                <w:szCs w:val="18"/>
                <w:u w:val="none"/>
              </w:rPr>
            </w:pPr>
          </w:p>
        </w:tc>
      </w:tr>
      <w:tr w14:paraId="0D5A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06B97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6543A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心理健康信息化管理平台</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5ADDD5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平台基于社会心理服务体系需求设计，须采用B/S架构设计，可运行于互联网和局域网，用户通过浏览器即可访问系统，架构上具有多层级机构管理功能，满足如市、县（区）、乡（镇/街道）、村（社区）四级体系架构，可添加、配置多级子平台，实现多级权限分配；功能上须具有心理服务、心理调适、心理科普、工作协同、大数据可视化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平台可按照不同所辖行政区域进行大数据统计，包含用户信息、区域信息、AI智能心理机器人、产品服务人次、心理咨询服务人次、心理评估服务人次、危机干预服务人次、五级预警人数、儿童/青少年抑郁情况调查统计、心理热线拨打人次、在线咨询情况、心理自助使用人次、心理状态调查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3、平台须具有智能物联技术，可将智能心理设备接入系统，能监测设备运行状态、查看训练记录，实现智能管理。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4、公众用户端须包含在线测评、倾诉空间、在线预约、音乐调节、在线课程、心理文章、心理阅读、心理训练、在线咨询、心理宣传、心情随笔、心理活动、心理热线等功</w:t>
            </w:r>
          </w:p>
          <w:p w14:paraId="4DDC5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5、要求系统须具有在线测评功能，支持题目自动跳转下一题，且提供心理健康、情绪、学习、人格、智力、社交、生活、职业测评等多类型的专业测评量表。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6、要求系统须具有倾诉空间功能，须具有测评、训练、放松、科普4个主题服务，根据用户发送信息，定位其心理困扰，提供合适的解决方案。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7、要求系统须具有在线预约功能，用户可根据预约日历自主选择心理咨询师，填写《心理咨询预约单》，选择合适的时段申请预约，支持预约信息取消操作。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要求系统须具有心理自助功能，要求至少包含音乐调节、在线课程、心理文章、心理阅读、心理训练等5项内容，其中音乐调节模块要求至少包括心理能量、精力再生音乐、古风音乐、减压音乐、催眠音乐、α波音乐、自然音乐等7种音乐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9、要求系统须具有心理训练功能，须具有视觉追踪、注意广度、逻辑思维、注意力、选择性注意、空间认知、记忆力、问题解决、认知灵活性等9个类型训练。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10、要求系统须具有在线咨询功能，用户可自主选择、查看咨询师信息，系统支持在线交流、咨询留言，可随时查看咨询师回复信息并追加留言。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11、要求系统须具有心理宣传功能，至少包括疾病科普、心理咨询技能、心理认知能力、心理健康素养、心理学小故事等5大模块，不少于20篇内容。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12、要求系统须具有心情随笔功能，可自主选择心情符号代表当前</w:t>
            </w:r>
          </w:p>
          <w:p w14:paraId="246F6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情绪状态并记录心情内容，要求符号等级不少于5级。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13、要求系统须具有心理活动功能，用户可查看系统发布的活动报名信息、详细介绍信息，选择相应活动报名参与。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14、要求系统须具有心理热线功能，用户可查看管理员发布的心理热线列表、查询地区心理咨询热线信息。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15、要求系统须具有智能方案功能，要求系统支持智能评估用户状态并提供训练方案内容，指导用户线下训练。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平台管理端须支持角色权限管理，根据人员角色不同分开管理，其中咨询师至少具备测评任务管理、在线咨询管理、预约管理、心理咨询管理、危机干预管理、心理评估管理等功能；管理员须具备测评任务管理、工作协同管理、机构权限管理、资源管理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要求系统须具有测评任务管理功能，支持测评计划发布，可自主选择参评量表、参评人员范围、生效时间等，支持测评计划启用/关闭操作，可编辑知情同意书，查看测评记录、用户档案、人员参评率，测评结束后系统支持团体报告生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18、要求系统须具有在线咨询管理功能，可开启、关闭、编辑咨询师个人信息，关闭后用户端将无法查看咨询师信息。咨询师可查看、回复咨询信息，也可查看历史记录，在线咨询记录支持导出。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19、要求系统须具有预约管理功能，咨询师可自主设置咨询排班表，包括：咨询地点、时间段等信息，且系统具备添加及按模板添加两种添加方式，咨询师可在管理端查看预约记录。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20、要求系统须具有心理咨询管理功能，须具有咨询附件管理功能，支持将以往咨询的记录、就诊及服药记录上传至咨询记录附件中，可</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76E8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4D9AD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1846B9">
            <w:pPr>
              <w:jc w:val="right"/>
              <w:rPr>
                <w:rFonts w:hint="eastAsia" w:ascii="宋体" w:hAnsi="宋体" w:eastAsia="宋体" w:cs="宋体"/>
                <w:i w:val="0"/>
                <w:iCs w:val="0"/>
                <w:color w:val="000000"/>
                <w:sz w:val="18"/>
                <w:szCs w:val="18"/>
                <w:u w:val="none"/>
              </w:rPr>
            </w:pPr>
          </w:p>
        </w:tc>
      </w:tr>
      <w:tr w14:paraId="3638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6" w:hRule="atLeast"/>
        </w:trPr>
        <w:tc>
          <w:tcPr>
            <w:tcW w:w="880" w:type="dxa"/>
            <w:vMerge w:val="continue"/>
            <w:tcBorders>
              <w:left w:val="single" w:color="000000" w:sz="8" w:space="0"/>
              <w:right w:val="single" w:color="000000" w:sz="4" w:space="0"/>
            </w:tcBorders>
            <w:shd w:val="clear" w:color="FFFFFF" w:fill="FFFFFF"/>
            <w:vAlign w:val="center"/>
          </w:tcPr>
          <w:p w14:paraId="1960B80F">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7D66CCDE">
            <w:pPr>
              <w:jc w:val="left"/>
              <w:rPr>
                <w:rFonts w:hint="eastAsia" w:ascii="宋体" w:hAnsi="宋体" w:eastAsia="宋体" w:cs="宋体"/>
                <w:i w:val="0"/>
                <w:iCs w:val="0"/>
                <w:color w:val="000000"/>
                <w:sz w:val="18"/>
                <w:szCs w:val="18"/>
                <w:u w:val="none"/>
              </w:rPr>
            </w:pPr>
          </w:p>
        </w:tc>
        <w:tc>
          <w:tcPr>
            <w:tcW w:w="4863" w:type="dxa"/>
            <w:vMerge w:val="continue"/>
            <w:tcBorders>
              <w:left w:val="single" w:color="000000" w:sz="4" w:space="0"/>
              <w:right w:val="single" w:color="000000" w:sz="4" w:space="0"/>
            </w:tcBorders>
            <w:shd w:val="clear" w:color="FFFFFF" w:fill="FFFFFF"/>
            <w:vAlign w:val="center"/>
          </w:tcPr>
          <w:p w14:paraId="4C430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03" w:type="dxa"/>
            <w:vMerge w:val="continue"/>
            <w:tcBorders>
              <w:left w:val="single" w:color="000000" w:sz="4" w:space="0"/>
              <w:right w:val="single" w:color="000000" w:sz="4" w:space="0"/>
            </w:tcBorders>
            <w:shd w:val="clear" w:color="FFFFFF" w:fill="FFFFFF"/>
            <w:vAlign w:val="center"/>
          </w:tcPr>
          <w:p w14:paraId="53922767">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right w:val="single" w:color="000000" w:sz="4" w:space="0"/>
            </w:tcBorders>
            <w:shd w:val="clear" w:color="FFFFFF" w:fill="FFFFFF"/>
            <w:vAlign w:val="center"/>
          </w:tcPr>
          <w:p w14:paraId="34F88EBF">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9ECFAD">
            <w:pPr>
              <w:jc w:val="right"/>
              <w:rPr>
                <w:rFonts w:hint="eastAsia" w:ascii="宋体" w:hAnsi="宋体" w:eastAsia="宋体" w:cs="宋体"/>
                <w:i w:val="0"/>
                <w:iCs w:val="0"/>
                <w:color w:val="000000"/>
                <w:sz w:val="18"/>
                <w:szCs w:val="18"/>
                <w:u w:val="none"/>
              </w:rPr>
            </w:pPr>
          </w:p>
        </w:tc>
      </w:tr>
      <w:tr w14:paraId="1624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9" w:hRule="atLeast"/>
        </w:trPr>
        <w:tc>
          <w:tcPr>
            <w:tcW w:w="880" w:type="dxa"/>
            <w:vMerge w:val="continue"/>
            <w:tcBorders>
              <w:left w:val="single" w:color="000000" w:sz="8" w:space="0"/>
              <w:right w:val="single" w:color="000000" w:sz="4" w:space="0"/>
            </w:tcBorders>
            <w:shd w:val="clear" w:color="FFFFFF" w:fill="FFFFFF"/>
            <w:vAlign w:val="center"/>
          </w:tcPr>
          <w:p w14:paraId="603F8B72">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5133BDC8">
            <w:pPr>
              <w:jc w:val="left"/>
              <w:rPr>
                <w:rFonts w:hint="eastAsia" w:ascii="宋体" w:hAnsi="宋体" w:eastAsia="宋体" w:cs="宋体"/>
                <w:i w:val="0"/>
                <w:iCs w:val="0"/>
                <w:color w:val="000000"/>
                <w:sz w:val="18"/>
                <w:szCs w:val="18"/>
                <w:u w:val="none"/>
              </w:rPr>
            </w:pPr>
          </w:p>
        </w:tc>
        <w:tc>
          <w:tcPr>
            <w:tcW w:w="4863" w:type="dxa"/>
            <w:tcBorders>
              <w:top w:val="single" w:color="000000" w:sz="4" w:space="0"/>
              <w:left w:val="single" w:color="000000" w:sz="4" w:space="0"/>
              <w:right w:val="single" w:color="000000" w:sz="4" w:space="0"/>
            </w:tcBorders>
            <w:shd w:val="clear" w:color="FFFFFF" w:fill="FFFFFF"/>
            <w:vAlign w:val="center"/>
          </w:tcPr>
          <w:p w14:paraId="2B860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针对个案出具处理意见。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21要求系统须具有危机干预管理功能，从自杀、自伤、攻击性等方面进行评估，支持首要危机问题类型选择，可选择危机处理方案，详细记录人员情况，且记录可导出。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22、要求系统须具有重点障碍诊断功能，可自主选择抑郁症、焦虑障碍、失眠、老年痴呆等症状，阳性人员名单可导出。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23、要求系统须支持自主添加音乐、心理文章、在线课程、心理阅读、心理宣传等内容，上传资源文件和内容。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24、要求系统须具有心理活动管理功能，支持在线活动信息发布，可设置报名时间、活动内容，查询报名人员名单。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25、要求系统须具有心理热线管理功能，支持添加热线信息，管理员可查看、编辑、删除心理热线。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26、要求系统须具有工作协同管理功能，具有信息上报和下达功能，便于各子平台管理员对于心理工作上报下达，为收集相关心理服务数据提供信息化支撑。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27、要求系统须具有用户管理功能，可设置如市级管理员、县（区）管理员、乡（镇/街道）管理员、村（社区）管理员、单位（部门）管理员、心理咨询师等角色，且每个角色具备不同的功能和权限。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28、要求系统须具有智能终端管理功能，管理员可查看接入的终端设备状态，绑定、解绑设备，查询、下载用户在智能终端上训练的报告。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29、要求系统须具有微信设置管理功能，管理员可根据需要将微信登录链接发布至公众号，同时可将二维码上传至系统用于微信绑定登录。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1、要求产品包含《心理健康信息化管理平台》系统1套。</w:t>
            </w:r>
          </w:p>
        </w:tc>
        <w:tc>
          <w:tcPr>
            <w:tcW w:w="903" w:type="dxa"/>
            <w:vMerge w:val="continue"/>
            <w:tcBorders>
              <w:left w:val="single" w:color="000000" w:sz="4" w:space="0"/>
              <w:right w:val="single" w:color="000000" w:sz="4" w:space="0"/>
            </w:tcBorders>
            <w:shd w:val="clear" w:color="FFFFFF" w:fill="FFFFFF"/>
            <w:vAlign w:val="center"/>
          </w:tcPr>
          <w:p w14:paraId="38F5ABE4">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right w:val="single" w:color="000000" w:sz="4" w:space="0"/>
            </w:tcBorders>
            <w:shd w:val="clear" w:color="FFFFFF" w:fill="FFFFFF"/>
            <w:vAlign w:val="center"/>
          </w:tcPr>
          <w:p w14:paraId="645C4075">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24FFD9">
            <w:pPr>
              <w:jc w:val="right"/>
              <w:rPr>
                <w:rFonts w:hint="eastAsia" w:ascii="宋体" w:hAnsi="宋体" w:eastAsia="宋体" w:cs="宋体"/>
                <w:i w:val="0"/>
                <w:iCs w:val="0"/>
                <w:color w:val="000000"/>
                <w:sz w:val="18"/>
                <w:szCs w:val="18"/>
                <w:u w:val="none"/>
              </w:rPr>
            </w:pPr>
          </w:p>
        </w:tc>
      </w:tr>
      <w:tr w14:paraId="1B1C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1"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182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E0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沙盘</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95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1、个体沙箱1个：规格长度72cm*宽度57cm*高度7cm，材质为橡木板材，内侧蓝色。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2、团体沙箱1个：规格长度114cm*宽度72cm*高度10cm，材质为橡木板材，内侧蓝色。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3、沙具1500件：提供如人物类、死亡类、文体类、食物类、家居类、交通类、军事类、建筑类、动物类、植物类、自然物类、名胜古迹类、颜色形状类、符号类、钱币类等不少于15类主题沙具。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4、沙具摆放架3个：高度约160cm*宽度约80cm*深度约30cm；橡木板材，9层设计。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5、细沙45KG：天然细沙、颗粒光滑、大小均匀、手感好。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6、要求提供至少30课时的沙盘培训微课一套，课程以双人访谈QA一对一解答的方式，分主题讲解沙盘游戏咨询的理论背景、实操技术，能让初学者迅速入门。</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3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F61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850155">
            <w:pPr>
              <w:jc w:val="right"/>
              <w:rPr>
                <w:rFonts w:hint="eastAsia" w:ascii="宋体" w:hAnsi="宋体" w:eastAsia="宋体" w:cs="宋体"/>
                <w:i w:val="0"/>
                <w:iCs w:val="0"/>
                <w:color w:val="000000"/>
                <w:sz w:val="18"/>
                <w:szCs w:val="18"/>
                <w:u w:val="none"/>
              </w:rPr>
            </w:pPr>
          </w:p>
        </w:tc>
      </w:tr>
      <w:tr w14:paraId="4F66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6"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5AE8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74B3F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HRV身心反馈训练系统★</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40DB64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核心：本系统深度融合心率变异性生物反馈科技，集成HRV身心监测及减压放松训练两大功能，包括如HRV参数监测、心理评估、反馈训练、音乐放松、场景放松、训练指导、眼动训练、应激训练等功能模块，旨在全方位辅助用户进行压力释放与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2、内置呼吸助手视觉提示窗，动态展示呼、吸效果，支持灵活调整呼吸速度；脉搏波形动态显示窗，实时监测心率、血氧指标，增强用户体验的直观性与互动性。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3、通过实时监测心率、血氧等数据，覆盖如脉搏波形、时域分析、频域分析、协调指数、压力指数等关键指标。协调指数与压力指数采用百分制评估。点击参数或图表可</w:t>
            </w:r>
          </w:p>
          <w:p w14:paraId="438B4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查看其详细介绍信息。支持监测结束后生成报告，报告支持导出。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4、提供心率变异程度的曲线图、散点图、HRT直方图、心率的平均值、心率的标准差、NN间期平均值、相邻RR间期差值的均方根。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5、提供功率谱图、标准化HF（HF-norm）、交感及副交感张力的平衡（LF/HF）、总功率（TP）、高频功率（HF）、低频功率（LF）等。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6、集成要具备专业心理评估量表，如自我压力测试、显性焦虑量表等，每个量表提供详细介绍说明，支持选择自动跳转至下一题，测评后即时生成报告。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7、心理评估报告提供测评结果、辅导建议、测评总结等详细内容，记录测试耗时及测试日期。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8、提供反馈训练项目，支持难度分级（简单、普通、困难），训练界面实时反馈心率、血氧及协调度，训练场景随生理指标数值及训练进度而变化，提升训练趣味性与效果。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9、提供如“自然音乐”、“精力再生”、“心理能量”等主题的音乐库，支持进入管理模式自定义音乐分类与文件，打造个性化放松空间。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10、收录如“广袤沙漠”、“日光海岸”、“恬静草原”等高清放松场景及音乐，营造身临其境的放松体验。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11、涵盖肌肉放松训练、冥想放松训练、自我疗愈、呼吸放松训练、拥抱潜意识、森林冥想、净化身心、感谢自己、摆脱不安、悲伤辅导、超越思维、非评判练习、改</w:t>
            </w:r>
          </w:p>
          <w:p w14:paraId="23D20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善沟通、改善焦虑、积极心态等≥15种科学训练指导方向，引导用户正确进行心理调适。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12、提供应激训练，提供≥14种场景及音乐，支持全屏沉浸式体验。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13、集成基于EMDR（眼动脱敏再处理）的眼动训练方案，提供不少于6条提示，支持眼球追踪小球速度、颜色、尺寸的个性化调整，满足不同训练需求。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14、要求提供详细训练报告，包括训练类型、记录时间、训练时长、训练项目、健康说明、辅导建议、知识拓展等，提供压力指数及协调指数0-100五级计分（极差、差、正常、良好、优）及理想分值、具体分值。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15、训练档案管理：全面记录训练类型、记录日期及训练档案等，支持针对训练类型进行筛选，报告整合HRV记录数据。管理员可便捷查询与管理训练档案，支持报告导出功能。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16、支持进行指夹传感器配置、反馈训练相关配置、蓝牙椅控配置，提供训练难度值（简单、普通、困难）自定义配置。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17、支持将训练报告推送至已有云平台，通过物联网技术与心理云平台实现互联互通，提供云端身份验证、数据保存、数据管理等功能。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18、智能座椅调控：融合智能匹配与手动匹配双重模式，内置复位座舱、紧急操作等功能，确保紧急情况下的即时制动，保障用户的训练安全。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19、智能按摩：为实现最佳的放松效果，系统针对每一环节自动生成与之匹配的按摩方式。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20、手动按摩：提供如悬浮位、固定位、坐姿位三种姿态选择，结合主题、自由、气囊三种按摩模式，支持选择头罩遮挡、打开、固定，支持光疗、热敷功能自由开关，有效缓解身体疲劳，减轻心理压力。</w:t>
            </w:r>
          </w:p>
          <w:p w14:paraId="67EAE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提供如“酸痛缓和”、“舒畅心情”、“筋骨舒展”等主题按摩；提供揉捏、叩击、拍打、揉捏叩击、指压等自由按摩形式，支持针对按摩位置、速度、幅度进行自定义调节；提供全身、脚腿部、腰坐部、手肩部等气压按摩模式。                                    加“★”功能为核心使用功能，须提供系统功能截图进行佐证，实际供货须与截图保持一致，否则不得分。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1、要求包含HRV身心反馈训练系统1套（预置安装）；减压舱1台；指夹式生物反馈采集仪1套；训练端1台。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1、要求训练端尺寸：278mm×174mm×10mm。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2、要求训练端屏幕尺寸：11.97英寸。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3、要求减压舱竖立尺寸1460mm*830mm*1300mm（±50mm），全倒尺寸1750mm*830mm*920mm（±50mm）。</w:t>
            </w:r>
          </w:p>
        </w:tc>
        <w:tc>
          <w:tcPr>
            <w:tcW w:w="903" w:type="dxa"/>
            <w:tcBorders>
              <w:top w:val="single" w:color="000000" w:sz="4" w:space="0"/>
              <w:left w:val="single" w:color="000000" w:sz="4" w:space="0"/>
              <w:right w:val="single" w:color="000000" w:sz="4" w:space="0"/>
            </w:tcBorders>
            <w:shd w:val="clear" w:color="FFFFFF" w:fill="FFFFFF"/>
            <w:vAlign w:val="center"/>
          </w:tcPr>
          <w:p w14:paraId="4C3CB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6B84B7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vMerge w:val="restart"/>
            <w:tcBorders>
              <w:top w:val="single" w:color="000000" w:sz="4" w:space="0"/>
              <w:left w:val="single" w:color="000000" w:sz="4" w:space="0"/>
              <w:right w:val="single" w:color="000000" w:sz="8" w:space="0"/>
            </w:tcBorders>
            <w:shd w:val="clear" w:color="FFFFFF" w:fill="FFFFFF"/>
            <w:vAlign w:val="center"/>
          </w:tcPr>
          <w:p w14:paraId="7BCEE7A2">
            <w:pPr>
              <w:jc w:val="right"/>
              <w:rPr>
                <w:rFonts w:hint="eastAsia" w:ascii="宋体" w:hAnsi="宋体" w:eastAsia="宋体" w:cs="宋体"/>
                <w:i w:val="0"/>
                <w:iCs w:val="0"/>
                <w:color w:val="000000"/>
                <w:sz w:val="18"/>
                <w:szCs w:val="18"/>
                <w:u w:val="none"/>
              </w:rPr>
            </w:pPr>
          </w:p>
        </w:tc>
      </w:tr>
      <w:tr w14:paraId="2FA8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80" w:type="dxa"/>
            <w:vMerge w:val="continue"/>
            <w:tcBorders>
              <w:left w:val="single" w:color="000000" w:sz="8" w:space="0"/>
              <w:bottom w:val="single" w:color="000000" w:sz="4" w:space="0"/>
              <w:right w:val="single" w:color="000000" w:sz="4" w:space="0"/>
            </w:tcBorders>
            <w:shd w:val="clear" w:color="FFFFFF" w:fill="FFFFFF"/>
            <w:vAlign w:val="center"/>
          </w:tcPr>
          <w:p w14:paraId="5CA42FD9">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bottom w:val="single" w:color="000000" w:sz="4" w:space="0"/>
              <w:right w:val="single" w:color="000000" w:sz="4" w:space="0"/>
            </w:tcBorders>
            <w:shd w:val="clear" w:color="FFFFFF" w:fill="FFFFFF"/>
            <w:vAlign w:val="center"/>
          </w:tcPr>
          <w:p w14:paraId="70C17EB5">
            <w:pPr>
              <w:jc w:val="left"/>
              <w:rPr>
                <w:rFonts w:hint="eastAsia" w:ascii="宋体" w:hAnsi="宋体" w:eastAsia="宋体" w:cs="宋体"/>
                <w:i w:val="0"/>
                <w:iCs w:val="0"/>
                <w:color w:val="000000"/>
                <w:sz w:val="18"/>
                <w:szCs w:val="18"/>
                <w:u w:val="none"/>
              </w:rPr>
            </w:pPr>
          </w:p>
        </w:tc>
        <w:tc>
          <w:tcPr>
            <w:tcW w:w="4863" w:type="dxa"/>
            <w:vMerge w:val="continue"/>
            <w:tcBorders>
              <w:left w:val="single" w:color="000000" w:sz="4" w:space="0"/>
              <w:bottom w:val="single" w:color="000000" w:sz="4" w:space="0"/>
              <w:right w:val="single" w:color="000000" w:sz="4" w:space="0"/>
            </w:tcBorders>
            <w:shd w:val="clear" w:color="FFFFFF" w:fill="FFFFFF"/>
            <w:vAlign w:val="center"/>
          </w:tcPr>
          <w:p w14:paraId="4FDB7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B3BBB">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B5BE8">
            <w:pPr>
              <w:jc w:val="right"/>
              <w:rPr>
                <w:rFonts w:hint="eastAsia" w:ascii="宋体" w:hAnsi="宋体" w:eastAsia="宋体" w:cs="宋体"/>
                <w:i w:val="0"/>
                <w:iCs w:val="0"/>
                <w:color w:val="000000"/>
                <w:sz w:val="18"/>
                <w:szCs w:val="18"/>
                <w:u w:val="none"/>
              </w:rPr>
            </w:pPr>
          </w:p>
        </w:tc>
        <w:tc>
          <w:tcPr>
            <w:tcW w:w="1052" w:type="dxa"/>
            <w:vMerge w:val="continue"/>
            <w:tcBorders>
              <w:left w:val="single" w:color="000000" w:sz="4" w:space="0"/>
              <w:bottom w:val="single" w:color="000000" w:sz="4" w:space="0"/>
              <w:right w:val="single" w:color="000000" w:sz="8" w:space="0"/>
            </w:tcBorders>
            <w:shd w:val="clear" w:color="FFFFFF" w:fill="FFFFFF"/>
            <w:vAlign w:val="center"/>
          </w:tcPr>
          <w:p w14:paraId="14BC166F">
            <w:pPr>
              <w:jc w:val="right"/>
              <w:rPr>
                <w:rFonts w:hint="eastAsia" w:ascii="宋体" w:hAnsi="宋体" w:eastAsia="宋体" w:cs="宋体"/>
                <w:i w:val="0"/>
                <w:iCs w:val="0"/>
                <w:color w:val="000000"/>
                <w:sz w:val="18"/>
                <w:szCs w:val="18"/>
                <w:u w:val="none"/>
              </w:rPr>
            </w:pPr>
          </w:p>
        </w:tc>
      </w:tr>
      <w:tr w14:paraId="092C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7"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31394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532C5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心理能量加油站★</w:t>
            </w:r>
          </w:p>
        </w:tc>
        <w:tc>
          <w:tcPr>
            <w:tcW w:w="4863" w:type="dxa"/>
            <w:tcBorders>
              <w:top w:val="single" w:color="000000" w:sz="4" w:space="0"/>
              <w:left w:val="single" w:color="000000" w:sz="4" w:space="0"/>
              <w:right w:val="single" w:color="000000" w:sz="4" w:space="0"/>
            </w:tcBorders>
            <w:shd w:val="clear" w:color="FFFFFF" w:fill="FFFFFF"/>
            <w:vAlign w:val="center"/>
          </w:tcPr>
          <w:p w14:paraId="7960D0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游戏化学习、行为主义等理论，结合盲盒元素研发，内置如即刻挑战、同心共绘、心理充能等3大功能模块，用户可通过参与一系列心理挑战，获得抽取盲盒的机会，以趣味互动的方式提升心理素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2、首页支持展示盲盒六款盲盒内容物照片，并特殊标注隐藏款。提供使用说明，以弹幕形式展示盲盒奖励获取名单。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3、提供如“守护边界”、“心灵探析”、“不合理信念终结者”等挑战项目，提供≥3条挑战规则，≥3个挑战难度。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4、支持随机抽选即刻挑战项目，挑战成功即可获得盲盒。提供两次重新抽选的机会。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5、支持用户挑战成功后选择继续闯关或抽取盲盒，若选择继续闯</w:t>
            </w:r>
          </w:p>
          <w:p w14:paraId="06F5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关，后续挑战失败，盲盒抽取机会清零。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6、提供如挑战规则、挑战目的、挑战操作演示等即刻挑战项目内容。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7、提供如绿意盎然等同心共绘主题，每个主题提供不少于25个画块，支持用户自由选择画块进行涂色，提供≥200种颜色选择，可调节画笔大小、橡皮大小，支持撤销操作。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8、提供25种小视听科普视频。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9、提供答案之书功能，支持根据引导语操作获取“我的答案”卡牌。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10、提供心理学那点事功能，包含如心理科普、心理学家的故事、生活中的心理学、有趣的心理学实验等主题，提供≥96篇文章。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11、提供心理学小工具，支持用户扫描二维码下载工具内容。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12、提供小彩蛋盲盒掉落，支持在使用心理充能模块过程中随机触发心理知识挑战，获取抽取盲盒机会。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13、提供后台管理中心，支持选择如总计盲盒掉落、即刻挑战盲盒掉落、小彩蛋盲盒掉落、即刻挑战参与量等≥4种统计对象进行本周盲盒机数据统计。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14、支持选择日期，查看本日、本周、本月掉落盲盒的数量。支持修改各通道盲盒数量进行盲盒增补，可显示盲盒总数。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15、提供盲盒掉落记录，包含如时间、项目名称、用户名称、掉落详情、盲盒掉落数量等≥5类记录，支持下选择日期查询记录。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16、提供盲盒增补记录，包含如时间、通道、增补前盲盒总数、增</w:t>
            </w:r>
          </w:p>
          <w:p w14:paraId="249D1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补后盲盒数、变化量、操作后盲盒总数等≥6类记录，支持下选择日期查询记录。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17、支持查看管理员操作记录、盲盒机异常记录等历史记录，对管理员操作进行留痕。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18、支持对即刻挑战进行配置，包含如次数限制、每日次数上限等。支持对小彩蛋进行配置，包含如开启盲盒获取功能、每天最多获取盲盒数量等。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19、支持更改首页盲盒展示照片，提供盲盒缺货提醒功能，支持开启历史记录定期清理功能。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20、提供待机功能，可设置待机开始时长，开启待机后，支持检测长时间未进行操作的情况，返回待机界面，待机情况展示动态画面。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21、支持智能检测盲盒掉落情况，可提示系统状态异常，提供如时间、货道、状态码、检查参考项等内容。             加“★”功能为核心使用功能，须提供系统功能截图进行佐证，实际供货须与截图保持一致，否则不得分。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1、要求包含心理能量加油站系统1套（预置安装）；盲盒包装500个；礼品200个；控制台1套。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1、要求外观尺寸：1700mm*850mm*890mm（±50mm）。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2、要求盲盒尺寸：80mm*80mm*85mm（±5mm）。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3、要求屏幕尺寸：32英寸。</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04E68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574CF0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559B287E">
            <w:pPr>
              <w:jc w:val="right"/>
              <w:rPr>
                <w:rFonts w:hint="eastAsia" w:ascii="宋体" w:hAnsi="宋体" w:eastAsia="宋体" w:cs="宋体"/>
                <w:i w:val="0"/>
                <w:iCs w:val="0"/>
                <w:color w:val="000000"/>
                <w:sz w:val="18"/>
                <w:szCs w:val="18"/>
                <w:u w:val="none"/>
              </w:rPr>
            </w:pPr>
          </w:p>
        </w:tc>
      </w:tr>
      <w:tr w14:paraId="4430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389AB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02413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全周期生涯探索体验系统★</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B3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1、系统基于职业生涯教育理论体系架构，通过专业、全面的生涯探索互动以及丰富的生涯知识库，形成集理论性、系统性、普及性和趣味性等于一体的生涯自助平台，帮助用户进行职业生涯的探索和规划。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2、要求系统须具备注册账号、游客模式两种登录形式，账号登录可使用自我分析、环境分析、生涯行动、生涯趣库、生涯档案等功能，游客模式提供如“自我分析”、“</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38E0F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51E45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vMerge w:val="restart"/>
            <w:tcBorders>
              <w:top w:val="single" w:color="000000" w:sz="4" w:space="0"/>
              <w:left w:val="single" w:color="000000" w:sz="4" w:space="0"/>
              <w:right w:val="single" w:color="000000" w:sz="8" w:space="0"/>
            </w:tcBorders>
            <w:shd w:val="clear" w:color="FFFFFF" w:fill="FFFFFF"/>
            <w:vAlign w:val="center"/>
          </w:tcPr>
          <w:p w14:paraId="130E974B">
            <w:pPr>
              <w:jc w:val="right"/>
              <w:rPr>
                <w:rFonts w:hint="eastAsia" w:ascii="宋体" w:hAnsi="宋体" w:eastAsia="宋体" w:cs="宋体"/>
                <w:i w:val="0"/>
                <w:iCs w:val="0"/>
                <w:color w:val="000000"/>
                <w:sz w:val="18"/>
                <w:szCs w:val="18"/>
                <w:u w:val="none"/>
              </w:rPr>
            </w:pPr>
          </w:p>
        </w:tc>
      </w:tr>
      <w:tr w14:paraId="3B42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9" w:hRule="atLeast"/>
        </w:trPr>
        <w:tc>
          <w:tcPr>
            <w:tcW w:w="880" w:type="dxa"/>
            <w:vMerge w:val="continue"/>
            <w:tcBorders>
              <w:left w:val="single" w:color="000000" w:sz="8" w:space="0"/>
              <w:right w:val="single" w:color="000000" w:sz="4" w:space="0"/>
            </w:tcBorders>
            <w:shd w:val="clear" w:color="FFFFFF" w:fill="FFFFFF"/>
            <w:vAlign w:val="center"/>
          </w:tcPr>
          <w:p w14:paraId="66388454">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1FA2F4BE">
            <w:pPr>
              <w:jc w:val="left"/>
              <w:rPr>
                <w:rFonts w:hint="eastAsia" w:ascii="宋体" w:hAnsi="宋体" w:eastAsia="宋体" w:cs="宋体"/>
                <w:i w:val="0"/>
                <w:iCs w:val="0"/>
                <w:color w:val="000000"/>
                <w:sz w:val="18"/>
                <w:szCs w:val="18"/>
                <w:u w:val="none"/>
              </w:rPr>
            </w:pP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CB9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职业情景体验”等不少于2项内容。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3、自我分析：要求提供如“性格探索”、“优势探索”、“学习技能”、“自我控制”、“价值观分析”、“智力评估”等维度，根据分析结果可生成自我画像。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4、环境分析：要求提供如“高校信息库”、“升学途径”、“专业信息库”等主题，提供不少于60篇文章。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5、生涯行动：要求提供如“我适合的职业”、“我想从事的职业”、“职业情景体验”、“制定我的目标”等4步骤模块，支持采用整体流程化的方式完成项目。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6、生涯趣库：要求提供如“生涯知识”、“生涯趣答”、“生涯图库”等二级栏目，提供如“职业生涯规划的重要性”、“生涯发展的五个阶段”、“职业发展地图”等不少于120篇内容。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7、生涯档案：要求记录自我分析、生涯行动等训练内容，支持自主查看或删除。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8、要求系统具有待机宣传功能，可播放宣传视频及文字。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9、要求系统可通过管理员账号登录后台，实现用户管理及前端设置功能。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9.1系统设置：可设置待机宣传配置、首页背景音乐设置、前端停留保护设置等。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9.2用户及档案管理：要求支持添加、编辑、删除前端用户信息，查看全部用户档案信息。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9.3环境分析管理：要求支持自定义添加环境分析二级栏目功能及文章详情。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9.4生涯趣库管理：要求支持自定义添加生涯知识内容和生涯图库内容。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10、支持将训练报告推送至已有云平台，通过物联网技术与心理云平台实现互联互通，提供云端身份验证、数据保存、数据管理等功能。                                    加“★”功能为核心使用功能，须提供系统功能截图进行佐证，实际供货须与截图保持一致，否则不得分。  </w:t>
            </w:r>
          </w:p>
          <w:p w14:paraId="06AF5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1、要求包含全周期生涯探索体验系统1套（预置安装）、控制台1套。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1、要求外观尺寸：1800mm*676mm*80（±5mm）。底座尺寸：423mm*679mm（±5mm）。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2、要求屏幕尺寸：43英寸。</w:t>
            </w:r>
          </w:p>
        </w:tc>
        <w:tc>
          <w:tcPr>
            <w:tcW w:w="903" w:type="dxa"/>
            <w:vMerge w:val="continue"/>
            <w:tcBorders>
              <w:left w:val="single" w:color="000000" w:sz="4" w:space="0"/>
              <w:right w:val="single" w:color="000000" w:sz="4" w:space="0"/>
            </w:tcBorders>
            <w:shd w:val="clear" w:color="FFFFFF" w:fill="FFFFFF"/>
            <w:vAlign w:val="center"/>
          </w:tcPr>
          <w:p w14:paraId="711D8389">
            <w:pPr>
              <w:jc w:val="center"/>
              <w:rPr>
                <w:rFonts w:hint="eastAsia" w:ascii="宋体" w:hAnsi="宋体" w:eastAsia="宋体" w:cs="宋体"/>
                <w:i w:val="0"/>
                <w:iCs w:val="0"/>
                <w:color w:val="000000"/>
                <w:sz w:val="18"/>
                <w:szCs w:val="18"/>
                <w:u w:val="none"/>
              </w:rPr>
            </w:pPr>
          </w:p>
        </w:tc>
        <w:tc>
          <w:tcPr>
            <w:tcW w:w="971" w:type="dxa"/>
            <w:vMerge w:val="continue"/>
            <w:tcBorders>
              <w:left w:val="single" w:color="000000" w:sz="4" w:space="0"/>
              <w:right w:val="single" w:color="000000" w:sz="4" w:space="0"/>
            </w:tcBorders>
            <w:shd w:val="clear" w:color="FFFFFF" w:fill="FFFFFF"/>
            <w:vAlign w:val="center"/>
          </w:tcPr>
          <w:p w14:paraId="596D3697">
            <w:pPr>
              <w:jc w:val="right"/>
              <w:rPr>
                <w:rFonts w:hint="eastAsia" w:ascii="宋体" w:hAnsi="宋体" w:eastAsia="宋体" w:cs="宋体"/>
                <w:i w:val="0"/>
                <w:iCs w:val="0"/>
                <w:color w:val="000000"/>
                <w:sz w:val="18"/>
                <w:szCs w:val="18"/>
                <w:u w:val="none"/>
              </w:rPr>
            </w:pPr>
          </w:p>
        </w:tc>
        <w:tc>
          <w:tcPr>
            <w:tcW w:w="1052" w:type="dxa"/>
            <w:vMerge w:val="continue"/>
            <w:tcBorders>
              <w:left w:val="single" w:color="000000" w:sz="4" w:space="0"/>
              <w:right w:val="single" w:color="000000" w:sz="8" w:space="0"/>
            </w:tcBorders>
            <w:shd w:val="clear" w:color="FFFFFF" w:fill="FFFFFF"/>
            <w:vAlign w:val="center"/>
          </w:tcPr>
          <w:p w14:paraId="37624D74">
            <w:pPr>
              <w:jc w:val="right"/>
              <w:rPr>
                <w:rFonts w:hint="eastAsia" w:ascii="宋体" w:hAnsi="宋体" w:eastAsia="宋体" w:cs="宋体"/>
                <w:i w:val="0"/>
                <w:iCs w:val="0"/>
                <w:color w:val="000000"/>
                <w:sz w:val="18"/>
                <w:szCs w:val="18"/>
                <w:u w:val="none"/>
              </w:rPr>
            </w:pPr>
          </w:p>
        </w:tc>
      </w:tr>
      <w:tr w14:paraId="0626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trPr>
        <w:tc>
          <w:tcPr>
            <w:tcW w:w="880" w:type="dxa"/>
            <w:tcBorders>
              <w:top w:val="single" w:color="000000" w:sz="4" w:space="0"/>
              <w:left w:val="single" w:color="000000" w:sz="8" w:space="0"/>
              <w:right w:val="single" w:color="000000" w:sz="4" w:space="0"/>
            </w:tcBorders>
            <w:shd w:val="clear" w:color="FFFFFF" w:fill="FFFFFF"/>
            <w:vAlign w:val="center"/>
          </w:tcPr>
          <w:p w14:paraId="0DD44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0" w:type="dxa"/>
            <w:tcBorders>
              <w:top w:val="single" w:color="000000" w:sz="4" w:space="0"/>
              <w:left w:val="single" w:color="000000" w:sz="4" w:space="0"/>
              <w:right w:val="single" w:color="000000" w:sz="4" w:space="0"/>
            </w:tcBorders>
            <w:shd w:val="clear" w:color="FFFFFF" w:fill="FFFFFF"/>
            <w:vAlign w:val="center"/>
          </w:tcPr>
          <w:p w14:paraId="51FA9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情绪识别训练提升系统★</w:t>
            </w:r>
          </w:p>
        </w:tc>
        <w:tc>
          <w:tcPr>
            <w:tcW w:w="4863" w:type="dxa"/>
            <w:tcBorders>
              <w:top w:val="single" w:color="000000" w:sz="4" w:space="0"/>
              <w:left w:val="single" w:color="000000" w:sz="4" w:space="0"/>
              <w:right w:val="single" w:color="000000" w:sz="4" w:space="0"/>
            </w:tcBorders>
            <w:shd w:val="clear" w:color="FFFFFF" w:fill="FFFFFF"/>
            <w:vAlign w:val="center"/>
          </w:tcPr>
          <w:p w14:paraId="1531D1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1、本系统基于情绪心理学相关理论、自助成长的理念，结合面部情绪识别技术，要求系统具有情绪识别小屋、积极训练中心、趣味体验场、个人小屋、档案信箱、心情日记等功能。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2、支持用户注册并绑定人脸信息后，后续可通过识别面部信息刷脸登录。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3、支持通过每日一签记录如悲伤、惊讶、快乐、平静、愤怒等心情，提供如学习、朋友、生活、工作、健康等主题选项，支持输入经历和感受等心情日记。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4、提供本周/月情绪状况，包含积极情绪、消极情绪百分比等，支持选择日期范围、情绪状态等查询记录。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5、提供快速情绪识别，识别中提示积极词语引导，帮助用户洞察内心，了解自我情绪。支持通过扫描二维码下载报告，或导出报告到本机。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如积极/消极占比统计图、情绪占比统计图、情绪变化趋势图等≥3种快速情绪识别报告数据图表分析；提供7种情绪占比排名前三的情绪代表图，包含不同情绪占比、出现频率等数据；提供不同动态卡通动物形象作为情绪代表，如快乐小鸟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7、提供面部情绪识别、图形情绪感知、自我评估三个阶段多维情绪检测，支持通过扫描二维码下载报告，或导出报告到本机。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8、提供情绪积极指数、情绪稳定性指数、情绪弹性指数等多维情绪</w:t>
            </w:r>
          </w:p>
          <w:p w14:paraId="24EC53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测报告，包含不同维度得分、理想分值（百分制）等，提供如面部情绪识别数据结果、情绪图片诱导实验数据结果、面部情绪变化数据结果、情绪稳定性问卷数据结果、情绪弹性问卷数据结果等≥5组数据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9、提供情绪总体印象，包含积极-消极、稳定-不稳定等维度四种组合结果，支持根据多维情绪检测结果智能推荐内容。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10、提供如“绘制生命树”、“情绪问答”等≥7款心理体验项目。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10.1提供基于人本主义心理学原理研发的“绘制生命树”体验游戏，帮助用户梳理生命中重要的时刻和事件，寻找其在潜意识中最珍视的人和事，确定未来前进的方向。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10.2提供“情绪问答”体验游戏，通过问答可了解情绪的意义，体会情绪的价值，了解身体的反应。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11、提供30篇心理文章。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12、提供30节心理课程。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13、提供20款趣味体验场游戏。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14、提供档案信箱，支持通过选择报告日期查询报告，支持对快速情绪识别、多维情绪检测报告进行查看、删除等操作。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15、提供基本信息、面部信息、成长等级等个人小屋内容，包含如初级、中级、高级、专家、大师等五级成长等级，支持更换、解除面部信息。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16、支持用户通过如登录岛屿、快速情绪识别等不少于6项的任务操作，领取一定贝壳及成长值。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17、支持用户使用贝壳值解锁一定内容，如积极训练中心的部分心理课程或心灵之舞的部分音乐。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18、提供32款音频。</w:t>
            </w:r>
          </w:p>
          <w:p w14:paraId="1678B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19、支持管理员帐号进行用户管理，可添加用户，并对已存在的帐号进行查看、编辑、删除等操作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20、支持将训练报告推送至已有云平台，通过物联网技术与心理云平台实现互联互通，提供云端身份验证、数据保存、数据管理等功能。                                         加“★”功能为核心使用功能，须提供系统功能截图进行佐证，实际供货须与截图保持一致，否则不得分。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1、要求包含情绪识别训练提升系统1套（预置安装）；控制台1套。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1、要求外观尺寸：1718mm*748.5mm*266mm（±5mm），底座尺寸：550mm*748.5mm（±5mm）。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2、要求屏幕尺寸：32英寸。</w:t>
            </w:r>
          </w:p>
        </w:tc>
        <w:tc>
          <w:tcPr>
            <w:tcW w:w="903" w:type="dxa"/>
            <w:tcBorders>
              <w:top w:val="single" w:color="000000" w:sz="4" w:space="0"/>
              <w:left w:val="single" w:color="000000" w:sz="4" w:space="0"/>
              <w:right w:val="single" w:color="000000" w:sz="4" w:space="0"/>
            </w:tcBorders>
            <w:shd w:val="clear" w:color="FFFFFF" w:fill="FFFFFF"/>
            <w:vAlign w:val="center"/>
          </w:tcPr>
          <w:p w14:paraId="7FCA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0A4F2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4FB4D">
            <w:pPr>
              <w:jc w:val="right"/>
              <w:rPr>
                <w:rFonts w:hint="eastAsia" w:ascii="宋体" w:hAnsi="宋体" w:eastAsia="宋体" w:cs="宋体"/>
                <w:i w:val="0"/>
                <w:iCs w:val="0"/>
                <w:color w:val="000000"/>
                <w:sz w:val="18"/>
                <w:szCs w:val="18"/>
                <w:u w:val="none"/>
              </w:rPr>
            </w:pPr>
          </w:p>
        </w:tc>
      </w:tr>
      <w:tr w14:paraId="3981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880" w:type="dxa"/>
            <w:tcBorders>
              <w:top w:val="single" w:color="000000" w:sz="4" w:space="0"/>
              <w:left w:val="single" w:color="000000" w:sz="8" w:space="0"/>
              <w:right w:val="single" w:color="000000" w:sz="4" w:space="0"/>
            </w:tcBorders>
            <w:shd w:val="clear" w:color="FFFFFF" w:fill="FFFFFF"/>
            <w:vAlign w:val="center"/>
          </w:tcPr>
          <w:p w14:paraId="28CB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0" w:type="dxa"/>
            <w:tcBorders>
              <w:top w:val="single" w:color="000000" w:sz="4" w:space="0"/>
              <w:left w:val="single" w:color="000000" w:sz="4" w:space="0"/>
              <w:right w:val="single" w:color="000000" w:sz="4" w:space="0"/>
            </w:tcBorders>
            <w:shd w:val="clear" w:color="FFFFFF" w:fill="FFFFFF"/>
            <w:vAlign w:val="center"/>
          </w:tcPr>
          <w:p w14:paraId="6A2D1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心理自助系统★</w:t>
            </w:r>
          </w:p>
        </w:tc>
        <w:tc>
          <w:tcPr>
            <w:tcW w:w="4863" w:type="dxa"/>
            <w:tcBorders>
              <w:top w:val="single" w:color="000000" w:sz="4" w:space="0"/>
              <w:left w:val="single" w:color="000000" w:sz="4" w:space="0"/>
              <w:right w:val="single" w:color="000000" w:sz="4" w:space="0"/>
            </w:tcBorders>
            <w:shd w:val="clear" w:color="FFFFFF" w:fill="FFFFFF"/>
            <w:vAlign w:val="center"/>
          </w:tcPr>
          <w:p w14:paraId="5ECCC6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自助、助人、互助的心理健康理念开发，具备如心理科普、自助方案、心理悦读、健康医典、能力训练、心理视频、放松减压、心理图库、心理测评、心理树洞、中心介绍、心理互动、咨询辅导、迎宾宣传等≥14个功能模块，助力心理科普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2、支持心理自助、迎宾宣传双系统一键切换，既可以提供多种心理科普资料，又能够起到迎宾宣传的作用。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3、提供如迎宾、启迪、智库、实践等≥4类迎宾宣传栏目。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4、由前台和管理后台两部分组成，支持在系统接入局域网情况下，可远程进入管理后台。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5、支持进行首页背景图、二级页背景图、详细页背景图、系统LOGO、系统名称、前端功能区域切换间隔等≥7种系统设置。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6、前台导航页面支持多屏分页显示栏目，支持通过管理后台设置栏目。</w:t>
            </w:r>
          </w:p>
          <w:p w14:paraId="559A9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7、管理后台支持将文章、视频等内容设置“是否推荐到前端导航页”功能，设置为推荐到前端导航页的内容，将在前台导航分屏页面中进行显示。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8、管理后台可查看栏目名称、栏目级别、栏目内容类型、状态等内容，支持添加、修改、删除一级或二级栏目。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9、管理后台内置文章、音频、视频等模板类型，可修改名称、作者、描述等内容，支持上传文件。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10、提供如心理学家、心理学名词、心理学分类等≥6类心理科普栏目，包含如“感觉”、“罗森塔尔实验”等≥98篇文章。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11、提供不少于160篇文章。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12、提供不少于60篇文章。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13、提供不少于18篇健康医典主题文章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14、提供不少于14个能力训练。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15、提供舒尔特方格训练，基于沃尔特·舒尔特提出的舒尔特方格研发，通过在5×5的表格中快速按1-25的顺序依次标记位置，进行专注力训练。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16、提供心理旋转训练，基于心理学中著名的心理旋转实验研发，通过训练快速分辨出字母R是正还是反，进行想象力训练。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17、提供不少于5类心理视频栏目，不少于76节视频。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18、提供不少于3类放松减压栏目，包含不少于30首音乐。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19、提供如似动图片、双关图形等</w:t>
            </w:r>
          </w:p>
        </w:tc>
        <w:tc>
          <w:tcPr>
            <w:tcW w:w="903" w:type="dxa"/>
            <w:tcBorders>
              <w:top w:val="single" w:color="000000" w:sz="4" w:space="0"/>
              <w:left w:val="single" w:color="000000" w:sz="4" w:space="0"/>
              <w:right w:val="single" w:color="000000" w:sz="4" w:space="0"/>
            </w:tcBorders>
            <w:shd w:val="clear" w:color="FFFFFF" w:fill="FFFFFF"/>
            <w:vAlign w:val="center"/>
          </w:tcPr>
          <w:p w14:paraId="60B34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C351F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8FFDE2">
            <w:pPr>
              <w:jc w:val="right"/>
              <w:rPr>
                <w:rFonts w:hint="eastAsia" w:ascii="宋体" w:hAnsi="宋体" w:eastAsia="宋体" w:cs="宋体"/>
                <w:i w:val="0"/>
                <w:iCs w:val="0"/>
                <w:color w:val="000000"/>
                <w:sz w:val="18"/>
                <w:szCs w:val="18"/>
                <w:u w:val="none"/>
              </w:rPr>
            </w:pPr>
          </w:p>
        </w:tc>
      </w:tr>
      <w:tr w14:paraId="51E6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7ADFAD">
            <w:pPr>
              <w:jc w:val="center"/>
              <w:rPr>
                <w:rFonts w:hint="eastAsia" w:ascii="宋体" w:hAnsi="宋体" w:eastAsia="宋体" w:cs="宋体"/>
                <w:i w:val="0"/>
                <w:iCs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1E30A">
            <w:pPr>
              <w:jc w:val="left"/>
              <w:rPr>
                <w:rFonts w:hint="eastAsia" w:ascii="宋体" w:hAnsi="宋体" w:eastAsia="宋体" w:cs="宋体"/>
                <w:i w:val="0"/>
                <w:iCs w:val="0"/>
                <w:color w:val="000000"/>
                <w:sz w:val="18"/>
                <w:szCs w:val="18"/>
                <w:u w:val="none"/>
              </w:rPr>
            </w:pP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17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≥9类心理图库栏目，包含≥127张图片资源。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如90项症状清单（SCL-90）、抑郁自评量表（SDS）、焦虑自评量表（SAS）等≥14个量表，包含心理测评知情同意书、指导语等内容，支持填写如名称、年龄、联系电话等个人信息，测评后生成测评报告，支持在管理后台查询测评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21、心理测评报告包含如测评信息、因子得分、因子图表、测评结果、辅导建议等≥5类内容，支持在管理后台查询历史测评报告。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22、支持用户添加留言，支持自定义头像、昵称、表情，支持留言在管理后台审核通过后，在前台心理树洞栏目显示。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23、提供咨询辅导功能，支持用户填写并提交姓名、编号、手机、邮箱、希望咨询的问题等内容。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24、提供新闻速递栏目，提供≥14篇心理互动文章。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25、提供如咨询师介绍、工作文档等≥2类中心介绍栏目。                                                                                                                 加“★”功能为核心使用功能，须提供系统功能截图进行佐证，实际供货须与截图保持一致，否则不得分。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1、要求包含心理自助系统1套（预置安装）；控制台1套。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1、要求外观尺寸：1259mm*550mm（±50mm）,底座500mm*700mm(±50mm)。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2、要求屏幕尺寸：43英寸。</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2787E">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88A87">
            <w:pPr>
              <w:jc w:val="right"/>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632864">
            <w:pPr>
              <w:jc w:val="right"/>
              <w:rPr>
                <w:rFonts w:hint="eastAsia" w:ascii="宋体" w:hAnsi="宋体" w:eastAsia="宋体" w:cs="宋体"/>
                <w:i w:val="0"/>
                <w:iCs w:val="0"/>
                <w:color w:val="000000"/>
                <w:sz w:val="18"/>
                <w:szCs w:val="18"/>
                <w:u w:val="none"/>
              </w:rPr>
            </w:pPr>
          </w:p>
        </w:tc>
      </w:tr>
      <w:tr w14:paraId="436B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5BCB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22BA90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AI心理对话舱系★</w:t>
            </w:r>
          </w:p>
        </w:tc>
        <w:tc>
          <w:tcPr>
            <w:tcW w:w="4863" w:type="dxa"/>
            <w:tcBorders>
              <w:top w:val="single" w:color="000000" w:sz="4" w:space="0"/>
              <w:left w:val="single" w:color="000000" w:sz="4" w:space="0"/>
              <w:right w:val="single" w:color="000000" w:sz="4" w:space="0"/>
            </w:tcBorders>
            <w:shd w:val="clear" w:color="FFFFFF" w:fill="FFFFFF"/>
            <w:vAlign w:val="center"/>
          </w:tcPr>
          <w:p w14:paraId="10A6EB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1、本系统基于“AI+”技术及积极心理学理论设计，实现多角色语音聊天陪伴、层级对话预警，旨在以人机互动的高粘性交互方式，帮助用户更好地理解自己的情绪，探索内心困扰并提供解决策略。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2、提供首次登录时引导介绍，由2D数字形象引导介绍智慧对话角、</w:t>
            </w:r>
          </w:p>
          <w:p w14:paraId="30AD9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心语测量仪、悦心发现阁等至少3个功能模块。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3、支持在首页停留时，2D数字形象提供简短互动陪伴。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如陪伴精灵、爸爸、妈妈、朋友等≥4种AI角色，不同角色以2D数字形象展示，包含如聆听、思考、对话等≥3种动作形象，支持与用户进行语音对话。如果长时间没有语音互动，2D数字形象会提示如“这里比较安静，能听见我的声音吗”，并在一段时间后自动退出语音对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5、语音对话时提供不少于两条提示词，支持对当前对话进行暂停、清空等操作。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6、支持在进行语音对话前，提示采集面部照片进行情绪识别，对话结束后由AI生成情绪画像。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7、内置不少于14个评估量表，支持通过语音对话由AI推荐适合的量表，测评后生成测评记录。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8、支持由AI根据用户当前情况推荐悦心内容，提供如课程推荐、文章精选、游戏天地、音乐中心等不少于4个主题模块。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9、提供心理知识、生涯教育、减压训练等至少3个主题课程推荐，不少于114节课程。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10、提供心理科普、情绪管理、个人成长等至少3个主题文章精选，不少于50篇文章。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11、提供不少于12款游戏训练。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12、提供如催眠音乐、放松音乐、精力恢复等至少3类主题音乐，提供≥76首音乐。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13、支持用户查看对话记录，提供如对话总时长、总交流轮次、主</w:t>
            </w:r>
          </w:p>
        </w:tc>
        <w:tc>
          <w:tcPr>
            <w:tcW w:w="903" w:type="dxa"/>
            <w:vMerge w:val="restart"/>
            <w:tcBorders>
              <w:top w:val="single" w:color="000000" w:sz="4" w:space="0"/>
              <w:left w:val="single" w:color="000000" w:sz="4" w:space="0"/>
              <w:right w:val="single" w:color="000000" w:sz="4" w:space="0"/>
            </w:tcBorders>
            <w:shd w:val="clear" w:color="FFFFFF" w:fill="FFFFFF"/>
            <w:vAlign w:val="center"/>
          </w:tcPr>
          <w:p w14:paraId="13D69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98A85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DD100F">
            <w:pPr>
              <w:jc w:val="right"/>
              <w:rPr>
                <w:rFonts w:hint="eastAsia" w:ascii="宋体" w:hAnsi="宋体" w:eastAsia="宋体" w:cs="宋体"/>
                <w:i w:val="0"/>
                <w:iCs w:val="0"/>
                <w:color w:val="000000"/>
                <w:sz w:val="18"/>
                <w:szCs w:val="18"/>
                <w:u w:val="none"/>
              </w:rPr>
            </w:pPr>
          </w:p>
        </w:tc>
      </w:tr>
      <w:tr w14:paraId="74C1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7" w:hRule="atLeast"/>
        </w:trPr>
        <w:tc>
          <w:tcPr>
            <w:tcW w:w="880" w:type="dxa"/>
            <w:vMerge w:val="continue"/>
            <w:tcBorders>
              <w:left w:val="single" w:color="000000" w:sz="8" w:space="0"/>
              <w:right w:val="single" w:color="000000" w:sz="4" w:space="0"/>
            </w:tcBorders>
            <w:shd w:val="clear" w:color="FFFFFF" w:fill="FFFFFF"/>
            <w:vAlign w:val="center"/>
          </w:tcPr>
          <w:p w14:paraId="570D7F0C">
            <w:pPr>
              <w:jc w:val="center"/>
              <w:rPr>
                <w:rFonts w:hint="eastAsia" w:ascii="宋体" w:hAnsi="宋体" w:eastAsia="宋体" w:cs="宋体"/>
                <w:i w:val="0"/>
                <w:iCs w:val="0"/>
                <w:color w:val="000000"/>
                <w:sz w:val="18"/>
                <w:szCs w:val="18"/>
                <w:u w:val="none"/>
              </w:rPr>
            </w:pPr>
          </w:p>
        </w:tc>
        <w:tc>
          <w:tcPr>
            <w:tcW w:w="1420" w:type="dxa"/>
            <w:vMerge w:val="continue"/>
            <w:tcBorders>
              <w:left w:val="single" w:color="000000" w:sz="4" w:space="0"/>
              <w:right w:val="single" w:color="000000" w:sz="4" w:space="0"/>
            </w:tcBorders>
            <w:shd w:val="clear" w:color="FFFFFF" w:fill="FFFFFF"/>
            <w:vAlign w:val="center"/>
          </w:tcPr>
          <w:p w14:paraId="1C9B478E">
            <w:pPr>
              <w:jc w:val="left"/>
              <w:rPr>
                <w:rFonts w:hint="eastAsia" w:ascii="宋体" w:hAnsi="宋体" w:eastAsia="宋体" w:cs="宋体"/>
                <w:i w:val="0"/>
                <w:iCs w:val="0"/>
                <w:color w:val="000000"/>
                <w:sz w:val="18"/>
                <w:szCs w:val="18"/>
                <w:u w:val="none"/>
              </w:rPr>
            </w:pP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6921BA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要情绪类型、情绪波动指数、情绪分布等≥4种数据，生成如情绪高光时刻、个性化情绪洞察、情绪小贴士等文字内容。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14、根据用户对话内容，生成AI对话预警，提供低、中、高三级风险等级，并用不同颜色提示。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15、支持根据等级、状态、组织机构等进行查询AI对话预警人员，支持导出人员名单。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16、支持查看用户预警详情，区分未读预警、已读预警便于管理者分类查看，支持选择多位预警用户标记为已读。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17、支持根据用户的预警信息生成AI建议，包含如问题情况总结、辅导建议、短期目标、长期目标等内容，支持查看对话记录。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18、支持通过不同颜色区分三级预警及未见风险用户画像，提供用户登录系统、风险预警、心理评测、AI对话等相关数据及更新时间。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19、提供用户综合情况统计，包含如心理动态档案折线图、心理素质水平分析、系统使用人次统计柱状图、心理知识学习情况统计饼图等≥4类数据，支持生成动态男/女用户画像及核心描述词。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20、提供用户管理功能，支持单个添加、批量导入、批量删除用户信息。支持对用户信息进行查看、删除。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21、提供大数据可视化中心，包含系统使用人次统计、AI预警情况统计、常见心理问题分布、本月系统新增、总登录系统人次等至少8类数据，支持全屏显示。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22、支持用户手机号注册、登录，支持选择是否开启面部情绪识别。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23、提供AI对话预警消息提示，可设置提醒等级及频率，支持微信公众号绑定后设置通知提醒。                                                                           加“★”功能为核心使用功能，须提供系统功能截图进行佐证，实际供货须与截图保持一致，否则不得分。</w:t>
            </w:r>
          </w:p>
          <w:p w14:paraId="3EF302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1、要求包含AI心理对话舱系统1套（预置安装）；对话舱1台；控制台1套；升降椅1把。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1、要求外观尺寸：1200mm*1000mm*2350mm（±50mm）。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2、要求屏幕尺寸：27英寸。</w:t>
            </w:r>
          </w:p>
          <w:p w14:paraId="3782F9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1、本系统基于心理学与艺术疗法原理，融合曼陀罗绘画心理投射理论，结合 AI 绘画与性格测验元素研发，内置曼陀罗性格倾向测验、成长任务、主题绘画、趣味测验、绘画展厅、AI小助手、档案管理、用户管理等功能模块。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2、系统具有曼陀罗性格倾向测验，包含图案选择、曼陀罗绘制、性格分析3部分。完成绘画后系统通过AI算法分析绘画内容，生成个性化的性格分析报告。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3、性格分析报告包含性格类型图、优势特征、劣势特征、突破性任务、作品展示、颜色分析、特征分析、辅导建议等≥8项内容。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具有“成长任务”模块，包含保护篇、分化篇、凝聚篇、整合篇、指引篇、超越篇、回顾篇6个阶段任务。后续阶段需完成前序任务方可解锁，引导用户分阶段参与绘画，逐步提升心理能量。完成成长任务后，呈现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5、成长任务提供完整的训练流程，包含绘画示意、图案绘制、AI语音交互引导、报告分析4个部分，按照“讲解→绘画→引导回顾→分析”的流程进行训练。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系统提供详细的成长任务报告分析，包含个人基础信息、绘画时长、报告生成时间、心理能量等级说明、作品展示、颜色分析等。心理能量值划分5个分等级（极低、较低、中等、较高、极高），以不同颜色进行呈现，并指示出用户所处</w:t>
            </w:r>
          </w:p>
          <w:p w14:paraId="6FD903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能量位置。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7、完成6个阶段成长任务后，系统呈现成长回顾功能。可依次查看6个阶段绘制的作品，AI综合6个阶段任务完成情况，生成综合报告。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综合报告包含整体心理能量变化、颜色与心理状态的关联、用户成长总结、建议与展望等4部分内容。心理能量变化综合6个阶段成长任务，从初期阶段、中期阶段、后期阶段三部分进行比较分析，并生成6阶段成长任务心理能量值曲线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具有主题曼陀罗模块，内置如自我曼陀罗、情绪曼陀罗、生命曼陀罗、静心曼陀罗、清理曼陀罗、喜悦曼陀罗、抑郁疗愈曼陀罗、焦虑平复曼陀罗等不少于8个经典心理主题。每个主题均配有视频讲解、步骤介绍。完成绘画后，系统出具分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10、系统具有趣味测验模块，内置如测测你的焦虑程度、测测你的色彩感知等不少于16个绘画测验游戏，完成后自动生成测验结果。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系统具有绘画展厅模块，包含绘画中的心理学、心理画展2部分内容。绘画中的心理学提供如曼陀罗的神话溯源与宗教隐喻、当东方智慧遇上曼陀罗绘画等不少于16篇文章。心理画展以图文的形式科普心理绘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12、系统具有AI小助手功能，支持用户与AI进行语音交互，可了解系统介绍、曼陀罗绘画起源、每日画签等内容。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13、每日画签功能支持用户选择了解今日财运、学业、事业、爱情、财富、健康等方面内容，并根据抽取画签结果进行进一步AI深度了解。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14、系统具有档案管理功能，包括成长任务档案、主题绘画档案。成长任务档案全面记录任务生成时间、任务完成进度、进度更新时间等。支持根据任务生成时间进行筛</w:t>
            </w:r>
          </w:p>
          <w:p w14:paraId="4B0BD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选。报告根据成长任务完成情况，整合综合报告、性格倾向测验、保护篇、分化篇、凝聚篇、整合篇、指引篇、超越篇等内容。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15、要求系统管理端须具有用户管理功能，支持编辑、添加、删除用户。                                        加“★”功能为核心使用功能，须提供系统功能截图进行佐证，实际供货须与截图保持一致，否则不得分。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1、要求包含AI心理绘画投射系统1套（预置安装）；控制台1套；绘画笔1支。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1、要求外观尺寸：749.5mm*423mm*1105mm（±50mm）。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2、要求屏幕尺寸：32寸。</w:t>
            </w:r>
          </w:p>
        </w:tc>
        <w:tc>
          <w:tcPr>
            <w:tcW w:w="903" w:type="dxa"/>
            <w:vMerge w:val="continue"/>
            <w:tcBorders>
              <w:left w:val="single" w:color="000000" w:sz="4" w:space="0"/>
              <w:right w:val="single" w:color="000000" w:sz="4" w:space="0"/>
            </w:tcBorders>
            <w:shd w:val="clear" w:color="FFFFFF" w:fill="FFFFFF"/>
            <w:vAlign w:val="center"/>
          </w:tcPr>
          <w:p w14:paraId="3E968DE0">
            <w:pPr>
              <w:jc w:val="center"/>
              <w:rPr>
                <w:rFonts w:hint="eastAsia" w:ascii="宋体" w:hAnsi="宋体" w:eastAsia="宋体" w:cs="宋体"/>
                <w:i w:val="0"/>
                <w:iCs w:val="0"/>
                <w:color w:val="000000"/>
                <w:sz w:val="18"/>
                <w:szCs w:val="18"/>
                <w:u w:val="none"/>
              </w:rPr>
            </w:pPr>
          </w:p>
        </w:tc>
        <w:tc>
          <w:tcPr>
            <w:tcW w:w="971" w:type="dxa"/>
            <w:vMerge w:val="restart"/>
            <w:tcBorders>
              <w:top w:val="single" w:color="000000" w:sz="4" w:space="0"/>
              <w:left w:val="single" w:color="000000" w:sz="4" w:space="0"/>
              <w:right w:val="single" w:color="000000" w:sz="4" w:space="0"/>
            </w:tcBorders>
            <w:shd w:val="clear" w:color="FFFFFF" w:fill="FFFFFF"/>
            <w:vAlign w:val="center"/>
          </w:tcPr>
          <w:p w14:paraId="46981A14">
            <w:pPr>
              <w:jc w:val="right"/>
              <w:rPr>
                <w:rFonts w:hint="eastAsia" w:ascii="宋体" w:hAnsi="宋体" w:eastAsia="宋体" w:cs="宋体"/>
                <w:i w:val="0"/>
                <w:iCs w:val="0"/>
                <w:color w:val="000000"/>
                <w:sz w:val="18"/>
                <w:szCs w:val="18"/>
                <w:u w:val="none"/>
              </w:rPr>
            </w:pPr>
          </w:p>
        </w:tc>
        <w:tc>
          <w:tcPr>
            <w:tcW w:w="1052"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16F91ACF">
            <w:pPr>
              <w:jc w:val="right"/>
              <w:rPr>
                <w:rFonts w:hint="eastAsia" w:ascii="宋体" w:hAnsi="宋体" w:eastAsia="宋体" w:cs="宋体"/>
                <w:i w:val="0"/>
                <w:iCs w:val="0"/>
                <w:color w:val="000000"/>
                <w:sz w:val="18"/>
                <w:szCs w:val="18"/>
                <w:u w:val="none"/>
              </w:rPr>
            </w:pPr>
          </w:p>
        </w:tc>
      </w:tr>
      <w:tr w14:paraId="3F57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880" w:type="dxa"/>
            <w:tcBorders>
              <w:top w:val="single" w:color="000000" w:sz="4" w:space="0"/>
              <w:left w:val="single" w:color="000000" w:sz="8" w:space="0"/>
              <w:right w:val="single" w:color="000000" w:sz="4" w:space="0"/>
            </w:tcBorders>
            <w:shd w:val="clear" w:color="FFFFFF" w:fill="FFFFFF"/>
            <w:vAlign w:val="center"/>
          </w:tcPr>
          <w:p w14:paraId="4E5C4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20" w:type="dxa"/>
            <w:tcBorders>
              <w:top w:val="single" w:color="000000" w:sz="4" w:space="0"/>
              <w:left w:val="single" w:color="000000" w:sz="4" w:space="0"/>
              <w:right w:val="single" w:color="000000" w:sz="4" w:space="0"/>
            </w:tcBorders>
            <w:shd w:val="clear" w:color="FFFFFF" w:fill="FFFFFF"/>
            <w:vAlign w:val="center"/>
          </w:tcPr>
          <w:p w14:paraId="7721E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AI心理绘画投射系统★</w:t>
            </w:r>
          </w:p>
        </w:tc>
        <w:tc>
          <w:tcPr>
            <w:tcW w:w="4863" w:type="dxa"/>
            <w:vMerge w:val="continue"/>
            <w:tcBorders>
              <w:left w:val="single" w:color="000000" w:sz="4" w:space="0"/>
              <w:bottom w:val="single" w:color="000000" w:sz="4" w:space="0"/>
              <w:right w:val="single" w:color="000000" w:sz="4" w:space="0"/>
            </w:tcBorders>
            <w:shd w:val="clear" w:color="FFFFFF" w:fill="FFFFFF"/>
            <w:vAlign w:val="center"/>
          </w:tcPr>
          <w:p w14:paraId="3A40E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right w:val="single" w:color="000000" w:sz="4" w:space="0"/>
            </w:tcBorders>
            <w:shd w:val="clear" w:color="FFFFFF" w:fill="FFFFFF"/>
            <w:vAlign w:val="center"/>
          </w:tcPr>
          <w:p w14:paraId="08EFE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36FD40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right w:val="single" w:color="000000" w:sz="8" w:space="0"/>
            </w:tcBorders>
            <w:shd w:val="clear" w:color="FFFFFF" w:fill="FFFFFF"/>
            <w:vAlign w:val="center"/>
          </w:tcPr>
          <w:p w14:paraId="05738139">
            <w:pPr>
              <w:jc w:val="right"/>
              <w:rPr>
                <w:rFonts w:hint="eastAsia" w:ascii="宋体" w:hAnsi="宋体" w:eastAsia="宋体" w:cs="宋体"/>
                <w:i w:val="0"/>
                <w:iCs w:val="0"/>
                <w:color w:val="000000"/>
                <w:sz w:val="18"/>
                <w:szCs w:val="18"/>
                <w:u w:val="none"/>
              </w:rPr>
            </w:pPr>
          </w:p>
        </w:tc>
      </w:tr>
      <w:tr w14:paraId="3A7C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7" w:hRule="atLeast"/>
        </w:trPr>
        <w:tc>
          <w:tcPr>
            <w:tcW w:w="880" w:type="dxa"/>
            <w:tcBorders>
              <w:top w:val="single" w:color="000000" w:sz="4" w:space="0"/>
              <w:left w:val="single" w:color="000000" w:sz="8" w:space="0"/>
              <w:right w:val="single" w:color="000000" w:sz="4" w:space="0"/>
            </w:tcBorders>
            <w:shd w:val="clear" w:color="FFFFFF" w:fill="FFFFFF"/>
            <w:vAlign w:val="center"/>
          </w:tcPr>
          <w:p w14:paraId="720CE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20" w:type="dxa"/>
            <w:tcBorders>
              <w:top w:val="single" w:color="000000" w:sz="4" w:space="0"/>
              <w:left w:val="single" w:color="000000" w:sz="4" w:space="0"/>
              <w:right w:val="single" w:color="000000" w:sz="4" w:space="0"/>
            </w:tcBorders>
            <w:shd w:val="clear" w:color="FFFFFF" w:fill="FFFFFF"/>
            <w:vAlign w:val="center"/>
          </w:tcPr>
          <w:p w14:paraId="2BEAF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AI房树人心理分析系统★</w:t>
            </w:r>
          </w:p>
        </w:tc>
        <w:tc>
          <w:tcPr>
            <w:tcW w:w="4863" w:type="dxa"/>
            <w:tcBorders>
              <w:top w:val="single" w:color="000000" w:sz="4" w:space="0"/>
              <w:left w:val="single" w:color="000000" w:sz="4" w:space="0"/>
              <w:right w:val="single" w:color="000000" w:sz="4" w:space="0"/>
            </w:tcBorders>
            <w:shd w:val="clear" w:color="FFFFFF" w:fill="FFFFFF"/>
            <w:vAlign w:val="center"/>
          </w:tcPr>
          <w:p w14:paraId="7B9FA3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心理学与艺术疗法原理，融合房树人心理绘画测验及心理投射理论，结合AI图像识别与处理技术研发，实现房树人图像的AI自动识别与心理含义解读，提供艺术化的心理表达与情绪调节功能，构建了完整的用户档案、预警管理与内容支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2、支持用户进行账号密码注册登录，同时具有游客模式，支持游客模式进行房树人分析功能体验，按照“绘画→AI分析中→报告详情”步骤进行体验。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3、系统涵盖用户端与管理端。用户端内置AI多维画像、房树人分析、AI再创作、情绪卡片、档案记录等功能模块；管理端内置房树人分析、知识库、用户管理、档案管理等功能模块。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4、用户端房树人分析功能模块包含绘画指导、图案绘制、绘画分析、分析报告4个部分，按照“绘画→AI分析中→报告详情”步骤进行体验。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5、用户端房树人分析报告包含房树人画作、用户状态、性格特点、</w:t>
            </w:r>
          </w:p>
          <w:p w14:paraId="4483E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评估详解等≥4项内容，报告支持扫描二维码下载。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系统具有AI多维画像功能模块，支持用户完成房树人分析后，根据有效分析结果在系统首页呈现多维度评分，包含如“自我形象”、“人际关系”、“安全感”、“家庭认知”、“成长体验”至少5个维度，支持以雷达图形式呈现各维度得分，支持点击各维度呈现该维度解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7、系统具有AI再创作功能模块，不少于3个艺术创作体验互动，提供互动指导，按照“用户创作→AI分析中→AI的奇妙创作”步骤进行体验，支持扫描二维码下载AI作品图片。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系统具有情绪卡片功能模块，提供情绪打卡、卡片集功能。情绪打卡包括如快乐、平静、惊讶等5种不同情绪；卡片集包括如“日常心情集”、“彩虹能量集”、“深潜探索集”、“梦境回声集”、“心理碎片集”等至少5种卡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用户端档案管理包含房树人分析、AI再创作一—情绪变身图、AI再创作二—梦境世界生成器、AI再创作三—你画我讲等共至少4种档案类型。档案记录根据时间降序排列，支持显示报告状态。支持开启“自动刷新”报告记录功能，支持查看、删除档案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10、管理端具有房树人分析功能</w:t>
            </w:r>
          </w:p>
          <w:p w14:paraId="007E8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模块，支持管理员选择已有用户、新建用户进行房树人分析，支持选择电脑文件、拖动文件至上传区域、手机扫描二维码等3种方式上传图片，遵循“上传分析内容→AI分析→报告详情”流程。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11、管理端房树人分析报告包含基础信息、普通版报告、专业版报告、访谈提纲。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12、普通版报告包含基础信息、房树人画作、用户状态、性格特点、评估详解等内容。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13、专业报告包含基础信息、房树人画作、健康评估、AI多维画像、详细分析等≥5项内容，健康评估包含心理健康等级、心理健康说明；详细分析支持从整体印象、房树人各元素分析、综合分析等≥3个方面呈现。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支持根据用户绘制的房树人作品，生成心理健康等级预警，提供“1级·正常”、“2级·轻度关注”、“3级·中度异常”、“4级·显著风险”四级预警，并用不同颜色提示，支持根据用户的预警等级生成心理健康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15、访谈提纲包含基础信息、访谈提纲说明、具体内容等≥3项内容。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16、管理端具有知识库功能模块，知识讲解提供，案例分享不少于14个案例。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17、管理端具有用户管理功能模块，支持分类筛选用户档案，支持单个添加、单个删除、批量导入、批量删除用户信息，支持对用户信息进行查看及编辑。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18、管理端具有档案管理功能模块，支持查看用户端、管理端生成的各项报告。支持分类筛选、查</w:t>
            </w:r>
          </w:p>
          <w:p w14:paraId="0B8DB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看、删除报告，支持显示报告状态，区分房树人分析、AI再创作一—情绪变身图、AI再创作二—梦境世界生成器、AI再创作三—你画我讲共4种档案类型。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19、支持导出全部报告，或单独导出专业版报告、普通版报告、访谈提纲。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20、支持根据房树人分析预警等级筛选查找报告。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1、要求包含AI房树人心理分析系统1套（预置安装）；控制台1套；绘画笔1支。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1、要求外观尺寸：749.5mm*423mm*1105mm（±50mm）。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2、要求屏幕尺寸：32寸。</w:t>
            </w:r>
          </w:p>
        </w:tc>
        <w:tc>
          <w:tcPr>
            <w:tcW w:w="903" w:type="dxa"/>
            <w:tcBorders>
              <w:top w:val="single" w:color="000000" w:sz="4" w:space="0"/>
              <w:left w:val="single" w:color="000000" w:sz="4" w:space="0"/>
              <w:right w:val="single" w:color="000000" w:sz="4" w:space="0"/>
            </w:tcBorders>
            <w:shd w:val="clear" w:color="FFFFFF" w:fill="FFFFFF"/>
            <w:vAlign w:val="center"/>
          </w:tcPr>
          <w:p w14:paraId="47936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7553E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BAB52C">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核心产品</w:t>
            </w:r>
          </w:p>
        </w:tc>
      </w:tr>
      <w:tr w14:paraId="46A5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80" w:type="dxa"/>
            <w:vMerge w:val="restart"/>
            <w:tcBorders>
              <w:top w:val="single" w:color="000000" w:sz="4" w:space="0"/>
              <w:left w:val="single" w:color="000000" w:sz="8" w:space="0"/>
              <w:right w:val="single" w:color="000000" w:sz="4" w:space="0"/>
            </w:tcBorders>
            <w:shd w:val="clear" w:color="FFFFFF" w:fill="FFFFFF"/>
            <w:vAlign w:val="center"/>
          </w:tcPr>
          <w:p w14:paraId="78E06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20" w:type="dxa"/>
            <w:vMerge w:val="restart"/>
            <w:tcBorders>
              <w:top w:val="single" w:color="000000" w:sz="4" w:space="0"/>
              <w:left w:val="single" w:color="000000" w:sz="4" w:space="0"/>
              <w:right w:val="single" w:color="000000" w:sz="4" w:space="0"/>
            </w:tcBorders>
            <w:shd w:val="clear" w:color="FFFFFF" w:fill="FFFFFF"/>
            <w:vAlign w:val="center"/>
          </w:tcPr>
          <w:p w14:paraId="4B85A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智能击打呐喊宣泄系统</w:t>
            </w:r>
          </w:p>
        </w:tc>
        <w:tc>
          <w:tcPr>
            <w:tcW w:w="4863" w:type="dxa"/>
            <w:vMerge w:val="restart"/>
            <w:tcBorders>
              <w:top w:val="single" w:color="000000" w:sz="4" w:space="0"/>
              <w:left w:val="single" w:color="000000" w:sz="4" w:space="0"/>
              <w:right w:val="single" w:color="000000" w:sz="4" w:space="0"/>
            </w:tcBorders>
            <w:shd w:val="clear" w:color="FFFFFF" w:fill="FFFFFF"/>
            <w:vAlign w:val="center"/>
          </w:tcPr>
          <w:p w14:paraId="2D2473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1、本系统基于积极心理学及合理宣泄理念，内置多种主题训练方案及互动游戏，采集击打力度、呐喊分贝与时长等数据，以趣味游戏化方式引导用户完成情绪宣泄训练，提升宣泄效果与体验感。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2、支持一键操作转换击打/呐喊模式，提供如不同文字、首页动画、颜色等区分不同模式。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3、集成不少于8种专业心理评估量表，如自我压力测试、焦虑自评量表等，每个量表提供详细介绍说明，支持选择自动跳转至下一题，测评后即时生成报告。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4、心理评估报告提供测试结果、辅导建议、测评总结等详细内容，记录测试耗时及测试日期。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5、提供如“学习工作”、“环境适应”、“人际交往”等≥10类训练主题。具有男声、女声两种互动指导语音库，支持两种语音库模式</w:t>
            </w:r>
          </w:p>
          <w:p w14:paraId="575D6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6、支持主题训练进行暂停、再听一遍引导语，提供实时训练数据、训练耗时等，训练结束后生成报告并支持导出。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7、提供如“心花怒放”、“力量测试”、“拳击大赛”等≥12款击打游戏训练，包含如目标、任务、难度、规则、得分等说明。支持击打值范围1-100，根据击打值设定为三个难度（简单、普通、困难）。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8、提供如“震碎玻璃杯”、“玫瑰花开”、“宣泄气球”等≥12款呐喊游戏训练，包含如目标、任务、难度、规则、得分等说明。支持呐喊值范围1-100，根据呐喊值设定为三个难度（简单、普通、困难）。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9、提供如“自然音乐”、“精力再生”、“心理能量”等≥8个主题的音乐库，支持进入管理模式自定义音乐类型与列表，打造个性化放松空间。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涵盖肌肉放松训练、冥想放松训练、自我疗愈、呼吸放松训练、拥抱潜意识、森林冥想、净化身心、感谢自己、摆脱不安、悲伤辅导、超越思维、调节愤怒、非评判练习、改善沟通、改善焦虑、积极心态等≥16种科学训练指导方向，引导用户正确进行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11、支持管理员帐号登录后提供用户管理、训练档案管理等功能，可查看所有训练者的训练档案。训练用户登录后可查看自己的训练档案。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12、支持记录训练类型、记录日期及训练档案等，可针对训练类型进行筛选，支持报告导出功能。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击打模式训练档案具备如训练得分、击打次数统计图、击打强度区间图、击打强度曲线图等内容，提供如平均力度、最大力度、最小力度、击打次数、标准差、差异系数等≥6项训练数据，包含训练前期、训练中期、训练后期击打力度数据（取平均值）。</w:t>
            </w:r>
          </w:p>
          <w:p w14:paraId="1592C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呐喊模式训练档案具备如训练得分、呐喊次数统计图、呐喊强度区间图、呐喊强度曲线图等内容，提供如平均值、最高值、最低值、标准差、差异系数等≥5项训练数据，包含训练前期、训练中期、训练后期呐喊强度数据（取平均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15、支持进行击打配置，设置击打反馈模式、击打输入端口、击打力度范围等配置，支持进行训练难度配置。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16、支持进行呐喊配置，设置音频输入设备、音频输入音量、呐喊检测阈值等配置，支持进行训练难度配置。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1、要求包含智能击打呐喊宣泄系统1套（预置安装）；控制台1套；移动式击打靶1个；无线加速度传感器1套。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1、要求控制台尺寸：1573mm*992mm(±50mm) ,底座750mm*550mm(±50mm)。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2、要求屏幕尺寸：43英寸。</w:t>
            </w:r>
          </w:p>
        </w:tc>
        <w:tc>
          <w:tcPr>
            <w:tcW w:w="903" w:type="dxa"/>
            <w:tcBorders>
              <w:top w:val="single" w:color="000000" w:sz="4" w:space="0"/>
              <w:left w:val="single" w:color="000000" w:sz="4" w:space="0"/>
              <w:right w:val="single" w:color="000000" w:sz="4" w:space="0"/>
            </w:tcBorders>
            <w:shd w:val="clear" w:color="FFFFFF" w:fill="FFFFFF"/>
            <w:vAlign w:val="center"/>
          </w:tcPr>
          <w:p w14:paraId="41A2B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145D55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D0C8CE">
            <w:pPr>
              <w:jc w:val="right"/>
              <w:rPr>
                <w:rFonts w:hint="eastAsia" w:ascii="宋体" w:hAnsi="宋体" w:eastAsia="宋体" w:cs="宋体"/>
                <w:i w:val="0"/>
                <w:iCs w:val="0"/>
                <w:color w:val="000000"/>
                <w:sz w:val="18"/>
                <w:szCs w:val="18"/>
                <w:u w:val="none"/>
              </w:rPr>
            </w:pPr>
          </w:p>
        </w:tc>
      </w:tr>
      <w:tr w14:paraId="3981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6" w:hRule="atLeast"/>
        </w:trPr>
        <w:tc>
          <w:tcPr>
            <w:tcW w:w="880" w:type="dxa"/>
            <w:tcBorders>
              <w:top w:val="single" w:color="000000" w:sz="4" w:space="0"/>
              <w:left w:val="single" w:color="000000" w:sz="8" w:space="0"/>
              <w:right w:val="single" w:color="000000" w:sz="4" w:space="0"/>
            </w:tcBorders>
            <w:shd w:val="clear" w:color="FFFFFF" w:fill="FFFFFF"/>
            <w:vAlign w:val="center"/>
          </w:tcPr>
          <w:p w14:paraId="70E4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20" w:type="dxa"/>
            <w:tcBorders>
              <w:top w:val="single" w:color="000000" w:sz="4" w:space="0"/>
              <w:left w:val="single" w:color="000000" w:sz="4" w:space="0"/>
              <w:right w:val="single" w:color="000000" w:sz="4" w:space="0"/>
            </w:tcBorders>
            <w:shd w:val="clear" w:color="FFFFFF" w:fill="FFFFFF"/>
            <w:vAlign w:val="center"/>
          </w:tcPr>
          <w:p w14:paraId="3078F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VR动感单车身心调适系统</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9A6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采用VR技术，为训练者构建高沉浸度的虚拟现实心理训练，通过与虚拟场景身临其境的交互，结合动感单车运动调适方法，实时监测采集训练者的生物反馈数据，配合场景、游戏、音乐等形式来对训练者进行减压训练，系统须由训练端和管理端两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2、用户可在训练端自由注册信息，注册成功后即可进行训练，要求训练端至少具备训练指导、智能训练、自助训练、互动训练、档案中心等功能，可以充分满足用户各</w:t>
            </w:r>
          </w:p>
          <w:p w14:paraId="323B6F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项训练需求，帮助用户科学宣泄心理压力。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3、首页提供当前脉搏、轴向、速度、服务器连接状态等信息。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4、提供设备使用、运动安全、身心调节等多种训练指导，包含如设备使用提示、VR头盔使用说明、动感单车使用说明、热身准备、运动姿态、骑行呼吸、穿着要求、训练后放松调节、训练禁忌等内容。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5、提供不少于12道智能评估选择题，涵盖，答题结束后自动显示评估结果，评估结果包含如指导语、训练场景、训练时长、训练音乐等内容。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6、提供历次的智能训练、自助训练记录，包含如记录时间、训练场景、训练时间、训练音乐等内容，支持在训练记录页面再次进入训练。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7、提供不少于11款自助训练虚拟场景，其中≥5款场景支持通过转动轴向调整骑行角度进行自由探索，≥5款场景支持固定路线骑行探索。提供不少于22首训练音乐，支持自定义训练时长。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8、支持在同一局域网中，多台VR动感单车身心调适系统设备可扩展为多人团体训练，即团体训练模式下可支持多个训练端同时在同一个训练游戏中进行团体互动训练。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9、内置≥6款单人训练，以互动训练游戏的形式展现，提供如简单、普通、困难等三级难度选择。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10、内置≥2款团体训练游戏，支持创建房间，查看玩家列表、准备状态、当前人数等信息，支持自由设置游戏长度。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11、内置脉搏参数采集传感器，芯片采集设备预置单车车把中，支持采集用户脉搏参数。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12、支持训练过程中，可实时监</w:t>
            </w:r>
          </w:p>
          <w:p w14:paraId="2FE5F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测训练者脉搏生物反馈指标，并在训练场景中显示脉搏（次/分钟）、速度（千米/小时）、距离（米）等。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13、支持查看、导出、删除本地训练档案，档案内容涵盖个人信息、训练信息、训练结果等，提供如区间饼图、脉搏时间曲线图、速度区间图表等内容。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14、内置角度方向和运动速度传感器，支持检测训练者的骑行速度和方向角度。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15、提供VR模式和PC模式两种训练模式，VR模式下支持训练者佩戴VR头显进行心理训练，训练过程中，训练画面可实现头显、屏幕同步显示。PC模式下支持通过观看屏幕进行心理训练。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1、要求包含VR动感单车身心调适系统1套（预置安装）；动感单车1部；VR头显1个；控制台1套。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1、要求外观尺寸：2083mm*770mm*2210mm（±50mm）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2、要求头显尺寸： 192mm*281mm*124mm（±10mm）。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3、要求屏幕尺寸：43英寸。</w:t>
            </w:r>
          </w:p>
        </w:tc>
        <w:tc>
          <w:tcPr>
            <w:tcW w:w="903" w:type="dxa"/>
            <w:tcBorders>
              <w:top w:val="single" w:color="000000" w:sz="4" w:space="0"/>
              <w:left w:val="single" w:color="000000" w:sz="4" w:space="0"/>
              <w:right w:val="single" w:color="000000" w:sz="4" w:space="0"/>
            </w:tcBorders>
            <w:shd w:val="clear" w:color="FFFFFF" w:fill="FFFFFF"/>
            <w:vAlign w:val="center"/>
          </w:tcPr>
          <w:p w14:paraId="43EF4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387C3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right w:val="single" w:color="000000" w:sz="8" w:space="0"/>
            </w:tcBorders>
            <w:shd w:val="clear" w:color="FFFFFF" w:fill="FFFFFF"/>
            <w:vAlign w:val="center"/>
          </w:tcPr>
          <w:p w14:paraId="190CBEEE">
            <w:pPr>
              <w:jc w:val="right"/>
              <w:rPr>
                <w:rFonts w:hint="eastAsia" w:ascii="宋体" w:hAnsi="宋体" w:eastAsia="宋体" w:cs="宋体"/>
                <w:i w:val="0"/>
                <w:iCs w:val="0"/>
                <w:color w:val="000000"/>
                <w:sz w:val="18"/>
                <w:szCs w:val="18"/>
                <w:u w:val="none"/>
              </w:rPr>
            </w:pPr>
          </w:p>
        </w:tc>
      </w:tr>
      <w:tr w14:paraId="3176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dxa"/>
            <w:tcBorders>
              <w:top w:val="single" w:color="000000" w:sz="4" w:space="0"/>
              <w:left w:val="single" w:color="000000" w:sz="8" w:space="0"/>
              <w:right w:val="single" w:color="000000" w:sz="4" w:space="0"/>
            </w:tcBorders>
            <w:shd w:val="clear" w:color="FFFFFF" w:fill="FFFFFF"/>
            <w:vAlign w:val="center"/>
          </w:tcPr>
          <w:p w14:paraId="2EFCF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20" w:type="dxa"/>
            <w:tcBorders>
              <w:top w:val="single" w:color="000000" w:sz="4" w:space="0"/>
              <w:left w:val="single" w:color="000000" w:sz="4" w:space="0"/>
              <w:right w:val="single" w:color="000000" w:sz="4" w:space="0"/>
            </w:tcBorders>
            <w:shd w:val="clear" w:color="FFFFFF" w:fill="FFFFFF"/>
            <w:vAlign w:val="center"/>
          </w:tcPr>
          <w:p w14:paraId="7C89A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基础宣泄器材</w:t>
            </w:r>
          </w:p>
        </w:tc>
        <w:tc>
          <w:tcPr>
            <w:tcW w:w="4863" w:type="dxa"/>
            <w:tcBorders>
              <w:top w:val="single" w:color="000000" w:sz="4" w:space="0"/>
              <w:left w:val="single" w:color="000000" w:sz="4" w:space="0"/>
              <w:right w:val="single" w:color="000000" w:sz="4" w:space="0"/>
            </w:tcBorders>
            <w:shd w:val="clear" w:color="FFFFFF" w:fill="FFFFFF"/>
            <w:vAlign w:val="center"/>
          </w:tcPr>
          <w:p w14:paraId="027D54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1、宣泄人1个：不倒设计，结实耐用，击打舒适。圆形底座，可注水或沙，底部安装吸盘，稳固、安全。外观尺寸为650mm*300mm*1360mm（±50mm）。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2、宣泄沙袋1个：不倒设计，结实耐用，击打舒适。圆形底座，可注水或沙，底部安装吸盘，稳固、安全。外观尺寸为300mm*300mm*1360mm（±50mm）。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3、拳击手套1副：手感柔软，佩戴</w:t>
            </w:r>
          </w:p>
          <w:p w14:paraId="2ED06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方便，击打舒适。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4、加强型宣泄棒2只：充气式设计。</w:t>
            </w:r>
          </w:p>
        </w:tc>
        <w:tc>
          <w:tcPr>
            <w:tcW w:w="903" w:type="dxa"/>
            <w:tcBorders>
              <w:top w:val="single" w:color="000000" w:sz="4" w:space="0"/>
              <w:left w:val="single" w:color="000000" w:sz="4" w:space="0"/>
              <w:right w:val="single" w:color="000000" w:sz="4" w:space="0"/>
            </w:tcBorders>
            <w:shd w:val="clear" w:color="FFFFFF" w:fill="FFFFFF"/>
            <w:vAlign w:val="center"/>
          </w:tcPr>
          <w:p w14:paraId="50034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66BE87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1B1894">
            <w:pPr>
              <w:jc w:val="right"/>
              <w:rPr>
                <w:rFonts w:hint="eastAsia" w:ascii="宋体" w:hAnsi="宋体" w:eastAsia="宋体" w:cs="宋体"/>
                <w:i w:val="0"/>
                <w:iCs w:val="0"/>
                <w:color w:val="000000"/>
                <w:sz w:val="18"/>
                <w:szCs w:val="18"/>
                <w:u w:val="none"/>
              </w:rPr>
            </w:pPr>
          </w:p>
        </w:tc>
      </w:tr>
      <w:tr w14:paraId="1042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880" w:type="dxa"/>
            <w:tcBorders>
              <w:top w:val="single" w:color="000000" w:sz="4" w:space="0"/>
              <w:left w:val="single" w:color="000000" w:sz="8" w:space="0"/>
              <w:right w:val="single" w:color="000000" w:sz="4" w:space="0"/>
            </w:tcBorders>
            <w:shd w:val="clear" w:color="FFFFFF" w:fill="FFFFFF"/>
            <w:vAlign w:val="center"/>
          </w:tcPr>
          <w:p w14:paraId="42780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20" w:type="dxa"/>
            <w:tcBorders>
              <w:top w:val="single" w:color="000000" w:sz="4" w:space="0"/>
              <w:left w:val="single" w:color="000000" w:sz="4" w:space="0"/>
              <w:right w:val="single" w:color="000000" w:sz="4" w:space="0"/>
            </w:tcBorders>
            <w:shd w:val="clear" w:color="FFFFFF" w:fill="FFFFFF"/>
            <w:vAlign w:val="center"/>
          </w:tcPr>
          <w:p w14:paraId="60535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VR心理脱敏训练系统★</w:t>
            </w:r>
          </w:p>
        </w:tc>
        <w:tc>
          <w:tcPr>
            <w:tcW w:w="4863" w:type="dxa"/>
            <w:tcBorders>
              <w:top w:val="single" w:color="000000" w:sz="4" w:space="0"/>
              <w:left w:val="single" w:color="000000" w:sz="4" w:space="0"/>
              <w:right w:val="single" w:color="000000" w:sz="4" w:space="0"/>
            </w:tcBorders>
            <w:shd w:val="clear" w:color="FFFFFF" w:fill="FFFFFF"/>
            <w:vAlign w:val="center"/>
          </w:tcPr>
          <w:p w14:paraId="71845D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系统基于虚拟现实技术，以系统脱敏理论为核心指导，构建沉浸式VR仿真情境，为训练者提供系统脱敏、放松训练等多维度心理干预训练。通过逐步暴露与放松训练，帮助用户缓解焦虑情绪、增强心理适应能力，提升心理素质与抗压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2、支持选择显示、隐藏生物指标，包含心率数据。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3、支持训练端、管理端双屏输出，提供如特定物种、幽闭恐惧、高空恐惧、考试焦虑、社交恐惧等≥5种系统脱敏训练主题。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4、支持针对不少于6种特定物种进行训练，提供相关动态虚拟场景及场景描述。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5、提供蛇恐惧训练，支持对任务目标、生成数量等进行选择，提供≥10种类型的蛇选项，支持用户使用操纵手柄进行身临其境体验。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6、提供蜘蛛恐惧训练，提供≥8种蜘蛛类型选项、≥5种生成位置选项，支持选择生成数量。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7、提供电梯幽闭恐惧训练场景，支持对电梯到达楼层（如1-100层）、电梯运行状态（如进入电梯、离开电梯、开始运行、停止运行等）等进行级别控制，提供故障模拟、初始化电梯状态等操作。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8、提供地铁幽闭恐惧训练场景，支持对站台距离（如1-10站）、≥4种列车状态（如远离地铁、靠近地铁、进入地铁、地铁运行等）等进行级别控制，提供紧急停止操作。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9、支持进行高空训练，提供≥4种楼层高度、≥2种踏板类型，≥2种任务类型等进行级别控制，提供障碍物干扰，支持管理端显示当前游戏状态。支持开启/关闭真实摔落，并具有相关安全提示。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10、提供玻璃栈道高空恐惧训</w:t>
            </w:r>
          </w:p>
          <w:p w14:paraId="31BAF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练，支持对玻璃栈道的玻璃透明度、鸟群干扰、天气（如暴雨、晴天等）等进行级别控制。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11、支持在虚拟考试环境中进行考试焦虑训练，提供如考试前、考试中、考试后等≥3种考试环节模拟，支持选择考试铃声提醒。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12、支持在虚拟面试环境中进行训练，支持增加/减少面试官数量，提供如玩手机、鼓掌、否定等≥3种人物事件选择，支持选择是否统一动作。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13、支持在虚拟演讲环境中进行训练，支持进行观众调整，显示当前观众数量，提供如玩手机、鼓掌、否定等≥3种人物事件选择，支持选择是否统一动作。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14、支持在虚拟社团招新环境中进行社交恐惧训练，提供如发放传单、推介社团等≥2种任务选择，支持显示任务状态。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提供如海岛、森林等≥4种放松训练场景，支持选择肌肉放松、冥想放松、呼吸放松、感谢自己、进化身心、躯体放松、森林遨游、身体扫描、拥抱潜意识、自我疗愈等≥10种训练指导，支持选择环境音乐。支持在场景放松训练中进行如更改环境（如白天或夜晚）、场景交互、更改配乐、更改指导语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16、支持生成训练档案，提供如训练时间、训练用时、训练信息、HRV参数等信息，HRV参数涵盖心率如心率、协调度、放松度、压力指数等不少于19条数据指标，支持导出报告。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17、集成不少于10种专业心理评估量表，如90项症状清单、工作压力自测问卷等，每个量表提供详细介绍说明，提供PC、VR两种形式进行测评，支持生成测评报告，且测评报告包含如个人信息、测评信息、</w:t>
            </w:r>
          </w:p>
          <w:p w14:paraId="00B58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测评结果、辅导建议、测评总结等内容。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1、要求包含VR心理脱敏训练系统1套（预置安装）；VR头显1个； VR操作手柄2个；操作台1台。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1、要求操作台尺寸：1992.8mm*1127.2mm*2218.1mm（±50mm）。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2、要求操作屏幕尺寸：19英寸。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3、要求显示屏幕尺寸：32英寸。</w:t>
            </w:r>
          </w:p>
        </w:tc>
        <w:tc>
          <w:tcPr>
            <w:tcW w:w="903" w:type="dxa"/>
            <w:tcBorders>
              <w:top w:val="single" w:color="000000" w:sz="4" w:space="0"/>
              <w:left w:val="single" w:color="000000" w:sz="4" w:space="0"/>
              <w:right w:val="single" w:color="000000" w:sz="4" w:space="0"/>
            </w:tcBorders>
            <w:shd w:val="clear" w:color="FFFFFF" w:fill="FFFFFF"/>
            <w:vAlign w:val="center"/>
          </w:tcPr>
          <w:p w14:paraId="02303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0D90D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FB62BB">
            <w:pPr>
              <w:jc w:val="right"/>
              <w:rPr>
                <w:rFonts w:hint="eastAsia" w:ascii="宋体" w:hAnsi="宋体" w:eastAsia="宋体" w:cs="宋体"/>
                <w:i w:val="0"/>
                <w:iCs w:val="0"/>
                <w:color w:val="000000"/>
                <w:sz w:val="18"/>
                <w:szCs w:val="18"/>
                <w:u w:val="none"/>
              </w:rPr>
            </w:pPr>
          </w:p>
        </w:tc>
      </w:tr>
      <w:tr w14:paraId="7529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trPr>
        <w:tc>
          <w:tcPr>
            <w:tcW w:w="880" w:type="dxa"/>
            <w:tcBorders>
              <w:top w:val="single" w:color="000000" w:sz="4" w:space="0"/>
              <w:left w:val="single" w:color="000000" w:sz="8" w:space="0"/>
              <w:right w:val="single" w:color="000000" w:sz="4" w:space="0"/>
            </w:tcBorders>
            <w:shd w:val="clear" w:color="FFFFFF" w:fill="FFFFFF"/>
            <w:vAlign w:val="center"/>
          </w:tcPr>
          <w:p w14:paraId="4ED78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20" w:type="dxa"/>
            <w:tcBorders>
              <w:top w:val="single" w:color="000000" w:sz="4" w:space="0"/>
              <w:left w:val="single" w:color="000000" w:sz="4" w:space="0"/>
              <w:right w:val="single" w:color="000000" w:sz="4" w:space="0"/>
            </w:tcBorders>
            <w:shd w:val="clear" w:color="FFFFFF" w:fill="FFFFFF"/>
            <w:vAlign w:val="center"/>
          </w:tcPr>
          <w:p w14:paraId="099CC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虚拟现实心理训练系统</w:t>
            </w:r>
          </w:p>
        </w:tc>
        <w:tc>
          <w:tcPr>
            <w:tcW w:w="4863" w:type="dxa"/>
            <w:tcBorders>
              <w:top w:val="single" w:color="000000" w:sz="4" w:space="0"/>
              <w:left w:val="single" w:color="000000" w:sz="4" w:space="0"/>
              <w:right w:val="single" w:color="000000" w:sz="4" w:space="0"/>
            </w:tcBorders>
            <w:shd w:val="clear" w:color="FFFFFF" w:fill="FFFFFF"/>
            <w:vAlign w:val="center"/>
          </w:tcPr>
          <w:p w14:paraId="51AF8E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采用U3D虚拟现实技术开发，不少于9个功能模块，通过沉浸式虚拟环境，为用户提供多维度心理训练与放松，有效提升心理适应能力与情绪调节水平，广泛适用于心理放松、压力管理及综合素质提升等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2、内置呼吸助手视觉提示窗，动态展示呼、吸效果，支持灵活调整呼吸速度；脉搏波形动态显示窗，实时监测心率、血氧指标，增强用户体验的直观性与互动性。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实时监测心率、血氧等数据，覆盖如脉搏波形、HRV频域、协调度、放松度、压力指数等关键指标。协调度、放松度、压力指数采用百分制评估。点击参数或图表可查看其详细介绍信息。支持监测结束后生成报告，报告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4、提供心率变异程度的曲线图、散点图（代表心率变异性的结果图之一）、HRT直方图（横轴为心率，竖轴为个数）、功率谱图（利用快）</w:t>
            </w:r>
          </w:p>
          <w:p w14:paraId="1CB7E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速傅里叶转换法，将心率变异性波形图转换为功率谱密度图）、心率的平均值、心率的标准差、NN间期平均值、相邻RR间期差值的均方根、相邻RR间期的标准差等≥12项指标数据。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5、提供标准化HF（HF-norm）、交感及副交感张力的平衡（LF/HF）、总功率（TP）、高频功率（HF）、低频功率（LF）等≥7项HRV频域指标数据。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6、支持用户完成HRV参数检测后，生成报告，并根据用户得分情况推荐相应训练项目。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7、集成不少于14种专业心理评估量表，如自我压力测试、显性焦虑量表等，每个量表提供详细介绍说明，支持选择自动跳转至下一题，测评后即时生成报告，并根据用户心理评估结果，推荐相应训练项目。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8、支持通过训练舱自带操作手柄与虚拟现实训练场景进行交互操作，支持用户通过佩戴虚拟现实头显查看脉搏、血氧等生理指标。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9、提供不少于17款心理训练主题，涵盖3种游戏项目。提供如应用简介、操作指导等文字介绍。支持开始运行后，控制台管理端自动弹出虚拟现实头显中的场景。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10、提供不少于10款场景放松项目。支持用户转动虚拟现实头显可看到720度虚拟场景。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11、涵盖不少于8种科学训练指导方向，结合动态虚拟场景展现，引导用户正确进行心理调适。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12、支持用户自由选择音乐进行放松，支持使用操作手柄控制如开始/暂停、切换角度、显示/隐藏生</w:t>
            </w:r>
          </w:p>
          <w:p w14:paraId="7C339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理状态等操作。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13、提供不少于45个心理视频，支持通过虚拟头显进行焦点控制，通过操作手柄进行播放/暂停、重置视角等操作。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14、支持应激训练，提供不少于14种动态虚拟场景及音乐，支持通过手柄对当下的恐惧等级进行评分。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15、集成基于EMDR（眼动脱敏再处理）的8步骤眼动训练方案，提供不少于6条提示，支持在沉浸式虚拟场景中进行训练，支持进行眼动小球摆动速度调节、颜色更换、大小调节等。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16、训练档案管理：全面记录训练类型、记录日期及训练档案等，支持针对训练类型进行筛选，报告整合HRV记录数据。管理员可便捷查询与管理训练档案，支持报告导出功能。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17、支持进行动作平台配置，提供动作时间、最大行程等配置调节，用户可根据场地大小、训练强度调节训练舱。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18、支持将训练报告推送至已有云平台，通过物联网技术与心理云平台实现互联互通，提供云端身份验证、数据保存、数据管理等功能。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1、要求包含虚拟现实心理训练系统1套（预置安装）；VR头显1个；指夹式生物反馈采集仪1个；训练舱1套；控制台1套。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三、硬件配置要求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1、要求训练舱尺寸：800mm*900mm*1800mm(±50mm)。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2、要求屏幕尺寸：23.8英寸。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3、要求头显尺寸：约281mm*192mm*124.5mm(±50mm)。</w:t>
            </w:r>
          </w:p>
        </w:tc>
        <w:tc>
          <w:tcPr>
            <w:tcW w:w="903" w:type="dxa"/>
            <w:tcBorders>
              <w:top w:val="single" w:color="000000" w:sz="4" w:space="0"/>
              <w:left w:val="single" w:color="000000" w:sz="4" w:space="0"/>
              <w:right w:val="single" w:color="000000" w:sz="4" w:space="0"/>
            </w:tcBorders>
            <w:shd w:val="clear" w:color="FFFFFF" w:fill="FFFFFF"/>
            <w:vAlign w:val="center"/>
          </w:tcPr>
          <w:p w14:paraId="0E598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right w:val="single" w:color="000000" w:sz="4" w:space="0"/>
            </w:tcBorders>
            <w:shd w:val="clear" w:color="FFFFFF" w:fill="FFFFFF"/>
            <w:vAlign w:val="center"/>
          </w:tcPr>
          <w:p w14:paraId="4EF8FF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471133">
            <w:pPr>
              <w:jc w:val="right"/>
              <w:rPr>
                <w:rFonts w:hint="eastAsia" w:ascii="宋体" w:hAnsi="宋体" w:eastAsia="宋体" w:cs="宋体"/>
                <w:i w:val="0"/>
                <w:iCs w:val="0"/>
                <w:color w:val="000000"/>
                <w:sz w:val="18"/>
                <w:szCs w:val="18"/>
                <w:u w:val="none"/>
              </w:rPr>
            </w:pPr>
          </w:p>
        </w:tc>
      </w:tr>
      <w:tr w14:paraId="7DEF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405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6F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多功能办公桌</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3D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材质：实木复合颗粒板，规格400cm*140cm*76cm/ 原木色</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D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E8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E88E08">
            <w:pPr>
              <w:jc w:val="right"/>
              <w:rPr>
                <w:rFonts w:hint="eastAsia" w:ascii="宋体" w:hAnsi="宋体" w:eastAsia="宋体" w:cs="宋体"/>
                <w:i w:val="0"/>
                <w:iCs w:val="0"/>
                <w:color w:val="000000"/>
                <w:sz w:val="18"/>
                <w:szCs w:val="18"/>
                <w:u w:val="none"/>
              </w:rPr>
            </w:pPr>
          </w:p>
        </w:tc>
      </w:tr>
      <w:tr w14:paraId="7B2D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94F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98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多功能办公椅</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6A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1.多功能办公椅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2.材质：棉绒网面，高密度海绵，加厚钢管电镀脚</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5C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57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4A50D2">
            <w:pPr>
              <w:jc w:val="right"/>
              <w:rPr>
                <w:rFonts w:hint="eastAsia" w:ascii="宋体" w:hAnsi="宋体" w:eastAsia="宋体" w:cs="宋体"/>
                <w:i w:val="0"/>
                <w:iCs w:val="0"/>
                <w:color w:val="000000"/>
                <w:sz w:val="18"/>
                <w:szCs w:val="18"/>
                <w:u w:val="none"/>
              </w:rPr>
            </w:pPr>
          </w:p>
        </w:tc>
      </w:tr>
      <w:tr w14:paraId="111F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22C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A7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二合一洽谈桌</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D3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1.桌体：实木复合颗粒板，规格80cm*75cm/ 原木色；（1件）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2.座椅：布艺坐靠，高密度海绵，科技皮，碳钢烤漆腿；（2件）</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5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55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3A919E">
            <w:pPr>
              <w:jc w:val="right"/>
              <w:rPr>
                <w:rFonts w:hint="eastAsia" w:ascii="宋体" w:hAnsi="宋体" w:eastAsia="宋体" w:cs="宋体"/>
                <w:i w:val="0"/>
                <w:iCs w:val="0"/>
                <w:color w:val="000000"/>
                <w:sz w:val="18"/>
                <w:szCs w:val="18"/>
                <w:u w:val="none"/>
              </w:rPr>
            </w:pPr>
          </w:p>
        </w:tc>
      </w:tr>
      <w:tr w14:paraId="66AA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4B6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61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定制版组合式沙发（新管发[2023] 61号）文件的通知要求。单价不能超过6000元。</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11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1.实木复合多人沙发座椅，原木色，布艺坐靠，高密度海绵；哑光岩板木纹钢腿桌体</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92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174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AF21DF">
            <w:pPr>
              <w:jc w:val="right"/>
              <w:rPr>
                <w:rFonts w:hint="eastAsia" w:ascii="宋体" w:hAnsi="宋体" w:eastAsia="宋体" w:cs="宋体"/>
                <w:i w:val="0"/>
                <w:iCs w:val="0"/>
                <w:color w:val="000000"/>
                <w:sz w:val="18"/>
                <w:szCs w:val="18"/>
                <w:u w:val="none"/>
              </w:rPr>
            </w:pPr>
          </w:p>
          <w:p w14:paraId="4A231386">
            <w:pPr>
              <w:jc w:val="right"/>
              <w:rPr>
                <w:rFonts w:hint="eastAsia" w:ascii="宋体" w:hAnsi="宋体" w:eastAsia="宋体" w:cs="宋体"/>
                <w:i w:val="0"/>
                <w:iCs w:val="0"/>
                <w:color w:val="000000"/>
                <w:sz w:val="18"/>
                <w:szCs w:val="18"/>
                <w:u w:val="none"/>
              </w:rPr>
            </w:pPr>
          </w:p>
        </w:tc>
      </w:tr>
      <w:tr w14:paraId="3FE9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9D1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26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多功能全自动智能饮水机</w:t>
            </w:r>
          </w:p>
        </w:tc>
        <w:tc>
          <w:tcPr>
            <w:tcW w:w="48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6B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1.电压：220V；功率：1225W，尺寸320*320*1040  重量：9.5KG</w:t>
            </w:r>
          </w:p>
        </w:tc>
        <w:tc>
          <w:tcPr>
            <w:tcW w:w="9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07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BA6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CF999E">
            <w:pPr>
              <w:jc w:val="right"/>
              <w:rPr>
                <w:rFonts w:hint="eastAsia" w:ascii="宋体" w:hAnsi="宋体" w:eastAsia="宋体" w:cs="宋体"/>
                <w:i w:val="0"/>
                <w:iCs w:val="0"/>
                <w:color w:val="000000"/>
                <w:sz w:val="18"/>
                <w:szCs w:val="18"/>
                <w:u w:val="none"/>
              </w:rPr>
            </w:pPr>
          </w:p>
        </w:tc>
      </w:tr>
    </w:tbl>
    <w:p w14:paraId="410F90F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人员培训与运维：</w:t>
      </w:r>
    </w:p>
    <w:tbl>
      <w:tblPr>
        <w:tblStyle w:val="23"/>
        <w:tblW w:w="10247" w:type="dxa"/>
        <w:tblInd w:w="-6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1297"/>
        <w:gridCol w:w="5910"/>
        <w:gridCol w:w="930"/>
        <w:gridCol w:w="1080"/>
      </w:tblGrid>
      <w:tr w14:paraId="15AE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03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8E91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47C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9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D01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A1C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3A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35E3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719A610">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480937">
            <w:pPr>
              <w:jc w:val="center"/>
              <w:rPr>
                <w:rFonts w:hint="eastAsia" w:ascii="宋体" w:hAnsi="宋体" w:eastAsia="宋体" w:cs="宋体"/>
                <w:i w:val="0"/>
                <w:iCs w:val="0"/>
                <w:color w:val="000000"/>
                <w:sz w:val="18"/>
                <w:szCs w:val="18"/>
                <w:u w:val="none"/>
              </w:rPr>
            </w:pPr>
          </w:p>
        </w:tc>
        <w:tc>
          <w:tcPr>
            <w:tcW w:w="59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7550D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FAF3A4">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F94009">
            <w:pPr>
              <w:jc w:val="center"/>
              <w:rPr>
                <w:rFonts w:hint="eastAsia" w:ascii="宋体" w:hAnsi="宋体" w:eastAsia="宋体" w:cs="宋体"/>
                <w:i w:val="0"/>
                <w:iCs w:val="0"/>
                <w:color w:val="000000"/>
                <w:sz w:val="18"/>
                <w:szCs w:val="18"/>
                <w:u w:val="none"/>
              </w:rPr>
            </w:pPr>
          </w:p>
        </w:tc>
      </w:tr>
      <w:tr w14:paraId="2061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C167F2">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459E4D">
            <w:pPr>
              <w:jc w:val="center"/>
              <w:rPr>
                <w:rFonts w:hint="eastAsia" w:ascii="宋体" w:hAnsi="宋体" w:eastAsia="宋体" w:cs="宋体"/>
                <w:i w:val="0"/>
                <w:iCs w:val="0"/>
                <w:color w:val="000000"/>
                <w:sz w:val="18"/>
                <w:szCs w:val="18"/>
                <w:u w:val="none"/>
              </w:rPr>
            </w:pPr>
          </w:p>
        </w:tc>
        <w:tc>
          <w:tcPr>
            <w:tcW w:w="59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F9776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0D165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E97A4C">
            <w:pPr>
              <w:jc w:val="center"/>
              <w:rPr>
                <w:rFonts w:hint="eastAsia" w:ascii="宋体" w:hAnsi="宋体" w:eastAsia="宋体" w:cs="宋体"/>
                <w:i w:val="0"/>
                <w:iCs w:val="0"/>
                <w:color w:val="000000"/>
                <w:sz w:val="18"/>
                <w:szCs w:val="18"/>
                <w:u w:val="none"/>
              </w:rPr>
            </w:pPr>
          </w:p>
        </w:tc>
      </w:tr>
      <w:tr w14:paraId="3353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58425B">
            <w:pPr>
              <w:jc w:val="left"/>
              <w:rPr>
                <w:rFonts w:hint="eastAsia" w:ascii="宋体" w:hAnsi="宋体" w:eastAsia="宋体" w:cs="宋体"/>
                <w:i w:val="0"/>
                <w:iCs w:val="0"/>
                <w:color w:val="000000"/>
                <w:sz w:val="18"/>
                <w:szCs w:val="18"/>
                <w:u w:val="none"/>
              </w:rPr>
            </w:pPr>
          </w:p>
        </w:tc>
        <w:tc>
          <w:tcPr>
            <w:tcW w:w="72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BA6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E60FB">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4D782">
            <w:pPr>
              <w:jc w:val="left"/>
              <w:rPr>
                <w:rFonts w:hint="eastAsia" w:ascii="宋体" w:hAnsi="宋体" w:eastAsia="宋体" w:cs="宋体"/>
                <w:i w:val="0"/>
                <w:iCs w:val="0"/>
                <w:color w:val="000000"/>
                <w:sz w:val="18"/>
                <w:szCs w:val="18"/>
                <w:u w:val="none"/>
              </w:rPr>
            </w:pPr>
          </w:p>
        </w:tc>
      </w:tr>
      <w:tr w14:paraId="60E5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12B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EB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人员要求</w:t>
            </w:r>
          </w:p>
        </w:tc>
        <w:tc>
          <w:tcPr>
            <w:tcW w:w="59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48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按照“心理治疗师1名、心理咨询师1名”的岗位配置，长期入驻不少于6个月，负责专业培训、日常运营。</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A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6C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A8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16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55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专业培训★</w:t>
            </w:r>
          </w:p>
        </w:tc>
        <w:tc>
          <w:tcPr>
            <w:tcW w:w="59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EF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人专项资质培训：教材、课程根据中国心理学会相关要求安排（中国心理学会/中国心理卫生协会证书申请费、学员参训保障费用），严格按照“中国心理学会或中国心理卫生协会颁发证书”的要求，覆盖资质获取全流程成本，确保培训合规有效。</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54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EB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494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6D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91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日常运维</w:t>
            </w:r>
          </w:p>
        </w:tc>
        <w:tc>
          <w:tcPr>
            <w:tcW w:w="59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49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1.打印纸、笔等办公耗材，专线宽带、线上服务平台维护、数据安全服务，满足运维底线要求，办公品及网络费按最低保障标准核定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2.流动服务交通补助:偏远乡镇上门服务的燃油费、短途车辆租赁，适配边疆县域地域辽阔、多民族聚居特点，解决偏远服务点覆盖不足问题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3.突发备用金，用于突发公共事件（极端天气、临时群体心理干预）的物资采购、应急保障，边疆县域基础设施薄弱、极端情况频发，扩容备用金强化对设备故障、应急心理服务等突发状况的应对能力。</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E6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65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387C539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p>
    <w:p w14:paraId="382D09FB">
      <w:pPr>
        <w:pageBreakBefore w:val="0"/>
        <w:widowControl w:val="0"/>
        <w:numPr>
          <w:ilvl w:val="0"/>
          <w:numId w:val="0"/>
        </w:numPr>
        <w:wordWrap/>
        <w:overflowPunct/>
        <w:topLinePunct w:val="0"/>
        <w:autoSpaceDE w:val="0"/>
        <w:autoSpaceDN w:val="0"/>
        <w:bidi w:val="0"/>
        <w:adjustRightInd w:val="0"/>
        <w:spacing w:line="500" w:lineRule="exact"/>
        <w:ind w:leftChars="0"/>
        <w:jc w:val="center"/>
        <w:rPr>
          <w:rFonts w:hint="eastAsia" w:ascii="方正仿宋_GB18030" w:hAnsi="方正仿宋_GB18030" w:eastAsia="方正仿宋_GB18030" w:cs="方正仿宋_GB18030"/>
          <w:b/>
          <w:bCs/>
          <w:i w:val="0"/>
          <w:iCs w:val="0"/>
          <w:color w:val="000000"/>
          <w:kern w:val="0"/>
          <w:sz w:val="28"/>
          <w:szCs w:val="28"/>
          <w:highlight w:val="none"/>
          <w:u w:val="none"/>
          <w:lang w:val="en-US" w:eastAsia="zh-CN" w:bidi="ar"/>
        </w:rPr>
      </w:pPr>
      <w:r>
        <w:rPr>
          <w:rFonts w:hint="eastAsia" w:ascii="方正仿宋_GB18030" w:hAnsi="方正仿宋_GB18030" w:eastAsia="方正仿宋_GB18030" w:cs="方正仿宋_GB18030"/>
          <w:b/>
          <w:bCs/>
          <w:i w:val="0"/>
          <w:iCs w:val="0"/>
          <w:color w:val="000000"/>
          <w:kern w:val="0"/>
          <w:sz w:val="28"/>
          <w:szCs w:val="28"/>
          <w:highlight w:val="none"/>
          <w:u w:val="none"/>
          <w:lang w:val="en-US" w:eastAsia="zh-CN" w:bidi="ar"/>
        </w:rPr>
        <w:t>三、商 务 要 求</w:t>
      </w:r>
    </w:p>
    <w:p w14:paraId="61E2A68D">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报价要求：</w:t>
      </w: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投标报价应是完成招标内容所需产品的全部费用，包括：产品的报价及所发生的：包括货物价格、包装、运输、仓储、保管、装卸（卸货至甲方指定地点）、安装、人工费、搬运费、 利润、相关税费及市场价格风险等在内全部费用。</w:t>
      </w:r>
    </w:p>
    <w:p w14:paraId="19A5ACD1">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（一）项目交货期与质保期：</w:t>
      </w:r>
    </w:p>
    <w:p w14:paraId="523AB21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1、供货期：签订合同</w:t>
      </w:r>
      <w:r>
        <w:rPr>
          <w:rFonts w:hint="eastAsia" w:ascii="方正仿宋_GB18030" w:hAnsi="方正仿宋_GB18030" w:eastAsia="方正仿宋_GB18030" w:cs="方正仿宋_GB18030"/>
          <w:b w:val="0"/>
          <w:bCs w:val="0"/>
          <w:i w:val="0"/>
          <w:iCs w:val="0"/>
          <w:color w:val="auto"/>
          <w:kern w:val="0"/>
          <w:sz w:val="28"/>
          <w:szCs w:val="28"/>
          <w:highlight w:val="none"/>
          <w:u w:val="none"/>
          <w:lang w:val="en-US" w:eastAsia="zh-CN" w:bidi="ar"/>
        </w:rPr>
        <w:t>后供货安装调试完毕30天内</w:t>
      </w: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（具体以双方签订合同为准）。</w:t>
      </w:r>
    </w:p>
    <w:p w14:paraId="387208F9">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2、质保期：3年（包含维修配件及更换配件费运）。</w:t>
      </w:r>
    </w:p>
    <w:p w14:paraId="6EA495C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3、生产要求：设备到货安装时算起，设备生产日期在半年内。</w:t>
      </w:r>
    </w:p>
    <w:p w14:paraId="5065FE93">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（二）付款方式及交货地点</w:t>
      </w:r>
    </w:p>
    <w:p w14:paraId="6D1B9071">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default"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付款方式：中标人签订合同后，采购人支付合同总价款的30%；安装、调试、培训完毕后，运行正常且验收合格后，采购人向成交供应商支付合同款总额的60%(具体付款方式以签订合同为准)，剩余合同款总额的10%专业人员培训考核后，根据培训合格率结算。</w:t>
      </w:r>
    </w:p>
    <w:p w14:paraId="3ED4C98E">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2、交货地点：采购人指定位置，最终按甲方指定地点验收、交货。</w:t>
      </w:r>
    </w:p>
    <w:p w14:paraId="6D10F9E7">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（三）售后服务</w:t>
      </w:r>
    </w:p>
    <w:p w14:paraId="636A9C4D">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1.供应商须到采购人提供的现场安装、调试设备，进行操作试验，直至运行正常，为采购人提供技术服务、技术支持及咨询服务。按照项目采购需求中要求进行维修响应。在保修期内不定期进行状态检测。</w:t>
      </w:r>
    </w:p>
    <w:p w14:paraId="77348245">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2.在质保期内，派遣维修或技术人员巡访设备进行维护保养工作，每年巡防保养不少于4次。</w:t>
      </w:r>
    </w:p>
    <w:p w14:paraId="19D608F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3.供应商安装调试完成后与采购人共同验收。</w:t>
      </w:r>
    </w:p>
    <w:p w14:paraId="379A32B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4.售后服务承诺：供应商应对质保期内及其以后的服务做出承诺，并具有切实可行的措施,不能及时兑现服务承诺内容而影响使用方使 用，供应商应当给予补偿（合同约定）。</w:t>
      </w:r>
    </w:p>
    <w:p w14:paraId="75225E3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5.如有未尽事宜或收到服务需求不合要求情况，可双方协商决定，但决定权在购买方，购买方有权利退回所购买产品。</w:t>
      </w:r>
    </w:p>
    <w:p w14:paraId="02CA229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（四）实施方案及培训</w:t>
      </w:r>
    </w:p>
    <w:p w14:paraId="7961DF92">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1.仪器的安装、调试：由厂家专职工程师负责，到现场安装、调试直至正常使用状态。</w:t>
      </w:r>
    </w:p>
    <w:p w14:paraId="4D7E04DC">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2、供应商应提供以下内容：</w:t>
      </w:r>
    </w:p>
    <w:p w14:paraId="55999FD9">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（1）项目详细工作内容，说明项目的工作范围、具体内容和技术要 求等，这一部分内容能量化的指标尽可能量化；</w:t>
      </w:r>
    </w:p>
    <w:p w14:paraId="709E474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（2）项目实施所采取的方法手段；</w:t>
      </w:r>
    </w:p>
    <w:p w14:paraId="45282F83">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（3）预期效果，说明项目完成时所达到的效果；说明承担单位、协 作单位和各自分工的主要内容。</w:t>
      </w:r>
    </w:p>
    <w:p w14:paraId="4BF7FE8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default"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3、专业培训人员不少于</w:t>
      </w:r>
      <w:r>
        <w:rPr>
          <w:rFonts w:hint="default" w:ascii="Times New Roman" w:hAnsi="Times New Roman" w:eastAsia="方正仿宋_GB18030"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180</w:t>
      </w: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人，分4批次开展，课程包括基础课程及附加课程，总课时不少于40学时，教材、课程根据中国心理学会相关要求安排。</w:t>
      </w:r>
    </w:p>
    <w:p w14:paraId="7D0FE19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4、设备的维护</w:t>
      </w:r>
    </w:p>
    <w:p w14:paraId="568F2EFA">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（1）设备管理方案；</w:t>
      </w:r>
    </w:p>
    <w:p w14:paraId="2191958E">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（2）设备维护及保养方案。</w:t>
      </w:r>
    </w:p>
    <w:p w14:paraId="4DF5C5CF">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进度的安排：项目工作进度安排，详细说明各阶段工作安排的时间和 项目工作完成的时间，尽力让项目实施的时间进度与方案所计划的时 间吻合；</w:t>
      </w:r>
    </w:p>
    <w:p w14:paraId="5E8D62F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供货方案：供货的流程、安装流程应在方案中写明。（注：可提供流</w:t>
      </w:r>
    </w:p>
    <w:p w14:paraId="47C9210F">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程图。）</w:t>
      </w:r>
    </w:p>
    <w:p w14:paraId="61BC89D8">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应急预案：为保障设备的运行正常，加强对突发事件、紧急事件的控 制，须提供应商制定本项目的突发事件处置预案，写明面对突发事件 的应急处理方法，包含：人员伤亡事故、发生火灾、突然停电等。建 立完善的预防机制，指定专人负责，对潜在危险可能出现的紧急情况，</w:t>
      </w:r>
    </w:p>
    <w:p w14:paraId="35F931DF">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制定相应的处理办法。 实施方案及培训方案：</w:t>
      </w:r>
    </w:p>
    <w:p w14:paraId="30CB98B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（1）供应商应保证供货设备在项目实施过程中的实施方案、设备质 量、 供货安装、项目安全措施、应急处理、进度安排等五方面进行 拓展，供应商能够在设备运中保障设备的功能不被破坏，在发货前保 证对货物的质量、规格、性能、数量和重量等进行准确而全面的检验， 并出具一份产品检验合格证书。在项目供货安装时进行核对，如若发 生设备不能正常运行，供应商必须在突发应急时给予响应并在最快时 间内处理，保障设备正常运行。</w:t>
      </w:r>
    </w:p>
    <w:p w14:paraId="0708D7CB">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（2）须提供所投设备的相关技术培训，指涉及产品基本原理、安装、 调试、操作使用和保养维修等有关内容的学习。提供相对应的培训方案，培训人员的差旅费、食宿费、培训教材等费用，应计入投标报价， 随时排除所有设备故障进行明确的计划阐述，并对所有设备保修期过 后维保进行阐述。</w:t>
      </w:r>
    </w:p>
    <w:p w14:paraId="757958C4">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bCs/>
          <w:i w:val="0"/>
          <w:iCs w:val="0"/>
          <w:color w:val="000000" w:themeColor="text1"/>
          <w:kern w:val="0"/>
          <w:sz w:val="28"/>
          <w:szCs w:val="28"/>
          <w:highlight w:val="none"/>
          <w:u w:val="none"/>
          <w:lang w:val="en-US" w:eastAsia="zh-CN" w:bidi="ar"/>
          <w14:textFill>
            <w14:solidFill>
              <w14:schemeClr w14:val="tx1"/>
            </w14:solidFill>
          </w14:textFill>
        </w:rPr>
        <w:t>(五)  验收</w:t>
      </w:r>
    </w:p>
    <w:p w14:paraId="550740CC">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default"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验收主体：  伽师县卫生健康委员会</w:t>
      </w:r>
    </w:p>
    <w:p w14:paraId="3BC13D01">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验收时间：供货完毕后</w:t>
      </w:r>
    </w:p>
    <w:p w14:paraId="6F3C0239">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验收程序：货物包装应符合国家标准，以保证货物在运输过程中不受 损伤。货物在运输或邮寄途中发生毁损或丢失，由乙方负责。在运输途中、交货前、卸货中发生人身伤害或货物受损的，由乙方负责承担。 货物到达后，甲乙双方均须在场确认包装完好后，安装后由甲方验货，并对货物进行清点验收，共同签字确认。如验收不合格，一切损失由乙方自行承担。</w:t>
      </w:r>
    </w:p>
    <w:p w14:paraId="117380F2">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验收内容：采购清单内设备、装备数量进行验收。</w:t>
      </w:r>
    </w:p>
    <w:p w14:paraId="42052C5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验收标准：依据相关法律法规严格按照采购合同开展履约验收。采购 人或者采购代理机构应当成立验收小组，按照采购合同的约定对供应 商履约情况进行验收。验收时，应当按照采购合同的约定对每一项技 术、服务、安全标准的履约情况进行确认。验收结束后，应当出具验 收书，列明各项标准的验收情况及项目总体评价，由验收双方共同签 署。履约验收的各项资料应当存档备查。</w:t>
      </w:r>
    </w:p>
    <w:p w14:paraId="3068784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（六）其他要求</w:t>
      </w:r>
    </w:p>
    <w:p w14:paraId="3120BE80">
      <w:pPr>
        <w:pageBreakBefore w:val="0"/>
        <w:widowControl w:val="0"/>
        <w:numPr>
          <w:ilvl w:val="0"/>
          <w:numId w:val="0"/>
        </w:numPr>
        <w:wordWrap/>
        <w:overflowPunct/>
        <w:topLinePunct w:val="0"/>
        <w:autoSpaceDE w:val="0"/>
        <w:autoSpaceDN w:val="0"/>
        <w:bidi w:val="0"/>
        <w:adjustRightInd w:val="0"/>
        <w:spacing w:line="500" w:lineRule="exact"/>
        <w:ind w:leftChars="0"/>
        <w:jc w:val="both"/>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方正仿宋_GB18030" w:hAnsi="方正仿宋_GB18030" w:eastAsia="方正仿宋_GB18030" w:cs="方正仿宋_GB18030"/>
          <w:b w:val="0"/>
          <w:bCs w:val="0"/>
          <w:i w:val="0"/>
          <w:iCs w:val="0"/>
          <w:color w:val="000000" w:themeColor="text1"/>
          <w:kern w:val="0"/>
          <w:sz w:val="28"/>
          <w:szCs w:val="28"/>
          <w:highlight w:val="none"/>
          <w:u w:val="none"/>
          <w:lang w:val="en-US" w:eastAsia="zh-CN" w:bidi="ar"/>
          <w14:textFill>
            <w14:solidFill>
              <w14:schemeClr w14:val="tx1"/>
            </w14:solidFill>
          </w14:textFill>
        </w:rPr>
        <w:t>1、为保证产品质量，投标文件内须提供产品彩页或使用说明书或原厂公开发表的证明文件或由国家权威质量检测机构或第三方机构出具的符合参数要求的完整的检测检验报告作为技术证明文件。</w:t>
      </w:r>
    </w:p>
    <w:p w14:paraId="7107E0D1">
      <w:pPr>
        <w:pStyle w:val="2"/>
        <w:tabs>
          <w:tab w:val="left" w:pos="0"/>
        </w:tabs>
        <w:spacing w:before="0" w:after="0" w:line="240" w:lineRule="atLeast"/>
        <w:jc w:val="both"/>
        <w:rPr>
          <w:rFonts w:hint="default" w:ascii="仿宋" w:hAnsi="仿宋" w:eastAsia="仿宋" w:cs="仿宋"/>
          <w:color w:val="auto"/>
          <w:sz w:val="44"/>
          <w:szCs w:val="44"/>
          <w:highlight w:val="none"/>
          <w:lang w:val="en-US" w:eastAsia="zh-CN"/>
        </w:rPr>
      </w:pPr>
    </w:p>
    <w:p w14:paraId="478D82F2">
      <w:pPr>
        <w:pStyle w:val="2"/>
        <w:tabs>
          <w:tab w:val="left" w:pos="0"/>
        </w:tabs>
        <w:spacing w:before="0" w:after="0" w:line="240" w:lineRule="atLeast"/>
        <w:ind w:firstLine="1325" w:firstLineChars="300"/>
        <w:jc w:val="both"/>
        <w:rPr>
          <w:rFonts w:hint="eastAsia" w:ascii="仿宋" w:hAnsi="仿宋" w:eastAsia="仿宋" w:cs="仿宋"/>
          <w:color w:val="auto"/>
          <w:highlight w:val="none"/>
          <w:lang w:eastAsia="zh-CN"/>
        </w:rPr>
      </w:pPr>
      <w:r>
        <w:rPr>
          <w:rFonts w:hint="eastAsia" w:ascii="仿宋" w:hAnsi="仿宋" w:eastAsia="仿宋" w:cs="仿宋"/>
          <w:color w:val="auto"/>
          <w:sz w:val="44"/>
          <w:szCs w:val="44"/>
          <w:highlight w:val="none"/>
          <w:lang w:eastAsia="zh-CN"/>
        </w:rPr>
        <w:t xml:space="preserve">第六章  </w:t>
      </w:r>
      <w:bookmarkStart w:id="835" w:name="_Toc23331"/>
      <w:bookmarkStart w:id="836" w:name="_Toc507399907"/>
      <w:bookmarkStart w:id="837" w:name="_Toc7971"/>
      <w:bookmarkStart w:id="838" w:name="_Toc515647832"/>
      <w:bookmarkStart w:id="839" w:name="_Toc32647"/>
      <w:r>
        <w:rPr>
          <w:rFonts w:hint="eastAsia" w:ascii="仿宋" w:hAnsi="仿宋" w:eastAsia="仿宋" w:cs="仿宋"/>
          <w:color w:val="auto"/>
          <w:sz w:val="44"/>
          <w:szCs w:val="44"/>
          <w:highlight w:val="none"/>
          <w:lang w:eastAsia="zh-CN"/>
        </w:rPr>
        <w:t>评标方法和标准</w:t>
      </w:r>
      <w:bookmarkEnd w:id="833"/>
      <w:bookmarkEnd w:id="834"/>
      <w:bookmarkEnd w:id="835"/>
      <w:bookmarkEnd w:id="836"/>
      <w:bookmarkEnd w:id="837"/>
      <w:bookmarkEnd w:id="838"/>
      <w:bookmarkEnd w:id="839"/>
    </w:p>
    <w:p w14:paraId="26F64A92">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 总则</w:t>
      </w:r>
    </w:p>
    <w:p w14:paraId="458AB66B">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1.1 根据《中华人民共和国政府采购法》、《中华人民共和国政府采购法实施条例》、《政府采购货物和服务招标投标管理办法（财政部第87号令）》等法律制度，结合采购项目特点制定本评标办法。</w:t>
      </w:r>
    </w:p>
    <w:p w14:paraId="1B2D6409">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1.2 评标工作由采购代理机构负责组织，具体评标事务由采购代理机构依法组建的评标委员会负责。评标委员会由采购人代表和有关技术、经济、法律等方面的专家组成。</w:t>
      </w:r>
    </w:p>
    <w:p w14:paraId="195959DE">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1.3 评标工作应遵循公平、公正、科学及择优的原则，并以相同的评标程序和标准对待所有的投标人。</w:t>
      </w:r>
    </w:p>
    <w:p w14:paraId="008A9720">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1.4 评标委员会按照招标文件规定的评标方法和标准进行评标，并独立履行下列职责：</w:t>
      </w:r>
    </w:p>
    <w:p w14:paraId="4AEFD98D">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（一）审查、评价投标文件是否符合招标文件的商务、技术等实质性要求；</w:t>
      </w:r>
    </w:p>
    <w:p w14:paraId="4F5D8E3A">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（二）要求投标人对投标文件有关事项作出澄清或者说明；</w:t>
      </w:r>
    </w:p>
    <w:p w14:paraId="29FB59DA">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（三）对投标文件进行比较和评价；</w:t>
      </w:r>
    </w:p>
    <w:p w14:paraId="76C7B7E6">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（四）确定中标候选人名单，以及根据采购人委托直接确定中标人；</w:t>
      </w:r>
    </w:p>
    <w:p w14:paraId="11D8F13B">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（五）向采购人、采购代理机构或者有关部门报告评标中发现的违法行为。</w:t>
      </w:r>
    </w:p>
    <w:p w14:paraId="071D5C6D">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（六）法律、法规和规章规定的其他职责。</w:t>
      </w:r>
    </w:p>
    <w:p w14:paraId="04AD07E0">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1.5 评标过程独立、保密。投标人非法干预评标过程的行为将导致其投标文件作为无效处理。</w:t>
      </w:r>
    </w:p>
    <w:p w14:paraId="7A861D28">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1.6评标委员会评价投标文件的响应性，对于投标人而言，除评标委员会要求其澄清、说明或者更正而提供的资料外，仅依据投标文件本身的内容，不寻求其他外部证据。</w:t>
      </w:r>
    </w:p>
    <w:p w14:paraId="0E083F7E">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 xml:space="preserve"> 1.7采购人或者采购代理机构负责组织评标工作，并履行下列职责：</w:t>
      </w:r>
    </w:p>
    <w:p w14:paraId="1AAAFFBC">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（一）核对评审专家身份和采购人代表信息，对评审专家在政府采购活动中的职责履行情况予以记录，并及时将有关违法违规行为向财政部门报告；</w:t>
      </w:r>
    </w:p>
    <w:p w14:paraId="12B9A322">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（二）宣布评标纪律；</w:t>
      </w:r>
    </w:p>
    <w:p w14:paraId="4ECBCA16">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（三）公布投标人名单，告知评审专家应当回避的情形；</w:t>
      </w:r>
    </w:p>
    <w:p w14:paraId="76841522">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（四）组织评标委员会推选评标组长，采购人代表不得担任组长；</w:t>
      </w:r>
    </w:p>
    <w:p w14:paraId="337DEBC7">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（五）在评标期间采取必要的通讯管理措施，保证评标活动不受外界干扰；</w:t>
      </w:r>
    </w:p>
    <w:p w14:paraId="0EEDBCF5">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（六）根据评标委员会的要求介绍政府采购相关政策法规、招标文件；</w:t>
      </w:r>
    </w:p>
    <w:p w14:paraId="6D9AC0E5">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（七）维护评标秩序，监督评标委员会依照招标文件规定的评标程序、方法和标准进行独立评审，及时制止和纠正采购人代表、评审专家的倾向性言论或者违法违规行为；</w:t>
      </w:r>
    </w:p>
    <w:p w14:paraId="612BD3CB">
      <w:pPr>
        <w:pStyle w:val="8"/>
        <w:tabs>
          <w:tab w:val="left" w:pos="567"/>
        </w:tabs>
        <w:spacing w:line="360" w:lineRule="auto"/>
        <w:ind w:firstLine="240" w:firstLineChars="1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（八）核对评标结果，有财政部87号令第六十四条规定情形的，要求评标委员会复核或者书面说明理由，评标委员会拒绝的，应予记录并向本级财政部门报告；</w:t>
      </w:r>
    </w:p>
    <w:p w14:paraId="0127D2C3">
      <w:pPr>
        <w:pStyle w:val="8"/>
        <w:tabs>
          <w:tab w:val="left" w:pos="567"/>
        </w:tabs>
        <w:spacing w:line="360" w:lineRule="auto"/>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　（九）处理与评标有关的其他事项。</w:t>
      </w:r>
    </w:p>
    <w:p w14:paraId="29D2F52E">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采购人可以在评标前说明项目背景和采购需求，说明内容不得含有歧视性、倾向性意见，不得超出招标文件所述范围。说明应当提交书面材料，并随采购文件一并存档。</w:t>
      </w:r>
    </w:p>
    <w:p w14:paraId="6C89240A">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2、评标方法</w:t>
      </w:r>
    </w:p>
    <w:p w14:paraId="6F8443F6">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本项目评标方法为：综合评分法。</w:t>
      </w:r>
    </w:p>
    <w:p w14:paraId="0DA3CFFE">
      <w:pPr>
        <w:pStyle w:val="8"/>
        <w:tabs>
          <w:tab w:val="left" w:pos="567"/>
        </w:tabs>
        <w:spacing w:line="360" w:lineRule="auto"/>
        <w:ind w:firstLine="480" w:firstLineChars="200"/>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3、评标程序</w:t>
      </w:r>
    </w:p>
    <w:p w14:paraId="38E64639">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3.1 熟悉和理解招标文件和停止评标。</w:t>
      </w:r>
    </w:p>
    <w:p w14:paraId="3F06A58C">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3.1.1 评标委员会正式评标前，应当对招标文件进行熟悉和理解，内容主要包括招标文件中采购项目技术、服务和商务要求、评标方法和标准以及可能涉及签订政府采购合同的内容等。</w:t>
      </w:r>
    </w:p>
    <w:p w14:paraId="41E452F1">
      <w:pPr>
        <w:pStyle w:val="8"/>
        <w:tabs>
          <w:tab w:val="left" w:pos="567"/>
        </w:tabs>
        <w:spacing w:line="360" w:lineRule="auto"/>
        <w:ind w:left="-199" w:leftChars="-95" w:firstLine="199" w:firstLineChars="83"/>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AD29947">
      <w:pPr>
        <w:spacing w:line="360" w:lineRule="auto"/>
        <w:rPr>
          <w:rFonts w:hint="eastAsia" w:ascii="仿宋" w:hAnsi="仿宋" w:eastAsia="仿宋" w:cs="仿宋"/>
          <w:color w:val="auto"/>
          <w:highlight w:val="none"/>
        </w:rPr>
      </w:pPr>
      <w:r>
        <w:rPr>
          <w:rStyle w:val="28"/>
          <w:rFonts w:hint="eastAsia" w:ascii="仿宋" w:hAnsi="仿宋" w:eastAsia="仿宋" w:cs="仿宋"/>
          <w:iCs/>
          <w:color w:val="auto"/>
          <w:sz w:val="24"/>
          <w:szCs w:val="24"/>
          <w:highlight w:val="none"/>
          <w:lang w:eastAsia="zh-CN"/>
        </w:rPr>
        <w:t>4.1</w:t>
      </w:r>
      <w:r>
        <w:rPr>
          <w:rFonts w:hint="eastAsia" w:ascii="仿宋" w:hAnsi="仿宋" w:eastAsia="仿宋" w:cs="仿宋"/>
          <w:iCs/>
          <w:color w:val="auto"/>
          <w:sz w:val="24"/>
          <w:szCs w:val="24"/>
          <w:highlight w:val="none"/>
          <w:lang w:eastAsia="zh-CN"/>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color w:val="auto"/>
          <w:sz w:val="24"/>
          <w:szCs w:val="24"/>
          <w:highlight w:val="none"/>
          <w:lang w:eastAsia="zh-CN"/>
        </w:rPr>
        <w:t>或省级以上监狱管理局、戒毒管理局（含新疆生产建设兵团）出具的属于监狱企业的证明文件的投标人，其投标报价扣除10%后参与评审。</w:t>
      </w:r>
      <w:r>
        <w:rPr>
          <w:rFonts w:hint="eastAsia" w:ascii="仿宋" w:hAnsi="仿宋" w:eastAsia="仿宋" w:cs="仿宋"/>
          <w:color w:val="auto"/>
          <w:sz w:val="24"/>
          <w:szCs w:val="24"/>
          <w:highlight w:val="none"/>
        </w:rPr>
        <w:t>具体办法详见招标文件第6章。</w:t>
      </w:r>
    </w:p>
    <w:p w14:paraId="4F9F3B98">
      <w:pPr>
        <w:rPr>
          <w:rFonts w:hint="eastAsia" w:ascii="仿宋" w:hAnsi="仿宋" w:eastAsia="仿宋" w:cs="仿宋"/>
          <w:color w:val="auto"/>
          <w:highlight w:val="none"/>
        </w:rPr>
      </w:pPr>
      <w:r>
        <w:rPr>
          <w:rFonts w:hint="eastAsia" w:ascii="仿宋" w:hAnsi="仿宋" w:eastAsia="仿宋" w:cs="仿宋"/>
          <w:b/>
          <w:bCs/>
          <w:iCs/>
          <w:color w:val="auto"/>
          <w:highlight w:val="none"/>
        </w:rPr>
        <w:t>5.1资格性检查</w:t>
      </w:r>
    </w:p>
    <w:tbl>
      <w:tblPr>
        <w:tblStyle w:val="23"/>
        <w:tblpPr w:leftFromText="180" w:rightFromText="180" w:vertAnchor="text" w:horzAnchor="page" w:tblpXSpec="center" w:tblpY="373"/>
        <w:tblOverlap w:val="never"/>
        <w:tblW w:w="9859" w:type="dxa"/>
        <w:jc w:val="center"/>
        <w:tblLayout w:type="fixed"/>
        <w:tblCellMar>
          <w:top w:w="0" w:type="dxa"/>
          <w:left w:w="108" w:type="dxa"/>
          <w:bottom w:w="0" w:type="dxa"/>
          <w:right w:w="108" w:type="dxa"/>
        </w:tblCellMar>
      </w:tblPr>
      <w:tblGrid>
        <w:gridCol w:w="640"/>
        <w:gridCol w:w="6975"/>
        <w:gridCol w:w="582"/>
        <w:gridCol w:w="570"/>
        <w:gridCol w:w="560"/>
        <w:gridCol w:w="532"/>
      </w:tblGrid>
      <w:tr w14:paraId="0542FB64">
        <w:tblPrEx>
          <w:tblCellMar>
            <w:top w:w="0" w:type="dxa"/>
            <w:left w:w="108" w:type="dxa"/>
            <w:bottom w:w="0" w:type="dxa"/>
            <w:right w:w="108" w:type="dxa"/>
          </w:tblCellMar>
        </w:tblPrEx>
        <w:trPr>
          <w:trHeight w:val="410"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123DAA88">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序号</w:t>
            </w:r>
          </w:p>
        </w:tc>
        <w:tc>
          <w:tcPr>
            <w:tcW w:w="697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57BDAC0E">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审核项目</w:t>
            </w:r>
          </w:p>
        </w:tc>
        <w:tc>
          <w:tcPr>
            <w:tcW w:w="1152" w:type="dxa"/>
            <w:gridSpan w:val="2"/>
            <w:tcBorders>
              <w:top w:val="single" w:color="000000" w:sz="4" w:space="0"/>
              <w:left w:val="nil"/>
              <w:bottom w:val="single" w:color="000000" w:sz="4" w:space="0"/>
              <w:right w:val="single" w:color="000000" w:sz="4" w:space="0"/>
            </w:tcBorders>
            <w:shd w:val="clear" w:color="000000" w:fill="E2EFDA"/>
            <w:vAlign w:val="center"/>
          </w:tcPr>
          <w:p w14:paraId="7642F9DC">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投标人1</w:t>
            </w:r>
          </w:p>
        </w:tc>
        <w:tc>
          <w:tcPr>
            <w:tcW w:w="1092" w:type="dxa"/>
            <w:gridSpan w:val="2"/>
            <w:tcBorders>
              <w:top w:val="single" w:color="000000" w:sz="4" w:space="0"/>
              <w:left w:val="nil"/>
              <w:bottom w:val="single" w:color="000000" w:sz="4" w:space="0"/>
              <w:right w:val="single" w:color="000000" w:sz="4" w:space="0"/>
            </w:tcBorders>
            <w:shd w:val="clear" w:color="000000" w:fill="E2EFDA"/>
            <w:vAlign w:val="center"/>
          </w:tcPr>
          <w:p w14:paraId="7C6AA310">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投标人N</w:t>
            </w:r>
          </w:p>
        </w:tc>
      </w:tr>
      <w:tr w14:paraId="151866C4">
        <w:tblPrEx>
          <w:tblCellMar>
            <w:top w:w="0" w:type="dxa"/>
            <w:left w:w="108" w:type="dxa"/>
            <w:bottom w:w="0" w:type="dxa"/>
            <w:right w:w="108" w:type="dxa"/>
          </w:tblCellMar>
        </w:tblPrEx>
        <w:trPr>
          <w:trHeight w:val="9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vAlign w:val="center"/>
          </w:tcPr>
          <w:p w14:paraId="2041519D">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p>
        </w:tc>
        <w:tc>
          <w:tcPr>
            <w:tcW w:w="6975" w:type="dxa"/>
            <w:vMerge w:val="continue"/>
            <w:tcBorders>
              <w:top w:val="single" w:color="000000" w:sz="4" w:space="0"/>
              <w:left w:val="single" w:color="000000" w:sz="4" w:space="0"/>
              <w:bottom w:val="single" w:color="000000" w:sz="4" w:space="0"/>
              <w:right w:val="single" w:color="000000" w:sz="4" w:space="0"/>
            </w:tcBorders>
            <w:vAlign w:val="center"/>
          </w:tcPr>
          <w:p w14:paraId="16DF2B30">
            <w:pPr>
              <w:keepNext w:val="0"/>
              <w:keepLines w:val="0"/>
              <w:widowControl/>
              <w:suppressLineNumbers w:val="0"/>
              <w:spacing w:before="0" w:beforeAutospacing="0" w:after="0" w:afterAutospacing="0" w:line="360" w:lineRule="auto"/>
              <w:ind w:left="0" w:right="0"/>
              <w:jc w:val="left"/>
              <w:rPr>
                <w:rFonts w:hint="default" w:ascii="仿宋" w:hAnsi="仿宋" w:eastAsia="仿宋"/>
                <w:b/>
                <w:bCs/>
                <w:color w:val="000000"/>
                <w:kern w:val="0"/>
                <w:szCs w:val="21"/>
                <w:highlight w:val="none"/>
              </w:rPr>
            </w:pPr>
          </w:p>
        </w:tc>
        <w:tc>
          <w:tcPr>
            <w:tcW w:w="582" w:type="dxa"/>
            <w:tcBorders>
              <w:top w:val="nil"/>
              <w:left w:val="nil"/>
              <w:bottom w:val="single" w:color="000000" w:sz="4" w:space="0"/>
              <w:right w:val="single" w:color="000000" w:sz="4" w:space="0"/>
            </w:tcBorders>
            <w:shd w:val="clear" w:color="000000" w:fill="E2EFDA"/>
            <w:vAlign w:val="center"/>
          </w:tcPr>
          <w:p w14:paraId="2206CF41">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是</w:t>
            </w:r>
          </w:p>
        </w:tc>
        <w:tc>
          <w:tcPr>
            <w:tcW w:w="570" w:type="dxa"/>
            <w:tcBorders>
              <w:top w:val="nil"/>
              <w:left w:val="nil"/>
              <w:bottom w:val="single" w:color="000000" w:sz="4" w:space="0"/>
              <w:right w:val="single" w:color="000000" w:sz="4" w:space="0"/>
            </w:tcBorders>
            <w:shd w:val="clear" w:color="000000" w:fill="E2EFDA"/>
            <w:vAlign w:val="center"/>
          </w:tcPr>
          <w:p w14:paraId="7AACA8CB">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否</w:t>
            </w:r>
          </w:p>
        </w:tc>
        <w:tc>
          <w:tcPr>
            <w:tcW w:w="560" w:type="dxa"/>
            <w:tcBorders>
              <w:top w:val="nil"/>
              <w:left w:val="nil"/>
              <w:bottom w:val="single" w:color="000000" w:sz="4" w:space="0"/>
              <w:right w:val="single" w:color="000000" w:sz="4" w:space="0"/>
            </w:tcBorders>
            <w:shd w:val="clear" w:color="000000" w:fill="E2EFDA"/>
            <w:vAlign w:val="center"/>
          </w:tcPr>
          <w:p w14:paraId="341F72AE">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是</w:t>
            </w:r>
          </w:p>
        </w:tc>
        <w:tc>
          <w:tcPr>
            <w:tcW w:w="532" w:type="dxa"/>
            <w:tcBorders>
              <w:top w:val="nil"/>
              <w:left w:val="nil"/>
              <w:bottom w:val="single" w:color="000000" w:sz="4" w:space="0"/>
              <w:right w:val="single" w:color="000000" w:sz="4" w:space="0"/>
            </w:tcBorders>
            <w:shd w:val="clear" w:color="000000" w:fill="E2EFDA"/>
            <w:vAlign w:val="center"/>
          </w:tcPr>
          <w:p w14:paraId="713E8855">
            <w:pPr>
              <w:keepNext w:val="0"/>
              <w:keepLines w:val="0"/>
              <w:widowControl/>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否</w:t>
            </w:r>
          </w:p>
        </w:tc>
      </w:tr>
      <w:tr w14:paraId="347DCBF1">
        <w:tblPrEx>
          <w:tblCellMar>
            <w:top w:w="0" w:type="dxa"/>
            <w:left w:w="108" w:type="dxa"/>
            <w:bottom w:w="0" w:type="dxa"/>
            <w:right w:w="108" w:type="dxa"/>
          </w:tblCellMar>
        </w:tblPrEx>
        <w:trPr>
          <w:trHeight w:val="611" w:hRule="atLeast"/>
          <w:jc w:val="center"/>
        </w:trPr>
        <w:tc>
          <w:tcPr>
            <w:tcW w:w="640" w:type="dxa"/>
            <w:tcBorders>
              <w:top w:val="nil"/>
              <w:left w:val="single" w:color="000000" w:sz="4" w:space="0"/>
              <w:bottom w:val="single" w:color="000000" w:sz="4" w:space="0"/>
              <w:right w:val="single" w:color="000000" w:sz="4" w:space="0"/>
            </w:tcBorders>
            <w:vAlign w:val="center"/>
          </w:tcPr>
          <w:p w14:paraId="2C2C376F">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1</w:t>
            </w:r>
          </w:p>
        </w:tc>
        <w:tc>
          <w:tcPr>
            <w:tcW w:w="6975" w:type="dxa"/>
            <w:tcBorders>
              <w:top w:val="nil"/>
              <w:left w:val="nil"/>
              <w:bottom w:val="single" w:color="000000" w:sz="4" w:space="0"/>
              <w:right w:val="single" w:color="000000" w:sz="4" w:space="0"/>
            </w:tcBorders>
            <w:vAlign w:val="center"/>
          </w:tcPr>
          <w:p w14:paraId="057A98D6">
            <w:pPr>
              <w:keepNext w:val="0"/>
              <w:keepLines w:val="0"/>
              <w:widowControl/>
              <w:suppressLineNumbers w:val="0"/>
              <w:spacing w:before="0" w:beforeAutospacing="0" w:after="0" w:afterAutospacing="0" w:line="360" w:lineRule="auto"/>
              <w:ind w:left="0" w:right="0"/>
              <w:jc w:val="left"/>
              <w:rPr>
                <w:rFonts w:hint="default" w:ascii="仿宋" w:hAnsi="仿宋" w:eastAsia="仿宋"/>
                <w:kern w:val="0"/>
                <w:sz w:val="24"/>
                <w:szCs w:val="24"/>
                <w:highlight w:val="none"/>
              </w:rPr>
            </w:pPr>
            <w:r>
              <w:rPr>
                <w:rFonts w:hint="eastAsia" w:ascii="仿宋" w:hAnsi="仿宋" w:eastAsia="仿宋" w:cs="仿宋"/>
                <w:color w:val="auto"/>
                <w:sz w:val="24"/>
                <w:szCs w:val="24"/>
                <w:highlight w:val="none"/>
              </w:rPr>
              <w:t>提供有效的营业执照</w:t>
            </w:r>
          </w:p>
        </w:tc>
        <w:tc>
          <w:tcPr>
            <w:tcW w:w="582" w:type="dxa"/>
            <w:tcBorders>
              <w:top w:val="nil"/>
              <w:left w:val="nil"/>
              <w:bottom w:val="single" w:color="000000" w:sz="4" w:space="0"/>
              <w:right w:val="single" w:color="000000" w:sz="4" w:space="0"/>
            </w:tcBorders>
            <w:vAlign w:val="center"/>
          </w:tcPr>
          <w:p w14:paraId="068C013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322F22F3">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2147CB5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334894D7">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67CABE34">
        <w:tblPrEx>
          <w:tblCellMar>
            <w:top w:w="0" w:type="dxa"/>
            <w:left w:w="108" w:type="dxa"/>
            <w:bottom w:w="0" w:type="dxa"/>
            <w:right w:w="108" w:type="dxa"/>
          </w:tblCellMar>
        </w:tblPrEx>
        <w:trPr>
          <w:trHeight w:val="619" w:hRule="atLeast"/>
          <w:jc w:val="center"/>
        </w:trPr>
        <w:tc>
          <w:tcPr>
            <w:tcW w:w="640" w:type="dxa"/>
            <w:tcBorders>
              <w:top w:val="nil"/>
              <w:left w:val="single" w:color="000000" w:sz="4" w:space="0"/>
              <w:bottom w:val="single" w:color="000000" w:sz="4" w:space="0"/>
              <w:right w:val="single" w:color="000000" w:sz="4" w:space="0"/>
            </w:tcBorders>
            <w:vAlign w:val="center"/>
          </w:tcPr>
          <w:p w14:paraId="3462A701">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2</w:t>
            </w:r>
          </w:p>
        </w:tc>
        <w:tc>
          <w:tcPr>
            <w:tcW w:w="6975" w:type="dxa"/>
            <w:tcBorders>
              <w:top w:val="nil"/>
              <w:left w:val="nil"/>
              <w:bottom w:val="single" w:color="000000" w:sz="4" w:space="0"/>
              <w:right w:val="single" w:color="000000" w:sz="4" w:space="0"/>
            </w:tcBorders>
            <w:vAlign w:val="center"/>
          </w:tcPr>
          <w:p w14:paraId="6642F342">
            <w:pPr>
              <w:pStyle w:val="17"/>
              <w:rPr>
                <w:rFonts w:hint="default" w:ascii="仿宋" w:hAnsi="仿宋" w:eastAsia="仿宋"/>
                <w:kern w:val="0"/>
                <w:sz w:val="24"/>
                <w:szCs w:val="24"/>
                <w:highlight w:val="none"/>
              </w:rPr>
            </w:pPr>
            <w:r>
              <w:rPr>
                <w:rFonts w:hint="eastAsia" w:ascii="仿宋" w:hAnsi="仿宋" w:eastAsia="仿宋" w:cs="仿宋"/>
                <w:color w:val="auto"/>
                <w:sz w:val="24"/>
                <w:szCs w:val="24"/>
                <w:highlight w:val="none"/>
                <w:lang w:eastAsia="zh-CN"/>
              </w:rPr>
              <w:t>法定代表人证明或法定代表人授权委托书签字（章）并加盖公章；</w:t>
            </w:r>
          </w:p>
        </w:tc>
        <w:tc>
          <w:tcPr>
            <w:tcW w:w="582" w:type="dxa"/>
            <w:tcBorders>
              <w:top w:val="nil"/>
              <w:left w:val="nil"/>
              <w:bottom w:val="single" w:color="000000" w:sz="4" w:space="0"/>
              <w:right w:val="single" w:color="000000" w:sz="4" w:space="0"/>
            </w:tcBorders>
            <w:vAlign w:val="center"/>
          </w:tcPr>
          <w:p w14:paraId="76CB11FE">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0E73D8B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7498662C">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0562AA6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31F28128">
        <w:tblPrEx>
          <w:tblCellMar>
            <w:top w:w="0" w:type="dxa"/>
            <w:left w:w="108" w:type="dxa"/>
            <w:bottom w:w="0" w:type="dxa"/>
            <w:right w:w="108" w:type="dxa"/>
          </w:tblCellMar>
        </w:tblPrEx>
        <w:trPr>
          <w:trHeight w:val="840" w:hRule="atLeast"/>
          <w:jc w:val="center"/>
        </w:trPr>
        <w:tc>
          <w:tcPr>
            <w:tcW w:w="640" w:type="dxa"/>
            <w:tcBorders>
              <w:top w:val="nil"/>
              <w:left w:val="single" w:color="000000" w:sz="4" w:space="0"/>
              <w:bottom w:val="single" w:color="000000" w:sz="4" w:space="0"/>
              <w:right w:val="single" w:color="000000" w:sz="4" w:space="0"/>
            </w:tcBorders>
            <w:vAlign w:val="center"/>
          </w:tcPr>
          <w:p w14:paraId="2941C6E4">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3</w:t>
            </w:r>
          </w:p>
        </w:tc>
        <w:tc>
          <w:tcPr>
            <w:tcW w:w="6975" w:type="dxa"/>
            <w:tcBorders>
              <w:top w:val="nil"/>
              <w:left w:val="nil"/>
              <w:bottom w:val="single" w:color="000000" w:sz="4" w:space="0"/>
              <w:right w:val="single" w:color="000000" w:sz="4" w:space="0"/>
            </w:tcBorders>
            <w:vAlign w:val="center"/>
          </w:tcPr>
          <w:p w14:paraId="1D99ACF3">
            <w:pPr>
              <w:pStyle w:val="17"/>
              <w:rPr>
                <w:rFonts w:hint="default" w:ascii="仿宋" w:hAnsi="仿宋" w:eastAsia="仿宋"/>
                <w:kern w:val="0"/>
                <w:sz w:val="24"/>
                <w:szCs w:val="24"/>
                <w:highlight w:val="none"/>
              </w:rPr>
            </w:pPr>
            <w:r>
              <w:rPr>
                <w:rFonts w:hint="eastAsia" w:ascii="仿宋" w:hAnsi="仿宋" w:eastAsia="仿宋"/>
                <w:kern w:val="0"/>
                <w:sz w:val="24"/>
                <w:szCs w:val="24"/>
                <w:highlight w:val="none"/>
                <w:lang w:eastAsia="zh-CN"/>
              </w:rPr>
              <w:t>近两年任意一年完整的</w:t>
            </w:r>
            <w:r>
              <w:rPr>
                <w:rFonts w:hint="eastAsia" w:ascii="仿宋" w:hAnsi="仿宋" w:eastAsia="仿宋"/>
                <w:kern w:val="0"/>
                <w:sz w:val="24"/>
                <w:szCs w:val="24"/>
                <w:highlight w:val="none"/>
              </w:rPr>
              <w:t>财务审计报告</w:t>
            </w:r>
            <w:r>
              <w:rPr>
                <w:rFonts w:hint="eastAsia" w:ascii="仿宋" w:hAnsi="仿宋" w:eastAsia="仿宋" w:cs="仿宋"/>
                <w:bCs/>
                <w:iCs/>
                <w:sz w:val="24"/>
                <w:szCs w:val="24"/>
                <w:highlight w:val="none"/>
              </w:rPr>
              <w:t>（</w:t>
            </w:r>
            <w:r>
              <w:rPr>
                <w:rFonts w:hint="eastAsia" w:ascii="仿宋" w:hAnsi="仿宋" w:eastAsia="仿宋" w:cs="仿宋"/>
                <w:bCs/>
                <w:iCs/>
                <w:sz w:val="24"/>
                <w:szCs w:val="24"/>
                <w:highlight w:val="none"/>
                <w:lang w:val="en-US" w:eastAsia="zh-CN"/>
              </w:rPr>
              <w:t>会计事务所2024年或2025年任意一年度财务审计报告，注册成立未满一年的</w:t>
            </w:r>
            <w:r>
              <w:rPr>
                <w:rFonts w:hint="eastAsia" w:ascii="仿宋" w:hAnsi="仿宋" w:eastAsia="仿宋" w:cs="仿宋"/>
                <w:bCs/>
                <w:iCs/>
                <w:sz w:val="24"/>
                <w:szCs w:val="24"/>
                <w:highlight w:val="none"/>
              </w:rPr>
              <w:t>新公司提供</w:t>
            </w:r>
            <w:r>
              <w:rPr>
                <w:rFonts w:hint="eastAsia" w:ascii="仿宋" w:hAnsi="仿宋" w:eastAsia="仿宋" w:cs="仿宋"/>
                <w:bCs/>
                <w:iCs/>
                <w:sz w:val="24"/>
                <w:szCs w:val="24"/>
                <w:highlight w:val="none"/>
                <w:lang w:val="en-US" w:eastAsia="zh-CN"/>
              </w:rPr>
              <w:t>近</w:t>
            </w:r>
            <w:r>
              <w:rPr>
                <w:rFonts w:hint="eastAsia" w:ascii="仿宋" w:hAnsi="仿宋" w:eastAsia="仿宋" w:cs="仿宋"/>
                <w:bCs/>
                <w:iCs/>
                <w:sz w:val="24"/>
                <w:szCs w:val="24"/>
                <w:highlight w:val="none"/>
              </w:rPr>
              <w:t>三个月内任意一个月</w:t>
            </w:r>
            <w:r>
              <w:rPr>
                <w:rFonts w:hint="eastAsia" w:ascii="仿宋" w:hAnsi="仿宋" w:eastAsia="仿宋" w:cs="仿宋"/>
                <w:bCs/>
                <w:iCs/>
                <w:sz w:val="24"/>
                <w:szCs w:val="24"/>
                <w:highlight w:val="none"/>
                <w:lang w:val="en-US" w:eastAsia="zh-CN"/>
              </w:rPr>
              <w:t>的</w:t>
            </w:r>
            <w:r>
              <w:rPr>
                <w:rFonts w:hint="eastAsia" w:ascii="仿宋" w:hAnsi="仿宋" w:eastAsia="仿宋" w:cs="仿宋"/>
                <w:bCs/>
                <w:iCs/>
                <w:sz w:val="24"/>
                <w:szCs w:val="24"/>
                <w:highlight w:val="none"/>
              </w:rPr>
              <w:t>银行资信证明）</w:t>
            </w:r>
            <w:r>
              <w:rPr>
                <w:rFonts w:hint="eastAsia" w:ascii="仿宋" w:hAnsi="仿宋" w:eastAsia="仿宋" w:cs="仿宋"/>
                <w:color w:val="auto"/>
                <w:kern w:val="2"/>
                <w:sz w:val="24"/>
                <w:szCs w:val="24"/>
                <w:highlight w:val="none"/>
                <w:lang w:eastAsia="zh-CN"/>
              </w:rPr>
              <w:t>；</w:t>
            </w:r>
          </w:p>
        </w:tc>
        <w:tc>
          <w:tcPr>
            <w:tcW w:w="582" w:type="dxa"/>
            <w:tcBorders>
              <w:top w:val="nil"/>
              <w:left w:val="nil"/>
              <w:bottom w:val="single" w:color="000000" w:sz="4" w:space="0"/>
              <w:right w:val="single" w:color="000000" w:sz="4" w:space="0"/>
            </w:tcBorders>
            <w:vAlign w:val="center"/>
          </w:tcPr>
          <w:p w14:paraId="2C68408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3A190DF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02BB5A0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09E695D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059C22A0">
        <w:tblPrEx>
          <w:tblCellMar>
            <w:top w:w="0" w:type="dxa"/>
            <w:left w:w="108" w:type="dxa"/>
            <w:bottom w:w="0" w:type="dxa"/>
            <w:right w:w="108" w:type="dxa"/>
          </w:tblCellMar>
        </w:tblPrEx>
        <w:trPr>
          <w:trHeight w:val="721" w:hRule="atLeast"/>
          <w:jc w:val="center"/>
        </w:trPr>
        <w:tc>
          <w:tcPr>
            <w:tcW w:w="640" w:type="dxa"/>
            <w:tcBorders>
              <w:top w:val="nil"/>
              <w:left w:val="single" w:color="000000" w:sz="4" w:space="0"/>
              <w:bottom w:val="single" w:color="000000" w:sz="4" w:space="0"/>
              <w:right w:val="single" w:color="000000" w:sz="4" w:space="0"/>
            </w:tcBorders>
            <w:vAlign w:val="center"/>
          </w:tcPr>
          <w:p w14:paraId="70ED89BD">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4</w:t>
            </w:r>
          </w:p>
        </w:tc>
        <w:tc>
          <w:tcPr>
            <w:tcW w:w="6975" w:type="dxa"/>
            <w:tcBorders>
              <w:top w:val="nil"/>
              <w:left w:val="nil"/>
              <w:bottom w:val="single" w:color="000000" w:sz="4" w:space="0"/>
              <w:right w:val="single" w:color="000000" w:sz="4" w:space="0"/>
            </w:tcBorders>
            <w:vAlign w:val="center"/>
          </w:tcPr>
          <w:p w14:paraId="292A6746">
            <w:pPr>
              <w:pStyle w:val="17"/>
              <w:rPr>
                <w:rFonts w:hint="default" w:ascii="仿宋" w:hAnsi="仿宋" w:eastAsia="仿宋"/>
                <w:kern w:val="0"/>
                <w:sz w:val="24"/>
                <w:szCs w:val="24"/>
                <w:highlight w:val="none"/>
              </w:rPr>
            </w:pPr>
            <w:r>
              <w:rPr>
                <w:rFonts w:hint="eastAsia" w:ascii="仿宋" w:hAnsi="仿宋" w:eastAsia="仿宋" w:cs="仿宋"/>
                <w:bCs/>
                <w:iCs/>
                <w:sz w:val="24"/>
                <w:szCs w:val="24"/>
                <w:highlight w:val="none"/>
              </w:rPr>
              <w:t>投标企业依法缴纳近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个月任意一个月社会保险的凭据</w:t>
            </w:r>
            <w:r>
              <w:rPr>
                <w:rFonts w:hint="eastAsia" w:ascii="仿宋" w:hAnsi="仿宋" w:eastAsia="仿宋" w:cs="仿宋"/>
                <w:color w:val="auto"/>
                <w:kern w:val="2"/>
                <w:sz w:val="24"/>
                <w:szCs w:val="24"/>
                <w:highlight w:val="none"/>
                <w:lang w:eastAsia="zh-CN"/>
              </w:rPr>
              <w:t>；</w:t>
            </w:r>
          </w:p>
        </w:tc>
        <w:tc>
          <w:tcPr>
            <w:tcW w:w="582" w:type="dxa"/>
            <w:tcBorders>
              <w:top w:val="nil"/>
              <w:left w:val="nil"/>
              <w:bottom w:val="single" w:color="000000" w:sz="4" w:space="0"/>
              <w:right w:val="single" w:color="000000" w:sz="4" w:space="0"/>
            </w:tcBorders>
            <w:vAlign w:val="center"/>
          </w:tcPr>
          <w:p w14:paraId="3DD5BBF7">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41CFDD5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4425823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13B844C6">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560B660E">
        <w:tblPrEx>
          <w:tblCellMar>
            <w:top w:w="0" w:type="dxa"/>
            <w:left w:w="108" w:type="dxa"/>
            <w:bottom w:w="0" w:type="dxa"/>
            <w:right w:w="108" w:type="dxa"/>
          </w:tblCellMar>
        </w:tblPrEx>
        <w:trPr>
          <w:trHeight w:val="408" w:hRule="atLeast"/>
          <w:jc w:val="center"/>
        </w:trPr>
        <w:tc>
          <w:tcPr>
            <w:tcW w:w="640" w:type="dxa"/>
            <w:tcBorders>
              <w:top w:val="nil"/>
              <w:left w:val="single" w:color="000000" w:sz="4" w:space="0"/>
              <w:bottom w:val="single" w:color="000000" w:sz="4" w:space="0"/>
              <w:right w:val="single" w:color="000000" w:sz="4" w:space="0"/>
            </w:tcBorders>
            <w:vAlign w:val="center"/>
          </w:tcPr>
          <w:p w14:paraId="55DBB047">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5</w:t>
            </w:r>
          </w:p>
        </w:tc>
        <w:tc>
          <w:tcPr>
            <w:tcW w:w="6975" w:type="dxa"/>
            <w:tcBorders>
              <w:top w:val="nil"/>
              <w:left w:val="nil"/>
              <w:bottom w:val="single" w:color="000000" w:sz="4" w:space="0"/>
              <w:right w:val="single" w:color="000000" w:sz="4" w:space="0"/>
            </w:tcBorders>
            <w:vAlign w:val="center"/>
          </w:tcPr>
          <w:p w14:paraId="5739D96C">
            <w:pPr>
              <w:keepNext w:val="0"/>
              <w:keepLines w:val="0"/>
              <w:widowControl/>
              <w:suppressLineNumbers w:val="0"/>
              <w:spacing w:before="0" w:beforeAutospacing="0" w:after="0" w:afterAutospacing="0" w:line="360" w:lineRule="auto"/>
              <w:ind w:left="0" w:right="0"/>
              <w:jc w:val="left"/>
              <w:rPr>
                <w:rFonts w:hint="default" w:ascii="仿宋" w:hAnsi="仿宋" w:eastAsia="仿宋"/>
                <w:kern w:val="0"/>
                <w:sz w:val="24"/>
                <w:szCs w:val="24"/>
                <w:highlight w:val="none"/>
              </w:rPr>
            </w:pPr>
            <w:r>
              <w:rPr>
                <w:rFonts w:hint="eastAsia" w:ascii="仿宋" w:hAnsi="仿宋" w:eastAsia="仿宋" w:cs="仿宋"/>
                <w:bCs/>
                <w:iCs/>
                <w:sz w:val="24"/>
                <w:szCs w:val="24"/>
                <w:highlight w:val="none"/>
              </w:rPr>
              <w:t>投标企业提供税务部门出具的近</w:t>
            </w:r>
            <w:r>
              <w:rPr>
                <w:rFonts w:hint="eastAsia" w:ascii="仿宋" w:hAnsi="仿宋" w:eastAsia="仿宋" w:cs="仿宋"/>
                <w:bCs/>
                <w:iCs/>
                <w:sz w:val="24"/>
                <w:szCs w:val="24"/>
                <w:highlight w:val="none"/>
                <w:lang w:val="en-US" w:eastAsia="zh-CN"/>
              </w:rPr>
              <w:t>3</w:t>
            </w:r>
            <w:r>
              <w:rPr>
                <w:rFonts w:hint="eastAsia" w:ascii="仿宋" w:hAnsi="仿宋" w:eastAsia="仿宋" w:cs="仿宋"/>
                <w:bCs/>
                <w:iCs/>
                <w:sz w:val="24"/>
                <w:szCs w:val="24"/>
                <w:highlight w:val="none"/>
              </w:rPr>
              <w:t>个月任意一个月的完税证明</w:t>
            </w:r>
            <w:r>
              <w:rPr>
                <w:rFonts w:hint="eastAsia" w:ascii="仿宋" w:hAnsi="仿宋" w:eastAsia="仿宋" w:cs="仿宋"/>
                <w:color w:val="auto"/>
                <w:sz w:val="24"/>
                <w:szCs w:val="24"/>
                <w:highlight w:val="none"/>
                <w:lang w:eastAsia="zh-CN"/>
              </w:rPr>
              <w:t>；</w:t>
            </w:r>
          </w:p>
        </w:tc>
        <w:tc>
          <w:tcPr>
            <w:tcW w:w="582" w:type="dxa"/>
            <w:tcBorders>
              <w:top w:val="nil"/>
              <w:left w:val="nil"/>
              <w:bottom w:val="single" w:color="000000" w:sz="4" w:space="0"/>
              <w:right w:val="single" w:color="000000" w:sz="4" w:space="0"/>
            </w:tcBorders>
            <w:vAlign w:val="center"/>
          </w:tcPr>
          <w:p w14:paraId="4C3DB09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09ED2609">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68951EC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0CBC5E3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18429859">
        <w:tblPrEx>
          <w:tblCellMar>
            <w:top w:w="0" w:type="dxa"/>
            <w:left w:w="108" w:type="dxa"/>
            <w:bottom w:w="0" w:type="dxa"/>
            <w:right w:w="108" w:type="dxa"/>
          </w:tblCellMar>
        </w:tblPrEx>
        <w:trPr>
          <w:trHeight w:val="840" w:hRule="atLeast"/>
          <w:jc w:val="center"/>
        </w:trPr>
        <w:tc>
          <w:tcPr>
            <w:tcW w:w="640" w:type="dxa"/>
            <w:tcBorders>
              <w:top w:val="nil"/>
              <w:left w:val="single" w:color="000000" w:sz="4" w:space="0"/>
              <w:bottom w:val="single" w:color="000000" w:sz="4" w:space="0"/>
              <w:right w:val="single" w:color="000000" w:sz="4" w:space="0"/>
            </w:tcBorders>
            <w:vAlign w:val="center"/>
          </w:tcPr>
          <w:p w14:paraId="7197B996">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eastAsia" w:ascii="仿宋" w:hAnsi="仿宋" w:eastAsia="仿宋"/>
                <w:color w:val="000000"/>
                <w:kern w:val="0"/>
                <w:szCs w:val="21"/>
                <w:highlight w:val="none"/>
              </w:rPr>
              <w:t>6</w:t>
            </w:r>
          </w:p>
        </w:tc>
        <w:tc>
          <w:tcPr>
            <w:tcW w:w="6975" w:type="dxa"/>
            <w:tcBorders>
              <w:top w:val="nil"/>
              <w:left w:val="nil"/>
              <w:bottom w:val="single" w:color="000000" w:sz="4" w:space="0"/>
              <w:right w:val="single" w:color="000000" w:sz="4" w:space="0"/>
            </w:tcBorders>
            <w:vAlign w:val="center"/>
          </w:tcPr>
          <w:p w14:paraId="7CAAB54B">
            <w:pPr>
              <w:keepNext w:val="0"/>
              <w:keepLines w:val="0"/>
              <w:widowControl/>
              <w:suppressLineNumbers w:val="0"/>
              <w:spacing w:before="0" w:beforeAutospacing="0" w:after="0" w:afterAutospacing="0" w:line="360" w:lineRule="auto"/>
              <w:ind w:left="0" w:right="0"/>
              <w:jc w:val="left"/>
              <w:rPr>
                <w:rFonts w:hint="default" w:ascii="仿宋" w:hAnsi="仿宋" w:eastAsia="仿宋"/>
                <w:sz w:val="24"/>
                <w:szCs w:val="24"/>
                <w:highlight w:val="none"/>
              </w:rPr>
            </w:pPr>
            <w:r>
              <w:rPr>
                <w:rFonts w:hint="eastAsia" w:ascii="仿宋" w:hAnsi="仿宋" w:eastAsia="仿宋"/>
                <w:kern w:val="0"/>
                <w:sz w:val="24"/>
                <w:szCs w:val="24"/>
                <w:highlight w:val="none"/>
              </w:rPr>
              <w:t>提</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lang w:eastAsia="zh-CN"/>
              </w:rPr>
              <w:t>按招标文件要求缴纳投标保证金的缴款凭证或金融机构、担保机构出具的保函；</w:t>
            </w:r>
          </w:p>
        </w:tc>
        <w:tc>
          <w:tcPr>
            <w:tcW w:w="582" w:type="dxa"/>
            <w:tcBorders>
              <w:top w:val="nil"/>
              <w:left w:val="nil"/>
              <w:bottom w:val="single" w:color="000000" w:sz="4" w:space="0"/>
              <w:right w:val="single" w:color="000000" w:sz="4" w:space="0"/>
            </w:tcBorders>
            <w:vAlign w:val="center"/>
          </w:tcPr>
          <w:p w14:paraId="0B0FB13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619C038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656472E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4550D2A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0C8DF26C">
        <w:tblPrEx>
          <w:tblCellMar>
            <w:top w:w="0" w:type="dxa"/>
            <w:left w:w="108" w:type="dxa"/>
            <w:bottom w:w="0" w:type="dxa"/>
            <w:right w:w="108" w:type="dxa"/>
          </w:tblCellMar>
        </w:tblPrEx>
        <w:trPr>
          <w:trHeight w:val="600" w:hRule="atLeast"/>
          <w:jc w:val="center"/>
        </w:trPr>
        <w:tc>
          <w:tcPr>
            <w:tcW w:w="640" w:type="dxa"/>
            <w:tcBorders>
              <w:top w:val="nil"/>
              <w:left w:val="single" w:color="000000" w:sz="4" w:space="0"/>
              <w:bottom w:val="single" w:color="000000" w:sz="4" w:space="0"/>
              <w:right w:val="single" w:color="000000" w:sz="4" w:space="0"/>
            </w:tcBorders>
            <w:vAlign w:val="center"/>
          </w:tcPr>
          <w:p w14:paraId="356B4565">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000000"/>
                <w:kern w:val="0"/>
                <w:szCs w:val="21"/>
                <w:highlight w:val="none"/>
                <w:lang w:eastAsia="zh-CN"/>
              </w:rPr>
            </w:pPr>
            <w:r>
              <w:rPr>
                <w:rFonts w:hint="eastAsia" w:ascii="仿宋" w:hAnsi="仿宋" w:eastAsia="仿宋"/>
                <w:color w:val="000000"/>
                <w:kern w:val="0"/>
                <w:szCs w:val="21"/>
                <w:highlight w:val="none"/>
                <w:lang w:val="en-US" w:eastAsia="zh-CN"/>
              </w:rPr>
              <w:t>7</w:t>
            </w:r>
          </w:p>
        </w:tc>
        <w:tc>
          <w:tcPr>
            <w:tcW w:w="6975" w:type="dxa"/>
            <w:tcBorders>
              <w:top w:val="nil"/>
              <w:left w:val="nil"/>
              <w:bottom w:val="single" w:color="000000" w:sz="4" w:space="0"/>
              <w:right w:val="single" w:color="000000" w:sz="4" w:space="0"/>
            </w:tcBorders>
            <w:vAlign w:val="center"/>
          </w:tcPr>
          <w:p w14:paraId="72771E4E">
            <w:pPr>
              <w:keepNext w:val="0"/>
              <w:keepLines w:val="0"/>
              <w:widowControl/>
              <w:suppressLineNumbers w:val="0"/>
              <w:spacing w:before="0" w:beforeAutospacing="0" w:after="0" w:afterAutospacing="0" w:line="360" w:lineRule="auto"/>
              <w:ind w:left="0" w:right="0"/>
              <w:jc w:val="left"/>
              <w:rPr>
                <w:rFonts w:hint="default" w:ascii="仿宋" w:hAnsi="仿宋" w:eastAsia="仿宋"/>
                <w:kern w:val="0"/>
                <w:sz w:val="24"/>
                <w:szCs w:val="24"/>
                <w:highlight w:val="none"/>
              </w:rPr>
            </w:pPr>
            <w:r>
              <w:rPr>
                <w:rFonts w:hint="eastAsia" w:ascii="仿宋" w:hAnsi="仿宋" w:eastAsia="仿宋" w:cs="仿宋"/>
                <w:bCs/>
                <w:iCs/>
                <w:sz w:val="24"/>
                <w:szCs w:val="24"/>
                <w:highlight w:val="none"/>
              </w:rPr>
              <w:t>参与政府采购活动供应商在前3年内未被“信用中国”网站（www.creditchina.gov.cn）、“中国政府采购网”(www.ccgp.gov.cn)列入失信被执行人、</w:t>
            </w:r>
            <w:r>
              <w:rPr>
                <w:rFonts w:hint="eastAsia" w:ascii="仿宋" w:hAnsi="仿宋" w:eastAsia="仿宋" w:cs="仿宋"/>
                <w:bCs/>
                <w:iCs/>
                <w:sz w:val="24"/>
                <w:szCs w:val="24"/>
                <w:highlight w:val="none"/>
                <w:lang w:eastAsia="zh-CN"/>
              </w:rPr>
              <w:t>重大税收违法失信主体</w:t>
            </w:r>
            <w:r>
              <w:rPr>
                <w:rFonts w:hint="eastAsia" w:ascii="仿宋" w:hAnsi="仿宋" w:eastAsia="仿宋" w:cs="仿宋"/>
                <w:bCs/>
                <w:iCs/>
                <w:sz w:val="24"/>
                <w:szCs w:val="24"/>
                <w:highlight w:val="none"/>
              </w:rPr>
              <w:t>、政府采购严重失信行为记录名单（提供网页截图）；（以招标代理或招标人查询为准）</w:t>
            </w:r>
          </w:p>
        </w:tc>
        <w:tc>
          <w:tcPr>
            <w:tcW w:w="582" w:type="dxa"/>
            <w:tcBorders>
              <w:top w:val="nil"/>
              <w:left w:val="nil"/>
              <w:bottom w:val="single" w:color="000000" w:sz="4" w:space="0"/>
              <w:right w:val="single" w:color="000000" w:sz="4" w:space="0"/>
            </w:tcBorders>
            <w:vAlign w:val="center"/>
          </w:tcPr>
          <w:p w14:paraId="1EFE4B4B">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10DF7B7E">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1E4C0CB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532B2FD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1E02ED68">
        <w:tblPrEx>
          <w:tblCellMar>
            <w:top w:w="0" w:type="dxa"/>
            <w:left w:w="108" w:type="dxa"/>
            <w:bottom w:w="0" w:type="dxa"/>
            <w:right w:w="108" w:type="dxa"/>
          </w:tblCellMar>
        </w:tblPrEx>
        <w:trPr>
          <w:trHeight w:val="708" w:hRule="atLeast"/>
          <w:jc w:val="center"/>
        </w:trPr>
        <w:tc>
          <w:tcPr>
            <w:tcW w:w="640" w:type="dxa"/>
            <w:tcBorders>
              <w:top w:val="nil"/>
              <w:left w:val="single" w:color="000000" w:sz="4" w:space="0"/>
              <w:bottom w:val="single" w:color="000000" w:sz="4" w:space="0"/>
              <w:right w:val="single" w:color="000000" w:sz="4" w:space="0"/>
            </w:tcBorders>
            <w:vAlign w:val="center"/>
          </w:tcPr>
          <w:p w14:paraId="2356D40C">
            <w:pPr>
              <w:keepNext w:val="0"/>
              <w:keepLines w:val="0"/>
              <w:widowControl/>
              <w:suppressLineNumbers w:val="0"/>
              <w:spacing w:before="0" w:beforeAutospacing="0" w:after="0" w:afterAutospacing="0" w:line="360" w:lineRule="auto"/>
              <w:ind w:left="0" w:right="0"/>
              <w:jc w:val="center"/>
              <w:rPr>
                <w:rFonts w:hint="eastAsia" w:ascii="仿宋" w:hAnsi="仿宋" w:eastAsia="仿宋"/>
                <w:color w:val="auto"/>
                <w:kern w:val="0"/>
                <w:szCs w:val="21"/>
                <w:highlight w:val="none"/>
                <w:lang w:eastAsia="zh-CN"/>
              </w:rPr>
            </w:pPr>
            <w:r>
              <w:rPr>
                <w:rFonts w:hint="eastAsia" w:ascii="仿宋" w:hAnsi="仿宋" w:eastAsia="仿宋"/>
                <w:color w:val="auto"/>
                <w:kern w:val="0"/>
                <w:szCs w:val="21"/>
                <w:highlight w:val="none"/>
                <w:lang w:val="en-US" w:eastAsia="zh-CN"/>
              </w:rPr>
              <w:t>8</w:t>
            </w:r>
          </w:p>
        </w:tc>
        <w:tc>
          <w:tcPr>
            <w:tcW w:w="6975" w:type="dxa"/>
            <w:tcBorders>
              <w:top w:val="nil"/>
              <w:left w:val="nil"/>
              <w:bottom w:val="single" w:color="000000" w:sz="4" w:space="0"/>
              <w:right w:val="single" w:color="000000" w:sz="4" w:space="0"/>
            </w:tcBorders>
            <w:vAlign w:val="center"/>
          </w:tcPr>
          <w:p w14:paraId="35B4B5A7">
            <w:pPr>
              <w:pStyle w:val="54"/>
              <w:keepNext w:val="0"/>
              <w:keepLines w:val="0"/>
              <w:suppressLineNumbers w:val="0"/>
              <w:tabs>
                <w:tab w:val="clear" w:pos="4153"/>
                <w:tab w:val="clear" w:pos="8306"/>
              </w:tabs>
              <w:spacing w:before="0" w:beforeAutospacing="0" w:after="0" w:afterAutospacing="0" w:line="360" w:lineRule="auto"/>
              <w:ind w:left="0" w:right="0"/>
              <w:rPr>
                <w:rFonts w:hint="default" w:ascii="仿宋" w:hAnsi="仿宋" w:eastAsia="仿宋"/>
                <w:color w:val="auto"/>
                <w:sz w:val="24"/>
                <w:szCs w:val="24"/>
                <w:highlight w:val="none"/>
              </w:rPr>
            </w:pPr>
            <w:r>
              <w:rPr>
                <w:rFonts w:hint="eastAsia" w:ascii="仿宋" w:hAnsi="仿宋" w:eastAsia="仿宋" w:cs="仿宋"/>
                <w:color w:val="auto"/>
                <w:sz w:val="24"/>
                <w:szCs w:val="24"/>
                <w:highlight w:val="none"/>
                <w:lang w:eastAsia="zh-CN"/>
              </w:rPr>
              <w:t>投标单位（供应商）其法人参加本次采购活动前三年内，在经营活动中没有重大违法记录的声明及对本次项目《反商业贿赂承诺书》；</w:t>
            </w:r>
          </w:p>
        </w:tc>
        <w:tc>
          <w:tcPr>
            <w:tcW w:w="582" w:type="dxa"/>
            <w:tcBorders>
              <w:top w:val="nil"/>
              <w:left w:val="nil"/>
              <w:bottom w:val="single" w:color="000000" w:sz="4" w:space="0"/>
              <w:right w:val="single" w:color="000000" w:sz="4" w:space="0"/>
            </w:tcBorders>
            <w:vAlign w:val="center"/>
          </w:tcPr>
          <w:p w14:paraId="3758B935">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18C4E0C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40B3CC16">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665BA9D3">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1AB97951">
        <w:tblPrEx>
          <w:tblCellMar>
            <w:top w:w="0" w:type="dxa"/>
            <w:left w:w="108" w:type="dxa"/>
            <w:bottom w:w="0" w:type="dxa"/>
            <w:right w:w="108" w:type="dxa"/>
          </w:tblCellMar>
        </w:tblPrEx>
        <w:trPr>
          <w:trHeight w:val="639" w:hRule="atLeast"/>
          <w:jc w:val="center"/>
        </w:trPr>
        <w:tc>
          <w:tcPr>
            <w:tcW w:w="640" w:type="dxa"/>
            <w:tcBorders>
              <w:top w:val="nil"/>
              <w:left w:val="single" w:color="000000" w:sz="4" w:space="0"/>
              <w:bottom w:val="single" w:color="000000" w:sz="4" w:space="0"/>
              <w:right w:val="single" w:color="000000" w:sz="4" w:space="0"/>
            </w:tcBorders>
            <w:vAlign w:val="center"/>
          </w:tcPr>
          <w:p w14:paraId="17EF3380">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auto"/>
                <w:kern w:val="0"/>
                <w:szCs w:val="21"/>
                <w:highlight w:val="none"/>
                <w:lang w:val="en-US" w:eastAsia="zh-CN"/>
              </w:rPr>
            </w:pPr>
            <w:r>
              <w:rPr>
                <w:rFonts w:hint="eastAsia" w:ascii="仿宋" w:hAnsi="仿宋" w:eastAsia="仿宋"/>
                <w:color w:val="auto"/>
                <w:kern w:val="0"/>
                <w:szCs w:val="21"/>
                <w:highlight w:val="none"/>
                <w:lang w:val="en-US" w:eastAsia="zh-CN"/>
              </w:rPr>
              <w:t>9</w:t>
            </w:r>
          </w:p>
        </w:tc>
        <w:tc>
          <w:tcPr>
            <w:tcW w:w="6975" w:type="dxa"/>
            <w:tcBorders>
              <w:top w:val="nil"/>
              <w:left w:val="nil"/>
              <w:bottom w:val="single" w:color="000000" w:sz="4" w:space="0"/>
              <w:right w:val="single" w:color="000000" w:sz="4" w:space="0"/>
            </w:tcBorders>
            <w:vAlign w:val="center"/>
          </w:tcPr>
          <w:p w14:paraId="634932FE">
            <w:pPr>
              <w:pStyle w:val="54"/>
              <w:keepNext w:val="0"/>
              <w:keepLines w:val="0"/>
              <w:suppressLineNumbers w:val="0"/>
              <w:tabs>
                <w:tab w:val="clear" w:pos="4153"/>
                <w:tab w:val="clear" w:pos="8306"/>
              </w:tabs>
              <w:spacing w:before="0" w:beforeAutospacing="0" w:after="0" w:afterAutospacing="0" w:line="360" w:lineRule="auto"/>
              <w:ind w:left="0" w:right="0"/>
              <w:rPr>
                <w:rFonts w:hint="default" w:ascii="仿宋" w:hAnsi="仿宋" w:eastAsia="仿宋"/>
                <w:color w:val="auto"/>
                <w:sz w:val="24"/>
                <w:szCs w:val="24"/>
                <w:highlight w:val="none"/>
              </w:rPr>
            </w:pPr>
            <w:r>
              <w:rPr>
                <w:rFonts w:hint="eastAsia" w:ascii="仿宋" w:hAnsi="仿宋" w:eastAsia="仿宋" w:cs="仿宋"/>
                <w:color w:val="auto"/>
                <w:sz w:val="24"/>
                <w:szCs w:val="24"/>
                <w:highlight w:val="none"/>
                <w:lang w:eastAsia="zh-CN"/>
              </w:rPr>
              <w:t>本项目不接受联合体投标。</w:t>
            </w:r>
          </w:p>
        </w:tc>
        <w:tc>
          <w:tcPr>
            <w:tcW w:w="582" w:type="dxa"/>
            <w:tcBorders>
              <w:top w:val="nil"/>
              <w:left w:val="nil"/>
              <w:bottom w:val="single" w:color="000000" w:sz="4" w:space="0"/>
              <w:right w:val="single" w:color="000000" w:sz="4" w:space="0"/>
            </w:tcBorders>
            <w:vAlign w:val="center"/>
          </w:tcPr>
          <w:p w14:paraId="0EF2E9B8">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nil"/>
              <w:left w:val="nil"/>
              <w:bottom w:val="single" w:color="000000" w:sz="4" w:space="0"/>
              <w:right w:val="single" w:color="000000" w:sz="4" w:space="0"/>
            </w:tcBorders>
            <w:vAlign w:val="center"/>
          </w:tcPr>
          <w:p w14:paraId="3FA8FD2F">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nil"/>
              <w:left w:val="nil"/>
              <w:bottom w:val="single" w:color="000000" w:sz="4" w:space="0"/>
              <w:right w:val="single" w:color="000000" w:sz="4" w:space="0"/>
            </w:tcBorders>
            <w:vAlign w:val="center"/>
          </w:tcPr>
          <w:p w14:paraId="6FB16BF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nil"/>
              <w:left w:val="nil"/>
              <w:bottom w:val="single" w:color="000000" w:sz="4" w:space="0"/>
              <w:right w:val="single" w:color="000000" w:sz="4" w:space="0"/>
            </w:tcBorders>
            <w:vAlign w:val="center"/>
          </w:tcPr>
          <w:p w14:paraId="11FE06F4">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63ED4B78">
        <w:tblPrEx>
          <w:tblCellMar>
            <w:top w:w="0" w:type="dxa"/>
            <w:left w:w="108" w:type="dxa"/>
            <w:bottom w:w="0" w:type="dxa"/>
            <w:right w:w="108" w:type="dxa"/>
          </w:tblCellMar>
        </w:tblPrEx>
        <w:trPr>
          <w:trHeight w:val="370" w:hRule="atLeast"/>
          <w:jc w:val="center"/>
        </w:trPr>
        <w:tc>
          <w:tcPr>
            <w:tcW w:w="7615" w:type="dxa"/>
            <w:gridSpan w:val="2"/>
            <w:tcBorders>
              <w:top w:val="single" w:color="000000" w:sz="4" w:space="0"/>
              <w:left w:val="single" w:color="000000" w:sz="4" w:space="0"/>
              <w:bottom w:val="single" w:color="000000" w:sz="4" w:space="0"/>
              <w:right w:val="single" w:color="000000" w:sz="4" w:space="0"/>
            </w:tcBorders>
            <w:vAlign w:val="center"/>
          </w:tcPr>
          <w:p w14:paraId="4B5A9396">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p>
          <w:p w14:paraId="5FAE66D4">
            <w:pPr>
              <w:keepNext w:val="0"/>
              <w:keepLines w:val="0"/>
              <w:suppressLineNumbers w:val="0"/>
              <w:spacing w:before="0" w:beforeAutospacing="0" w:after="0" w:afterAutospacing="0" w:line="360" w:lineRule="auto"/>
              <w:ind w:left="0" w:right="0"/>
              <w:jc w:val="center"/>
              <w:rPr>
                <w:rFonts w:hint="default" w:ascii="仿宋" w:hAnsi="仿宋" w:eastAsia="仿宋"/>
                <w:b/>
                <w:bCs/>
                <w:color w:val="000000"/>
                <w:kern w:val="0"/>
                <w:szCs w:val="21"/>
                <w:highlight w:val="none"/>
              </w:rPr>
            </w:pPr>
            <w:r>
              <w:rPr>
                <w:rFonts w:hint="eastAsia" w:ascii="仿宋" w:hAnsi="仿宋" w:eastAsia="仿宋"/>
                <w:b/>
                <w:bCs/>
                <w:color w:val="000000"/>
                <w:kern w:val="0"/>
                <w:szCs w:val="21"/>
                <w:highlight w:val="none"/>
              </w:rPr>
              <w:t>结论</w:t>
            </w:r>
          </w:p>
        </w:tc>
        <w:tc>
          <w:tcPr>
            <w:tcW w:w="582" w:type="dxa"/>
            <w:tcBorders>
              <w:top w:val="single" w:color="000000" w:sz="4" w:space="0"/>
              <w:left w:val="nil"/>
              <w:bottom w:val="single" w:color="000000" w:sz="4" w:space="0"/>
              <w:right w:val="single" w:color="000000" w:sz="4" w:space="0"/>
            </w:tcBorders>
            <w:vAlign w:val="center"/>
          </w:tcPr>
          <w:p w14:paraId="13469161">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70" w:type="dxa"/>
            <w:tcBorders>
              <w:top w:val="single" w:color="000000" w:sz="4" w:space="0"/>
              <w:left w:val="nil"/>
              <w:bottom w:val="single" w:color="000000" w:sz="4" w:space="0"/>
              <w:right w:val="single" w:color="000000" w:sz="4" w:space="0"/>
            </w:tcBorders>
            <w:vAlign w:val="center"/>
          </w:tcPr>
          <w:p w14:paraId="3FCC4CD0">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60" w:type="dxa"/>
            <w:tcBorders>
              <w:top w:val="single" w:color="000000" w:sz="4" w:space="0"/>
              <w:left w:val="nil"/>
              <w:bottom w:val="single" w:color="000000" w:sz="4" w:space="0"/>
              <w:right w:val="single" w:color="000000" w:sz="4" w:space="0"/>
            </w:tcBorders>
            <w:vAlign w:val="center"/>
          </w:tcPr>
          <w:p w14:paraId="448370DA">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c>
          <w:tcPr>
            <w:tcW w:w="532" w:type="dxa"/>
            <w:tcBorders>
              <w:top w:val="single" w:color="000000" w:sz="4" w:space="0"/>
              <w:left w:val="nil"/>
              <w:bottom w:val="single" w:color="000000" w:sz="4" w:space="0"/>
              <w:right w:val="single" w:color="000000" w:sz="4" w:space="0"/>
            </w:tcBorders>
            <w:vAlign w:val="center"/>
          </w:tcPr>
          <w:p w14:paraId="07E855D2">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000000"/>
                <w:kern w:val="0"/>
                <w:szCs w:val="21"/>
                <w:highlight w:val="none"/>
              </w:rPr>
            </w:pPr>
          </w:p>
        </w:tc>
      </w:tr>
      <w:tr w14:paraId="02526371">
        <w:tblPrEx>
          <w:tblCellMar>
            <w:top w:w="0" w:type="dxa"/>
            <w:left w:w="108" w:type="dxa"/>
            <w:bottom w:w="0" w:type="dxa"/>
            <w:right w:w="108" w:type="dxa"/>
          </w:tblCellMar>
        </w:tblPrEx>
        <w:trPr>
          <w:trHeight w:val="370" w:hRule="atLeast"/>
          <w:jc w:val="center"/>
        </w:trPr>
        <w:tc>
          <w:tcPr>
            <w:tcW w:w="9859" w:type="dxa"/>
            <w:gridSpan w:val="6"/>
            <w:tcBorders>
              <w:top w:val="single" w:color="000000" w:sz="4" w:space="0"/>
              <w:left w:val="single" w:color="000000" w:sz="4" w:space="0"/>
              <w:bottom w:val="single" w:color="000000" w:sz="4" w:space="0"/>
              <w:right w:val="single" w:color="000000" w:sz="4" w:space="0"/>
            </w:tcBorders>
            <w:vAlign w:val="center"/>
          </w:tcPr>
          <w:p w14:paraId="009EDEE6">
            <w:pPr>
              <w:keepNext w:val="0"/>
              <w:keepLines w:val="0"/>
              <w:widowControl/>
              <w:suppressLineNumbers w:val="0"/>
              <w:spacing w:before="0" w:beforeAutospacing="0" w:after="0" w:afterAutospacing="0" w:line="360" w:lineRule="auto"/>
              <w:ind w:left="0" w:right="0"/>
              <w:jc w:val="center"/>
              <w:rPr>
                <w:rFonts w:hint="default" w:ascii="仿宋" w:hAnsi="仿宋" w:eastAsia="仿宋"/>
                <w:color w:val="000000"/>
                <w:kern w:val="0"/>
                <w:szCs w:val="21"/>
                <w:highlight w:val="none"/>
              </w:rPr>
            </w:pPr>
            <w:r>
              <w:rPr>
                <w:rFonts w:hint="default" w:ascii="Undefined" w:hAnsi="Undefined" w:eastAsia="Undefined" w:cs="Undefined"/>
                <w:b/>
                <w:bCs/>
                <w:color w:val="000000"/>
                <w:sz w:val="20"/>
                <w:szCs w:val="20"/>
                <w:highlight w:val="none"/>
              </w:rPr>
              <w:t>说明： 供应商必须满足资格性审查表内所有条款， 否则被认定为无效响应。</w:t>
            </w:r>
          </w:p>
        </w:tc>
      </w:tr>
    </w:tbl>
    <w:p w14:paraId="02BBC82A">
      <w:pPr>
        <w:pStyle w:val="8"/>
        <w:spacing w:line="360" w:lineRule="auto"/>
        <w:ind w:left="-181" w:leftChars="-86" w:firstLine="607" w:firstLineChars="275"/>
        <w:rPr>
          <w:rFonts w:hint="eastAsia" w:ascii="仿宋" w:hAnsi="仿宋" w:eastAsia="仿宋" w:cs="仿宋"/>
          <w:b/>
          <w:color w:val="auto"/>
          <w:sz w:val="24"/>
          <w:highlight w:val="none"/>
        </w:rPr>
      </w:pPr>
      <w:r>
        <w:rPr>
          <w:rFonts w:hint="eastAsia" w:ascii="仿宋" w:hAnsi="仿宋" w:eastAsia="仿宋" w:cs="仿宋"/>
          <w:b/>
          <w:color w:val="auto"/>
          <w:sz w:val="22"/>
          <w:szCs w:val="22"/>
          <w:highlight w:val="none"/>
          <w:lang w:eastAsia="zh-CN"/>
        </w:rPr>
        <w:t>注：按评审标准对上述内容评审，满足要求的在对应的框内打“√”，不满足要求的在对应的框内打“×”。对可以进入详评的投标人，在该投标人所对应的“是否通过评审“栏中打“√”。</w:t>
      </w:r>
      <w:r>
        <w:rPr>
          <w:rFonts w:hint="eastAsia" w:ascii="仿宋" w:hAnsi="仿宋" w:eastAsia="仿宋" w:cs="仿宋"/>
          <w:b/>
          <w:color w:val="auto"/>
          <w:sz w:val="22"/>
          <w:szCs w:val="22"/>
          <w:highlight w:val="none"/>
        </w:rPr>
        <w:t>一项未提供，则不通过。</w:t>
      </w:r>
    </w:p>
    <w:p w14:paraId="2CBA7DE2">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5.2符合性审查</w:t>
      </w:r>
    </w:p>
    <w:tbl>
      <w:tblPr>
        <w:tblStyle w:val="23"/>
        <w:tblW w:w="872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6428"/>
        <w:gridCol w:w="743"/>
        <w:gridCol w:w="743"/>
      </w:tblGrid>
      <w:tr w14:paraId="43A6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restart"/>
            <w:vAlign w:val="center"/>
          </w:tcPr>
          <w:p w14:paraId="4CDB9C6A">
            <w:pPr>
              <w:keepNext w:val="0"/>
              <w:keepLines w:val="0"/>
              <w:suppressLineNumbers w:val="0"/>
              <w:spacing w:before="0" w:beforeAutospacing="0" w:after="0" w:afterAutospacing="0"/>
              <w:ind w:left="0" w:right="0"/>
              <w:jc w:val="center"/>
              <w:rPr>
                <w:rFonts w:hint="default" w:ascii="仿宋" w:hAnsi="仿宋" w:eastAsia="仿宋"/>
                <w:b/>
                <w:bCs w:val="0"/>
                <w:color w:val="000000"/>
                <w:highlight w:val="none"/>
              </w:rPr>
            </w:pPr>
            <w:r>
              <w:rPr>
                <w:rFonts w:hint="eastAsia" w:ascii="仿宋" w:hAnsi="仿宋" w:eastAsia="仿宋"/>
                <w:b/>
                <w:bCs w:val="0"/>
                <w:color w:val="000000"/>
                <w:highlight w:val="none"/>
              </w:rPr>
              <w:t>序号</w:t>
            </w:r>
          </w:p>
        </w:tc>
        <w:tc>
          <w:tcPr>
            <w:tcW w:w="6428" w:type="dxa"/>
            <w:vMerge w:val="restart"/>
            <w:vAlign w:val="center"/>
          </w:tcPr>
          <w:p w14:paraId="60F2E73B">
            <w:pPr>
              <w:keepNext w:val="0"/>
              <w:keepLines w:val="0"/>
              <w:suppressLineNumbers w:val="0"/>
              <w:spacing w:before="0" w:beforeAutospacing="0" w:after="0" w:afterAutospacing="0"/>
              <w:ind w:left="0" w:right="0" w:firstLine="480"/>
              <w:jc w:val="left"/>
              <w:rPr>
                <w:rFonts w:hint="default" w:ascii="仿宋" w:hAnsi="仿宋" w:eastAsia="仿宋"/>
                <w:b/>
                <w:bCs w:val="0"/>
                <w:color w:val="000000"/>
                <w:highlight w:val="none"/>
              </w:rPr>
            </w:pPr>
            <w:r>
              <w:rPr>
                <w:rFonts w:hint="eastAsia" w:ascii="仿宋" w:hAnsi="仿宋" w:eastAsia="仿宋"/>
                <w:b/>
                <w:bCs w:val="0"/>
                <w:color w:val="000000"/>
                <w:highlight w:val="none"/>
              </w:rPr>
              <w:t>审查标准</w:t>
            </w:r>
          </w:p>
        </w:tc>
        <w:tc>
          <w:tcPr>
            <w:tcW w:w="1486" w:type="dxa"/>
            <w:gridSpan w:val="2"/>
            <w:vAlign w:val="center"/>
          </w:tcPr>
          <w:p w14:paraId="71E7AFB9">
            <w:pPr>
              <w:keepNext w:val="0"/>
              <w:keepLines w:val="0"/>
              <w:suppressLineNumbers w:val="0"/>
              <w:spacing w:before="0" w:beforeAutospacing="0" w:after="0" w:afterAutospacing="0"/>
              <w:ind w:left="0" w:right="0"/>
              <w:jc w:val="center"/>
              <w:rPr>
                <w:rFonts w:hint="default" w:ascii="仿宋" w:hAnsi="仿宋" w:eastAsia="仿宋"/>
                <w:b/>
                <w:bCs w:val="0"/>
                <w:color w:val="000000"/>
                <w:highlight w:val="none"/>
                <w:lang w:val="en-US" w:eastAsia="zh-CN"/>
              </w:rPr>
            </w:pPr>
            <w:r>
              <w:rPr>
                <w:rFonts w:hint="eastAsia" w:ascii="仿宋" w:hAnsi="仿宋" w:eastAsia="仿宋"/>
                <w:b/>
                <w:bCs w:val="0"/>
                <w:color w:val="000000"/>
                <w:highlight w:val="none"/>
                <w:lang w:val="en-US" w:eastAsia="zh-CN"/>
              </w:rPr>
              <w:t>投标人</w:t>
            </w:r>
          </w:p>
        </w:tc>
      </w:tr>
      <w:tr w14:paraId="2DD0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Merge w:val="continue"/>
            <w:vAlign w:val="center"/>
          </w:tcPr>
          <w:p w14:paraId="266EF679">
            <w:pPr>
              <w:keepNext w:val="0"/>
              <w:keepLines w:val="0"/>
              <w:suppressLineNumbers w:val="0"/>
              <w:spacing w:before="0" w:beforeAutospacing="0" w:after="0" w:afterAutospacing="0"/>
              <w:ind w:left="0" w:right="0"/>
              <w:jc w:val="center"/>
              <w:rPr>
                <w:rFonts w:hint="eastAsia" w:ascii="仿宋" w:hAnsi="仿宋" w:eastAsia="仿宋"/>
                <w:b/>
                <w:bCs w:val="0"/>
                <w:color w:val="000000"/>
                <w:highlight w:val="none"/>
              </w:rPr>
            </w:pPr>
          </w:p>
        </w:tc>
        <w:tc>
          <w:tcPr>
            <w:tcW w:w="6428" w:type="dxa"/>
            <w:vMerge w:val="continue"/>
            <w:vAlign w:val="center"/>
          </w:tcPr>
          <w:p w14:paraId="5CDA1D70">
            <w:pPr>
              <w:keepNext w:val="0"/>
              <w:keepLines w:val="0"/>
              <w:suppressLineNumbers w:val="0"/>
              <w:spacing w:before="0" w:beforeAutospacing="0" w:after="0" w:afterAutospacing="0"/>
              <w:ind w:left="0" w:right="0" w:firstLine="480"/>
              <w:jc w:val="left"/>
              <w:rPr>
                <w:rFonts w:hint="eastAsia" w:ascii="仿宋" w:hAnsi="仿宋" w:eastAsia="仿宋"/>
                <w:b/>
                <w:bCs w:val="0"/>
                <w:color w:val="000000"/>
                <w:highlight w:val="none"/>
              </w:rPr>
            </w:pPr>
          </w:p>
        </w:tc>
        <w:tc>
          <w:tcPr>
            <w:tcW w:w="743" w:type="dxa"/>
            <w:vAlign w:val="center"/>
          </w:tcPr>
          <w:p w14:paraId="0D6B4225">
            <w:pPr>
              <w:keepNext w:val="0"/>
              <w:keepLines w:val="0"/>
              <w:suppressLineNumbers w:val="0"/>
              <w:spacing w:before="0" w:beforeAutospacing="0" w:after="0" w:afterAutospacing="0"/>
              <w:ind w:left="0" w:right="0"/>
              <w:jc w:val="center"/>
              <w:rPr>
                <w:rFonts w:hint="eastAsia" w:ascii="仿宋" w:hAnsi="仿宋" w:eastAsia="仿宋"/>
                <w:b/>
                <w:bCs w:val="0"/>
                <w:color w:val="000000"/>
                <w:highlight w:val="none"/>
                <w:lang w:val="en-US" w:eastAsia="zh-CN"/>
              </w:rPr>
            </w:pPr>
            <w:r>
              <w:rPr>
                <w:rFonts w:hint="eastAsia" w:ascii="仿宋" w:hAnsi="仿宋" w:eastAsia="仿宋"/>
                <w:b/>
                <w:bCs w:val="0"/>
                <w:color w:val="000000"/>
                <w:highlight w:val="none"/>
                <w:lang w:val="en-US" w:eastAsia="zh-CN"/>
              </w:rPr>
              <w:t>是</w:t>
            </w:r>
          </w:p>
        </w:tc>
        <w:tc>
          <w:tcPr>
            <w:tcW w:w="743" w:type="dxa"/>
            <w:vAlign w:val="center"/>
          </w:tcPr>
          <w:p w14:paraId="45569234">
            <w:pPr>
              <w:keepNext w:val="0"/>
              <w:keepLines w:val="0"/>
              <w:suppressLineNumbers w:val="0"/>
              <w:spacing w:before="0" w:beforeAutospacing="0" w:after="0" w:afterAutospacing="0"/>
              <w:ind w:left="0" w:right="0"/>
              <w:jc w:val="center"/>
              <w:rPr>
                <w:rFonts w:hint="eastAsia" w:ascii="仿宋" w:hAnsi="仿宋" w:eastAsia="仿宋"/>
                <w:b/>
                <w:bCs w:val="0"/>
                <w:color w:val="000000"/>
                <w:highlight w:val="none"/>
                <w:lang w:val="en-US" w:eastAsia="zh-CN"/>
              </w:rPr>
            </w:pPr>
            <w:r>
              <w:rPr>
                <w:rFonts w:hint="eastAsia" w:ascii="仿宋" w:hAnsi="仿宋" w:eastAsia="仿宋"/>
                <w:b/>
                <w:bCs w:val="0"/>
                <w:color w:val="000000"/>
                <w:highlight w:val="none"/>
                <w:lang w:val="en-US" w:eastAsia="zh-CN"/>
              </w:rPr>
              <w:t>否</w:t>
            </w:r>
          </w:p>
        </w:tc>
      </w:tr>
      <w:tr w14:paraId="21F3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1" w:hRule="atLeast"/>
          <w:jc w:val="right"/>
        </w:trPr>
        <w:tc>
          <w:tcPr>
            <w:tcW w:w="815" w:type="dxa"/>
            <w:vAlign w:val="bottom"/>
          </w:tcPr>
          <w:p w14:paraId="4F1F6DDE">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1</w:t>
            </w:r>
          </w:p>
        </w:tc>
        <w:tc>
          <w:tcPr>
            <w:tcW w:w="6428" w:type="dxa"/>
            <w:vAlign w:val="center"/>
          </w:tcPr>
          <w:p w14:paraId="7358E443">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highlight w:val="none"/>
              </w:rPr>
            </w:pPr>
            <w:r>
              <w:rPr>
                <w:rFonts w:hint="eastAsia" w:ascii="仿宋" w:hAnsi="仿宋" w:eastAsia="仿宋"/>
                <w:bCs/>
                <w:color w:val="000000"/>
                <w:highlight w:val="none"/>
              </w:rPr>
              <w:t>投标文件</w:t>
            </w:r>
            <w:r>
              <w:rPr>
                <w:rFonts w:hint="eastAsia" w:ascii="仿宋" w:hAnsi="仿宋" w:eastAsia="仿宋"/>
                <w:bCs/>
                <w:color w:val="000000"/>
                <w:kern w:val="0"/>
                <w:highlight w:val="none"/>
              </w:rPr>
              <w:t>是否按招标文件要求编制、</w:t>
            </w:r>
            <w:r>
              <w:rPr>
                <w:rFonts w:hint="eastAsia" w:ascii="仿宋" w:hAnsi="仿宋" w:eastAsia="仿宋"/>
                <w:bCs/>
                <w:color w:val="000000"/>
                <w:spacing w:val="-2"/>
                <w:highlight w:val="none"/>
              </w:rPr>
              <w:t>签署、盖章；</w:t>
            </w:r>
            <w:r>
              <w:rPr>
                <w:rFonts w:hint="eastAsia" w:ascii="仿宋" w:hAnsi="仿宋" w:eastAsia="仿宋"/>
                <w:bCs/>
                <w:color w:val="000000"/>
                <w:kern w:val="0"/>
                <w:highlight w:val="none"/>
              </w:rPr>
              <w:t>内容是否全面或字迹是否模糊、辨认不清的；</w:t>
            </w:r>
          </w:p>
        </w:tc>
        <w:tc>
          <w:tcPr>
            <w:tcW w:w="743" w:type="dxa"/>
            <w:vAlign w:val="center"/>
          </w:tcPr>
          <w:p w14:paraId="29902BBE">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c>
          <w:tcPr>
            <w:tcW w:w="743" w:type="dxa"/>
            <w:vAlign w:val="center"/>
          </w:tcPr>
          <w:p w14:paraId="75795165">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r>
      <w:tr w14:paraId="7556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D40A31A">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2</w:t>
            </w:r>
          </w:p>
        </w:tc>
        <w:tc>
          <w:tcPr>
            <w:tcW w:w="6428" w:type="dxa"/>
            <w:vAlign w:val="center"/>
          </w:tcPr>
          <w:p w14:paraId="1F986345">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投标文件</w:t>
            </w:r>
            <w:r>
              <w:rPr>
                <w:rFonts w:hint="eastAsia" w:ascii="仿宋" w:hAnsi="仿宋" w:eastAsia="仿宋"/>
                <w:bCs/>
                <w:color w:val="000000"/>
                <w:szCs w:val="21"/>
                <w:highlight w:val="none"/>
              </w:rPr>
              <w:t>记载的招标项目完成期限是否未超过招标文件规定的完成期限</w:t>
            </w:r>
            <w:r>
              <w:rPr>
                <w:rFonts w:hint="eastAsia" w:ascii="仿宋" w:hAnsi="仿宋" w:eastAsia="仿宋"/>
                <w:bCs/>
                <w:color w:val="000000"/>
                <w:kern w:val="0"/>
                <w:highlight w:val="none"/>
              </w:rPr>
              <w:t>；</w:t>
            </w:r>
          </w:p>
        </w:tc>
        <w:tc>
          <w:tcPr>
            <w:tcW w:w="743" w:type="dxa"/>
            <w:vAlign w:val="center"/>
          </w:tcPr>
          <w:p w14:paraId="7ACDE04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4DE6A61D">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2DF0B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181C1A3F">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3</w:t>
            </w:r>
          </w:p>
        </w:tc>
        <w:tc>
          <w:tcPr>
            <w:tcW w:w="6428" w:type="dxa"/>
            <w:vAlign w:val="center"/>
          </w:tcPr>
          <w:p w14:paraId="54F68FBC">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lang w:eastAsia="zh-CN"/>
              </w:rPr>
            </w:pPr>
            <w:r>
              <w:rPr>
                <w:rFonts w:hint="eastAsia" w:ascii="仿宋" w:hAnsi="仿宋" w:eastAsia="仿宋"/>
                <w:bCs/>
                <w:color w:val="000000"/>
                <w:highlight w:val="none"/>
              </w:rPr>
              <w:t>评审小组共同确定没有实质上不响应</w:t>
            </w:r>
            <w:r>
              <w:rPr>
                <w:rFonts w:hint="eastAsia" w:ascii="仿宋" w:hAnsi="仿宋" w:eastAsia="仿宋"/>
                <w:bCs/>
                <w:color w:val="000000"/>
                <w:szCs w:val="21"/>
                <w:highlight w:val="none"/>
              </w:rPr>
              <w:t>招标</w:t>
            </w:r>
            <w:r>
              <w:rPr>
                <w:rFonts w:hint="eastAsia" w:ascii="仿宋" w:hAnsi="仿宋" w:eastAsia="仿宋"/>
                <w:bCs/>
                <w:color w:val="000000"/>
                <w:highlight w:val="none"/>
              </w:rPr>
              <w:t>文件要求的</w:t>
            </w:r>
            <w:r>
              <w:rPr>
                <w:rFonts w:hint="eastAsia" w:ascii="仿宋" w:hAnsi="仿宋" w:eastAsia="仿宋"/>
                <w:bCs/>
                <w:color w:val="000000"/>
                <w:highlight w:val="none"/>
                <w:lang w:eastAsia="zh-CN"/>
              </w:rPr>
              <w:t>；</w:t>
            </w:r>
          </w:p>
        </w:tc>
        <w:tc>
          <w:tcPr>
            <w:tcW w:w="743" w:type="dxa"/>
            <w:vAlign w:val="center"/>
          </w:tcPr>
          <w:p w14:paraId="2D2AFE6A">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c>
          <w:tcPr>
            <w:tcW w:w="743" w:type="dxa"/>
            <w:vAlign w:val="center"/>
          </w:tcPr>
          <w:p w14:paraId="559A2D14">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r>
      <w:tr w14:paraId="61E0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1DE72ED5">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4</w:t>
            </w:r>
          </w:p>
        </w:tc>
        <w:tc>
          <w:tcPr>
            <w:tcW w:w="6428" w:type="dxa"/>
            <w:vAlign w:val="center"/>
          </w:tcPr>
          <w:p w14:paraId="5F5A1504">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highlight w:val="none"/>
              </w:rPr>
            </w:pPr>
            <w:r>
              <w:rPr>
                <w:rFonts w:hint="eastAsia" w:ascii="仿宋" w:hAnsi="仿宋" w:eastAsia="仿宋"/>
                <w:bCs/>
                <w:color w:val="000000"/>
                <w:highlight w:val="none"/>
              </w:rPr>
              <w:t>投标有效期是否满足</w:t>
            </w:r>
            <w:r>
              <w:rPr>
                <w:rFonts w:hint="eastAsia" w:ascii="仿宋" w:hAnsi="仿宋" w:eastAsia="仿宋"/>
                <w:bCs/>
                <w:color w:val="000000"/>
                <w:szCs w:val="21"/>
                <w:highlight w:val="none"/>
              </w:rPr>
              <w:t>招标</w:t>
            </w:r>
            <w:r>
              <w:rPr>
                <w:rFonts w:hint="eastAsia" w:ascii="仿宋" w:hAnsi="仿宋" w:eastAsia="仿宋"/>
                <w:bCs/>
                <w:color w:val="000000"/>
                <w:highlight w:val="none"/>
              </w:rPr>
              <w:t>文件要求的；</w:t>
            </w:r>
          </w:p>
        </w:tc>
        <w:tc>
          <w:tcPr>
            <w:tcW w:w="743" w:type="dxa"/>
            <w:vAlign w:val="center"/>
          </w:tcPr>
          <w:p w14:paraId="5F168D1A">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c>
          <w:tcPr>
            <w:tcW w:w="743" w:type="dxa"/>
            <w:vAlign w:val="center"/>
          </w:tcPr>
          <w:p w14:paraId="76070FA4">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highlight w:val="none"/>
              </w:rPr>
            </w:pPr>
          </w:p>
        </w:tc>
      </w:tr>
      <w:tr w14:paraId="6F9C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4757930D">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5</w:t>
            </w:r>
          </w:p>
        </w:tc>
        <w:tc>
          <w:tcPr>
            <w:tcW w:w="6428" w:type="dxa"/>
            <w:vAlign w:val="center"/>
          </w:tcPr>
          <w:p w14:paraId="54BC668F">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投标报价是否高于采购预算价；</w:t>
            </w:r>
          </w:p>
        </w:tc>
        <w:tc>
          <w:tcPr>
            <w:tcW w:w="743" w:type="dxa"/>
            <w:vAlign w:val="center"/>
          </w:tcPr>
          <w:p w14:paraId="5A36B7C6">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6B7CAF3E">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3836A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6ABC834">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6</w:t>
            </w:r>
          </w:p>
        </w:tc>
        <w:tc>
          <w:tcPr>
            <w:tcW w:w="6428" w:type="dxa"/>
            <w:vAlign w:val="center"/>
          </w:tcPr>
          <w:p w14:paraId="792D7649">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lang w:eastAsia="zh-CN"/>
              </w:rPr>
            </w:pPr>
            <w:r>
              <w:rPr>
                <w:rFonts w:hint="eastAsia" w:ascii="仿宋" w:hAnsi="仿宋" w:eastAsia="仿宋"/>
                <w:bCs/>
                <w:color w:val="000000"/>
                <w:kern w:val="0"/>
                <w:highlight w:val="none"/>
              </w:rPr>
              <w:t>是否缴纳投标保证金并与</w:t>
            </w:r>
            <w:r>
              <w:rPr>
                <w:rFonts w:hint="eastAsia" w:ascii="仿宋" w:hAnsi="仿宋" w:eastAsia="仿宋"/>
                <w:bCs/>
                <w:color w:val="000000"/>
                <w:szCs w:val="21"/>
                <w:highlight w:val="none"/>
              </w:rPr>
              <w:t>招标</w:t>
            </w:r>
            <w:r>
              <w:rPr>
                <w:rFonts w:hint="eastAsia" w:ascii="仿宋" w:hAnsi="仿宋" w:eastAsia="仿宋"/>
                <w:bCs/>
                <w:color w:val="000000"/>
                <w:kern w:val="0"/>
                <w:highlight w:val="none"/>
              </w:rPr>
              <w:t>文件金额一致</w:t>
            </w:r>
            <w:r>
              <w:rPr>
                <w:rFonts w:hint="eastAsia" w:ascii="仿宋" w:hAnsi="仿宋" w:eastAsia="仿宋"/>
                <w:bCs/>
                <w:color w:val="000000"/>
                <w:kern w:val="0"/>
                <w:highlight w:val="none"/>
                <w:lang w:eastAsia="zh-CN"/>
              </w:rPr>
              <w:t>；</w:t>
            </w:r>
          </w:p>
        </w:tc>
        <w:tc>
          <w:tcPr>
            <w:tcW w:w="743" w:type="dxa"/>
            <w:vAlign w:val="center"/>
          </w:tcPr>
          <w:p w14:paraId="2294AD3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2D0EB5DA">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6C37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B206FCA">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7</w:t>
            </w:r>
          </w:p>
        </w:tc>
        <w:tc>
          <w:tcPr>
            <w:tcW w:w="6428" w:type="dxa"/>
            <w:vAlign w:val="center"/>
          </w:tcPr>
          <w:p w14:paraId="46002CA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lang w:eastAsia="zh-CN"/>
              </w:rPr>
            </w:pPr>
            <w:r>
              <w:rPr>
                <w:rFonts w:hint="eastAsia" w:ascii="仿宋" w:hAnsi="仿宋" w:eastAsia="仿宋"/>
                <w:bCs/>
                <w:color w:val="000000"/>
                <w:kern w:val="0"/>
                <w:highlight w:val="none"/>
                <w:lang w:val="en-US" w:eastAsia="zh-CN"/>
              </w:rPr>
              <w:t>是否</w:t>
            </w:r>
            <w:r>
              <w:rPr>
                <w:rFonts w:hint="eastAsia" w:ascii="仿宋" w:hAnsi="仿宋" w:eastAsia="仿宋"/>
                <w:bCs/>
                <w:color w:val="000000"/>
                <w:kern w:val="0"/>
                <w:highlight w:val="none"/>
              </w:rPr>
              <w:t>明显不符合技术规格和技术标准</w:t>
            </w:r>
            <w:r>
              <w:rPr>
                <w:rFonts w:hint="eastAsia" w:ascii="仿宋" w:hAnsi="仿宋" w:eastAsia="仿宋"/>
                <w:bCs/>
                <w:color w:val="000000"/>
                <w:kern w:val="0"/>
                <w:highlight w:val="none"/>
                <w:lang w:eastAsia="zh-CN"/>
              </w:rPr>
              <w:t>；</w:t>
            </w:r>
          </w:p>
        </w:tc>
        <w:tc>
          <w:tcPr>
            <w:tcW w:w="743" w:type="dxa"/>
            <w:vAlign w:val="center"/>
          </w:tcPr>
          <w:p w14:paraId="2A3FF3C1">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7A824E43">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6525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623015AE">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8</w:t>
            </w:r>
          </w:p>
        </w:tc>
        <w:tc>
          <w:tcPr>
            <w:tcW w:w="6428" w:type="dxa"/>
            <w:vAlign w:val="center"/>
          </w:tcPr>
          <w:p w14:paraId="5E5C0795">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lang w:eastAsia="zh-CN"/>
              </w:rPr>
            </w:pPr>
            <w:r>
              <w:rPr>
                <w:rFonts w:hint="eastAsia" w:ascii="仿宋" w:hAnsi="仿宋" w:eastAsia="仿宋"/>
                <w:bCs/>
                <w:color w:val="000000"/>
                <w:kern w:val="0"/>
                <w:highlight w:val="none"/>
              </w:rPr>
              <w:t>商务条款是否有偏离情况的</w:t>
            </w:r>
            <w:r>
              <w:rPr>
                <w:rFonts w:hint="eastAsia" w:ascii="仿宋" w:hAnsi="仿宋" w:eastAsia="仿宋"/>
                <w:bCs/>
                <w:color w:val="000000"/>
                <w:kern w:val="0"/>
                <w:highlight w:val="none"/>
                <w:lang w:eastAsia="zh-CN"/>
              </w:rPr>
              <w:t>；</w:t>
            </w:r>
          </w:p>
        </w:tc>
        <w:tc>
          <w:tcPr>
            <w:tcW w:w="743" w:type="dxa"/>
            <w:vAlign w:val="center"/>
          </w:tcPr>
          <w:p w14:paraId="78A77640">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7D42D228">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4F50B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0CF95016">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9</w:t>
            </w:r>
          </w:p>
        </w:tc>
        <w:tc>
          <w:tcPr>
            <w:tcW w:w="6428" w:type="dxa"/>
            <w:vAlign w:val="center"/>
          </w:tcPr>
          <w:p w14:paraId="44068DE5">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投标文件是否附有招标人不能接受条件的；</w:t>
            </w:r>
          </w:p>
        </w:tc>
        <w:tc>
          <w:tcPr>
            <w:tcW w:w="743" w:type="dxa"/>
            <w:vAlign w:val="center"/>
          </w:tcPr>
          <w:p w14:paraId="38DDC67D">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790742D6">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1462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720978BF">
            <w:pPr>
              <w:keepNext w:val="0"/>
              <w:keepLines w:val="0"/>
              <w:suppressLineNumbers w:val="0"/>
              <w:spacing w:before="0" w:beforeAutospacing="0" w:after="0" w:afterAutospacing="0"/>
              <w:ind w:left="0" w:right="0"/>
              <w:jc w:val="center"/>
              <w:rPr>
                <w:rFonts w:hint="default" w:ascii="仿宋" w:hAnsi="仿宋" w:eastAsia="仿宋"/>
                <w:bCs/>
                <w:color w:val="000000"/>
                <w:highlight w:val="none"/>
              </w:rPr>
            </w:pPr>
            <w:r>
              <w:rPr>
                <w:rFonts w:hint="eastAsia" w:ascii="仿宋" w:hAnsi="仿宋" w:eastAsia="仿宋"/>
                <w:bCs/>
                <w:color w:val="000000"/>
                <w:highlight w:val="none"/>
              </w:rPr>
              <w:t>10</w:t>
            </w:r>
          </w:p>
        </w:tc>
        <w:tc>
          <w:tcPr>
            <w:tcW w:w="6428" w:type="dxa"/>
            <w:vAlign w:val="center"/>
          </w:tcPr>
          <w:p w14:paraId="06ABB73E">
            <w:pPr>
              <w:keepNext w:val="0"/>
              <w:keepLines w:val="0"/>
              <w:suppressLineNumbers w:val="0"/>
              <w:spacing w:before="0" w:beforeAutospacing="0" w:after="0" w:afterAutospacing="0"/>
              <w:ind w:left="105" w:right="62" w:hanging="105" w:hangingChars="50"/>
              <w:jc w:val="left"/>
              <w:rPr>
                <w:rFonts w:hint="default" w:ascii="仿宋" w:hAnsi="仿宋" w:eastAsia="仿宋"/>
                <w:bCs/>
                <w:color w:val="000000"/>
                <w:kern w:val="0"/>
                <w:highlight w:val="none"/>
              </w:rPr>
            </w:pPr>
            <w:r>
              <w:rPr>
                <w:rFonts w:hint="eastAsia" w:ascii="仿宋" w:hAnsi="仿宋" w:eastAsia="仿宋"/>
                <w:bCs/>
                <w:color w:val="000000"/>
                <w:kern w:val="0"/>
                <w:highlight w:val="none"/>
              </w:rPr>
              <w:t>是否存在法律、法规和招标文件规定的其他无效情形；</w:t>
            </w:r>
          </w:p>
        </w:tc>
        <w:tc>
          <w:tcPr>
            <w:tcW w:w="743" w:type="dxa"/>
            <w:vAlign w:val="center"/>
          </w:tcPr>
          <w:p w14:paraId="7D945182">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69C49A7C">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39054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815" w:type="dxa"/>
            <w:vAlign w:val="bottom"/>
          </w:tcPr>
          <w:p w14:paraId="5BCC5D87">
            <w:pPr>
              <w:keepNext w:val="0"/>
              <w:keepLines w:val="0"/>
              <w:suppressLineNumbers w:val="0"/>
              <w:spacing w:before="0" w:beforeAutospacing="0" w:after="0" w:afterAutospacing="0"/>
              <w:ind w:left="105" w:right="62" w:hanging="105" w:hangingChars="50"/>
              <w:jc w:val="center"/>
              <w:rPr>
                <w:rFonts w:hint="default" w:ascii="仿宋" w:hAnsi="仿宋" w:eastAsia="仿宋"/>
                <w:bCs/>
                <w:color w:val="000000"/>
                <w:kern w:val="0"/>
                <w:highlight w:val="none"/>
                <w:lang w:val="en-US" w:eastAsia="zh-CN"/>
              </w:rPr>
            </w:pPr>
            <w:r>
              <w:rPr>
                <w:rFonts w:hint="eastAsia" w:ascii="仿宋" w:hAnsi="仿宋" w:eastAsia="仿宋"/>
                <w:bCs/>
                <w:color w:val="000000"/>
                <w:kern w:val="0"/>
                <w:highlight w:val="none"/>
                <w:lang w:val="en-US" w:eastAsia="zh-CN"/>
              </w:rPr>
              <w:t>11</w:t>
            </w:r>
          </w:p>
        </w:tc>
        <w:tc>
          <w:tcPr>
            <w:tcW w:w="6428" w:type="dxa"/>
            <w:vAlign w:val="center"/>
          </w:tcPr>
          <w:p w14:paraId="36E27373">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r>
              <w:rPr>
                <w:rFonts w:hint="eastAsia" w:ascii="仿宋" w:hAnsi="仿宋" w:eastAsia="仿宋"/>
                <w:bCs/>
                <w:color w:val="000000"/>
                <w:kern w:val="0"/>
                <w:highlight w:val="none"/>
                <w:lang w:eastAsia="zh-CN"/>
              </w:rPr>
              <w:t>投标人的报价明显低于其他通过符合性审查投标人的报价，有可能影响履约的，投标人能按照规定证明其报价合理性。</w:t>
            </w:r>
          </w:p>
        </w:tc>
        <w:tc>
          <w:tcPr>
            <w:tcW w:w="743" w:type="dxa"/>
            <w:vAlign w:val="center"/>
          </w:tcPr>
          <w:p w14:paraId="22884F9F">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65AB45FB">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r w14:paraId="1730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right"/>
        </w:trPr>
        <w:tc>
          <w:tcPr>
            <w:tcW w:w="7243" w:type="dxa"/>
            <w:gridSpan w:val="2"/>
            <w:vAlign w:val="bottom"/>
          </w:tcPr>
          <w:p w14:paraId="6E8B0CDA">
            <w:pPr>
              <w:keepNext w:val="0"/>
              <w:keepLines w:val="0"/>
              <w:suppressLineNumbers w:val="0"/>
              <w:spacing w:before="0" w:beforeAutospacing="0" w:after="0" w:afterAutospacing="0"/>
              <w:ind w:left="105" w:right="62" w:hanging="105" w:hangingChars="50"/>
              <w:jc w:val="left"/>
              <w:rPr>
                <w:rFonts w:hint="eastAsia" w:ascii="仿宋" w:hAnsi="仿宋" w:eastAsia="仿宋" w:cs="Times New Roman"/>
                <w:bCs/>
                <w:color w:val="000000"/>
                <w:kern w:val="0"/>
                <w:highlight w:val="none"/>
              </w:rPr>
            </w:pPr>
            <w:r>
              <w:rPr>
                <w:rFonts w:hint="eastAsia" w:ascii="仿宋" w:hAnsi="仿宋" w:eastAsia="仿宋" w:cs="Times New Roman"/>
                <w:bCs/>
                <w:color w:val="000000"/>
                <w:kern w:val="0"/>
                <w:highlight w:val="none"/>
              </w:rPr>
              <w:t>结论：是否通过评审（须填写通过或不通过）</w:t>
            </w:r>
          </w:p>
          <w:p w14:paraId="3AFD4592">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r>
              <w:rPr>
                <w:rFonts w:hint="eastAsia" w:ascii="仿宋" w:hAnsi="仿宋" w:eastAsia="仿宋" w:cs="Times New Roman"/>
                <w:bCs/>
                <w:color w:val="000000"/>
                <w:kern w:val="0"/>
                <w:highlight w:val="none"/>
              </w:rPr>
              <w:t>注： 如有一项不合格， 作废标处理。</w:t>
            </w:r>
          </w:p>
        </w:tc>
        <w:tc>
          <w:tcPr>
            <w:tcW w:w="743" w:type="dxa"/>
            <w:vAlign w:val="center"/>
          </w:tcPr>
          <w:p w14:paraId="5B21B5F9">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c>
          <w:tcPr>
            <w:tcW w:w="743" w:type="dxa"/>
            <w:vAlign w:val="center"/>
          </w:tcPr>
          <w:p w14:paraId="45872712">
            <w:pPr>
              <w:keepNext w:val="0"/>
              <w:keepLines w:val="0"/>
              <w:suppressLineNumbers w:val="0"/>
              <w:spacing w:before="0" w:beforeAutospacing="0" w:after="0" w:afterAutospacing="0"/>
              <w:ind w:left="105" w:right="62" w:hanging="105" w:hangingChars="50"/>
              <w:jc w:val="left"/>
              <w:rPr>
                <w:rFonts w:hint="eastAsia" w:ascii="仿宋" w:hAnsi="仿宋" w:eastAsia="仿宋"/>
                <w:bCs/>
                <w:color w:val="000000"/>
                <w:kern w:val="0"/>
                <w:highlight w:val="none"/>
              </w:rPr>
            </w:pPr>
          </w:p>
        </w:tc>
      </w:tr>
    </w:tbl>
    <w:p w14:paraId="52055A2B">
      <w:pPr>
        <w:spacing w:line="300" w:lineRule="auto"/>
        <w:ind w:left="60"/>
        <w:rPr>
          <w:rFonts w:hint="eastAsia" w:ascii="仿宋" w:hAnsi="仿宋" w:eastAsia="仿宋" w:cs="仿宋"/>
          <w:highlight w:val="none"/>
        </w:rPr>
      </w:pPr>
    </w:p>
    <w:p w14:paraId="17114CE6">
      <w:pPr>
        <w:spacing w:line="300" w:lineRule="auto"/>
        <w:ind w:left="60"/>
        <w:rPr>
          <w:rFonts w:hint="eastAsia" w:ascii="仿宋" w:hAnsi="仿宋" w:eastAsia="仿宋" w:cs="仿宋"/>
          <w:highlight w:val="none"/>
        </w:rPr>
      </w:pPr>
      <w:r>
        <w:rPr>
          <w:rFonts w:hint="eastAsia" w:ascii="仿宋" w:hAnsi="仿宋" w:eastAsia="仿宋" w:cs="仿宋"/>
          <w:highlight w:val="none"/>
        </w:rPr>
        <w:t>说明：</w:t>
      </w:r>
    </w:p>
    <w:p w14:paraId="42395522">
      <w:pPr>
        <w:numPr>
          <w:ilvl w:val="1"/>
          <w:numId w:val="9"/>
        </w:numPr>
        <w:spacing w:line="300" w:lineRule="auto"/>
        <w:rPr>
          <w:rFonts w:hint="eastAsia" w:ascii="仿宋" w:hAnsi="仿宋" w:eastAsia="仿宋" w:cs="仿宋"/>
          <w:highlight w:val="none"/>
          <w:lang w:eastAsia="zh-CN"/>
        </w:rPr>
      </w:pPr>
      <w:r>
        <w:rPr>
          <w:rFonts w:hint="eastAsia" w:ascii="仿宋" w:hAnsi="仿宋" w:eastAsia="仿宋" w:cs="仿宋"/>
          <w:highlight w:val="none"/>
          <w:lang w:eastAsia="zh-CN"/>
        </w:rPr>
        <w:t>上述各项中用“√”表示通过，“×”表示不通过；</w:t>
      </w:r>
    </w:p>
    <w:p w14:paraId="7B9783A2">
      <w:pPr>
        <w:numPr>
          <w:ilvl w:val="1"/>
          <w:numId w:val="9"/>
        </w:numPr>
        <w:spacing w:line="300" w:lineRule="auto"/>
        <w:rPr>
          <w:rFonts w:hint="eastAsia" w:ascii="仿宋" w:hAnsi="仿宋" w:eastAsia="仿宋" w:cs="仿宋"/>
          <w:highlight w:val="none"/>
          <w:lang w:eastAsia="zh-CN"/>
        </w:rPr>
      </w:pPr>
      <w:r>
        <w:rPr>
          <w:rFonts w:hint="eastAsia" w:ascii="仿宋" w:hAnsi="仿宋" w:eastAsia="仿宋" w:cs="仿宋"/>
          <w:highlight w:val="none"/>
          <w:lang w:eastAsia="zh-CN"/>
        </w:rPr>
        <w:t>上述各项中如有一项为“×”，则结论为“×”，表示该投标文件中存在重大偏差，不能通过初步评审；评委对某一分项评审认为不合格时，必须要写明原因。</w:t>
      </w:r>
    </w:p>
    <w:p w14:paraId="34DA8C06">
      <w:pPr>
        <w:numPr>
          <w:ilvl w:val="1"/>
          <w:numId w:val="9"/>
        </w:numPr>
        <w:spacing w:line="300" w:lineRule="auto"/>
        <w:rPr>
          <w:rFonts w:hint="eastAsia" w:ascii="仿宋" w:hAnsi="仿宋" w:eastAsia="仿宋" w:cs="仿宋"/>
          <w:highlight w:val="none"/>
          <w:lang w:eastAsia="zh-CN"/>
        </w:rPr>
      </w:pPr>
      <w:r>
        <w:rPr>
          <w:rFonts w:hint="eastAsia" w:ascii="仿宋" w:hAnsi="仿宋" w:eastAsia="仿宋" w:cs="仿宋"/>
          <w:highlight w:val="none"/>
          <w:lang w:eastAsia="zh-CN"/>
        </w:rPr>
        <w:t>投标文件最终合格与否，以所有评委的评审意见中少数服从多数为原则定论。</w:t>
      </w:r>
    </w:p>
    <w:p w14:paraId="3D88A9CB">
      <w:pPr>
        <w:spacing w:line="300" w:lineRule="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注：如果投标文件中有一项未通过上述审查标准，评标委员会将认定整个投标文件未响应招标文件而予以废标处理。</w:t>
      </w:r>
    </w:p>
    <w:p w14:paraId="1CAA603F">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4F396D5">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3.3.3投标文件正本、副本以骑缝章的形式代替投标文件内容逐页盖章的（但是骑缝章模糊不清，印章名称无法辨认的除外）本项目不作为实质性要求进行规定，即不作为符合性审查事项，不得作为无效投标处理：</w:t>
      </w:r>
    </w:p>
    <w:p w14:paraId="06199747">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3.3.4投标人有下列情形之一的,评标委员会认定为投标人串通投标，其投标无效，书面报告财政部门：</w:t>
      </w:r>
    </w:p>
    <w:p w14:paraId="4228C5EA">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（1）不同投标人的投标文件由同一单位或者个人编制；</w:t>
      </w:r>
    </w:p>
    <w:p w14:paraId="46A017AD">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（2）不同投标人委托同一单位或者个人办理投标事宜；</w:t>
      </w:r>
    </w:p>
    <w:p w14:paraId="3E58E0B3">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（3）不同投标人的投标文件载明的项目管理成员或者联系人员为同一人；</w:t>
      </w:r>
    </w:p>
    <w:p w14:paraId="14754070">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（4）不同投标人的投标文件异常一致或者投标报价呈规律性差异；</w:t>
      </w:r>
    </w:p>
    <w:p w14:paraId="548DB34D">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（5）不同投标人的投标文件相互混装；</w:t>
      </w:r>
    </w:p>
    <w:p w14:paraId="64DF4DCD">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3.4比较与评价。按招标文件中规定的评标方法和标准，对未作无效投标处理的投标文件进行技术、服务、商务等方面评估，综合比较与评价。</w:t>
      </w:r>
    </w:p>
    <w:p w14:paraId="7C92C918">
      <w:pPr>
        <w:pStyle w:val="8"/>
        <w:keepNext w:val="0"/>
        <w:keepLines w:val="0"/>
        <w:pageBreakBefore w:val="0"/>
        <w:widowControl/>
        <w:tabs>
          <w:tab w:val="left" w:pos="567"/>
        </w:tabs>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highlight w:val="none"/>
          <w:lang w:eastAsia="zh-CN"/>
        </w:rPr>
      </w:pPr>
      <w:r>
        <w:rPr>
          <w:rFonts w:hint="eastAsia" w:ascii="仿宋" w:hAnsi="仿宋" w:eastAsia="仿宋" w:cs="仿宋"/>
          <w:iCs/>
          <w:color w:val="auto"/>
          <w:sz w:val="24"/>
          <w:szCs w:val="24"/>
          <w:highlight w:val="none"/>
          <w:lang w:eastAsia="zh-CN"/>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14:paraId="42D210CF">
      <w:pPr>
        <w:pStyle w:val="8"/>
        <w:keepNext w:val="0"/>
        <w:keepLines w:val="0"/>
        <w:pageBreakBefore w:val="0"/>
        <w:kinsoku/>
        <w:wordWrap/>
        <w:overflowPunct/>
        <w:topLinePunct w:val="0"/>
        <w:bidi w:val="0"/>
        <w:spacing w:before="0" w:line="360" w:lineRule="exact"/>
        <w:ind w:firstLine="482"/>
        <w:rPr>
          <w:rFonts w:hint="default" w:ascii="仿宋" w:hAnsi="仿宋" w:eastAsia="仿宋_GB2312" w:cs="仿宋"/>
          <w:b/>
          <w:bCs/>
          <w:iCs/>
          <w:spacing w:val="0"/>
          <w:w w:val="90"/>
          <w:sz w:val="22"/>
          <w:szCs w:val="22"/>
          <w:highlight w:val="none"/>
          <w:lang w:val="en-US" w:eastAsia="zh-CN"/>
        </w:rPr>
      </w:pPr>
      <w:r>
        <w:rPr>
          <w:rFonts w:hint="eastAsia" w:ascii="仿宋_GB2312" w:hAnsi="仿宋_GB2312" w:eastAsia="仿宋_GB2312" w:cs="仿宋_GB2312"/>
          <w:b/>
          <w:bCs/>
          <w:iCs/>
          <w:sz w:val="22"/>
          <w:szCs w:val="22"/>
          <w:highlight w:val="none"/>
        </w:rPr>
        <w:t>详细评分表：</w:t>
      </w:r>
      <w:r>
        <w:rPr>
          <w:rFonts w:hint="eastAsia" w:ascii="仿宋_GB2312" w:hAnsi="仿宋_GB2312" w:eastAsia="仿宋_GB2312" w:cs="仿宋_GB2312"/>
          <w:b/>
          <w:bCs/>
          <w:iCs/>
          <w:sz w:val="22"/>
          <w:szCs w:val="22"/>
          <w:highlight w:val="none"/>
          <w:lang w:val="en-US" w:eastAsia="zh-CN"/>
        </w:rPr>
        <w:t>评分表</w:t>
      </w:r>
    </w:p>
    <w:p w14:paraId="7B0E9217">
      <w:pPr>
        <w:pStyle w:val="8"/>
        <w:keepNext w:val="0"/>
        <w:keepLines w:val="0"/>
        <w:pageBreakBefore w:val="0"/>
        <w:kinsoku/>
        <w:wordWrap/>
        <w:overflowPunct/>
        <w:topLinePunct w:val="0"/>
        <w:autoSpaceDE/>
        <w:autoSpaceDN/>
        <w:bidi w:val="0"/>
        <w:spacing w:before="0" w:line="260" w:lineRule="exact"/>
        <w:ind w:firstLine="481"/>
        <w:rPr>
          <w:rFonts w:hint="eastAsia" w:ascii="方正公文仿宋" w:hAnsi="方正公文仿宋" w:eastAsia="方正公文仿宋" w:cs="方正公文仿宋"/>
          <w:b/>
          <w:bCs/>
          <w:iCs/>
          <w:spacing w:val="0"/>
          <w:w w:val="90"/>
          <w:sz w:val="22"/>
          <w:szCs w:val="22"/>
          <w:highlight w:val="none"/>
        </w:rPr>
      </w:pPr>
      <w:r>
        <w:rPr>
          <w:rFonts w:hint="eastAsia" w:ascii="方正公文仿宋" w:hAnsi="方正公文仿宋" w:eastAsia="方正公文仿宋" w:cs="方正公文仿宋"/>
          <w:b/>
          <w:bCs/>
          <w:iCs/>
          <w:spacing w:val="0"/>
          <w:w w:val="90"/>
          <w:sz w:val="22"/>
          <w:szCs w:val="22"/>
          <w:highlight w:val="none"/>
        </w:rPr>
        <w:t>1、报价得分（</w:t>
      </w:r>
      <w:r>
        <w:rPr>
          <w:rFonts w:hint="eastAsia" w:ascii="方正公文仿宋" w:hAnsi="方正公文仿宋" w:eastAsia="方正公文仿宋" w:cs="方正公文仿宋"/>
          <w:b/>
          <w:spacing w:val="0"/>
          <w:w w:val="90"/>
          <w:sz w:val="22"/>
          <w:szCs w:val="22"/>
          <w:highlight w:val="none"/>
        </w:rPr>
        <w:t>占总分值的</w:t>
      </w:r>
      <w:r>
        <w:rPr>
          <w:rFonts w:hint="eastAsia" w:ascii="方正公文仿宋" w:hAnsi="方正公文仿宋" w:eastAsia="方正公文仿宋" w:cs="方正公文仿宋"/>
          <w:b/>
          <w:spacing w:val="0"/>
          <w:w w:val="90"/>
          <w:sz w:val="22"/>
          <w:szCs w:val="22"/>
          <w:highlight w:val="none"/>
          <w:lang w:val="en-US" w:eastAsia="zh-CN"/>
        </w:rPr>
        <w:t>35</w:t>
      </w:r>
      <w:r>
        <w:rPr>
          <w:rFonts w:hint="eastAsia" w:ascii="方正公文仿宋" w:hAnsi="方正公文仿宋" w:eastAsia="方正公文仿宋" w:cs="方正公文仿宋"/>
          <w:b/>
          <w:spacing w:val="0"/>
          <w:w w:val="90"/>
          <w:sz w:val="22"/>
          <w:szCs w:val="22"/>
          <w:highlight w:val="none"/>
        </w:rPr>
        <w:t>%</w:t>
      </w:r>
      <w:r>
        <w:rPr>
          <w:rFonts w:hint="eastAsia" w:ascii="方正公文仿宋" w:hAnsi="方正公文仿宋" w:eastAsia="方正公文仿宋" w:cs="方正公文仿宋"/>
          <w:b/>
          <w:bCs/>
          <w:iCs/>
          <w:spacing w:val="0"/>
          <w:w w:val="90"/>
          <w:sz w:val="22"/>
          <w:szCs w:val="22"/>
          <w:highlight w:val="none"/>
        </w:rPr>
        <w:t>）</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6"/>
        <w:gridCol w:w="7579"/>
      </w:tblGrid>
      <w:tr w14:paraId="268B6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37DD7DE">
            <w:pPr>
              <w:pStyle w:val="55"/>
              <w:keepNext w:val="0"/>
              <w:keepLines w:val="0"/>
              <w:pageBreakBefore w:val="0"/>
              <w:kinsoku/>
              <w:wordWrap/>
              <w:overflowPunct/>
              <w:topLinePunct w:val="0"/>
              <w:autoSpaceDE/>
              <w:autoSpaceDN/>
              <w:bidi w:val="0"/>
              <w:snapToGrid/>
              <w:spacing w:before="0" w:after="0" w:line="260" w:lineRule="exact"/>
              <w:ind w:firstLine="0"/>
              <w:jc w:val="center"/>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spacing w:val="0"/>
                <w:w w:val="90"/>
                <w:sz w:val="22"/>
                <w:szCs w:val="22"/>
                <w:highlight w:val="none"/>
              </w:rPr>
              <w:t>评审项目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37670A">
            <w:pPr>
              <w:pStyle w:val="55"/>
              <w:keepNext w:val="0"/>
              <w:keepLines w:val="0"/>
              <w:pageBreakBefore w:val="0"/>
              <w:kinsoku/>
              <w:wordWrap/>
              <w:overflowPunct/>
              <w:topLinePunct w:val="0"/>
              <w:autoSpaceDE/>
              <w:autoSpaceDN/>
              <w:bidi w:val="0"/>
              <w:snapToGrid/>
              <w:spacing w:before="0" w:after="0" w:line="260" w:lineRule="exact"/>
              <w:ind w:firstLine="0"/>
              <w:jc w:val="center"/>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spacing w:val="0"/>
                <w:w w:val="90"/>
                <w:sz w:val="22"/>
                <w:szCs w:val="22"/>
                <w:highlight w:val="none"/>
              </w:rPr>
              <w:t>评分标准</w:t>
            </w:r>
          </w:p>
        </w:tc>
      </w:tr>
      <w:tr w14:paraId="53D5F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1886E64">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spacing w:val="0"/>
                <w:w w:val="90"/>
                <w:sz w:val="22"/>
                <w:szCs w:val="22"/>
                <w:highlight w:val="none"/>
              </w:rPr>
              <w:t>投标人报价（</w:t>
            </w:r>
            <w:r>
              <w:rPr>
                <w:rFonts w:hint="eastAsia" w:ascii="方正公文仿宋" w:hAnsi="方正公文仿宋" w:eastAsia="方正公文仿宋" w:cs="方正公文仿宋"/>
                <w:spacing w:val="0"/>
                <w:w w:val="90"/>
                <w:sz w:val="22"/>
                <w:szCs w:val="22"/>
                <w:highlight w:val="none"/>
                <w:lang w:val="en-US" w:eastAsia="zh-CN"/>
              </w:rPr>
              <w:t>35</w:t>
            </w:r>
            <w:r>
              <w:rPr>
                <w:rFonts w:hint="eastAsia" w:ascii="方正公文仿宋" w:hAnsi="方正公文仿宋" w:eastAsia="方正公文仿宋" w:cs="方正公文仿宋"/>
                <w:spacing w:val="0"/>
                <w:w w:val="90"/>
                <w:sz w:val="22"/>
                <w:szCs w:val="22"/>
                <w:highlight w:val="non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F8B3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方正公文仿宋" w:hAnsi="方正公文仿宋" w:eastAsia="方正公文仿宋" w:cs="方正公文仿宋"/>
                <w:spacing w:val="0"/>
                <w:w w:val="90"/>
                <w:sz w:val="22"/>
                <w:szCs w:val="22"/>
                <w:highlight w:val="none"/>
              </w:rPr>
            </w:pPr>
            <w:r>
              <w:rPr>
                <w:rFonts w:hint="eastAsia" w:ascii="方正公文仿宋" w:hAnsi="方正公文仿宋" w:eastAsia="方正公文仿宋" w:cs="方正公文仿宋"/>
                <w:color w:val="auto"/>
                <w:spacing w:val="0"/>
                <w:sz w:val="22"/>
                <w:szCs w:val="22"/>
                <w:highlight w:val="none"/>
              </w:rPr>
              <w:t>评标基准价=有效投标报价的最低值，有效投标报价等于基准值的得满分</w:t>
            </w:r>
            <w:r>
              <w:rPr>
                <w:rFonts w:hint="eastAsia" w:ascii="方正公文仿宋" w:hAnsi="方正公文仿宋" w:eastAsia="方正公文仿宋" w:cs="方正公文仿宋"/>
                <w:color w:val="auto"/>
                <w:spacing w:val="0"/>
                <w:sz w:val="22"/>
                <w:szCs w:val="22"/>
                <w:highlight w:val="none"/>
                <w:lang w:val="en-US" w:eastAsia="zh-CN"/>
              </w:rPr>
              <w:t>35</w:t>
            </w:r>
            <w:r>
              <w:rPr>
                <w:rFonts w:hint="eastAsia" w:ascii="方正公文仿宋" w:hAnsi="方正公文仿宋" w:eastAsia="方正公文仿宋" w:cs="方正公文仿宋"/>
                <w:color w:val="auto"/>
                <w:spacing w:val="0"/>
                <w:sz w:val="22"/>
                <w:szCs w:val="22"/>
                <w:highlight w:val="none"/>
              </w:rPr>
              <w:t>分，投标报价得分=（评标基准价/投标报价）×价格权重×100；有效投标报价为通过资格性和符合性审查的供应商报价。计算分数时四舍五入取小数点后两位,分数最高不超过</w:t>
            </w:r>
            <w:r>
              <w:rPr>
                <w:rFonts w:hint="eastAsia" w:ascii="方正公文仿宋" w:hAnsi="方正公文仿宋" w:eastAsia="方正公文仿宋" w:cs="方正公文仿宋"/>
                <w:color w:val="auto"/>
                <w:spacing w:val="0"/>
                <w:sz w:val="22"/>
                <w:szCs w:val="22"/>
                <w:highlight w:val="none"/>
                <w:lang w:val="en-US" w:eastAsia="zh-CN"/>
              </w:rPr>
              <w:t>35</w:t>
            </w:r>
            <w:r>
              <w:rPr>
                <w:rFonts w:hint="eastAsia" w:ascii="方正公文仿宋" w:hAnsi="方正公文仿宋" w:eastAsia="方正公文仿宋" w:cs="方正公文仿宋"/>
                <w:color w:val="auto"/>
                <w:spacing w:val="0"/>
                <w:sz w:val="22"/>
                <w:szCs w:val="22"/>
                <w:highlight w:val="none"/>
              </w:rPr>
              <w:t>分。评标过程中，不得去掉报价中的最低和最高报价。因落实政府采购政策进行价格调整的，以调整后的价格计算评标基准价和投标报价。对于经主管预算单位统筹后未预留份额专门面向中小企业采购的采购项目，以及预留份额项目中的非预留部分采购包，采购人、采购代理机构应当对符合本办法规定的小微企业报价给予 10%（工程项目为3%—5%）的扣除，用扣除后的价格参加评审。</w:t>
            </w:r>
          </w:p>
        </w:tc>
      </w:tr>
    </w:tbl>
    <w:p w14:paraId="7C467B7A">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721AC389">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9C59042">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3C41D37">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1AC50109">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C6D2F60">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p>
    <w:p w14:paraId="4595D869">
      <w:pPr>
        <w:keepNext w:val="0"/>
        <w:keepLines w:val="0"/>
        <w:pageBreakBefore w:val="0"/>
        <w:kinsoku/>
        <w:wordWrap/>
        <w:overflowPunct/>
        <w:topLinePunct w:val="0"/>
        <w:autoSpaceDE/>
        <w:autoSpaceDN/>
        <w:bidi w:val="0"/>
        <w:spacing w:line="260" w:lineRule="exact"/>
        <w:jc w:val="left"/>
        <w:rPr>
          <w:rFonts w:hint="eastAsia" w:ascii="方正公文仿宋" w:hAnsi="方正公文仿宋" w:eastAsia="方正公文仿宋" w:cs="方正公文仿宋"/>
          <w:b/>
          <w:spacing w:val="0"/>
          <w:w w:val="90"/>
          <w:sz w:val="22"/>
          <w:szCs w:val="22"/>
          <w:highlight w:val="none"/>
        </w:rPr>
      </w:pPr>
      <w:r>
        <w:rPr>
          <w:rFonts w:hint="eastAsia" w:ascii="方正公文仿宋" w:hAnsi="方正公文仿宋" w:eastAsia="方正公文仿宋" w:cs="方正公文仿宋"/>
          <w:b/>
          <w:spacing w:val="0"/>
          <w:w w:val="90"/>
          <w:sz w:val="22"/>
          <w:szCs w:val="22"/>
          <w:highlight w:val="none"/>
        </w:rPr>
        <w:t>2.技术部分（占总分值的</w:t>
      </w:r>
      <w:r>
        <w:rPr>
          <w:rFonts w:hint="eastAsia" w:ascii="方正公文仿宋" w:hAnsi="方正公文仿宋" w:eastAsia="方正公文仿宋" w:cs="方正公文仿宋"/>
          <w:b/>
          <w:spacing w:val="0"/>
          <w:w w:val="90"/>
          <w:sz w:val="22"/>
          <w:szCs w:val="22"/>
          <w:highlight w:val="none"/>
          <w:lang w:val="en-US" w:eastAsia="zh-CN"/>
        </w:rPr>
        <w:t>65</w:t>
      </w:r>
      <w:r>
        <w:rPr>
          <w:rFonts w:hint="eastAsia" w:ascii="方正公文仿宋" w:hAnsi="方正公文仿宋" w:eastAsia="方正公文仿宋" w:cs="方正公文仿宋"/>
          <w:b/>
          <w:spacing w:val="0"/>
          <w:w w:val="90"/>
          <w:sz w:val="22"/>
          <w:szCs w:val="22"/>
          <w:highlight w:val="none"/>
        </w:rPr>
        <w:t>%）</w:t>
      </w:r>
    </w:p>
    <w:p w14:paraId="018A3857">
      <w:pPr>
        <w:spacing w:before="23" w:line="229" w:lineRule="auto"/>
        <w:ind w:right="130"/>
        <w:jc w:val="both"/>
        <w:rPr>
          <w:rFonts w:hint="eastAsia" w:ascii="仿宋" w:hAnsi="仿宋" w:eastAsia="仿宋" w:cs="仿宋"/>
          <w:b/>
          <w:bCs/>
          <w:color w:val="FF0000"/>
          <w:spacing w:val="-1"/>
          <w:sz w:val="22"/>
          <w:szCs w:val="22"/>
          <w:highlight w:val="none"/>
          <w:lang w:val="en-US" w:eastAsia="zh-CN"/>
        </w:rPr>
      </w:pPr>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00"/>
        <w:gridCol w:w="5059"/>
      </w:tblGrid>
      <w:tr w14:paraId="547F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0" w:type="dxa"/>
            <w:vAlign w:val="center"/>
          </w:tcPr>
          <w:p w14:paraId="66630D64">
            <w:pPr>
              <w:widowControl/>
              <w:jc w:val="center"/>
              <w:rPr>
                <w:rFonts w:eastAsia="仿宋"/>
                <w:b/>
                <w:bCs/>
                <w:color w:val="000000"/>
                <w:kern w:val="0"/>
                <w:szCs w:val="21"/>
              </w:rPr>
            </w:pPr>
            <w:r>
              <w:rPr>
                <w:rFonts w:eastAsia="仿宋"/>
                <w:b/>
                <w:bCs/>
                <w:color w:val="000000"/>
                <w:kern w:val="0"/>
                <w:szCs w:val="21"/>
              </w:rPr>
              <w:t>序号</w:t>
            </w:r>
          </w:p>
        </w:tc>
        <w:tc>
          <w:tcPr>
            <w:tcW w:w="1100" w:type="dxa"/>
            <w:vAlign w:val="center"/>
          </w:tcPr>
          <w:p w14:paraId="7476B73A">
            <w:pPr>
              <w:widowControl/>
              <w:jc w:val="center"/>
              <w:rPr>
                <w:rFonts w:eastAsia="仿宋"/>
                <w:b/>
                <w:bCs/>
                <w:color w:val="000000"/>
                <w:kern w:val="0"/>
                <w:szCs w:val="21"/>
              </w:rPr>
            </w:pPr>
            <w:r>
              <w:rPr>
                <w:rFonts w:eastAsia="仿宋"/>
                <w:b/>
                <w:bCs/>
                <w:color w:val="000000"/>
                <w:kern w:val="0"/>
                <w:szCs w:val="21"/>
              </w:rPr>
              <w:t>评分因素及权重</w:t>
            </w:r>
          </w:p>
        </w:tc>
        <w:tc>
          <w:tcPr>
            <w:tcW w:w="1100" w:type="dxa"/>
            <w:vAlign w:val="center"/>
          </w:tcPr>
          <w:p w14:paraId="049E4466">
            <w:pPr>
              <w:widowControl/>
              <w:jc w:val="center"/>
              <w:rPr>
                <w:rFonts w:eastAsia="仿宋"/>
                <w:b/>
                <w:bCs/>
                <w:color w:val="000000"/>
                <w:kern w:val="0"/>
                <w:szCs w:val="21"/>
              </w:rPr>
            </w:pPr>
            <w:r>
              <w:rPr>
                <w:rFonts w:eastAsia="仿宋"/>
                <w:b/>
                <w:bCs/>
                <w:color w:val="000000"/>
                <w:kern w:val="0"/>
                <w:szCs w:val="21"/>
              </w:rPr>
              <w:t>分值</w:t>
            </w:r>
          </w:p>
        </w:tc>
        <w:tc>
          <w:tcPr>
            <w:tcW w:w="5059" w:type="dxa"/>
            <w:vAlign w:val="center"/>
          </w:tcPr>
          <w:p w14:paraId="1A2D995F">
            <w:pPr>
              <w:widowControl/>
              <w:jc w:val="center"/>
              <w:rPr>
                <w:rFonts w:eastAsia="仿宋"/>
                <w:b/>
                <w:bCs/>
                <w:color w:val="000000"/>
                <w:kern w:val="0"/>
                <w:szCs w:val="21"/>
              </w:rPr>
            </w:pPr>
            <w:r>
              <w:rPr>
                <w:rFonts w:eastAsia="仿宋"/>
                <w:b/>
                <w:bCs/>
                <w:color w:val="000000"/>
                <w:kern w:val="0"/>
                <w:szCs w:val="21"/>
              </w:rPr>
              <w:t>评分标准</w:t>
            </w:r>
          </w:p>
        </w:tc>
      </w:tr>
      <w:tr w14:paraId="2D74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100" w:type="dxa"/>
            <w:vMerge w:val="restart"/>
            <w:vAlign w:val="center"/>
          </w:tcPr>
          <w:p w14:paraId="7E224F21">
            <w:pPr>
              <w:widowControl/>
              <w:jc w:val="center"/>
              <w:rPr>
                <w:rFonts w:eastAsia="仿宋"/>
                <w:color w:val="000000"/>
                <w:kern w:val="0"/>
                <w:szCs w:val="21"/>
              </w:rPr>
            </w:pPr>
            <w:r>
              <w:rPr>
                <w:rFonts w:eastAsia="仿宋"/>
                <w:color w:val="000000"/>
                <w:kern w:val="0"/>
                <w:szCs w:val="21"/>
              </w:rPr>
              <w:t>技术评审（</w:t>
            </w:r>
            <w:r>
              <w:rPr>
                <w:rFonts w:hint="eastAsia" w:eastAsia="仿宋"/>
                <w:color w:val="000000"/>
                <w:kern w:val="0"/>
                <w:szCs w:val="21"/>
                <w:lang w:val="en-US" w:eastAsia="zh-CN"/>
              </w:rPr>
              <w:t>55</w:t>
            </w:r>
            <w:r>
              <w:rPr>
                <w:rFonts w:eastAsia="仿宋"/>
                <w:color w:val="000000"/>
                <w:kern w:val="0"/>
                <w:szCs w:val="21"/>
              </w:rPr>
              <w:t>分）</w:t>
            </w:r>
          </w:p>
        </w:tc>
        <w:tc>
          <w:tcPr>
            <w:tcW w:w="1100" w:type="dxa"/>
            <w:vMerge w:val="restart"/>
            <w:vAlign w:val="center"/>
          </w:tcPr>
          <w:p w14:paraId="4C940C06">
            <w:pPr>
              <w:widowControl/>
              <w:jc w:val="center"/>
              <w:rPr>
                <w:rFonts w:eastAsia="仿宋"/>
                <w:color w:val="000000"/>
                <w:kern w:val="0"/>
                <w:szCs w:val="21"/>
              </w:rPr>
            </w:pPr>
            <w:r>
              <w:rPr>
                <w:rFonts w:eastAsia="仿宋"/>
                <w:color w:val="000000"/>
                <w:kern w:val="0"/>
                <w:szCs w:val="21"/>
              </w:rPr>
              <w:t>技术部分</w:t>
            </w:r>
          </w:p>
        </w:tc>
        <w:tc>
          <w:tcPr>
            <w:tcW w:w="1100" w:type="dxa"/>
            <w:vAlign w:val="center"/>
          </w:tcPr>
          <w:p w14:paraId="2513390A">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配置及性能指标</w:t>
            </w:r>
          </w:p>
          <w:p w14:paraId="0A406C33">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（40分）</w:t>
            </w:r>
          </w:p>
        </w:tc>
        <w:tc>
          <w:tcPr>
            <w:tcW w:w="5059" w:type="dxa"/>
            <w:vAlign w:val="center"/>
          </w:tcPr>
          <w:p w14:paraId="6C305054">
            <w:pPr>
              <w:keepNext w:val="0"/>
              <w:keepLines w:val="0"/>
              <w:pageBreakBefore w:val="0"/>
              <w:kinsoku/>
              <w:wordWrap/>
              <w:overflowPunct/>
              <w:topLinePunct w:val="0"/>
              <w:autoSpaceDE/>
              <w:autoSpaceDN/>
              <w:bidi w:val="0"/>
              <w:snapToGrid/>
              <w:spacing w:line="260" w:lineRule="exact"/>
              <w:rPr>
                <w:rFonts w:hint="default"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1.对《采购需求》中带“★”重要参数，优于或完全符合采购文件要求的带“★”的10项得15分，偏离1项扣1.5分，扣完为止。</w:t>
            </w:r>
          </w:p>
          <w:p w14:paraId="0E9062E3">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2.不带“★”一般参数优于或完全符合采购文件要求的得20分，每负偏离1项扣1分，扣完为止。注：对采购需求书技术要求参数中带“★”号的条款，要求提供相关证明资料的，则投标文件须提供对应参数的证明资料，否则不得分。</w:t>
            </w:r>
          </w:p>
          <w:p w14:paraId="36C15AD5">
            <w:pPr>
              <w:keepNext w:val="0"/>
              <w:keepLines w:val="0"/>
              <w:pageBreakBefore w:val="0"/>
              <w:kinsoku/>
              <w:wordWrap/>
              <w:overflowPunct/>
              <w:topLinePunct w:val="0"/>
              <w:autoSpaceDE/>
              <w:autoSpaceDN/>
              <w:bidi w:val="0"/>
              <w:snapToGrid/>
              <w:spacing w:line="260" w:lineRule="exact"/>
              <w:rPr>
                <w:rFonts w:hint="default"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3.本项目要求:投标人须具有独立法人资格，具备承担本项目货物供应，人员培训，心理健康咨询，心理辅导室建设及配套相关服务的履约能力。提供的相关证明资料齐全得5分，提供的证明资料不齐全或不提供不得分。</w:t>
            </w:r>
          </w:p>
        </w:tc>
      </w:tr>
      <w:tr w14:paraId="52FE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0" w:type="dxa"/>
            <w:vMerge w:val="continue"/>
            <w:vAlign w:val="center"/>
          </w:tcPr>
          <w:p w14:paraId="0AA9D3ED">
            <w:pPr>
              <w:widowControl/>
              <w:jc w:val="left"/>
              <w:rPr>
                <w:rFonts w:eastAsia="仿宋"/>
                <w:color w:val="000000"/>
                <w:kern w:val="0"/>
                <w:szCs w:val="21"/>
              </w:rPr>
            </w:pPr>
          </w:p>
        </w:tc>
        <w:tc>
          <w:tcPr>
            <w:tcW w:w="1100" w:type="dxa"/>
            <w:vMerge w:val="continue"/>
            <w:vAlign w:val="center"/>
          </w:tcPr>
          <w:p w14:paraId="0F9B7B63">
            <w:pPr>
              <w:widowControl/>
              <w:jc w:val="left"/>
              <w:rPr>
                <w:rFonts w:eastAsia="仿宋"/>
                <w:color w:val="000000"/>
                <w:kern w:val="0"/>
                <w:szCs w:val="21"/>
              </w:rPr>
            </w:pPr>
          </w:p>
        </w:tc>
        <w:tc>
          <w:tcPr>
            <w:tcW w:w="1100" w:type="dxa"/>
            <w:vAlign w:val="center"/>
          </w:tcPr>
          <w:p w14:paraId="6174E4E8">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培训方案 （10分）</w:t>
            </w:r>
          </w:p>
        </w:tc>
        <w:tc>
          <w:tcPr>
            <w:tcW w:w="5059" w:type="dxa"/>
            <w:vAlign w:val="center"/>
          </w:tcPr>
          <w:p w14:paraId="13F5FAFD">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培训方案包括：①培训方式；②培训目标；③培训人员；④培训内容；⑤培训承诺。对投标人提供的培训方案进行评价，全部符合实际需求并有印证材料</w:t>
            </w:r>
            <w:r>
              <w:rPr>
                <w:rFonts w:hint="default" w:ascii="方正公文仿宋" w:hAnsi="方正公文仿宋" w:eastAsia="方正公文仿宋" w:cs="方正公文仿宋"/>
                <w:color w:val="000000"/>
                <w:kern w:val="2"/>
                <w:sz w:val="22"/>
                <w:szCs w:val="22"/>
                <w:highlight w:val="none"/>
                <w:lang w:val="en-US" w:eastAsia="zh-CN" w:bidi="ar-SA"/>
              </w:rPr>
              <w:t>每项得2分</w:t>
            </w:r>
            <w:r>
              <w:rPr>
                <w:rFonts w:hint="eastAsia" w:ascii="方正公文仿宋" w:hAnsi="方正公文仿宋" w:eastAsia="方正公文仿宋" w:cs="方正公文仿宋"/>
                <w:color w:val="000000"/>
                <w:kern w:val="2"/>
                <w:sz w:val="22"/>
                <w:szCs w:val="22"/>
                <w:highlight w:val="none"/>
                <w:lang w:val="en-US" w:eastAsia="zh-CN" w:bidi="ar-SA"/>
              </w:rPr>
              <w:t>，最高得10分</w:t>
            </w:r>
            <w:r>
              <w:rPr>
                <w:rFonts w:hint="default" w:ascii="方正公文仿宋" w:hAnsi="方正公文仿宋" w:eastAsia="方正公文仿宋" w:cs="方正公文仿宋"/>
                <w:color w:val="000000"/>
                <w:kern w:val="2"/>
                <w:sz w:val="22"/>
                <w:szCs w:val="22"/>
                <w:highlight w:val="none"/>
                <w:lang w:val="en-US" w:eastAsia="zh-CN" w:bidi="ar-SA"/>
              </w:rPr>
              <w:t>，若存在</w:t>
            </w:r>
            <w:r>
              <w:rPr>
                <w:rFonts w:hint="eastAsia" w:ascii="方正公文仿宋" w:hAnsi="方正公文仿宋" w:eastAsia="方正公文仿宋" w:cs="方正公文仿宋"/>
                <w:color w:val="000000"/>
                <w:kern w:val="2"/>
                <w:sz w:val="22"/>
                <w:szCs w:val="22"/>
                <w:highlight w:val="none"/>
                <w:lang w:val="en-US" w:eastAsia="zh-CN" w:bidi="ar-SA"/>
              </w:rPr>
              <w:t>缺项漏项</w:t>
            </w:r>
            <w:r>
              <w:rPr>
                <w:rFonts w:hint="default" w:ascii="方正公文仿宋" w:hAnsi="方正公文仿宋" w:eastAsia="方正公文仿宋" w:cs="方正公文仿宋"/>
                <w:color w:val="000000"/>
                <w:kern w:val="2"/>
                <w:sz w:val="22"/>
                <w:szCs w:val="22"/>
                <w:highlight w:val="none"/>
                <w:lang w:val="en-US" w:eastAsia="zh-CN" w:bidi="ar-SA"/>
              </w:rPr>
              <w:t>的每项得1</w:t>
            </w:r>
            <w:r>
              <w:rPr>
                <w:rFonts w:hint="eastAsia" w:ascii="方正公文仿宋" w:hAnsi="方正公文仿宋" w:eastAsia="方正公文仿宋" w:cs="方正公文仿宋"/>
                <w:color w:val="000000"/>
                <w:kern w:val="2"/>
                <w:sz w:val="22"/>
                <w:szCs w:val="22"/>
                <w:highlight w:val="none"/>
                <w:lang w:val="en-US" w:eastAsia="zh-CN" w:bidi="ar-SA"/>
              </w:rPr>
              <w:t>分</w:t>
            </w:r>
            <w:r>
              <w:rPr>
                <w:rFonts w:hint="default" w:ascii="方正公文仿宋" w:hAnsi="方正公文仿宋" w:eastAsia="方正公文仿宋" w:cs="方正公文仿宋"/>
                <w:color w:val="000000"/>
                <w:kern w:val="2"/>
                <w:sz w:val="22"/>
                <w:szCs w:val="22"/>
                <w:highlight w:val="none"/>
                <w:lang w:val="en-US" w:eastAsia="zh-CN" w:bidi="ar-SA"/>
              </w:rPr>
              <w:t>。</w:t>
            </w:r>
            <w:r>
              <w:rPr>
                <w:rFonts w:hint="eastAsia" w:ascii="方正公文仿宋" w:hAnsi="方正公文仿宋" w:eastAsia="方正公文仿宋" w:cs="方正公文仿宋"/>
                <w:color w:val="000000"/>
                <w:kern w:val="2"/>
                <w:sz w:val="22"/>
                <w:szCs w:val="22"/>
                <w:highlight w:val="none"/>
                <w:lang w:val="en-US" w:eastAsia="zh-CN" w:bidi="ar-SA"/>
              </w:rPr>
              <w:t>不提供不得分。</w:t>
            </w:r>
          </w:p>
        </w:tc>
      </w:tr>
      <w:tr w14:paraId="2C25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100" w:type="dxa"/>
            <w:vMerge w:val="continue"/>
            <w:vAlign w:val="center"/>
          </w:tcPr>
          <w:p w14:paraId="135C9F5F">
            <w:pPr>
              <w:widowControl/>
              <w:jc w:val="left"/>
              <w:rPr>
                <w:rFonts w:eastAsia="仿宋"/>
                <w:color w:val="000000"/>
                <w:kern w:val="0"/>
                <w:szCs w:val="21"/>
              </w:rPr>
            </w:pPr>
          </w:p>
        </w:tc>
        <w:tc>
          <w:tcPr>
            <w:tcW w:w="1100" w:type="dxa"/>
            <w:vMerge w:val="continue"/>
            <w:vAlign w:val="center"/>
          </w:tcPr>
          <w:p w14:paraId="6A1F4B24">
            <w:pPr>
              <w:widowControl/>
              <w:jc w:val="left"/>
              <w:rPr>
                <w:rFonts w:eastAsia="仿宋"/>
                <w:color w:val="000000"/>
                <w:kern w:val="0"/>
                <w:szCs w:val="21"/>
              </w:rPr>
            </w:pPr>
          </w:p>
        </w:tc>
        <w:tc>
          <w:tcPr>
            <w:tcW w:w="1100" w:type="dxa"/>
            <w:vAlign w:val="center"/>
          </w:tcPr>
          <w:p w14:paraId="6854640F">
            <w:pPr>
              <w:keepNext w:val="0"/>
              <w:keepLines w:val="0"/>
              <w:pageBreakBefore w:val="0"/>
              <w:kinsoku/>
              <w:wordWrap/>
              <w:overflowPunct/>
              <w:topLinePunct w:val="0"/>
              <w:autoSpaceDE/>
              <w:autoSpaceDN/>
              <w:bidi w:val="0"/>
              <w:snapToGrid/>
              <w:spacing w:line="260" w:lineRule="exact"/>
              <w:rPr>
                <w:rFonts w:hint="eastAsia" w:ascii="方正公文仿宋" w:hAnsi="方正公文仿宋" w:eastAsia="方正公文仿宋" w:cs="方正公文仿宋"/>
                <w:color w:val="000000"/>
                <w:kern w:val="2"/>
                <w:sz w:val="22"/>
                <w:szCs w:val="22"/>
                <w:highlight w:val="none"/>
                <w:lang w:val="en-US" w:eastAsia="zh-CN" w:bidi="ar-SA"/>
              </w:rPr>
            </w:pPr>
            <w:r>
              <w:rPr>
                <w:rFonts w:hint="eastAsia" w:ascii="方正公文仿宋" w:hAnsi="方正公文仿宋" w:eastAsia="方正公文仿宋" w:cs="方正公文仿宋"/>
                <w:color w:val="000000"/>
                <w:kern w:val="2"/>
                <w:sz w:val="22"/>
                <w:szCs w:val="22"/>
                <w:highlight w:val="none"/>
                <w:lang w:val="en-US" w:eastAsia="zh-CN" w:bidi="ar-SA"/>
              </w:rPr>
              <w:t>应急处理方案</w:t>
            </w:r>
          </w:p>
          <w:p w14:paraId="78B2F237">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（5分）</w:t>
            </w:r>
          </w:p>
        </w:tc>
        <w:tc>
          <w:tcPr>
            <w:tcW w:w="5059" w:type="dxa"/>
            <w:vAlign w:val="center"/>
          </w:tcPr>
          <w:p w14:paraId="60AFE6C7">
            <w:pPr>
              <w:keepNext w:val="0"/>
              <w:keepLines w:val="0"/>
              <w:pageBreakBefore w:val="0"/>
              <w:kinsoku/>
              <w:wordWrap/>
              <w:overflowPunct/>
              <w:topLinePunct w:val="0"/>
              <w:autoSpaceDE/>
              <w:autoSpaceDN/>
              <w:bidi w:val="0"/>
              <w:snapToGrid/>
              <w:spacing w:line="260" w:lineRule="exact"/>
              <w:rPr>
                <w:rFonts w:eastAsia="仿宋"/>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应急处理方案包括①应急小组人员构成、②应急设备设施投入、③应急预案、④应急保障体系⑤应急响应时间。对投标人提供的应急方案进行评价，满足需求、完整合理并有印证材料</w:t>
            </w:r>
            <w:r>
              <w:rPr>
                <w:rFonts w:hint="default" w:ascii="方正公文仿宋" w:hAnsi="方正公文仿宋" w:eastAsia="方正公文仿宋" w:cs="方正公文仿宋"/>
                <w:color w:val="000000"/>
                <w:kern w:val="2"/>
                <w:sz w:val="22"/>
                <w:szCs w:val="22"/>
                <w:highlight w:val="none"/>
                <w:lang w:val="en-US" w:eastAsia="zh-CN" w:bidi="ar-SA"/>
              </w:rPr>
              <w:t>每项得1分，</w:t>
            </w:r>
            <w:r>
              <w:rPr>
                <w:rFonts w:hint="eastAsia" w:ascii="方正公文仿宋" w:hAnsi="方正公文仿宋" w:eastAsia="方正公文仿宋" w:cs="方正公文仿宋"/>
                <w:color w:val="000000"/>
                <w:kern w:val="2"/>
                <w:sz w:val="22"/>
                <w:szCs w:val="22"/>
                <w:highlight w:val="none"/>
                <w:lang w:val="en-US" w:eastAsia="zh-CN" w:bidi="ar-SA"/>
              </w:rPr>
              <w:t>最高得5分，</w:t>
            </w:r>
            <w:r>
              <w:rPr>
                <w:rFonts w:hint="default" w:ascii="方正公文仿宋" w:hAnsi="方正公文仿宋" w:eastAsia="方正公文仿宋" w:cs="方正公文仿宋"/>
                <w:color w:val="000000"/>
                <w:kern w:val="2"/>
                <w:sz w:val="22"/>
                <w:szCs w:val="22"/>
                <w:highlight w:val="none"/>
                <w:lang w:val="en-US" w:eastAsia="zh-CN" w:bidi="ar-SA"/>
              </w:rPr>
              <w:t>若存在</w:t>
            </w:r>
            <w:r>
              <w:rPr>
                <w:rFonts w:hint="eastAsia" w:ascii="方正公文仿宋" w:hAnsi="方正公文仿宋" w:eastAsia="方正公文仿宋" w:cs="方正公文仿宋"/>
                <w:color w:val="000000"/>
                <w:kern w:val="2"/>
                <w:sz w:val="22"/>
                <w:szCs w:val="22"/>
                <w:highlight w:val="none"/>
                <w:lang w:val="en-US" w:eastAsia="zh-CN" w:bidi="ar-SA"/>
              </w:rPr>
              <w:t>缺项漏项</w:t>
            </w:r>
            <w:r>
              <w:rPr>
                <w:rFonts w:hint="default" w:ascii="方正公文仿宋" w:hAnsi="方正公文仿宋" w:eastAsia="方正公文仿宋" w:cs="方正公文仿宋"/>
                <w:color w:val="000000"/>
                <w:kern w:val="2"/>
                <w:sz w:val="22"/>
                <w:szCs w:val="22"/>
                <w:highlight w:val="none"/>
                <w:lang w:val="en-US" w:eastAsia="zh-CN" w:bidi="ar-SA"/>
              </w:rPr>
              <w:t>的每项得0.5</w:t>
            </w:r>
            <w:r>
              <w:rPr>
                <w:rFonts w:hint="eastAsia" w:ascii="方正公文仿宋" w:hAnsi="方正公文仿宋" w:eastAsia="方正公文仿宋" w:cs="方正公文仿宋"/>
                <w:color w:val="000000"/>
                <w:kern w:val="2"/>
                <w:sz w:val="22"/>
                <w:szCs w:val="22"/>
                <w:highlight w:val="none"/>
                <w:lang w:val="en-US" w:eastAsia="zh-CN" w:bidi="ar-SA"/>
              </w:rPr>
              <w:t>分。不提供不得分。</w:t>
            </w:r>
          </w:p>
        </w:tc>
      </w:tr>
      <w:tr w14:paraId="446E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0" w:type="dxa"/>
            <w:vAlign w:val="center"/>
          </w:tcPr>
          <w:p w14:paraId="123847C2">
            <w:pPr>
              <w:widowControl/>
              <w:jc w:val="center"/>
              <w:rPr>
                <w:rFonts w:eastAsia="仿宋"/>
                <w:color w:val="000000"/>
                <w:kern w:val="0"/>
                <w:szCs w:val="21"/>
              </w:rPr>
            </w:pPr>
            <w:r>
              <w:rPr>
                <w:rFonts w:eastAsia="仿宋"/>
                <w:color w:val="000000"/>
                <w:kern w:val="0"/>
                <w:szCs w:val="21"/>
              </w:rPr>
              <w:t>商务评审（</w:t>
            </w:r>
            <w:r>
              <w:rPr>
                <w:rFonts w:hint="eastAsia" w:eastAsia="仿宋"/>
                <w:color w:val="000000"/>
                <w:kern w:val="0"/>
                <w:szCs w:val="21"/>
                <w:lang w:val="en-US" w:eastAsia="zh-CN"/>
              </w:rPr>
              <w:t>10</w:t>
            </w:r>
            <w:r>
              <w:rPr>
                <w:rFonts w:eastAsia="仿宋"/>
                <w:color w:val="000000"/>
                <w:kern w:val="0"/>
                <w:szCs w:val="21"/>
              </w:rPr>
              <w:t>分）</w:t>
            </w:r>
          </w:p>
        </w:tc>
        <w:tc>
          <w:tcPr>
            <w:tcW w:w="1100" w:type="dxa"/>
            <w:vAlign w:val="center"/>
          </w:tcPr>
          <w:p w14:paraId="68C655C5">
            <w:pPr>
              <w:widowControl/>
              <w:jc w:val="center"/>
              <w:rPr>
                <w:rFonts w:eastAsia="仿宋"/>
                <w:color w:val="000000"/>
                <w:kern w:val="0"/>
                <w:szCs w:val="21"/>
              </w:rPr>
            </w:pPr>
            <w:r>
              <w:rPr>
                <w:rFonts w:eastAsia="仿宋"/>
                <w:color w:val="000000"/>
                <w:kern w:val="0"/>
                <w:szCs w:val="21"/>
              </w:rPr>
              <w:t>商务部分</w:t>
            </w:r>
          </w:p>
        </w:tc>
        <w:tc>
          <w:tcPr>
            <w:tcW w:w="1100" w:type="dxa"/>
            <w:vAlign w:val="center"/>
          </w:tcPr>
          <w:p w14:paraId="789D41C5">
            <w:pPr>
              <w:widowControl/>
              <w:jc w:val="center"/>
              <w:rPr>
                <w:rFonts w:eastAsia="仿宋"/>
                <w:color w:val="000000"/>
                <w:kern w:val="0"/>
                <w:szCs w:val="21"/>
              </w:rPr>
            </w:pPr>
            <w:r>
              <w:rPr>
                <w:rFonts w:hint="eastAsia" w:ascii="方正公文仿宋" w:hAnsi="方正公文仿宋" w:eastAsia="方正公文仿宋" w:cs="方正公文仿宋"/>
                <w:color w:val="000000"/>
                <w:kern w:val="2"/>
                <w:sz w:val="22"/>
                <w:szCs w:val="22"/>
                <w:highlight w:val="none"/>
                <w:lang w:val="en-US" w:eastAsia="zh-CN" w:bidi="ar-SA"/>
              </w:rPr>
              <w:t>售后服务方案（10分）</w:t>
            </w:r>
          </w:p>
        </w:tc>
        <w:tc>
          <w:tcPr>
            <w:tcW w:w="5059" w:type="dxa"/>
            <w:vAlign w:val="center"/>
          </w:tcPr>
          <w:p w14:paraId="4BB2CC20">
            <w:pPr>
              <w:widowControl/>
              <w:jc w:val="left"/>
              <w:rPr>
                <w:rFonts w:eastAsia="仿宋"/>
                <w:color w:val="000000"/>
                <w:kern w:val="0"/>
                <w:szCs w:val="21"/>
              </w:rPr>
            </w:pPr>
            <w:bookmarkStart w:id="841" w:name="_GoBack"/>
            <w:r>
              <w:rPr>
                <w:rFonts w:hint="eastAsia" w:ascii="方正公文仿宋" w:hAnsi="方正公文仿宋" w:eastAsia="方正公文仿宋" w:cs="方正公文仿宋"/>
                <w:color w:val="000000"/>
                <w:kern w:val="2"/>
                <w:sz w:val="22"/>
                <w:szCs w:val="22"/>
                <w:highlight w:val="none"/>
                <w:lang w:val="en-US" w:eastAsia="zh-CN" w:bidi="ar-SA"/>
              </w:rPr>
              <w:t>售后服务方案：①售后服务承诺质保期三年；②售后时间响应及问题解决措施；③针对本项目设有专业维修人员；④备用机保证；⑤设有备件仓库保证常规配件供应。全部符合实际需求并有印证材料</w:t>
            </w:r>
            <w:r>
              <w:rPr>
                <w:rFonts w:hint="default" w:ascii="方正公文仿宋" w:hAnsi="方正公文仿宋" w:eastAsia="方正公文仿宋" w:cs="方正公文仿宋"/>
                <w:color w:val="000000"/>
                <w:kern w:val="2"/>
                <w:sz w:val="22"/>
                <w:szCs w:val="22"/>
                <w:highlight w:val="none"/>
                <w:lang w:val="en-US" w:eastAsia="zh-CN" w:bidi="ar-SA"/>
              </w:rPr>
              <w:t>每项得2分，</w:t>
            </w:r>
            <w:r>
              <w:rPr>
                <w:rFonts w:hint="eastAsia" w:ascii="方正公文仿宋" w:hAnsi="方正公文仿宋" w:eastAsia="方正公文仿宋" w:cs="方正公文仿宋"/>
                <w:color w:val="000000"/>
                <w:kern w:val="2"/>
                <w:sz w:val="22"/>
                <w:szCs w:val="22"/>
                <w:highlight w:val="none"/>
                <w:lang w:val="en-US" w:eastAsia="zh-CN" w:bidi="ar-SA"/>
              </w:rPr>
              <w:t>最高得10分，</w:t>
            </w:r>
            <w:r>
              <w:rPr>
                <w:rFonts w:hint="default" w:ascii="方正公文仿宋" w:hAnsi="方正公文仿宋" w:eastAsia="方正公文仿宋" w:cs="方正公文仿宋"/>
                <w:color w:val="000000"/>
                <w:kern w:val="2"/>
                <w:sz w:val="22"/>
                <w:szCs w:val="22"/>
                <w:highlight w:val="none"/>
                <w:lang w:val="en-US" w:eastAsia="zh-CN" w:bidi="ar-SA"/>
              </w:rPr>
              <w:t>若存在</w:t>
            </w:r>
            <w:r>
              <w:rPr>
                <w:rFonts w:hint="eastAsia" w:ascii="方正公文仿宋" w:hAnsi="方正公文仿宋" w:eastAsia="方正公文仿宋" w:cs="方正公文仿宋"/>
                <w:color w:val="000000"/>
                <w:kern w:val="2"/>
                <w:sz w:val="22"/>
                <w:szCs w:val="22"/>
                <w:highlight w:val="none"/>
                <w:lang w:val="en-US" w:eastAsia="zh-CN" w:bidi="ar-SA"/>
              </w:rPr>
              <w:t>缺项漏项</w:t>
            </w:r>
            <w:r>
              <w:rPr>
                <w:rFonts w:hint="default" w:ascii="方正公文仿宋" w:hAnsi="方正公文仿宋" w:eastAsia="方正公文仿宋" w:cs="方正公文仿宋"/>
                <w:color w:val="000000"/>
                <w:kern w:val="2"/>
                <w:sz w:val="22"/>
                <w:szCs w:val="22"/>
                <w:highlight w:val="none"/>
                <w:lang w:val="en-US" w:eastAsia="zh-CN" w:bidi="ar-SA"/>
              </w:rPr>
              <w:t>的每项得1</w:t>
            </w:r>
            <w:r>
              <w:rPr>
                <w:rFonts w:hint="eastAsia" w:ascii="方正公文仿宋" w:hAnsi="方正公文仿宋" w:eastAsia="方正公文仿宋" w:cs="方正公文仿宋"/>
                <w:color w:val="000000"/>
                <w:kern w:val="2"/>
                <w:sz w:val="22"/>
                <w:szCs w:val="22"/>
                <w:highlight w:val="none"/>
                <w:lang w:val="en-US" w:eastAsia="zh-CN" w:bidi="ar-SA"/>
              </w:rPr>
              <w:t>分。不提供不得分。</w:t>
            </w:r>
            <w:bookmarkEnd w:id="841"/>
          </w:p>
        </w:tc>
      </w:tr>
    </w:tbl>
    <w:p w14:paraId="42DD2E65">
      <w:pPr>
        <w:spacing w:before="23" w:line="229" w:lineRule="auto"/>
        <w:ind w:right="130" w:firstLine="219" w:firstLineChars="100"/>
        <w:jc w:val="both"/>
        <w:rPr>
          <w:rFonts w:hint="eastAsia" w:ascii="仿宋" w:hAnsi="仿宋" w:eastAsia="仿宋" w:cs="仿宋"/>
          <w:b/>
          <w:bCs/>
          <w:color w:val="FF0000"/>
          <w:spacing w:val="-1"/>
          <w:sz w:val="22"/>
          <w:szCs w:val="22"/>
          <w:highlight w:val="none"/>
          <w:lang w:val="en-US" w:eastAsia="zh-CN"/>
        </w:rPr>
      </w:pPr>
    </w:p>
    <w:p w14:paraId="05633C00">
      <w:pPr>
        <w:spacing w:before="23" w:line="229" w:lineRule="auto"/>
        <w:ind w:right="130" w:firstLine="219" w:firstLineChars="100"/>
        <w:jc w:val="both"/>
        <w:rPr>
          <w:rFonts w:hint="eastAsia" w:ascii="仿宋" w:hAnsi="仿宋" w:eastAsia="仿宋" w:cs="仿宋"/>
          <w:b/>
          <w:bCs/>
          <w:iCs/>
          <w:color w:val="auto"/>
          <w:sz w:val="24"/>
          <w:szCs w:val="24"/>
          <w:highlight w:val="none"/>
        </w:rPr>
      </w:pPr>
      <w:r>
        <w:rPr>
          <w:rFonts w:hint="eastAsia" w:ascii="仿宋" w:hAnsi="仿宋" w:eastAsia="仿宋" w:cs="仿宋"/>
          <w:b/>
          <w:bCs/>
          <w:color w:val="auto"/>
          <w:spacing w:val="-1"/>
          <w:sz w:val="22"/>
          <w:szCs w:val="22"/>
          <w:highlight w:val="none"/>
          <w:lang w:val="zh-CN" w:eastAsia="zh-CN"/>
        </w:rPr>
        <w:t>备注：</w:t>
      </w:r>
    </w:p>
    <w:p w14:paraId="32F2DE0B">
      <w:pPr>
        <w:pStyle w:val="8"/>
        <w:tabs>
          <w:tab w:val="left" w:pos="567"/>
        </w:tabs>
        <w:spacing w:line="360" w:lineRule="auto"/>
        <w:ind w:left="-181" w:leftChars="-86" w:firstLine="660" w:firstLineChars="275"/>
        <w:rPr>
          <w:rFonts w:hint="eastAsia" w:ascii="仿宋" w:hAnsi="仿宋" w:eastAsia="仿宋" w:cs="仿宋"/>
          <w:iCs/>
          <w:color w:val="auto"/>
          <w:sz w:val="24"/>
          <w:szCs w:val="24"/>
          <w:highlight w:val="none"/>
          <w:lang w:eastAsia="zh-CN"/>
        </w:rPr>
      </w:pPr>
      <w:r>
        <w:rPr>
          <w:rFonts w:hint="eastAsia" w:ascii="仿宋" w:hAnsi="仿宋" w:eastAsia="仿宋" w:cs="仿宋"/>
          <w:iCs/>
          <w:color w:val="auto"/>
          <w:sz w:val="24"/>
          <w:szCs w:val="24"/>
          <w:highlight w:val="none"/>
          <w:lang w:eastAsia="zh-CN"/>
        </w:rPr>
        <w:t>评审完毕，评标委员会根据汇总各投标企业的综合得分，按照得分高低进行排序，取前三名作为中标候选人推荐给招标委员会。如果两投标人的得分相同，投标价格低者排在前。</w:t>
      </w:r>
    </w:p>
    <w:p w14:paraId="693BAD80">
      <w:pPr>
        <w:pStyle w:val="38"/>
        <w:spacing w:line="440" w:lineRule="exact"/>
        <w:ind w:left="0" w:firstLineChars="200"/>
        <w:rPr>
          <w:rStyle w:val="28"/>
          <w:rFonts w:hint="eastAsia" w:ascii="仿宋" w:hAnsi="仿宋" w:eastAsia="仿宋" w:cs="仿宋"/>
          <w:iCs/>
          <w:color w:val="auto"/>
          <w:szCs w:val="24"/>
          <w:highlight w:val="none"/>
          <w:lang w:eastAsia="zh-CN"/>
        </w:rPr>
      </w:pPr>
      <w:r>
        <w:rPr>
          <w:rStyle w:val="28"/>
          <w:rFonts w:hint="eastAsia" w:ascii="仿宋" w:hAnsi="仿宋" w:eastAsia="仿宋" w:cs="仿宋"/>
          <w:iCs/>
          <w:color w:val="auto"/>
          <w:szCs w:val="24"/>
          <w:highlight w:val="none"/>
          <w:lang w:eastAsia="zh-CN"/>
        </w:rPr>
        <w:t>本项目参数要求、评审内容如有指向性，仅作为招标参考，投标产品不应低于招标要求，如有不符合要求，视为不响应招标文件规定。</w:t>
      </w:r>
    </w:p>
    <w:p w14:paraId="1309754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3.5复核。评分汇总结束后，评标委员会应当进行复核，特别要对拟推荐为中标候选供应商的、报价最低的、投标文件被认定为无效的进行重点复核。</w:t>
      </w:r>
    </w:p>
    <w:p w14:paraId="718E818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3.6推荐中标候选供应商。中标候选供应商应当排序。</w:t>
      </w:r>
    </w:p>
    <w:p w14:paraId="44897ED8">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3.7出具评标报告。评标委员会推荐中标候选供应商后，应当向招标采购单位出具评标报告。评标报告应当包括下列内容：</w:t>
      </w:r>
    </w:p>
    <w:p w14:paraId="5DE9C14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（一）招标公告刊登的媒体名称、开标日期和地点；</w:t>
      </w:r>
    </w:p>
    <w:p w14:paraId="481290C0">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（二）评标委员会成员名单；</w:t>
      </w:r>
    </w:p>
    <w:p w14:paraId="1DD64B89">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（三）评标方法和标准；</w:t>
      </w:r>
    </w:p>
    <w:p w14:paraId="7572630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（四）开标记录和评标情况及说明，包括无效投标人名单及原因；</w:t>
      </w:r>
    </w:p>
    <w:p w14:paraId="495965D0">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（五）评标结果，确定的中标候选人名单或者经采购人委托直接确定的中标人；</w:t>
      </w:r>
    </w:p>
    <w:p w14:paraId="576A031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（六）其他需要说明的情况，包括评标过程中投标人根据评标委员会要求进行的澄清、说明或者补正，评标委员会成员的更换等。</w:t>
      </w:r>
    </w:p>
    <w:p w14:paraId="705ED3A4">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62E78B0">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58A181E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3.9供应商应当书面澄清、说明或者更正。</w:t>
      </w:r>
    </w:p>
    <w:p w14:paraId="1DDF007D">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6D90301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3ED4C14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3.9.3评标委员会要求供应商澄清、说明或者更正，不得超出招标文件的范围，不得以此让供应商实质改变投标文件的内容，不得影响供应商公平竞争。本项目下列内容不得澄清：</w:t>
      </w:r>
    </w:p>
    <w:p w14:paraId="2FC46B7C">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（一）按财政部规定应当在评标时不予承认的投标文件内容事项；</w:t>
      </w:r>
    </w:p>
    <w:p w14:paraId="47DAB143">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（二）投标文件中已经明确的内容事项；</w:t>
      </w:r>
    </w:p>
    <w:p w14:paraId="5BFBA7CD">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（三）投标文件未提供的材料。</w:t>
      </w:r>
    </w:p>
    <w:p w14:paraId="640BF7A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AF0EE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9C6134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3.11招标采购单位现场复核评标结果。</w:t>
      </w:r>
    </w:p>
    <w:p w14:paraId="54E106CD">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3.11.1评标结果汇总完成后，评标委员会拟出具评标报告前，招标采购单位应当组织本单位工作人员，在采购现场监督人员的监督之下，依据有关的法律制度和采购文件对评标结果进行复核，提出复核意见。</w:t>
      </w:r>
    </w:p>
    <w:p w14:paraId="70FD33B5">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FA126F6">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5、 废 标</w:t>
      </w:r>
    </w:p>
    <w:p w14:paraId="4298C3E9">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废标后，采购代理机构应在网上公告。投标人需要知晓导致废标情形的具体原因和理由的，可以通过书面形式询问招标采购单位。</w:t>
      </w:r>
    </w:p>
    <w:p w14:paraId="4DFD9D43">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对于评标过程中废标的采购项目，评标委员会应当对招标文件是否存在倾向性和歧视性、是否存在不合理条款进行论证，并出具书面论证意见。</w:t>
      </w:r>
    </w:p>
    <w:p w14:paraId="1ED322E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6、定标</w:t>
      </w:r>
    </w:p>
    <w:p w14:paraId="435FB19F">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6.1. 定标原则：由采购人根据评标委员会的推荐意见确定中标供应商。</w:t>
      </w:r>
    </w:p>
    <w:p w14:paraId="28D0922B">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 定标程序</w:t>
      </w:r>
    </w:p>
    <w:p w14:paraId="3C8FF5D7">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6.2.1 评标委员会将评标情况写出书面报告，推荐中标候选供应商。</w:t>
      </w:r>
    </w:p>
    <w:p w14:paraId="2EE12933">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6.2.2 采购代理机构在评标结束后2个工作日内将评标报告送采购人。</w:t>
      </w:r>
    </w:p>
    <w:p w14:paraId="3492B2CA">
      <w:pPr>
        <w:pStyle w:val="21"/>
        <w:spacing w:beforeAutospacing="0" w:afterAutospacing="0" w:line="440" w:lineRule="exact"/>
        <w:ind w:firstLine="480" w:firstLineChars="200"/>
        <w:jc w:val="both"/>
        <w:rPr>
          <w:rFonts w:hint="eastAsia" w:ascii="仿宋" w:hAnsi="仿宋" w:eastAsia="仿宋" w:cs="仿宋"/>
          <w:iCs/>
          <w:color w:val="auto"/>
          <w:kern w:val="2"/>
          <w:szCs w:val="24"/>
          <w:highlight w:val="none"/>
          <w:lang w:eastAsia="zh-CN"/>
        </w:rPr>
      </w:pPr>
      <w:r>
        <w:rPr>
          <w:rFonts w:hint="eastAsia" w:ascii="仿宋" w:hAnsi="仿宋" w:eastAsia="仿宋" w:cs="仿宋"/>
          <w:iCs/>
          <w:color w:val="auto"/>
          <w:kern w:val="2"/>
          <w:szCs w:val="24"/>
          <w:highlight w:val="none"/>
          <w:lang w:eastAsia="zh-CN"/>
        </w:rPr>
        <w:t>6.2.3 采购人在收到评标报告后5个工作日内，按照评标报告中推荐的中标候选供应商顺序确定中标供应商。</w:t>
      </w:r>
    </w:p>
    <w:p w14:paraId="4D0D969F">
      <w:pPr>
        <w:pStyle w:val="21"/>
        <w:spacing w:beforeAutospacing="0" w:afterAutospacing="0" w:line="440" w:lineRule="exact"/>
        <w:ind w:left="147" w:firstLine="480" w:firstLineChars="200"/>
        <w:jc w:val="both"/>
        <w:rPr>
          <w:rFonts w:hint="eastAsia" w:ascii="仿宋" w:hAnsi="仿宋" w:eastAsia="仿宋" w:cs="仿宋"/>
          <w:iCs/>
          <w:color w:val="auto"/>
          <w:kern w:val="2"/>
          <w:szCs w:val="24"/>
          <w:highlight w:val="none"/>
          <w:lang w:eastAsia="zh-CN"/>
        </w:rPr>
      </w:pPr>
      <w:r>
        <w:rPr>
          <w:rFonts w:hint="eastAsia" w:ascii="仿宋" w:hAnsi="仿宋" w:eastAsia="仿宋" w:cs="仿宋"/>
          <w:iCs/>
          <w:color w:val="auto"/>
          <w:kern w:val="2"/>
          <w:szCs w:val="24"/>
          <w:highlight w:val="none"/>
          <w:lang w:eastAsia="zh-CN"/>
        </w:rPr>
        <w:t>采用最低评标价法的，评标结果按投标报价由低到高顺序排列。投标报价相同的并列。投标文件满足招标文件全部实质性要求且投标报价最低的投标人为排名第一的中标候选人。</w:t>
      </w:r>
    </w:p>
    <w:p w14:paraId="25CF6836">
      <w:pPr>
        <w:pStyle w:val="18"/>
        <w:spacing w:line="440" w:lineRule="exact"/>
        <w:ind w:left="0" w:firstLineChars="200"/>
        <w:rPr>
          <w:rFonts w:hint="eastAsia" w:ascii="仿宋" w:hAnsi="仿宋" w:eastAsia="仿宋" w:cs="仿宋"/>
          <w:iCs/>
          <w:color w:val="auto"/>
          <w:kern w:val="2"/>
          <w:szCs w:val="24"/>
          <w:highlight w:val="none"/>
          <w:lang w:eastAsia="zh-CN"/>
        </w:rPr>
      </w:pPr>
      <w:r>
        <w:rPr>
          <w:rFonts w:hint="eastAsia" w:ascii="仿宋" w:hAnsi="仿宋" w:eastAsia="仿宋" w:cs="仿宋"/>
          <w:iCs/>
          <w:color w:val="auto"/>
          <w:kern w:val="2"/>
          <w:szCs w:val="24"/>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D10CD3E">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6.2.4 根据采购人确定的中标供应商，采购代理机构在新疆政府采购网上发布中标公告，并自采购人确定中标之日起3个工作日内向中标供应商发出中标通知书。</w:t>
      </w:r>
    </w:p>
    <w:p w14:paraId="3F63052A">
      <w:pPr>
        <w:pStyle w:val="38"/>
        <w:spacing w:line="440" w:lineRule="exact"/>
        <w:ind w:left="0" w:firstLineChars="200"/>
        <w:rPr>
          <w:rStyle w:val="28"/>
          <w:rFonts w:hint="eastAsia" w:ascii="仿宋" w:hAnsi="仿宋" w:eastAsia="仿宋" w:cs="仿宋"/>
          <w:iCs/>
          <w:color w:val="auto"/>
          <w:kern w:val="2"/>
          <w:szCs w:val="24"/>
          <w:highlight w:val="none"/>
          <w:lang w:eastAsia="zh-CN"/>
        </w:rPr>
      </w:pPr>
      <w:r>
        <w:rPr>
          <w:rStyle w:val="28"/>
          <w:rFonts w:hint="eastAsia" w:ascii="仿宋" w:hAnsi="仿宋" w:eastAsia="仿宋" w:cs="仿宋"/>
          <w:iCs/>
          <w:color w:val="auto"/>
          <w:kern w:val="2"/>
          <w:szCs w:val="24"/>
          <w:highlight w:val="none"/>
          <w:lang w:eastAsia="zh-CN"/>
        </w:rPr>
        <w:t>6.2.5 招标采购单位不退回投标人投标文件和其他投标资料。</w:t>
      </w:r>
    </w:p>
    <w:p w14:paraId="23D2B724">
      <w:pPr>
        <w:rPr>
          <w:rStyle w:val="28"/>
          <w:rFonts w:hint="eastAsia" w:ascii="仿宋" w:hAnsi="仿宋" w:eastAsia="仿宋" w:cs="仿宋"/>
          <w:b/>
          <w:color w:val="auto"/>
          <w:sz w:val="52"/>
          <w:szCs w:val="52"/>
          <w:highlight w:val="none"/>
          <w:lang w:eastAsia="zh-CN"/>
        </w:rPr>
      </w:pPr>
      <w:r>
        <w:rPr>
          <w:rStyle w:val="28"/>
          <w:rFonts w:hint="eastAsia" w:ascii="仿宋" w:hAnsi="仿宋" w:eastAsia="仿宋" w:cs="仿宋"/>
          <w:b/>
          <w:color w:val="auto"/>
          <w:sz w:val="52"/>
          <w:szCs w:val="52"/>
          <w:highlight w:val="none"/>
          <w:lang w:eastAsia="zh-CN"/>
        </w:rPr>
        <w:br w:type="page"/>
      </w:r>
    </w:p>
    <w:p w14:paraId="4C16CCC1">
      <w:pPr>
        <w:spacing w:line="240" w:lineRule="atLeast"/>
        <w:jc w:val="center"/>
        <w:rPr>
          <w:rStyle w:val="28"/>
          <w:rFonts w:hint="eastAsia" w:ascii="仿宋" w:hAnsi="仿宋" w:eastAsia="仿宋" w:cs="仿宋"/>
          <w:b/>
          <w:color w:val="auto"/>
          <w:sz w:val="52"/>
          <w:szCs w:val="52"/>
          <w:highlight w:val="none"/>
          <w:lang w:eastAsia="zh-CN"/>
        </w:rPr>
      </w:pPr>
    </w:p>
    <w:p w14:paraId="1D5418EF">
      <w:pPr>
        <w:spacing w:line="240" w:lineRule="atLeast"/>
        <w:jc w:val="center"/>
        <w:rPr>
          <w:rStyle w:val="28"/>
          <w:rFonts w:hint="eastAsia" w:ascii="仿宋" w:hAnsi="仿宋" w:eastAsia="仿宋" w:cs="仿宋"/>
          <w:b/>
          <w:color w:val="auto"/>
          <w:sz w:val="52"/>
          <w:szCs w:val="52"/>
          <w:highlight w:val="none"/>
          <w:lang w:eastAsia="zh-CN"/>
        </w:rPr>
      </w:pPr>
      <w:r>
        <w:rPr>
          <w:rStyle w:val="28"/>
          <w:rFonts w:hint="eastAsia" w:ascii="仿宋" w:hAnsi="仿宋" w:eastAsia="仿宋" w:cs="仿宋"/>
          <w:b/>
          <w:color w:val="auto"/>
          <w:sz w:val="52"/>
          <w:szCs w:val="52"/>
          <w:highlight w:val="none"/>
          <w:lang w:eastAsia="zh-CN"/>
        </w:rPr>
        <w:t>货物类</w:t>
      </w:r>
    </w:p>
    <w:p w14:paraId="68DD0C1E">
      <w:pPr>
        <w:spacing w:line="240" w:lineRule="atLeast"/>
        <w:jc w:val="both"/>
        <w:rPr>
          <w:rStyle w:val="28"/>
          <w:rFonts w:hint="eastAsia" w:ascii="仿宋" w:hAnsi="仿宋" w:eastAsia="仿宋" w:cs="仿宋"/>
          <w:b/>
          <w:color w:val="auto"/>
          <w:sz w:val="52"/>
          <w:szCs w:val="52"/>
          <w:highlight w:val="none"/>
          <w:lang w:eastAsia="zh-CN"/>
        </w:rPr>
      </w:pPr>
    </w:p>
    <w:p w14:paraId="4D4B16E9">
      <w:pPr>
        <w:spacing w:line="240" w:lineRule="atLeast"/>
        <w:ind w:left="1080" w:leftChars="257" w:hanging="540"/>
        <w:jc w:val="center"/>
        <w:rPr>
          <w:rStyle w:val="28"/>
          <w:rFonts w:hint="eastAsia" w:ascii="仿宋" w:hAnsi="仿宋" w:eastAsia="仿宋" w:cs="仿宋"/>
          <w:b/>
          <w:color w:val="auto"/>
          <w:sz w:val="52"/>
          <w:szCs w:val="52"/>
          <w:highlight w:val="none"/>
          <w:lang w:eastAsia="zh-CN"/>
        </w:rPr>
      </w:pPr>
    </w:p>
    <w:p w14:paraId="62AE52DC">
      <w:pPr>
        <w:spacing w:line="240" w:lineRule="atLeast"/>
        <w:ind w:firstLine="2088" w:firstLineChars="400"/>
        <w:jc w:val="both"/>
        <w:rPr>
          <w:rStyle w:val="28"/>
          <w:rFonts w:hint="eastAsia" w:ascii="仿宋" w:hAnsi="仿宋" w:eastAsia="仿宋" w:cs="仿宋"/>
          <w:b/>
          <w:color w:val="auto"/>
          <w:sz w:val="52"/>
          <w:szCs w:val="52"/>
          <w:highlight w:val="none"/>
          <w:lang w:eastAsia="zh-CN"/>
        </w:rPr>
      </w:pPr>
      <w:r>
        <w:rPr>
          <w:rStyle w:val="28"/>
          <w:rFonts w:hint="eastAsia" w:ascii="仿宋" w:hAnsi="仿宋" w:eastAsia="仿宋" w:cs="仿宋"/>
          <w:b/>
          <w:color w:val="auto"/>
          <w:sz w:val="52"/>
          <w:szCs w:val="52"/>
          <w:highlight w:val="none"/>
          <w:lang w:eastAsia="zh-CN"/>
        </w:rPr>
        <w:t>政府采购公开招标文件</w:t>
      </w:r>
    </w:p>
    <w:p w14:paraId="0332B431">
      <w:pPr>
        <w:spacing w:line="240" w:lineRule="atLeast"/>
        <w:ind w:left="1080" w:leftChars="257" w:hanging="540"/>
        <w:jc w:val="center"/>
        <w:rPr>
          <w:rStyle w:val="28"/>
          <w:rFonts w:hint="eastAsia" w:ascii="仿宋" w:hAnsi="仿宋" w:eastAsia="仿宋" w:cs="仿宋"/>
          <w:b/>
          <w:color w:val="auto"/>
          <w:sz w:val="32"/>
          <w:szCs w:val="32"/>
          <w:highlight w:val="none"/>
          <w:lang w:eastAsia="zh-CN"/>
        </w:rPr>
      </w:pPr>
    </w:p>
    <w:p w14:paraId="01663A5C">
      <w:pPr>
        <w:pStyle w:val="8"/>
        <w:tabs>
          <w:tab w:val="left" w:pos="567"/>
        </w:tabs>
        <w:rPr>
          <w:rFonts w:hint="eastAsia" w:ascii="仿宋" w:hAnsi="仿宋" w:eastAsia="仿宋" w:cs="仿宋"/>
          <w:color w:val="auto"/>
          <w:highlight w:val="none"/>
          <w:lang w:eastAsia="zh-CN"/>
        </w:rPr>
      </w:pPr>
    </w:p>
    <w:p w14:paraId="09792D89">
      <w:pPr>
        <w:spacing w:line="240" w:lineRule="atLeast"/>
        <w:rPr>
          <w:rStyle w:val="28"/>
          <w:rFonts w:hint="eastAsia" w:ascii="仿宋" w:hAnsi="仿宋" w:eastAsia="仿宋" w:cs="仿宋"/>
          <w:b/>
          <w:color w:val="auto"/>
          <w:sz w:val="28"/>
          <w:highlight w:val="none"/>
          <w:lang w:eastAsia="zh-CN"/>
        </w:rPr>
      </w:pPr>
    </w:p>
    <w:p w14:paraId="61B08AC7">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5184B310">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29F1C921">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67383B11">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483D33F0">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p>
    <w:p w14:paraId="3ECD44E0">
      <w:pPr>
        <w:spacing w:line="240" w:lineRule="atLeast"/>
        <w:ind w:left="1080" w:leftChars="257" w:hanging="540"/>
        <w:jc w:val="center"/>
        <w:rPr>
          <w:rStyle w:val="28"/>
          <w:rFonts w:hint="eastAsia" w:ascii="仿宋" w:hAnsi="仿宋" w:eastAsia="仿宋" w:cs="仿宋"/>
          <w:b/>
          <w:color w:val="auto"/>
          <w:sz w:val="48"/>
          <w:szCs w:val="48"/>
          <w:highlight w:val="none"/>
          <w:lang w:eastAsia="zh-CN"/>
        </w:rPr>
      </w:pPr>
      <w:r>
        <w:rPr>
          <w:rStyle w:val="28"/>
          <w:rFonts w:hint="eastAsia" w:ascii="仿宋" w:hAnsi="仿宋" w:eastAsia="仿宋" w:cs="仿宋"/>
          <w:b/>
          <w:color w:val="auto"/>
          <w:sz w:val="48"/>
          <w:szCs w:val="48"/>
          <w:highlight w:val="none"/>
          <w:lang w:eastAsia="zh-CN"/>
        </w:rPr>
        <w:t>第三册</w:t>
      </w:r>
    </w:p>
    <w:p w14:paraId="678026F5">
      <w:pPr>
        <w:spacing w:line="240" w:lineRule="atLeast"/>
        <w:ind w:left="1080" w:leftChars="257" w:hanging="540"/>
        <w:jc w:val="center"/>
        <w:rPr>
          <w:rStyle w:val="28"/>
          <w:rFonts w:hint="eastAsia" w:ascii="仿宋" w:hAnsi="仿宋" w:eastAsia="仿宋" w:cs="仿宋"/>
          <w:b/>
          <w:color w:val="auto"/>
          <w:sz w:val="52"/>
          <w:highlight w:val="none"/>
          <w:lang w:eastAsia="zh-CN"/>
        </w:rPr>
      </w:pPr>
    </w:p>
    <w:p w14:paraId="390D735A">
      <w:pPr>
        <w:pStyle w:val="29"/>
        <w:rPr>
          <w:rStyle w:val="28"/>
          <w:rFonts w:hint="eastAsia" w:ascii="仿宋" w:hAnsi="仿宋" w:eastAsia="仿宋" w:cs="仿宋"/>
          <w:b/>
          <w:color w:val="auto"/>
          <w:sz w:val="52"/>
          <w:highlight w:val="none"/>
          <w:lang w:eastAsia="zh-CN"/>
        </w:rPr>
      </w:pPr>
    </w:p>
    <w:p w14:paraId="1CE400B8">
      <w:pPr>
        <w:pStyle w:val="29"/>
        <w:rPr>
          <w:rStyle w:val="28"/>
          <w:rFonts w:hint="eastAsia" w:ascii="仿宋" w:hAnsi="仿宋" w:eastAsia="仿宋" w:cs="仿宋"/>
          <w:b/>
          <w:color w:val="auto"/>
          <w:sz w:val="52"/>
          <w:highlight w:val="none"/>
          <w:lang w:eastAsia="zh-CN"/>
        </w:rPr>
      </w:pPr>
    </w:p>
    <w:p w14:paraId="79CB9073">
      <w:pPr>
        <w:pStyle w:val="29"/>
        <w:rPr>
          <w:rStyle w:val="28"/>
          <w:rFonts w:hint="eastAsia" w:ascii="仿宋" w:hAnsi="仿宋" w:eastAsia="仿宋" w:cs="仿宋"/>
          <w:b/>
          <w:color w:val="auto"/>
          <w:sz w:val="52"/>
          <w:highlight w:val="none"/>
          <w:lang w:eastAsia="zh-CN"/>
        </w:rPr>
      </w:pPr>
    </w:p>
    <w:p w14:paraId="71EA8C3B">
      <w:pPr>
        <w:pStyle w:val="29"/>
        <w:rPr>
          <w:rStyle w:val="28"/>
          <w:rFonts w:hint="eastAsia" w:ascii="仿宋" w:hAnsi="仿宋" w:eastAsia="仿宋" w:cs="仿宋"/>
          <w:b/>
          <w:color w:val="auto"/>
          <w:sz w:val="52"/>
          <w:highlight w:val="none"/>
          <w:lang w:eastAsia="zh-CN"/>
        </w:rPr>
      </w:pPr>
    </w:p>
    <w:p w14:paraId="6FBF3CFF">
      <w:pPr>
        <w:pStyle w:val="29"/>
        <w:rPr>
          <w:rStyle w:val="28"/>
          <w:rFonts w:hint="eastAsia" w:ascii="仿宋" w:hAnsi="仿宋" w:eastAsia="仿宋" w:cs="仿宋"/>
          <w:b/>
          <w:color w:val="auto"/>
          <w:sz w:val="52"/>
          <w:highlight w:val="none"/>
          <w:lang w:eastAsia="zh-CN"/>
        </w:rPr>
      </w:pPr>
    </w:p>
    <w:p w14:paraId="66803EC5">
      <w:pPr>
        <w:pStyle w:val="29"/>
        <w:rPr>
          <w:rStyle w:val="28"/>
          <w:rFonts w:hint="eastAsia" w:ascii="仿宋" w:hAnsi="仿宋" w:eastAsia="仿宋" w:cs="仿宋"/>
          <w:b/>
          <w:color w:val="auto"/>
          <w:sz w:val="52"/>
          <w:highlight w:val="none"/>
          <w:lang w:eastAsia="zh-CN"/>
        </w:rPr>
      </w:pPr>
    </w:p>
    <w:p w14:paraId="1329FE61">
      <w:pP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br w:type="page"/>
      </w:r>
    </w:p>
    <w:p w14:paraId="3434239F">
      <w:pPr>
        <w:rPr>
          <w:rFonts w:hint="eastAsia" w:ascii="仿宋" w:hAnsi="仿宋" w:eastAsia="仿宋" w:cs="仿宋"/>
          <w:color w:val="auto"/>
          <w:highlight w:val="none"/>
          <w:lang w:eastAsia="zh-CN"/>
        </w:rPr>
      </w:pPr>
    </w:p>
    <w:p w14:paraId="40098C09">
      <w:pPr>
        <w:pStyle w:val="2"/>
        <w:tabs>
          <w:tab w:val="left" w:pos="0"/>
        </w:tabs>
        <w:kinsoku/>
        <w:spacing w:before="0" w:after="0" w:line="240" w:lineRule="atLeast"/>
        <w:rPr>
          <w:rFonts w:hint="eastAsia" w:ascii="仿宋" w:hAnsi="仿宋" w:eastAsia="仿宋" w:cs="仿宋"/>
          <w:color w:val="auto"/>
          <w:sz w:val="44"/>
          <w:szCs w:val="44"/>
          <w:highlight w:val="none"/>
          <w:lang w:eastAsia="zh-CN"/>
        </w:rPr>
      </w:pPr>
      <w:bookmarkStart w:id="840" w:name="_Toc28063"/>
      <w:r>
        <w:rPr>
          <w:rFonts w:hint="eastAsia" w:ascii="仿宋" w:hAnsi="仿宋" w:eastAsia="仿宋" w:cs="仿宋"/>
          <w:color w:val="auto"/>
          <w:sz w:val="44"/>
          <w:szCs w:val="44"/>
          <w:highlight w:val="none"/>
          <w:lang w:eastAsia="zh-CN"/>
        </w:rPr>
        <w:t>第七章  政府采购合同</w:t>
      </w:r>
      <w:bookmarkEnd w:id="840"/>
    </w:p>
    <w:p w14:paraId="7C02C377">
      <w:pPr>
        <w:spacing w:line="240" w:lineRule="atLeast"/>
        <w:rPr>
          <w:rStyle w:val="28"/>
          <w:rFonts w:hint="eastAsia" w:ascii="仿宋" w:hAnsi="仿宋" w:eastAsia="仿宋" w:cs="仿宋"/>
          <w:b/>
          <w:color w:val="auto"/>
          <w:kern w:val="44"/>
          <w:sz w:val="32"/>
          <w:szCs w:val="20"/>
          <w:highlight w:val="none"/>
          <w:lang w:eastAsia="zh-CN"/>
        </w:rPr>
      </w:pPr>
    </w:p>
    <w:p w14:paraId="54E9A5F8">
      <w:pPr>
        <w:rPr>
          <w:rStyle w:val="28"/>
          <w:rFonts w:hint="eastAsia" w:ascii="仿宋" w:hAnsi="仿宋" w:eastAsia="仿宋" w:cs="仿宋"/>
          <w:b/>
          <w:color w:val="auto"/>
          <w:sz w:val="28"/>
          <w:szCs w:val="28"/>
          <w:highlight w:val="none"/>
          <w:lang w:eastAsia="zh-CN"/>
        </w:rPr>
      </w:pPr>
      <w:r>
        <w:rPr>
          <w:rStyle w:val="28"/>
          <w:rFonts w:hint="eastAsia" w:ascii="仿宋" w:hAnsi="仿宋" w:eastAsia="仿宋" w:cs="仿宋"/>
          <w:color w:val="auto"/>
          <w:sz w:val="24"/>
          <w:highlight w:val="none"/>
          <w:lang w:eastAsia="zh-CN"/>
        </w:rPr>
        <w:t>合同编号：</w:t>
      </w:r>
    </w:p>
    <w:p w14:paraId="270AC4FA">
      <w:pPr>
        <w:spacing w:line="480" w:lineRule="auto"/>
        <w:jc w:val="center"/>
        <w:rPr>
          <w:rStyle w:val="28"/>
          <w:rFonts w:hint="eastAsia" w:ascii="仿宋" w:hAnsi="仿宋" w:eastAsia="仿宋" w:cs="仿宋"/>
          <w:b/>
          <w:color w:val="auto"/>
          <w:sz w:val="44"/>
          <w:szCs w:val="44"/>
          <w:highlight w:val="none"/>
          <w:lang w:eastAsia="zh-CN"/>
        </w:rPr>
      </w:pPr>
    </w:p>
    <w:p w14:paraId="2B7C24E4">
      <w:pPr>
        <w:spacing w:line="480" w:lineRule="auto"/>
        <w:jc w:val="center"/>
        <w:rPr>
          <w:rStyle w:val="28"/>
          <w:rFonts w:hint="eastAsia" w:ascii="仿宋" w:hAnsi="仿宋" w:eastAsia="仿宋" w:cs="仿宋"/>
          <w:b/>
          <w:color w:val="auto"/>
          <w:sz w:val="44"/>
          <w:szCs w:val="44"/>
          <w:highlight w:val="none"/>
          <w:lang w:eastAsia="zh-CN"/>
        </w:rPr>
      </w:pPr>
      <w:r>
        <w:rPr>
          <w:rStyle w:val="28"/>
          <w:rFonts w:hint="eastAsia" w:ascii="仿宋" w:hAnsi="仿宋" w:eastAsia="仿宋" w:cs="仿宋"/>
          <w:b/>
          <w:color w:val="auto"/>
          <w:sz w:val="44"/>
          <w:szCs w:val="44"/>
          <w:highlight w:val="none"/>
          <w:lang w:eastAsia="zh-CN"/>
        </w:rPr>
        <w:t>政府采购合同草案</w:t>
      </w:r>
    </w:p>
    <w:p w14:paraId="49522DE1">
      <w:pPr>
        <w:spacing w:line="480" w:lineRule="auto"/>
        <w:jc w:val="center"/>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（货物类）</w:t>
      </w:r>
    </w:p>
    <w:p w14:paraId="5533E71C">
      <w:pPr>
        <w:pStyle w:val="39"/>
        <w:ind w:firstLine="0"/>
        <w:rPr>
          <w:rStyle w:val="28"/>
          <w:rFonts w:hint="eastAsia" w:ascii="仿宋" w:hAnsi="仿宋" w:eastAsia="仿宋" w:cs="仿宋"/>
          <w:color w:val="auto"/>
          <w:szCs w:val="24"/>
          <w:highlight w:val="none"/>
          <w:lang w:eastAsia="zh-CN"/>
        </w:rPr>
      </w:pPr>
    </w:p>
    <w:p w14:paraId="1981F28C">
      <w:pPr>
        <w:pStyle w:val="39"/>
        <w:ind w:firstLine="0"/>
        <w:rPr>
          <w:rStyle w:val="28"/>
          <w:rFonts w:hint="eastAsia" w:ascii="仿宋" w:hAnsi="仿宋" w:eastAsia="仿宋" w:cs="仿宋"/>
          <w:color w:val="auto"/>
          <w:szCs w:val="24"/>
          <w:highlight w:val="none"/>
          <w:lang w:eastAsia="zh-CN"/>
        </w:rPr>
      </w:pPr>
    </w:p>
    <w:p w14:paraId="4B476415">
      <w:pPr>
        <w:pStyle w:val="39"/>
        <w:ind w:firstLine="0"/>
        <w:rPr>
          <w:rStyle w:val="28"/>
          <w:rFonts w:hint="eastAsia" w:ascii="仿宋" w:hAnsi="仿宋" w:eastAsia="仿宋" w:cs="仿宋"/>
          <w:color w:val="auto"/>
          <w:szCs w:val="24"/>
          <w:highlight w:val="none"/>
          <w:lang w:eastAsia="zh-CN"/>
        </w:rPr>
      </w:pPr>
    </w:p>
    <w:p w14:paraId="0D8D8F15">
      <w:pPr>
        <w:pStyle w:val="39"/>
        <w:ind w:firstLine="0"/>
        <w:jc w:val="center"/>
        <w:rPr>
          <w:rStyle w:val="28"/>
          <w:rFonts w:hint="eastAsia" w:ascii="仿宋" w:hAnsi="仿宋" w:eastAsia="仿宋" w:cs="仿宋"/>
          <w:b/>
          <w:color w:val="auto"/>
          <w:szCs w:val="24"/>
          <w:highlight w:val="none"/>
          <w:lang w:eastAsia="zh-CN"/>
        </w:rPr>
      </w:pPr>
      <w:r>
        <w:rPr>
          <w:rStyle w:val="28"/>
          <w:rFonts w:hint="eastAsia" w:ascii="仿宋" w:hAnsi="仿宋" w:eastAsia="仿宋" w:cs="仿宋"/>
          <w:b/>
          <w:color w:val="auto"/>
          <w:szCs w:val="24"/>
          <w:highlight w:val="none"/>
          <w:lang w:eastAsia="zh-CN"/>
        </w:rPr>
        <w:t>第一部分 合同书</w:t>
      </w:r>
    </w:p>
    <w:p w14:paraId="46C76BE2">
      <w:pPr>
        <w:pStyle w:val="39"/>
        <w:ind w:firstLine="0"/>
        <w:rPr>
          <w:rStyle w:val="28"/>
          <w:rFonts w:hint="eastAsia" w:ascii="仿宋" w:hAnsi="仿宋" w:eastAsia="仿宋" w:cs="仿宋"/>
          <w:color w:val="auto"/>
          <w:szCs w:val="24"/>
          <w:highlight w:val="none"/>
          <w:lang w:eastAsia="zh-CN"/>
        </w:rPr>
      </w:pPr>
    </w:p>
    <w:p w14:paraId="34135671">
      <w:pPr>
        <w:pStyle w:val="39"/>
        <w:ind w:firstLine="0"/>
        <w:rPr>
          <w:rStyle w:val="28"/>
          <w:rFonts w:hint="eastAsia" w:ascii="仿宋" w:hAnsi="仿宋" w:eastAsia="仿宋" w:cs="仿宋"/>
          <w:color w:val="auto"/>
          <w:szCs w:val="24"/>
          <w:highlight w:val="none"/>
          <w:lang w:eastAsia="zh-CN"/>
        </w:rPr>
      </w:pPr>
    </w:p>
    <w:p w14:paraId="72D0DF69">
      <w:pPr>
        <w:spacing w:before="120" w:line="240" w:lineRule="atLeast"/>
        <w:rPr>
          <w:rStyle w:val="28"/>
          <w:rFonts w:hint="eastAsia" w:ascii="仿宋" w:hAnsi="仿宋" w:eastAsia="仿宋" w:cs="仿宋"/>
          <w:color w:val="auto"/>
          <w:sz w:val="24"/>
          <w:highlight w:val="none"/>
          <w:lang w:eastAsia="zh-CN"/>
        </w:rPr>
      </w:pPr>
    </w:p>
    <w:p w14:paraId="4DA3812C">
      <w:pPr>
        <w:spacing w:before="120" w:line="240" w:lineRule="atLeast"/>
        <w:ind w:left="960"/>
        <w:rPr>
          <w:rStyle w:val="28"/>
          <w:rFonts w:hint="eastAsia" w:ascii="仿宋" w:hAnsi="仿宋" w:eastAsia="仿宋" w:cs="仿宋"/>
          <w:color w:val="auto"/>
          <w:sz w:val="24"/>
          <w:highlight w:val="none"/>
          <w:lang w:eastAsia="zh-CN"/>
        </w:rPr>
      </w:pPr>
    </w:p>
    <w:p w14:paraId="0BD8DDDD">
      <w:pPr>
        <w:spacing w:before="120" w:line="240" w:lineRule="atLeast"/>
        <w:ind w:left="960"/>
        <w:rPr>
          <w:rStyle w:val="28"/>
          <w:rFonts w:hint="eastAsia" w:ascii="仿宋" w:hAnsi="仿宋" w:eastAsia="仿宋" w:cs="仿宋"/>
          <w:color w:val="auto"/>
          <w:sz w:val="24"/>
          <w:highlight w:val="none"/>
          <w:lang w:eastAsia="zh-CN"/>
        </w:rPr>
      </w:pPr>
    </w:p>
    <w:p w14:paraId="1D4F6459">
      <w:pPr>
        <w:spacing w:before="120" w:line="240" w:lineRule="atLeast"/>
        <w:ind w:left="960"/>
        <w:rPr>
          <w:rStyle w:val="28"/>
          <w:rFonts w:hint="eastAsia" w:ascii="仿宋" w:hAnsi="仿宋" w:eastAsia="仿宋" w:cs="仿宋"/>
          <w:color w:val="auto"/>
          <w:sz w:val="24"/>
          <w:highlight w:val="none"/>
          <w:lang w:eastAsia="zh-CN"/>
        </w:rPr>
      </w:pPr>
    </w:p>
    <w:p w14:paraId="772DDF29">
      <w:pPr>
        <w:pStyle w:val="8"/>
        <w:tabs>
          <w:tab w:val="left" w:pos="567"/>
        </w:tabs>
        <w:spacing w:line="272" w:lineRule="auto"/>
        <w:jc w:val="center"/>
        <w:rPr>
          <w:rFonts w:hint="eastAsia" w:asciiTheme="minorEastAsia" w:hAnsiTheme="minorEastAsia" w:eastAsiaTheme="minorEastAsia" w:cstheme="minorEastAsia"/>
          <w:b/>
          <w:bCs/>
          <w:sz w:val="44"/>
          <w:szCs w:val="44"/>
          <w:highlight w:val="none"/>
          <w:lang w:eastAsia="zh-CN"/>
        </w:rPr>
      </w:pPr>
      <w:r>
        <w:rPr>
          <w:rStyle w:val="28"/>
          <w:rFonts w:hint="eastAsia" w:ascii="仿宋" w:hAnsi="仿宋" w:eastAsia="仿宋" w:cs="仿宋"/>
          <w:color w:val="auto"/>
          <w:sz w:val="24"/>
          <w:highlight w:val="none"/>
          <w:lang w:eastAsia="zh-CN"/>
        </w:rPr>
        <w:t>项目名称：</w:t>
      </w:r>
      <w:r>
        <w:rPr>
          <w:rStyle w:val="28"/>
          <w:rFonts w:hint="eastAsia" w:ascii="仿宋" w:hAnsi="仿宋" w:eastAsia="仿宋" w:cs="仿宋"/>
          <w:color w:val="auto"/>
          <w:sz w:val="24"/>
          <w:highlight w:val="none"/>
          <w:lang w:val="en-US" w:eastAsia="zh-CN"/>
        </w:rPr>
        <w:t>  </w:t>
      </w:r>
      <w:r>
        <w:rPr>
          <w:rStyle w:val="28"/>
          <w:rFonts w:hint="eastAsia" w:ascii="仿宋" w:hAnsi="仿宋" w:eastAsia="仿宋" w:cs="仿宋"/>
          <w:color w:val="auto"/>
          <w:sz w:val="24"/>
          <w:highlight w:val="none"/>
          <w:lang w:eastAsia="zh-CN"/>
        </w:rPr>
        <w:t>伽师县2026年健康心理服务中心建设项目(二次)</w:t>
      </w:r>
    </w:p>
    <w:p w14:paraId="7A12724A">
      <w:pPr>
        <w:spacing w:before="120" w:line="240" w:lineRule="atLeast"/>
        <w:ind w:left="960"/>
        <w:rPr>
          <w:rStyle w:val="28"/>
          <w:rFonts w:hint="default" w:ascii="仿宋" w:hAnsi="仿宋" w:eastAsia="仿宋" w:cs="仿宋"/>
          <w:color w:val="auto"/>
          <w:sz w:val="24"/>
          <w:highlight w:val="none"/>
          <w:lang w:val="en-US" w:eastAsia="zh-CN"/>
        </w:rPr>
      </w:pPr>
    </w:p>
    <w:p w14:paraId="0739B098">
      <w:pPr>
        <w:pStyle w:val="40"/>
        <w:spacing w:before="120" w:line="240" w:lineRule="atLeast"/>
        <w:rPr>
          <w:rStyle w:val="28"/>
          <w:rFonts w:hint="eastAsia" w:ascii="仿宋" w:hAnsi="仿宋" w:eastAsia="仿宋" w:cs="仿宋"/>
          <w:color w:val="auto"/>
          <w:szCs w:val="24"/>
          <w:highlight w:val="none"/>
          <w:lang w:eastAsia="zh-CN"/>
        </w:rPr>
      </w:pPr>
    </w:p>
    <w:p w14:paraId="3A37DBC1">
      <w:pPr>
        <w:pStyle w:val="40"/>
        <w:spacing w:before="120" w:line="240" w:lineRule="atLeast"/>
        <w:rPr>
          <w:rStyle w:val="28"/>
          <w:rFonts w:hint="eastAsia" w:ascii="仿宋" w:hAnsi="仿宋" w:eastAsia="仿宋" w:cs="仿宋"/>
          <w:color w:val="auto"/>
          <w:szCs w:val="24"/>
          <w:highlight w:val="none"/>
          <w:lang w:eastAsia="zh-CN"/>
        </w:rPr>
      </w:pPr>
    </w:p>
    <w:p w14:paraId="7CD12834">
      <w:pPr>
        <w:rPr>
          <w:rStyle w:val="28"/>
          <w:rFonts w:hint="eastAsia" w:ascii="仿宋" w:hAnsi="仿宋" w:eastAsia="仿宋" w:cs="仿宋"/>
          <w:color w:val="auto"/>
          <w:highlight w:val="none"/>
          <w:lang w:eastAsia="zh-CN"/>
        </w:rPr>
      </w:pPr>
    </w:p>
    <w:p w14:paraId="209E716F">
      <w:pPr>
        <w:spacing w:before="120" w:line="240" w:lineRule="atLeast"/>
        <w:ind w:left="960"/>
        <w:rPr>
          <w:rStyle w:val="28"/>
          <w:rFonts w:hint="default" w:ascii="仿宋" w:hAnsi="仿宋" w:eastAsia="仿宋" w:cs="仿宋"/>
          <w:color w:val="auto"/>
          <w:sz w:val="24"/>
          <w:highlight w:val="none"/>
          <w:u w:val="single"/>
          <w:lang w:val="en-US" w:eastAsia="zh-CN"/>
        </w:rPr>
      </w:pPr>
      <w:r>
        <w:rPr>
          <w:rStyle w:val="28"/>
          <w:rFonts w:hint="eastAsia" w:ascii="仿宋" w:hAnsi="仿宋" w:eastAsia="仿宋" w:cs="仿宋"/>
          <w:color w:val="auto"/>
          <w:sz w:val="24"/>
          <w:highlight w:val="none"/>
          <w:lang w:eastAsia="zh-CN"/>
        </w:rPr>
        <w:t>甲方：</w:t>
      </w:r>
      <w:r>
        <w:rPr>
          <w:rStyle w:val="28"/>
          <w:rFonts w:hint="eastAsia" w:ascii="仿宋" w:hAnsi="仿宋" w:eastAsia="仿宋" w:cs="仿宋"/>
          <w:color w:val="auto"/>
          <w:sz w:val="24"/>
          <w:highlight w:val="none"/>
          <w:lang w:val="en-US" w:eastAsia="zh-CN"/>
        </w:rPr>
        <w:t>  伽师县卫生健康委员会</w:t>
      </w:r>
    </w:p>
    <w:p w14:paraId="2077E4A0">
      <w:pPr>
        <w:spacing w:before="120" w:line="240" w:lineRule="atLeast"/>
        <w:rPr>
          <w:rStyle w:val="28"/>
          <w:rFonts w:hint="eastAsia" w:ascii="仿宋" w:hAnsi="仿宋" w:eastAsia="仿宋" w:cs="仿宋"/>
          <w:color w:val="auto"/>
          <w:sz w:val="24"/>
          <w:highlight w:val="none"/>
          <w:lang w:eastAsia="zh-CN"/>
        </w:rPr>
      </w:pPr>
    </w:p>
    <w:p w14:paraId="6A01CF1A">
      <w:pPr>
        <w:spacing w:before="120" w:line="240" w:lineRule="atLeast"/>
        <w:ind w:left="96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乙方：</w:t>
      </w:r>
    </w:p>
    <w:p w14:paraId="395A647A">
      <w:pPr>
        <w:spacing w:before="120" w:line="240" w:lineRule="atLeast"/>
        <w:rPr>
          <w:rStyle w:val="28"/>
          <w:rFonts w:hint="eastAsia" w:ascii="仿宋" w:hAnsi="仿宋" w:eastAsia="仿宋" w:cs="仿宋"/>
          <w:color w:val="auto"/>
          <w:sz w:val="24"/>
          <w:highlight w:val="none"/>
          <w:lang w:eastAsia="zh-CN"/>
        </w:rPr>
      </w:pPr>
    </w:p>
    <w:p w14:paraId="4B19305C">
      <w:pPr>
        <w:spacing w:before="120" w:line="240" w:lineRule="atLeast"/>
        <w:ind w:firstLine="960" w:firstLineChars="4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签订地：</w:t>
      </w:r>
    </w:p>
    <w:p w14:paraId="63FF8F8D">
      <w:pPr>
        <w:spacing w:before="120" w:line="240" w:lineRule="atLeast"/>
        <w:rPr>
          <w:rStyle w:val="28"/>
          <w:rFonts w:hint="eastAsia" w:ascii="仿宋" w:hAnsi="仿宋" w:eastAsia="仿宋" w:cs="仿宋"/>
          <w:color w:val="auto"/>
          <w:sz w:val="24"/>
          <w:highlight w:val="none"/>
          <w:lang w:eastAsia="zh-CN"/>
        </w:rPr>
      </w:pPr>
    </w:p>
    <w:p w14:paraId="075544E8">
      <w:pPr>
        <w:spacing w:before="120" w:line="240" w:lineRule="atLeast"/>
        <w:ind w:firstLine="960" w:firstLineChars="4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签订日期：</w:t>
      </w:r>
      <w:r>
        <w:rPr>
          <w:rStyle w:val="28"/>
          <w:rFonts w:hint="eastAsia" w:ascii="仿宋" w:hAnsi="仿宋" w:eastAsia="仿宋" w:cs="仿宋"/>
          <w:color w:val="auto"/>
          <w:sz w:val="24"/>
          <w:highlight w:val="none"/>
          <w:lang w:val="en-US" w:eastAsia="zh-CN"/>
        </w:rPr>
        <w:t xml:space="preserve">   </w:t>
      </w:r>
      <w:r>
        <w:rPr>
          <w:rStyle w:val="28"/>
          <w:rFonts w:hint="eastAsia" w:ascii="仿宋" w:hAnsi="仿宋" w:eastAsia="仿宋" w:cs="仿宋"/>
          <w:color w:val="auto"/>
          <w:sz w:val="24"/>
          <w:highlight w:val="none"/>
          <w:lang w:eastAsia="zh-CN"/>
        </w:rPr>
        <w:t>年</w:t>
      </w:r>
      <w:r>
        <w:rPr>
          <w:rStyle w:val="28"/>
          <w:rFonts w:hint="eastAsia" w:ascii="仿宋" w:hAnsi="仿宋" w:eastAsia="仿宋" w:cs="仿宋"/>
          <w:color w:val="auto"/>
          <w:sz w:val="24"/>
          <w:highlight w:val="none"/>
          <w:lang w:val="en-US" w:eastAsia="zh-CN"/>
        </w:rPr>
        <w:t xml:space="preserve">   </w:t>
      </w:r>
      <w:r>
        <w:rPr>
          <w:rStyle w:val="28"/>
          <w:rFonts w:hint="eastAsia" w:ascii="仿宋" w:hAnsi="仿宋" w:eastAsia="仿宋" w:cs="仿宋"/>
          <w:color w:val="auto"/>
          <w:sz w:val="24"/>
          <w:highlight w:val="none"/>
          <w:lang w:eastAsia="zh-CN"/>
        </w:rPr>
        <w:t>月</w:t>
      </w:r>
      <w:r>
        <w:rPr>
          <w:rStyle w:val="28"/>
          <w:rFonts w:hint="eastAsia" w:ascii="仿宋" w:hAnsi="仿宋" w:eastAsia="仿宋" w:cs="仿宋"/>
          <w:color w:val="auto"/>
          <w:sz w:val="24"/>
          <w:highlight w:val="none"/>
          <w:lang w:val="en-US" w:eastAsia="zh-CN"/>
        </w:rPr>
        <w:t xml:space="preserve">   </w:t>
      </w:r>
      <w:r>
        <w:rPr>
          <w:rStyle w:val="28"/>
          <w:rFonts w:hint="eastAsia" w:ascii="仿宋" w:hAnsi="仿宋" w:eastAsia="仿宋" w:cs="仿宋"/>
          <w:color w:val="auto"/>
          <w:sz w:val="24"/>
          <w:highlight w:val="none"/>
          <w:lang w:eastAsia="zh-CN"/>
        </w:rPr>
        <w:t>日</w:t>
      </w:r>
    </w:p>
    <w:p w14:paraId="34959E64">
      <w:pPr>
        <w:spacing w:line="600" w:lineRule="exact"/>
        <w:ind w:firstLine="640"/>
        <w:jc w:val="center"/>
        <w:rPr>
          <w:rStyle w:val="28"/>
          <w:rFonts w:hint="eastAsia" w:ascii="仿宋" w:hAnsi="仿宋" w:eastAsia="仿宋" w:cs="仿宋"/>
          <w:color w:val="auto"/>
          <w:sz w:val="24"/>
          <w:highlight w:val="none"/>
          <w:lang w:eastAsia="zh-CN"/>
        </w:rPr>
        <w:sectPr>
          <w:headerReference r:id="rId13" w:type="default"/>
          <w:footerReference r:id="rId14" w:type="default"/>
          <w:pgSz w:w="11907" w:h="16840"/>
          <w:pgMar w:top="1247" w:right="1814" w:bottom="1247" w:left="1814" w:header="851" w:footer="850" w:gutter="0"/>
          <w:cols w:space="0" w:num="1"/>
          <w:docGrid w:linePitch="462" w:charSpace="0"/>
        </w:sectPr>
      </w:pPr>
    </w:p>
    <w:p w14:paraId="3C4BD291">
      <w:pPr>
        <w:pStyle w:val="8"/>
        <w:tabs>
          <w:tab w:val="left" w:pos="567"/>
        </w:tabs>
        <w:spacing w:line="272" w:lineRule="auto"/>
        <w:jc w:val="center"/>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年</w:t>
      </w:r>
      <w:r>
        <w:rPr>
          <w:rStyle w:val="28"/>
          <w:rFonts w:hint="eastAsia" w:ascii="仿宋" w:hAnsi="仿宋" w:eastAsia="仿宋" w:cs="仿宋"/>
          <w:color w:val="auto"/>
          <w:sz w:val="24"/>
          <w:highlight w:val="none"/>
          <w:lang w:eastAsia="zh-CN"/>
        </w:rPr>
        <w:t xml:space="preserve"> </w:t>
      </w:r>
      <w:r>
        <w:rPr>
          <w:rStyle w:val="28"/>
          <w:rFonts w:hint="eastAsia" w:ascii="仿宋" w:hAnsi="仿宋" w:eastAsia="仿宋" w:cs="仿宋"/>
          <w:color w:val="auto"/>
          <w:sz w:val="24"/>
          <w:highlight w:val="none"/>
          <w:lang w:val="zh-CN" w:eastAsia="zh-CN"/>
        </w:rPr>
        <w:t>月</w:t>
      </w:r>
      <w:r>
        <w:rPr>
          <w:rStyle w:val="28"/>
          <w:rFonts w:hint="eastAsia" w:ascii="仿宋" w:hAnsi="仿宋" w:eastAsia="仿宋" w:cs="仿宋"/>
          <w:color w:val="auto"/>
          <w:sz w:val="24"/>
          <w:highlight w:val="none"/>
          <w:lang w:eastAsia="zh-CN"/>
        </w:rPr>
        <w:t xml:space="preserve"> </w:t>
      </w:r>
      <w:r>
        <w:rPr>
          <w:rStyle w:val="28"/>
          <w:rFonts w:hint="eastAsia" w:ascii="仿宋" w:hAnsi="仿宋" w:eastAsia="仿宋" w:cs="仿宋"/>
          <w:color w:val="auto"/>
          <w:sz w:val="24"/>
          <w:highlight w:val="none"/>
          <w:lang w:val="zh-CN" w:eastAsia="zh-CN"/>
        </w:rPr>
        <w:t>日</w:t>
      </w:r>
      <w:r>
        <w:rPr>
          <w:rStyle w:val="28"/>
          <w:rFonts w:hint="eastAsia" w:ascii="仿宋" w:hAnsi="仿宋" w:eastAsia="仿宋" w:cs="仿宋"/>
          <w:color w:val="auto"/>
          <w:sz w:val="24"/>
          <w:highlight w:val="none"/>
          <w:lang w:eastAsia="zh-CN"/>
        </w:rPr>
        <w:t>，</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u w:val="single" w:color="000000"/>
          <w:lang w:val="en-US" w:eastAsia="zh-CN"/>
        </w:rPr>
        <w:t>  伽师县卫生健康委员会</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以</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u w:val="single" w:color="000000"/>
          <w:lang w:val="en-US" w:eastAsia="zh-CN"/>
        </w:rPr>
        <w:t>公开招标</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对</w:t>
      </w:r>
      <w:r>
        <w:rPr>
          <w:rStyle w:val="28"/>
          <w:rFonts w:hint="eastAsia" w:ascii="仿宋" w:hAnsi="仿宋" w:eastAsia="仿宋" w:cs="仿宋"/>
          <w:color w:val="auto"/>
          <w:sz w:val="24"/>
          <w:highlight w:val="none"/>
          <w:u w:val="single" w:color="auto"/>
          <w:lang w:eastAsia="zh-CN"/>
        </w:rPr>
        <w:t xml:space="preserve">   </w:t>
      </w:r>
      <w:r>
        <w:rPr>
          <w:rStyle w:val="28"/>
          <w:rFonts w:hint="eastAsia" w:ascii="仿宋" w:hAnsi="仿宋" w:eastAsia="仿宋" w:cs="仿宋"/>
          <w:color w:val="auto"/>
          <w:sz w:val="24"/>
          <w:highlight w:val="none"/>
          <w:u w:val="single" w:color="auto"/>
          <w:lang w:val="en-US" w:eastAsia="zh-CN"/>
        </w:rPr>
        <w:t>  </w:t>
      </w:r>
      <w:r>
        <w:rPr>
          <w:rStyle w:val="28"/>
          <w:rFonts w:hint="eastAsia" w:ascii="仿宋" w:hAnsi="仿宋" w:eastAsia="仿宋" w:cs="仿宋"/>
          <w:color w:val="auto"/>
          <w:sz w:val="24"/>
          <w:highlight w:val="none"/>
          <w:u w:val="single" w:color="auto"/>
          <w:lang w:eastAsia="zh-CN"/>
        </w:rPr>
        <w:t>伽师县2026年健康心理服务中心建设项目(二次)</w:t>
      </w:r>
      <w:r>
        <w:rPr>
          <w:rStyle w:val="28"/>
          <w:rFonts w:hint="eastAsia" w:ascii="仿宋" w:hAnsi="仿宋" w:eastAsia="仿宋" w:cs="仿宋"/>
          <w:color w:val="auto"/>
          <w:sz w:val="24"/>
          <w:highlight w:val="none"/>
          <w:lang w:eastAsia="zh-CN"/>
        </w:rPr>
        <w:t>进行了采购。经</w:t>
      </w:r>
      <w:r>
        <w:rPr>
          <w:rStyle w:val="28"/>
          <w:rFonts w:hint="eastAsia" w:ascii="仿宋" w:hAnsi="仿宋" w:eastAsia="仿宋" w:cs="仿宋"/>
          <w:color w:val="auto"/>
          <w:sz w:val="24"/>
          <w:highlight w:val="none"/>
          <w:u w:val="single" w:color="000000"/>
          <w:lang w:eastAsia="zh-CN"/>
        </w:rPr>
        <w:t xml:space="preserve">   （相关评定主体名称）   </w:t>
      </w:r>
      <w:r>
        <w:rPr>
          <w:rStyle w:val="28"/>
          <w:rFonts w:hint="eastAsia" w:ascii="仿宋" w:hAnsi="仿宋" w:eastAsia="仿宋" w:cs="仿宋"/>
          <w:color w:val="auto"/>
          <w:sz w:val="24"/>
          <w:highlight w:val="none"/>
          <w:lang w:eastAsia="zh-CN"/>
        </w:rPr>
        <w:t>评定，</w:t>
      </w:r>
      <w:r>
        <w:rPr>
          <w:rStyle w:val="28"/>
          <w:rFonts w:hint="eastAsia" w:ascii="仿宋" w:hAnsi="仿宋" w:eastAsia="仿宋" w:cs="仿宋"/>
          <w:color w:val="auto"/>
          <w:sz w:val="24"/>
          <w:highlight w:val="none"/>
          <w:u w:val="single" w:color="000000"/>
          <w:lang w:eastAsia="zh-CN"/>
        </w:rPr>
        <w:t xml:space="preserve">   （中标供应商名称）</w:t>
      </w:r>
      <w:r>
        <w:rPr>
          <w:rStyle w:val="28"/>
          <w:rFonts w:hint="eastAsia" w:ascii="仿宋" w:hAnsi="仿宋" w:eastAsia="仿宋" w:cs="仿宋"/>
          <w:color w:val="auto"/>
          <w:sz w:val="24"/>
          <w:highlight w:val="none"/>
          <w:lang w:eastAsia="zh-CN"/>
        </w:rPr>
        <w:t>为该项目中标供应商。现于中标通知书发出之日起三十日</w:t>
      </w:r>
    </w:p>
    <w:p w14:paraId="53920D30">
      <w:pPr>
        <w:spacing w:line="400" w:lineRule="exact"/>
        <w:jc w:val="both"/>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内，按照采购文件确定的事项签订本合同。</w:t>
      </w:r>
    </w:p>
    <w:p w14:paraId="0C1DA09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根据《中华人民共和国合同法》、《中华人民共和国政府采购法》等相关法律法规之规定，按照平等、自愿、公平和诚实信用的原则，经</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u w:val="single" w:color="000000"/>
          <w:lang w:val="en-US" w:eastAsia="zh-CN"/>
        </w:rPr>
        <w:t>  伽师县卫生健康委员会</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val="zh-CN" w:eastAsia="zh-CN"/>
        </w:rPr>
        <w:t>(以下简称：甲方)和</w:t>
      </w:r>
      <w:r>
        <w:rPr>
          <w:rStyle w:val="28"/>
          <w:rFonts w:hint="eastAsia" w:ascii="仿宋" w:hAnsi="仿宋" w:eastAsia="仿宋" w:cs="仿宋"/>
          <w:color w:val="auto"/>
          <w:sz w:val="24"/>
          <w:highlight w:val="none"/>
          <w:u w:val="single" w:color="000000"/>
          <w:lang w:eastAsia="zh-CN"/>
        </w:rPr>
        <w:t xml:space="preserve">   （中标供应商名称）   </w:t>
      </w:r>
      <w:r>
        <w:rPr>
          <w:rStyle w:val="28"/>
          <w:rFonts w:hint="eastAsia" w:ascii="仿宋" w:hAnsi="仿宋" w:eastAsia="仿宋" w:cs="仿宋"/>
          <w:color w:val="auto"/>
          <w:sz w:val="24"/>
          <w:highlight w:val="none"/>
          <w:lang w:val="zh-CN" w:eastAsia="zh-CN"/>
        </w:rPr>
        <w:t>(以下简称：乙方)协商一致，约定以下合同</w:t>
      </w:r>
      <w:r>
        <w:rPr>
          <w:rStyle w:val="28"/>
          <w:rFonts w:hint="eastAsia" w:ascii="仿宋" w:hAnsi="仿宋" w:eastAsia="仿宋" w:cs="仿宋"/>
          <w:color w:val="auto"/>
          <w:sz w:val="24"/>
          <w:highlight w:val="none"/>
          <w:lang w:eastAsia="zh-CN"/>
        </w:rPr>
        <w:t>条款，以兹共同遵守、全面履行。</w:t>
      </w:r>
    </w:p>
    <w:p w14:paraId="1926788E">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1.1 合同组成部分</w:t>
      </w:r>
    </w:p>
    <w:p w14:paraId="7582F916">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DF2321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1.1.1 本合同及其补充合同、变更协议；</w:t>
      </w:r>
    </w:p>
    <w:p w14:paraId="1F11A2B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1.1.2 中标通知书；</w:t>
      </w:r>
    </w:p>
    <w:p w14:paraId="6AA48B5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1.1.3 投标文件（含澄清或者说明文件）；</w:t>
      </w:r>
    </w:p>
    <w:p w14:paraId="1AAF1AF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1.1.4 招标文件（含澄清或者修改文件）；</w:t>
      </w:r>
    </w:p>
    <w:p w14:paraId="05AEFF95">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1.1.5 其他相关采购文件。</w:t>
      </w:r>
    </w:p>
    <w:p w14:paraId="2645AFCF">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1.2 货物</w:t>
      </w:r>
    </w:p>
    <w:p w14:paraId="5486BFF4">
      <w:pPr>
        <w:spacing w:line="400" w:lineRule="exact"/>
        <w:ind w:firstLine="480" w:firstLineChars="2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1.2.1 货物称：；</w:t>
      </w:r>
    </w:p>
    <w:p w14:paraId="53B0D0D5">
      <w:pPr>
        <w:spacing w:line="400" w:lineRule="exact"/>
        <w:ind w:firstLine="480" w:firstLineChars="2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1.2.2 货物量：；</w:t>
      </w:r>
    </w:p>
    <w:p w14:paraId="4C5B39D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1.2.3 货物量：</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w:t>
      </w:r>
    </w:p>
    <w:p w14:paraId="251B95E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1.3 价款</w:t>
      </w:r>
    </w:p>
    <w:p w14:paraId="60257B0C">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本合同总价为：￥元（大写：元人民币）。</w:t>
      </w:r>
    </w:p>
    <w:p w14:paraId="70A4462A">
      <w:pPr>
        <w:spacing w:line="400" w:lineRule="exact"/>
        <w:ind w:firstLine="480" w:firstLineChars="200"/>
        <w:rPr>
          <w:rStyle w:val="28"/>
          <w:rFonts w:hint="eastAsia" w:ascii="仿宋" w:hAnsi="仿宋" w:eastAsia="仿宋" w:cs="仿宋"/>
          <w:color w:val="auto"/>
          <w:sz w:val="24"/>
          <w:highlight w:val="none"/>
          <w:u w:val="single"/>
        </w:rPr>
      </w:pPr>
      <w:r>
        <w:rPr>
          <w:rStyle w:val="28"/>
          <w:rFonts w:hint="eastAsia" w:ascii="仿宋" w:hAnsi="仿宋" w:eastAsia="仿宋" w:cs="仿宋"/>
          <w:color w:val="auto"/>
          <w:sz w:val="24"/>
          <w:highlight w:val="none"/>
        </w:rPr>
        <w:t>分项价格：</w:t>
      </w:r>
    </w:p>
    <w:tbl>
      <w:tblPr>
        <w:tblStyle w:val="23"/>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14:paraId="3BF7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C9E0A4">
            <w:pPr>
              <w:pStyle w:val="41"/>
              <w:spacing w:line="400" w:lineRule="exact"/>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14:paraId="248AF6C5">
            <w:pPr>
              <w:pStyle w:val="41"/>
              <w:spacing w:line="400" w:lineRule="exact"/>
              <w:ind w:firstLine="200"/>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14:paraId="729BCC6C">
            <w:pPr>
              <w:pStyle w:val="41"/>
              <w:spacing w:line="400" w:lineRule="exact"/>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分项价格</w:t>
            </w:r>
          </w:p>
        </w:tc>
      </w:tr>
      <w:tr w14:paraId="0F296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46CC4C">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12BA437A">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E71DEC6">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3B6F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C58D38">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3253DB19">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4B38E20A">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01CF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B946B0">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4A15F438">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5CC49A8D">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15CB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902C63">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3402" w:type="dxa"/>
            <w:tcBorders>
              <w:top w:val="single" w:color="000000" w:sz="4" w:space="0"/>
              <w:left w:val="single" w:color="000000" w:sz="4" w:space="0"/>
              <w:bottom w:val="single" w:color="000000" w:sz="4" w:space="0"/>
              <w:right w:val="single" w:color="000000" w:sz="4" w:space="0"/>
            </w:tcBorders>
            <w:vAlign w:val="center"/>
          </w:tcPr>
          <w:p w14:paraId="23E79797">
            <w:pPr>
              <w:pStyle w:val="41"/>
              <w:spacing w:line="400" w:lineRule="exact"/>
              <w:ind w:firstLine="200"/>
              <w:jc w:val="center"/>
              <w:rPr>
                <w:rStyle w:val="28"/>
                <w:rFonts w:hint="eastAsia" w:ascii="仿宋" w:hAnsi="仿宋" w:eastAsia="仿宋" w:cs="仿宋"/>
                <w:color w:val="auto"/>
                <w:kern w:val="2"/>
                <w:sz w:val="24"/>
                <w:szCs w:val="24"/>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5FEF1F7F">
            <w:pPr>
              <w:pStyle w:val="41"/>
              <w:spacing w:line="400" w:lineRule="exact"/>
              <w:ind w:firstLine="200"/>
              <w:jc w:val="center"/>
              <w:rPr>
                <w:rStyle w:val="28"/>
                <w:rFonts w:hint="eastAsia" w:ascii="仿宋" w:hAnsi="仿宋" w:eastAsia="仿宋" w:cs="仿宋"/>
                <w:color w:val="auto"/>
                <w:kern w:val="2"/>
                <w:sz w:val="24"/>
                <w:szCs w:val="24"/>
                <w:highlight w:val="none"/>
              </w:rPr>
            </w:pPr>
          </w:p>
        </w:tc>
      </w:tr>
      <w:tr w14:paraId="568A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75901861">
            <w:pPr>
              <w:pStyle w:val="41"/>
              <w:spacing w:line="400" w:lineRule="exact"/>
              <w:ind w:firstLine="200"/>
              <w:jc w:val="center"/>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14:paraId="2CF47433">
            <w:pPr>
              <w:pStyle w:val="41"/>
              <w:spacing w:line="400" w:lineRule="exact"/>
              <w:ind w:firstLine="200"/>
              <w:jc w:val="center"/>
              <w:rPr>
                <w:rStyle w:val="28"/>
                <w:rFonts w:hint="eastAsia" w:ascii="仿宋" w:hAnsi="仿宋" w:eastAsia="仿宋" w:cs="仿宋"/>
                <w:color w:val="auto"/>
                <w:kern w:val="2"/>
                <w:sz w:val="24"/>
                <w:szCs w:val="24"/>
                <w:highlight w:val="none"/>
              </w:rPr>
            </w:pPr>
          </w:p>
        </w:tc>
      </w:tr>
    </w:tbl>
    <w:p w14:paraId="34B9A2A1">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1.4 付款方式和发票开具方式</w:t>
      </w:r>
    </w:p>
    <w:p w14:paraId="723663A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1.4.1 付款方式：；</w:t>
      </w:r>
    </w:p>
    <w:p w14:paraId="68C09B4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1.4.2 发票开具方式：。</w:t>
      </w:r>
    </w:p>
    <w:p w14:paraId="1EB442E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1.5 货物交付期限、地点和方式</w:t>
      </w:r>
    </w:p>
    <w:p w14:paraId="09C564AA">
      <w:pPr>
        <w:spacing w:line="400" w:lineRule="exact"/>
        <w:ind w:firstLine="480" w:firstLineChars="200"/>
        <w:rPr>
          <w:rStyle w:val="28"/>
          <w:rFonts w:hint="eastAsia" w:ascii="仿宋" w:hAnsi="仿宋" w:eastAsia="仿宋" w:cs="仿宋"/>
          <w:color w:val="auto"/>
          <w:sz w:val="24"/>
          <w:highlight w:val="none"/>
          <w:u w:val="single"/>
          <w:lang w:eastAsia="zh-CN"/>
        </w:rPr>
      </w:pPr>
      <w:r>
        <w:rPr>
          <w:rStyle w:val="28"/>
          <w:rFonts w:hint="eastAsia" w:ascii="仿宋" w:hAnsi="仿宋" w:eastAsia="仿宋" w:cs="仿宋"/>
          <w:color w:val="auto"/>
          <w:sz w:val="24"/>
          <w:highlight w:val="none"/>
          <w:lang w:eastAsia="zh-CN"/>
        </w:rPr>
        <w:t>1.5.1 交付限：；</w:t>
      </w:r>
    </w:p>
    <w:p w14:paraId="33F9B7F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1.5.2 交付点：</w:t>
      </w:r>
      <w:r>
        <w:rPr>
          <w:rStyle w:val="28"/>
          <w:rFonts w:hint="eastAsia" w:ascii="仿宋" w:hAnsi="仿宋" w:eastAsia="仿宋" w:cs="仿宋"/>
          <w:color w:val="auto"/>
          <w:sz w:val="24"/>
          <w:highlight w:val="none"/>
          <w:lang w:val="en-US" w:eastAsia="zh-CN"/>
        </w:rPr>
        <w:t>  伽师县卫生健康委员会</w:t>
      </w:r>
    </w:p>
    <w:p w14:paraId="02B2C0B5">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1.5.3 交付式：</w:t>
      </w:r>
      <w:r>
        <w:rPr>
          <w:rStyle w:val="28"/>
          <w:rFonts w:hint="eastAsia" w:ascii="仿宋" w:hAnsi="仿宋" w:eastAsia="仿宋" w:cs="仿宋"/>
          <w:color w:val="auto"/>
          <w:sz w:val="24"/>
          <w:highlight w:val="none"/>
          <w:u w:val="single"/>
          <w:lang w:eastAsia="zh-CN"/>
        </w:rPr>
        <w:t xml:space="preserve">              </w:t>
      </w:r>
      <w:r>
        <w:rPr>
          <w:rStyle w:val="28"/>
          <w:rFonts w:hint="eastAsia" w:ascii="仿宋" w:hAnsi="仿宋" w:eastAsia="仿宋" w:cs="仿宋"/>
          <w:color w:val="auto"/>
          <w:sz w:val="24"/>
          <w:highlight w:val="none"/>
          <w:u w:val="single" w:color="000000"/>
          <w:lang w:eastAsia="zh-CN"/>
        </w:rPr>
        <w:t xml:space="preserve">                           </w:t>
      </w:r>
      <w:r>
        <w:rPr>
          <w:rStyle w:val="28"/>
          <w:rFonts w:hint="eastAsia" w:ascii="仿宋" w:hAnsi="仿宋" w:eastAsia="仿宋" w:cs="仿宋"/>
          <w:color w:val="auto"/>
          <w:sz w:val="24"/>
          <w:highlight w:val="none"/>
          <w:lang w:eastAsia="zh-CN"/>
        </w:rPr>
        <w:t>。</w:t>
      </w:r>
    </w:p>
    <w:p w14:paraId="1754AB7A">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1.6 违约责任</w:t>
      </w:r>
    </w:p>
    <w:p w14:paraId="06A6A15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14:paraId="061EBE0C">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6882246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2F50E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3EB031">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72DFA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1DADA2E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1.7 合同争议的解决</w:t>
      </w:r>
    </w:p>
    <w:p w14:paraId="1E3A9C89">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本合同履行过程中发生的任何争议，双方当事人均可通过和解或者调解解决；不愿和解、调解或者和解、调解不成的，可以选择下列第种方式解决：</w:t>
      </w:r>
    </w:p>
    <w:p w14:paraId="37BBBE1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1.7.1 将争议提交仲裁委员会依申请仲裁时其现行有效的仲裁规则裁决；</w:t>
      </w:r>
    </w:p>
    <w:p w14:paraId="642588E2">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1.7.2 向</w:t>
      </w:r>
      <w:r>
        <w:rPr>
          <w:rStyle w:val="28"/>
          <w:rFonts w:hint="eastAsia" w:ascii="仿宋" w:hAnsi="仿宋" w:eastAsia="仿宋" w:cs="仿宋"/>
          <w:color w:val="auto"/>
          <w:sz w:val="24"/>
          <w:highlight w:val="none"/>
          <w:u w:val="single" w:color="000000"/>
          <w:lang w:eastAsia="zh-CN"/>
        </w:rPr>
        <w:t xml:space="preserve">   （被告住所地、合同履行地、合同签订地、原告住所地、标的物所在地等与争议有实际联系的地点中选出的人民法院名称）    </w:t>
      </w:r>
      <w:r>
        <w:rPr>
          <w:rStyle w:val="28"/>
          <w:rFonts w:hint="eastAsia" w:ascii="仿宋" w:hAnsi="仿宋" w:eastAsia="仿宋" w:cs="仿宋"/>
          <w:color w:val="auto"/>
          <w:sz w:val="24"/>
          <w:highlight w:val="none"/>
          <w:lang w:eastAsia="zh-CN"/>
        </w:rPr>
        <w:t>人民法院起诉。</w:t>
      </w:r>
    </w:p>
    <w:p w14:paraId="50F72FE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1.8 合同生效</w:t>
      </w:r>
    </w:p>
    <w:p w14:paraId="449A4712">
      <w:pPr>
        <w:spacing w:line="400" w:lineRule="exact"/>
        <w:ind w:firstLine="480"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color w:val="auto"/>
          <w:sz w:val="24"/>
          <w:highlight w:val="none"/>
          <w:lang w:eastAsia="zh-CN"/>
        </w:rPr>
        <w:t>本合同自双方当事人盖章或者签字时生效。</w:t>
      </w:r>
    </w:p>
    <w:p w14:paraId="3ACE397C">
      <w:pPr>
        <w:spacing w:line="400" w:lineRule="exact"/>
        <w:rPr>
          <w:rStyle w:val="28"/>
          <w:rFonts w:hint="eastAsia" w:ascii="仿宋" w:hAnsi="仿宋" w:eastAsia="仿宋" w:cs="仿宋"/>
          <w:color w:val="auto"/>
          <w:sz w:val="24"/>
          <w:highlight w:val="none"/>
          <w:lang w:val="zh-CN" w:eastAsia="zh-CN"/>
        </w:rPr>
      </w:pPr>
    </w:p>
    <w:p w14:paraId="07CC38B8">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b/>
          <w:color w:val="auto"/>
          <w:sz w:val="24"/>
          <w:highlight w:val="none"/>
          <w:lang w:val="zh-CN" w:eastAsia="zh-CN"/>
        </w:rPr>
        <w:t>甲方</w:t>
      </w:r>
      <w:r>
        <w:rPr>
          <w:rStyle w:val="28"/>
          <w:rFonts w:hint="eastAsia" w:ascii="仿宋" w:hAnsi="仿宋" w:eastAsia="仿宋" w:cs="仿宋"/>
          <w:color w:val="auto"/>
          <w:sz w:val="24"/>
          <w:highlight w:val="none"/>
          <w:lang w:val="zh-CN" w:eastAsia="zh-CN"/>
        </w:rPr>
        <w:t>：</w:t>
      </w:r>
      <w:r>
        <w:rPr>
          <w:rStyle w:val="28"/>
          <w:rFonts w:hint="eastAsia" w:ascii="仿宋" w:hAnsi="仿宋" w:eastAsia="仿宋" w:cs="仿宋"/>
          <w:color w:val="auto"/>
          <w:sz w:val="24"/>
          <w:highlight w:val="none"/>
          <w:lang w:val="en-US" w:eastAsia="zh-CN"/>
        </w:rPr>
        <w:t>  伽师县卫生健康委员会</w:t>
      </w:r>
      <w:r>
        <w:rPr>
          <w:rStyle w:val="28"/>
          <w:rFonts w:hint="eastAsia" w:ascii="仿宋" w:hAnsi="仿宋" w:eastAsia="仿宋" w:cs="仿宋"/>
          <w:color w:val="auto"/>
          <w:sz w:val="24"/>
          <w:highlight w:val="none"/>
          <w:lang w:val="zh-CN" w:eastAsia="zh-CN"/>
        </w:rPr>
        <w:t xml:space="preserve">                             </w:t>
      </w:r>
      <w:r>
        <w:rPr>
          <w:rStyle w:val="28"/>
          <w:rFonts w:hint="eastAsia" w:ascii="仿宋" w:hAnsi="仿宋" w:eastAsia="仿宋" w:cs="仿宋"/>
          <w:b/>
          <w:color w:val="auto"/>
          <w:sz w:val="24"/>
          <w:highlight w:val="none"/>
          <w:lang w:val="zh-CN" w:eastAsia="zh-CN"/>
        </w:rPr>
        <w:t xml:space="preserve">      乙方</w:t>
      </w:r>
      <w:r>
        <w:rPr>
          <w:rStyle w:val="28"/>
          <w:rFonts w:hint="eastAsia" w:ascii="仿宋" w:hAnsi="仿宋" w:eastAsia="仿宋" w:cs="仿宋"/>
          <w:color w:val="auto"/>
          <w:sz w:val="24"/>
          <w:highlight w:val="none"/>
          <w:lang w:val="zh-CN" w:eastAsia="zh-CN"/>
        </w:rPr>
        <w:t>：</w:t>
      </w:r>
    </w:p>
    <w:p w14:paraId="00078DDC">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统一社会信用代码：                  统一社会信用代码或身份证号码：</w:t>
      </w:r>
    </w:p>
    <w:p w14:paraId="6B00AFEA">
      <w:pPr>
        <w:spacing w:line="400" w:lineRule="exact"/>
        <w:rPr>
          <w:rStyle w:val="28"/>
          <w:rFonts w:hint="default" w:ascii="仿宋" w:hAnsi="仿宋" w:eastAsia="仿宋" w:cs="仿宋"/>
          <w:color w:val="auto"/>
          <w:sz w:val="24"/>
          <w:highlight w:val="none"/>
          <w:lang w:val="en-US" w:eastAsia="zh-CN"/>
        </w:rPr>
      </w:pPr>
      <w:r>
        <w:rPr>
          <w:rStyle w:val="28"/>
          <w:rFonts w:hint="eastAsia" w:ascii="仿宋" w:hAnsi="仿宋" w:eastAsia="仿宋" w:cs="仿宋"/>
          <w:color w:val="auto"/>
          <w:sz w:val="24"/>
          <w:highlight w:val="none"/>
          <w:lang w:val="zh-CN" w:eastAsia="zh-CN"/>
        </w:rPr>
        <w:t>12653129</w:t>
      </w:r>
      <w:r>
        <w:rPr>
          <w:rStyle w:val="28"/>
          <w:rFonts w:hint="eastAsia" w:ascii="仿宋" w:hAnsi="仿宋" w:eastAsia="仿宋" w:cs="仿宋"/>
          <w:color w:val="auto"/>
          <w:sz w:val="24"/>
          <w:highlight w:val="none"/>
          <w:lang w:val="en-US" w:eastAsia="zh-CN"/>
        </w:rPr>
        <w:t>MB1563585L</w:t>
      </w:r>
    </w:p>
    <w:p w14:paraId="5C7615FE">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住所：伽师县                   住所：</w:t>
      </w:r>
    </w:p>
    <w:p w14:paraId="065566ED">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法定代表人或                             法定代表人</w:t>
      </w:r>
    </w:p>
    <w:p w14:paraId="50C80448">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 xml:space="preserve">授权代表（签字）：                        或授权代表（签字）: </w:t>
      </w:r>
    </w:p>
    <w:p w14:paraId="5F55F5DC">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联系人：</w:t>
      </w:r>
      <w:r>
        <w:rPr>
          <w:rStyle w:val="28"/>
          <w:rFonts w:hint="eastAsia" w:ascii="仿宋" w:hAnsi="仿宋" w:eastAsia="仿宋" w:cs="仿宋"/>
          <w:color w:val="auto"/>
          <w:sz w:val="24"/>
          <w:highlight w:val="none"/>
          <w:lang w:val="en-US" w:eastAsia="zh-CN"/>
        </w:rPr>
        <w:t>艾合麦提·呀森</w:t>
      </w:r>
      <w:r>
        <w:rPr>
          <w:rStyle w:val="28"/>
          <w:rFonts w:hint="eastAsia" w:ascii="仿宋" w:hAnsi="仿宋" w:eastAsia="仿宋" w:cs="仿宋"/>
          <w:color w:val="auto"/>
          <w:sz w:val="24"/>
          <w:highlight w:val="none"/>
          <w:lang w:val="zh-CN" w:eastAsia="zh-CN"/>
        </w:rPr>
        <w:t xml:space="preserve">                                 联系人：</w:t>
      </w:r>
    </w:p>
    <w:p w14:paraId="063A7B1A">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 xml:space="preserve">约定送达地址： </w:t>
      </w:r>
      <w:r>
        <w:rPr>
          <w:rStyle w:val="28"/>
          <w:rFonts w:hint="eastAsia" w:ascii="仿宋" w:hAnsi="仿宋" w:eastAsia="仿宋" w:cs="仿宋"/>
          <w:color w:val="auto"/>
          <w:sz w:val="24"/>
          <w:highlight w:val="none"/>
          <w:lang w:val="en-US" w:eastAsia="zh-CN"/>
        </w:rPr>
        <w:t>  伽师县卫生健康委员会</w:t>
      </w:r>
      <w:r>
        <w:rPr>
          <w:rStyle w:val="28"/>
          <w:rFonts w:hint="eastAsia" w:ascii="仿宋" w:hAnsi="仿宋" w:eastAsia="仿宋" w:cs="仿宋"/>
          <w:color w:val="auto"/>
          <w:sz w:val="24"/>
          <w:highlight w:val="none"/>
          <w:lang w:val="zh-CN" w:eastAsia="zh-CN"/>
        </w:rPr>
        <w:t xml:space="preserve">                          约定送达地址：</w:t>
      </w:r>
    </w:p>
    <w:p w14:paraId="5D514AC8">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邮政编码：</w:t>
      </w:r>
      <w:r>
        <w:rPr>
          <w:rStyle w:val="28"/>
          <w:rFonts w:hint="eastAsia" w:ascii="仿宋" w:hAnsi="仿宋" w:eastAsia="仿宋" w:cs="仿宋"/>
          <w:color w:val="auto"/>
          <w:sz w:val="24"/>
          <w:highlight w:val="none"/>
          <w:lang w:val="en-US" w:eastAsia="zh-CN"/>
        </w:rPr>
        <w:t>844300</w:t>
      </w:r>
      <w:r>
        <w:rPr>
          <w:rStyle w:val="28"/>
          <w:rFonts w:hint="eastAsia" w:ascii="仿宋" w:hAnsi="仿宋" w:eastAsia="仿宋" w:cs="仿宋"/>
          <w:color w:val="auto"/>
          <w:sz w:val="24"/>
          <w:highlight w:val="none"/>
          <w:lang w:val="zh-CN" w:eastAsia="zh-CN"/>
        </w:rPr>
        <w:t xml:space="preserve">                               邮政编码：</w:t>
      </w:r>
    </w:p>
    <w:p w14:paraId="363DED8E">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 xml:space="preserve">电话: </w:t>
      </w:r>
      <w:r>
        <w:rPr>
          <w:rStyle w:val="28"/>
          <w:rFonts w:hint="eastAsia" w:ascii="仿宋" w:hAnsi="仿宋" w:eastAsia="仿宋" w:cs="仿宋"/>
          <w:color w:val="auto"/>
          <w:sz w:val="24"/>
          <w:highlight w:val="none"/>
          <w:lang w:val="en-US" w:eastAsia="zh-CN"/>
        </w:rPr>
        <w:t>13899155697</w:t>
      </w:r>
      <w:r>
        <w:rPr>
          <w:rStyle w:val="28"/>
          <w:rFonts w:hint="eastAsia" w:ascii="仿宋" w:hAnsi="仿宋" w:eastAsia="仿宋" w:cs="仿宋"/>
          <w:color w:val="auto"/>
          <w:sz w:val="24"/>
          <w:highlight w:val="none"/>
          <w:lang w:val="zh-CN" w:eastAsia="zh-CN"/>
        </w:rPr>
        <w:t xml:space="preserve">                                   电话: </w:t>
      </w:r>
    </w:p>
    <w:p w14:paraId="693AA49C">
      <w:pPr>
        <w:spacing w:line="400" w:lineRule="exact"/>
        <w:rPr>
          <w:rStyle w:val="28"/>
          <w:rFonts w:hint="eastAsia" w:ascii="仿宋" w:hAnsi="仿宋" w:eastAsia="仿宋" w:cs="仿宋"/>
          <w:color w:val="auto"/>
          <w:sz w:val="24"/>
          <w:highlight w:val="none"/>
          <w:lang w:val="zh-CN" w:eastAsia="zh-CN"/>
        </w:rPr>
      </w:pPr>
      <w:r>
        <w:rPr>
          <w:rStyle w:val="28"/>
          <w:rFonts w:hint="eastAsia" w:ascii="仿宋" w:hAnsi="仿宋" w:eastAsia="仿宋" w:cs="仿宋"/>
          <w:color w:val="auto"/>
          <w:sz w:val="24"/>
          <w:highlight w:val="none"/>
          <w:lang w:val="zh-CN" w:eastAsia="zh-CN"/>
        </w:rPr>
        <w:t>传真:                                    传真:</w:t>
      </w:r>
    </w:p>
    <w:p w14:paraId="0FEC77CB">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val="zh-CN" w:eastAsia="zh-CN"/>
        </w:rPr>
        <w:t>电子邮箱：                               电子邮箱：</w:t>
      </w:r>
    </w:p>
    <w:p w14:paraId="37F6AF68">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 xml:space="preserve">开户银行：伽师县农村信用合作联社        开户银行： </w:t>
      </w:r>
    </w:p>
    <w:p w14:paraId="60162636">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 xml:space="preserve">开户名称： </w:t>
      </w:r>
      <w:r>
        <w:rPr>
          <w:rStyle w:val="28"/>
          <w:rFonts w:hint="eastAsia" w:ascii="仿宋" w:hAnsi="仿宋" w:eastAsia="仿宋" w:cs="仿宋"/>
          <w:color w:val="auto"/>
          <w:sz w:val="24"/>
          <w:highlight w:val="none"/>
          <w:lang w:val="en-US" w:eastAsia="zh-CN"/>
        </w:rPr>
        <w:t>  伽师县卫生健康委员会</w:t>
      </w:r>
      <w:r>
        <w:rPr>
          <w:rStyle w:val="28"/>
          <w:rFonts w:hint="eastAsia" w:ascii="仿宋" w:hAnsi="仿宋" w:eastAsia="仿宋" w:cs="仿宋"/>
          <w:color w:val="auto"/>
          <w:sz w:val="24"/>
          <w:highlight w:val="none"/>
          <w:lang w:eastAsia="zh-CN"/>
        </w:rPr>
        <w:t xml:space="preserve">               开户名称： </w:t>
      </w:r>
    </w:p>
    <w:p w14:paraId="1C43925D">
      <w:pPr>
        <w:spacing w:line="400" w:lineRule="exact"/>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开户账号： 8650</w:t>
      </w:r>
      <w:r>
        <w:rPr>
          <w:rStyle w:val="28"/>
          <w:rFonts w:hint="eastAsia" w:ascii="仿宋" w:hAnsi="仿宋" w:eastAsia="仿宋" w:cs="仿宋"/>
          <w:color w:val="auto"/>
          <w:sz w:val="24"/>
          <w:highlight w:val="none"/>
          <w:lang w:val="en-US" w:eastAsia="zh-CN"/>
        </w:rPr>
        <w:t>10012010102912781</w:t>
      </w:r>
      <w:r>
        <w:rPr>
          <w:rStyle w:val="28"/>
          <w:rFonts w:hint="eastAsia" w:ascii="仿宋" w:hAnsi="仿宋" w:eastAsia="仿宋" w:cs="仿宋"/>
          <w:color w:val="auto"/>
          <w:sz w:val="24"/>
          <w:highlight w:val="none"/>
          <w:lang w:eastAsia="zh-CN"/>
        </w:rPr>
        <w:t xml:space="preserve">         开户账号：</w:t>
      </w:r>
    </w:p>
    <w:p w14:paraId="6DC2DAFB">
      <w:pPr>
        <w:spacing w:line="400" w:lineRule="exact"/>
        <w:rPr>
          <w:rStyle w:val="28"/>
          <w:rFonts w:hint="eastAsia" w:ascii="仿宋" w:hAnsi="仿宋" w:eastAsia="仿宋" w:cs="仿宋"/>
          <w:b/>
          <w:color w:val="auto"/>
          <w:highlight w:val="none"/>
          <w:lang w:eastAsia="zh-CN"/>
        </w:rPr>
      </w:pPr>
    </w:p>
    <w:p w14:paraId="49C08574">
      <w:pPr>
        <w:spacing w:line="400" w:lineRule="exact"/>
        <w:rPr>
          <w:rStyle w:val="28"/>
          <w:rFonts w:hint="eastAsia" w:ascii="仿宋" w:hAnsi="仿宋" w:eastAsia="仿宋" w:cs="仿宋"/>
          <w:b/>
          <w:color w:val="auto"/>
          <w:highlight w:val="none"/>
          <w:lang w:eastAsia="zh-CN"/>
        </w:rPr>
      </w:pPr>
    </w:p>
    <w:p w14:paraId="7257648C">
      <w:pPr>
        <w:spacing w:line="400" w:lineRule="exact"/>
        <w:rPr>
          <w:rStyle w:val="28"/>
          <w:rFonts w:hint="eastAsia" w:ascii="仿宋" w:hAnsi="仿宋" w:eastAsia="仿宋" w:cs="仿宋"/>
          <w:b/>
          <w:color w:val="auto"/>
          <w:sz w:val="24"/>
          <w:highlight w:val="none"/>
          <w:lang w:eastAsia="zh-CN"/>
        </w:rPr>
      </w:pPr>
    </w:p>
    <w:p w14:paraId="14D653C6">
      <w:pPr>
        <w:pStyle w:val="39"/>
        <w:spacing w:line="400" w:lineRule="exact"/>
        <w:ind w:firstLine="200"/>
        <w:jc w:val="center"/>
        <w:rPr>
          <w:rStyle w:val="28"/>
          <w:rFonts w:hint="eastAsia" w:ascii="仿宋" w:hAnsi="仿宋" w:eastAsia="仿宋" w:cs="仿宋"/>
          <w:b/>
          <w:color w:val="auto"/>
          <w:szCs w:val="24"/>
          <w:highlight w:val="none"/>
          <w:lang w:eastAsia="zh-CN"/>
        </w:rPr>
      </w:pPr>
      <w:r>
        <w:rPr>
          <w:rStyle w:val="28"/>
          <w:rFonts w:hint="eastAsia" w:ascii="仿宋" w:hAnsi="仿宋" w:eastAsia="仿宋" w:cs="仿宋"/>
          <w:b/>
          <w:color w:val="auto"/>
          <w:szCs w:val="24"/>
          <w:highlight w:val="none"/>
          <w:lang w:eastAsia="zh-CN"/>
        </w:rPr>
        <w:t>第二部分 合同一般条款</w:t>
      </w:r>
    </w:p>
    <w:p w14:paraId="0BCBEAE1">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 定义</w:t>
      </w:r>
    </w:p>
    <w:p w14:paraId="0DB7950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本合同中的下列词语应按以下内容进行解释：</w:t>
      </w:r>
    </w:p>
    <w:p w14:paraId="7D632B0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2.1.1 “合同”系指采购人和中标供应商签订的载明双方当事人所达成的协议，并包括所有的附件、附录和构成合同的其他文件。</w:t>
      </w:r>
    </w:p>
    <w:p w14:paraId="01BDE74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2.1.2 “合同价”系指根据合同约定，中标供应商在完全履行合同义务后，采购人应支付给中标供应商的价格。</w:t>
      </w:r>
    </w:p>
    <w:p w14:paraId="64D0EE0F">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 “货物”系指中标供应商根据合同约定应向采购人交付的一切各种形态和种类的物品，包括原材料、燃料、设备、机械、仪表、备件、计算机软件、产品等，并包括工具、手册等其他相关资料。</w:t>
      </w:r>
    </w:p>
    <w:p w14:paraId="6CD31AD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2.1.4 “甲方”系指与中标供应商签署合同的采购人；采购人委托采购代理机构代表其与乙方签订合同的，采购人的授权委托书作为合同附件。</w:t>
      </w:r>
    </w:p>
    <w:p w14:paraId="77EABD2A">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EF5E2C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2.1.6 “现场”系指合同约定货物将要运至或者安装的地点。</w:t>
      </w:r>
    </w:p>
    <w:p w14:paraId="6AC65E5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2.2 技术规范</w:t>
      </w:r>
    </w:p>
    <w:p w14:paraId="45F3CE1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5B7647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2.3 知识产权</w:t>
      </w:r>
    </w:p>
    <w:p w14:paraId="79097A62">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05479C8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2.3.2具有知识产权的计算机软件等货物的知识产权归属，详见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33D4EED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2.4 包装和装运</w:t>
      </w:r>
    </w:p>
    <w:p w14:paraId="543BF3D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2.4.1除</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9567D1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2.4.2 装运货物的要求和通知，详见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284D96CD">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2.5 履约检查和问题反馈</w:t>
      </w:r>
    </w:p>
    <w:p w14:paraId="6A9F8E2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5472C5F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2.5.2 合同履行期间，甲方有权将履行过程中出现的问题反馈给乙方，双方当事人应以书面形式约定需要完善和改进的内容。</w:t>
      </w:r>
    </w:p>
    <w:p w14:paraId="0969B08A">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2.6 结算方式和付款条件</w:t>
      </w:r>
    </w:p>
    <w:p w14:paraId="31B20E3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409ECE48">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2.7 技术资料和保密义务</w:t>
      </w:r>
    </w:p>
    <w:p w14:paraId="32B79D9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2.7.1 乙方有权依据合同约定和项目需要，向甲方了解有关情况，调阅有关资料等，甲方应予积极配合；</w:t>
      </w:r>
    </w:p>
    <w:p w14:paraId="2451BA1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2.7.2 乙方有义务妥善保管和保护由甲方提供的前款信息和资料等；</w:t>
      </w:r>
    </w:p>
    <w:p w14:paraId="3E1979B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2.7.3 除非依照法律规定或者对方当事人的书面同意，任何一方均应保证不向任何第三方提供或披露有关合同的或者履行合同过程中知悉的对方当事人任何未公开的信息和资料，包括；技术情报、技术资料、商业秘密和商业信息等，并采取一切合理和必要措施和方式防止任何第三方接触到对方当事人的上述保密信息和资料。</w:t>
      </w:r>
    </w:p>
    <w:p w14:paraId="40BF49AE">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2.8 质量保证</w:t>
      </w:r>
    </w:p>
    <w:p w14:paraId="67046864">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2.8.1 乙方应建立和完善履行合同的内部质量保证体系，并提供相关内部规章制度给甲方，以便甲方进行监督检查；</w:t>
      </w:r>
    </w:p>
    <w:p w14:paraId="5799834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2.8.2 乙方应保证履行合同的人员数量和素质、软件和硬件设备的配置、场地、环境和设施等满足全面履行合同的要求，并应接受甲方的监督检查。</w:t>
      </w:r>
    </w:p>
    <w:p w14:paraId="4B207D16">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2.9 货物的风险负担</w:t>
      </w:r>
    </w:p>
    <w:p w14:paraId="6EAD4323">
      <w:pPr>
        <w:spacing w:line="400" w:lineRule="exact"/>
        <w:ind w:firstLine="480"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color w:val="auto"/>
          <w:sz w:val="24"/>
          <w:highlight w:val="none"/>
          <w:lang w:eastAsia="zh-CN"/>
        </w:rPr>
        <w:t>货物或者在途货物或者交付给第一承运人后的货物毁损、灭失的风险负担详见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w:t>
      </w:r>
    </w:p>
    <w:p w14:paraId="12C21EE9">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2.10 延迟交货</w:t>
      </w:r>
    </w:p>
    <w:p w14:paraId="2A011595">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8D9AA3A">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2.11 合同变更</w:t>
      </w:r>
    </w:p>
    <w:p w14:paraId="0FF6AE5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14:paraId="7F00275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2.11.2 合同继续履行将损害国家利益和社会公共利益的，双方当事人应当以书面形式变更合同。有过错的一方应当承担赔偿责任，双方当事人都有过错的，各自承担相应的责任。</w:t>
      </w:r>
    </w:p>
    <w:p w14:paraId="1A2997B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2.12 合同转让和分包</w:t>
      </w:r>
    </w:p>
    <w:p w14:paraId="65A2B22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901112">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2.13 不可抗力</w:t>
      </w:r>
    </w:p>
    <w:p w14:paraId="2C7B864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2.13.1如果任何一方遭遇法律规定的不可抗力，致使合同履行受阻时，履行合同的期限应予延长，延长的期限应相当于不可抗力所影响的时间；</w:t>
      </w:r>
    </w:p>
    <w:p w14:paraId="34EE825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2.13.2 因不可抗力致使不能实现合同目的的，当事人可以解除合同；</w:t>
      </w:r>
    </w:p>
    <w:p w14:paraId="36855DC9">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2.13.3 因不可抗力致使合同有变更必要的，双方当事人应在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约定时间内以书面形式变更合同；</w:t>
      </w:r>
    </w:p>
    <w:p w14:paraId="6068093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2.13.4受不可抗力影响的一方在不可抗力发生后，应在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约定时间内以书面形式通知对方当事人，并在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约定时间内，将有关部门出具的证明文件送达对方当事人。</w:t>
      </w:r>
    </w:p>
    <w:p w14:paraId="12F92B8B">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2.14 税费</w:t>
      </w:r>
    </w:p>
    <w:p w14:paraId="518F337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与合同有关的一切税费，均按照中华人民共和国法律的相关规定。</w:t>
      </w:r>
    </w:p>
    <w:p w14:paraId="0DB74E7E">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2.15 乙方破产</w:t>
      </w:r>
    </w:p>
    <w:p w14:paraId="4858E47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DC47B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2.16 合同中止、终止</w:t>
      </w:r>
    </w:p>
    <w:p w14:paraId="579233DF">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2.16.1 双方当事人不得擅自中止或者终止合同；</w:t>
      </w:r>
    </w:p>
    <w:p w14:paraId="692215B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2.16.2合同继续履行将损害国家利益和社会公共利益的，双方当事人应当中止或者终止合同。有过错的一方应当承担赔偿责任，双方当事人都有过错的，各自承担相应的责任。</w:t>
      </w:r>
    </w:p>
    <w:p w14:paraId="1944E8E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2.17 检验和验收</w:t>
      </w:r>
    </w:p>
    <w:p w14:paraId="47FFC3EB">
      <w:pPr>
        <w:tabs>
          <w:tab w:val="left" w:pos="360"/>
          <w:tab w:val="left" w:pos="540"/>
          <w:tab w:val="left" w:pos="1080"/>
        </w:tabs>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2.17.1货物交付前，乙方应对货物的质量、数量等方面进行详细、全面的检验，并向甲方出具证明货物符合合同约定的文件；货物交付时，乙方在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约定时间内组织验收，并可依法邀请相关方参加，验收应出具验收书。</w:t>
      </w:r>
    </w:p>
    <w:p w14:paraId="38DB92C2">
      <w:pPr>
        <w:tabs>
          <w:tab w:val="left" w:pos="360"/>
          <w:tab w:val="left" w:pos="540"/>
          <w:tab w:val="left" w:pos="1080"/>
        </w:tabs>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E3D329A">
      <w:pPr>
        <w:tabs>
          <w:tab w:val="left" w:pos="360"/>
          <w:tab w:val="left" w:pos="540"/>
          <w:tab w:val="left" w:pos="1080"/>
        </w:tabs>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2.17.3 检验和验收标准、程序等具体内容以及前述验收书的效力详见</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i/>
          <w:color w:val="auto"/>
          <w:sz w:val="24"/>
          <w:highlight w:val="none"/>
          <w:lang w:eastAsia="zh-CN"/>
        </w:rPr>
        <w:t>。</w:t>
      </w:r>
    </w:p>
    <w:p w14:paraId="0F5BC94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2.18 通知和送达</w:t>
      </w:r>
    </w:p>
    <w:p w14:paraId="410E9A20">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317AA44E">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ACBAD1F">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2.19 计量单位</w:t>
      </w:r>
    </w:p>
    <w:p w14:paraId="3693BF88">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除技术规范中另有规定外,合同的计量单位均使用国家法定计量单位。</w:t>
      </w:r>
    </w:p>
    <w:p w14:paraId="4C623B26">
      <w:pPr>
        <w:spacing w:line="400" w:lineRule="exact"/>
        <w:ind w:firstLine="482" w:firstLineChars="200"/>
        <w:rPr>
          <w:rStyle w:val="28"/>
          <w:rFonts w:hint="eastAsia" w:ascii="仿宋" w:hAnsi="仿宋" w:eastAsia="仿宋" w:cs="仿宋"/>
          <w:b/>
          <w:color w:val="auto"/>
          <w:sz w:val="24"/>
          <w:highlight w:val="none"/>
        </w:rPr>
      </w:pPr>
      <w:r>
        <w:rPr>
          <w:rStyle w:val="28"/>
          <w:rFonts w:hint="eastAsia" w:ascii="仿宋" w:hAnsi="仿宋" w:eastAsia="仿宋" w:cs="仿宋"/>
          <w:b/>
          <w:color w:val="auto"/>
          <w:sz w:val="24"/>
          <w:highlight w:val="none"/>
        </w:rPr>
        <w:t>2.20 合同使用的文字和适用的法律</w:t>
      </w:r>
    </w:p>
    <w:p w14:paraId="48C12371">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2.20.1 合同使用汉语书就、变更和解释；</w:t>
      </w:r>
    </w:p>
    <w:p w14:paraId="3852F71B">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2.20.2 合同适用中华人民共和国法律。</w:t>
      </w:r>
    </w:p>
    <w:p w14:paraId="4B8B7BE4">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2.21 履约保证金</w:t>
      </w:r>
    </w:p>
    <w:p w14:paraId="75826993">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2.21.1 采购文件要求乙方提交履约保证金的，乙方应按</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约定的方式，以支票、汇票、本票或者金融机构、担保机构出具的保函等非现金形式，提交不超过合同价10%的履约保证金。</w:t>
      </w:r>
    </w:p>
    <w:p w14:paraId="1CB7C41D">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2.21.2  履约保证金在</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约定期间内或者货物质量保证期内不予退还或者应完全有效，前述约定期间届满或者货物质量保证期届满之日起个工作日内，甲方应将履约保证金退还乙方。</w:t>
      </w:r>
    </w:p>
    <w:p w14:paraId="47B8E661">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AB4E9FF">
      <w:pPr>
        <w:spacing w:line="400" w:lineRule="exact"/>
        <w:ind w:firstLine="482" w:firstLineChars="200"/>
        <w:rPr>
          <w:rStyle w:val="28"/>
          <w:rFonts w:hint="eastAsia" w:ascii="仿宋" w:hAnsi="仿宋" w:eastAsia="仿宋" w:cs="仿宋"/>
          <w:b/>
          <w:color w:val="auto"/>
          <w:sz w:val="24"/>
          <w:highlight w:val="none"/>
          <w:lang w:eastAsia="zh-CN"/>
        </w:rPr>
      </w:pPr>
      <w:r>
        <w:rPr>
          <w:rStyle w:val="28"/>
          <w:rFonts w:hint="eastAsia" w:ascii="仿宋" w:hAnsi="仿宋" w:eastAsia="仿宋" w:cs="仿宋"/>
          <w:b/>
          <w:color w:val="auto"/>
          <w:sz w:val="24"/>
          <w:highlight w:val="none"/>
          <w:lang w:eastAsia="zh-CN"/>
        </w:rPr>
        <w:t>2.22 合同份数</w:t>
      </w:r>
    </w:p>
    <w:p w14:paraId="10F81987">
      <w:pPr>
        <w:spacing w:line="400" w:lineRule="exact"/>
        <w:ind w:firstLine="480" w:firstLineChars="200"/>
        <w:rPr>
          <w:rStyle w:val="28"/>
          <w:rFonts w:hint="eastAsia" w:ascii="仿宋" w:hAnsi="仿宋" w:eastAsia="仿宋" w:cs="仿宋"/>
          <w:color w:val="auto"/>
          <w:sz w:val="24"/>
          <w:highlight w:val="none"/>
          <w:lang w:eastAsia="zh-CN"/>
        </w:rPr>
      </w:pPr>
      <w:r>
        <w:rPr>
          <w:rStyle w:val="28"/>
          <w:rFonts w:hint="eastAsia" w:ascii="仿宋" w:hAnsi="仿宋" w:eastAsia="仿宋" w:cs="仿宋"/>
          <w:color w:val="auto"/>
          <w:sz w:val="24"/>
          <w:highlight w:val="none"/>
          <w:lang w:eastAsia="zh-CN"/>
        </w:rPr>
        <w:t>合同份数按</w:t>
      </w:r>
      <w:r>
        <w:rPr>
          <w:rStyle w:val="28"/>
          <w:rFonts w:hint="eastAsia" w:ascii="仿宋" w:hAnsi="仿宋" w:eastAsia="仿宋" w:cs="仿宋"/>
          <w:b/>
          <w:i/>
          <w:color w:val="auto"/>
          <w:sz w:val="24"/>
          <w:highlight w:val="none"/>
          <w:u w:val="single" w:color="000000"/>
          <w:lang w:eastAsia="zh-CN"/>
        </w:rPr>
        <w:t>合同专用条款</w:t>
      </w:r>
      <w:r>
        <w:rPr>
          <w:rStyle w:val="28"/>
          <w:rFonts w:hint="eastAsia" w:ascii="仿宋" w:hAnsi="仿宋" w:eastAsia="仿宋" w:cs="仿宋"/>
          <w:color w:val="auto"/>
          <w:sz w:val="24"/>
          <w:highlight w:val="none"/>
          <w:lang w:eastAsia="zh-CN"/>
        </w:rPr>
        <w:t>规定，每份均具有同等法律效力。</w:t>
      </w:r>
    </w:p>
    <w:p w14:paraId="27396D7B">
      <w:pPr>
        <w:pStyle w:val="39"/>
        <w:spacing w:line="400" w:lineRule="exact"/>
        <w:ind w:firstLine="0"/>
        <w:jc w:val="center"/>
        <w:rPr>
          <w:rStyle w:val="28"/>
          <w:rFonts w:hint="eastAsia" w:ascii="仿宋" w:hAnsi="仿宋" w:eastAsia="仿宋" w:cs="仿宋"/>
          <w:color w:val="auto"/>
          <w:szCs w:val="24"/>
          <w:highlight w:val="none"/>
          <w:lang w:eastAsia="zh-CN"/>
        </w:rPr>
      </w:pPr>
      <w:r>
        <w:rPr>
          <w:rStyle w:val="28"/>
          <w:rFonts w:hint="eastAsia" w:ascii="仿宋" w:hAnsi="仿宋" w:eastAsia="仿宋" w:cs="仿宋"/>
          <w:color w:val="auto"/>
          <w:szCs w:val="24"/>
          <w:highlight w:val="none"/>
          <w:lang w:eastAsia="zh-CN"/>
        </w:rPr>
        <w:br w:type="page"/>
      </w:r>
    </w:p>
    <w:p w14:paraId="54F17462">
      <w:pPr>
        <w:pStyle w:val="39"/>
        <w:keepNext w:val="0"/>
        <w:keepLines w:val="0"/>
        <w:pageBreakBefore w:val="0"/>
        <w:widowControl w:val="0"/>
        <w:wordWrap/>
        <w:overflowPunct/>
        <w:topLinePunct w:val="0"/>
        <w:bidi w:val="0"/>
        <w:snapToGrid w:val="0"/>
        <w:spacing w:line="560" w:lineRule="exact"/>
        <w:ind w:firstLine="0"/>
        <w:rPr>
          <w:rStyle w:val="28"/>
          <w:rFonts w:hint="eastAsia" w:ascii="仿宋_GB2312" w:hAnsi="仿宋_GB2312" w:eastAsia="仿宋_GB2312"/>
          <w:b/>
          <w:color w:val="000000" w:themeColor="text1"/>
          <w:szCs w:val="24"/>
          <w14:textFill>
            <w14:solidFill>
              <w14:schemeClr w14:val="tx1"/>
            </w14:solidFill>
          </w14:textFill>
        </w:rPr>
      </w:pPr>
      <w:r>
        <w:rPr>
          <w:rStyle w:val="28"/>
          <w:rFonts w:ascii="仿宋_GB2312" w:hAnsi="仿宋_GB2312" w:eastAsia="仿宋_GB2312"/>
          <w:b/>
          <w:color w:val="000000" w:themeColor="text1"/>
          <w:szCs w:val="24"/>
          <w14:textFill>
            <w14:solidFill>
              <w14:schemeClr w14:val="tx1"/>
            </w14:solidFill>
          </w14:textFill>
        </w:rPr>
        <w:t>第三部分合同专用条款</w:t>
      </w:r>
    </w:p>
    <w:p w14:paraId="4E0E801D">
      <w:pPr>
        <w:keepNext w:val="0"/>
        <w:keepLines w:val="0"/>
        <w:pageBreakBefore w:val="0"/>
        <w:widowControl w:val="0"/>
        <w:wordWrap/>
        <w:overflowPunct/>
        <w:topLinePunct w:val="0"/>
        <w:bidi w:val="0"/>
        <w:snapToGrid w:val="0"/>
        <w:spacing w:line="560" w:lineRule="exact"/>
        <w:ind w:firstLine="480" w:firstLineChars="200"/>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14:paraId="177B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2CA5EF7C">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b/>
                <w:color w:val="000000" w:themeColor="text1"/>
                <w:sz w:val="24"/>
                <w14:textFill>
                  <w14:solidFill>
                    <w14:schemeClr w14:val="tx1"/>
                  </w14:solidFill>
                </w14:textFill>
              </w:rPr>
            </w:pPr>
            <w:r>
              <w:rPr>
                <w:rStyle w:val="28"/>
                <w:rFonts w:ascii="仿宋_GB2312" w:hAnsi="仿宋_GB2312" w:eastAsia="仿宋_GB2312"/>
                <w:b/>
                <w:color w:val="000000" w:themeColor="text1"/>
                <w:sz w:val="24"/>
                <w14:textFill>
                  <w14:solidFill>
                    <w14:schemeClr w14:val="tx1"/>
                  </w14:solidFill>
                </w14:textFill>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14:paraId="2AD70231">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b/>
                <w:color w:val="000000" w:themeColor="text1"/>
                <w:sz w:val="24"/>
                <w14:textFill>
                  <w14:solidFill>
                    <w14:schemeClr w14:val="tx1"/>
                  </w14:solidFill>
                </w14:textFill>
              </w:rPr>
            </w:pPr>
            <w:r>
              <w:rPr>
                <w:rStyle w:val="28"/>
                <w:rFonts w:ascii="仿宋_GB2312" w:hAnsi="仿宋_GB2312" w:eastAsia="仿宋_GB2312"/>
                <w:b/>
                <w:color w:val="000000" w:themeColor="text1"/>
                <w:sz w:val="24"/>
                <w14:textFill>
                  <w14:solidFill>
                    <w14:schemeClr w14:val="tx1"/>
                  </w14:solidFill>
                </w14:textFill>
              </w:rPr>
              <w:t>约定内容</w:t>
            </w:r>
          </w:p>
        </w:tc>
      </w:tr>
      <w:tr w14:paraId="5BFD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1D03CEC8">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1.6.2</w:t>
            </w:r>
          </w:p>
        </w:tc>
        <w:tc>
          <w:tcPr>
            <w:tcW w:w="7633" w:type="dxa"/>
            <w:tcBorders>
              <w:top w:val="single" w:color="000000" w:sz="6" w:space="0"/>
              <w:left w:val="single" w:color="000000" w:sz="6" w:space="0"/>
              <w:bottom w:val="single" w:color="000000" w:sz="6" w:space="0"/>
              <w:right w:val="single" w:color="000000" w:sz="6" w:space="0"/>
            </w:tcBorders>
            <w:vAlign w:val="center"/>
          </w:tcPr>
          <w:p w14:paraId="31FF3B49">
            <w:pPr>
              <w:keepNext w:val="0"/>
              <w:keepLines w:val="0"/>
              <w:pageBreakBefore w:val="0"/>
              <w:widowControl w:val="0"/>
              <w:wordWrap/>
              <w:overflowPunct/>
              <w:topLinePunct w:val="0"/>
              <w:bidi w:val="0"/>
              <w:snapToGrid w:val="0"/>
              <w:spacing w:line="560" w:lineRule="exact"/>
              <w:ind w:firstLine="480" w:firstLineChars="200"/>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Style w:val="28"/>
                <w:rFonts w:hint="eastAsia" w:ascii="仿宋_GB2312" w:hAnsi="仿宋_GB2312" w:eastAsia="仿宋_GB2312"/>
                <w:color w:val="000000" w:themeColor="text1"/>
                <w:sz w:val="24"/>
                <w:lang w:val="en-US" w:eastAsia="zh-CN"/>
                <w14:textFill>
                  <w14:solidFill>
                    <w14:schemeClr w14:val="tx1"/>
                  </w14:solidFill>
                </w14:textFill>
              </w:rPr>
              <w:t>1</w:t>
            </w:r>
            <w:r>
              <w:rPr>
                <w:rStyle w:val="28"/>
                <w:rFonts w:ascii="仿宋_GB2312" w:hAnsi="仿宋_GB2312" w:eastAsia="仿宋_GB2312"/>
                <w:color w:val="000000" w:themeColor="text1"/>
                <w:sz w:val="24"/>
                <w14:textFill>
                  <w14:solidFill>
                    <w14:schemeClr w14:val="tx1"/>
                  </w14:solidFill>
                </w14:textFill>
              </w:rPr>
              <w:t>%计算，最高限额为本合同总价的</w:t>
            </w:r>
            <w:r>
              <w:rPr>
                <w:rStyle w:val="28"/>
                <w:rFonts w:hint="eastAsia" w:ascii="仿宋_GB2312" w:hAnsi="仿宋_GB2312" w:eastAsia="仿宋_GB2312"/>
                <w:color w:val="000000" w:themeColor="text1"/>
                <w:sz w:val="24"/>
                <w:lang w:val="en-US" w:eastAsia="zh-CN"/>
                <w14:textFill>
                  <w14:solidFill>
                    <w14:schemeClr w14:val="tx1"/>
                  </w14:solidFill>
                </w14:textFill>
              </w:rPr>
              <w:t>5</w:t>
            </w:r>
            <w:r>
              <w:rPr>
                <w:rStyle w:val="28"/>
                <w:rFonts w:ascii="仿宋_GB2312" w:hAnsi="仿宋_GB2312" w:eastAsia="仿宋_GB2312"/>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p>
        </w:tc>
      </w:tr>
      <w:tr w14:paraId="2CF1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5BBFAD91">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1.6.4</w:t>
            </w:r>
          </w:p>
        </w:tc>
        <w:tc>
          <w:tcPr>
            <w:tcW w:w="7633" w:type="dxa"/>
            <w:tcBorders>
              <w:top w:val="single" w:color="000000" w:sz="6" w:space="0"/>
              <w:left w:val="single" w:color="000000" w:sz="6" w:space="0"/>
              <w:bottom w:val="single" w:color="000000" w:sz="6" w:space="0"/>
              <w:right w:val="single" w:color="000000" w:sz="6" w:space="0"/>
            </w:tcBorders>
            <w:vAlign w:val="center"/>
          </w:tcPr>
          <w:p w14:paraId="4D898A90">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tc>
      </w:tr>
      <w:tr w14:paraId="3E820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BB09F3F">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1.6.5</w:t>
            </w:r>
          </w:p>
        </w:tc>
        <w:tc>
          <w:tcPr>
            <w:tcW w:w="7633" w:type="dxa"/>
            <w:tcBorders>
              <w:top w:val="single" w:color="000000" w:sz="6" w:space="0"/>
              <w:left w:val="single" w:color="000000" w:sz="6" w:space="0"/>
              <w:bottom w:val="single" w:color="000000" w:sz="6" w:space="0"/>
              <w:right w:val="single" w:color="000000" w:sz="6" w:space="0"/>
            </w:tcBorders>
            <w:vAlign w:val="center"/>
          </w:tcPr>
          <w:p w14:paraId="5B3149B5">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tc>
      </w:tr>
      <w:tr w14:paraId="151BC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9FB3E00">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2.11.1</w:t>
            </w:r>
          </w:p>
        </w:tc>
        <w:tc>
          <w:tcPr>
            <w:tcW w:w="7633" w:type="dxa"/>
            <w:tcBorders>
              <w:top w:val="single" w:color="000000" w:sz="6" w:space="0"/>
              <w:left w:val="single" w:color="000000" w:sz="6" w:space="0"/>
              <w:bottom w:val="single" w:color="000000" w:sz="6" w:space="0"/>
              <w:right w:val="single" w:color="000000" w:sz="6" w:space="0"/>
            </w:tcBorders>
            <w:vAlign w:val="center"/>
          </w:tcPr>
          <w:p w14:paraId="03E44AF6">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双方当事人协商一致，可以签订书面补充合同的形式变更合同，但不得违背采购文件确定的事项，且如果系追加与合同标的相同的货物的，那么所有补充合同的采购金额不得超过原合同价的10%；</w:t>
            </w:r>
          </w:p>
        </w:tc>
      </w:tr>
      <w:tr w14:paraId="29DB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1417B114">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2.18.1</w:t>
            </w:r>
          </w:p>
        </w:tc>
        <w:tc>
          <w:tcPr>
            <w:tcW w:w="7633" w:type="dxa"/>
            <w:tcBorders>
              <w:top w:val="single" w:color="000000" w:sz="6" w:space="0"/>
              <w:left w:val="single" w:color="000000" w:sz="6" w:space="0"/>
              <w:bottom w:val="single" w:color="000000" w:sz="6" w:space="0"/>
              <w:right w:val="single" w:color="000000" w:sz="6" w:space="0"/>
            </w:tcBorders>
            <w:vAlign w:val="center"/>
          </w:tcPr>
          <w:p w14:paraId="511F6864">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u w:val="single"/>
                <w14:textFill>
                  <w14:solidFill>
                    <w14:schemeClr w14:val="tx1"/>
                  </w14:solidFill>
                </w14:textFill>
              </w:rPr>
            </w:pPr>
            <w:r>
              <w:rPr>
                <w:rStyle w:val="28"/>
                <w:rFonts w:ascii="仿宋_GB2312" w:hAnsi="仿宋_GB2312" w:eastAsia="仿宋_GB2312"/>
                <w:color w:val="000000" w:themeColor="text1"/>
                <w:sz w:val="24"/>
                <w14:textFill>
                  <w14:solidFill>
                    <w14:schemeClr w14:val="tx1"/>
                  </w14:solidFill>
                </w14:textFill>
              </w:rPr>
              <w:t>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tc>
      </w:tr>
      <w:tr w14:paraId="79A9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27CEBAAF">
            <w:pPr>
              <w:keepNext w:val="0"/>
              <w:keepLines w:val="0"/>
              <w:pageBreakBefore w:val="0"/>
              <w:widowControl w:val="0"/>
              <w:wordWrap/>
              <w:overflowPunct/>
              <w:topLinePunct w:val="0"/>
              <w:bidi w:val="0"/>
              <w:snapToGrid w:val="0"/>
              <w:spacing w:line="560" w:lineRule="exact"/>
              <w:jc w:val="center"/>
              <w:rPr>
                <w:rStyle w:val="28"/>
                <w:rFonts w:hint="eastAsia" w:ascii="仿宋_GB2312" w:hAnsi="仿宋_GB2312" w:eastAsia="仿宋_GB2312"/>
                <w:b/>
                <w:color w:val="000000" w:themeColor="text1"/>
                <w:sz w:val="24"/>
                <w14:textFill>
                  <w14:solidFill>
                    <w14:schemeClr w14:val="tx1"/>
                  </w14:solidFill>
                </w14:textFill>
              </w:rPr>
            </w:pPr>
            <w:r>
              <w:rPr>
                <w:rStyle w:val="28"/>
                <w:rFonts w:ascii="仿宋_GB2312" w:hAnsi="仿宋_GB2312" w:eastAsia="仿宋_GB2312"/>
                <w:b/>
                <w:color w:val="000000" w:themeColor="text1"/>
                <w:sz w:val="24"/>
                <w14:textFill>
                  <w14:solidFill>
                    <w14:schemeClr w14:val="tx1"/>
                  </w14:solidFill>
                </w14:textFill>
              </w:rPr>
              <w:t>2.22</w:t>
            </w:r>
          </w:p>
          <w:p w14:paraId="719777BA">
            <w:pPr>
              <w:keepNext w:val="0"/>
              <w:keepLines w:val="0"/>
              <w:pageBreakBefore w:val="0"/>
              <w:widowControl w:val="0"/>
              <w:wordWrap/>
              <w:overflowPunct/>
              <w:topLinePunct w:val="0"/>
              <w:bidi w:val="0"/>
              <w:snapToGrid w:val="0"/>
              <w:spacing w:line="560" w:lineRule="exact"/>
              <w:jc w:val="center"/>
              <w:rPr>
                <w:rStyle w:val="28"/>
                <w:rFonts w:hint="default" w:ascii="仿宋_GB2312" w:hAnsi="仿宋_GB2312" w:eastAsia="仿宋_GB2312"/>
                <w:color w:val="000000" w:themeColor="text1"/>
                <w:sz w:val="24"/>
                <w:lang w:val="en-US" w:eastAsia="zh-CN"/>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4EAF0A97">
            <w:pPr>
              <w:keepNext w:val="0"/>
              <w:keepLines w:val="0"/>
              <w:pageBreakBefore w:val="0"/>
              <w:widowControl w:val="0"/>
              <w:wordWrap/>
              <w:overflowPunct/>
              <w:topLinePunct w:val="0"/>
              <w:bidi w:val="0"/>
              <w:snapToGrid w:val="0"/>
              <w:spacing w:line="560" w:lineRule="exact"/>
              <w:jc w:val="both"/>
              <w:rPr>
                <w:rStyle w:val="28"/>
                <w:rFonts w:hint="eastAsia" w:ascii="仿宋_GB2312" w:hAnsi="仿宋_GB2312" w:eastAsia="仿宋_GB2312"/>
                <w:color w:val="000000" w:themeColor="text1"/>
                <w:sz w:val="24"/>
                <w14:textFill>
                  <w14:solidFill>
                    <w14:schemeClr w14:val="tx1"/>
                  </w14:solidFill>
                </w14:textFill>
              </w:rPr>
            </w:pPr>
            <w:r>
              <w:rPr>
                <w:rStyle w:val="28"/>
                <w:rFonts w:hint="eastAsia" w:ascii="Times New Roman" w:hAnsi="Times New Roman" w:eastAsia="仿宋" w:cs="Times New Roman"/>
                <w:color w:val="auto"/>
                <w:sz w:val="24"/>
                <w:highlight w:val="none"/>
                <w:u w:val="none"/>
                <w:lang w:val="en-US" w:eastAsia="zh-CN"/>
              </w:rPr>
              <w:t>本合同一式</w:t>
            </w:r>
            <w:r>
              <w:rPr>
                <w:rStyle w:val="28"/>
                <w:rFonts w:hint="eastAsia" w:ascii="Times New Roman" w:hAnsi="Times New Roman" w:eastAsia="仿宋" w:cs="Times New Roman"/>
                <w:color w:val="auto"/>
                <w:sz w:val="24"/>
                <w:highlight w:val="none"/>
                <w:u w:val="single"/>
                <w:lang w:val="en-US" w:eastAsia="zh-CN"/>
              </w:rPr>
              <w:t xml:space="preserve">  陆  </w:t>
            </w:r>
            <w:r>
              <w:rPr>
                <w:rStyle w:val="28"/>
                <w:rFonts w:hint="eastAsia" w:ascii="Times New Roman" w:hAnsi="Times New Roman" w:eastAsia="仿宋" w:cs="Times New Roman"/>
                <w:color w:val="auto"/>
                <w:sz w:val="24"/>
                <w:highlight w:val="none"/>
                <w:u w:val="none"/>
                <w:lang w:val="en-US" w:eastAsia="zh-CN"/>
              </w:rPr>
              <w:t>份，甲方执</w:t>
            </w:r>
            <w:r>
              <w:rPr>
                <w:rStyle w:val="28"/>
                <w:rFonts w:hint="eastAsia" w:ascii="Times New Roman" w:hAnsi="Times New Roman" w:eastAsia="仿宋" w:cs="Times New Roman"/>
                <w:color w:val="auto"/>
                <w:sz w:val="24"/>
                <w:highlight w:val="none"/>
                <w:u w:val="single"/>
                <w:lang w:val="en-US" w:eastAsia="zh-CN"/>
              </w:rPr>
              <w:t xml:space="preserve"> 肆 </w:t>
            </w:r>
            <w:r>
              <w:rPr>
                <w:rStyle w:val="28"/>
                <w:rFonts w:hint="eastAsia" w:ascii="Times New Roman" w:hAnsi="Times New Roman" w:eastAsia="仿宋" w:cs="Times New Roman"/>
                <w:color w:val="auto"/>
                <w:sz w:val="24"/>
                <w:highlight w:val="none"/>
                <w:u w:val="none"/>
                <w:lang w:val="en-US" w:eastAsia="zh-CN"/>
              </w:rPr>
              <w:t>份，乙方执</w:t>
            </w:r>
            <w:r>
              <w:rPr>
                <w:rStyle w:val="28"/>
                <w:rFonts w:hint="eastAsia" w:ascii="Times New Roman" w:hAnsi="Times New Roman" w:eastAsia="仿宋" w:cs="Times New Roman"/>
                <w:color w:val="auto"/>
                <w:sz w:val="24"/>
                <w:highlight w:val="none"/>
                <w:u w:val="single"/>
                <w:lang w:val="en-US" w:eastAsia="zh-CN"/>
              </w:rPr>
              <w:t xml:space="preserve"> 贰  </w:t>
            </w:r>
            <w:r>
              <w:rPr>
                <w:rStyle w:val="28"/>
                <w:rFonts w:hint="eastAsia" w:ascii="Times New Roman" w:hAnsi="Times New Roman" w:eastAsia="仿宋" w:cs="Times New Roman"/>
                <w:color w:val="auto"/>
                <w:sz w:val="24"/>
                <w:highlight w:val="none"/>
                <w:u w:val="none"/>
                <w:lang w:val="en-US" w:eastAsia="zh-CN"/>
              </w:rPr>
              <w:t>份。</w:t>
            </w:r>
          </w:p>
        </w:tc>
      </w:tr>
      <w:tr w14:paraId="36D8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C0136E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24337317">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u w:val="single"/>
                <w14:textFill>
                  <w14:solidFill>
                    <w14:schemeClr w14:val="tx1"/>
                  </w14:solidFill>
                </w14:textFill>
              </w:rPr>
            </w:pPr>
          </w:p>
        </w:tc>
      </w:tr>
      <w:tr w14:paraId="74AEC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35F20249">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6178BB3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03EDD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4085828">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6490F123">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6A137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05D83372">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1DC7F189">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7426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7AA022D1">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326667D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r w14:paraId="7864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14:paraId="4761026A">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c>
          <w:tcPr>
            <w:tcW w:w="7633" w:type="dxa"/>
            <w:tcBorders>
              <w:top w:val="single" w:color="000000" w:sz="6" w:space="0"/>
              <w:left w:val="single" w:color="000000" w:sz="6" w:space="0"/>
              <w:bottom w:val="single" w:color="000000" w:sz="6" w:space="0"/>
              <w:right w:val="single" w:color="000000" w:sz="6" w:space="0"/>
            </w:tcBorders>
            <w:vAlign w:val="center"/>
          </w:tcPr>
          <w:p w14:paraId="271C2B52">
            <w:pPr>
              <w:keepNext w:val="0"/>
              <w:keepLines w:val="0"/>
              <w:pageBreakBefore w:val="0"/>
              <w:widowControl w:val="0"/>
              <w:wordWrap/>
              <w:overflowPunct/>
              <w:topLinePunct w:val="0"/>
              <w:bidi w:val="0"/>
              <w:snapToGrid w:val="0"/>
              <w:spacing w:line="560" w:lineRule="exact"/>
              <w:jc w:val="left"/>
              <w:rPr>
                <w:rStyle w:val="28"/>
                <w:rFonts w:hint="eastAsia" w:ascii="仿宋_GB2312" w:hAnsi="仿宋_GB2312" w:eastAsia="仿宋_GB2312"/>
                <w:color w:val="000000" w:themeColor="text1"/>
                <w:sz w:val="24"/>
                <w14:textFill>
                  <w14:solidFill>
                    <w14:schemeClr w14:val="tx1"/>
                  </w14:solidFill>
                </w14:textFill>
              </w:rPr>
            </w:pPr>
          </w:p>
        </w:tc>
      </w:tr>
    </w:tbl>
    <w:p w14:paraId="5409CB21">
      <w:pPr>
        <w:spacing w:line="400" w:lineRule="exact"/>
        <w:rPr>
          <w:rFonts w:hint="eastAsia" w:ascii="仿宋" w:hAnsi="仿宋" w:eastAsia="仿宋" w:cs="仿宋"/>
          <w:color w:val="auto"/>
          <w:highlight w:val="none"/>
        </w:rPr>
      </w:pPr>
    </w:p>
    <w:p w14:paraId="116EB845">
      <w:pPr>
        <w:rPr>
          <w:rFonts w:hint="eastAsia" w:ascii="仿宋" w:hAnsi="仿宋" w:eastAsia="仿宋" w:cs="仿宋"/>
          <w:highlight w:val="none"/>
        </w:rPr>
      </w:pPr>
    </w:p>
    <w:sectPr>
      <w:footerReference r:id="rId15" w:type="default"/>
      <w:pgSz w:w="11907" w:h="16840"/>
      <w:pgMar w:top="1474" w:right="1814" w:bottom="1474" w:left="1814" w:header="851" w:footer="850"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3C55002-94A8-408C-8ABB-A323AEF6CF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BBE90487-ADEC-4F08-B8C4-EA89FC5DFDE5}"/>
  </w:font>
  <w:font w:name="仿宋">
    <w:panose1 w:val="02010609060101010101"/>
    <w:charset w:val="86"/>
    <w:family w:val="modern"/>
    <w:pitch w:val="default"/>
    <w:sig w:usb0="800002BF" w:usb1="38CF7CFA" w:usb2="00000016" w:usb3="00000000" w:csb0="00040001" w:csb1="00000000"/>
    <w:embedRegular r:id="rId3" w:fontKey="{87835FE3-C01D-41D9-A074-BF7144DEB608}"/>
  </w:font>
  <w:font w:name="方正仿宋_GB18030">
    <w:panose1 w:val="02000000000000000000"/>
    <w:charset w:val="86"/>
    <w:family w:val="auto"/>
    <w:pitch w:val="default"/>
    <w:sig w:usb0="00000001" w:usb1="08000000" w:usb2="00000000" w:usb3="00000000" w:csb0="00040000" w:csb1="00000000"/>
    <w:embedRegular r:id="rId4" w:fontKey="{5CB984CC-B523-4180-B4C7-5062F51D1433}"/>
  </w:font>
  <w:font w:name="Undefined">
    <w:altName w:val="微软雅黑"/>
    <w:panose1 w:val="00000000000000000000"/>
    <w:charset w:val="00"/>
    <w:family w:val="auto"/>
    <w:pitch w:val="default"/>
    <w:sig w:usb0="00000000" w:usb1="00000000" w:usb2="00000000" w:usb3="00000000" w:csb0="00040001" w:csb1="00000000"/>
    <w:embedRegular r:id="rId5" w:fontKey="{4F8E02BC-B2C0-4583-8199-A52A2C75C0F8}"/>
  </w:font>
  <w:font w:name="yyb">
    <w:altName w:val="宋体"/>
    <w:panose1 w:val="020B0200000000000000"/>
    <w:charset w:val="86"/>
    <w:family w:val="auto"/>
    <w:pitch w:val="default"/>
    <w:sig w:usb0="00000000" w:usb1="00000000" w:usb2="00000016" w:usb3="00000000" w:csb0="60060107" w:csb1="00000000"/>
  </w:font>
  <w:font w:name="方正公文仿宋">
    <w:altName w:val="仿宋"/>
    <w:panose1 w:val="02000500000000000000"/>
    <w:charset w:val="86"/>
    <w:family w:val="auto"/>
    <w:pitch w:val="default"/>
    <w:sig w:usb0="00000000" w:usb1="00000000" w:usb2="00000016" w:usb3="00000000" w:csb0="00040001" w:csb1="00000000"/>
    <w:embedRegular r:id="rId6" w:fontKey="{5ECB8304-92D5-4B1C-B493-EDBEF22B8F3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5C92">
    <w:pPr>
      <w:pStyle w:val="1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D6C8">
    <w:pPr>
      <w:pStyle w:val="1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398C">
    <w:pPr>
      <w:pStyle w:val="14"/>
      <w:jc w:val="center"/>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F8581">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C3F8581">
                    <w:pPr>
                      <w:pStyle w:val="14"/>
                    </w:pPr>
                    <w:r>
                      <w:fldChar w:fldCharType="begin"/>
                    </w:r>
                    <w:r>
                      <w:instrText xml:space="preserve"> PAGE  \* MERGEFORMAT </w:instrText>
                    </w:r>
                    <w:r>
                      <w:fldChar w:fldCharType="separate"/>
                    </w:r>
                    <w:r>
                      <w:t>28</w:t>
                    </w:r>
                    <w:r>
                      <w:fldChar w:fldCharType="end"/>
                    </w:r>
                  </w:p>
                </w:txbxContent>
              </v:textbox>
            </v:shape>
          </w:pict>
        </mc:Fallback>
      </mc:AlternateContent>
    </w:r>
  </w:p>
  <w:p w14:paraId="632F8C55">
    <w:pPr>
      <w:pStyle w:val="1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9E84">
    <w:pPr>
      <w:pStyle w:val="14"/>
      <w:jc w:val="center"/>
      <w:rPr>
        <w:rStyle w:val="28"/>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3A23B">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123A23B">
                    <w:pPr>
                      <w:pStyle w:val="14"/>
                    </w:pPr>
                    <w:r>
                      <w:fldChar w:fldCharType="begin"/>
                    </w:r>
                    <w:r>
                      <w:instrText xml:space="preserve"> PAGE  \* MERGEFORMAT </w:instrText>
                    </w:r>
                    <w:r>
                      <w:fldChar w:fldCharType="separate"/>
                    </w:r>
                    <w:r>
                      <w:t>41</w:t>
                    </w:r>
                    <w:r>
                      <w:fldChar w:fldCharType="end"/>
                    </w:r>
                  </w:p>
                </w:txbxContent>
              </v:textbox>
            </v:shape>
          </w:pict>
        </mc:Fallback>
      </mc:AlternateContent>
    </w:r>
    <w:r>
      <w:rPr>
        <w:rStyle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4C76AD67">
                          <w:pPr>
                            <w:pStyle w:val="14"/>
                            <w:jc w:val="center"/>
                            <w:rPr>
                              <w:rStyle w:val="28"/>
                            </w:rPr>
                          </w:pPr>
                        </w:p>
                        <w:p w14:paraId="353DFB08">
                          <w:pPr>
                            <w:tabs>
                              <w:tab w:val="center" w:pos="4153"/>
                              <w:tab w:val="right" w:pos="8306"/>
                            </w:tabs>
                            <w:jc w:val="center"/>
                            <w:rPr>
                              <w:rStyle w:val="28"/>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5926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pEM5TTAAAAAwEAAA8AAAAAAAAAAQAgAAAAIgAAAGRycy9kb3ducmV2LnhtbFBLAQIU&#10;ABQAAAAIAIdO4kC20o1YvwEAAH8DAAAOAAAAAAAAAAEAIAAAACIBAABkcnMvZTJvRG9jLnhtbFBL&#10;BQYAAAAABgAGAFkBAABTBQAAAAA=&#10;">
              <v:fill on="f" focussize="0,0"/>
              <v:stroke on="f"/>
              <v:imagedata o:title=""/>
              <o:lock v:ext="edit" aspectratio="f"/>
              <v:textbox inset="0mm,0mm,0mm,0mm">
                <w:txbxContent>
                  <w:p w14:paraId="4C76AD67">
                    <w:pPr>
                      <w:pStyle w:val="14"/>
                      <w:jc w:val="center"/>
                      <w:rPr>
                        <w:rStyle w:val="28"/>
                      </w:rPr>
                    </w:pPr>
                  </w:p>
                  <w:p w14:paraId="353DFB08">
                    <w:pPr>
                      <w:tabs>
                        <w:tab w:val="center" w:pos="4153"/>
                        <w:tab w:val="right" w:pos="8306"/>
                      </w:tabs>
                      <w:jc w:val="center"/>
                      <w:rPr>
                        <w:rStyle w:val="28"/>
                      </w:rPr>
                    </w:pPr>
                  </w:p>
                </w:txbxContent>
              </v:textbox>
            </v:shape>
          </w:pict>
        </mc:Fallback>
      </mc:AlternateContent>
    </w:r>
  </w:p>
  <w:p w14:paraId="2206A2D4">
    <w:pPr>
      <w:pStyle w:val="14"/>
      <w:ind w:right="360"/>
      <w:jc w:val="right"/>
      <w:rPr>
        <w:rStyle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24ED">
    <w:pPr>
      <w:pStyle w:val="14"/>
      <w:framePr w:wrap="around" w:vAnchor="margin" w:hAnchor="text" w:xAlign="center" w:y="1"/>
      <w:rPr>
        <w:rStyle w:val="42"/>
      </w:rPr>
    </w:pPr>
  </w:p>
  <w:p w14:paraId="36EB16D1">
    <w:pPr>
      <w:pStyle w:val="14"/>
      <w:rPr>
        <w:rStyle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8A07">
    <w:pPr>
      <w:pStyle w:val="14"/>
      <w:jc w:val="center"/>
      <w:rPr>
        <w:rStyle w:val="28"/>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EF970">
                          <w:pPr>
                            <w:pStyle w:val="1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F1EF970">
                    <w:pPr>
                      <w:pStyle w:val="14"/>
                    </w:pPr>
                    <w:r>
                      <w:fldChar w:fldCharType="begin"/>
                    </w:r>
                    <w:r>
                      <w:instrText xml:space="preserve"> PAGE  \* MERGEFORMAT </w:instrText>
                    </w:r>
                    <w:r>
                      <w:fldChar w:fldCharType="separate"/>
                    </w:r>
                    <w:r>
                      <w:t>91</w:t>
                    </w:r>
                    <w:r>
                      <w:fldChar w:fldCharType="end"/>
                    </w:r>
                  </w:p>
                </w:txbxContent>
              </v:textbox>
            </v:shape>
          </w:pict>
        </mc:Fallback>
      </mc:AlternateContent>
    </w:r>
    <w:r>
      <w:rPr>
        <w:rStyle w:val="2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3C640">
                          <w:pPr>
                            <w:pStyle w:val="14"/>
                            <w:jc w:val="center"/>
                            <w:rPr>
                              <w:rStyle w:val="28"/>
                            </w:rPr>
                          </w:pPr>
                        </w:p>
                        <w:p w14:paraId="4BDE1448">
                          <w:pPr>
                            <w:tabs>
                              <w:tab w:val="center" w:pos="4153"/>
                              <w:tab w:val="right" w:pos="8306"/>
                            </w:tabs>
                            <w:jc w:val="center"/>
                            <w:rPr>
                              <w:rStyle w:val="28"/>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aT2QNIAAAAFAQAADwAAAAAAAAABACAAAAAiAAAAZHJzL2Rvd25yZXYueG1sUEsBAhQAFAAAAAgA&#10;h07iQFaPcni5AQAAgQMAAA4AAAAAAAAAAQAgAAAAIQEAAGRycy9lMm9Eb2MueG1sUEsFBgAAAAAG&#10;AAYAWQEAAEwFAAAAAA==&#10;">
              <v:fill on="f" focussize="0,0"/>
              <v:stroke on="f"/>
              <v:imagedata o:title=""/>
              <o:lock v:ext="edit" aspectratio="f"/>
              <v:textbox inset="0mm,0mm,0mm,0mm">
                <w:txbxContent>
                  <w:p w14:paraId="40B3C640">
                    <w:pPr>
                      <w:pStyle w:val="14"/>
                      <w:jc w:val="center"/>
                      <w:rPr>
                        <w:rStyle w:val="28"/>
                      </w:rPr>
                    </w:pPr>
                  </w:p>
                  <w:p w14:paraId="4BDE1448">
                    <w:pPr>
                      <w:tabs>
                        <w:tab w:val="center" w:pos="4153"/>
                        <w:tab w:val="right" w:pos="8306"/>
                      </w:tabs>
                      <w:jc w:val="center"/>
                      <w:rPr>
                        <w:rStyle w:val="28"/>
                      </w:rPr>
                    </w:pPr>
                  </w:p>
                </w:txbxContent>
              </v:textbox>
            </v:shape>
          </w:pict>
        </mc:Fallback>
      </mc:AlternateContent>
    </w:r>
  </w:p>
  <w:p w14:paraId="618DE791">
    <w:pPr>
      <w:pStyle w:val="14"/>
      <w:jc w:val="center"/>
      <w:rPr>
        <w:rStyle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AF30">
    <w:pPr>
      <w:pStyle w:val="14"/>
      <w:jc w:val="center"/>
      <w:rPr>
        <w:rStyle w:val="28"/>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BE6DF">
                          <w:pPr>
                            <w:pStyle w:val="14"/>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10BE6DF">
                    <w:pPr>
                      <w:pStyle w:val="14"/>
                    </w:pPr>
                    <w:r>
                      <w:fldChar w:fldCharType="begin"/>
                    </w:r>
                    <w:r>
                      <w:instrText xml:space="preserve"> PAGE  \* MERGEFORMAT </w:instrText>
                    </w:r>
                    <w:r>
                      <w:fldChar w:fldCharType="separate"/>
                    </w:r>
                    <w:r>
                      <w:t>116</w:t>
                    </w:r>
                    <w:r>
                      <w:fldChar w:fldCharType="end"/>
                    </w:r>
                  </w:p>
                </w:txbxContent>
              </v:textbox>
            </v:shape>
          </w:pict>
        </mc:Fallback>
      </mc:AlternateContent>
    </w:r>
    <w:r>
      <w:rPr>
        <w:rStyle w:val="2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14:paraId="0DD0EE78">
                          <w:pPr>
                            <w:pStyle w:val="14"/>
                            <w:jc w:val="center"/>
                            <w:rPr>
                              <w:rStyle w:val="28"/>
                            </w:rPr>
                          </w:pPr>
                        </w:p>
                        <w:p w14:paraId="652C1321">
                          <w:pPr>
                            <w:tabs>
                              <w:tab w:val="center" w:pos="4153"/>
                              <w:tab w:val="right" w:pos="8306"/>
                            </w:tabs>
                            <w:jc w:val="center"/>
                            <w:rPr>
                              <w:rStyle w:val="28"/>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1312;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DOU0wAAAAMBAAAPAAAAAAAAAAEAIAAAACIAAABkcnMvZG93bnJldi54bWxQSwEC&#10;FAAUAAAACACHTuJApEi3ssABAAB/AwAADgAAAAAAAAABACAAAAAiAQAAZHJzL2Uyb0RvYy54bWxQ&#10;SwUGAAAAAAYABgBZAQAAVAUAAAAA&#10;">
              <v:fill on="f" focussize="0,0"/>
              <v:stroke on="f"/>
              <v:imagedata o:title=""/>
              <o:lock v:ext="edit" aspectratio="f"/>
              <v:textbox inset="0mm,0mm,0mm,0mm">
                <w:txbxContent>
                  <w:p w14:paraId="0DD0EE78">
                    <w:pPr>
                      <w:pStyle w:val="14"/>
                      <w:jc w:val="center"/>
                      <w:rPr>
                        <w:rStyle w:val="28"/>
                      </w:rPr>
                    </w:pPr>
                  </w:p>
                  <w:p w14:paraId="652C1321">
                    <w:pPr>
                      <w:tabs>
                        <w:tab w:val="center" w:pos="4153"/>
                        <w:tab w:val="right" w:pos="8306"/>
                      </w:tabs>
                      <w:jc w:val="center"/>
                      <w:rPr>
                        <w:rStyle w:val="28"/>
                      </w:rPr>
                    </w:pPr>
                  </w:p>
                </w:txbxContent>
              </v:textbox>
            </v:shape>
          </w:pict>
        </mc:Fallback>
      </mc:AlternateContent>
    </w:r>
  </w:p>
  <w:p w14:paraId="40270415">
    <w:pPr>
      <w:pStyle w:val="14"/>
      <w:ind w:right="360"/>
      <w:jc w:val="right"/>
      <w:rPr>
        <w:rStyle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025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CA84">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8B68">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693C">
    <w:pPr>
      <w:pStyle w:val="15"/>
      <w:pBdr>
        <w:bottom w:val="none" w:color="auto" w:sz="0" w:space="0"/>
      </w:pBdr>
      <w:rPr>
        <w:rStyle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688A">
    <w:pPr>
      <w:pStyle w:val="15"/>
      <w:pBdr>
        <w:bottom w:val="none" w:color="auto" w:sz="0" w:space="0"/>
      </w:pBdr>
      <w:rPr>
        <w:rStyle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ABDD">
    <w:pPr>
      <w:pStyle w:val="15"/>
      <w:pBdr>
        <w:bottom w:val="none" w:color="auto" w:sz="0" w:space="0"/>
      </w:pBdr>
      <w:jc w:val="right"/>
      <w:rPr>
        <w:rStyle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tabs>
          <w:tab w:val="left" w:pos="312"/>
        </w:tabs>
        <w:textAlignment w:val="baseline"/>
      </w:pPr>
    </w:lvl>
  </w:abstractNum>
  <w:abstractNum w:abstractNumId="1">
    <w:nsid w:val="93B87A84"/>
    <w:multiLevelType w:val="singleLevel"/>
    <w:tmpl w:val="93B87A84"/>
    <w:lvl w:ilvl="0" w:tentative="0">
      <w:start w:val="2"/>
      <w:numFmt w:val="decimal"/>
      <w:suff w:val="nothing"/>
      <w:lvlText w:val="%1、"/>
      <w:lvlJc w:val="left"/>
    </w:lvl>
  </w:abstractNum>
  <w:abstractNum w:abstractNumId="2">
    <w:nsid w:val="D4F06988"/>
    <w:multiLevelType w:val="multilevel"/>
    <w:tmpl w:val="D4F06988"/>
    <w:lvl w:ilvl="0" w:tentative="0">
      <w:start w:val="18"/>
      <w:numFmt w:val="decimal"/>
      <w:lvlText w:val="%1."/>
      <w:lvlJc w:val="left"/>
      <w:pPr>
        <w:textAlignment w:val="baseline"/>
      </w:pPr>
    </w:lvl>
    <w:lvl w:ilvl="1" w:tentative="0">
      <w:start w:val="1"/>
      <w:numFmt w:val="decimal"/>
      <w:lvlText w:val="%1.%2"/>
      <w:lvlJc w:val="left"/>
      <w:pPr>
        <w:tabs>
          <w:tab w:val="left" w:pos="312"/>
        </w:tabs>
        <w:ind w:left="0" w:firstLine="0"/>
        <w:textAlignment w:val="baseline"/>
      </w:pPr>
    </w:lvl>
    <w:lvl w:ilvl="2" w:tentative="0">
      <w:start w:val="1"/>
      <w:numFmt w:val="decimal"/>
      <w:lvlText w:val="%1.%2.%3"/>
      <w:lvlJc w:val="left"/>
      <w:pPr>
        <w:tabs>
          <w:tab w:val="left" w:pos="312"/>
        </w:tabs>
        <w:ind w:left="0" w:firstLine="0"/>
        <w:textAlignment w:val="baseline"/>
      </w:pPr>
    </w:lvl>
    <w:lvl w:ilvl="3" w:tentative="0">
      <w:start w:val="1"/>
      <w:numFmt w:val="decimal"/>
      <w:lvlText w:val="%1.%2.%3.%4"/>
      <w:lvlJc w:val="left"/>
      <w:pPr>
        <w:tabs>
          <w:tab w:val="left" w:pos="312"/>
        </w:tabs>
        <w:ind w:left="0" w:firstLine="0"/>
        <w:textAlignment w:val="baseline"/>
      </w:pPr>
    </w:lvl>
    <w:lvl w:ilvl="4" w:tentative="0">
      <w:start w:val="1"/>
      <w:numFmt w:val="decimal"/>
      <w:lvlText w:val="%1.%2.%3.%4.%5"/>
      <w:lvlJc w:val="left"/>
      <w:pPr>
        <w:tabs>
          <w:tab w:val="left" w:pos="312"/>
        </w:tabs>
        <w:ind w:left="0" w:firstLine="0"/>
        <w:textAlignment w:val="baseline"/>
      </w:pPr>
    </w:lvl>
    <w:lvl w:ilvl="5" w:tentative="0">
      <w:start w:val="1"/>
      <w:numFmt w:val="decimal"/>
      <w:lvlText w:val="%1.%2.%3.%4.%5.%6"/>
      <w:lvlJc w:val="left"/>
      <w:pPr>
        <w:tabs>
          <w:tab w:val="left" w:pos="312"/>
        </w:tabs>
        <w:ind w:left="0" w:firstLine="0"/>
        <w:textAlignment w:val="baseline"/>
      </w:pPr>
    </w:lvl>
    <w:lvl w:ilvl="6" w:tentative="0">
      <w:start w:val="1"/>
      <w:numFmt w:val="decimal"/>
      <w:lvlText w:val="%1.%2.%3.%4.%5.%6.%7"/>
      <w:lvlJc w:val="left"/>
      <w:pPr>
        <w:tabs>
          <w:tab w:val="left" w:pos="312"/>
        </w:tabs>
        <w:ind w:left="0" w:firstLine="0"/>
        <w:textAlignment w:val="baseline"/>
      </w:pPr>
    </w:lvl>
    <w:lvl w:ilvl="7" w:tentative="0">
      <w:start w:val="1"/>
      <w:numFmt w:val="decimal"/>
      <w:lvlText w:val="%1.%2.%3.%4.%5.%6.%7.%8"/>
      <w:lvlJc w:val="left"/>
      <w:pPr>
        <w:tabs>
          <w:tab w:val="left" w:pos="312"/>
        </w:tabs>
        <w:ind w:left="0" w:firstLine="0"/>
        <w:textAlignment w:val="baseline"/>
      </w:pPr>
    </w:lvl>
    <w:lvl w:ilvl="8" w:tentative="0">
      <w:start w:val="1"/>
      <w:numFmt w:val="decimal"/>
      <w:lvlText w:val="%1.%2.%3.%4.%5.%6.%7.%8.%9"/>
      <w:lvlJc w:val="left"/>
      <w:pPr>
        <w:tabs>
          <w:tab w:val="left" w:pos="312"/>
        </w:tabs>
        <w:ind w:left="0" w:firstLine="0"/>
        <w:textAlignment w:val="baseline"/>
      </w:pPr>
    </w:lvl>
  </w:abstractNum>
  <w:abstractNum w:abstractNumId="3">
    <w:nsid w:val="E6DD8D23"/>
    <w:multiLevelType w:val="singleLevel"/>
    <w:tmpl w:val="E6DD8D23"/>
    <w:lvl w:ilvl="0" w:tentative="0">
      <w:start w:val="1"/>
      <w:numFmt w:val="chineseCounting"/>
      <w:suff w:val="nothing"/>
      <w:lvlText w:val="%1、"/>
      <w:lvlJc w:val="left"/>
      <w:pPr>
        <w:textAlignment w:val="baseline"/>
      </w:pPr>
    </w:lvl>
  </w:abstractNum>
  <w:abstractNum w:abstractNumId="4">
    <w:nsid w:val="155E6A8F"/>
    <w:multiLevelType w:val="multilevel"/>
    <w:tmpl w:val="155E6A8F"/>
    <w:lvl w:ilvl="0" w:tentative="0">
      <w:start w:val="1"/>
      <w:numFmt w:val="decimal"/>
      <w:lvlText w:val="（%1）"/>
      <w:lvlJc w:val="left"/>
      <w:pPr>
        <w:tabs>
          <w:tab w:val="left" w:pos="1571"/>
        </w:tabs>
        <w:ind w:left="1571" w:hanging="720"/>
        <w:textAlignment w:val="baseline"/>
      </w:pPr>
      <w:rPr>
        <w:rFonts w:ascii="仿宋_GB2312" w:hAnsi="宋体" w:eastAsia="仿宋_GB2312"/>
      </w:rPr>
    </w:lvl>
    <w:lvl w:ilvl="1" w:tentative="0">
      <w:start w:val="1"/>
      <w:numFmt w:val="lowerLetter"/>
      <w:lvlText w:val="%1)"/>
      <w:lvlJc w:val="left"/>
      <w:pPr>
        <w:tabs>
          <w:tab w:val="left" w:pos="1739"/>
        </w:tabs>
        <w:ind w:left="1739" w:hanging="420"/>
        <w:textAlignment w:val="baseline"/>
      </w:pPr>
    </w:lvl>
    <w:lvl w:ilvl="2" w:tentative="0">
      <w:start w:val="1"/>
      <w:numFmt w:val="lowerRoman"/>
      <w:lvlText w:val="%1."/>
      <w:lvlJc w:val="right"/>
      <w:pPr>
        <w:tabs>
          <w:tab w:val="left" w:pos="2159"/>
        </w:tabs>
        <w:ind w:left="2159" w:hanging="420"/>
        <w:textAlignment w:val="baseline"/>
      </w:pPr>
    </w:lvl>
    <w:lvl w:ilvl="3" w:tentative="0">
      <w:start w:val="1"/>
      <w:numFmt w:val="decimal"/>
      <w:lvlText w:val="%1."/>
      <w:lvlJc w:val="left"/>
      <w:pPr>
        <w:tabs>
          <w:tab w:val="left" w:pos="2579"/>
        </w:tabs>
        <w:ind w:left="2579" w:hanging="420"/>
        <w:textAlignment w:val="baseline"/>
      </w:pPr>
    </w:lvl>
    <w:lvl w:ilvl="4" w:tentative="0">
      <w:start w:val="1"/>
      <w:numFmt w:val="lowerLetter"/>
      <w:lvlText w:val="%1)"/>
      <w:lvlJc w:val="left"/>
      <w:pPr>
        <w:tabs>
          <w:tab w:val="left" w:pos="2999"/>
        </w:tabs>
        <w:ind w:left="2999" w:hanging="420"/>
        <w:textAlignment w:val="baseline"/>
      </w:pPr>
    </w:lvl>
    <w:lvl w:ilvl="5" w:tentative="0">
      <w:start w:val="1"/>
      <w:numFmt w:val="lowerRoman"/>
      <w:lvlText w:val="%1."/>
      <w:lvlJc w:val="right"/>
      <w:pPr>
        <w:tabs>
          <w:tab w:val="left" w:pos="3419"/>
        </w:tabs>
        <w:ind w:left="3419" w:hanging="420"/>
        <w:textAlignment w:val="baseline"/>
      </w:pPr>
    </w:lvl>
    <w:lvl w:ilvl="6" w:tentative="0">
      <w:start w:val="1"/>
      <w:numFmt w:val="decimal"/>
      <w:lvlText w:val="%1."/>
      <w:lvlJc w:val="left"/>
      <w:pPr>
        <w:tabs>
          <w:tab w:val="left" w:pos="3839"/>
        </w:tabs>
        <w:ind w:left="3839" w:hanging="420"/>
        <w:textAlignment w:val="baseline"/>
      </w:pPr>
    </w:lvl>
    <w:lvl w:ilvl="7" w:tentative="0">
      <w:start w:val="1"/>
      <w:numFmt w:val="lowerLetter"/>
      <w:lvlText w:val="%1)"/>
      <w:lvlJc w:val="left"/>
      <w:pPr>
        <w:tabs>
          <w:tab w:val="left" w:pos="4259"/>
        </w:tabs>
        <w:ind w:left="4259" w:hanging="420"/>
        <w:textAlignment w:val="baseline"/>
      </w:pPr>
    </w:lvl>
    <w:lvl w:ilvl="8" w:tentative="0">
      <w:start w:val="1"/>
      <w:numFmt w:val="lowerRoman"/>
      <w:lvlText w:val="%1."/>
      <w:lvlJc w:val="right"/>
      <w:pPr>
        <w:tabs>
          <w:tab w:val="left" w:pos="4679"/>
        </w:tabs>
        <w:ind w:left="4679" w:hanging="420"/>
        <w:textAlignment w:val="baseline"/>
      </w:pPr>
    </w:lvl>
  </w:abstractNum>
  <w:abstractNum w:abstractNumId="5">
    <w:nsid w:val="25E9131D"/>
    <w:multiLevelType w:val="multilevel"/>
    <w:tmpl w:val="25E9131D"/>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900"/>
        </w:tabs>
        <w:ind w:left="900" w:hanging="900"/>
        <w:textAlignment w:val="baseline"/>
      </w:pPr>
    </w:lvl>
    <w:lvl w:ilvl="2" w:tentative="0">
      <w:start w:val="1"/>
      <w:numFmt w:val="decimal"/>
      <w:lvlText w:val="%1.%2.%3"/>
      <w:lvlJc w:val="left"/>
      <w:pPr>
        <w:tabs>
          <w:tab w:val="left" w:pos="900"/>
        </w:tabs>
        <w:ind w:left="90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6">
    <w:nsid w:val="44DD0909"/>
    <w:multiLevelType w:val="multilevel"/>
    <w:tmpl w:val="44DD0909"/>
    <w:lvl w:ilvl="0" w:tentative="0">
      <w:start w:val="1"/>
      <w:numFmt w:val="decimal"/>
      <w:lvlText w:val="%1)"/>
      <w:lvlJc w:val="left"/>
      <w:pPr>
        <w:ind w:left="420" w:hanging="420"/>
        <w:textAlignment w:val="baseline"/>
      </w:pPr>
    </w:lvl>
    <w:lvl w:ilvl="1" w:tentative="0">
      <w:start w:val="1"/>
      <w:numFmt w:val="decimal"/>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7">
    <w:nsid w:val="59D953CC"/>
    <w:multiLevelType w:val="singleLevel"/>
    <w:tmpl w:val="59D953CC"/>
    <w:lvl w:ilvl="0" w:tentative="0">
      <w:start w:val="6"/>
      <w:numFmt w:val="chineseCounting"/>
      <w:suff w:val="nothing"/>
      <w:lvlText w:val="%1、"/>
      <w:lvlJc w:val="left"/>
      <w:pPr>
        <w:textAlignment w:val="baseline"/>
      </w:pPr>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textAlignment w:val="baseline"/>
      </w:pPr>
    </w:lvl>
    <w:lvl w:ilvl="1" w:tentative="0">
      <w:start w:val="1"/>
      <w:numFmt w:val="lowerLetter"/>
      <w:lvlText w:val="%1)"/>
      <w:lvlJc w:val="left"/>
      <w:pPr>
        <w:tabs>
          <w:tab w:val="left" w:pos="1380"/>
        </w:tabs>
        <w:ind w:left="1380" w:hanging="420"/>
        <w:textAlignment w:val="baseline"/>
      </w:pPr>
    </w:lvl>
    <w:lvl w:ilvl="2" w:tentative="0">
      <w:start w:val="1"/>
      <w:numFmt w:val="lowerRoman"/>
      <w:lvlText w:val="%1."/>
      <w:lvlJc w:val="right"/>
      <w:pPr>
        <w:tabs>
          <w:tab w:val="left" w:pos="1800"/>
        </w:tabs>
        <w:ind w:left="1800" w:hanging="420"/>
        <w:textAlignment w:val="baseline"/>
      </w:pPr>
    </w:lvl>
    <w:lvl w:ilvl="3" w:tentative="0">
      <w:start w:val="1"/>
      <w:numFmt w:val="decimal"/>
      <w:lvlText w:val="%1."/>
      <w:lvlJc w:val="left"/>
      <w:pPr>
        <w:tabs>
          <w:tab w:val="left" w:pos="2220"/>
        </w:tabs>
        <w:ind w:left="2220" w:hanging="420"/>
        <w:textAlignment w:val="baseline"/>
      </w:pPr>
    </w:lvl>
    <w:lvl w:ilvl="4" w:tentative="0">
      <w:start w:val="1"/>
      <w:numFmt w:val="lowerLetter"/>
      <w:lvlText w:val="%1)"/>
      <w:lvlJc w:val="left"/>
      <w:pPr>
        <w:tabs>
          <w:tab w:val="left" w:pos="2640"/>
        </w:tabs>
        <w:ind w:left="2640" w:hanging="420"/>
        <w:textAlignment w:val="baseline"/>
      </w:pPr>
    </w:lvl>
    <w:lvl w:ilvl="5" w:tentative="0">
      <w:start w:val="1"/>
      <w:numFmt w:val="lowerRoman"/>
      <w:lvlText w:val="%1."/>
      <w:lvlJc w:val="right"/>
      <w:pPr>
        <w:tabs>
          <w:tab w:val="left" w:pos="3060"/>
        </w:tabs>
        <w:ind w:left="3060" w:hanging="420"/>
        <w:textAlignment w:val="baseline"/>
      </w:pPr>
    </w:lvl>
    <w:lvl w:ilvl="6" w:tentative="0">
      <w:start w:val="1"/>
      <w:numFmt w:val="decimal"/>
      <w:lvlText w:val="%1."/>
      <w:lvlJc w:val="left"/>
      <w:pPr>
        <w:tabs>
          <w:tab w:val="left" w:pos="3480"/>
        </w:tabs>
        <w:ind w:left="3480" w:hanging="420"/>
        <w:textAlignment w:val="baseline"/>
      </w:pPr>
    </w:lvl>
    <w:lvl w:ilvl="7" w:tentative="0">
      <w:start w:val="1"/>
      <w:numFmt w:val="lowerLetter"/>
      <w:lvlText w:val="%1)"/>
      <w:lvlJc w:val="left"/>
      <w:pPr>
        <w:tabs>
          <w:tab w:val="left" w:pos="3900"/>
        </w:tabs>
        <w:ind w:left="3900" w:hanging="420"/>
        <w:textAlignment w:val="baseline"/>
      </w:pPr>
    </w:lvl>
    <w:lvl w:ilvl="8" w:tentative="0">
      <w:start w:val="1"/>
      <w:numFmt w:val="lowerRoman"/>
      <w:lvlText w:val="%1."/>
      <w:lvlJc w:val="right"/>
      <w:pPr>
        <w:tabs>
          <w:tab w:val="left" w:pos="4320"/>
        </w:tabs>
        <w:ind w:left="4320" w:hanging="420"/>
        <w:textAlignment w:val="baseline"/>
      </w:pPr>
    </w:lvl>
  </w:abstractNum>
  <w:num w:numId="1">
    <w:abstractNumId w:val="5"/>
  </w:num>
  <w:num w:numId="2">
    <w:abstractNumId w:val="8"/>
  </w:num>
  <w:num w:numId="3">
    <w:abstractNumId w:val="2"/>
  </w:num>
  <w:num w:numId="4">
    <w:abstractNumId w:val="4"/>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2RkNDFlNGU5ZjNhYTBmNzJhZDdmMjQwNGViYzAifQ=="/>
    <w:docVar w:name="KSO_WPS_MARK_KEY" w:val="19478e69-9f22-43f2-8503-b5b1be6ee096"/>
  </w:docVars>
  <w:rsids>
    <w:rsidRoot w:val="7FA51748"/>
    <w:rsid w:val="00056778"/>
    <w:rsid w:val="000576B1"/>
    <w:rsid w:val="000643F2"/>
    <w:rsid w:val="00065C4E"/>
    <w:rsid w:val="00066EBC"/>
    <w:rsid w:val="00086AC5"/>
    <w:rsid w:val="001022A7"/>
    <w:rsid w:val="001457B5"/>
    <w:rsid w:val="0017537D"/>
    <w:rsid w:val="00182434"/>
    <w:rsid w:val="002350E1"/>
    <w:rsid w:val="00241E6B"/>
    <w:rsid w:val="0025477F"/>
    <w:rsid w:val="002548AE"/>
    <w:rsid w:val="0027695C"/>
    <w:rsid w:val="00286DD1"/>
    <w:rsid w:val="00290F6F"/>
    <w:rsid w:val="00293E68"/>
    <w:rsid w:val="002A1E4F"/>
    <w:rsid w:val="002A7C5D"/>
    <w:rsid w:val="0032183F"/>
    <w:rsid w:val="00340960"/>
    <w:rsid w:val="003533E2"/>
    <w:rsid w:val="0037549D"/>
    <w:rsid w:val="003D1E13"/>
    <w:rsid w:val="003E045C"/>
    <w:rsid w:val="00402C55"/>
    <w:rsid w:val="00403D94"/>
    <w:rsid w:val="00420D1A"/>
    <w:rsid w:val="00422485"/>
    <w:rsid w:val="0043302E"/>
    <w:rsid w:val="0045766C"/>
    <w:rsid w:val="00474CF6"/>
    <w:rsid w:val="00490865"/>
    <w:rsid w:val="004B362F"/>
    <w:rsid w:val="00507681"/>
    <w:rsid w:val="00547EF8"/>
    <w:rsid w:val="00563BB7"/>
    <w:rsid w:val="005A0602"/>
    <w:rsid w:val="005C3B05"/>
    <w:rsid w:val="005D5365"/>
    <w:rsid w:val="005E3CA7"/>
    <w:rsid w:val="00607022"/>
    <w:rsid w:val="00614585"/>
    <w:rsid w:val="00627E6B"/>
    <w:rsid w:val="0067363B"/>
    <w:rsid w:val="006944CF"/>
    <w:rsid w:val="006B642C"/>
    <w:rsid w:val="006D5D79"/>
    <w:rsid w:val="006F09D4"/>
    <w:rsid w:val="007313F5"/>
    <w:rsid w:val="00751D03"/>
    <w:rsid w:val="007700E8"/>
    <w:rsid w:val="00771D84"/>
    <w:rsid w:val="007754DA"/>
    <w:rsid w:val="0078768E"/>
    <w:rsid w:val="0079472F"/>
    <w:rsid w:val="007A537B"/>
    <w:rsid w:val="007A6E43"/>
    <w:rsid w:val="007B394D"/>
    <w:rsid w:val="007B4640"/>
    <w:rsid w:val="007D5435"/>
    <w:rsid w:val="007F5979"/>
    <w:rsid w:val="00807E25"/>
    <w:rsid w:val="008132FD"/>
    <w:rsid w:val="00817366"/>
    <w:rsid w:val="008206B5"/>
    <w:rsid w:val="00823F93"/>
    <w:rsid w:val="0083353A"/>
    <w:rsid w:val="0085081A"/>
    <w:rsid w:val="00857BBF"/>
    <w:rsid w:val="008B43D3"/>
    <w:rsid w:val="008C4412"/>
    <w:rsid w:val="008E3D72"/>
    <w:rsid w:val="00917236"/>
    <w:rsid w:val="0091723E"/>
    <w:rsid w:val="00927E88"/>
    <w:rsid w:val="00957DF9"/>
    <w:rsid w:val="00980FD2"/>
    <w:rsid w:val="0099166E"/>
    <w:rsid w:val="009B4408"/>
    <w:rsid w:val="009C25E5"/>
    <w:rsid w:val="009D7F47"/>
    <w:rsid w:val="009F08E4"/>
    <w:rsid w:val="00A179F9"/>
    <w:rsid w:val="00A24A7D"/>
    <w:rsid w:val="00A30B0D"/>
    <w:rsid w:val="00A51E10"/>
    <w:rsid w:val="00A61C3F"/>
    <w:rsid w:val="00A77956"/>
    <w:rsid w:val="00A82BBF"/>
    <w:rsid w:val="00A951E2"/>
    <w:rsid w:val="00AA4AB9"/>
    <w:rsid w:val="00AB3230"/>
    <w:rsid w:val="00AE14C2"/>
    <w:rsid w:val="00AE30B0"/>
    <w:rsid w:val="00AF0473"/>
    <w:rsid w:val="00AF216A"/>
    <w:rsid w:val="00B40D67"/>
    <w:rsid w:val="00B65102"/>
    <w:rsid w:val="00B72083"/>
    <w:rsid w:val="00B73345"/>
    <w:rsid w:val="00B90902"/>
    <w:rsid w:val="00BA3BFB"/>
    <w:rsid w:val="00BB10A5"/>
    <w:rsid w:val="00BB66FE"/>
    <w:rsid w:val="00C175D3"/>
    <w:rsid w:val="00C70D08"/>
    <w:rsid w:val="00CD3D2F"/>
    <w:rsid w:val="00D07667"/>
    <w:rsid w:val="00D37585"/>
    <w:rsid w:val="00D42B17"/>
    <w:rsid w:val="00D64B65"/>
    <w:rsid w:val="00D954CF"/>
    <w:rsid w:val="00DB462B"/>
    <w:rsid w:val="00DD47AE"/>
    <w:rsid w:val="00DD6C71"/>
    <w:rsid w:val="00E36900"/>
    <w:rsid w:val="00E427F6"/>
    <w:rsid w:val="00E459C8"/>
    <w:rsid w:val="00E46AD2"/>
    <w:rsid w:val="00E53696"/>
    <w:rsid w:val="00E668A5"/>
    <w:rsid w:val="00E93602"/>
    <w:rsid w:val="00E978FC"/>
    <w:rsid w:val="00EA70C0"/>
    <w:rsid w:val="00EC358E"/>
    <w:rsid w:val="00EE097E"/>
    <w:rsid w:val="00EE5E69"/>
    <w:rsid w:val="00F06193"/>
    <w:rsid w:val="00F147EA"/>
    <w:rsid w:val="00F536F9"/>
    <w:rsid w:val="00F662D0"/>
    <w:rsid w:val="00F717A8"/>
    <w:rsid w:val="00F92497"/>
    <w:rsid w:val="00FA665B"/>
    <w:rsid w:val="00FD053A"/>
    <w:rsid w:val="012000E8"/>
    <w:rsid w:val="01457570"/>
    <w:rsid w:val="01672E07"/>
    <w:rsid w:val="016A347B"/>
    <w:rsid w:val="01913FB9"/>
    <w:rsid w:val="019B1886"/>
    <w:rsid w:val="01BB5A85"/>
    <w:rsid w:val="01CC5EE4"/>
    <w:rsid w:val="01D95F0B"/>
    <w:rsid w:val="02002ACB"/>
    <w:rsid w:val="0261662C"/>
    <w:rsid w:val="027E06A3"/>
    <w:rsid w:val="02A17274"/>
    <w:rsid w:val="02AD361F"/>
    <w:rsid w:val="02BA21E0"/>
    <w:rsid w:val="02ED6112"/>
    <w:rsid w:val="0313544C"/>
    <w:rsid w:val="03177C81"/>
    <w:rsid w:val="032A1114"/>
    <w:rsid w:val="033742F0"/>
    <w:rsid w:val="034D6BB0"/>
    <w:rsid w:val="03AF786B"/>
    <w:rsid w:val="03C07382"/>
    <w:rsid w:val="03F139E0"/>
    <w:rsid w:val="03F1578E"/>
    <w:rsid w:val="03F4702C"/>
    <w:rsid w:val="04020397"/>
    <w:rsid w:val="04071455"/>
    <w:rsid w:val="040F20B8"/>
    <w:rsid w:val="041651F4"/>
    <w:rsid w:val="04273E18"/>
    <w:rsid w:val="04830723"/>
    <w:rsid w:val="04CD130E"/>
    <w:rsid w:val="04F574FF"/>
    <w:rsid w:val="050339CA"/>
    <w:rsid w:val="051536FE"/>
    <w:rsid w:val="05273C06"/>
    <w:rsid w:val="05681A7F"/>
    <w:rsid w:val="05706B86"/>
    <w:rsid w:val="05A25746"/>
    <w:rsid w:val="05B253F0"/>
    <w:rsid w:val="05DE39E0"/>
    <w:rsid w:val="05E03D0C"/>
    <w:rsid w:val="05F90536"/>
    <w:rsid w:val="06222576"/>
    <w:rsid w:val="065F7326"/>
    <w:rsid w:val="06662200"/>
    <w:rsid w:val="06A92350"/>
    <w:rsid w:val="06E72E78"/>
    <w:rsid w:val="070F114F"/>
    <w:rsid w:val="071C5217"/>
    <w:rsid w:val="073F2CB4"/>
    <w:rsid w:val="07854B6B"/>
    <w:rsid w:val="07BB67DE"/>
    <w:rsid w:val="07E13D6B"/>
    <w:rsid w:val="07EA4488"/>
    <w:rsid w:val="08042087"/>
    <w:rsid w:val="080737D2"/>
    <w:rsid w:val="08123F24"/>
    <w:rsid w:val="08197A4B"/>
    <w:rsid w:val="082A4CBD"/>
    <w:rsid w:val="086E3851"/>
    <w:rsid w:val="087D7F38"/>
    <w:rsid w:val="089C4C8F"/>
    <w:rsid w:val="08A059D4"/>
    <w:rsid w:val="08BF22FE"/>
    <w:rsid w:val="08DC6C50"/>
    <w:rsid w:val="08F16230"/>
    <w:rsid w:val="090D1343"/>
    <w:rsid w:val="091A12E3"/>
    <w:rsid w:val="092B4317"/>
    <w:rsid w:val="093A1985"/>
    <w:rsid w:val="093C56FD"/>
    <w:rsid w:val="09442803"/>
    <w:rsid w:val="095E0350"/>
    <w:rsid w:val="098D41AA"/>
    <w:rsid w:val="099E3CC2"/>
    <w:rsid w:val="09A80A8D"/>
    <w:rsid w:val="0A285C81"/>
    <w:rsid w:val="0A310B8B"/>
    <w:rsid w:val="0ABB08A3"/>
    <w:rsid w:val="0AC721E6"/>
    <w:rsid w:val="0AC73B8C"/>
    <w:rsid w:val="0AF20529"/>
    <w:rsid w:val="0B100BEF"/>
    <w:rsid w:val="0B36617C"/>
    <w:rsid w:val="0B3F3282"/>
    <w:rsid w:val="0B5A630E"/>
    <w:rsid w:val="0B6E353E"/>
    <w:rsid w:val="0B714CCE"/>
    <w:rsid w:val="0B9A2BAF"/>
    <w:rsid w:val="0BA92DF2"/>
    <w:rsid w:val="0BCB0FBA"/>
    <w:rsid w:val="0C076962"/>
    <w:rsid w:val="0C1110C3"/>
    <w:rsid w:val="0C2030B4"/>
    <w:rsid w:val="0C41302A"/>
    <w:rsid w:val="0C474AE5"/>
    <w:rsid w:val="0C4A6383"/>
    <w:rsid w:val="0C590374"/>
    <w:rsid w:val="0C5C1C12"/>
    <w:rsid w:val="0C8C24F7"/>
    <w:rsid w:val="0C91395E"/>
    <w:rsid w:val="0CBF2485"/>
    <w:rsid w:val="0CCA74C4"/>
    <w:rsid w:val="0D182316"/>
    <w:rsid w:val="0D2210AE"/>
    <w:rsid w:val="0D38267F"/>
    <w:rsid w:val="0D8B27AF"/>
    <w:rsid w:val="0E032E75"/>
    <w:rsid w:val="0E6D0107"/>
    <w:rsid w:val="0E8033D3"/>
    <w:rsid w:val="0E855450"/>
    <w:rsid w:val="0E9E6512"/>
    <w:rsid w:val="0EA71F0A"/>
    <w:rsid w:val="0EA87391"/>
    <w:rsid w:val="0EAD2BF9"/>
    <w:rsid w:val="0EC10BC1"/>
    <w:rsid w:val="0ECE7B96"/>
    <w:rsid w:val="0EDB32C2"/>
    <w:rsid w:val="0EE9189A"/>
    <w:rsid w:val="0EEE58F6"/>
    <w:rsid w:val="0EF24286"/>
    <w:rsid w:val="0F102FA9"/>
    <w:rsid w:val="0F1A688C"/>
    <w:rsid w:val="0F814668"/>
    <w:rsid w:val="0F9F3559"/>
    <w:rsid w:val="0FA933C0"/>
    <w:rsid w:val="0FB27CFD"/>
    <w:rsid w:val="0FBF0E36"/>
    <w:rsid w:val="0FF04C79"/>
    <w:rsid w:val="0FF7412C"/>
    <w:rsid w:val="10061C28"/>
    <w:rsid w:val="102D5D9F"/>
    <w:rsid w:val="102E1B18"/>
    <w:rsid w:val="105A46BB"/>
    <w:rsid w:val="10613C9B"/>
    <w:rsid w:val="106D2640"/>
    <w:rsid w:val="10765998"/>
    <w:rsid w:val="10A5627E"/>
    <w:rsid w:val="10B244F7"/>
    <w:rsid w:val="10B967BF"/>
    <w:rsid w:val="10DA102E"/>
    <w:rsid w:val="10E072B6"/>
    <w:rsid w:val="110A7E8F"/>
    <w:rsid w:val="11537A88"/>
    <w:rsid w:val="11626401"/>
    <w:rsid w:val="116A4DD1"/>
    <w:rsid w:val="11A622AD"/>
    <w:rsid w:val="11E3705D"/>
    <w:rsid w:val="11E84674"/>
    <w:rsid w:val="11FF19BD"/>
    <w:rsid w:val="120E39AF"/>
    <w:rsid w:val="123B28DE"/>
    <w:rsid w:val="12C21A6F"/>
    <w:rsid w:val="12D70244"/>
    <w:rsid w:val="12EB53B3"/>
    <w:rsid w:val="12F1607D"/>
    <w:rsid w:val="130D3C66"/>
    <w:rsid w:val="13394A5B"/>
    <w:rsid w:val="133F61FB"/>
    <w:rsid w:val="13581385"/>
    <w:rsid w:val="135E44C2"/>
    <w:rsid w:val="13A66595"/>
    <w:rsid w:val="13C24A51"/>
    <w:rsid w:val="13E56A03"/>
    <w:rsid w:val="14092680"/>
    <w:rsid w:val="14290F74"/>
    <w:rsid w:val="14496F20"/>
    <w:rsid w:val="144E5F5A"/>
    <w:rsid w:val="14593607"/>
    <w:rsid w:val="14627FE2"/>
    <w:rsid w:val="148B7538"/>
    <w:rsid w:val="14904B4F"/>
    <w:rsid w:val="149731AD"/>
    <w:rsid w:val="149B3830"/>
    <w:rsid w:val="14B475C3"/>
    <w:rsid w:val="14C50C9C"/>
    <w:rsid w:val="14C84947"/>
    <w:rsid w:val="14DE3B0C"/>
    <w:rsid w:val="14E12714"/>
    <w:rsid w:val="14E76E65"/>
    <w:rsid w:val="14F8650C"/>
    <w:rsid w:val="14F90946"/>
    <w:rsid w:val="15115C90"/>
    <w:rsid w:val="15455939"/>
    <w:rsid w:val="155F1088"/>
    <w:rsid w:val="157306F8"/>
    <w:rsid w:val="157D3325"/>
    <w:rsid w:val="158346B4"/>
    <w:rsid w:val="1594241D"/>
    <w:rsid w:val="15966195"/>
    <w:rsid w:val="15A07014"/>
    <w:rsid w:val="15A22D8C"/>
    <w:rsid w:val="15DE6568"/>
    <w:rsid w:val="15E038B4"/>
    <w:rsid w:val="15F5110D"/>
    <w:rsid w:val="16027CCE"/>
    <w:rsid w:val="16135A37"/>
    <w:rsid w:val="161A0B74"/>
    <w:rsid w:val="1663076D"/>
    <w:rsid w:val="167E14CE"/>
    <w:rsid w:val="168129A1"/>
    <w:rsid w:val="16F5338F"/>
    <w:rsid w:val="17183D89"/>
    <w:rsid w:val="171B54CB"/>
    <w:rsid w:val="172A128B"/>
    <w:rsid w:val="174762AE"/>
    <w:rsid w:val="177D5D75"/>
    <w:rsid w:val="179B7A92"/>
    <w:rsid w:val="17B46DA6"/>
    <w:rsid w:val="17C3523B"/>
    <w:rsid w:val="17C76AD9"/>
    <w:rsid w:val="17FA7064"/>
    <w:rsid w:val="181A12FF"/>
    <w:rsid w:val="181F06C4"/>
    <w:rsid w:val="18664544"/>
    <w:rsid w:val="186B1B5B"/>
    <w:rsid w:val="189A41EE"/>
    <w:rsid w:val="19185113"/>
    <w:rsid w:val="19355CC5"/>
    <w:rsid w:val="196601DF"/>
    <w:rsid w:val="197113F3"/>
    <w:rsid w:val="19A5109C"/>
    <w:rsid w:val="19AA66B3"/>
    <w:rsid w:val="19AC5F87"/>
    <w:rsid w:val="19D454DE"/>
    <w:rsid w:val="19E82D37"/>
    <w:rsid w:val="19EE47F1"/>
    <w:rsid w:val="1A815666"/>
    <w:rsid w:val="1AD02149"/>
    <w:rsid w:val="1AD66850"/>
    <w:rsid w:val="1AD734D7"/>
    <w:rsid w:val="1AD7633E"/>
    <w:rsid w:val="1B7900EB"/>
    <w:rsid w:val="1B7927E1"/>
    <w:rsid w:val="1B9273FE"/>
    <w:rsid w:val="1BA07D6D"/>
    <w:rsid w:val="1BF754B3"/>
    <w:rsid w:val="1C033E58"/>
    <w:rsid w:val="1C617CDD"/>
    <w:rsid w:val="1C627CB7"/>
    <w:rsid w:val="1C7E2B99"/>
    <w:rsid w:val="1C7F5C76"/>
    <w:rsid w:val="1C880A5C"/>
    <w:rsid w:val="1C8B27CB"/>
    <w:rsid w:val="1C934C88"/>
    <w:rsid w:val="1C95325D"/>
    <w:rsid w:val="1CAC629E"/>
    <w:rsid w:val="1D0C4F8F"/>
    <w:rsid w:val="1D266050"/>
    <w:rsid w:val="1D3C5874"/>
    <w:rsid w:val="1D4110DC"/>
    <w:rsid w:val="1D876420"/>
    <w:rsid w:val="1D90796E"/>
    <w:rsid w:val="1DCC4072"/>
    <w:rsid w:val="1E236A34"/>
    <w:rsid w:val="1E426EBA"/>
    <w:rsid w:val="1E4531C0"/>
    <w:rsid w:val="1E636E30"/>
    <w:rsid w:val="1E676047"/>
    <w:rsid w:val="1E9D2342"/>
    <w:rsid w:val="1EBC17DE"/>
    <w:rsid w:val="1EDF0BAD"/>
    <w:rsid w:val="1EE6018D"/>
    <w:rsid w:val="1EF65EF6"/>
    <w:rsid w:val="1F244811"/>
    <w:rsid w:val="1F264A2D"/>
    <w:rsid w:val="1F3132C5"/>
    <w:rsid w:val="1F5C21FD"/>
    <w:rsid w:val="1F7C289F"/>
    <w:rsid w:val="1F861028"/>
    <w:rsid w:val="1F9279CD"/>
    <w:rsid w:val="1F9E45C4"/>
    <w:rsid w:val="1FDC4ACE"/>
    <w:rsid w:val="1FFE32B4"/>
    <w:rsid w:val="206E5CA6"/>
    <w:rsid w:val="20A21E92"/>
    <w:rsid w:val="20AA343C"/>
    <w:rsid w:val="20C92CE4"/>
    <w:rsid w:val="20DA787E"/>
    <w:rsid w:val="20E546AF"/>
    <w:rsid w:val="20F756A2"/>
    <w:rsid w:val="212B00D9"/>
    <w:rsid w:val="21354E15"/>
    <w:rsid w:val="2149055F"/>
    <w:rsid w:val="214E1EDC"/>
    <w:rsid w:val="21635AC5"/>
    <w:rsid w:val="216E6218"/>
    <w:rsid w:val="21AC56AA"/>
    <w:rsid w:val="21D7200F"/>
    <w:rsid w:val="21DC5877"/>
    <w:rsid w:val="22066450"/>
    <w:rsid w:val="228201CD"/>
    <w:rsid w:val="230C5CE8"/>
    <w:rsid w:val="231632C0"/>
    <w:rsid w:val="233624ED"/>
    <w:rsid w:val="236773C3"/>
    <w:rsid w:val="23810484"/>
    <w:rsid w:val="238D507B"/>
    <w:rsid w:val="23AE0B4E"/>
    <w:rsid w:val="23BB36C9"/>
    <w:rsid w:val="23EB7FF4"/>
    <w:rsid w:val="23FC2504"/>
    <w:rsid w:val="240510B5"/>
    <w:rsid w:val="241035B6"/>
    <w:rsid w:val="249C4E4A"/>
    <w:rsid w:val="24A501A2"/>
    <w:rsid w:val="24A51F50"/>
    <w:rsid w:val="24BE28DE"/>
    <w:rsid w:val="24D9609E"/>
    <w:rsid w:val="24EB1949"/>
    <w:rsid w:val="25154E9B"/>
    <w:rsid w:val="25186BC6"/>
    <w:rsid w:val="251B63C4"/>
    <w:rsid w:val="25254EE7"/>
    <w:rsid w:val="255319AC"/>
    <w:rsid w:val="257E711C"/>
    <w:rsid w:val="261F21D6"/>
    <w:rsid w:val="26413EFB"/>
    <w:rsid w:val="26437C73"/>
    <w:rsid w:val="26582702"/>
    <w:rsid w:val="266876DA"/>
    <w:rsid w:val="268169ED"/>
    <w:rsid w:val="26B66697"/>
    <w:rsid w:val="26C568DA"/>
    <w:rsid w:val="26D42324"/>
    <w:rsid w:val="26E31456"/>
    <w:rsid w:val="26F472C2"/>
    <w:rsid w:val="270E3C60"/>
    <w:rsid w:val="271565FB"/>
    <w:rsid w:val="27276414"/>
    <w:rsid w:val="272D23FD"/>
    <w:rsid w:val="2778394C"/>
    <w:rsid w:val="277F117F"/>
    <w:rsid w:val="27B16E5E"/>
    <w:rsid w:val="27B64475"/>
    <w:rsid w:val="27C2106B"/>
    <w:rsid w:val="28155EC4"/>
    <w:rsid w:val="28357A8F"/>
    <w:rsid w:val="283E175A"/>
    <w:rsid w:val="286D0FD7"/>
    <w:rsid w:val="28722A91"/>
    <w:rsid w:val="28790B13"/>
    <w:rsid w:val="287E1436"/>
    <w:rsid w:val="287E4F92"/>
    <w:rsid w:val="288162F3"/>
    <w:rsid w:val="28924EE2"/>
    <w:rsid w:val="28A40771"/>
    <w:rsid w:val="28CD7407"/>
    <w:rsid w:val="28DA4193"/>
    <w:rsid w:val="28F2772E"/>
    <w:rsid w:val="29133276"/>
    <w:rsid w:val="29437CEA"/>
    <w:rsid w:val="29791BFE"/>
    <w:rsid w:val="299802D6"/>
    <w:rsid w:val="29A30A29"/>
    <w:rsid w:val="29BA1F88"/>
    <w:rsid w:val="29CC7F7F"/>
    <w:rsid w:val="29E74DB9"/>
    <w:rsid w:val="29FD45DD"/>
    <w:rsid w:val="2A8202D3"/>
    <w:rsid w:val="2A88659C"/>
    <w:rsid w:val="2ADF3CE2"/>
    <w:rsid w:val="2AE31A25"/>
    <w:rsid w:val="2AE65071"/>
    <w:rsid w:val="2B6C7C6C"/>
    <w:rsid w:val="2B7F799F"/>
    <w:rsid w:val="2B801021"/>
    <w:rsid w:val="2B836D64"/>
    <w:rsid w:val="2B8A7B53"/>
    <w:rsid w:val="2BE55328"/>
    <w:rsid w:val="2C130187"/>
    <w:rsid w:val="2C153E60"/>
    <w:rsid w:val="2C73502A"/>
    <w:rsid w:val="2C840FE5"/>
    <w:rsid w:val="2C9C00DD"/>
    <w:rsid w:val="2CAE7EF9"/>
    <w:rsid w:val="2CB67A59"/>
    <w:rsid w:val="2CFC5020"/>
    <w:rsid w:val="2D040CB2"/>
    <w:rsid w:val="2D077B8B"/>
    <w:rsid w:val="2D0B1F79"/>
    <w:rsid w:val="2D19172E"/>
    <w:rsid w:val="2D4A7B39"/>
    <w:rsid w:val="2DF6381D"/>
    <w:rsid w:val="2E255EB0"/>
    <w:rsid w:val="2E2E0994"/>
    <w:rsid w:val="2E67296D"/>
    <w:rsid w:val="2E9D638E"/>
    <w:rsid w:val="2EC1530F"/>
    <w:rsid w:val="2EFA558F"/>
    <w:rsid w:val="2F261EE0"/>
    <w:rsid w:val="2F416D1A"/>
    <w:rsid w:val="2F656EAC"/>
    <w:rsid w:val="2F673CF2"/>
    <w:rsid w:val="2FA40E1B"/>
    <w:rsid w:val="2FC42A39"/>
    <w:rsid w:val="2FDEC219"/>
    <w:rsid w:val="2FE83639"/>
    <w:rsid w:val="2FFD0E93"/>
    <w:rsid w:val="30534F57"/>
    <w:rsid w:val="307153DD"/>
    <w:rsid w:val="308E5F8F"/>
    <w:rsid w:val="30D8545C"/>
    <w:rsid w:val="31442AF1"/>
    <w:rsid w:val="31673FB4"/>
    <w:rsid w:val="31693826"/>
    <w:rsid w:val="317C7E4A"/>
    <w:rsid w:val="31847CE6"/>
    <w:rsid w:val="31AD2FC7"/>
    <w:rsid w:val="31B9528D"/>
    <w:rsid w:val="31D71BB7"/>
    <w:rsid w:val="31D9148B"/>
    <w:rsid w:val="32211625"/>
    <w:rsid w:val="322A618B"/>
    <w:rsid w:val="32C0264B"/>
    <w:rsid w:val="32C0403C"/>
    <w:rsid w:val="32C51A10"/>
    <w:rsid w:val="330A08E1"/>
    <w:rsid w:val="336851BD"/>
    <w:rsid w:val="338F44F8"/>
    <w:rsid w:val="33915F8D"/>
    <w:rsid w:val="33A437AC"/>
    <w:rsid w:val="33A930DF"/>
    <w:rsid w:val="33CC6306"/>
    <w:rsid w:val="33EF3C9C"/>
    <w:rsid w:val="340133F1"/>
    <w:rsid w:val="34056568"/>
    <w:rsid w:val="342D5ABF"/>
    <w:rsid w:val="34361DE0"/>
    <w:rsid w:val="34473E4C"/>
    <w:rsid w:val="34A35D81"/>
    <w:rsid w:val="34BD5094"/>
    <w:rsid w:val="35040F15"/>
    <w:rsid w:val="35066A9E"/>
    <w:rsid w:val="350902DA"/>
    <w:rsid w:val="357040BA"/>
    <w:rsid w:val="357A11D7"/>
    <w:rsid w:val="359F2D89"/>
    <w:rsid w:val="35A324DC"/>
    <w:rsid w:val="35CD7559"/>
    <w:rsid w:val="35D95EFE"/>
    <w:rsid w:val="35DC59EE"/>
    <w:rsid w:val="35E9112E"/>
    <w:rsid w:val="35F2002A"/>
    <w:rsid w:val="36140CE4"/>
    <w:rsid w:val="361C403D"/>
    <w:rsid w:val="361E7DB5"/>
    <w:rsid w:val="362A49AB"/>
    <w:rsid w:val="364C66D0"/>
    <w:rsid w:val="365437D6"/>
    <w:rsid w:val="36617CA1"/>
    <w:rsid w:val="366854D4"/>
    <w:rsid w:val="367D0F7F"/>
    <w:rsid w:val="3698148D"/>
    <w:rsid w:val="36A06A1C"/>
    <w:rsid w:val="36A24542"/>
    <w:rsid w:val="36A4174F"/>
    <w:rsid w:val="36DA15FE"/>
    <w:rsid w:val="36EA7C97"/>
    <w:rsid w:val="37054D01"/>
    <w:rsid w:val="37164F30"/>
    <w:rsid w:val="371A67CE"/>
    <w:rsid w:val="373C3FAA"/>
    <w:rsid w:val="37993D91"/>
    <w:rsid w:val="37BB1111"/>
    <w:rsid w:val="37C46EC5"/>
    <w:rsid w:val="37C60704"/>
    <w:rsid w:val="37D86DCA"/>
    <w:rsid w:val="37FE6466"/>
    <w:rsid w:val="3801798E"/>
    <w:rsid w:val="38037262"/>
    <w:rsid w:val="38194CD8"/>
    <w:rsid w:val="381B0A50"/>
    <w:rsid w:val="384D672F"/>
    <w:rsid w:val="38521F98"/>
    <w:rsid w:val="38EC7CF6"/>
    <w:rsid w:val="38F80D91"/>
    <w:rsid w:val="38FD5800"/>
    <w:rsid w:val="393618B9"/>
    <w:rsid w:val="393671C3"/>
    <w:rsid w:val="394C2E8B"/>
    <w:rsid w:val="39537D75"/>
    <w:rsid w:val="39677C2A"/>
    <w:rsid w:val="396E2E01"/>
    <w:rsid w:val="397321C6"/>
    <w:rsid w:val="3981182F"/>
    <w:rsid w:val="3A0D6176"/>
    <w:rsid w:val="3A175247"/>
    <w:rsid w:val="3A1F5EA9"/>
    <w:rsid w:val="3A345DF9"/>
    <w:rsid w:val="3A6F0BDF"/>
    <w:rsid w:val="3A7B6865"/>
    <w:rsid w:val="3A886145"/>
    <w:rsid w:val="3AA77126"/>
    <w:rsid w:val="3AB019A5"/>
    <w:rsid w:val="3ACC7DDF"/>
    <w:rsid w:val="3AF23FE5"/>
    <w:rsid w:val="3B041209"/>
    <w:rsid w:val="3B334302"/>
    <w:rsid w:val="3B7A5A8D"/>
    <w:rsid w:val="3C30439E"/>
    <w:rsid w:val="3C3C0F95"/>
    <w:rsid w:val="3C5C33E5"/>
    <w:rsid w:val="3C634773"/>
    <w:rsid w:val="3CCD7C2C"/>
    <w:rsid w:val="3CF03B2D"/>
    <w:rsid w:val="3CF4361D"/>
    <w:rsid w:val="3D0338BC"/>
    <w:rsid w:val="3D567E34"/>
    <w:rsid w:val="3D593EFF"/>
    <w:rsid w:val="3D5B17E6"/>
    <w:rsid w:val="3D9A49D8"/>
    <w:rsid w:val="3DB23128"/>
    <w:rsid w:val="3DE61CB8"/>
    <w:rsid w:val="3E09332D"/>
    <w:rsid w:val="3E0C26BC"/>
    <w:rsid w:val="3E171CB9"/>
    <w:rsid w:val="3E1E383C"/>
    <w:rsid w:val="3E3B4F36"/>
    <w:rsid w:val="3E410AE4"/>
    <w:rsid w:val="3E895FE7"/>
    <w:rsid w:val="3E8A55D3"/>
    <w:rsid w:val="3E927592"/>
    <w:rsid w:val="3EAB2402"/>
    <w:rsid w:val="3EE53B65"/>
    <w:rsid w:val="3F11495A"/>
    <w:rsid w:val="3F1F42CB"/>
    <w:rsid w:val="3F3F5454"/>
    <w:rsid w:val="3F4A39C9"/>
    <w:rsid w:val="3F5152BF"/>
    <w:rsid w:val="3FFF2A05"/>
    <w:rsid w:val="400022D9"/>
    <w:rsid w:val="40361A42"/>
    <w:rsid w:val="40453AA3"/>
    <w:rsid w:val="40493C80"/>
    <w:rsid w:val="407056B1"/>
    <w:rsid w:val="407C22A8"/>
    <w:rsid w:val="409C790E"/>
    <w:rsid w:val="40A755C3"/>
    <w:rsid w:val="40A9471F"/>
    <w:rsid w:val="40B25CC9"/>
    <w:rsid w:val="40BC26A4"/>
    <w:rsid w:val="40D0614F"/>
    <w:rsid w:val="40D6173F"/>
    <w:rsid w:val="40E13EB9"/>
    <w:rsid w:val="40E7476A"/>
    <w:rsid w:val="410127AD"/>
    <w:rsid w:val="41130E56"/>
    <w:rsid w:val="4151103E"/>
    <w:rsid w:val="4182569C"/>
    <w:rsid w:val="419D0727"/>
    <w:rsid w:val="41A1116B"/>
    <w:rsid w:val="41A575DC"/>
    <w:rsid w:val="41A74FDC"/>
    <w:rsid w:val="41AD023F"/>
    <w:rsid w:val="41DD28D2"/>
    <w:rsid w:val="41F61BE6"/>
    <w:rsid w:val="421C5C36"/>
    <w:rsid w:val="423544BC"/>
    <w:rsid w:val="42465792"/>
    <w:rsid w:val="4249440B"/>
    <w:rsid w:val="425F59DD"/>
    <w:rsid w:val="427A45C5"/>
    <w:rsid w:val="42A33B1C"/>
    <w:rsid w:val="433E38B3"/>
    <w:rsid w:val="433E4220"/>
    <w:rsid w:val="434C41B3"/>
    <w:rsid w:val="43761230"/>
    <w:rsid w:val="439711A6"/>
    <w:rsid w:val="43992A22"/>
    <w:rsid w:val="439E200E"/>
    <w:rsid w:val="43F0086A"/>
    <w:rsid w:val="43F42155"/>
    <w:rsid w:val="43FB6508"/>
    <w:rsid w:val="441F760B"/>
    <w:rsid w:val="44472BCC"/>
    <w:rsid w:val="444A4128"/>
    <w:rsid w:val="44580936"/>
    <w:rsid w:val="445D7CFA"/>
    <w:rsid w:val="446F0254"/>
    <w:rsid w:val="44B71B00"/>
    <w:rsid w:val="45036AF3"/>
    <w:rsid w:val="45244CBC"/>
    <w:rsid w:val="453A17FD"/>
    <w:rsid w:val="45533D78"/>
    <w:rsid w:val="455A06DD"/>
    <w:rsid w:val="4574179F"/>
    <w:rsid w:val="458319E2"/>
    <w:rsid w:val="45A51959"/>
    <w:rsid w:val="46160AA8"/>
    <w:rsid w:val="46222FA9"/>
    <w:rsid w:val="46385D4F"/>
    <w:rsid w:val="467D0334"/>
    <w:rsid w:val="46841EB6"/>
    <w:rsid w:val="46873754"/>
    <w:rsid w:val="46A61E2C"/>
    <w:rsid w:val="46AF0FD5"/>
    <w:rsid w:val="470E352E"/>
    <w:rsid w:val="47213261"/>
    <w:rsid w:val="47615D53"/>
    <w:rsid w:val="47621146"/>
    <w:rsid w:val="478B2DD0"/>
    <w:rsid w:val="47A13C33"/>
    <w:rsid w:val="47AA1CA0"/>
    <w:rsid w:val="47CA7D9C"/>
    <w:rsid w:val="48180B08"/>
    <w:rsid w:val="481A347D"/>
    <w:rsid w:val="48710218"/>
    <w:rsid w:val="487815A6"/>
    <w:rsid w:val="48A00AFD"/>
    <w:rsid w:val="48A9116E"/>
    <w:rsid w:val="48BA396D"/>
    <w:rsid w:val="48D55147"/>
    <w:rsid w:val="48E1539E"/>
    <w:rsid w:val="48EB621C"/>
    <w:rsid w:val="492215B4"/>
    <w:rsid w:val="492E435B"/>
    <w:rsid w:val="4947650C"/>
    <w:rsid w:val="494B6CBB"/>
    <w:rsid w:val="494F5D56"/>
    <w:rsid w:val="49AA4D34"/>
    <w:rsid w:val="49AD1724"/>
    <w:rsid w:val="49AF181E"/>
    <w:rsid w:val="49ED7D72"/>
    <w:rsid w:val="4A0155CC"/>
    <w:rsid w:val="4A0A6ACC"/>
    <w:rsid w:val="4A0D3F70"/>
    <w:rsid w:val="4A1E617D"/>
    <w:rsid w:val="4A69564B"/>
    <w:rsid w:val="4AE02AE7"/>
    <w:rsid w:val="4AE61C2A"/>
    <w:rsid w:val="4B221C9D"/>
    <w:rsid w:val="4B313C8F"/>
    <w:rsid w:val="4B5150CB"/>
    <w:rsid w:val="4B893ACB"/>
    <w:rsid w:val="4BAD1567"/>
    <w:rsid w:val="4BB23021"/>
    <w:rsid w:val="4BDF193C"/>
    <w:rsid w:val="4BF058F8"/>
    <w:rsid w:val="4BF30464"/>
    <w:rsid w:val="4BF827B4"/>
    <w:rsid w:val="4BFC429C"/>
    <w:rsid w:val="4C1C66ED"/>
    <w:rsid w:val="4C223D4C"/>
    <w:rsid w:val="4C3728D4"/>
    <w:rsid w:val="4C404189"/>
    <w:rsid w:val="4CF17B79"/>
    <w:rsid w:val="4D045777"/>
    <w:rsid w:val="4D485A3E"/>
    <w:rsid w:val="4D685FC5"/>
    <w:rsid w:val="4D9A394C"/>
    <w:rsid w:val="4DDE1EAC"/>
    <w:rsid w:val="4DF01BDF"/>
    <w:rsid w:val="4E2142A9"/>
    <w:rsid w:val="4E3A2460"/>
    <w:rsid w:val="4E6D1482"/>
    <w:rsid w:val="4E772300"/>
    <w:rsid w:val="4E775E5C"/>
    <w:rsid w:val="4E8841D7"/>
    <w:rsid w:val="4E8D38D2"/>
    <w:rsid w:val="4EA34EA3"/>
    <w:rsid w:val="4ED82D9F"/>
    <w:rsid w:val="4F021BCA"/>
    <w:rsid w:val="4F4F0B87"/>
    <w:rsid w:val="4F624D5E"/>
    <w:rsid w:val="4F6507F6"/>
    <w:rsid w:val="4F82240C"/>
    <w:rsid w:val="4FAC5D36"/>
    <w:rsid w:val="4FCC21D8"/>
    <w:rsid w:val="4FDE5BC3"/>
    <w:rsid w:val="503C735D"/>
    <w:rsid w:val="506F5D44"/>
    <w:rsid w:val="507408A5"/>
    <w:rsid w:val="508A1E77"/>
    <w:rsid w:val="508F3931"/>
    <w:rsid w:val="50C26DDB"/>
    <w:rsid w:val="50C8299F"/>
    <w:rsid w:val="50CA4969"/>
    <w:rsid w:val="50DD28EE"/>
    <w:rsid w:val="50F65CC2"/>
    <w:rsid w:val="50F6750C"/>
    <w:rsid w:val="510A120A"/>
    <w:rsid w:val="513A01AC"/>
    <w:rsid w:val="513B5867"/>
    <w:rsid w:val="516923D4"/>
    <w:rsid w:val="518834AF"/>
    <w:rsid w:val="5196484B"/>
    <w:rsid w:val="52036385"/>
    <w:rsid w:val="521A6BBB"/>
    <w:rsid w:val="52275008"/>
    <w:rsid w:val="522B58DB"/>
    <w:rsid w:val="523227C6"/>
    <w:rsid w:val="523A5B1F"/>
    <w:rsid w:val="52527BFD"/>
    <w:rsid w:val="527E021F"/>
    <w:rsid w:val="528228A0"/>
    <w:rsid w:val="52A325D2"/>
    <w:rsid w:val="52A76E50"/>
    <w:rsid w:val="52CD6E01"/>
    <w:rsid w:val="52F62C19"/>
    <w:rsid w:val="53052687"/>
    <w:rsid w:val="53124896"/>
    <w:rsid w:val="53226CDE"/>
    <w:rsid w:val="532313DB"/>
    <w:rsid w:val="532365B3"/>
    <w:rsid w:val="532E3DA7"/>
    <w:rsid w:val="5358625C"/>
    <w:rsid w:val="53682217"/>
    <w:rsid w:val="536F35A6"/>
    <w:rsid w:val="537A08C9"/>
    <w:rsid w:val="53D55AFF"/>
    <w:rsid w:val="53DD2982"/>
    <w:rsid w:val="53E53868"/>
    <w:rsid w:val="544404FE"/>
    <w:rsid w:val="54482775"/>
    <w:rsid w:val="546C31CD"/>
    <w:rsid w:val="54B43966"/>
    <w:rsid w:val="54BA4CF5"/>
    <w:rsid w:val="54C16083"/>
    <w:rsid w:val="54FC70BB"/>
    <w:rsid w:val="550A5C7C"/>
    <w:rsid w:val="550E59EB"/>
    <w:rsid w:val="55366A71"/>
    <w:rsid w:val="55434CEA"/>
    <w:rsid w:val="55524F2D"/>
    <w:rsid w:val="55594A14"/>
    <w:rsid w:val="5563538C"/>
    <w:rsid w:val="55760C1C"/>
    <w:rsid w:val="557E3F74"/>
    <w:rsid w:val="55985036"/>
    <w:rsid w:val="55A03EEB"/>
    <w:rsid w:val="55A21A11"/>
    <w:rsid w:val="55B00C6D"/>
    <w:rsid w:val="55D639F2"/>
    <w:rsid w:val="55FB55C5"/>
    <w:rsid w:val="562543F0"/>
    <w:rsid w:val="563D3E2F"/>
    <w:rsid w:val="564D62CF"/>
    <w:rsid w:val="569A4DDE"/>
    <w:rsid w:val="56C1680E"/>
    <w:rsid w:val="56E10C5F"/>
    <w:rsid w:val="57213F32"/>
    <w:rsid w:val="572A43B4"/>
    <w:rsid w:val="572D7A00"/>
    <w:rsid w:val="57302361"/>
    <w:rsid w:val="57376AD1"/>
    <w:rsid w:val="57452F9B"/>
    <w:rsid w:val="57763155"/>
    <w:rsid w:val="57C540DC"/>
    <w:rsid w:val="57D04F5B"/>
    <w:rsid w:val="57DD7962"/>
    <w:rsid w:val="57DF1FEC"/>
    <w:rsid w:val="5886561A"/>
    <w:rsid w:val="588A72E6"/>
    <w:rsid w:val="589E6E07"/>
    <w:rsid w:val="58A75590"/>
    <w:rsid w:val="58A837E2"/>
    <w:rsid w:val="58D33E46"/>
    <w:rsid w:val="59155526"/>
    <w:rsid w:val="596361E3"/>
    <w:rsid w:val="59676C13"/>
    <w:rsid w:val="59814033"/>
    <w:rsid w:val="59BB4FC6"/>
    <w:rsid w:val="59D077F0"/>
    <w:rsid w:val="59DA38E2"/>
    <w:rsid w:val="59DE27EA"/>
    <w:rsid w:val="5A427C66"/>
    <w:rsid w:val="5A5D05FC"/>
    <w:rsid w:val="5AAE2C06"/>
    <w:rsid w:val="5AE91E90"/>
    <w:rsid w:val="5AF62D70"/>
    <w:rsid w:val="5B182775"/>
    <w:rsid w:val="5B3A093D"/>
    <w:rsid w:val="5B654746"/>
    <w:rsid w:val="5B94004E"/>
    <w:rsid w:val="5BC07095"/>
    <w:rsid w:val="5BD36F7D"/>
    <w:rsid w:val="5BDD7C46"/>
    <w:rsid w:val="5BF60D08"/>
    <w:rsid w:val="5C02145B"/>
    <w:rsid w:val="5C084598"/>
    <w:rsid w:val="5C0B49A2"/>
    <w:rsid w:val="5C266BE1"/>
    <w:rsid w:val="5C5D086E"/>
    <w:rsid w:val="5C64301A"/>
    <w:rsid w:val="5C644906"/>
    <w:rsid w:val="5C7A5495"/>
    <w:rsid w:val="5CB337F7"/>
    <w:rsid w:val="5D0B2591"/>
    <w:rsid w:val="5D153410"/>
    <w:rsid w:val="5D4B0BE0"/>
    <w:rsid w:val="5D5757D7"/>
    <w:rsid w:val="5D77123A"/>
    <w:rsid w:val="5D83481E"/>
    <w:rsid w:val="5DC50992"/>
    <w:rsid w:val="5DCF1811"/>
    <w:rsid w:val="5DEC23C3"/>
    <w:rsid w:val="5DF0765F"/>
    <w:rsid w:val="5E190CDE"/>
    <w:rsid w:val="5E345B18"/>
    <w:rsid w:val="5E361890"/>
    <w:rsid w:val="5E380B6F"/>
    <w:rsid w:val="5E5210E8"/>
    <w:rsid w:val="5E820631"/>
    <w:rsid w:val="5E9033B3"/>
    <w:rsid w:val="5E9D546B"/>
    <w:rsid w:val="5EA20CD3"/>
    <w:rsid w:val="5EC035FD"/>
    <w:rsid w:val="5F1B5515"/>
    <w:rsid w:val="5F1F40D2"/>
    <w:rsid w:val="5F2F6A62"/>
    <w:rsid w:val="5F41673E"/>
    <w:rsid w:val="5F447FDD"/>
    <w:rsid w:val="5F5A1079"/>
    <w:rsid w:val="5FBA204D"/>
    <w:rsid w:val="5FD7BC09"/>
    <w:rsid w:val="5FE9222B"/>
    <w:rsid w:val="6007588F"/>
    <w:rsid w:val="604C539B"/>
    <w:rsid w:val="6051475F"/>
    <w:rsid w:val="607641C6"/>
    <w:rsid w:val="609028F6"/>
    <w:rsid w:val="60BA67A8"/>
    <w:rsid w:val="60CC2038"/>
    <w:rsid w:val="60FD6695"/>
    <w:rsid w:val="61135EB8"/>
    <w:rsid w:val="6138147B"/>
    <w:rsid w:val="617D3332"/>
    <w:rsid w:val="619012B7"/>
    <w:rsid w:val="61903065"/>
    <w:rsid w:val="61AF4795"/>
    <w:rsid w:val="61C471B3"/>
    <w:rsid w:val="61F7494E"/>
    <w:rsid w:val="61FC27B9"/>
    <w:rsid w:val="61FF2D16"/>
    <w:rsid w:val="62103631"/>
    <w:rsid w:val="62436329"/>
    <w:rsid w:val="62603A22"/>
    <w:rsid w:val="626D784A"/>
    <w:rsid w:val="627E55B4"/>
    <w:rsid w:val="628A4727"/>
    <w:rsid w:val="62AF7E63"/>
    <w:rsid w:val="62CA07F9"/>
    <w:rsid w:val="62D358FF"/>
    <w:rsid w:val="62E96ED1"/>
    <w:rsid w:val="62EE2739"/>
    <w:rsid w:val="630006BE"/>
    <w:rsid w:val="631D301E"/>
    <w:rsid w:val="632417F9"/>
    <w:rsid w:val="63497970"/>
    <w:rsid w:val="636B3D8A"/>
    <w:rsid w:val="63754E3A"/>
    <w:rsid w:val="63CA038D"/>
    <w:rsid w:val="64373C6C"/>
    <w:rsid w:val="643C5726"/>
    <w:rsid w:val="643C74D4"/>
    <w:rsid w:val="64542A70"/>
    <w:rsid w:val="6456382D"/>
    <w:rsid w:val="645962D8"/>
    <w:rsid w:val="64601415"/>
    <w:rsid w:val="64A15589"/>
    <w:rsid w:val="64AD299F"/>
    <w:rsid w:val="650A5824"/>
    <w:rsid w:val="651144BD"/>
    <w:rsid w:val="65302F12"/>
    <w:rsid w:val="65515201"/>
    <w:rsid w:val="65B917A9"/>
    <w:rsid w:val="65C6174B"/>
    <w:rsid w:val="65DA51F7"/>
    <w:rsid w:val="65FC33BF"/>
    <w:rsid w:val="66091638"/>
    <w:rsid w:val="660C68DC"/>
    <w:rsid w:val="66846F11"/>
    <w:rsid w:val="669D4347"/>
    <w:rsid w:val="66B94E0C"/>
    <w:rsid w:val="66D24120"/>
    <w:rsid w:val="66E520A5"/>
    <w:rsid w:val="66EA1469"/>
    <w:rsid w:val="670F2C7E"/>
    <w:rsid w:val="672F3320"/>
    <w:rsid w:val="67344FE3"/>
    <w:rsid w:val="674566A0"/>
    <w:rsid w:val="67BB026E"/>
    <w:rsid w:val="67DA328C"/>
    <w:rsid w:val="67F85E08"/>
    <w:rsid w:val="67F87BB6"/>
    <w:rsid w:val="67FA7EAE"/>
    <w:rsid w:val="682E35D8"/>
    <w:rsid w:val="683C3F47"/>
    <w:rsid w:val="689948DA"/>
    <w:rsid w:val="68A4471F"/>
    <w:rsid w:val="68A613C0"/>
    <w:rsid w:val="690A5DF3"/>
    <w:rsid w:val="69230C63"/>
    <w:rsid w:val="69232A11"/>
    <w:rsid w:val="692C7B17"/>
    <w:rsid w:val="693C6A86"/>
    <w:rsid w:val="693E728A"/>
    <w:rsid w:val="69967687"/>
    <w:rsid w:val="69981651"/>
    <w:rsid w:val="69E44896"/>
    <w:rsid w:val="69EE1271"/>
    <w:rsid w:val="69F30CDE"/>
    <w:rsid w:val="69FD2062"/>
    <w:rsid w:val="6A1011E7"/>
    <w:rsid w:val="6A4B3BD4"/>
    <w:rsid w:val="6A5C267E"/>
    <w:rsid w:val="6A95793E"/>
    <w:rsid w:val="6A9C2A7B"/>
    <w:rsid w:val="6AA14535"/>
    <w:rsid w:val="6ABE50E7"/>
    <w:rsid w:val="6ABF5687"/>
    <w:rsid w:val="6AC10733"/>
    <w:rsid w:val="6AC67AF8"/>
    <w:rsid w:val="6AC83870"/>
    <w:rsid w:val="6AD14E1A"/>
    <w:rsid w:val="6ADE3093"/>
    <w:rsid w:val="6AF40B09"/>
    <w:rsid w:val="6B8005EE"/>
    <w:rsid w:val="6BA0061E"/>
    <w:rsid w:val="6BA442DD"/>
    <w:rsid w:val="6BB34520"/>
    <w:rsid w:val="6BD149A6"/>
    <w:rsid w:val="6BF264C0"/>
    <w:rsid w:val="6BF80185"/>
    <w:rsid w:val="6C264CF2"/>
    <w:rsid w:val="6C4C04D0"/>
    <w:rsid w:val="6C6E6699"/>
    <w:rsid w:val="6CA200F0"/>
    <w:rsid w:val="6CB9632D"/>
    <w:rsid w:val="6CDE737B"/>
    <w:rsid w:val="6D0D6F60"/>
    <w:rsid w:val="6D173406"/>
    <w:rsid w:val="6D27377E"/>
    <w:rsid w:val="6D2B2A93"/>
    <w:rsid w:val="6D2C4E7B"/>
    <w:rsid w:val="6D3B2A1F"/>
    <w:rsid w:val="6D54588F"/>
    <w:rsid w:val="6D885538"/>
    <w:rsid w:val="6D9A57E6"/>
    <w:rsid w:val="6DA00AD4"/>
    <w:rsid w:val="6DA34120"/>
    <w:rsid w:val="6DAD4F9F"/>
    <w:rsid w:val="6DBF41EA"/>
    <w:rsid w:val="6DCB7F8B"/>
    <w:rsid w:val="6DCE3893"/>
    <w:rsid w:val="6DD8026E"/>
    <w:rsid w:val="6DF66946"/>
    <w:rsid w:val="6DFE57FA"/>
    <w:rsid w:val="6E070103"/>
    <w:rsid w:val="6E264031"/>
    <w:rsid w:val="6E274D51"/>
    <w:rsid w:val="6E66587A"/>
    <w:rsid w:val="6E70494A"/>
    <w:rsid w:val="6E753D0F"/>
    <w:rsid w:val="6E9D3265"/>
    <w:rsid w:val="6EB00BA3"/>
    <w:rsid w:val="6EB32A89"/>
    <w:rsid w:val="6EBE56B6"/>
    <w:rsid w:val="6EC151A6"/>
    <w:rsid w:val="6EF94940"/>
    <w:rsid w:val="6F210D81"/>
    <w:rsid w:val="6F23376B"/>
    <w:rsid w:val="6F2950A2"/>
    <w:rsid w:val="6F321C00"/>
    <w:rsid w:val="6F481423"/>
    <w:rsid w:val="6F631DB9"/>
    <w:rsid w:val="6F7F38A7"/>
    <w:rsid w:val="6FB16FC8"/>
    <w:rsid w:val="6FC30AAA"/>
    <w:rsid w:val="70180DF5"/>
    <w:rsid w:val="70291255"/>
    <w:rsid w:val="707F70C6"/>
    <w:rsid w:val="70A24B63"/>
    <w:rsid w:val="70DE72C4"/>
    <w:rsid w:val="70E21403"/>
    <w:rsid w:val="70FE5BF1"/>
    <w:rsid w:val="71226CCC"/>
    <w:rsid w:val="71314ABF"/>
    <w:rsid w:val="713C1B02"/>
    <w:rsid w:val="71424C8B"/>
    <w:rsid w:val="71520337"/>
    <w:rsid w:val="71566079"/>
    <w:rsid w:val="7177582B"/>
    <w:rsid w:val="71947138"/>
    <w:rsid w:val="71C9409B"/>
    <w:rsid w:val="71D60F68"/>
    <w:rsid w:val="7220004A"/>
    <w:rsid w:val="722E4900"/>
    <w:rsid w:val="72930C07"/>
    <w:rsid w:val="72966949"/>
    <w:rsid w:val="72AA7CFF"/>
    <w:rsid w:val="72BF37AA"/>
    <w:rsid w:val="72C708B1"/>
    <w:rsid w:val="73092C77"/>
    <w:rsid w:val="7315786E"/>
    <w:rsid w:val="732E66F5"/>
    <w:rsid w:val="73661E78"/>
    <w:rsid w:val="736F20D3"/>
    <w:rsid w:val="737F2F3A"/>
    <w:rsid w:val="73CB617F"/>
    <w:rsid w:val="73E3171A"/>
    <w:rsid w:val="740470C0"/>
    <w:rsid w:val="741144D9"/>
    <w:rsid w:val="74147B26"/>
    <w:rsid w:val="741866D1"/>
    <w:rsid w:val="741A35F5"/>
    <w:rsid w:val="745A5011"/>
    <w:rsid w:val="746C6769"/>
    <w:rsid w:val="74936C9D"/>
    <w:rsid w:val="749A44CF"/>
    <w:rsid w:val="74D01105"/>
    <w:rsid w:val="74E4574A"/>
    <w:rsid w:val="75051D90"/>
    <w:rsid w:val="753D4E5A"/>
    <w:rsid w:val="756D573F"/>
    <w:rsid w:val="75B72E5F"/>
    <w:rsid w:val="75DF5F11"/>
    <w:rsid w:val="75E43528"/>
    <w:rsid w:val="760F726D"/>
    <w:rsid w:val="7621571B"/>
    <w:rsid w:val="7647341C"/>
    <w:rsid w:val="765C7B0B"/>
    <w:rsid w:val="767D7C04"/>
    <w:rsid w:val="76A661E1"/>
    <w:rsid w:val="76AF2641"/>
    <w:rsid w:val="76F81981"/>
    <w:rsid w:val="77147E3D"/>
    <w:rsid w:val="7718792D"/>
    <w:rsid w:val="77197D0F"/>
    <w:rsid w:val="771A5453"/>
    <w:rsid w:val="77204A34"/>
    <w:rsid w:val="775A067D"/>
    <w:rsid w:val="77617526"/>
    <w:rsid w:val="778E4093"/>
    <w:rsid w:val="7798281C"/>
    <w:rsid w:val="780B7492"/>
    <w:rsid w:val="7814559E"/>
    <w:rsid w:val="7851759A"/>
    <w:rsid w:val="787F0278"/>
    <w:rsid w:val="78CD4747"/>
    <w:rsid w:val="78EE303B"/>
    <w:rsid w:val="78F82DB7"/>
    <w:rsid w:val="7913273D"/>
    <w:rsid w:val="791A3E30"/>
    <w:rsid w:val="792C23BF"/>
    <w:rsid w:val="79553485"/>
    <w:rsid w:val="796E6FE2"/>
    <w:rsid w:val="79795F5A"/>
    <w:rsid w:val="79B25E17"/>
    <w:rsid w:val="79BF22E2"/>
    <w:rsid w:val="79DD0C01"/>
    <w:rsid w:val="7A205476"/>
    <w:rsid w:val="7A90250C"/>
    <w:rsid w:val="7A965738"/>
    <w:rsid w:val="7AA15E8B"/>
    <w:rsid w:val="7B007056"/>
    <w:rsid w:val="7B297C5E"/>
    <w:rsid w:val="7B2E771F"/>
    <w:rsid w:val="7B494559"/>
    <w:rsid w:val="7B51165F"/>
    <w:rsid w:val="7B66335D"/>
    <w:rsid w:val="7B8E0572"/>
    <w:rsid w:val="7BBF341C"/>
    <w:rsid w:val="7BCE2CB0"/>
    <w:rsid w:val="7BD04C7A"/>
    <w:rsid w:val="7BF22E42"/>
    <w:rsid w:val="7C09018C"/>
    <w:rsid w:val="7C156B31"/>
    <w:rsid w:val="7C1903CF"/>
    <w:rsid w:val="7C264C01"/>
    <w:rsid w:val="7C336FB7"/>
    <w:rsid w:val="7C422A56"/>
    <w:rsid w:val="7C6B72F1"/>
    <w:rsid w:val="7C920181"/>
    <w:rsid w:val="7CD82038"/>
    <w:rsid w:val="7D1666BD"/>
    <w:rsid w:val="7D37324E"/>
    <w:rsid w:val="7D731D61"/>
    <w:rsid w:val="7D761851"/>
    <w:rsid w:val="7DE51B8A"/>
    <w:rsid w:val="7DFF35F5"/>
    <w:rsid w:val="7E123328"/>
    <w:rsid w:val="7E244E09"/>
    <w:rsid w:val="7E4E1E86"/>
    <w:rsid w:val="7E6047D1"/>
    <w:rsid w:val="7E6552B9"/>
    <w:rsid w:val="7E7F0292"/>
    <w:rsid w:val="7E80214A"/>
    <w:rsid w:val="7E837D82"/>
    <w:rsid w:val="7E930337"/>
    <w:rsid w:val="7E9D3AAE"/>
    <w:rsid w:val="7E9E696A"/>
    <w:rsid w:val="7EDC1B88"/>
    <w:rsid w:val="7EED5205"/>
    <w:rsid w:val="7F1036A5"/>
    <w:rsid w:val="7F475253"/>
    <w:rsid w:val="7F565496"/>
    <w:rsid w:val="7FA51748"/>
    <w:rsid w:val="7FDF723A"/>
    <w:rsid w:val="EFB3A70F"/>
    <w:rsid w:val="FFB9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spacing w:before="120" w:line="300" w:lineRule="auto"/>
      <w:jc w:val="center"/>
      <w:outlineLvl w:val="1"/>
    </w:pPr>
    <w:rPr>
      <w:rFonts w:eastAsia="黑体"/>
      <w:b/>
      <w:sz w:val="30"/>
      <w:szCs w:val="20"/>
    </w:rPr>
  </w:style>
  <w:style w:type="paragraph" w:styleId="4">
    <w:name w:val="heading 3"/>
    <w:basedOn w:val="1"/>
    <w:next w:val="1"/>
    <w:autoRedefine/>
    <w:qFormat/>
    <w:uiPriority w:val="0"/>
    <w:pPr>
      <w:keepNext/>
      <w:keepLines/>
      <w:spacing w:before="360" w:after="120"/>
      <w:outlineLvl w:val="2"/>
    </w:pPr>
    <w:rPr>
      <w:rFonts w:ascii="宋体"/>
      <w:b/>
      <w:sz w:val="24"/>
      <w:szCs w:val="20"/>
      <w:u w:val="single"/>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rFonts w:ascii="宋体"/>
      <w:sz w:val="24"/>
      <w:szCs w:val="20"/>
    </w:rPr>
  </w:style>
  <w:style w:type="paragraph" w:styleId="6">
    <w:name w:val="toa heading"/>
    <w:basedOn w:val="1"/>
    <w:next w:val="1"/>
    <w:autoRedefine/>
    <w:qFormat/>
    <w:uiPriority w:val="0"/>
    <w:pPr>
      <w:spacing w:before="120"/>
    </w:pPr>
    <w:rPr>
      <w:rFonts w:ascii="Cambria" w:hAnsi="Cambria"/>
      <w:sz w:val="24"/>
    </w:rPr>
  </w:style>
  <w:style w:type="paragraph" w:styleId="7">
    <w:name w:val="index 5"/>
    <w:basedOn w:val="1"/>
    <w:next w:val="1"/>
    <w:autoRedefine/>
    <w:semiHidden/>
    <w:qFormat/>
    <w:uiPriority w:val="0"/>
    <w:pPr>
      <w:ind w:left="800" w:leftChars="800"/>
    </w:pPr>
    <w:rPr>
      <w:rFonts w:eastAsia="宋体"/>
      <w:szCs w:val="24"/>
    </w:rPr>
  </w:style>
  <w:style w:type="paragraph" w:styleId="8">
    <w:name w:val="Body Text"/>
    <w:basedOn w:val="1"/>
    <w:next w:val="9"/>
    <w:autoRedefine/>
    <w:qFormat/>
    <w:uiPriority w:val="0"/>
    <w:rPr>
      <w:rFonts w:ascii="宋体" w:hAnsi="宋体" w:eastAsia="宋体" w:cs="宋体"/>
      <w:sz w:val="41"/>
      <w:szCs w:val="41"/>
    </w:rPr>
  </w:style>
  <w:style w:type="paragraph" w:styleId="9">
    <w:name w:val="Body Text First Indent"/>
    <w:basedOn w:val="8"/>
    <w:next w:val="1"/>
    <w:autoRedefine/>
    <w:qFormat/>
    <w:uiPriority w:val="0"/>
    <w:pPr>
      <w:tabs>
        <w:tab w:val="left" w:pos="567"/>
      </w:tabs>
      <w:spacing w:line="312" w:lineRule="auto"/>
      <w:ind w:firstLine="420" w:firstLineChars="100"/>
    </w:pPr>
    <w:rPr>
      <w:rFonts w:hint="eastAsia" w:ascii="微软雅黑" w:hAnsi="微软雅黑" w:eastAsia="微软雅黑" w:cs="微软雅黑"/>
      <w:szCs w:val="21"/>
    </w:rPr>
  </w:style>
  <w:style w:type="paragraph" w:styleId="10">
    <w:name w:val="Body Text Indent"/>
    <w:basedOn w:val="1"/>
    <w:autoRedefine/>
    <w:qFormat/>
    <w:uiPriority w:val="0"/>
    <w:pPr>
      <w:spacing w:line="360" w:lineRule="auto"/>
      <w:ind w:firstLine="570"/>
    </w:pPr>
    <w:rPr>
      <w:sz w:val="24"/>
    </w:rPr>
  </w:style>
  <w:style w:type="paragraph" w:styleId="11">
    <w:name w:val="toc 3"/>
    <w:basedOn w:val="1"/>
    <w:next w:val="1"/>
    <w:autoRedefine/>
    <w:qFormat/>
    <w:uiPriority w:val="39"/>
    <w:pPr>
      <w:tabs>
        <w:tab w:val="left" w:pos="1260"/>
        <w:tab w:val="right" w:leader="dot" w:pos="8630"/>
      </w:tabs>
      <w:ind w:left="840" w:leftChars="400"/>
    </w:pPr>
  </w:style>
  <w:style w:type="paragraph" w:styleId="12">
    <w:name w:val="Plain Text"/>
    <w:basedOn w:val="1"/>
    <w:next w:val="13"/>
    <w:autoRedefine/>
    <w:qFormat/>
    <w:uiPriority w:val="0"/>
    <w:rPr>
      <w:rFonts w:ascii="宋体" w:hAnsi="Courier New"/>
      <w:szCs w:val="20"/>
    </w:rPr>
  </w:style>
  <w:style w:type="paragraph" w:styleId="13">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4">
    <w:name w:val="footer"/>
    <w:basedOn w:val="1"/>
    <w:autoRedefine/>
    <w:qFormat/>
    <w:uiPriority w:val="0"/>
    <w:pPr>
      <w:tabs>
        <w:tab w:val="center" w:pos="4153"/>
        <w:tab w:val="right" w:pos="8306"/>
      </w:tabs>
    </w:pPr>
    <w:rPr>
      <w:rFonts w:ascii="宋体"/>
      <w:sz w:val="18"/>
      <w:szCs w:val="20"/>
    </w:rPr>
  </w:style>
  <w:style w:type="paragraph" w:styleId="15">
    <w:name w:val="header"/>
    <w:basedOn w:val="1"/>
    <w:autoRedefine/>
    <w:qFormat/>
    <w:uiPriority w:val="0"/>
    <w:pPr>
      <w:pBdr>
        <w:bottom w:val="single" w:color="000000" w:sz="6" w:space="1"/>
      </w:pBdr>
      <w:tabs>
        <w:tab w:val="center" w:pos="4153"/>
        <w:tab w:val="right" w:pos="8306"/>
      </w:tabs>
      <w:jc w:val="center"/>
    </w:pPr>
    <w:rPr>
      <w:sz w:val="18"/>
      <w:szCs w:val="18"/>
    </w:rPr>
  </w:style>
  <w:style w:type="paragraph" w:styleId="16">
    <w:name w:val="toc 1"/>
    <w:basedOn w:val="1"/>
    <w:next w:val="1"/>
    <w:autoRedefine/>
    <w:qFormat/>
    <w:uiPriority w:val="39"/>
  </w:style>
  <w:style w:type="paragraph" w:styleId="17">
    <w:name w:val="footnote text"/>
    <w:basedOn w:val="1"/>
    <w:next w:val="8"/>
    <w:autoRedefine/>
    <w:qFormat/>
    <w:uiPriority w:val="0"/>
    <w:rPr>
      <w:sz w:val="18"/>
    </w:rPr>
  </w:style>
  <w:style w:type="paragraph" w:styleId="18">
    <w:name w:val="Body Text Indent 3"/>
    <w:basedOn w:val="1"/>
    <w:next w:val="1"/>
    <w:autoRedefine/>
    <w:qFormat/>
    <w:uiPriority w:val="0"/>
    <w:pPr>
      <w:spacing w:before="120" w:line="22" w:lineRule="atLeast"/>
      <w:ind w:left="720" w:firstLine="480"/>
    </w:pPr>
    <w:rPr>
      <w:rFonts w:ascii="宋体"/>
      <w:sz w:val="24"/>
      <w:szCs w:val="20"/>
    </w:rPr>
  </w:style>
  <w:style w:type="paragraph" w:styleId="19">
    <w:name w:val="toc 2"/>
    <w:basedOn w:val="1"/>
    <w:next w:val="1"/>
    <w:autoRedefine/>
    <w:qFormat/>
    <w:uiPriority w:val="39"/>
    <w:pPr>
      <w:ind w:left="420" w:leftChars="200"/>
    </w:pPr>
  </w:style>
  <w:style w:type="paragraph" w:styleId="20">
    <w:name w:val="Body Text 2"/>
    <w:basedOn w:val="1"/>
    <w:link w:val="43"/>
    <w:autoRedefine/>
    <w:qFormat/>
    <w:uiPriority w:val="0"/>
    <w:pPr>
      <w:widowControl w:val="0"/>
      <w:kinsoku/>
      <w:autoSpaceDE/>
      <w:autoSpaceDN/>
      <w:adjustRightInd/>
      <w:snapToGrid/>
      <w:spacing w:after="120" w:line="480" w:lineRule="auto"/>
      <w:jc w:val="both"/>
      <w:textAlignment w:val="auto"/>
    </w:pPr>
    <w:rPr>
      <w:rFonts w:asciiTheme="minorHAnsi" w:hAnsiTheme="minorHAnsi" w:eastAsiaTheme="minorEastAsia" w:cstheme="minorBidi"/>
      <w:snapToGrid/>
      <w:color w:val="auto"/>
      <w:kern w:val="2"/>
      <w:szCs w:val="24"/>
      <w:lang w:eastAsia="zh-CN"/>
    </w:rPr>
  </w:style>
  <w:style w:type="paragraph" w:styleId="21">
    <w:name w:val="Normal (Web)"/>
    <w:basedOn w:val="1"/>
    <w:autoRedefine/>
    <w:qFormat/>
    <w:uiPriority w:val="0"/>
    <w:pPr>
      <w:spacing w:before="100" w:beforeAutospacing="1" w:after="100" w:afterAutospacing="1"/>
    </w:pPr>
    <w:rPr>
      <w:sz w:val="24"/>
    </w:rPr>
  </w:style>
  <w:style w:type="paragraph" w:styleId="22">
    <w:name w:val="Body Text First Indent 2"/>
    <w:basedOn w:val="10"/>
    <w:autoRedefine/>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autoRedefine/>
    <w:qFormat/>
    <w:uiPriority w:val="0"/>
    <w:rPr>
      <w:b/>
    </w:rPr>
  </w:style>
  <w:style w:type="character" w:styleId="27">
    <w:name w:val="Hyperlink"/>
    <w:autoRedefine/>
    <w:qFormat/>
    <w:uiPriority w:val="99"/>
    <w:rPr>
      <w:color w:val="0000FF"/>
      <w:u w:val="single"/>
    </w:rPr>
  </w:style>
  <w:style w:type="character" w:customStyle="1" w:styleId="28">
    <w:name w:val="NormalCharacter"/>
    <w:autoRedefine/>
    <w:semiHidden/>
    <w:qFormat/>
    <w:uiPriority w:val="0"/>
  </w:style>
  <w:style w:type="paragraph" w:customStyle="1" w:styleId="29">
    <w:name w:val="FootnoteText"/>
    <w:basedOn w:val="1"/>
    <w:autoRedefine/>
    <w:qFormat/>
    <w:uiPriority w:val="0"/>
    <w:rPr>
      <w:sz w:val="18"/>
    </w:rPr>
  </w:style>
  <w:style w:type="paragraph" w:customStyle="1" w:styleId="30">
    <w:name w:val="Heading2"/>
    <w:basedOn w:val="1"/>
    <w:next w:val="1"/>
    <w:autoRedefine/>
    <w:qFormat/>
    <w:uiPriority w:val="0"/>
    <w:pPr>
      <w:keepNext/>
      <w:keepLines/>
      <w:spacing w:before="120" w:line="300" w:lineRule="auto"/>
      <w:jc w:val="center"/>
    </w:pPr>
    <w:rPr>
      <w:rFonts w:eastAsia="黑体"/>
      <w:b/>
      <w:sz w:val="30"/>
      <w:szCs w:val="20"/>
    </w:rPr>
  </w:style>
  <w:style w:type="paragraph" w:customStyle="1" w:styleId="31">
    <w:name w:val="Heading1"/>
    <w:basedOn w:val="1"/>
    <w:next w:val="1"/>
    <w:autoRedefine/>
    <w:qFormat/>
    <w:uiPriority w:val="0"/>
    <w:pPr>
      <w:keepNext/>
      <w:keepLines/>
      <w:spacing w:before="240" w:after="120" w:line="300" w:lineRule="auto"/>
      <w:jc w:val="center"/>
    </w:pPr>
    <w:rPr>
      <w:rFonts w:ascii="宋体"/>
      <w:b/>
      <w:kern w:val="44"/>
      <w:sz w:val="32"/>
      <w:szCs w:val="20"/>
    </w:rPr>
  </w:style>
  <w:style w:type="paragraph" w:customStyle="1" w:styleId="32">
    <w:name w:val="Table Text"/>
    <w:basedOn w:val="1"/>
    <w:autoRedefine/>
    <w:semiHidden/>
    <w:qFormat/>
    <w:uiPriority w:val="0"/>
  </w:style>
  <w:style w:type="paragraph" w:styleId="33">
    <w:name w:val="List Paragraph"/>
    <w:basedOn w:val="1"/>
    <w:autoRedefine/>
    <w:qFormat/>
    <w:uiPriority w:val="34"/>
    <w:pPr>
      <w:ind w:firstLine="420" w:firstLineChars="200"/>
    </w:pPr>
  </w:style>
  <w:style w:type="paragraph" w:customStyle="1" w:styleId="34">
    <w:name w:val="默认 A"/>
    <w:autoRedefine/>
    <w:qFormat/>
    <w:uiPriority w:val="0"/>
    <w:pPr>
      <w:framePr w:wrap="around" w:vAnchor="margin" w:hAnchor="text" w:y="1"/>
    </w:pPr>
    <w:rPr>
      <w:rFonts w:ascii="Arial Unicode MS" w:hAnsi="Arial Unicode MS" w:eastAsia="Arial Unicode MS" w:cs="Arial Unicode MS"/>
      <w:color w:val="000000"/>
      <w:sz w:val="22"/>
      <w:szCs w:val="22"/>
      <w:lang w:val="zh-TW" w:eastAsia="zh-TW" w:bidi="ar-SA"/>
    </w:rPr>
  </w:style>
  <w:style w:type="paragraph" w:customStyle="1" w:styleId="35">
    <w:name w:val="列出段落1"/>
    <w:basedOn w:val="1"/>
    <w:autoRedefine/>
    <w:qFormat/>
    <w:uiPriority w:val="0"/>
    <w:pPr>
      <w:ind w:firstLine="420" w:firstLineChars="200"/>
    </w:pPr>
    <w:rPr>
      <w:sz w:val="24"/>
      <w:szCs w:val="20"/>
    </w:rPr>
  </w:style>
  <w:style w:type="paragraph" w:customStyle="1" w:styleId="36">
    <w:name w:val="一级标题"/>
    <w:basedOn w:val="2"/>
    <w:next w:val="1"/>
    <w:autoRedefine/>
    <w:qFormat/>
    <w:uiPriority w:val="0"/>
    <w:pPr>
      <w:spacing w:line="360" w:lineRule="auto"/>
    </w:pPr>
    <w:rPr>
      <w:rFonts w:hAnsi="宋体"/>
      <w:lang w:bidi="ug-CN"/>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BodyTextIndent3"/>
    <w:basedOn w:val="1"/>
    <w:autoRedefine/>
    <w:qFormat/>
    <w:uiPriority w:val="0"/>
    <w:pPr>
      <w:spacing w:before="120" w:line="240" w:lineRule="atLeast"/>
      <w:ind w:left="720" w:firstLine="480"/>
    </w:pPr>
    <w:rPr>
      <w:rFonts w:ascii="宋体"/>
      <w:sz w:val="24"/>
      <w:szCs w:val="20"/>
    </w:rPr>
  </w:style>
  <w:style w:type="paragraph" w:customStyle="1" w:styleId="39">
    <w:name w:val="UserStyle_21"/>
    <w:basedOn w:val="1"/>
    <w:autoRedefine/>
    <w:qFormat/>
    <w:uiPriority w:val="0"/>
    <w:pPr>
      <w:ind w:firstLine="420"/>
    </w:pPr>
    <w:rPr>
      <w:rFonts w:ascii="宋体"/>
      <w:sz w:val="24"/>
      <w:szCs w:val="20"/>
    </w:rPr>
  </w:style>
  <w:style w:type="paragraph" w:customStyle="1" w:styleId="40">
    <w:name w:val="UserStyle_37"/>
    <w:basedOn w:val="1"/>
    <w:next w:val="1"/>
    <w:autoRedefine/>
    <w:qFormat/>
    <w:uiPriority w:val="0"/>
    <w:pPr>
      <w:spacing w:line="360" w:lineRule="auto"/>
    </w:pPr>
    <w:rPr>
      <w:rFonts w:ascii="仿宋_GB2312" w:eastAsia="仿宋_GB2312"/>
      <w:sz w:val="24"/>
      <w:szCs w:val="20"/>
    </w:rPr>
  </w:style>
  <w:style w:type="paragraph" w:customStyle="1" w:styleId="41">
    <w:name w:val="UserStyle_28"/>
    <w:basedOn w:val="1"/>
    <w:autoRedefine/>
    <w:qFormat/>
    <w:uiPriority w:val="0"/>
    <w:rPr>
      <w:rFonts w:ascii="宋体" w:hAnsi="Courier New"/>
      <w:sz w:val="20"/>
      <w:szCs w:val="20"/>
    </w:rPr>
  </w:style>
  <w:style w:type="character" w:customStyle="1" w:styleId="42">
    <w:name w:val="PageNumber"/>
    <w:basedOn w:val="28"/>
    <w:autoRedefine/>
    <w:qFormat/>
    <w:uiPriority w:val="0"/>
  </w:style>
  <w:style w:type="character" w:customStyle="1" w:styleId="43">
    <w:name w:val="正文文本 2 字符"/>
    <w:link w:val="20"/>
    <w:autoRedefine/>
    <w:qFormat/>
    <w:uiPriority w:val="0"/>
    <w:rPr>
      <w:kern w:val="2"/>
      <w:sz w:val="21"/>
      <w:szCs w:val="24"/>
    </w:rPr>
  </w:style>
  <w:style w:type="character" w:customStyle="1" w:styleId="44">
    <w:name w:val="列出段落 Char"/>
    <w:link w:val="45"/>
    <w:autoRedefine/>
    <w:qFormat/>
    <w:uiPriority w:val="34"/>
    <w:rPr>
      <w:rFonts w:ascii="Calibri" w:hAnsi="Calibri"/>
      <w:kern w:val="2"/>
      <w:sz w:val="21"/>
      <w:szCs w:val="22"/>
    </w:rPr>
  </w:style>
  <w:style w:type="paragraph" w:customStyle="1" w:styleId="45">
    <w:name w:val="列出段落2"/>
    <w:basedOn w:val="1"/>
    <w:link w:val="44"/>
    <w:autoRedefine/>
    <w:qFormat/>
    <w:uiPriority w:val="34"/>
    <w:pPr>
      <w:widowControl w:val="0"/>
      <w:kinsoku/>
      <w:autoSpaceDE/>
      <w:autoSpaceDN/>
      <w:adjustRightInd/>
      <w:snapToGrid/>
      <w:ind w:firstLine="420" w:firstLineChars="200"/>
      <w:jc w:val="both"/>
      <w:textAlignment w:val="auto"/>
    </w:pPr>
    <w:rPr>
      <w:rFonts w:ascii="Calibri" w:hAnsi="Calibri" w:eastAsiaTheme="minorEastAsia" w:cstheme="minorBidi"/>
      <w:snapToGrid/>
      <w:color w:val="auto"/>
      <w:kern w:val="2"/>
      <w:szCs w:val="22"/>
      <w:lang w:eastAsia="zh-CN"/>
    </w:rPr>
  </w:style>
  <w:style w:type="character" w:customStyle="1" w:styleId="46">
    <w:name w:val="正文文本 2 字符1"/>
    <w:basedOn w:val="25"/>
    <w:autoRedefine/>
    <w:qFormat/>
    <w:uiPriority w:val="0"/>
    <w:rPr>
      <w:rFonts w:ascii="Arial" w:hAnsi="Arial" w:eastAsia="Arial" w:cs="Arial"/>
      <w:snapToGrid w:val="0"/>
      <w:color w:val="000000"/>
      <w:sz w:val="21"/>
      <w:szCs w:val="21"/>
      <w:lang w:eastAsia="en-US"/>
    </w:rPr>
  </w:style>
  <w:style w:type="character" w:customStyle="1" w:styleId="47">
    <w:name w:val="*正文 Char Char"/>
    <w:link w:val="48"/>
    <w:autoRedefine/>
    <w:qFormat/>
    <w:uiPriority w:val="0"/>
    <w:rPr>
      <w:rFonts w:ascii="仿宋_GB2312" w:eastAsia="仿宋_GB2312"/>
      <w:sz w:val="24"/>
      <w:szCs w:val="24"/>
    </w:rPr>
  </w:style>
  <w:style w:type="paragraph" w:customStyle="1" w:styleId="48">
    <w:name w:val="*正文"/>
    <w:basedOn w:val="1"/>
    <w:link w:val="47"/>
    <w:autoRedefine/>
    <w:qFormat/>
    <w:uiPriority w:val="0"/>
    <w:pPr>
      <w:kinsoku/>
      <w:autoSpaceDE/>
      <w:autoSpaceDN/>
      <w:adjustRightInd/>
      <w:snapToGrid/>
      <w:spacing w:after="200" w:line="360" w:lineRule="auto"/>
      <w:ind w:firstLine="480" w:firstLineChars="200"/>
      <w:textAlignment w:val="auto"/>
    </w:pPr>
    <w:rPr>
      <w:rFonts w:ascii="仿宋_GB2312" w:eastAsia="仿宋_GB2312" w:hAnsiTheme="minorHAnsi" w:cstheme="minorBidi"/>
      <w:snapToGrid/>
      <w:color w:val="auto"/>
      <w:sz w:val="24"/>
      <w:szCs w:val="24"/>
      <w:lang w:eastAsia="zh-CN"/>
    </w:rPr>
  </w:style>
  <w:style w:type="paragraph" w:customStyle="1" w:styleId="49">
    <w:name w:val="列出段落21"/>
    <w:basedOn w:val="1"/>
    <w:autoRedefine/>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50">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51">
    <w:name w:val="纯文本11"/>
    <w:basedOn w:val="1"/>
    <w:autoRedefine/>
    <w:qFormat/>
    <w:uiPriority w:val="0"/>
    <w:rPr>
      <w:rFonts w:ascii="宋体" w:hAnsi="Courier New"/>
      <w:szCs w:val="20"/>
    </w:rPr>
  </w:style>
  <w:style w:type="paragraph" w:customStyle="1" w:styleId="52">
    <w:name w:val="表格文字"/>
    <w:basedOn w:val="1"/>
    <w:autoRedefine/>
    <w:qFormat/>
    <w:uiPriority w:val="0"/>
    <w:pPr>
      <w:spacing w:before="25" w:after="25"/>
      <w:jc w:val="left"/>
    </w:pPr>
    <w:rPr>
      <w:bCs/>
      <w:spacing w:val="10"/>
      <w:kern w:val="0"/>
      <w:sz w:val="24"/>
      <w:szCs w:val="20"/>
    </w:rPr>
  </w:style>
  <w:style w:type="paragraph" w:customStyle="1" w:styleId="53">
    <w:name w:val="普通(网站)1"/>
    <w:basedOn w:val="1"/>
    <w:autoRedefine/>
    <w:qFormat/>
    <w:uiPriority w:val="0"/>
    <w:pPr>
      <w:widowControl/>
      <w:jc w:val="left"/>
    </w:pPr>
    <w:rPr>
      <w:rFonts w:ascii="宋体" w:hAnsi="宋体"/>
      <w:kern w:val="0"/>
      <w:sz w:val="24"/>
    </w:rPr>
  </w:style>
  <w:style w:type="paragraph" w:customStyle="1" w:styleId="54">
    <w:name w:val="页脚1"/>
    <w:basedOn w:val="1"/>
    <w:autoRedefine/>
    <w:qFormat/>
    <w:uiPriority w:val="0"/>
    <w:pPr>
      <w:tabs>
        <w:tab w:val="center" w:pos="4153"/>
        <w:tab w:val="right" w:pos="8306"/>
      </w:tabs>
      <w:autoSpaceDE w:val="0"/>
      <w:autoSpaceDN w:val="0"/>
      <w:snapToGrid w:val="0"/>
      <w:jc w:val="left"/>
    </w:pPr>
    <w:rPr>
      <w:rFonts w:ascii="宋体"/>
      <w:kern w:val="0"/>
      <w:sz w:val="18"/>
      <w:szCs w:val="20"/>
    </w:rPr>
  </w:style>
  <w:style w:type="paragraph" w:customStyle="1" w:styleId="55">
    <w:name w:val="样式 样式 样式 左侧:  2 字符1 + 首行缩进:  2 字符1 + 首行缩进:  2 字符"/>
    <w:basedOn w:val="1"/>
    <w:autoRedefine/>
    <w:qFormat/>
    <w:uiPriority w:val="0"/>
    <w:pPr>
      <w:widowControl/>
      <w:adjustRightInd w:val="0"/>
      <w:spacing w:before="60" w:beforeLines="0" w:after="120" w:afterLines="0" w:line="440" w:lineRule="atLeast"/>
      <w:ind w:firstLine="480"/>
      <w:textAlignment w:val="baseline"/>
    </w:pPr>
    <w:rPr>
      <w:sz w:val="24"/>
    </w:rPr>
  </w:style>
  <w:style w:type="paragraph" w:customStyle="1" w:styleId="56">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7">
    <w:name w:val="wdcj_7_p"/>
    <w:basedOn w:val="1"/>
    <w:autoRedefine/>
    <w:qFormat/>
    <w:uiPriority w:val="0"/>
    <w:pPr>
      <w:spacing w:line="360" w:lineRule="auto"/>
      <w:ind w:firstLine="48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18372</Words>
  <Characters>19296</Characters>
  <Lines>2748</Lines>
  <Paragraphs>2523</Paragraphs>
  <TotalTime>61</TotalTime>
  <ScaleCrop>false</ScaleCrop>
  <LinksUpToDate>false</LinksUpToDate>
  <CharactersWithSpaces>20836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2025-04-02T19:55:00Z</dcterms:created>
  <dc:creator>SYP</dc:creator>
  <cp:lastModifiedBy>利剑610 ·</cp:lastModifiedBy>
  <cp:lastPrinted>2026-04-28T10:17:00Z</cp:lastPrinted>
  <dcterms:modified xsi:type="dcterms:W3CDTF">2026-05-21T10:47:03Z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A805F81862334BAD879EB8E0724C55BD_13</vt:lpwstr>
  </property>
  <property fmtid="{D5CDD505-2E9C-101B-9397-08002B2CF9AE}" pid="4" name="KSOTemplateDocerSaveRecord">
    <vt:lpwstr>eyJoZGlkIjoiZjE4YTc3ZDFiYzZlZDNhYTJhOTJiMzEyODVmMTE0MmYiLCJ1c2VySWQiOiIzMjE3NTc0NDUifQ==</vt:lpwstr>
  </property>
</Properties>
</file>