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DF25D">
      <w:pPr>
        <w:tabs>
          <w:tab w:val="left" w:pos="1134"/>
          <w:tab w:val="left" w:pos="5481"/>
          <w:tab w:val="left" w:pos="5859"/>
        </w:tabs>
        <w:jc w:val="both"/>
        <w:rPr>
          <w:rFonts w:hint="eastAsia" w:ascii="宋体" w:hAnsi="宋体" w:eastAsia="宋体" w:cs="宋体"/>
          <w:color w:val="auto"/>
          <w:sz w:val="10"/>
          <w:szCs w:val="10"/>
        </w:rPr>
      </w:pPr>
    </w:p>
    <w:p w14:paraId="54C76842">
      <w:pPr>
        <w:pStyle w:val="32"/>
        <w:spacing w:line="360" w:lineRule="auto"/>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2024-2025年政府投资项目审计服务</w:t>
      </w:r>
    </w:p>
    <w:p w14:paraId="0DDF4E9D">
      <w:pPr>
        <w:pStyle w:val="32"/>
        <w:spacing w:line="360" w:lineRule="auto"/>
        <w:ind w:left="0" w:leftChars="0" w:firstLine="0" w:firstLineChars="0"/>
        <w:jc w:val="center"/>
        <w:rPr>
          <w:rFonts w:hint="eastAsia" w:ascii="宋体" w:hAnsi="宋体" w:eastAsia="宋体" w:cs="宋体"/>
          <w:b/>
          <w:bCs/>
          <w:color w:val="auto"/>
          <w:sz w:val="28"/>
          <w:szCs w:val="18"/>
          <w:lang w:eastAsia="zh-CN"/>
        </w:rPr>
      </w:pPr>
      <w:r>
        <w:rPr>
          <w:rFonts w:hint="eastAsia" w:ascii="宋体" w:hAnsi="宋体" w:eastAsia="宋体" w:cs="宋体"/>
          <w:b/>
          <w:bCs/>
          <w:color w:val="auto"/>
          <w:sz w:val="28"/>
          <w:szCs w:val="18"/>
          <w:lang w:eastAsia="zh-CN"/>
        </w:rPr>
        <w:t>（项目编号：bcx-jzxcs-2026-0</w:t>
      </w:r>
      <w:r>
        <w:rPr>
          <w:rFonts w:hint="eastAsia" w:ascii="宋体" w:hAnsi="宋体" w:eastAsia="宋体" w:cs="宋体"/>
          <w:b/>
          <w:bCs/>
          <w:color w:val="auto"/>
          <w:sz w:val="28"/>
          <w:szCs w:val="18"/>
          <w:lang w:val="en-US" w:eastAsia="zh-CN"/>
        </w:rPr>
        <w:t>75</w:t>
      </w:r>
      <w:r>
        <w:rPr>
          <w:rFonts w:hint="eastAsia" w:ascii="宋体" w:hAnsi="宋体" w:eastAsia="宋体" w:cs="宋体"/>
          <w:b/>
          <w:bCs/>
          <w:color w:val="auto"/>
          <w:sz w:val="28"/>
          <w:szCs w:val="18"/>
          <w:lang w:eastAsia="zh-CN"/>
        </w:rPr>
        <w:t>）</w:t>
      </w:r>
    </w:p>
    <w:p w14:paraId="323F9BD5">
      <w:pPr>
        <w:rPr>
          <w:rFonts w:hint="eastAsia" w:ascii="宋体" w:hAnsi="宋体" w:eastAsia="宋体" w:cs="宋体"/>
          <w:b/>
          <w:color w:val="auto"/>
          <w:sz w:val="84"/>
          <w:szCs w:val="84"/>
        </w:rPr>
      </w:pPr>
    </w:p>
    <w:p w14:paraId="6137C181">
      <w:pPr>
        <w:rPr>
          <w:rFonts w:hint="eastAsia" w:ascii="宋体" w:hAnsi="宋体" w:eastAsia="宋体" w:cs="宋体"/>
          <w:b/>
          <w:color w:val="auto"/>
          <w:sz w:val="84"/>
          <w:szCs w:val="84"/>
        </w:rPr>
      </w:pPr>
    </w:p>
    <w:p w14:paraId="6A1106ED">
      <w:pPr>
        <w:jc w:val="center"/>
        <w:rPr>
          <w:rFonts w:hint="eastAsia" w:ascii="宋体" w:hAnsi="宋体" w:eastAsia="宋体" w:cs="宋体"/>
          <w:b/>
          <w:color w:val="auto"/>
          <w:sz w:val="144"/>
          <w:szCs w:val="144"/>
        </w:rPr>
      </w:pPr>
      <w:r>
        <w:rPr>
          <w:rFonts w:hint="eastAsia" w:ascii="宋体" w:hAnsi="宋体" w:eastAsia="宋体" w:cs="宋体"/>
          <w:b/>
          <w:color w:val="auto"/>
          <w:sz w:val="96"/>
          <w:szCs w:val="96"/>
          <w:lang w:eastAsia="zh-CN"/>
        </w:rPr>
        <w:t>竞争性磋商</w:t>
      </w:r>
      <w:r>
        <w:rPr>
          <w:rFonts w:hint="eastAsia" w:ascii="宋体" w:hAnsi="宋体" w:eastAsia="宋体" w:cs="宋体"/>
          <w:b/>
          <w:color w:val="auto"/>
          <w:sz w:val="96"/>
          <w:szCs w:val="96"/>
        </w:rPr>
        <w:t>文件</w:t>
      </w:r>
    </w:p>
    <w:p w14:paraId="03CC728D">
      <w:pPr>
        <w:jc w:val="center"/>
        <w:rPr>
          <w:rFonts w:hint="eastAsia" w:ascii="宋体" w:hAnsi="宋体" w:eastAsia="宋体" w:cs="宋体"/>
          <w:color w:val="auto"/>
          <w:sz w:val="32"/>
          <w:szCs w:val="32"/>
        </w:rPr>
      </w:pPr>
    </w:p>
    <w:p w14:paraId="6CC61D7D">
      <w:pPr>
        <w:jc w:val="both"/>
        <w:rPr>
          <w:rFonts w:hint="eastAsia" w:ascii="宋体" w:hAnsi="宋体" w:eastAsia="宋体" w:cs="宋体"/>
          <w:color w:val="auto"/>
          <w:sz w:val="32"/>
          <w:szCs w:val="32"/>
        </w:rPr>
      </w:pPr>
    </w:p>
    <w:p w14:paraId="3254B397">
      <w:pPr>
        <w:jc w:val="both"/>
        <w:rPr>
          <w:rFonts w:hint="eastAsia" w:ascii="宋体" w:hAnsi="宋体" w:eastAsia="宋体" w:cs="宋体"/>
          <w:color w:val="auto"/>
          <w:sz w:val="32"/>
          <w:szCs w:val="32"/>
        </w:rPr>
      </w:pPr>
    </w:p>
    <w:p w14:paraId="593E775C">
      <w:pPr>
        <w:pStyle w:val="32"/>
        <w:ind w:left="0" w:leftChars="0" w:firstLine="0" w:firstLineChars="0"/>
        <w:jc w:val="center"/>
        <w:rPr>
          <w:rFonts w:hint="eastAsia" w:ascii="宋体" w:hAnsi="宋体" w:eastAsia="宋体" w:cs="宋体"/>
          <w:color w:val="auto"/>
          <w:sz w:val="32"/>
          <w:szCs w:val="32"/>
        </w:rPr>
      </w:pPr>
      <w:r>
        <w:rPr>
          <w:rFonts w:hint="eastAsia" w:ascii="宋体" w:hAnsi="宋体" w:eastAsia="宋体" w:cs="宋体"/>
          <w:b/>
          <w:color w:val="auto"/>
          <w:sz w:val="36"/>
          <w:szCs w:val="36"/>
          <w:lang w:val="en-US" w:eastAsia="zh-CN"/>
        </w:rPr>
        <w:drawing>
          <wp:inline distT="0" distB="0" distL="114300" distR="114300">
            <wp:extent cx="1727200" cy="1481455"/>
            <wp:effectExtent l="0" t="0" r="0" b="4445"/>
            <wp:docPr id="3" name="图片 3" descr="恒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恒泽logo"/>
                    <pic:cNvPicPr>
                      <a:picLocks noChangeAspect="1"/>
                    </pic:cNvPicPr>
                  </pic:nvPicPr>
                  <pic:blipFill>
                    <a:blip r:embed="rId8"/>
                    <a:stretch>
                      <a:fillRect/>
                    </a:stretch>
                  </pic:blipFill>
                  <pic:spPr>
                    <a:xfrm>
                      <a:off x="0" y="0"/>
                      <a:ext cx="1727200" cy="1481455"/>
                    </a:xfrm>
                    <a:prstGeom prst="rect">
                      <a:avLst/>
                    </a:prstGeom>
                  </pic:spPr>
                </pic:pic>
              </a:graphicData>
            </a:graphic>
          </wp:inline>
        </w:drawing>
      </w:r>
    </w:p>
    <w:p w14:paraId="20A9E559">
      <w:pPr>
        <w:pStyle w:val="32"/>
        <w:rPr>
          <w:rFonts w:hint="eastAsia" w:ascii="宋体" w:hAnsi="宋体" w:eastAsia="宋体" w:cs="宋体"/>
          <w:color w:val="auto"/>
          <w:sz w:val="32"/>
          <w:szCs w:val="32"/>
        </w:rPr>
      </w:pPr>
    </w:p>
    <w:p w14:paraId="5D1AA540">
      <w:pPr>
        <w:pStyle w:val="32"/>
        <w:rPr>
          <w:rFonts w:hint="eastAsia" w:ascii="宋体" w:hAnsi="宋体" w:eastAsia="宋体" w:cs="宋体"/>
          <w:color w:val="auto"/>
          <w:sz w:val="32"/>
          <w:szCs w:val="32"/>
        </w:rPr>
      </w:pPr>
    </w:p>
    <w:p w14:paraId="4312EE46">
      <w:pPr>
        <w:pStyle w:val="32"/>
        <w:rPr>
          <w:rFonts w:hint="eastAsia" w:ascii="宋体" w:hAnsi="宋体" w:eastAsia="宋体" w:cs="宋体"/>
          <w:color w:val="auto"/>
          <w:sz w:val="32"/>
          <w:szCs w:val="32"/>
        </w:rPr>
      </w:pPr>
    </w:p>
    <w:p w14:paraId="0957DDC5">
      <w:pPr>
        <w:pStyle w:val="32"/>
        <w:rPr>
          <w:rFonts w:hint="eastAsia" w:ascii="宋体" w:hAnsi="宋体" w:eastAsia="宋体" w:cs="宋体"/>
          <w:color w:val="auto"/>
          <w:sz w:val="32"/>
          <w:szCs w:val="32"/>
        </w:rPr>
      </w:pPr>
    </w:p>
    <w:p w14:paraId="70AFD4BF">
      <w:pPr>
        <w:pStyle w:val="32"/>
        <w:rPr>
          <w:rFonts w:hint="eastAsia" w:ascii="宋体" w:hAnsi="宋体" w:eastAsia="宋体" w:cs="宋体"/>
          <w:color w:val="auto"/>
          <w:sz w:val="32"/>
          <w:szCs w:val="32"/>
        </w:rPr>
      </w:pPr>
    </w:p>
    <w:p w14:paraId="1E256B98">
      <w:pPr>
        <w:pStyle w:val="32"/>
        <w:rPr>
          <w:rFonts w:hint="eastAsia" w:ascii="宋体" w:hAnsi="宋体" w:eastAsia="宋体" w:cs="宋体"/>
          <w:color w:val="auto"/>
          <w:sz w:val="32"/>
          <w:szCs w:val="32"/>
        </w:rPr>
      </w:pPr>
    </w:p>
    <w:p w14:paraId="24E3E56B">
      <w:pPr>
        <w:pStyle w:val="32"/>
        <w:ind w:left="0" w:leftChars="0" w:firstLine="0" w:firstLineChars="0"/>
        <w:rPr>
          <w:rFonts w:hint="eastAsia" w:ascii="宋体" w:hAnsi="宋体" w:eastAsia="宋体" w:cs="宋体"/>
          <w:color w:val="auto"/>
          <w:sz w:val="32"/>
          <w:szCs w:val="32"/>
        </w:rPr>
      </w:pPr>
    </w:p>
    <w:p w14:paraId="57EEAB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采购</w:t>
      </w:r>
      <w:r>
        <w:rPr>
          <w:rFonts w:hint="eastAsia" w:ascii="宋体" w:hAnsi="宋体" w:eastAsia="宋体" w:cs="宋体"/>
          <w:b/>
          <w:color w:val="auto"/>
          <w:sz w:val="32"/>
          <w:szCs w:val="32"/>
        </w:rPr>
        <w:t>人</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r>
        <w:rPr>
          <w:rFonts w:hint="eastAsia" w:ascii="宋体" w:hAnsi="宋体" w:cs="宋体"/>
          <w:b/>
          <w:color w:val="auto"/>
          <w:sz w:val="32"/>
          <w:szCs w:val="32"/>
          <w:lang w:eastAsia="zh-CN"/>
        </w:rPr>
        <w:t>拜城县财政局</w:t>
      </w:r>
      <w:r>
        <w:rPr>
          <w:rFonts w:hint="eastAsia" w:ascii="宋体" w:hAnsi="宋体" w:eastAsia="宋体" w:cs="宋体"/>
          <w:b/>
          <w:color w:val="auto"/>
          <w:sz w:val="32"/>
          <w:szCs w:val="32"/>
          <w:lang w:val="en-US" w:eastAsia="zh-CN"/>
        </w:rPr>
        <w:t xml:space="preserve"> </w:t>
      </w:r>
    </w:p>
    <w:p w14:paraId="0B6CD4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采购</w:t>
      </w: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章</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w:t>
      </w:r>
      <w:r>
        <w:rPr>
          <w:rFonts w:hint="eastAsia" w:ascii="宋体" w:hAnsi="宋体" w:eastAsia="宋体" w:cs="宋体"/>
          <w:b/>
          <w:color w:val="auto"/>
          <w:sz w:val="32"/>
          <w:szCs w:val="32"/>
          <w:lang w:eastAsia="zh-CN"/>
        </w:rPr>
        <w:t>新疆恒泽工程项目管理有限公司</w:t>
      </w:r>
    </w:p>
    <w:p w14:paraId="1D18A2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二Ｏ</w:t>
      </w:r>
      <w:r>
        <w:rPr>
          <w:rFonts w:hint="eastAsia" w:ascii="宋体" w:hAnsi="宋体" w:eastAsia="宋体" w:cs="宋体"/>
          <w:b/>
          <w:color w:val="auto"/>
          <w:sz w:val="32"/>
          <w:szCs w:val="32"/>
          <w:lang w:eastAsia="zh-CN"/>
        </w:rPr>
        <w:t>二</w:t>
      </w:r>
      <w:r>
        <w:rPr>
          <w:rFonts w:hint="eastAsia" w:ascii="宋体" w:hAnsi="宋体" w:cs="宋体"/>
          <w:b/>
          <w:color w:val="auto"/>
          <w:sz w:val="32"/>
          <w:szCs w:val="32"/>
          <w:lang w:val="en-US" w:eastAsia="zh-CN"/>
        </w:rPr>
        <w:t>六</w:t>
      </w:r>
      <w:r>
        <w:rPr>
          <w:rFonts w:hint="eastAsia" w:ascii="宋体" w:hAnsi="宋体" w:eastAsia="宋体" w:cs="宋体"/>
          <w:b/>
          <w:color w:val="auto"/>
          <w:sz w:val="32"/>
          <w:szCs w:val="32"/>
        </w:rPr>
        <w:t>年</w:t>
      </w:r>
      <w:r>
        <w:rPr>
          <w:rFonts w:hint="eastAsia" w:ascii="宋体" w:hAnsi="宋体" w:cs="宋体"/>
          <w:b/>
          <w:color w:val="auto"/>
          <w:sz w:val="32"/>
          <w:szCs w:val="32"/>
          <w:lang w:val="en-US" w:eastAsia="zh-CN"/>
        </w:rPr>
        <w:t>五</w:t>
      </w:r>
      <w:r>
        <w:rPr>
          <w:rFonts w:hint="eastAsia" w:ascii="宋体" w:hAnsi="宋体" w:eastAsia="宋体" w:cs="宋体"/>
          <w:b/>
          <w:color w:val="auto"/>
          <w:sz w:val="32"/>
          <w:szCs w:val="32"/>
        </w:rPr>
        <w:t>月</w:t>
      </w:r>
    </w:p>
    <w:p w14:paraId="0DFDB107">
      <w:pPr>
        <w:pStyle w:val="32"/>
        <w:rPr>
          <w:rFonts w:hint="eastAsia" w:ascii="宋体" w:hAnsi="宋体" w:eastAsia="宋体" w:cs="宋体"/>
          <w:color w:val="auto"/>
          <w:sz w:val="36"/>
          <w:szCs w:val="36"/>
          <w:highlight w:val="none"/>
        </w:rPr>
      </w:pPr>
    </w:p>
    <w:p w14:paraId="27C883FF">
      <w:pPr>
        <w:pStyle w:val="20"/>
        <w:adjustRightInd w:val="0"/>
        <w:snapToGrid w:val="0"/>
        <w:spacing w:line="360" w:lineRule="auto"/>
        <w:jc w:val="center"/>
        <w:rPr>
          <w:rFonts w:hint="eastAsia" w:ascii="宋体" w:hAnsi="宋体" w:eastAsia="宋体" w:cs="宋体"/>
          <w:b/>
          <w:color w:val="auto"/>
          <w:spacing w:val="160"/>
          <w:sz w:val="32"/>
          <w:szCs w:val="32"/>
        </w:rPr>
      </w:pPr>
      <w:r>
        <w:rPr>
          <w:rFonts w:hint="eastAsia" w:ascii="宋体" w:hAnsi="宋体" w:eastAsia="宋体" w:cs="宋体"/>
          <w:b/>
          <w:color w:val="auto"/>
          <w:spacing w:val="160"/>
          <w:sz w:val="32"/>
          <w:szCs w:val="32"/>
        </w:rPr>
        <w:t>目录</w:t>
      </w:r>
    </w:p>
    <w:p w14:paraId="0EEA6FBA">
      <w:pPr>
        <w:autoSpaceDE w:val="0"/>
        <w:autoSpaceDN w:val="0"/>
        <w:adjustRightInd w:val="0"/>
        <w:snapToGrid w:val="0"/>
        <w:spacing w:line="360" w:lineRule="auto"/>
        <w:rPr>
          <w:rFonts w:hint="eastAsia" w:ascii="宋体" w:hAnsi="宋体" w:eastAsia="宋体" w:cs="宋体"/>
          <w:color w:val="auto"/>
          <w:szCs w:val="21"/>
        </w:rPr>
      </w:pPr>
    </w:p>
    <w:p w14:paraId="4048FCB8">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color w:val="auto"/>
          <w:spacing w:val="160"/>
          <w:szCs w:val="24"/>
        </w:rPr>
        <w:instrText xml:space="preserve">TOC \o "1-1" \h \u </w:instrText>
      </w:r>
      <w:r>
        <w:rPr>
          <w:rFonts w:hint="eastAsia" w:ascii="宋体" w:hAnsi="宋体" w:eastAsia="宋体" w:cs="宋体"/>
          <w:color w:val="auto"/>
          <w:spacing w:val="160"/>
          <w:szCs w:val="24"/>
        </w:rPr>
        <w:fldChar w:fldCharType="separate"/>
      </w: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_Toc531 </w:instrText>
      </w:r>
      <w:r>
        <w:rPr>
          <w:rFonts w:hint="eastAsia" w:ascii="宋体" w:hAnsi="宋体" w:eastAsia="宋体" w:cs="宋体"/>
          <w:spacing w:val="160"/>
          <w:szCs w:val="24"/>
        </w:rPr>
        <w:fldChar w:fldCharType="separate"/>
      </w:r>
      <w:r>
        <w:rPr>
          <w:rFonts w:hint="eastAsia" w:ascii="宋体" w:hAnsi="宋体" w:eastAsia="宋体" w:cs="宋体"/>
        </w:rPr>
        <w:t>第一章 竞争性磋商</w:t>
      </w:r>
      <w:r>
        <w:rPr>
          <w:rFonts w:hint="eastAsia" w:ascii="宋体" w:hAnsi="宋体" w:eastAsia="宋体" w:cs="宋体"/>
          <w:lang w:eastAsia="zh-CN"/>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38CC691B">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_Toc25381 </w:instrText>
      </w:r>
      <w:r>
        <w:rPr>
          <w:rFonts w:hint="eastAsia" w:ascii="宋体" w:hAnsi="宋体" w:eastAsia="宋体" w:cs="宋体"/>
          <w:spacing w:val="160"/>
          <w:szCs w:val="24"/>
        </w:rPr>
        <w:fldChar w:fldCharType="separate"/>
      </w:r>
      <w:r>
        <w:rPr>
          <w:rFonts w:hint="eastAsia" w:ascii="宋体" w:hAnsi="宋体" w:eastAsia="宋体" w:cs="宋体"/>
          <w:lang w:val="en-US" w:eastAsia="zh-CN"/>
        </w:rPr>
        <w:t xml:space="preserve">第二章 </w:t>
      </w:r>
      <w:r>
        <w:rPr>
          <w:rFonts w:hint="eastAsia" w:ascii="宋体" w:hAnsi="宋体" w:eastAsia="宋体" w:cs="宋体"/>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_Toc25381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71431CFB">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_Toc8546 </w:instrText>
      </w:r>
      <w:r>
        <w:rPr>
          <w:rFonts w:hint="eastAsia" w:ascii="宋体" w:hAnsi="宋体" w:eastAsia="宋体" w:cs="宋体"/>
          <w:spacing w:val="160"/>
          <w:szCs w:val="24"/>
        </w:rPr>
        <w:fldChar w:fldCharType="separate"/>
      </w:r>
      <w:r>
        <w:rPr>
          <w:rFonts w:hint="eastAsia" w:ascii="宋体" w:hAnsi="宋体" w:eastAsia="宋体" w:cs="宋体"/>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_Toc8546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3A74C719">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_Toc3330 </w:instrText>
      </w:r>
      <w:r>
        <w:rPr>
          <w:rFonts w:hint="eastAsia" w:ascii="宋体" w:hAnsi="宋体" w:eastAsia="宋体" w:cs="宋体"/>
          <w:spacing w:val="160"/>
          <w:szCs w:val="24"/>
        </w:rPr>
        <w:fldChar w:fldCharType="separate"/>
      </w:r>
      <w:r>
        <w:rPr>
          <w:rFonts w:hint="eastAsia" w:ascii="宋体" w:hAnsi="宋体" w:eastAsia="宋体" w:cs="宋体"/>
        </w:rPr>
        <w:t>第四章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_Toc3330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4ACEFA97">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_Toc14090 </w:instrText>
      </w:r>
      <w:r>
        <w:rPr>
          <w:rFonts w:hint="eastAsia" w:ascii="宋体" w:hAnsi="宋体" w:eastAsia="宋体" w:cs="宋体"/>
          <w:spacing w:val="160"/>
          <w:szCs w:val="24"/>
        </w:rPr>
        <w:fldChar w:fldCharType="separate"/>
      </w:r>
      <w:r>
        <w:rPr>
          <w:rFonts w:hint="eastAsia" w:ascii="宋体" w:hAnsi="宋体" w:eastAsia="宋体" w:cs="宋体"/>
        </w:rPr>
        <w:t>第五章 合同</w:t>
      </w:r>
      <w:r>
        <w:rPr>
          <w:rFonts w:hint="eastAsia" w:ascii="宋体" w:hAnsi="宋体" w:eastAsia="宋体" w:cs="宋体"/>
          <w:lang w:eastAsia="zh-CN"/>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_Toc14090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2F25F7C0">
      <w:pPr>
        <w:pStyle w:val="25"/>
        <w:tabs>
          <w:tab w:val="right" w:leader="dot" w:pos="9746"/>
          <w:tab w:val="clear" w:pos="8222"/>
        </w:tabs>
        <w:spacing w:line="360" w:lineRule="auto"/>
        <w:rPr>
          <w:rFonts w:hint="eastAsia" w:ascii="宋体" w:hAnsi="宋体" w:eastAsia="宋体" w:cs="宋体"/>
        </w:rPr>
      </w:pPr>
      <w:r>
        <w:rPr>
          <w:rFonts w:hint="eastAsia" w:ascii="宋体" w:hAnsi="宋体" w:eastAsia="宋体" w:cs="宋体"/>
          <w:color w:val="auto"/>
          <w:spacing w:val="160"/>
          <w:szCs w:val="24"/>
        </w:rPr>
        <w:fldChar w:fldCharType="begin"/>
      </w:r>
      <w:r>
        <w:rPr>
          <w:rFonts w:hint="eastAsia" w:ascii="宋体" w:hAnsi="宋体" w:eastAsia="宋体" w:cs="宋体"/>
          <w:spacing w:val="160"/>
          <w:szCs w:val="24"/>
        </w:rPr>
        <w:instrText xml:space="preserve"> HYPERLINK \l _Toc4707 </w:instrText>
      </w:r>
      <w:r>
        <w:rPr>
          <w:rFonts w:hint="eastAsia" w:ascii="宋体" w:hAnsi="宋体" w:eastAsia="宋体" w:cs="宋体"/>
          <w:spacing w:val="160"/>
          <w:szCs w:val="24"/>
        </w:rPr>
        <w:fldChar w:fldCharType="separate"/>
      </w:r>
      <w:r>
        <w:rPr>
          <w:rFonts w:hint="eastAsia" w:ascii="宋体" w:hAnsi="宋体" w:eastAsia="宋体" w:cs="宋体"/>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_Toc4707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color w:val="auto"/>
          <w:spacing w:val="160"/>
          <w:szCs w:val="24"/>
        </w:rPr>
        <w:fldChar w:fldCharType="end"/>
      </w:r>
    </w:p>
    <w:p w14:paraId="3B3D7481">
      <w:pPr>
        <w:pStyle w:val="32"/>
        <w:spacing w:line="360" w:lineRule="auto"/>
        <w:ind w:left="0" w:leftChars="0" w:firstLine="0" w:firstLineChars="0"/>
        <w:rPr>
          <w:rFonts w:hint="eastAsia" w:ascii="宋体" w:hAnsi="宋体" w:eastAsia="宋体" w:cs="宋体"/>
          <w:color w:val="auto"/>
          <w:spacing w:val="160"/>
          <w:szCs w:val="24"/>
        </w:rPr>
      </w:pPr>
      <w:r>
        <w:rPr>
          <w:rFonts w:hint="eastAsia" w:ascii="宋体" w:hAnsi="宋体" w:eastAsia="宋体" w:cs="宋体"/>
          <w:color w:val="auto"/>
          <w:spacing w:val="160"/>
          <w:szCs w:val="24"/>
        </w:rPr>
        <w:fldChar w:fldCharType="end"/>
      </w:r>
    </w:p>
    <w:p w14:paraId="63B01356">
      <w:pPr>
        <w:pStyle w:val="32"/>
        <w:ind w:left="0" w:leftChars="0" w:firstLine="0" w:firstLineChars="0"/>
        <w:rPr>
          <w:rFonts w:hint="eastAsia" w:ascii="宋体" w:hAnsi="宋体" w:eastAsia="宋体" w:cs="宋体"/>
          <w:color w:val="auto"/>
          <w:spacing w:val="160"/>
          <w:szCs w:val="24"/>
        </w:rPr>
      </w:pPr>
    </w:p>
    <w:p w14:paraId="488194FB">
      <w:pPr>
        <w:pStyle w:val="32"/>
        <w:ind w:left="0" w:leftChars="0" w:firstLine="0" w:firstLineChars="0"/>
        <w:rPr>
          <w:rFonts w:hint="eastAsia" w:ascii="宋体" w:hAnsi="宋体" w:eastAsia="宋体" w:cs="宋体"/>
          <w:color w:val="auto"/>
          <w:spacing w:val="160"/>
          <w:szCs w:val="24"/>
        </w:rPr>
      </w:pPr>
    </w:p>
    <w:p w14:paraId="5174E5B4">
      <w:pPr>
        <w:pStyle w:val="32"/>
        <w:ind w:left="0" w:leftChars="0" w:firstLine="0" w:firstLineChars="0"/>
        <w:rPr>
          <w:rFonts w:hint="eastAsia" w:ascii="宋体" w:hAnsi="宋体" w:eastAsia="宋体" w:cs="宋体"/>
          <w:color w:val="auto"/>
          <w:spacing w:val="160"/>
          <w:szCs w:val="24"/>
        </w:rPr>
      </w:pPr>
    </w:p>
    <w:p w14:paraId="041C0EBA">
      <w:pPr>
        <w:pStyle w:val="32"/>
        <w:ind w:left="0" w:leftChars="0" w:firstLine="0" w:firstLineChars="0"/>
        <w:rPr>
          <w:rFonts w:hint="eastAsia" w:ascii="宋体" w:hAnsi="宋体" w:eastAsia="宋体" w:cs="宋体"/>
          <w:color w:val="auto"/>
          <w:spacing w:val="160"/>
          <w:szCs w:val="24"/>
        </w:rPr>
      </w:pPr>
    </w:p>
    <w:p w14:paraId="1FCADB49">
      <w:pPr>
        <w:pStyle w:val="32"/>
        <w:ind w:left="0" w:leftChars="0" w:firstLine="0" w:firstLineChars="0"/>
        <w:rPr>
          <w:rFonts w:hint="eastAsia" w:ascii="宋体" w:hAnsi="宋体" w:eastAsia="宋体" w:cs="宋体"/>
          <w:color w:val="auto"/>
          <w:spacing w:val="160"/>
          <w:szCs w:val="24"/>
        </w:rPr>
      </w:pPr>
    </w:p>
    <w:p w14:paraId="562FC0FF">
      <w:pPr>
        <w:pStyle w:val="32"/>
        <w:ind w:left="0" w:leftChars="0" w:firstLine="0" w:firstLineChars="0"/>
        <w:rPr>
          <w:rFonts w:hint="eastAsia" w:ascii="宋体" w:hAnsi="宋体" w:eastAsia="宋体" w:cs="宋体"/>
          <w:color w:val="auto"/>
          <w:spacing w:val="160"/>
          <w:szCs w:val="24"/>
        </w:rPr>
      </w:pPr>
    </w:p>
    <w:p w14:paraId="15CF6F83">
      <w:pPr>
        <w:pStyle w:val="32"/>
        <w:ind w:left="0" w:leftChars="0" w:firstLine="0" w:firstLineChars="0"/>
        <w:rPr>
          <w:rFonts w:hint="eastAsia" w:ascii="宋体" w:hAnsi="宋体" w:eastAsia="宋体" w:cs="宋体"/>
          <w:color w:val="auto"/>
          <w:spacing w:val="160"/>
          <w:szCs w:val="24"/>
        </w:rPr>
      </w:pPr>
    </w:p>
    <w:p w14:paraId="57B611BA">
      <w:pPr>
        <w:pStyle w:val="32"/>
        <w:ind w:left="0" w:leftChars="0" w:firstLine="0" w:firstLineChars="0"/>
        <w:rPr>
          <w:rFonts w:hint="eastAsia" w:ascii="宋体" w:hAnsi="宋体" w:eastAsia="宋体" w:cs="宋体"/>
          <w:color w:val="auto"/>
          <w:spacing w:val="160"/>
          <w:szCs w:val="24"/>
        </w:rPr>
      </w:pPr>
    </w:p>
    <w:p w14:paraId="41CBF5E5">
      <w:pPr>
        <w:pStyle w:val="32"/>
        <w:ind w:left="0" w:leftChars="0" w:firstLine="0" w:firstLineChars="0"/>
        <w:rPr>
          <w:rFonts w:hint="eastAsia" w:ascii="宋体" w:hAnsi="宋体" w:eastAsia="宋体" w:cs="宋体"/>
          <w:color w:val="auto"/>
          <w:spacing w:val="160"/>
          <w:szCs w:val="24"/>
        </w:rPr>
      </w:pPr>
    </w:p>
    <w:p w14:paraId="4DBB3E0F">
      <w:pPr>
        <w:pStyle w:val="32"/>
        <w:ind w:left="0" w:leftChars="0" w:firstLine="0" w:firstLineChars="0"/>
        <w:rPr>
          <w:rFonts w:hint="eastAsia" w:ascii="宋体" w:hAnsi="宋体" w:eastAsia="宋体" w:cs="宋体"/>
          <w:color w:val="auto"/>
          <w:spacing w:val="160"/>
          <w:szCs w:val="24"/>
        </w:rPr>
      </w:pPr>
    </w:p>
    <w:p w14:paraId="2B269945">
      <w:pPr>
        <w:pStyle w:val="32"/>
        <w:ind w:left="0" w:leftChars="0" w:firstLine="0" w:firstLineChars="0"/>
        <w:rPr>
          <w:rFonts w:hint="eastAsia" w:ascii="宋体" w:hAnsi="宋体" w:eastAsia="宋体" w:cs="宋体"/>
          <w:color w:val="auto"/>
          <w:spacing w:val="160"/>
          <w:szCs w:val="24"/>
        </w:rPr>
      </w:pPr>
    </w:p>
    <w:p w14:paraId="57959B0E">
      <w:pPr>
        <w:pStyle w:val="32"/>
        <w:ind w:left="0" w:leftChars="0" w:firstLine="0" w:firstLineChars="0"/>
        <w:rPr>
          <w:rFonts w:hint="eastAsia" w:ascii="宋体" w:hAnsi="宋体" w:eastAsia="宋体" w:cs="宋体"/>
          <w:color w:val="auto"/>
          <w:spacing w:val="160"/>
          <w:szCs w:val="24"/>
        </w:rPr>
      </w:pPr>
    </w:p>
    <w:p w14:paraId="0CE3565A">
      <w:pPr>
        <w:pStyle w:val="32"/>
        <w:ind w:left="0" w:leftChars="0" w:firstLine="0" w:firstLineChars="0"/>
        <w:rPr>
          <w:rFonts w:hint="eastAsia" w:ascii="宋体" w:hAnsi="宋体" w:eastAsia="宋体" w:cs="宋体"/>
          <w:color w:val="auto"/>
          <w:spacing w:val="160"/>
          <w:szCs w:val="24"/>
        </w:rPr>
      </w:pPr>
    </w:p>
    <w:p w14:paraId="04537DEE">
      <w:pPr>
        <w:pStyle w:val="32"/>
        <w:ind w:left="0" w:leftChars="0" w:firstLine="0" w:firstLineChars="0"/>
        <w:rPr>
          <w:rFonts w:hint="eastAsia" w:ascii="宋体" w:hAnsi="宋体" w:eastAsia="宋体" w:cs="宋体"/>
          <w:color w:val="auto"/>
          <w:spacing w:val="160"/>
          <w:szCs w:val="24"/>
        </w:rPr>
      </w:pPr>
    </w:p>
    <w:p w14:paraId="33C1742F">
      <w:pPr>
        <w:pStyle w:val="32"/>
        <w:ind w:left="0" w:leftChars="0" w:firstLine="0" w:firstLineChars="0"/>
        <w:rPr>
          <w:rFonts w:hint="eastAsia" w:ascii="宋体" w:hAnsi="宋体" w:eastAsia="宋体" w:cs="宋体"/>
          <w:color w:val="auto"/>
          <w:spacing w:val="160"/>
          <w:szCs w:val="24"/>
        </w:rPr>
      </w:pPr>
    </w:p>
    <w:p w14:paraId="37B1963A">
      <w:pPr>
        <w:pStyle w:val="32"/>
        <w:ind w:left="0" w:leftChars="0" w:firstLine="0" w:firstLineChars="0"/>
        <w:rPr>
          <w:rFonts w:hint="eastAsia" w:ascii="宋体" w:hAnsi="宋体" w:eastAsia="宋体" w:cs="宋体"/>
          <w:color w:val="auto"/>
          <w:spacing w:val="160"/>
          <w:szCs w:val="24"/>
        </w:rPr>
      </w:pPr>
    </w:p>
    <w:p w14:paraId="642FC8A4">
      <w:pPr>
        <w:pStyle w:val="32"/>
        <w:ind w:left="0" w:leftChars="0" w:firstLine="0" w:firstLineChars="0"/>
        <w:rPr>
          <w:rFonts w:hint="eastAsia" w:ascii="宋体" w:hAnsi="宋体" w:eastAsia="宋体" w:cs="宋体"/>
          <w:color w:val="auto"/>
          <w:spacing w:val="160"/>
          <w:szCs w:val="24"/>
        </w:rPr>
      </w:pPr>
    </w:p>
    <w:p w14:paraId="268FA0F5">
      <w:pPr>
        <w:pStyle w:val="32"/>
        <w:ind w:left="0" w:leftChars="0" w:firstLine="0" w:firstLineChars="0"/>
        <w:rPr>
          <w:rFonts w:hint="eastAsia" w:ascii="宋体" w:hAnsi="宋体" w:eastAsia="宋体" w:cs="宋体"/>
          <w:color w:val="auto"/>
          <w:spacing w:val="160"/>
          <w:szCs w:val="24"/>
        </w:rPr>
      </w:pPr>
    </w:p>
    <w:p w14:paraId="713F4288">
      <w:pPr>
        <w:pStyle w:val="32"/>
        <w:ind w:left="0" w:leftChars="0" w:firstLine="0" w:firstLineChars="0"/>
        <w:rPr>
          <w:rFonts w:hint="eastAsia" w:ascii="宋体" w:hAnsi="宋体" w:eastAsia="宋体" w:cs="宋体"/>
          <w:color w:val="auto"/>
          <w:spacing w:val="160"/>
          <w:szCs w:val="24"/>
        </w:rPr>
      </w:pPr>
    </w:p>
    <w:p w14:paraId="11965754">
      <w:pPr>
        <w:pStyle w:val="32"/>
        <w:ind w:left="0" w:leftChars="0" w:firstLine="0" w:firstLineChars="0"/>
        <w:rPr>
          <w:rFonts w:hint="eastAsia" w:ascii="宋体" w:hAnsi="宋体" w:eastAsia="宋体" w:cs="宋体"/>
          <w:color w:val="auto"/>
          <w:spacing w:val="160"/>
          <w:szCs w:val="24"/>
        </w:rPr>
      </w:pPr>
    </w:p>
    <w:p w14:paraId="3E4BA72C">
      <w:pPr>
        <w:pStyle w:val="32"/>
        <w:ind w:left="0" w:leftChars="0" w:firstLine="0" w:firstLineChars="0"/>
        <w:rPr>
          <w:rFonts w:hint="eastAsia" w:ascii="宋体" w:hAnsi="宋体" w:eastAsia="宋体" w:cs="宋体"/>
          <w:color w:val="auto"/>
          <w:spacing w:val="160"/>
          <w:szCs w:val="24"/>
        </w:rPr>
      </w:pPr>
    </w:p>
    <w:p w14:paraId="762BD1B2">
      <w:pPr>
        <w:pStyle w:val="2"/>
        <w:numPr>
          <w:ilvl w:val="0"/>
          <w:numId w:val="1"/>
        </w:numPr>
        <w:spacing w:before="0" w:after="0" w:line="240" w:lineRule="auto"/>
        <w:ind w:left="0" w:leftChars="0"/>
        <w:rPr>
          <w:rFonts w:hint="eastAsia" w:ascii="宋体" w:hAnsi="宋体" w:eastAsia="宋体" w:cs="宋体"/>
          <w:color w:val="auto"/>
        </w:rPr>
      </w:pPr>
      <w:bookmarkStart w:id="0" w:name="_Toc21151"/>
      <w:bookmarkStart w:id="1" w:name="_Toc456718476"/>
      <w:r>
        <w:rPr>
          <w:rFonts w:hint="eastAsia" w:ascii="宋体" w:hAnsi="宋体" w:eastAsia="宋体" w:cs="宋体"/>
          <w:color w:val="auto"/>
          <w:lang w:val="en-US" w:eastAsia="zh-CN"/>
        </w:rPr>
        <w:t xml:space="preserve"> </w:t>
      </w:r>
      <w:bookmarkStart w:id="2" w:name="_Toc531"/>
      <w:bookmarkStart w:id="3" w:name="_Toc6006"/>
      <w:bookmarkStart w:id="4" w:name="_Toc4209"/>
      <w:bookmarkStart w:id="5" w:name="OLE_LINK4"/>
      <w:r>
        <w:rPr>
          <w:rFonts w:hint="eastAsia" w:ascii="宋体" w:hAnsi="宋体" w:eastAsia="宋体" w:cs="宋体"/>
          <w:color w:val="auto"/>
        </w:rPr>
        <w:t>竞争性磋商</w:t>
      </w:r>
      <w:bookmarkEnd w:id="0"/>
      <w:r>
        <w:rPr>
          <w:rFonts w:hint="eastAsia" w:ascii="宋体" w:hAnsi="宋体" w:eastAsia="宋体" w:cs="宋体"/>
          <w:color w:val="auto"/>
          <w:lang w:eastAsia="zh-CN"/>
        </w:rPr>
        <w:t>公告</w:t>
      </w:r>
      <w:bookmarkEnd w:id="2"/>
      <w:bookmarkEnd w:id="3"/>
      <w:bookmarkEnd w:id="4"/>
    </w:p>
    <w:p w14:paraId="5492363B">
      <w:pPr>
        <w:numPr>
          <w:ilvl w:val="0"/>
          <w:numId w:val="0"/>
        </w:numPr>
        <w:rPr>
          <w:rFonts w:hint="eastAsia" w:ascii="宋体" w:hAnsi="宋体" w:eastAsia="宋体" w:cs="宋体"/>
          <w:color w:val="auto"/>
          <w:sz w:val="24"/>
        </w:rPr>
      </w:pP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71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noWrap w:val="0"/>
            <w:vAlign w:val="top"/>
          </w:tcPr>
          <w:p w14:paraId="6DF08438">
            <w:pPr>
              <w:rPr>
                <w:rFonts w:hint="eastAsia"/>
                <w:lang w:val="en-US" w:eastAsia="zh-CN"/>
              </w:rPr>
            </w:pPr>
            <w:r>
              <w:rPr>
                <w:rFonts w:hint="eastAsia" w:ascii="宋体" w:hAnsi="宋体" w:eastAsia="宋体" w:cs="宋体"/>
                <w:i w:val="0"/>
                <w:iCs w:val="0"/>
                <w:caps w:val="0"/>
                <w:color w:val="auto"/>
                <w:spacing w:val="0"/>
                <w:kern w:val="0"/>
                <w:sz w:val="24"/>
                <w:szCs w:val="24"/>
                <w:lang w:val="en-US" w:eastAsia="zh-CN" w:bidi="ar-SA"/>
              </w:rPr>
              <w:t xml:space="preserve">项目概况    </w:t>
            </w:r>
            <w:r>
              <w:rPr>
                <w:rFonts w:hint="eastAsia"/>
                <w:lang w:val="en-US" w:eastAsia="zh-CN"/>
              </w:rPr>
              <w:t>                                               </w:t>
            </w:r>
          </w:p>
          <w:p w14:paraId="5E2C687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2"/>
                <w:szCs w:val="22"/>
                <w:vertAlign w:val="baseline"/>
              </w:rPr>
            </w:pPr>
            <w:r>
              <w:rPr>
                <w:rFonts w:hint="eastAsia" w:cs="宋体"/>
                <w:sz w:val="24"/>
                <w:szCs w:val="24"/>
                <w:highlight w:val="none"/>
                <w:lang w:val="en-US" w:eastAsia="zh-CN"/>
              </w:rPr>
              <w:t>2024-2025年政府投资项目审计服务</w:t>
            </w:r>
            <w:r>
              <w:rPr>
                <w:rFonts w:hint="eastAsia" w:ascii="宋体" w:hAnsi="宋体" w:eastAsia="宋体" w:cs="宋体"/>
                <w:i w:val="0"/>
                <w:iCs w:val="0"/>
                <w:caps w:val="0"/>
                <w:color w:val="auto"/>
                <w:spacing w:val="0"/>
                <w:sz w:val="24"/>
                <w:szCs w:val="24"/>
                <w:lang w:val="en-US" w:eastAsia="zh-CN"/>
              </w:rPr>
              <w:t>的潜在供应商应在政采云平台线上获取采购文件，并于202</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lang w:val="en-US" w:eastAsia="zh-CN"/>
              </w:rPr>
              <w:t>年</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lang w:val="en-US" w:eastAsia="zh-CN"/>
              </w:rPr>
              <w:t>月</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lang w:val="en-US" w:eastAsia="zh-CN"/>
              </w:rPr>
              <w:t>日1</w:t>
            </w:r>
            <w:r>
              <w:rPr>
                <w:rFonts w:hint="eastAsia"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lang w:val="en-US" w:eastAsia="zh-CN"/>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lang w:val="en-US" w:eastAsia="zh-CN"/>
              </w:rPr>
              <w:t>0（北京时间）前提交响应文件。</w:t>
            </w:r>
          </w:p>
        </w:tc>
      </w:tr>
    </w:tbl>
    <w:p w14:paraId="56CDAA0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jc w:val="left"/>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一、项目基本情况</w:t>
      </w:r>
    </w:p>
    <w:p w14:paraId="2E3D49B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4"/>
          <w:szCs w:val="24"/>
        </w:rPr>
        <w:t>项目编号：</w:t>
      </w:r>
      <w:r>
        <w:rPr>
          <w:rFonts w:hint="eastAsia" w:ascii="宋体" w:hAnsi="宋体" w:eastAsia="宋体" w:cs="宋体"/>
          <w:i w:val="0"/>
          <w:iCs w:val="0"/>
          <w:caps w:val="0"/>
          <w:color w:val="auto"/>
          <w:spacing w:val="0"/>
          <w:sz w:val="24"/>
          <w:szCs w:val="24"/>
          <w:lang w:eastAsia="zh-CN"/>
        </w:rPr>
        <w:t>bcx-jzxcs-2026-0</w:t>
      </w:r>
      <w:r>
        <w:rPr>
          <w:rFonts w:hint="eastAsia" w:ascii="宋体" w:hAnsi="宋体" w:eastAsia="宋体" w:cs="宋体"/>
          <w:i w:val="0"/>
          <w:iCs w:val="0"/>
          <w:caps w:val="0"/>
          <w:color w:val="auto"/>
          <w:spacing w:val="0"/>
          <w:sz w:val="24"/>
          <w:szCs w:val="24"/>
          <w:lang w:val="en-US" w:eastAsia="zh-CN"/>
        </w:rPr>
        <w:t>75</w:t>
      </w:r>
      <w:r>
        <w:rPr>
          <w:rFonts w:hint="eastAsia" w:cs="宋体"/>
          <w:i w:val="0"/>
          <w:iCs w:val="0"/>
          <w:caps w:val="0"/>
          <w:color w:val="auto"/>
          <w:spacing w:val="0"/>
          <w:sz w:val="24"/>
          <w:szCs w:val="24"/>
          <w:lang w:val="en-US" w:eastAsia="zh-CN"/>
        </w:rPr>
        <w:t xml:space="preserve"> </w:t>
      </w:r>
    </w:p>
    <w:p w14:paraId="33F7B9F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项目名称：</w:t>
      </w:r>
      <w:r>
        <w:rPr>
          <w:rFonts w:hint="eastAsia" w:cs="宋体"/>
          <w:sz w:val="24"/>
          <w:szCs w:val="24"/>
          <w:highlight w:val="none"/>
          <w:lang w:val="en-US" w:eastAsia="zh-CN"/>
        </w:rPr>
        <w:t>2024-2025年政府投资项目审计服务</w:t>
      </w:r>
    </w:p>
    <w:p w14:paraId="09737E5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rPr>
      </w:pPr>
      <w:r>
        <w:rPr>
          <w:rFonts w:hint="eastAsia" w:ascii="宋体" w:hAnsi="宋体" w:eastAsia="宋体" w:cs="宋体"/>
          <w:i w:val="0"/>
          <w:iCs w:val="0"/>
          <w:caps w:val="0"/>
          <w:color w:val="auto"/>
          <w:spacing w:val="0"/>
          <w:sz w:val="24"/>
          <w:szCs w:val="24"/>
        </w:rPr>
        <w:t>采购方式：竞争性磋商</w:t>
      </w:r>
      <w:r>
        <w:rPr>
          <w:rFonts w:hint="eastAsia" w:ascii="宋体" w:hAnsi="宋体" w:eastAsia="宋体" w:cs="宋体"/>
          <w:i w:val="0"/>
          <w:iCs w:val="0"/>
          <w:caps w:val="0"/>
          <w:color w:val="auto"/>
          <w:spacing w:val="0"/>
          <w:sz w:val="20"/>
          <w:szCs w:val="20"/>
        </w:rPr>
        <w:t> </w:t>
      </w:r>
    </w:p>
    <w:p w14:paraId="7CCF704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color w:val="auto"/>
          <w:sz w:val="22"/>
          <w:szCs w:val="22"/>
          <w:highlight w:val="none"/>
          <w:lang w:val="en-US"/>
        </w:rPr>
      </w:pPr>
      <w:r>
        <w:rPr>
          <w:rFonts w:hint="eastAsia" w:ascii="宋体" w:hAnsi="宋体" w:eastAsia="宋体" w:cs="宋体"/>
          <w:i w:val="0"/>
          <w:iCs w:val="0"/>
          <w:caps w:val="0"/>
          <w:color w:val="auto"/>
          <w:spacing w:val="0"/>
          <w:sz w:val="24"/>
          <w:szCs w:val="24"/>
          <w:highlight w:val="none"/>
        </w:rPr>
        <w:t>预算金额（元）：</w:t>
      </w:r>
      <w:r>
        <w:rPr>
          <w:rFonts w:hint="eastAsia" w:cs="宋体"/>
          <w:i w:val="0"/>
          <w:iCs w:val="0"/>
          <w:caps w:val="0"/>
          <w:color w:val="auto"/>
          <w:spacing w:val="0"/>
          <w:sz w:val="24"/>
          <w:szCs w:val="24"/>
          <w:highlight w:val="none"/>
          <w:lang w:val="en-US" w:eastAsia="zh-CN"/>
        </w:rPr>
        <w:t>1990000</w:t>
      </w:r>
    </w:p>
    <w:p w14:paraId="6C8718D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最高限价（元）：</w:t>
      </w:r>
      <w:r>
        <w:rPr>
          <w:rFonts w:hint="eastAsia" w:cs="宋体"/>
          <w:i w:val="0"/>
          <w:iCs w:val="0"/>
          <w:caps w:val="0"/>
          <w:color w:val="auto"/>
          <w:spacing w:val="0"/>
          <w:sz w:val="24"/>
          <w:szCs w:val="24"/>
          <w:highlight w:val="none"/>
          <w:lang w:val="en-US" w:eastAsia="zh-CN"/>
        </w:rPr>
        <w:t>1990000</w:t>
      </w:r>
      <w:r>
        <w:rPr>
          <w:rFonts w:hint="eastAsia" w:ascii="宋体" w:hAnsi="宋体" w:eastAsia="宋体" w:cs="宋体"/>
          <w:i w:val="0"/>
          <w:iCs w:val="0"/>
          <w:caps w:val="0"/>
          <w:color w:val="auto"/>
          <w:spacing w:val="0"/>
          <w:sz w:val="20"/>
          <w:szCs w:val="20"/>
          <w:highlight w:val="none"/>
        </w:rPr>
        <w:t> </w:t>
      </w:r>
    </w:p>
    <w:p w14:paraId="2842051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0"/>
          <w:szCs w:val="20"/>
          <w:highlight w:val="none"/>
        </w:rPr>
      </w:pPr>
      <w:r>
        <w:rPr>
          <w:rFonts w:hint="eastAsia" w:ascii="宋体" w:hAnsi="宋体" w:eastAsia="宋体" w:cs="宋体"/>
          <w:i w:val="0"/>
          <w:iCs w:val="0"/>
          <w:caps w:val="0"/>
          <w:color w:val="auto"/>
          <w:spacing w:val="0"/>
          <w:sz w:val="24"/>
          <w:szCs w:val="24"/>
          <w:highlight w:val="none"/>
        </w:rPr>
        <w:t>采购需求：详见</w:t>
      </w:r>
      <w:r>
        <w:rPr>
          <w:rFonts w:hint="eastAsia" w:cs="宋体"/>
          <w:i w:val="0"/>
          <w:iCs w:val="0"/>
          <w:caps w:val="0"/>
          <w:color w:val="auto"/>
          <w:spacing w:val="0"/>
          <w:sz w:val="24"/>
          <w:szCs w:val="24"/>
          <w:highlight w:val="none"/>
          <w:lang w:val="en-US" w:eastAsia="zh-CN"/>
        </w:rPr>
        <w:t>竞争性</w:t>
      </w:r>
      <w:r>
        <w:rPr>
          <w:rFonts w:hint="eastAsia" w:ascii="宋体" w:hAnsi="宋体" w:eastAsia="宋体" w:cs="宋体"/>
          <w:i w:val="0"/>
          <w:iCs w:val="0"/>
          <w:caps w:val="0"/>
          <w:color w:val="auto"/>
          <w:spacing w:val="0"/>
          <w:sz w:val="24"/>
          <w:szCs w:val="24"/>
          <w:highlight w:val="none"/>
          <w:lang w:eastAsia="zh-CN"/>
        </w:rPr>
        <w:t>磋商文件</w:t>
      </w:r>
      <w:r>
        <w:rPr>
          <w:rFonts w:hint="eastAsia" w:cs="宋体"/>
          <w:i w:val="0"/>
          <w:iCs w:val="0"/>
          <w:caps w:val="0"/>
          <w:color w:val="auto"/>
          <w:spacing w:val="0"/>
          <w:sz w:val="24"/>
          <w:szCs w:val="24"/>
          <w:highlight w:val="none"/>
          <w:lang w:val="en-US" w:eastAsia="zh-CN"/>
        </w:rPr>
        <w:t>采购需求</w:t>
      </w:r>
      <w:r>
        <w:rPr>
          <w:rFonts w:hint="eastAsia" w:ascii="宋体" w:hAnsi="宋体" w:eastAsia="宋体" w:cs="宋体"/>
          <w:i w:val="0"/>
          <w:iCs w:val="0"/>
          <w:caps w:val="0"/>
          <w:color w:val="auto"/>
          <w:spacing w:val="0"/>
          <w:kern w:val="0"/>
          <w:sz w:val="20"/>
          <w:szCs w:val="20"/>
          <w:highlight w:val="none"/>
          <w:lang w:val="en-US" w:eastAsia="zh-CN" w:bidi="ar"/>
        </w:rPr>
        <w:t>   </w:t>
      </w:r>
    </w:p>
    <w:p w14:paraId="4A186B2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标项名称：</w:t>
      </w:r>
      <w:r>
        <w:rPr>
          <w:rFonts w:hint="eastAsia" w:cs="宋体"/>
          <w:sz w:val="24"/>
          <w:szCs w:val="24"/>
          <w:highlight w:val="none"/>
          <w:lang w:val="en-US" w:eastAsia="zh-CN"/>
        </w:rPr>
        <w:t>2024-2025年政府投资项目审计服务</w:t>
      </w:r>
    </w:p>
    <w:p w14:paraId="79125D8D">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960" w:firstLineChars="400"/>
        <w:jc w:val="left"/>
        <w:textAlignment w:val="auto"/>
        <w:rPr>
          <w:rFonts w:hint="eastAsia" w:ascii="宋体" w:hAnsi="宋体" w:eastAsia="宋体" w:cs="宋体"/>
          <w:color w:val="auto"/>
          <w:sz w:val="20"/>
          <w:szCs w:val="22"/>
          <w:highlight w:val="none"/>
        </w:rPr>
      </w:pPr>
      <w:r>
        <w:rPr>
          <w:rFonts w:hint="eastAsia" w:ascii="宋体" w:hAnsi="宋体" w:eastAsia="宋体" w:cs="宋体"/>
          <w:i w:val="0"/>
          <w:iCs w:val="0"/>
          <w:caps w:val="0"/>
          <w:color w:val="auto"/>
          <w:spacing w:val="0"/>
          <w:kern w:val="0"/>
          <w:sz w:val="24"/>
          <w:szCs w:val="24"/>
          <w:highlight w:val="none"/>
          <w:lang w:val="en-US" w:eastAsia="zh-CN" w:bidi="ar"/>
        </w:rPr>
        <w:t>数量：不限 </w:t>
      </w:r>
      <w:r>
        <w:rPr>
          <w:rFonts w:hint="eastAsia" w:ascii="宋体" w:hAnsi="宋体" w:eastAsia="宋体" w:cs="宋体"/>
          <w:i w:val="0"/>
          <w:iCs w:val="0"/>
          <w:caps w:val="0"/>
          <w:color w:val="auto"/>
          <w:spacing w:val="0"/>
          <w:kern w:val="0"/>
          <w:sz w:val="20"/>
          <w:szCs w:val="20"/>
          <w:highlight w:val="none"/>
          <w:lang w:val="en-US" w:eastAsia="zh-CN" w:bidi="ar"/>
        </w:rPr>
        <w:t>    </w:t>
      </w:r>
    </w:p>
    <w:p w14:paraId="12234D7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预算金额（元）：</w:t>
      </w:r>
      <w:r>
        <w:rPr>
          <w:rFonts w:hint="eastAsia" w:cs="宋体"/>
          <w:i w:val="0"/>
          <w:iCs w:val="0"/>
          <w:caps w:val="0"/>
          <w:color w:val="auto"/>
          <w:spacing w:val="0"/>
          <w:sz w:val="24"/>
          <w:szCs w:val="24"/>
          <w:highlight w:val="none"/>
          <w:lang w:val="en-US" w:eastAsia="zh-CN"/>
        </w:rPr>
        <w:t>1990000</w:t>
      </w:r>
      <w:r>
        <w:rPr>
          <w:rFonts w:hint="eastAsia" w:ascii="宋体" w:hAnsi="宋体" w:eastAsia="宋体" w:cs="宋体"/>
          <w:i w:val="0"/>
          <w:iCs w:val="0"/>
          <w:caps w:val="0"/>
          <w:color w:val="auto"/>
          <w:spacing w:val="0"/>
          <w:sz w:val="24"/>
          <w:szCs w:val="24"/>
          <w:highlight w:val="none"/>
        </w:rPr>
        <w:t> </w:t>
      </w:r>
    </w:p>
    <w:p w14:paraId="570FB3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单位：批 </w:t>
      </w:r>
    </w:p>
    <w:p w14:paraId="1576B9A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简要规格描述：</w:t>
      </w:r>
      <w:r>
        <w:rPr>
          <w:rFonts w:hint="eastAsia" w:cs="宋体"/>
          <w:i w:val="0"/>
          <w:iCs w:val="0"/>
          <w:caps w:val="0"/>
          <w:color w:val="auto"/>
          <w:spacing w:val="0"/>
          <w:sz w:val="24"/>
          <w:szCs w:val="24"/>
          <w:highlight w:val="none"/>
          <w:lang w:val="en-US" w:eastAsia="zh-CN"/>
        </w:rPr>
        <w:t>对</w:t>
      </w:r>
      <w:r>
        <w:rPr>
          <w:rFonts w:hint="eastAsia" w:cs="宋体"/>
          <w:sz w:val="24"/>
          <w:szCs w:val="24"/>
          <w:highlight w:val="none"/>
          <w:lang w:val="en-US" w:eastAsia="zh-CN"/>
        </w:rPr>
        <w:t>2024-2025年政府投资项目进行自查自纠审计服务</w:t>
      </w:r>
      <w:r>
        <w:rPr>
          <w:rFonts w:hint="eastAsia" w:ascii="宋体" w:hAnsi="宋体" w:eastAsia="宋体" w:cs="宋体"/>
          <w:i w:val="0"/>
          <w:iCs w:val="0"/>
          <w:caps w:val="0"/>
          <w:color w:val="auto"/>
          <w:spacing w:val="0"/>
          <w:sz w:val="24"/>
          <w:szCs w:val="24"/>
          <w:highlight w:val="none"/>
          <w:lang w:val="en-US" w:eastAsia="zh-CN"/>
        </w:rPr>
        <w:t>(详见采购需求）</w:t>
      </w:r>
      <w:r>
        <w:rPr>
          <w:rFonts w:hint="eastAsia" w:ascii="宋体" w:hAnsi="宋体" w:eastAsia="宋体" w:cs="宋体"/>
          <w:i w:val="0"/>
          <w:iCs w:val="0"/>
          <w:caps w:val="0"/>
          <w:color w:val="auto"/>
          <w:spacing w:val="0"/>
          <w:sz w:val="24"/>
          <w:szCs w:val="24"/>
          <w:highlight w:val="none"/>
        </w:rPr>
        <w:t>。 </w:t>
      </w:r>
    </w:p>
    <w:p w14:paraId="56BC8B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960" w:firstLineChars="4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备注： </w:t>
      </w:r>
    </w:p>
    <w:p w14:paraId="1DAB652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lang w:val="en-US" w:eastAsia="zh-CN"/>
        </w:rPr>
      </w:pPr>
      <w:bookmarkStart w:id="6" w:name="OLE_LINK3"/>
      <w:r>
        <w:rPr>
          <w:rFonts w:hint="eastAsia" w:ascii="宋体" w:hAnsi="宋体" w:eastAsia="宋体" w:cs="宋体"/>
          <w:i w:val="0"/>
          <w:iCs w:val="0"/>
          <w:caps w:val="0"/>
          <w:color w:val="auto"/>
          <w:spacing w:val="0"/>
          <w:sz w:val="24"/>
          <w:szCs w:val="24"/>
          <w:highlight w:val="none"/>
        </w:rPr>
        <w:t>合同履约期限</w:t>
      </w:r>
      <w:bookmarkEnd w:id="6"/>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color w:val="auto"/>
          <w:sz w:val="24"/>
          <w:highlight w:val="none"/>
          <w:lang w:val="en-US" w:eastAsia="zh-CN"/>
        </w:rPr>
        <w:t>合同签订</w:t>
      </w:r>
      <w:r>
        <w:rPr>
          <w:rFonts w:hint="eastAsia" w:cs="宋体"/>
          <w:color w:val="auto"/>
          <w:sz w:val="24"/>
          <w:highlight w:val="none"/>
          <w:lang w:val="en-US" w:eastAsia="zh-CN"/>
        </w:rPr>
        <w:t>后60日内</w:t>
      </w:r>
      <w:r>
        <w:rPr>
          <w:rFonts w:hint="eastAsia" w:ascii="宋体" w:hAnsi="宋体" w:eastAsia="宋体" w:cs="宋体"/>
          <w:i w:val="0"/>
          <w:iCs w:val="0"/>
          <w:caps w:val="0"/>
          <w:color w:val="auto"/>
          <w:spacing w:val="0"/>
          <w:sz w:val="24"/>
          <w:szCs w:val="24"/>
          <w:highlight w:val="none"/>
          <w:lang w:eastAsia="zh-CN"/>
        </w:rPr>
        <w:t>。</w:t>
      </w:r>
    </w:p>
    <w:p w14:paraId="4F25542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4"/>
          <w:szCs w:val="24"/>
          <w:highlight w:val="none"/>
        </w:rPr>
        <w:t>本项目（否）接受联合体投标。</w:t>
      </w:r>
      <w:r>
        <w:rPr>
          <w:rFonts w:hint="eastAsia" w:ascii="宋体" w:hAnsi="宋体" w:eastAsia="宋体" w:cs="宋体"/>
          <w:i w:val="0"/>
          <w:iCs w:val="0"/>
          <w:caps w:val="0"/>
          <w:color w:val="auto"/>
          <w:spacing w:val="0"/>
          <w:sz w:val="20"/>
          <w:szCs w:val="20"/>
          <w:highlight w:val="none"/>
        </w:rPr>
        <w:t>  </w:t>
      </w:r>
    </w:p>
    <w:p w14:paraId="46C7361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color w:val="auto"/>
          <w:sz w:val="24"/>
          <w:szCs w:val="24"/>
          <w:highlight w:val="none"/>
        </w:rPr>
      </w:pPr>
      <w:r>
        <w:rPr>
          <w:rStyle w:val="37"/>
          <w:rFonts w:hint="eastAsia" w:ascii="宋体" w:hAnsi="宋体" w:eastAsia="宋体" w:cs="宋体"/>
          <w:b/>
          <w:bCs/>
          <w:i w:val="0"/>
          <w:iCs w:val="0"/>
          <w:caps w:val="0"/>
          <w:color w:val="auto"/>
          <w:spacing w:val="0"/>
          <w:sz w:val="24"/>
          <w:szCs w:val="24"/>
          <w:highlight w:val="none"/>
        </w:rPr>
        <w:t>二、申请人的资格要求：</w:t>
      </w:r>
    </w:p>
    <w:p w14:paraId="26CF187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1.满足《中华人民共和国政府采购法》第二十二条规定；</w:t>
      </w:r>
    </w:p>
    <w:p w14:paraId="1DBAC60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2.落实政府采购政策需满足的资格要求：标项1：</w:t>
      </w:r>
      <w:r>
        <w:rPr>
          <w:rFonts w:hint="eastAsia" w:cs="宋体"/>
          <w:i w:val="0"/>
          <w:iCs w:val="0"/>
          <w:caps w:val="0"/>
          <w:color w:val="auto"/>
          <w:spacing w:val="0"/>
          <w:sz w:val="24"/>
          <w:szCs w:val="24"/>
          <w:highlight w:val="none"/>
          <w:lang w:val="en-US" w:eastAsia="zh-CN"/>
        </w:rPr>
        <w:t>本项目专门面向中小企业</w:t>
      </w:r>
      <w:r>
        <w:rPr>
          <w:rFonts w:hint="eastAsia" w:ascii="宋体" w:hAnsi="宋体" w:eastAsia="宋体" w:cs="宋体"/>
          <w:i w:val="0"/>
          <w:iCs w:val="0"/>
          <w:caps w:val="0"/>
          <w:color w:val="auto"/>
          <w:spacing w:val="0"/>
          <w:sz w:val="24"/>
          <w:szCs w:val="24"/>
          <w:highlight w:val="none"/>
        </w:rPr>
        <w:t>；</w:t>
      </w:r>
    </w:p>
    <w:p w14:paraId="5F381DA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（1）《政府采购促进中小企业发展管理办法》（财库〔2020〕46 号）；</w:t>
      </w:r>
    </w:p>
    <w:p w14:paraId="581678E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（2）《财政部、司法部关于政府采购支持监狱企业发展有关问题的通知（财库〔2014〕68 号）；</w:t>
      </w:r>
    </w:p>
    <w:p w14:paraId="1FE52F8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（3）《国务院办公厅关于建立政府强制采购节能产品制度的通知》（国办发〔2007〕51 号）；</w:t>
      </w:r>
    </w:p>
    <w:p w14:paraId="7F6A178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val="en-US" w:eastAsia="zh-CN"/>
        </w:rPr>
        <w:t>（4）《财政部 民政部 中国残疾人联合会关于促进残疾人就业政府采购政策的通知》财库〔2017〕141 号。</w:t>
      </w:r>
    </w:p>
    <w:p w14:paraId="725AF3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（5）《国务院办公厅关于建立政府强制采购节能产品制度的通知》（国办 发〔2007〕51 号），投标产品为计算机、打印机、空调、照明产品、电视机、 电热水器、显示器、便器、水嘴等九大类政府强制采购的产品，必须为国家财政 部、环境保护部、国家发改委等有关部门发布的《环境标志产品政府采购清单》 和《节能产品政府采购清单》中的产品。</w:t>
      </w:r>
    </w:p>
    <w:p w14:paraId="4E4C36C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3.本项目的特定资格要求：</w:t>
      </w:r>
      <w:bookmarkStart w:id="7" w:name="OLE_LINK1"/>
      <w:r>
        <w:rPr>
          <w:rFonts w:hint="eastAsia" w:cs="宋体"/>
          <w:i w:val="0"/>
          <w:iCs w:val="0"/>
          <w:caps w:val="0"/>
          <w:color w:val="auto"/>
          <w:spacing w:val="0"/>
          <w:sz w:val="24"/>
          <w:szCs w:val="24"/>
          <w:highlight w:val="none"/>
          <w:lang w:val="en-US" w:eastAsia="zh-CN"/>
        </w:rPr>
        <w:t>无</w:t>
      </w:r>
      <w:r>
        <w:rPr>
          <w:rFonts w:hint="eastAsia" w:ascii="宋体" w:hAnsi="宋体" w:eastAsia="宋体" w:cs="宋体"/>
          <w:i w:val="0"/>
          <w:iCs w:val="0"/>
          <w:caps w:val="0"/>
          <w:color w:val="auto"/>
          <w:spacing w:val="0"/>
          <w:sz w:val="24"/>
          <w:szCs w:val="24"/>
          <w:highlight w:val="none"/>
          <w:lang w:val="en-US" w:eastAsia="zh-CN"/>
        </w:rPr>
        <w:t>。</w:t>
      </w:r>
      <w:bookmarkEnd w:id="7"/>
    </w:p>
    <w:p w14:paraId="44DAD9C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三、获取采购文件</w:t>
      </w:r>
    </w:p>
    <w:p w14:paraId="5C59D0A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时间：202</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年</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25</w:t>
      </w:r>
      <w:r>
        <w:rPr>
          <w:rFonts w:hint="eastAsia" w:ascii="宋体" w:hAnsi="宋体" w:eastAsia="宋体" w:cs="宋体"/>
          <w:i w:val="0"/>
          <w:iCs w:val="0"/>
          <w:caps w:val="0"/>
          <w:color w:val="auto"/>
          <w:spacing w:val="0"/>
          <w:sz w:val="24"/>
          <w:szCs w:val="24"/>
        </w:rPr>
        <w:t>日至</w:t>
      </w:r>
      <w:r>
        <w:rPr>
          <w:rFonts w:hint="eastAsia" w:ascii="宋体" w:hAnsi="宋体" w:eastAsia="宋体" w:cs="宋体"/>
          <w:i w:val="0"/>
          <w:iCs w:val="0"/>
          <w:caps w:val="0"/>
          <w:color w:val="auto"/>
          <w:spacing w:val="0"/>
          <w:sz w:val="24"/>
          <w:szCs w:val="24"/>
          <w:lang w:val="en-US" w:eastAsia="zh-CN"/>
        </w:rPr>
        <w:t>202</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年</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日，每天上午10:00至14:00，下午1</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0至</w:t>
      </w:r>
      <w:r>
        <w:rPr>
          <w:rFonts w:hint="eastAsia" w:cs="宋体"/>
          <w:i w:val="0"/>
          <w:iCs w:val="0"/>
          <w:caps w:val="0"/>
          <w:color w:val="auto"/>
          <w:spacing w:val="0"/>
          <w:sz w:val="24"/>
          <w:szCs w:val="24"/>
          <w:lang w:val="en-US" w:eastAsia="zh-CN"/>
        </w:rPr>
        <w:t>20</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0（北京时间，法定节假日除外）</w:t>
      </w:r>
    </w:p>
    <w:p w14:paraId="0C7FF4D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地点：政采云平台线上</w:t>
      </w:r>
    </w:p>
    <w:p w14:paraId="203394B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方式：供应商登录政采云平台https://www.zcygov.cn/在线申请获取采购文件（进入“项目采购”应用，在获取采购文件菜单中选择项目，申请获取采购文件） </w:t>
      </w:r>
    </w:p>
    <w:p w14:paraId="76A8D7C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售价（元）：0</w:t>
      </w:r>
    </w:p>
    <w:p w14:paraId="49DF541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四、响应文件提交</w:t>
      </w:r>
      <w:r>
        <w:rPr>
          <w:rFonts w:hint="eastAsia" w:ascii="宋体" w:hAnsi="宋体" w:eastAsia="宋体" w:cs="宋体"/>
          <w:i w:val="0"/>
          <w:iCs w:val="0"/>
          <w:caps w:val="0"/>
          <w:color w:val="auto"/>
          <w:spacing w:val="0"/>
          <w:sz w:val="24"/>
          <w:szCs w:val="24"/>
        </w:rPr>
        <w:t> </w:t>
      </w:r>
    </w:p>
    <w:p w14:paraId="6C5296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截止时间：</w:t>
      </w:r>
      <w:r>
        <w:rPr>
          <w:rFonts w:hint="eastAsia" w:ascii="宋体" w:hAnsi="宋体" w:eastAsia="宋体" w:cs="宋体"/>
          <w:i w:val="0"/>
          <w:iCs w:val="0"/>
          <w:caps w:val="0"/>
          <w:color w:val="auto"/>
          <w:spacing w:val="0"/>
          <w:sz w:val="24"/>
          <w:szCs w:val="24"/>
          <w:lang w:val="en-US" w:eastAsia="zh-CN"/>
        </w:rPr>
        <w:t>202</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年</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日</w:t>
      </w:r>
      <w:r>
        <w:rPr>
          <w:rFonts w:hint="eastAsia" w:ascii="宋体" w:hAnsi="宋体" w:eastAsia="宋体" w:cs="宋体"/>
          <w:i w:val="0"/>
          <w:iCs w:val="0"/>
          <w:caps w:val="0"/>
          <w:color w:val="auto"/>
          <w:spacing w:val="0"/>
          <w:sz w:val="24"/>
          <w:szCs w:val="24"/>
          <w:lang w:val="en-US" w:eastAsia="zh-CN"/>
        </w:rPr>
        <w:t>1</w:t>
      </w:r>
      <w:r>
        <w:rPr>
          <w:rFonts w:hint="eastAsia"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w:t>
      </w:r>
      <w:r>
        <w:rPr>
          <w:rFonts w:hint="eastAsia"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lang w:val="en-US" w:eastAsia="zh-CN"/>
        </w:rPr>
        <w:t>0</w:t>
      </w:r>
      <w:r>
        <w:rPr>
          <w:rFonts w:hint="eastAsia" w:ascii="宋体" w:hAnsi="宋体" w:eastAsia="宋体" w:cs="宋体"/>
          <w:i w:val="0"/>
          <w:iCs w:val="0"/>
          <w:caps w:val="0"/>
          <w:color w:val="auto"/>
          <w:spacing w:val="0"/>
          <w:sz w:val="24"/>
          <w:szCs w:val="24"/>
        </w:rPr>
        <w:t>（北京时间）</w:t>
      </w:r>
    </w:p>
    <w:p w14:paraId="333DE87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地点：请登录政采云投标客户端投标  </w:t>
      </w:r>
    </w:p>
    <w:p w14:paraId="4787ADD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right="0" w:firstLine="482" w:firstLineChars="20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五、响应文件开启</w:t>
      </w:r>
      <w:r>
        <w:rPr>
          <w:rFonts w:hint="eastAsia" w:ascii="宋体" w:hAnsi="宋体" w:eastAsia="宋体" w:cs="宋体"/>
          <w:i w:val="0"/>
          <w:iCs w:val="0"/>
          <w:caps w:val="0"/>
          <w:color w:val="auto"/>
          <w:spacing w:val="0"/>
          <w:sz w:val="24"/>
          <w:szCs w:val="24"/>
        </w:rPr>
        <w:t> </w:t>
      </w:r>
    </w:p>
    <w:p w14:paraId="133A268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开启时间：</w:t>
      </w:r>
      <w:r>
        <w:rPr>
          <w:rFonts w:hint="eastAsia" w:ascii="宋体" w:hAnsi="宋体" w:eastAsia="宋体" w:cs="宋体"/>
          <w:i w:val="0"/>
          <w:iCs w:val="0"/>
          <w:caps w:val="0"/>
          <w:color w:val="auto"/>
          <w:spacing w:val="0"/>
          <w:sz w:val="24"/>
          <w:szCs w:val="24"/>
          <w:lang w:val="en-US" w:eastAsia="zh-CN"/>
        </w:rPr>
        <w:t>202</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年</w:t>
      </w:r>
      <w:r>
        <w:rPr>
          <w:rFonts w:hint="eastAsia" w:cs="宋体"/>
          <w:i w:val="0"/>
          <w:iCs w:val="0"/>
          <w:caps w:val="0"/>
          <w:color w:val="auto"/>
          <w:spacing w:val="0"/>
          <w:sz w:val="24"/>
          <w:szCs w:val="24"/>
          <w:lang w:val="en-US" w:eastAsia="zh-CN"/>
        </w:rPr>
        <w:t>6</w:t>
      </w:r>
      <w:r>
        <w:rPr>
          <w:rFonts w:hint="eastAsia" w:ascii="宋体" w:hAnsi="宋体" w:eastAsia="宋体" w:cs="宋体"/>
          <w:i w:val="0"/>
          <w:iCs w:val="0"/>
          <w:caps w:val="0"/>
          <w:color w:val="auto"/>
          <w:spacing w:val="0"/>
          <w:sz w:val="24"/>
          <w:szCs w:val="24"/>
        </w:rPr>
        <w:t>月</w:t>
      </w: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日</w:t>
      </w:r>
      <w:r>
        <w:rPr>
          <w:rFonts w:hint="eastAsia" w:cs="宋体"/>
          <w:i w:val="0"/>
          <w:iCs w:val="0"/>
          <w:caps w:val="0"/>
          <w:color w:val="auto"/>
          <w:spacing w:val="0"/>
          <w:sz w:val="24"/>
          <w:szCs w:val="24"/>
          <w:lang w:val="en-US" w:eastAsia="zh-CN"/>
        </w:rPr>
        <w:t>11:00</w:t>
      </w:r>
      <w:r>
        <w:rPr>
          <w:rFonts w:hint="eastAsia" w:ascii="宋体" w:hAnsi="宋体" w:eastAsia="宋体" w:cs="宋体"/>
          <w:i w:val="0"/>
          <w:iCs w:val="0"/>
          <w:caps w:val="0"/>
          <w:color w:val="auto"/>
          <w:spacing w:val="0"/>
          <w:sz w:val="24"/>
          <w:szCs w:val="24"/>
        </w:rPr>
        <w:t>（北京时间）</w:t>
      </w:r>
    </w:p>
    <w:p w14:paraId="63713F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地点：</w:t>
      </w:r>
      <w:r>
        <w:rPr>
          <w:rFonts w:hint="eastAsia" w:cs="宋体"/>
          <w:i w:val="0"/>
          <w:iCs w:val="0"/>
          <w:caps w:val="0"/>
          <w:color w:val="auto"/>
          <w:spacing w:val="0"/>
          <w:sz w:val="24"/>
          <w:szCs w:val="24"/>
          <w:lang w:eastAsia="zh-CN"/>
        </w:rPr>
        <w:t>供应商</w:t>
      </w:r>
      <w:r>
        <w:rPr>
          <w:rFonts w:hint="eastAsia" w:ascii="宋体" w:hAnsi="宋体" w:eastAsia="宋体" w:cs="宋体"/>
          <w:i w:val="0"/>
          <w:iCs w:val="0"/>
          <w:caps w:val="0"/>
          <w:color w:val="auto"/>
          <w:spacing w:val="0"/>
          <w:sz w:val="24"/>
          <w:szCs w:val="24"/>
        </w:rPr>
        <w:t>登录政采云平台https://www.zcygov.cn/，进入“项目采购-开标评标-右边选择对应项目点击“进入项目”进入开标大厅。 </w:t>
      </w:r>
    </w:p>
    <w:p w14:paraId="40FDC7A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六、公告期限</w:t>
      </w:r>
    </w:p>
    <w:p w14:paraId="4F66DD5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  自本公告发布之日起</w:t>
      </w:r>
      <w:r>
        <w:rPr>
          <w:rFonts w:hint="eastAsia" w:cs="宋体"/>
          <w:i w:val="0"/>
          <w:iCs w:val="0"/>
          <w:caps w:val="0"/>
          <w:color w:val="auto"/>
          <w:spacing w:val="0"/>
          <w:sz w:val="24"/>
          <w:szCs w:val="24"/>
          <w:lang w:val="en-US" w:eastAsia="zh-CN"/>
        </w:rPr>
        <w:t>3</w:t>
      </w:r>
      <w:r>
        <w:rPr>
          <w:rFonts w:hint="eastAsia" w:ascii="宋体" w:hAnsi="宋体" w:eastAsia="宋体" w:cs="宋体"/>
          <w:i w:val="0"/>
          <w:iCs w:val="0"/>
          <w:caps w:val="0"/>
          <w:color w:val="auto"/>
          <w:spacing w:val="0"/>
          <w:sz w:val="24"/>
          <w:szCs w:val="24"/>
        </w:rPr>
        <w:t>个工作日。</w:t>
      </w:r>
    </w:p>
    <w:p w14:paraId="571ACA3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4"/>
          <w:szCs w:val="24"/>
        </w:rPr>
      </w:pPr>
      <w:r>
        <w:rPr>
          <w:rStyle w:val="37"/>
          <w:rFonts w:hint="eastAsia" w:ascii="宋体" w:hAnsi="宋体" w:eastAsia="宋体" w:cs="宋体"/>
          <w:b/>
          <w:bCs/>
          <w:i w:val="0"/>
          <w:iCs w:val="0"/>
          <w:caps w:val="0"/>
          <w:color w:val="auto"/>
          <w:spacing w:val="0"/>
          <w:sz w:val="24"/>
          <w:szCs w:val="24"/>
        </w:rPr>
        <w:t>七、其他补充事宜</w:t>
      </w:r>
      <w:r>
        <w:rPr>
          <w:rFonts w:hint="eastAsia" w:ascii="宋体" w:hAnsi="宋体" w:eastAsia="宋体" w:cs="宋体"/>
          <w:i w:val="0"/>
          <w:iCs w:val="0"/>
          <w:caps w:val="0"/>
          <w:color w:val="auto"/>
          <w:spacing w:val="0"/>
          <w:sz w:val="24"/>
          <w:szCs w:val="24"/>
        </w:rPr>
        <w:t> </w:t>
      </w:r>
    </w:p>
    <w:p w14:paraId="2F7A92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1.本次公告在新疆政府采购网</w:t>
      </w:r>
      <w:r>
        <w:rPr>
          <w:rFonts w:hint="eastAsia" w:ascii="宋体" w:hAnsi="宋体" w:cs="宋体"/>
          <w:color w:val="auto"/>
          <w:sz w:val="24"/>
          <w:szCs w:val="24"/>
          <w:lang w:val="en-US" w:eastAsia="zh-CN"/>
        </w:rPr>
        <w:t>上</w:t>
      </w:r>
      <w:r>
        <w:rPr>
          <w:rFonts w:hint="eastAsia" w:ascii="宋体" w:hAnsi="宋体" w:eastAsia="宋体" w:cs="宋体"/>
          <w:color w:val="auto"/>
          <w:sz w:val="24"/>
          <w:szCs w:val="24"/>
          <w:lang w:val="en-US" w:eastAsia="zh-CN"/>
        </w:rPr>
        <w:t>发布。</w:t>
      </w:r>
    </w:p>
    <w:p w14:paraId="5F9F51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2.请各</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随时关注本项目的澄清、答疑、变更事项。</w:t>
      </w:r>
    </w:p>
    <w:p w14:paraId="7D0E72D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采购活动。</w:t>
      </w:r>
    </w:p>
    <w:p w14:paraId="1A3437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4.供应商单位负责人为同一人或者存在直接控股、管理关系的不同供应商，不得参加同一合同项下的招标活动。</w:t>
      </w:r>
    </w:p>
    <w:p w14:paraId="7CD664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5.本次采购项目采用电子交易方式，电子交易平台为新疆政府采购云平台。供应商参与本项目电子交易活动前，应注册成为新疆政府采购云平台供应商。编制电子</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前还需申领CA证书并绑定帐号。</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应充分考虑完成平台注册、申领CA证书等所需的时间。因未注册入库、未办理CA数字证书等原因造成无法投标或投标失败等后果由供应商自行承担。</w:t>
      </w:r>
    </w:p>
    <w:p w14:paraId="313019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6.供应商可前往新疆政府采购网（http://www.ccgp-xinjiang.gov.cn/）下载专区，下载政采云投标客户端，安装完成后，可通过账号密码或CA登录客户端进行</w:t>
      </w:r>
      <w:r>
        <w:rPr>
          <w:rFonts w:hint="eastAsia" w:ascii="宋体" w:hAnsi="宋体" w:cs="宋体"/>
          <w:color w:val="auto"/>
          <w:sz w:val="24"/>
          <w:szCs w:val="24"/>
          <w:lang w:val="en-US" w:eastAsia="zh-CN"/>
        </w:rPr>
        <w:t>响应文件</w:t>
      </w:r>
      <w:r>
        <w:rPr>
          <w:rFonts w:hint="eastAsia" w:ascii="宋体" w:hAnsi="宋体" w:eastAsia="宋体" w:cs="宋体"/>
          <w:color w:val="auto"/>
          <w:sz w:val="24"/>
          <w:szCs w:val="24"/>
          <w:lang w:val="en-US" w:eastAsia="zh-CN"/>
        </w:rPr>
        <w:t>制作。在使用政采云电子投标客户端时，如有问题可拨打政采云客户服务热线400-881-7190进行咨询。</w:t>
      </w:r>
    </w:p>
    <w:p w14:paraId="3316E5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特别提示：</w:t>
      </w:r>
    </w:p>
    <w:p w14:paraId="6FE870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1、采购限额标准以上，200万元以下的货物和服务采购项目、400万元以下的工程采购项目，适宜由中小企业提供的，采购人应当专门面向中小企业采购。</w:t>
      </w:r>
    </w:p>
    <w:p w14:paraId="1388A8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2、超过200万元的货物和服务采购项目，预留该部分采购项目预算总额的30%以上专门面向中小企业采购，其中预留给小微企业的比例不低于60%。</w:t>
      </w:r>
    </w:p>
    <w:p w14:paraId="49357F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3、超过400万元的工程采购项目中适宜由中小企业提供的，预留该部分采购项目预算总额的40%以上专门面向中小企业采购，其中预留给小微企业的比例不低于60%。</w:t>
      </w:r>
    </w:p>
    <w:p w14:paraId="5805DE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20%（工程项目为3%</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5%作为其价格分。</w:t>
      </w:r>
    </w:p>
    <w:p w14:paraId="78F978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color w:val="auto"/>
          <w:sz w:val="21"/>
          <w:szCs w:val="21"/>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6%（工程项目为1%</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color w:val="auto"/>
          <w:sz w:val="21"/>
          <w:szCs w:val="21"/>
          <w:vertAlign w:val="baseline"/>
          <w:lang w:val="en-US" w:eastAsia="zh-CN"/>
        </w:rPr>
        <w:t>～</w:t>
      </w:r>
      <w:r>
        <w:rPr>
          <w:rFonts w:hint="eastAsia" w:ascii="宋体" w:hAnsi="宋体" w:eastAsia="宋体" w:cs="宋体"/>
          <w:color w:val="auto"/>
          <w:sz w:val="21"/>
          <w:szCs w:val="21"/>
          <w:lang w:val="en-US" w:eastAsia="zh-CN"/>
        </w:rPr>
        <w:t>2%作为其价格分。</w:t>
      </w:r>
    </w:p>
    <w:p w14:paraId="63B32E2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400" w:lineRule="exact"/>
        <w:ind w:left="0" w:right="0" w:firstLine="482" w:firstLineChars="200"/>
        <w:jc w:val="both"/>
        <w:textAlignment w:val="auto"/>
        <w:rPr>
          <w:rFonts w:hint="eastAsia" w:ascii="宋体" w:hAnsi="宋体" w:eastAsia="宋体" w:cs="宋体"/>
          <w:color w:val="auto"/>
          <w:sz w:val="28"/>
          <w:szCs w:val="28"/>
        </w:rPr>
      </w:pPr>
      <w:r>
        <w:rPr>
          <w:rStyle w:val="37"/>
          <w:rFonts w:hint="eastAsia" w:ascii="宋体" w:hAnsi="宋体" w:eastAsia="宋体" w:cs="宋体"/>
          <w:b/>
          <w:bCs/>
          <w:i w:val="0"/>
          <w:iCs w:val="0"/>
          <w:caps w:val="0"/>
          <w:color w:val="auto"/>
          <w:spacing w:val="0"/>
          <w:sz w:val="24"/>
          <w:szCs w:val="24"/>
        </w:rPr>
        <w:t>八、凡对本次招标提出询问，请按以下方式联系</w:t>
      </w:r>
    </w:p>
    <w:p w14:paraId="1C51E50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1.采购人信息</w:t>
      </w:r>
    </w:p>
    <w:p w14:paraId="4DD331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名 称：</w:t>
      </w:r>
      <w:r>
        <w:rPr>
          <w:rFonts w:hint="eastAsia" w:cs="宋体"/>
          <w:i w:val="0"/>
          <w:iCs w:val="0"/>
          <w:caps w:val="0"/>
          <w:color w:val="auto"/>
          <w:spacing w:val="0"/>
          <w:sz w:val="24"/>
          <w:szCs w:val="24"/>
          <w:lang w:val="en-US" w:eastAsia="zh-CN"/>
        </w:rPr>
        <w:t xml:space="preserve">拜城县财政局 </w:t>
      </w:r>
    </w:p>
    <w:p w14:paraId="6CDA439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地 址：</w:t>
      </w:r>
      <w:r>
        <w:rPr>
          <w:rFonts w:hint="eastAsia" w:cs="宋体"/>
          <w:i w:val="0"/>
          <w:iCs w:val="0"/>
          <w:caps w:val="0"/>
          <w:color w:val="auto"/>
          <w:spacing w:val="0"/>
          <w:sz w:val="24"/>
          <w:szCs w:val="24"/>
          <w:lang w:val="en-US" w:eastAsia="zh-CN"/>
        </w:rPr>
        <w:t xml:space="preserve">拜城县胜利路32号 </w:t>
      </w:r>
    </w:p>
    <w:p w14:paraId="5B6C060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联系方式</w:t>
      </w:r>
      <w:r>
        <w:rPr>
          <w:rFonts w:hint="eastAsia" w:ascii="宋体" w:hAnsi="宋体" w:eastAsia="宋体" w:cs="宋体"/>
          <w:i w:val="0"/>
          <w:iCs w:val="0"/>
          <w:caps w:val="0"/>
          <w:color w:val="auto"/>
          <w:spacing w:val="0"/>
          <w:sz w:val="24"/>
          <w:szCs w:val="24"/>
          <w:highlight w:val="none"/>
        </w:rPr>
        <w:t>：</w:t>
      </w:r>
      <w:r>
        <w:rPr>
          <w:rFonts w:hint="eastAsia" w:cs="宋体"/>
          <w:i w:val="0"/>
          <w:iCs w:val="0"/>
          <w:caps w:val="0"/>
          <w:color w:val="auto"/>
          <w:spacing w:val="0"/>
          <w:sz w:val="24"/>
          <w:szCs w:val="24"/>
          <w:highlight w:val="none"/>
          <w:lang w:val="en-US" w:eastAsia="zh-CN"/>
        </w:rPr>
        <w:t xml:space="preserve">15022975603 </w:t>
      </w:r>
    </w:p>
    <w:p w14:paraId="7DD463B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2.采购代理机构信息</w:t>
      </w:r>
    </w:p>
    <w:p w14:paraId="466D4E2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名 称：新疆恒泽工程项目管理有限公司</w:t>
      </w:r>
    </w:p>
    <w:p w14:paraId="53138A2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地 址：新疆阿克苏地区阿克苏市新城街道阿苏克社区民主南路新农大厦19层</w:t>
      </w:r>
    </w:p>
    <w:p w14:paraId="5763A71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联系方式：</w:t>
      </w:r>
      <w:r>
        <w:rPr>
          <w:rFonts w:hint="eastAsia" w:cs="宋体"/>
          <w:i w:val="0"/>
          <w:iCs w:val="0"/>
          <w:caps w:val="0"/>
          <w:color w:val="auto"/>
          <w:spacing w:val="0"/>
          <w:sz w:val="24"/>
          <w:szCs w:val="24"/>
          <w:lang w:val="en-US" w:eastAsia="zh-CN"/>
        </w:rPr>
        <w:t>18699765591</w:t>
      </w:r>
    </w:p>
    <w:p w14:paraId="21B14EE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3.项目联系方式</w:t>
      </w:r>
    </w:p>
    <w:p w14:paraId="094CA2F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项目联系人：</w:t>
      </w:r>
      <w:r>
        <w:rPr>
          <w:rFonts w:hint="eastAsia" w:cs="宋体"/>
          <w:i w:val="0"/>
          <w:iCs w:val="0"/>
          <w:caps w:val="0"/>
          <w:color w:val="auto"/>
          <w:spacing w:val="0"/>
          <w:sz w:val="24"/>
          <w:szCs w:val="24"/>
          <w:lang w:val="en-US" w:eastAsia="zh-CN"/>
        </w:rPr>
        <w:t>刘鑫   孙喜成</w:t>
      </w:r>
    </w:p>
    <w:p w14:paraId="7EA4CBE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rPr>
        <w:t>电 话：</w:t>
      </w:r>
      <w:bookmarkStart w:id="8" w:name="_Toc1347"/>
      <w:bookmarkStart w:id="9" w:name="_Toc10571"/>
      <w:r>
        <w:rPr>
          <w:rFonts w:hint="eastAsia" w:cs="宋体"/>
          <w:i w:val="0"/>
          <w:iCs w:val="0"/>
          <w:caps w:val="0"/>
          <w:color w:val="auto"/>
          <w:spacing w:val="0"/>
          <w:sz w:val="24"/>
          <w:szCs w:val="24"/>
          <w:lang w:val="en-US" w:eastAsia="zh-CN"/>
        </w:rPr>
        <w:t>18096956372  15886859066</w:t>
      </w:r>
    </w:p>
    <w:bookmarkEnd w:id="5"/>
    <w:p w14:paraId="0F340BB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邮箱号：</w:t>
      </w:r>
      <w:r>
        <w:rPr>
          <w:rFonts w:hint="eastAsia" w:ascii="宋体" w:hAnsi="宋体" w:eastAsia="宋体" w:cs="宋体"/>
          <w:color w:val="auto"/>
          <w:kern w:val="0"/>
          <w:sz w:val="24"/>
          <w:lang w:val="en-US" w:eastAsia="zh-CN"/>
        </w:rPr>
        <w:fldChar w:fldCharType="begin"/>
      </w:r>
      <w:r>
        <w:rPr>
          <w:rFonts w:hint="eastAsia" w:ascii="宋体" w:hAnsi="宋体" w:eastAsia="宋体" w:cs="宋体"/>
          <w:color w:val="auto"/>
          <w:kern w:val="0"/>
          <w:sz w:val="24"/>
          <w:lang w:val="en-US" w:eastAsia="zh-CN"/>
        </w:rPr>
        <w:instrText xml:space="preserve"> HYPERLINK "mailto:350381444@qq.co" </w:instrText>
      </w:r>
      <w:r>
        <w:rPr>
          <w:rFonts w:hint="eastAsia" w:ascii="宋体" w:hAnsi="宋体" w:eastAsia="宋体" w:cs="宋体"/>
          <w:color w:val="auto"/>
          <w:kern w:val="0"/>
          <w:sz w:val="24"/>
          <w:lang w:val="en-US" w:eastAsia="zh-CN"/>
        </w:rPr>
        <w:fldChar w:fldCharType="separate"/>
      </w:r>
      <w:r>
        <w:rPr>
          <w:rStyle w:val="39"/>
          <w:rFonts w:hint="eastAsia" w:cs="宋体"/>
          <w:color w:val="auto"/>
          <w:kern w:val="0"/>
          <w:sz w:val="24"/>
          <w:lang w:val="en-US" w:eastAsia="zh-CN"/>
        </w:rPr>
        <w:t>1813257708</w:t>
      </w:r>
      <w:r>
        <w:rPr>
          <w:rStyle w:val="39"/>
          <w:rFonts w:hint="eastAsia" w:ascii="宋体" w:hAnsi="宋体" w:eastAsia="宋体" w:cs="宋体"/>
          <w:color w:val="auto"/>
          <w:kern w:val="0"/>
          <w:sz w:val="24"/>
          <w:lang w:val="en-US" w:eastAsia="zh-CN"/>
        </w:rPr>
        <w:t>@qq.co</w:t>
      </w:r>
      <w:r>
        <w:rPr>
          <w:rFonts w:hint="eastAsia" w:ascii="宋体" w:hAnsi="宋体" w:eastAsia="宋体" w:cs="宋体"/>
          <w:color w:val="auto"/>
          <w:kern w:val="0"/>
          <w:sz w:val="24"/>
          <w:lang w:val="en-US" w:eastAsia="zh-CN"/>
        </w:rPr>
        <w:fldChar w:fldCharType="end"/>
      </w:r>
      <w:r>
        <w:rPr>
          <w:rFonts w:hint="eastAsia" w:ascii="宋体" w:hAnsi="宋体" w:eastAsia="宋体" w:cs="宋体"/>
          <w:color w:val="auto"/>
          <w:kern w:val="0"/>
          <w:sz w:val="24"/>
          <w:lang w:val="en-US" w:eastAsia="zh-CN"/>
        </w:rPr>
        <w:t xml:space="preserve">m </w:t>
      </w:r>
    </w:p>
    <w:p w14:paraId="002348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color w:val="auto"/>
          <w:kern w:val="0"/>
          <w:sz w:val="24"/>
          <w:lang w:val="en-US" w:eastAsia="zh-CN"/>
        </w:rPr>
      </w:pPr>
    </w:p>
    <w:p w14:paraId="512E2E6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ascii="宋体" w:hAnsi="宋体" w:eastAsia="宋体" w:cs="宋体"/>
          <w:i w:val="0"/>
          <w:iCs w:val="0"/>
          <w:caps w:val="0"/>
          <w:color w:val="auto"/>
          <w:spacing w:val="0"/>
          <w:sz w:val="24"/>
          <w:szCs w:val="24"/>
          <w:lang w:val="en-US" w:eastAsia="zh-CN"/>
        </w:rPr>
      </w:pPr>
    </w:p>
    <w:p w14:paraId="457FCAC2">
      <w:pPr>
        <w:pStyle w:val="2"/>
        <w:numPr>
          <w:ilvl w:val="0"/>
          <w:numId w:val="1"/>
        </w:numPr>
        <w:spacing w:before="0" w:after="0" w:line="240" w:lineRule="auto"/>
        <w:ind w:left="0" w:leftChars="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0" w:name="_Toc136"/>
      <w:bookmarkStart w:id="11" w:name="_Toc25381"/>
      <w:bookmarkStart w:id="12" w:name="_Toc21077"/>
      <w:r>
        <w:rPr>
          <w:rFonts w:hint="eastAsia" w:ascii="宋体" w:hAnsi="宋体" w:eastAsia="宋体" w:cs="宋体"/>
          <w:color w:val="auto"/>
          <w:lang w:val="en-US" w:eastAsia="zh-CN"/>
        </w:rPr>
        <w:t>供应商须知</w:t>
      </w:r>
      <w:bookmarkEnd w:id="8"/>
      <w:bookmarkEnd w:id="9"/>
      <w:bookmarkEnd w:id="10"/>
      <w:bookmarkEnd w:id="11"/>
      <w:bookmarkEnd w:id="12"/>
      <w:bookmarkStart w:id="13" w:name="_Toc21720"/>
    </w:p>
    <w:p w14:paraId="738AA12C">
      <w:pPr>
        <w:pStyle w:val="3"/>
        <w:jc w:val="center"/>
        <w:rPr>
          <w:rFonts w:hint="eastAsia" w:ascii="宋体" w:hAnsi="宋体" w:eastAsia="宋体" w:cs="宋体"/>
          <w:color w:val="auto"/>
        </w:rPr>
      </w:pPr>
      <w:r>
        <w:rPr>
          <w:rFonts w:hint="eastAsia" w:ascii="宋体" w:hAnsi="宋体" w:eastAsia="宋体" w:cs="宋体"/>
          <w:color w:val="auto"/>
        </w:rPr>
        <w:t>供应商须知前附表</w:t>
      </w:r>
      <w:bookmarkEnd w:id="13"/>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14:paraId="6756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17" w:type="dxa"/>
            <w:vAlign w:val="center"/>
          </w:tcPr>
          <w:p w14:paraId="0103C802">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序列号</w:t>
            </w:r>
          </w:p>
        </w:tc>
        <w:tc>
          <w:tcPr>
            <w:tcW w:w="2647" w:type="dxa"/>
            <w:vAlign w:val="center"/>
          </w:tcPr>
          <w:p w14:paraId="26B375D6">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条款名称</w:t>
            </w:r>
          </w:p>
        </w:tc>
        <w:tc>
          <w:tcPr>
            <w:tcW w:w="6038" w:type="dxa"/>
            <w:vAlign w:val="center"/>
          </w:tcPr>
          <w:p w14:paraId="266D6D81">
            <w:pPr>
              <w:adjustRightInd w:val="0"/>
              <w:snapToGrid w:val="0"/>
              <w:spacing w:before="120" w:beforeLines="50" w:line="360" w:lineRule="auto"/>
              <w:jc w:val="center"/>
              <w:rPr>
                <w:rFonts w:hint="eastAsia" w:ascii="宋体" w:hAnsi="宋体" w:eastAsia="宋体" w:cs="宋体"/>
                <w:b/>
                <w:color w:val="auto"/>
                <w:sz w:val="24"/>
                <w:szCs w:val="24"/>
                <w:u w:val="none"/>
              </w:rPr>
            </w:pPr>
            <w:r>
              <w:rPr>
                <w:rFonts w:hint="eastAsia" w:ascii="宋体" w:hAnsi="宋体" w:eastAsia="宋体" w:cs="宋体"/>
                <w:b/>
                <w:color w:val="auto"/>
                <w:sz w:val="24"/>
                <w:szCs w:val="24"/>
                <w:u w:val="none"/>
              </w:rPr>
              <w:t>编列内容规定</w:t>
            </w:r>
          </w:p>
        </w:tc>
      </w:tr>
      <w:tr w14:paraId="2988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24C8171">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1.1.1</w:t>
            </w:r>
          </w:p>
        </w:tc>
        <w:tc>
          <w:tcPr>
            <w:tcW w:w="2647" w:type="dxa"/>
            <w:vAlign w:val="center"/>
          </w:tcPr>
          <w:p w14:paraId="0A1E2C21">
            <w:pPr>
              <w:adjustRightInd w:val="0"/>
              <w:snapToGrid w:val="0"/>
              <w:spacing w:before="120" w:beforeLines="50" w:line="360" w:lineRule="auto"/>
              <w:jc w:val="center"/>
              <w:rPr>
                <w:rFonts w:hint="eastAsia" w:ascii="宋体" w:hAnsi="宋体" w:eastAsia="宋体" w:cs="宋体"/>
                <w:b/>
                <w:bCs/>
                <w:color w:val="auto"/>
                <w:sz w:val="24"/>
                <w:szCs w:val="24"/>
                <w:highlight w:val="green"/>
                <w:u w:val="none"/>
              </w:rPr>
            </w:pPr>
            <w:r>
              <w:rPr>
                <w:rFonts w:hint="eastAsia" w:ascii="宋体" w:hAnsi="宋体" w:eastAsia="宋体" w:cs="宋体"/>
                <w:b/>
                <w:bCs/>
                <w:color w:val="auto"/>
                <w:sz w:val="24"/>
                <w:szCs w:val="24"/>
                <w:u w:val="none"/>
              </w:rPr>
              <w:t>项目名称</w:t>
            </w:r>
          </w:p>
        </w:tc>
        <w:tc>
          <w:tcPr>
            <w:tcW w:w="6038" w:type="dxa"/>
            <w:vAlign w:val="center"/>
          </w:tcPr>
          <w:p w14:paraId="334E61AD">
            <w:pPr>
              <w:adjustRightInd w:val="0"/>
              <w:snapToGrid w:val="0"/>
              <w:spacing w:before="120" w:beforeLines="50" w:line="360" w:lineRule="auto"/>
              <w:jc w:val="left"/>
              <w:rPr>
                <w:rFonts w:hint="eastAsia" w:ascii="宋体" w:hAnsi="宋体" w:eastAsia="宋体" w:cs="宋体"/>
                <w:color w:val="auto"/>
                <w:sz w:val="24"/>
                <w:szCs w:val="24"/>
                <w:highlight w:val="green"/>
                <w:u w:val="none"/>
                <w:lang w:val="en-US"/>
              </w:rPr>
            </w:pPr>
            <w:r>
              <w:rPr>
                <w:rFonts w:hint="eastAsia" w:ascii="宋体" w:hAnsi="宋体" w:cs="宋体"/>
                <w:color w:val="auto"/>
                <w:sz w:val="24"/>
                <w:szCs w:val="24"/>
                <w:highlight w:val="none"/>
                <w:u w:val="none"/>
                <w:lang w:val="en-US" w:eastAsia="zh-CN"/>
              </w:rPr>
              <w:t>2024-2025年政府投资项目审计服务</w:t>
            </w:r>
          </w:p>
        </w:tc>
      </w:tr>
      <w:tr w14:paraId="31E8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DFFF203">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1.2.1</w:t>
            </w:r>
          </w:p>
        </w:tc>
        <w:tc>
          <w:tcPr>
            <w:tcW w:w="2647" w:type="dxa"/>
            <w:vAlign w:val="center"/>
          </w:tcPr>
          <w:p w14:paraId="30A76EBE">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采购人</w:t>
            </w:r>
          </w:p>
        </w:tc>
        <w:tc>
          <w:tcPr>
            <w:tcW w:w="6038" w:type="dxa"/>
            <w:vAlign w:val="center"/>
          </w:tcPr>
          <w:p w14:paraId="1C2A5543">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采购人：拜城县财政局 </w:t>
            </w:r>
          </w:p>
          <w:p w14:paraId="57A57485">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地  址：拜城县胜利路32号  </w:t>
            </w:r>
          </w:p>
          <w:p w14:paraId="0A6085AD">
            <w:pPr>
              <w:pStyle w:val="32"/>
              <w:spacing w:line="360" w:lineRule="auto"/>
              <w:ind w:left="0" w:leftChars="0" w:firstLine="0" w:firstLineChars="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联系人：李梦鑫 </w:t>
            </w:r>
          </w:p>
          <w:p w14:paraId="0C24092F">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highlight w:val="none"/>
                <w:lang w:val="en-US" w:eastAsia="zh-CN"/>
              </w:rPr>
              <w:t xml:space="preserve">电  话：15022975603 </w:t>
            </w:r>
            <w:r>
              <w:rPr>
                <w:rFonts w:hint="eastAsia" w:ascii="宋体" w:hAnsi="宋体" w:eastAsia="宋体" w:cs="宋体"/>
                <w:color w:val="auto"/>
                <w:kern w:val="0"/>
                <w:sz w:val="24"/>
                <w:lang w:val="en-US" w:eastAsia="zh-CN"/>
              </w:rPr>
              <w:t xml:space="preserve">                     </w:t>
            </w:r>
          </w:p>
        </w:tc>
      </w:tr>
      <w:tr w14:paraId="5FFD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5FA689E">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1.2.2</w:t>
            </w:r>
          </w:p>
        </w:tc>
        <w:tc>
          <w:tcPr>
            <w:tcW w:w="2647" w:type="dxa"/>
            <w:vAlign w:val="center"/>
          </w:tcPr>
          <w:p w14:paraId="5C8B5126">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采购代理机构</w:t>
            </w:r>
          </w:p>
        </w:tc>
        <w:tc>
          <w:tcPr>
            <w:tcW w:w="6038" w:type="dxa"/>
            <w:vAlign w:val="center"/>
          </w:tcPr>
          <w:p w14:paraId="62796078">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名  称：新疆恒泽工程项目管理有限公司</w:t>
            </w:r>
          </w:p>
          <w:p w14:paraId="55539CAA">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zh-CN" w:eastAsia="zh-CN"/>
              </w:rPr>
              <w:t>地  址：新疆阿克苏地区阿克苏市新城街道阿苏克社区民主南路新农大厦19层</w:t>
            </w:r>
          </w:p>
          <w:p w14:paraId="0A81C319">
            <w:pPr>
              <w:pStyle w:val="32"/>
              <w:spacing w:line="360" w:lineRule="auto"/>
              <w:ind w:left="0" w:leftChars="0" w:firstLine="0" w:firstLineChars="0"/>
              <w:rPr>
                <w:rStyle w:val="41"/>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color w:val="auto"/>
                <w:kern w:val="0"/>
                <w:sz w:val="24"/>
                <w:lang w:val="en-US" w:eastAsia="zh-CN"/>
              </w:rPr>
              <w:t>项目经办人</w:t>
            </w:r>
            <w:r>
              <w:rPr>
                <w:rFonts w:hint="eastAsia" w:ascii="宋体" w:hAnsi="宋体" w:eastAsia="宋体" w:cs="宋体"/>
                <w:color w:val="auto"/>
                <w:kern w:val="0"/>
                <w:sz w:val="24"/>
                <w:lang w:val="zh-CN" w:eastAsia="zh-CN"/>
              </w:rPr>
              <w:t>：</w:t>
            </w:r>
            <w:r>
              <w:rPr>
                <w:rStyle w:val="41"/>
                <w:rFonts w:hint="eastAsia" w:ascii="宋体" w:hAnsi="宋体" w:eastAsia="宋体" w:cs="宋体"/>
                <w:i w:val="0"/>
                <w:iCs w:val="0"/>
                <w:caps w:val="0"/>
                <w:color w:val="auto"/>
                <w:spacing w:val="0"/>
                <w:sz w:val="24"/>
                <w:szCs w:val="24"/>
                <w:lang w:val="en-US" w:eastAsia="zh-CN"/>
              </w:rPr>
              <w:t xml:space="preserve">刘鑫   </w:t>
            </w:r>
          </w:p>
          <w:p w14:paraId="6BB1749A">
            <w:pPr>
              <w:pStyle w:val="32"/>
              <w:spacing w:line="360" w:lineRule="auto"/>
              <w:ind w:left="0" w:leftChars="0" w:firstLine="0" w:firstLineChars="0"/>
              <w:rPr>
                <w:rFonts w:hint="default" w:ascii="宋体" w:hAnsi="宋体" w:eastAsia="宋体" w:cs="宋体"/>
                <w:color w:val="auto"/>
                <w:kern w:val="0"/>
                <w:sz w:val="24"/>
                <w:lang w:val="en-US" w:eastAsia="zh-CN"/>
              </w:rPr>
            </w:pPr>
            <w:r>
              <w:rPr>
                <w:rStyle w:val="41"/>
                <w:rFonts w:hint="eastAsia" w:ascii="宋体" w:hAnsi="宋体" w:eastAsia="宋体" w:cs="宋体"/>
                <w:i w:val="0"/>
                <w:iCs w:val="0"/>
                <w:caps w:val="0"/>
                <w:color w:val="auto"/>
                <w:spacing w:val="0"/>
                <w:sz w:val="24"/>
                <w:szCs w:val="24"/>
                <w:lang w:val="en-US" w:eastAsia="zh-CN"/>
              </w:rPr>
              <w:t>项目负责人：孙喜成</w:t>
            </w:r>
          </w:p>
          <w:p w14:paraId="6EC497DD">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zh-CN" w:eastAsia="zh-CN"/>
              </w:rPr>
              <w:t>电  话：</w:t>
            </w:r>
            <w:r>
              <w:rPr>
                <w:rFonts w:hint="eastAsia" w:ascii="宋体" w:hAnsi="宋体" w:eastAsia="宋体" w:cs="宋体"/>
                <w:color w:val="auto"/>
                <w:kern w:val="0"/>
                <w:sz w:val="24"/>
                <w:lang w:val="en-US" w:eastAsia="zh-CN"/>
              </w:rPr>
              <w:t>18096956372</w:t>
            </w:r>
            <w:r>
              <w:rPr>
                <w:rFonts w:hint="eastAsia" w:ascii="宋体" w:hAnsi="宋体" w:eastAsia="宋体" w:cs="宋体"/>
                <w:color w:val="auto"/>
                <w:kern w:val="0"/>
                <w:sz w:val="24"/>
                <w:lang w:val="zh-CN" w:eastAsia="zh-CN"/>
              </w:rPr>
              <w:t xml:space="preserve"> </w:t>
            </w:r>
            <w:r>
              <w:rPr>
                <w:rFonts w:hint="eastAsia" w:ascii="宋体" w:hAnsi="宋体" w:eastAsia="宋体" w:cs="宋体"/>
                <w:color w:val="auto"/>
                <w:kern w:val="0"/>
                <w:sz w:val="24"/>
                <w:lang w:val="en-US" w:eastAsia="zh-CN"/>
              </w:rPr>
              <w:t xml:space="preserve">    15886859066 </w:t>
            </w:r>
          </w:p>
          <w:p w14:paraId="51703CC5">
            <w:pPr>
              <w:pStyle w:val="32"/>
              <w:spacing w:line="360" w:lineRule="auto"/>
              <w:ind w:left="0" w:leftChars="0" w:firstLine="0" w:firstLineChars="0"/>
              <w:rPr>
                <w:rFonts w:hint="eastAsia" w:ascii="宋体" w:hAnsi="宋体" w:eastAsia="宋体" w:cs="宋体"/>
                <w:color w:val="auto"/>
                <w:kern w:val="0"/>
                <w:sz w:val="24"/>
                <w:lang w:val="zh-CN" w:eastAsia="zh-CN"/>
              </w:rPr>
            </w:pPr>
            <w:r>
              <w:rPr>
                <w:rFonts w:hint="eastAsia" w:ascii="宋体" w:hAnsi="宋体" w:eastAsia="宋体" w:cs="宋体"/>
                <w:color w:val="auto"/>
                <w:kern w:val="0"/>
                <w:sz w:val="24"/>
                <w:lang w:val="en-US" w:eastAsia="zh-CN"/>
              </w:rPr>
              <w:t>邮箱号：</w:t>
            </w:r>
            <w:r>
              <w:rPr>
                <w:rFonts w:hint="eastAsia" w:ascii="宋体" w:hAnsi="宋体" w:eastAsia="宋体" w:cs="宋体"/>
                <w:color w:val="auto"/>
                <w:kern w:val="0"/>
                <w:sz w:val="24"/>
                <w:lang w:val="en-US" w:eastAsia="zh-CN"/>
              </w:rPr>
              <w:fldChar w:fldCharType="begin"/>
            </w:r>
            <w:r>
              <w:rPr>
                <w:rFonts w:hint="eastAsia" w:ascii="宋体" w:hAnsi="宋体" w:eastAsia="宋体" w:cs="宋体"/>
                <w:color w:val="auto"/>
                <w:kern w:val="0"/>
                <w:sz w:val="24"/>
                <w:lang w:val="en-US" w:eastAsia="zh-CN"/>
              </w:rPr>
              <w:instrText xml:space="preserve"> HYPERLINK "mailto:350381444@qq.co" </w:instrText>
            </w:r>
            <w:r>
              <w:rPr>
                <w:rFonts w:hint="eastAsia" w:ascii="宋体" w:hAnsi="宋体" w:eastAsia="宋体" w:cs="宋体"/>
                <w:color w:val="auto"/>
                <w:kern w:val="0"/>
                <w:sz w:val="24"/>
                <w:lang w:val="en-US" w:eastAsia="zh-CN"/>
              </w:rPr>
              <w:fldChar w:fldCharType="separate"/>
            </w:r>
            <w:r>
              <w:rPr>
                <w:rStyle w:val="39"/>
                <w:rFonts w:hint="eastAsia" w:ascii="宋体" w:hAnsi="宋体" w:eastAsia="宋体" w:cs="宋体"/>
                <w:color w:val="auto"/>
                <w:kern w:val="0"/>
                <w:sz w:val="24"/>
                <w:lang w:val="en-US" w:eastAsia="zh-CN"/>
              </w:rPr>
              <w:t>1813257708@qq.co</w:t>
            </w:r>
            <w:r>
              <w:rPr>
                <w:rFonts w:hint="eastAsia" w:ascii="宋体" w:hAnsi="宋体" w:eastAsia="宋体" w:cs="宋体"/>
                <w:color w:val="auto"/>
                <w:kern w:val="0"/>
                <w:sz w:val="24"/>
                <w:lang w:val="en-US" w:eastAsia="zh-CN"/>
              </w:rPr>
              <w:fldChar w:fldCharType="end"/>
            </w:r>
            <w:r>
              <w:rPr>
                <w:rFonts w:hint="eastAsia" w:ascii="宋体" w:hAnsi="宋体" w:eastAsia="宋体" w:cs="宋体"/>
                <w:color w:val="auto"/>
                <w:kern w:val="0"/>
                <w:sz w:val="24"/>
                <w:lang w:val="en-US" w:eastAsia="zh-CN"/>
              </w:rPr>
              <w:t xml:space="preserve">m                       </w:t>
            </w:r>
          </w:p>
        </w:tc>
      </w:tr>
      <w:tr w14:paraId="6A88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F46B11C">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1.2.3</w:t>
            </w:r>
          </w:p>
        </w:tc>
        <w:tc>
          <w:tcPr>
            <w:tcW w:w="2647" w:type="dxa"/>
            <w:vAlign w:val="center"/>
          </w:tcPr>
          <w:p w14:paraId="21168AED">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监管部门</w:t>
            </w:r>
          </w:p>
        </w:tc>
        <w:tc>
          <w:tcPr>
            <w:tcW w:w="6038" w:type="dxa"/>
            <w:vAlign w:val="center"/>
          </w:tcPr>
          <w:p w14:paraId="728BB0BF">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名   称：拜城县财政局政府采购管理办公室 </w:t>
            </w:r>
          </w:p>
          <w:p w14:paraId="5B3EAD04">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联系电话：0997-8623036 </w:t>
            </w:r>
          </w:p>
          <w:p w14:paraId="288FEE25">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电子邮箱：1059587727@qq.com                           </w:t>
            </w:r>
          </w:p>
        </w:tc>
      </w:tr>
      <w:tr w14:paraId="1DE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81210CF">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1.3.1</w:t>
            </w:r>
          </w:p>
        </w:tc>
        <w:tc>
          <w:tcPr>
            <w:tcW w:w="2647" w:type="dxa"/>
            <w:vAlign w:val="center"/>
          </w:tcPr>
          <w:p w14:paraId="5E4BB0CE">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rPr>
              <w:t>供应商资格</w:t>
            </w:r>
            <w:r>
              <w:rPr>
                <w:rFonts w:hint="eastAsia" w:ascii="宋体" w:hAnsi="宋体" w:eastAsia="宋体" w:cs="宋体"/>
                <w:b/>
                <w:bCs/>
                <w:color w:val="auto"/>
                <w:sz w:val="24"/>
                <w:szCs w:val="24"/>
                <w:u w:val="none"/>
                <w:lang w:eastAsia="zh-CN"/>
              </w:rPr>
              <w:t>要求</w:t>
            </w:r>
          </w:p>
        </w:tc>
        <w:tc>
          <w:tcPr>
            <w:tcW w:w="6038" w:type="dxa"/>
            <w:vAlign w:val="center"/>
          </w:tcPr>
          <w:p w14:paraId="2EA99244">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lang w:eastAsia="zh-CN"/>
              </w:rPr>
              <w:t>满足《中华人民共和国政府采购法》第二十二条规定：</w:t>
            </w:r>
          </w:p>
          <w:p w14:paraId="380E6C15">
            <w:p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val="zh-CN" w:eastAsia="zh-CN"/>
              </w:rPr>
              <w:t>具有独立承担民事责任的能力：</w:t>
            </w:r>
          </w:p>
          <w:p w14:paraId="723CD92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提供营业执照原件复印件（扫描件）；</w:t>
            </w:r>
          </w:p>
          <w:p w14:paraId="22C76F4A">
            <w:pPr>
              <w:numPr>
                <w:ilvl w:val="0"/>
                <w:numId w:val="0"/>
              </w:num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kern w:val="2"/>
                <w:sz w:val="24"/>
                <w:szCs w:val="22"/>
                <w:lang w:val="zh-CN" w:eastAsia="zh-CN" w:bidi="ar-SA"/>
              </w:rPr>
              <w:t>2、</w:t>
            </w:r>
            <w:r>
              <w:rPr>
                <w:rFonts w:hint="eastAsia" w:ascii="宋体" w:hAnsi="宋体" w:eastAsia="宋体" w:cs="宋体"/>
                <w:b/>
                <w:bCs/>
                <w:color w:val="auto"/>
                <w:sz w:val="24"/>
                <w:highlight w:val="none"/>
                <w:lang w:val="zh-CN" w:eastAsia="zh-CN"/>
              </w:rPr>
              <w:t>具有良好的商业信誉和健全的财务会计制度：</w:t>
            </w:r>
          </w:p>
          <w:p w14:paraId="564EAA3F">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w:t>
            </w:r>
            <w:r>
              <w:rPr>
                <w:rFonts w:hint="eastAsia" w:ascii="宋体" w:hAnsi="宋体" w:cs="宋体"/>
                <w:color w:val="auto"/>
                <w:sz w:val="24"/>
                <w:highlight w:val="none"/>
                <w:lang w:val="en-US" w:eastAsia="zh-CN"/>
              </w:rPr>
              <w:t>2024年度经</w:t>
            </w:r>
            <w:r>
              <w:rPr>
                <w:rFonts w:hint="eastAsia" w:ascii="宋体" w:hAnsi="宋体" w:eastAsia="宋体" w:cs="宋体"/>
                <w:color w:val="auto"/>
                <w:sz w:val="24"/>
                <w:highlight w:val="none"/>
                <w:lang w:val="en-US" w:eastAsia="zh-CN"/>
              </w:rPr>
              <w:t>会计师事务所出具的财务审</w:t>
            </w:r>
            <w:r>
              <w:rPr>
                <w:rFonts w:hint="eastAsia" w:ascii="宋体" w:hAnsi="宋体" w:eastAsia="宋体" w:cs="宋体"/>
                <w:b w:val="0"/>
                <w:bCs w:val="0"/>
                <w:color w:val="auto"/>
                <w:sz w:val="24"/>
                <w:highlight w:val="none"/>
                <w:lang w:val="en-US" w:eastAsia="zh-CN"/>
              </w:rPr>
              <w:t>计报告</w:t>
            </w:r>
            <w:r>
              <w:rPr>
                <w:rFonts w:hint="eastAsia" w:ascii="宋体" w:hAnsi="宋体" w:cs="宋体"/>
                <w:b w:val="0"/>
                <w:bCs w:val="0"/>
                <w:color w:val="auto"/>
                <w:sz w:val="24"/>
                <w:highlight w:val="none"/>
                <w:lang w:val="en-US" w:eastAsia="zh-CN"/>
              </w:rPr>
              <w:t>或</w:t>
            </w:r>
            <w:r>
              <w:rPr>
                <w:rFonts w:hint="eastAsia" w:ascii="宋体" w:hAnsi="宋体" w:eastAsia="宋体" w:cs="宋体"/>
                <w:b w:val="0"/>
                <w:bCs w:val="0"/>
                <w:color w:val="auto"/>
                <w:sz w:val="24"/>
                <w:highlight w:val="none"/>
                <w:lang w:val="en-US" w:eastAsia="zh-CN"/>
              </w:rPr>
              <w:t>财务报表（包含</w:t>
            </w:r>
            <w:r>
              <w:rPr>
                <w:rFonts w:hint="eastAsia" w:ascii="宋体" w:hAnsi="宋体" w:cs="宋体"/>
                <w:b w:val="0"/>
                <w:bCs w:val="0"/>
                <w:color w:val="auto"/>
                <w:sz w:val="24"/>
                <w:highlight w:val="none"/>
                <w:lang w:val="en-US" w:eastAsia="zh-CN"/>
              </w:rPr>
              <w:t>资产</w:t>
            </w:r>
            <w:r>
              <w:rPr>
                <w:rFonts w:hint="eastAsia" w:ascii="宋体" w:hAnsi="宋体" w:eastAsia="宋体" w:cs="宋体"/>
                <w:b w:val="0"/>
                <w:bCs w:val="0"/>
                <w:color w:val="auto"/>
                <w:sz w:val="24"/>
                <w:highlight w:val="none"/>
                <w:lang w:val="en-US" w:eastAsia="zh-CN"/>
              </w:rPr>
              <w:t>负债表、利润表、所有者权益变动表、现金流量表，财务报表附注）</w:t>
            </w:r>
            <w:r>
              <w:rPr>
                <w:rFonts w:hint="eastAsia" w:ascii="宋体" w:hAnsi="宋体" w:cs="宋体"/>
                <w:b w:val="0"/>
                <w:bCs w:val="0"/>
                <w:color w:val="auto"/>
                <w:sz w:val="24"/>
                <w:highlight w:val="none"/>
                <w:lang w:val="en-US" w:eastAsia="zh-CN"/>
              </w:rPr>
              <w:t>或</w:t>
            </w:r>
            <w:r>
              <w:rPr>
                <w:rFonts w:hint="eastAsia" w:ascii="宋体" w:hAnsi="宋体" w:eastAsia="宋体" w:cs="宋体"/>
                <w:b w:val="0"/>
                <w:bCs w:val="0"/>
                <w:color w:val="auto"/>
                <w:sz w:val="24"/>
                <w:highlight w:val="none"/>
                <w:lang w:val="en-US" w:eastAsia="zh-CN"/>
              </w:rPr>
              <w:t>响应截止日前三个月内银</w:t>
            </w:r>
            <w:r>
              <w:rPr>
                <w:rFonts w:hint="eastAsia" w:ascii="宋体" w:hAnsi="宋体" w:eastAsia="宋体" w:cs="宋体"/>
                <w:color w:val="auto"/>
                <w:sz w:val="24"/>
                <w:highlight w:val="none"/>
                <w:lang w:val="en-US" w:eastAsia="zh-CN"/>
              </w:rPr>
              <w:t>行出具的资信证明原件复印件（扫描件）；</w:t>
            </w:r>
          </w:p>
          <w:p w14:paraId="3FEA6FC4">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lang w:val="en-US" w:eastAsia="zh-CN"/>
              </w:rPr>
              <w:t>供应商成立时间少于该规定时限的</w:t>
            </w:r>
            <w:r>
              <w:rPr>
                <w:rFonts w:hint="eastAsia" w:ascii="宋体" w:hAnsi="宋体" w:eastAsia="宋体" w:cs="宋体"/>
                <w:color w:val="auto"/>
                <w:sz w:val="24"/>
                <w:highlight w:val="none"/>
                <w:lang w:val="en-US" w:eastAsia="zh-CN"/>
              </w:rPr>
              <w:t>，提供成立至今的材料原件复印件（扫描件）；</w:t>
            </w:r>
          </w:p>
          <w:p w14:paraId="2B4626E8">
            <w:pPr>
              <w:numPr>
                <w:ilvl w:val="0"/>
                <w:numId w:val="0"/>
              </w:num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kern w:val="2"/>
                <w:sz w:val="24"/>
                <w:szCs w:val="22"/>
                <w:lang w:val="zh-CN" w:eastAsia="zh-CN" w:bidi="ar-SA"/>
              </w:rPr>
              <w:t>3、</w:t>
            </w:r>
            <w:r>
              <w:rPr>
                <w:rFonts w:hint="eastAsia" w:ascii="宋体" w:hAnsi="宋体" w:eastAsia="宋体" w:cs="宋体"/>
                <w:b/>
                <w:bCs/>
                <w:color w:val="auto"/>
                <w:sz w:val="24"/>
                <w:highlight w:val="none"/>
                <w:lang w:val="en-US" w:eastAsia="zh-CN"/>
              </w:rPr>
              <w:t>具有履</w:t>
            </w:r>
            <w:r>
              <w:rPr>
                <w:rFonts w:hint="eastAsia" w:ascii="宋体" w:hAnsi="宋体" w:eastAsia="宋体" w:cs="宋体"/>
                <w:b/>
                <w:bCs/>
                <w:color w:val="auto"/>
                <w:sz w:val="24"/>
                <w:highlight w:val="none"/>
                <w:lang w:val="zh-CN" w:eastAsia="zh-CN"/>
              </w:rPr>
              <w:t>行合同所必需的设备和专业技术能力：</w:t>
            </w:r>
          </w:p>
          <w:p w14:paraId="5E8C48D9">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提供书面声明；</w:t>
            </w:r>
          </w:p>
          <w:p w14:paraId="147B3E43">
            <w:pPr>
              <w:numPr>
                <w:ilvl w:val="0"/>
                <w:numId w:val="0"/>
              </w:num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kern w:val="2"/>
                <w:sz w:val="24"/>
                <w:szCs w:val="22"/>
                <w:lang w:val="zh-CN" w:eastAsia="zh-CN" w:bidi="ar-SA"/>
              </w:rPr>
              <w:t>4、</w:t>
            </w:r>
            <w:r>
              <w:rPr>
                <w:rFonts w:hint="eastAsia" w:ascii="宋体" w:hAnsi="宋体" w:eastAsia="宋体" w:cs="宋体"/>
                <w:b/>
                <w:bCs/>
                <w:color w:val="auto"/>
                <w:sz w:val="24"/>
                <w:highlight w:val="none"/>
                <w:lang w:val="zh-CN" w:eastAsia="zh-CN"/>
              </w:rPr>
              <w:t>有依法缴纳税收和社会保障资金的良好记录：</w:t>
            </w:r>
          </w:p>
          <w:p w14:paraId="6732C648">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提供近</w:t>
            </w:r>
            <w:r>
              <w:rPr>
                <w:rFonts w:hint="eastAsia" w:ascii="宋体" w:hAnsi="宋体" w:cs="宋体"/>
                <w:color w:val="auto"/>
                <w:sz w:val="24"/>
                <w:highlight w:val="none"/>
                <w:lang w:val="en-US" w:eastAsia="zh-CN"/>
              </w:rPr>
              <w:t>半年任意一个月的</w:t>
            </w:r>
            <w:r>
              <w:rPr>
                <w:rFonts w:hint="eastAsia" w:ascii="宋体" w:hAnsi="宋体" w:eastAsia="宋体" w:cs="宋体"/>
                <w:color w:val="auto"/>
                <w:sz w:val="24"/>
                <w:highlight w:val="none"/>
                <w:lang w:val="en-US" w:eastAsia="zh-CN"/>
              </w:rPr>
              <w:t>缴纳税收的凭据以及缴纳社会保险的凭据（专用收据或社会保险缴纳清单）原件复印件（扫描件）；依法免税或不需要缴纳社会保障资金的供应商，提供相应文件证明原件复印件（扫描件）；</w:t>
            </w:r>
          </w:p>
          <w:p w14:paraId="707AB767">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lang w:val="en-US" w:eastAsia="zh-CN"/>
              </w:rPr>
              <w:t>供应商成立时间少于该规定时限的</w:t>
            </w:r>
            <w:r>
              <w:rPr>
                <w:rFonts w:hint="eastAsia" w:ascii="宋体" w:hAnsi="宋体" w:eastAsia="宋体" w:cs="宋体"/>
                <w:color w:val="auto"/>
                <w:sz w:val="24"/>
                <w:highlight w:val="none"/>
                <w:lang w:val="en-US" w:eastAsia="zh-CN"/>
              </w:rPr>
              <w:t>，提供成立至今的材料原件复印件（扫描件）；</w:t>
            </w:r>
          </w:p>
          <w:p w14:paraId="22475B50">
            <w:p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val="zh-CN" w:eastAsia="zh-CN"/>
              </w:rPr>
              <w:t>参加政府采购活动前三年内，在经营活动中没有重大违法记录：</w:t>
            </w:r>
            <w:r>
              <w:rPr>
                <w:rFonts w:hint="eastAsia" w:ascii="宋体" w:hAnsi="宋体" w:eastAsia="宋体" w:cs="宋体"/>
                <w:b/>
                <w:bCs/>
                <w:color w:val="auto"/>
                <w:sz w:val="24"/>
                <w:highlight w:val="none"/>
                <w:lang w:val="en-US" w:eastAsia="zh-CN"/>
              </w:rPr>
              <w:t>提供书面声明。</w:t>
            </w:r>
          </w:p>
          <w:p w14:paraId="09B31D08">
            <w:pPr>
              <w:spacing w:line="360" w:lineRule="auto"/>
              <w:rPr>
                <w:rFonts w:hint="eastAsia" w:ascii="宋体" w:hAnsi="宋体" w:eastAsia="宋体" w:cs="宋体"/>
                <w:b w:val="0"/>
                <w:bCs w:val="0"/>
                <w:color w:val="auto"/>
                <w:sz w:val="24"/>
                <w:highlight w:val="none"/>
                <w:lang w:val="zh-CN" w:eastAsia="zh-CN"/>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lang w:val="zh-CN" w:eastAsia="zh-CN"/>
              </w:rPr>
              <w:t>落实政府采购政策需满足的资格要求：</w:t>
            </w:r>
            <w:r>
              <w:rPr>
                <w:rFonts w:hint="eastAsia" w:cs="宋体"/>
                <w:i w:val="0"/>
                <w:iCs w:val="0"/>
                <w:caps w:val="0"/>
                <w:color w:val="auto"/>
                <w:spacing w:val="0"/>
                <w:sz w:val="24"/>
                <w:szCs w:val="24"/>
                <w:highlight w:val="none"/>
                <w:lang w:val="en-US" w:eastAsia="zh-CN"/>
              </w:rPr>
              <w:t>本项目专门面向中小企业，须</w:t>
            </w:r>
            <w:r>
              <w:rPr>
                <w:rFonts w:hint="eastAsia" w:ascii="宋体" w:hAnsi="宋体" w:eastAsia="宋体" w:cs="宋体"/>
                <w:b w:val="0"/>
                <w:bCs w:val="0"/>
                <w:color w:val="auto"/>
                <w:sz w:val="24"/>
                <w:highlight w:val="none"/>
                <w:lang w:val="zh-CN" w:eastAsia="zh-CN"/>
              </w:rPr>
              <w:t>提供《中小企业声明函》并加盖公章；</w:t>
            </w:r>
          </w:p>
          <w:p w14:paraId="13274464">
            <w:pPr>
              <w:spacing w:line="360" w:lineRule="auto"/>
              <w:rPr>
                <w:rFonts w:hint="eastAsia" w:ascii="宋体" w:hAnsi="宋体" w:cs="宋体"/>
                <w:b w:val="0"/>
                <w:bCs w:val="0"/>
                <w:color w:val="auto"/>
                <w:sz w:val="24"/>
                <w:highlight w:val="none"/>
                <w:lang w:val="zh-CN"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val="zh-CN" w:eastAsia="zh-CN"/>
              </w:rPr>
              <w:t>本项目的特定资格要求：</w:t>
            </w:r>
            <w:r>
              <w:rPr>
                <w:rFonts w:hint="eastAsia" w:ascii="宋体" w:hAnsi="宋体" w:cs="宋体"/>
                <w:b w:val="0"/>
                <w:bCs w:val="0"/>
                <w:color w:val="auto"/>
                <w:sz w:val="24"/>
                <w:highlight w:val="none"/>
                <w:lang w:val="en-US" w:eastAsia="zh-CN"/>
              </w:rPr>
              <w:t>无</w:t>
            </w:r>
          </w:p>
          <w:p w14:paraId="36493428">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四、不得参加和拒绝参加本次招标的情形</w:t>
            </w:r>
          </w:p>
          <w:p w14:paraId="5DDEC16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1、单位负责人为同一人或者存在直接控股、管理关系的不同供应商，不得参加本次采购活动；</w:t>
            </w:r>
          </w:p>
          <w:p w14:paraId="6C885304">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提供书面声明，书面声明包括如下内容：供应商法定代表人（单位负责人）在其单位外的其他单位担任法定代表人（单位负责人）的信息；供应商直接控股、存在管理关系的其他单位信息；格式自拟。</w:t>
            </w:r>
          </w:p>
          <w:p w14:paraId="16C418C3">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sz w:val="24"/>
                <w:highlight w:val="none"/>
                <w:lang w:val="en-US" w:eastAsia="zh-CN"/>
              </w:rPr>
              <w:t>2、供应商被“信用中国”网站、中国政府采购网列入失信被执行人、重大税收违法案件当事人名单、政府采购严重违法失信行为记录名单的（尚在处罚期内的），将拒绝其参加本次采购活动。</w:t>
            </w:r>
            <w:r>
              <w:rPr>
                <w:rFonts w:hint="eastAsia" w:ascii="宋体" w:hAnsi="宋体" w:eastAsia="宋体" w:cs="宋体"/>
                <w:color w:val="auto"/>
                <w:kern w:val="0"/>
                <w:sz w:val="24"/>
                <w:lang w:val="zh-CN" w:eastAsia="zh-CN"/>
              </w:rPr>
              <w:t xml:space="preserve">                         </w:t>
            </w:r>
          </w:p>
        </w:tc>
      </w:tr>
      <w:tr w14:paraId="4970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2B154BF">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1.4</w:t>
            </w:r>
          </w:p>
        </w:tc>
        <w:tc>
          <w:tcPr>
            <w:tcW w:w="2647" w:type="dxa"/>
            <w:vAlign w:val="center"/>
          </w:tcPr>
          <w:p w14:paraId="173787D6">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highlight w:val="none"/>
                <w:lang w:eastAsia="zh-CN"/>
              </w:rPr>
              <w:t>是否接受联合体投标</w:t>
            </w:r>
          </w:p>
        </w:tc>
        <w:tc>
          <w:tcPr>
            <w:tcW w:w="6038" w:type="dxa"/>
            <w:vAlign w:val="center"/>
          </w:tcPr>
          <w:p w14:paraId="7279946D">
            <w:pPr>
              <w:pStyle w:val="32"/>
              <w:spacing w:line="360" w:lineRule="auto"/>
              <w:ind w:left="0" w:leftChars="0" w:firstLine="0" w:firstLineChars="0"/>
              <w:rPr>
                <w:rFonts w:hint="eastAsia" w:ascii="宋体" w:hAnsi="宋体" w:eastAsia="宋体" w:cs="宋体"/>
                <w:color w:val="auto"/>
                <w:sz w:val="24"/>
                <w:szCs w:val="24"/>
                <w:u w:val="none"/>
              </w:rPr>
            </w:pPr>
            <w:r>
              <w:rPr>
                <w:rFonts w:hint="eastAsia" w:ascii="宋体" w:hAnsi="宋体" w:eastAsia="宋体" w:cs="宋体"/>
                <w:color w:val="auto"/>
                <w:kern w:val="0"/>
                <w:sz w:val="24"/>
                <w:lang w:val="en-US" w:eastAsia="zh-CN"/>
              </w:rPr>
              <w:t>不接受</w:t>
            </w:r>
          </w:p>
        </w:tc>
      </w:tr>
      <w:tr w14:paraId="1D7A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99D7593">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1.8.1</w:t>
            </w:r>
          </w:p>
        </w:tc>
        <w:tc>
          <w:tcPr>
            <w:tcW w:w="2647" w:type="dxa"/>
            <w:vAlign w:val="center"/>
          </w:tcPr>
          <w:p w14:paraId="31208D55">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是否组织现场考察</w:t>
            </w:r>
          </w:p>
        </w:tc>
        <w:tc>
          <w:tcPr>
            <w:tcW w:w="6038" w:type="dxa"/>
            <w:vAlign w:val="center"/>
          </w:tcPr>
          <w:p w14:paraId="5DF2E4E6">
            <w:pPr>
              <w:pStyle w:val="32"/>
              <w:spacing w:line="360" w:lineRule="auto"/>
              <w:ind w:left="0" w:leftChars="0" w:firstLine="0" w:firstLineChars="0"/>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不组织</w:t>
            </w:r>
          </w:p>
        </w:tc>
      </w:tr>
      <w:tr w14:paraId="080C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DC10716">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1.9.1</w:t>
            </w:r>
          </w:p>
        </w:tc>
        <w:tc>
          <w:tcPr>
            <w:tcW w:w="2647" w:type="dxa"/>
            <w:vAlign w:val="center"/>
          </w:tcPr>
          <w:p w14:paraId="5C6E95B7">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分包</w:t>
            </w:r>
          </w:p>
        </w:tc>
        <w:tc>
          <w:tcPr>
            <w:tcW w:w="6038" w:type="dxa"/>
            <w:vAlign w:val="center"/>
          </w:tcPr>
          <w:p w14:paraId="6D97AC72">
            <w:pPr>
              <w:pStyle w:val="32"/>
              <w:spacing w:line="360" w:lineRule="auto"/>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kern w:val="0"/>
                <w:sz w:val="24"/>
                <w:lang w:val="en-US" w:eastAsia="zh-CN"/>
              </w:rPr>
              <w:t>不允许</w:t>
            </w:r>
          </w:p>
        </w:tc>
      </w:tr>
      <w:tr w14:paraId="3005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FEF2035">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1.10.4</w:t>
            </w:r>
          </w:p>
        </w:tc>
        <w:tc>
          <w:tcPr>
            <w:tcW w:w="2647" w:type="dxa"/>
            <w:vAlign w:val="center"/>
          </w:tcPr>
          <w:p w14:paraId="6DAB234A">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038" w:type="dxa"/>
            <w:vAlign w:val="center"/>
          </w:tcPr>
          <w:p w14:paraId="6C07DB5B">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允许</w:t>
            </w:r>
          </w:p>
        </w:tc>
      </w:tr>
      <w:tr w14:paraId="3E30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E1EBC98">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cs="宋体"/>
                <w:b/>
                <w:bCs/>
                <w:color w:val="auto"/>
                <w:sz w:val="24"/>
                <w:szCs w:val="24"/>
                <w:u w:val="none"/>
                <w:lang w:val="en-US" w:eastAsia="zh-CN"/>
              </w:rPr>
              <w:t>2.2.6</w:t>
            </w:r>
          </w:p>
        </w:tc>
        <w:tc>
          <w:tcPr>
            <w:tcW w:w="2647" w:type="dxa"/>
            <w:vAlign w:val="center"/>
          </w:tcPr>
          <w:p w14:paraId="57ADA27B">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cs="宋体"/>
                <w:b/>
                <w:bCs/>
                <w:color w:val="auto"/>
                <w:sz w:val="24"/>
                <w:szCs w:val="24"/>
                <w:u w:val="none"/>
                <w:lang w:val="en-US" w:eastAsia="zh-CN"/>
              </w:rPr>
              <w:t>磋商文件澄清或修改发出的形式</w:t>
            </w:r>
          </w:p>
        </w:tc>
        <w:tc>
          <w:tcPr>
            <w:tcW w:w="6038" w:type="dxa"/>
            <w:vAlign w:val="center"/>
          </w:tcPr>
          <w:p w14:paraId="4BE989AD">
            <w:pPr>
              <w:pStyle w:val="32"/>
              <w:spacing w:line="360" w:lineRule="auto"/>
              <w:ind w:left="0" w:leftChars="0" w:firstLine="0" w:firstLineChars="0"/>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更正公告</w:t>
            </w:r>
          </w:p>
        </w:tc>
      </w:tr>
      <w:tr w14:paraId="1773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092AE6A">
            <w:pPr>
              <w:adjustRightInd w:val="0"/>
              <w:snapToGrid w:val="0"/>
              <w:spacing w:before="156" w:beforeLines="50" w:line="360" w:lineRule="auto"/>
              <w:jc w:val="center"/>
              <w:rPr>
                <w:rFonts w:hint="default"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highlight w:val="none"/>
                <w:u w:val="none"/>
                <w:lang w:val="en-US" w:eastAsia="zh-CN"/>
              </w:rPr>
              <w:t>3.3.1</w:t>
            </w:r>
          </w:p>
        </w:tc>
        <w:tc>
          <w:tcPr>
            <w:tcW w:w="2647" w:type="dxa"/>
            <w:vAlign w:val="center"/>
          </w:tcPr>
          <w:p w14:paraId="2C168D91">
            <w:pPr>
              <w:adjustRightInd w:val="0"/>
              <w:snapToGrid w:val="0"/>
              <w:spacing w:before="156"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w:t>
            </w:r>
            <w:r>
              <w:rPr>
                <w:rFonts w:hint="eastAsia" w:ascii="宋体" w:hAnsi="宋体" w:eastAsia="宋体" w:cs="宋体"/>
                <w:b/>
                <w:bCs/>
                <w:color w:val="auto"/>
                <w:sz w:val="24"/>
                <w:szCs w:val="24"/>
                <w:u w:val="none"/>
                <w:lang w:val="en-US" w:eastAsia="zh-CN"/>
              </w:rPr>
              <w:t>响应文件</w:t>
            </w:r>
          </w:p>
        </w:tc>
        <w:tc>
          <w:tcPr>
            <w:tcW w:w="6038" w:type="dxa"/>
            <w:vAlign w:val="center"/>
          </w:tcPr>
          <w:p w14:paraId="0DC58BC3">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一、电子响应文件制作：</w:t>
            </w:r>
          </w:p>
          <w:p w14:paraId="2D6278DB">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1、本项目实行电子投标。供应商应先安装“新疆政采云投标客户端”（新疆政府采购网首页“下载专区”自行下载安装）</w:t>
            </w: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"https://customer.zcygov.cn/CA-driver-download?utm=web-ca-front.3ddc8fbb.0.0.744734903d5911ec80b1370c1c0d466e）。供应商应按招标文件要求，通过\“政采云投标客户端\”制作、加密并提交投标文件。" </w:instrText>
            </w:r>
            <w:r>
              <w:rPr>
                <w:rFonts w:hint="eastAsia" w:ascii="宋体" w:hAnsi="宋体" w:eastAsia="宋体" w:cs="宋体"/>
                <w:color w:val="auto"/>
                <w:sz w:val="24"/>
                <w:szCs w:val="24"/>
                <w:highlight w:val="none"/>
                <w:u w:val="none"/>
                <w:lang w:val="en-US" w:eastAsia="zh-CN"/>
              </w:rPr>
              <w:fldChar w:fldCharType="separate"/>
            </w:r>
            <w:r>
              <w:rPr>
                <w:rStyle w:val="39"/>
                <w:rFonts w:hint="eastAsia" w:ascii="宋体" w:hAnsi="宋体" w:eastAsia="宋体" w:cs="宋体"/>
                <w:color w:val="auto"/>
                <w:sz w:val="24"/>
                <w:szCs w:val="24"/>
                <w:highlight w:val="none"/>
                <w:u w:val="none"/>
                <w:lang w:val="en-US" w:eastAsia="zh-CN"/>
              </w:rPr>
              <w:t>。供应商按照</w:t>
            </w:r>
            <w:r>
              <w:rPr>
                <w:rStyle w:val="39"/>
                <w:rFonts w:hint="eastAsia" w:ascii="宋体" w:hAnsi="宋体" w:cs="宋体"/>
                <w:color w:val="auto"/>
                <w:sz w:val="24"/>
                <w:szCs w:val="24"/>
                <w:highlight w:val="none"/>
                <w:u w:val="none"/>
                <w:lang w:val="en-US" w:eastAsia="zh-CN"/>
              </w:rPr>
              <w:t>磋商文件</w:t>
            </w:r>
            <w:r>
              <w:rPr>
                <w:rStyle w:val="39"/>
                <w:rFonts w:hint="eastAsia" w:ascii="宋体" w:hAnsi="宋体" w:eastAsia="宋体" w:cs="宋体"/>
                <w:color w:val="auto"/>
                <w:sz w:val="24"/>
                <w:szCs w:val="24"/>
                <w:highlight w:val="none"/>
                <w:u w:val="none"/>
                <w:lang w:val="en-US" w:eastAsia="zh-CN"/>
              </w:rPr>
              <w:t>要求，通过“政采云投标客户端”制作、加密并上传响应文件。</w:t>
            </w:r>
            <w:r>
              <w:rPr>
                <w:rFonts w:hint="eastAsia" w:ascii="宋体" w:hAnsi="宋体" w:eastAsia="宋体" w:cs="宋体"/>
                <w:color w:val="auto"/>
                <w:sz w:val="24"/>
                <w:szCs w:val="24"/>
                <w:highlight w:val="none"/>
                <w:u w:val="none"/>
                <w:lang w:val="en-US" w:eastAsia="zh-CN"/>
              </w:rPr>
              <w:fldChar w:fldCharType="end"/>
            </w:r>
          </w:p>
          <w:p w14:paraId="1F9D18BE">
            <w:pPr>
              <w:spacing w:line="360" w:lineRule="auto"/>
              <w:jc w:val="left"/>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2、投标客户端中完成“填写基本信息”、“导入</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”、“标书关联”、“标书检查”、“电子签名”、“生成电子标书”“上传”等操作。</w:t>
            </w:r>
          </w:p>
          <w:p w14:paraId="50A29FE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应加盖供应商（法定名称）电子签章，不得使用供应商专用章（如经济合同章、投标专用章等）或下属单位印章代替。</w:t>
            </w:r>
          </w:p>
          <w:p w14:paraId="5C2A917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4、供应商应使用本企业CA数字证书对响应文件进行加密。</w:t>
            </w:r>
          </w:p>
          <w:p w14:paraId="0F9A4CB5">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5、磋商文件有修改的，供应商须重新下载修改后的磋商文件（修改后的磋商文件在更正公告中下载），根据修改后的磋商文件制作、撤回、修改响应文件并上传。</w:t>
            </w:r>
          </w:p>
          <w:p w14:paraId="5ECDDE1F">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二、纸质响应文件要求</w:t>
            </w:r>
          </w:p>
          <w:p w14:paraId="0510FD9C">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1.份数：正本一份，副本二份；</w:t>
            </w:r>
          </w:p>
          <w:p w14:paraId="4D68BC8B">
            <w:pPr>
              <w:spacing w:line="360" w:lineRule="auto"/>
              <w:jc w:val="left"/>
              <w:rPr>
                <w:rFonts w:hint="eastAsia" w:ascii="宋体" w:hAnsi="宋体" w:eastAsia="宋体" w:cs="宋体"/>
                <w:color w:val="auto"/>
                <w:kern w:val="0"/>
                <w:sz w:val="24"/>
                <w:szCs w:val="22"/>
                <w:lang w:val="en-US" w:eastAsia="zh-CN" w:bidi="ar-SA"/>
              </w:rPr>
            </w:pPr>
            <w:r>
              <w:rPr>
                <w:rFonts w:hint="eastAsia" w:ascii="宋体" w:hAnsi="宋体" w:eastAsia="宋体" w:cs="宋体"/>
                <w:color w:val="auto"/>
                <w:sz w:val="24"/>
                <w:lang w:val="en-US" w:eastAsia="zh-CN"/>
              </w:rPr>
              <w:t>2.纸质响应文件须使用</w:t>
            </w:r>
            <w:r>
              <w:rPr>
                <w:rFonts w:hint="eastAsia" w:ascii="宋体" w:hAnsi="宋体" w:eastAsia="宋体" w:cs="宋体"/>
                <w:color w:val="auto"/>
                <w:kern w:val="0"/>
                <w:sz w:val="24"/>
                <w:szCs w:val="22"/>
                <w:lang w:val="en-US" w:eastAsia="zh-CN" w:bidi="ar-SA"/>
              </w:rPr>
              <w:t>加密电子响应文件打印生成，所有内容须与电子响应文件完全一致；</w:t>
            </w:r>
          </w:p>
          <w:p w14:paraId="7E2BB266">
            <w:pPr>
              <w:spacing w:line="360" w:lineRule="auto"/>
              <w:jc w:val="left"/>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0"/>
                <w:sz w:val="24"/>
                <w:szCs w:val="22"/>
                <w:lang w:val="en-US" w:eastAsia="zh-CN" w:bidi="ar-SA"/>
              </w:rPr>
              <w:t>3.</w:t>
            </w:r>
            <w:r>
              <w:rPr>
                <w:rFonts w:hint="eastAsia" w:ascii="宋体" w:hAnsi="宋体" w:eastAsia="宋体" w:cs="宋体"/>
                <w:b w:val="0"/>
                <w:bCs w:val="0"/>
                <w:color w:val="auto"/>
                <w:sz w:val="24"/>
                <w:lang w:val="en-US" w:eastAsia="zh-CN"/>
              </w:rPr>
              <w:t>采用</w:t>
            </w:r>
            <w:r>
              <w:rPr>
                <w:rFonts w:hint="eastAsia" w:ascii="宋体" w:hAnsi="宋体" w:eastAsia="宋体" w:cs="宋体"/>
                <w:b w:val="0"/>
                <w:bCs w:val="0"/>
                <w:color w:val="auto"/>
                <w:sz w:val="24"/>
                <w:u w:val="none"/>
                <w:lang w:val="en-US" w:eastAsia="zh-CN"/>
              </w:rPr>
              <w:t>死页胶装</w:t>
            </w:r>
            <w:r>
              <w:rPr>
                <w:rFonts w:hint="eastAsia" w:ascii="宋体" w:hAnsi="宋体" w:eastAsia="宋体" w:cs="宋体"/>
                <w:b w:val="0"/>
                <w:bCs w:val="0"/>
                <w:color w:val="auto"/>
                <w:sz w:val="24"/>
                <w:lang w:val="en-US" w:eastAsia="zh-CN"/>
              </w:rPr>
              <w:t>方式装订,装订应牢固、不易拆散和换页，不得采用活页装订；</w:t>
            </w:r>
          </w:p>
          <w:p w14:paraId="37CAC0A6">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b w:val="0"/>
                <w:bCs w:val="0"/>
                <w:color w:val="auto"/>
                <w:sz w:val="24"/>
                <w:lang w:val="en-US" w:eastAsia="zh-CN"/>
              </w:rPr>
              <w:t>4.提供时间：项目中标结果公告发布后，所有参与投标的供应商将纸质版响应文件送至或邮寄至采购代理机构处用于项目归档，费用自理。</w:t>
            </w:r>
          </w:p>
        </w:tc>
      </w:tr>
      <w:tr w14:paraId="4B1E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02D41CA">
            <w:pPr>
              <w:adjustRightInd w:val="0"/>
              <w:snapToGrid w:val="0"/>
              <w:spacing w:before="156"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3.4.8</w:t>
            </w:r>
          </w:p>
        </w:tc>
        <w:tc>
          <w:tcPr>
            <w:tcW w:w="2647" w:type="dxa"/>
            <w:vAlign w:val="center"/>
          </w:tcPr>
          <w:p w14:paraId="0DCB33DE">
            <w:pPr>
              <w:adjustRightInd w:val="0"/>
              <w:snapToGrid w:val="0"/>
              <w:spacing w:before="156"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038" w:type="dxa"/>
            <w:vAlign w:val="center"/>
          </w:tcPr>
          <w:p w14:paraId="598140F4">
            <w:pPr>
              <w:pStyle w:val="32"/>
              <w:shd w:val="clear"/>
              <w:spacing w:line="360" w:lineRule="auto"/>
              <w:ind w:left="0" w:leftChars="0" w:firstLine="0" w:firstLineChars="0"/>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eastAsia="zh-CN"/>
              </w:rPr>
              <w:t>金额（小写）：</w:t>
            </w:r>
            <w:r>
              <w:rPr>
                <w:rFonts w:hint="eastAsia" w:ascii="宋体" w:hAnsi="宋体" w:eastAsia="宋体" w:cs="宋体"/>
                <w:i w:val="0"/>
                <w:iCs w:val="0"/>
                <w:caps w:val="0"/>
                <w:color w:val="auto"/>
                <w:spacing w:val="0"/>
                <w:sz w:val="24"/>
                <w:szCs w:val="24"/>
                <w:highlight w:val="none"/>
                <w:lang w:val="en-US" w:eastAsia="zh-CN"/>
              </w:rPr>
              <w:t>1990000.00元</w:t>
            </w:r>
            <w:r>
              <w:rPr>
                <w:rFonts w:hint="eastAsia" w:ascii="宋体" w:hAnsi="宋体" w:eastAsia="宋体" w:cs="宋体"/>
                <w:color w:val="auto"/>
                <w:kern w:val="0"/>
                <w:sz w:val="24"/>
                <w:highlight w:val="none"/>
                <w:lang w:val="en-US" w:eastAsia="zh-CN"/>
              </w:rPr>
              <w:t xml:space="preserve">                            </w:t>
            </w:r>
          </w:p>
          <w:p w14:paraId="293E2E9D">
            <w:pPr>
              <w:pStyle w:val="32"/>
              <w:shd w:val="clear"/>
              <w:spacing w:line="360" w:lineRule="auto"/>
              <w:ind w:left="0" w:leftChars="0" w:firstLine="0" w:firstLineChars="0"/>
              <w:rPr>
                <w:rFonts w:hint="eastAsia" w:ascii="宋体" w:hAnsi="宋体" w:eastAsia="宋体" w:cs="宋体"/>
                <w:color w:val="auto"/>
                <w:kern w:val="0"/>
                <w:sz w:val="24"/>
                <w:highlight w:val="yellow"/>
                <w:lang w:val="en-US" w:eastAsia="zh-CN"/>
              </w:rPr>
            </w:pPr>
            <w:r>
              <w:rPr>
                <w:rFonts w:hint="eastAsia" w:ascii="宋体" w:hAnsi="宋体" w:eastAsia="宋体" w:cs="宋体"/>
                <w:color w:val="auto"/>
                <w:kern w:val="0"/>
                <w:sz w:val="24"/>
                <w:highlight w:val="none"/>
                <w:lang w:val="en-US" w:eastAsia="zh-CN"/>
              </w:rPr>
              <w:t>本项目设有最高限价：</w:t>
            </w:r>
            <w:r>
              <w:rPr>
                <w:rFonts w:hint="eastAsia" w:ascii="宋体" w:hAnsi="宋体" w:eastAsia="宋体" w:cs="宋体"/>
                <w:i w:val="0"/>
                <w:iCs w:val="0"/>
                <w:caps w:val="0"/>
                <w:color w:val="auto"/>
                <w:spacing w:val="0"/>
                <w:sz w:val="24"/>
                <w:szCs w:val="24"/>
                <w:highlight w:val="none"/>
                <w:lang w:val="en-US" w:eastAsia="zh-CN"/>
              </w:rPr>
              <w:t>1990000.00元</w:t>
            </w:r>
            <w:r>
              <w:rPr>
                <w:rFonts w:hint="eastAsia" w:ascii="宋体" w:hAnsi="宋体" w:eastAsia="宋体" w:cs="宋体"/>
                <w:color w:val="auto"/>
                <w:kern w:val="0"/>
                <w:sz w:val="24"/>
                <w:highlight w:val="none"/>
                <w:lang w:val="en-US" w:eastAsia="zh-CN"/>
              </w:rPr>
              <w:t xml:space="preserve">  </w:t>
            </w:r>
          </w:p>
          <w:p w14:paraId="465F4CBD">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投标报价不得高于最高限价，如投标报价高于高限价的将视为无效投标。</w:t>
            </w:r>
          </w:p>
        </w:tc>
      </w:tr>
      <w:tr w14:paraId="096E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7CC6B22">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lang w:val="en-US" w:eastAsia="zh-CN"/>
              </w:rPr>
              <w:t>3.5.1</w:t>
            </w:r>
          </w:p>
        </w:tc>
        <w:tc>
          <w:tcPr>
            <w:tcW w:w="2647" w:type="dxa"/>
            <w:vAlign w:val="center"/>
          </w:tcPr>
          <w:p w14:paraId="29ABC5D8">
            <w:pPr>
              <w:adjustRightInd w:val="0"/>
              <w:snapToGrid w:val="0"/>
              <w:spacing w:before="120"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u w:val="none"/>
              </w:rPr>
              <w:t>备选方案</w:t>
            </w:r>
          </w:p>
        </w:tc>
        <w:tc>
          <w:tcPr>
            <w:tcW w:w="6038" w:type="dxa"/>
            <w:vAlign w:val="center"/>
          </w:tcPr>
          <w:p w14:paraId="04E4601C">
            <w:pPr>
              <w:pStyle w:val="32"/>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不接受</w:t>
            </w:r>
          </w:p>
        </w:tc>
      </w:tr>
      <w:tr w14:paraId="2F38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E785C6C">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3.6.1</w:t>
            </w:r>
          </w:p>
        </w:tc>
        <w:tc>
          <w:tcPr>
            <w:tcW w:w="2647" w:type="dxa"/>
            <w:vAlign w:val="center"/>
          </w:tcPr>
          <w:p w14:paraId="4BFCD99A">
            <w:pPr>
              <w:adjustRightInd w:val="0"/>
              <w:snapToGrid w:val="0"/>
              <w:spacing w:before="120" w:beforeLines="50" w:line="36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lang w:eastAsia="zh-CN"/>
              </w:rPr>
              <w:t>响应保证金</w:t>
            </w:r>
          </w:p>
        </w:tc>
        <w:tc>
          <w:tcPr>
            <w:tcW w:w="6038" w:type="dxa"/>
            <w:vAlign w:val="center"/>
          </w:tcPr>
          <w:p w14:paraId="480B1FEB">
            <w:pPr>
              <w:pStyle w:val="32"/>
              <w:spacing w:line="360" w:lineRule="auto"/>
              <w:ind w:left="0" w:leftChars="0" w:firstLine="0" w:firstLineChars="0"/>
              <w:rPr>
                <w:rFonts w:hint="eastAsia" w:ascii="宋体" w:hAnsi="宋体" w:eastAsia="宋体" w:cs="宋体"/>
                <w:color w:val="auto"/>
                <w:sz w:val="24"/>
                <w:szCs w:val="24"/>
                <w:u w:val="none"/>
              </w:rPr>
            </w:pPr>
            <w:r>
              <w:rPr>
                <w:rFonts w:hint="eastAsia" w:ascii="宋体" w:hAnsi="宋体" w:eastAsia="宋体" w:cs="宋体"/>
                <w:color w:val="auto"/>
                <w:kern w:val="0"/>
                <w:sz w:val="24"/>
                <w:lang w:val="en-US" w:eastAsia="zh-CN"/>
              </w:rPr>
              <w:t>不要求</w:t>
            </w:r>
          </w:p>
        </w:tc>
      </w:tr>
      <w:tr w14:paraId="27D2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8DE2459">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3.7.1</w:t>
            </w:r>
          </w:p>
        </w:tc>
        <w:tc>
          <w:tcPr>
            <w:tcW w:w="2647" w:type="dxa"/>
            <w:vAlign w:val="center"/>
          </w:tcPr>
          <w:p w14:paraId="78E4E797">
            <w:pPr>
              <w:adjustRightInd w:val="0"/>
              <w:snapToGrid w:val="0"/>
              <w:spacing w:before="120" w:beforeLines="50"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lang w:eastAsia="zh-CN"/>
              </w:rPr>
              <w:t>投标有效期</w:t>
            </w:r>
          </w:p>
        </w:tc>
        <w:tc>
          <w:tcPr>
            <w:tcW w:w="6038" w:type="dxa"/>
            <w:vAlign w:val="center"/>
          </w:tcPr>
          <w:p w14:paraId="3318D559">
            <w:pPr>
              <w:spacing w:line="360" w:lineRule="auto"/>
              <w:ind w:left="520" w:leftChars="1" w:hanging="518" w:hangingChars="216"/>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u w:val="none"/>
                <w:lang w:val="en-US" w:eastAsia="zh-CN"/>
              </w:rPr>
              <w:t>90</w:t>
            </w:r>
            <w:r>
              <w:rPr>
                <w:rFonts w:hint="eastAsia" w:ascii="宋体" w:hAnsi="宋体" w:eastAsia="宋体" w:cs="宋体"/>
                <w:color w:val="auto"/>
                <w:sz w:val="24"/>
                <w:szCs w:val="24"/>
                <w:u w:val="none"/>
              </w:rPr>
              <w:t>日（日历日）</w:t>
            </w:r>
          </w:p>
        </w:tc>
      </w:tr>
      <w:tr w14:paraId="108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B5BF88F">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highlight w:val="none"/>
                <w:u w:val="none"/>
                <w:lang w:val="en-US" w:eastAsia="zh-CN"/>
              </w:rPr>
              <w:t>4.1.1</w:t>
            </w:r>
          </w:p>
        </w:tc>
        <w:tc>
          <w:tcPr>
            <w:tcW w:w="2647" w:type="dxa"/>
            <w:vAlign w:val="center"/>
          </w:tcPr>
          <w:p w14:paraId="255CD565">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color w:val="auto"/>
                <w:sz w:val="28"/>
                <w:szCs w:val="28"/>
              </w:rPr>
              <w:t>★</w:t>
            </w:r>
            <w:r>
              <w:rPr>
                <w:rFonts w:hint="eastAsia" w:ascii="宋体" w:hAnsi="宋体" w:eastAsia="宋体" w:cs="宋体"/>
                <w:b/>
                <w:bCs/>
                <w:color w:val="auto"/>
                <w:sz w:val="24"/>
                <w:szCs w:val="24"/>
                <w:u w:val="none"/>
              </w:rPr>
              <w:t>响应文件递交截止时间</w:t>
            </w:r>
            <w:r>
              <w:rPr>
                <w:rFonts w:hint="eastAsia" w:ascii="宋体" w:hAnsi="宋体" w:eastAsia="宋体" w:cs="宋体"/>
                <w:b/>
                <w:bCs/>
                <w:color w:val="auto"/>
                <w:sz w:val="24"/>
                <w:szCs w:val="24"/>
                <w:u w:val="none"/>
                <w:lang w:eastAsia="zh-CN"/>
              </w:rPr>
              <w:t>及地点</w:t>
            </w:r>
          </w:p>
        </w:tc>
        <w:tc>
          <w:tcPr>
            <w:tcW w:w="6038" w:type="dxa"/>
            <w:vAlign w:val="center"/>
          </w:tcPr>
          <w:p w14:paraId="4BFA8F6C">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时间：2026年6月5日11:00                               </w:t>
            </w:r>
          </w:p>
          <w:p w14:paraId="5F74532D">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地点：</w:t>
            </w:r>
            <w:r>
              <w:rPr>
                <w:rFonts w:hint="eastAsia" w:ascii="宋体" w:hAnsi="宋体" w:eastAsia="宋体" w:cs="宋体"/>
                <w:b w:val="0"/>
                <w:bCs/>
                <w:color w:val="auto"/>
                <w:sz w:val="24"/>
                <w:highlight w:val="none"/>
                <w:lang w:val="en-US" w:eastAsia="zh-CN"/>
              </w:rPr>
              <w:t>政采云平台</w:t>
            </w:r>
          </w:p>
          <w:p w14:paraId="256F24C8">
            <w:pPr>
              <w:pStyle w:val="32"/>
              <w:spacing w:line="360" w:lineRule="auto"/>
              <w:ind w:left="0" w:leftChars="0" w:firstLine="0" w:firstLineChars="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注：供应商未在投标截止时间前将加密电子响应文件上传至政府采购云平台，</w:t>
            </w:r>
            <w:r>
              <w:rPr>
                <w:rFonts w:hint="eastAsia" w:ascii="宋体" w:hAnsi="宋体" w:eastAsia="宋体" w:cs="宋体"/>
                <w:color w:val="auto"/>
                <w:sz w:val="24"/>
                <w:lang w:val="en-US" w:eastAsia="zh-CN"/>
              </w:rPr>
              <w:t>由供应商自行承担后果。</w:t>
            </w:r>
          </w:p>
        </w:tc>
      </w:tr>
      <w:tr w14:paraId="4C82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3383AA4">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highlight w:val="none"/>
                <w:u w:val="none"/>
                <w:lang w:val="en-US" w:eastAsia="zh-CN"/>
              </w:rPr>
              <w:t>5.1</w:t>
            </w:r>
          </w:p>
        </w:tc>
        <w:tc>
          <w:tcPr>
            <w:tcW w:w="2647" w:type="dxa"/>
            <w:vAlign w:val="center"/>
          </w:tcPr>
          <w:p w14:paraId="1EF62B26">
            <w:pPr>
              <w:spacing w:before="120" w:line="360" w:lineRule="auto"/>
              <w:jc w:val="center"/>
              <w:rPr>
                <w:rFonts w:hint="eastAsia" w:ascii="宋体" w:hAnsi="宋体" w:eastAsia="宋体" w:cs="宋体"/>
                <w:b/>
                <w:bCs/>
                <w:color w:val="auto"/>
                <w:sz w:val="24"/>
                <w:szCs w:val="24"/>
                <w:u w:val="none"/>
              </w:rPr>
            </w:pPr>
            <w:r>
              <w:rPr>
                <w:rFonts w:hint="eastAsia" w:ascii="宋体" w:hAnsi="宋体" w:eastAsia="宋体" w:cs="宋体"/>
                <w:color w:val="auto"/>
                <w:sz w:val="28"/>
                <w:szCs w:val="28"/>
              </w:rPr>
              <w:t>★</w:t>
            </w:r>
            <w:r>
              <w:rPr>
                <w:rFonts w:hint="eastAsia" w:ascii="宋体" w:hAnsi="宋体" w:eastAsia="宋体" w:cs="宋体"/>
                <w:b/>
                <w:color w:val="auto"/>
                <w:kern w:val="0"/>
                <w:sz w:val="24"/>
                <w:highlight w:val="none"/>
                <w:lang w:val="en-US" w:eastAsia="zh-CN"/>
              </w:rPr>
              <w:t>不见面开标流程</w:t>
            </w:r>
          </w:p>
        </w:tc>
        <w:tc>
          <w:tcPr>
            <w:tcW w:w="6038" w:type="dxa"/>
            <w:vAlign w:val="center"/>
          </w:tcPr>
          <w:p w14:paraId="18819CDE">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1、本项目为不见面开标项目。递交电子响应文件的供应商不足3家的，不得开标。</w:t>
            </w:r>
          </w:p>
          <w:p w14:paraId="24F6B4F3">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开标准备工作。供应商需在开标当日、投标截止时间前登录“政府采购云平台”，通过“开标大厅”参与不见面开标。登录政府采购云平台(www.zcygov.cn)→我的工作台→项目采购→开标评标→开标大厅（找到对应项目）。</w:t>
            </w:r>
          </w:p>
          <w:p w14:paraId="0DB23BE8">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提示：供应商未按时登录不见面开标系统，错过开标解密时间的，由供应商自行承担后果。</w:t>
            </w:r>
          </w:p>
          <w:p w14:paraId="2A9D067C">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解密响应文件。等待采购代理机构工作人员开启解密后，供应商进行线上响应文件解密。开启解密后，供应商应在30分钟内，使用加密该响应文件的CA数字证书在线完成响应文件的解密。除因交易中心断电、断网、系统故障或其他不可抗力等因素，导致系统无法使用外，供应商在规定的解密时间内，未成功解密的响应文件将视为</w:t>
            </w:r>
            <w:r>
              <w:rPr>
                <w:rFonts w:hint="eastAsia" w:ascii="宋体" w:hAnsi="宋体" w:eastAsia="宋体" w:cs="宋体"/>
                <w:b/>
                <w:bCs/>
                <w:i/>
                <w:iCs/>
                <w:color w:val="auto"/>
                <w:sz w:val="24"/>
                <w:lang w:val="en-US" w:eastAsia="zh-CN"/>
              </w:rPr>
              <w:t>无效响应文件</w:t>
            </w:r>
            <w:r>
              <w:rPr>
                <w:rFonts w:hint="eastAsia" w:ascii="宋体" w:hAnsi="宋体" w:eastAsia="宋体" w:cs="宋体"/>
                <w:color w:val="auto"/>
                <w:sz w:val="24"/>
                <w:lang w:val="en-US" w:eastAsia="zh-CN"/>
              </w:rPr>
              <w:t>，由供应商自行承担后果。</w:t>
            </w:r>
          </w:p>
          <w:p w14:paraId="3917B138">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确认开标记录。解密时间截止或者所有供应商响应文件均完成解密后（以发生在先的时间为准），由“政府采购云平台”系统展示供应商名称、响应文件解密情况、投标报价等唱标内容。如成功解密响应文件的供应商不足三家的，则只展示供应商名称、响应文件解密情况。</w:t>
            </w:r>
          </w:p>
          <w:p w14:paraId="38E05728">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0AFEF025">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6、供应商电脑终端等硬件设备和软件系统配置：供应商电脑终端等硬件设备和软件系统配置应符合电子投标（含不见面开标大厅）供应商电脑终端配置要求并运行正常，供应商承担因未尽职责产生的不利后果。</w:t>
            </w:r>
          </w:p>
          <w:p w14:paraId="3E20FAE2">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7、政府采购云平台运行基本环境要求：电脑应安装并顺利运行64位win7以上操作系统，谷歌浏览器；正确的CA及签章驱动等；能流畅访问互联网。</w:t>
            </w:r>
          </w:p>
          <w:p w14:paraId="315F8952">
            <w:pPr>
              <w:pStyle w:val="32"/>
              <w:spacing w:line="360" w:lineRule="auto"/>
              <w:ind w:left="0" w:leftChars="0" w:firstLine="0" w:firstLine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8、因交易中心断电、断网、系统故障或其他不可抗力等因素导致不见面开标系统无法正常运行的，开标活动中止或延迟，待系统恢复正常后继续进行开标活动。</w:t>
            </w:r>
          </w:p>
          <w:p w14:paraId="38B803C8">
            <w:pPr>
              <w:keepNext w:val="0"/>
              <w:keepLines w:val="0"/>
              <w:pageBreakBefore w:val="0"/>
              <w:numPr>
                <w:ilvl w:val="0"/>
                <w:numId w:val="0"/>
              </w:numPr>
              <w:kinsoku/>
              <w:overflowPunct/>
              <w:topLinePunct w:val="0"/>
              <w:autoSpaceDE/>
              <w:autoSpaceDN/>
              <w:bidi w:val="0"/>
              <w:spacing w:afterAutospacing="0" w:line="360" w:lineRule="auto"/>
              <w:ind w:left="0" w:leftChars="0" w:firstLine="0" w:firstLine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color w:val="auto"/>
                <w:sz w:val="24"/>
                <w:lang w:val="en-US" w:eastAsia="zh-CN"/>
              </w:rPr>
              <w:t>9、不见面开标过程中，各方主体均应遵守互联网有关规定，不得发表与交易活动无关的言论。</w:t>
            </w:r>
          </w:p>
        </w:tc>
      </w:tr>
      <w:tr w14:paraId="1D4A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701A2BC5">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6.1.1</w:t>
            </w:r>
          </w:p>
        </w:tc>
        <w:tc>
          <w:tcPr>
            <w:tcW w:w="2647" w:type="dxa"/>
            <w:vAlign w:val="center"/>
          </w:tcPr>
          <w:p w14:paraId="7003D6D9">
            <w:pPr>
              <w:adjustRightInd w:val="0"/>
              <w:snapToGrid w:val="0"/>
              <w:spacing w:before="120" w:beforeLines="50" w:line="360" w:lineRule="auto"/>
              <w:jc w:val="center"/>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u w:val="none"/>
              </w:rPr>
              <w:t>磋商小组的组建及确定方式</w:t>
            </w:r>
          </w:p>
        </w:tc>
        <w:tc>
          <w:tcPr>
            <w:tcW w:w="6038" w:type="dxa"/>
            <w:vAlign w:val="center"/>
          </w:tcPr>
          <w:p w14:paraId="4F64A4AC">
            <w:pPr>
              <w:pStyle w:val="32"/>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招标采购单位依法组建磋商小组共 3 人组成，其中采购人代表</w:t>
            </w:r>
            <w:r>
              <w:rPr>
                <w:rFonts w:hint="eastAsia" w:ascii="宋体" w:hAnsi="宋体" w:eastAsia="宋体" w:cs="宋体"/>
                <w:color w:val="auto"/>
                <w:kern w:val="0"/>
                <w:sz w:val="24"/>
                <w:highlight w:val="none"/>
                <w:u w:val="single"/>
                <w:lang w:val="en-US" w:eastAsia="zh-CN"/>
              </w:rPr>
              <w:t xml:space="preserve"> 1 </w:t>
            </w:r>
            <w:r>
              <w:rPr>
                <w:rFonts w:hint="eastAsia" w:ascii="宋体" w:hAnsi="宋体" w:eastAsia="宋体" w:cs="宋体"/>
                <w:color w:val="auto"/>
                <w:kern w:val="0"/>
                <w:sz w:val="24"/>
                <w:highlight w:val="none"/>
                <w:lang w:val="en-US" w:eastAsia="zh-CN"/>
              </w:rPr>
              <w:t>人和专家评委</w:t>
            </w:r>
            <w:r>
              <w:rPr>
                <w:rFonts w:hint="eastAsia" w:ascii="宋体" w:hAnsi="宋体" w:eastAsia="宋体" w:cs="宋体"/>
                <w:color w:val="auto"/>
                <w:kern w:val="0"/>
                <w:sz w:val="24"/>
                <w:highlight w:val="none"/>
                <w:u w:val="single"/>
                <w:lang w:val="en-US" w:eastAsia="zh-CN"/>
              </w:rPr>
              <w:t xml:space="preserve"> 2</w:t>
            </w:r>
            <w:r>
              <w:rPr>
                <w:rFonts w:hint="eastAsia" w:ascii="宋体" w:hAnsi="宋体" w:eastAsia="宋体" w:cs="宋体"/>
                <w:color w:val="auto"/>
                <w:kern w:val="0"/>
                <w:sz w:val="24"/>
                <w:highlight w:val="none"/>
                <w:lang w:val="en-US" w:eastAsia="zh-CN"/>
              </w:rPr>
              <w:t>人。</w:t>
            </w:r>
          </w:p>
          <w:p w14:paraId="37A26871">
            <w:pPr>
              <w:pStyle w:val="32"/>
              <w:spacing w:line="360" w:lineRule="auto"/>
              <w:ind w:left="0" w:leftChars="0" w:firstLine="0" w:firstLineChars="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专家确定方式：</w:t>
            </w:r>
            <w:r>
              <w:rPr>
                <w:rFonts w:hint="eastAsia" w:ascii="宋体" w:hAnsi="宋体" w:eastAsia="宋体" w:cs="宋体"/>
                <w:color w:val="auto"/>
                <w:sz w:val="24"/>
                <w:lang w:val="en-US" w:eastAsia="zh-CN"/>
              </w:rPr>
              <w:t>政采云平台</w:t>
            </w:r>
            <w:r>
              <w:rPr>
                <w:rFonts w:hint="eastAsia" w:ascii="宋体" w:hAnsi="宋体" w:eastAsia="宋体" w:cs="宋体"/>
                <w:color w:val="auto"/>
                <w:sz w:val="24"/>
              </w:rPr>
              <w:t>专家库随机抽取</w:t>
            </w:r>
            <w:r>
              <w:rPr>
                <w:rFonts w:hint="eastAsia" w:ascii="宋体" w:hAnsi="宋体" w:eastAsia="宋体" w:cs="宋体"/>
                <w:color w:val="auto"/>
                <w:kern w:val="0"/>
                <w:sz w:val="24"/>
                <w:highlight w:val="none"/>
                <w:lang w:val="en-US" w:eastAsia="zh-CN"/>
              </w:rPr>
              <w:t xml:space="preserve">         </w:t>
            </w:r>
          </w:p>
        </w:tc>
      </w:tr>
      <w:tr w14:paraId="6833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43E0766">
            <w:pPr>
              <w:adjustRightInd w:val="0"/>
              <w:snapToGrid w:val="0"/>
              <w:spacing w:before="120" w:beforeLines="50"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7.1.3</w:t>
            </w:r>
          </w:p>
        </w:tc>
        <w:tc>
          <w:tcPr>
            <w:tcW w:w="2647" w:type="dxa"/>
            <w:vAlign w:val="center"/>
          </w:tcPr>
          <w:p w14:paraId="25C89207">
            <w:pPr>
              <w:adjustRightInd w:val="0"/>
              <w:snapToGrid w:val="0"/>
              <w:spacing w:before="120" w:beforeLines="50" w:line="360" w:lineRule="auto"/>
              <w:jc w:val="center"/>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成交结果公告媒介</w:t>
            </w:r>
          </w:p>
        </w:tc>
        <w:tc>
          <w:tcPr>
            <w:tcW w:w="6038" w:type="dxa"/>
            <w:vAlign w:val="center"/>
          </w:tcPr>
          <w:p w14:paraId="0BEFA50A">
            <w:pPr>
              <w:adjustRightInd w:val="0"/>
              <w:snapToGrid w:val="0"/>
              <w:spacing w:before="120" w:beforeLines="50"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lang w:val="en-US" w:eastAsia="zh-CN"/>
              </w:rPr>
              <w:t>新疆政府采购网</w:t>
            </w:r>
          </w:p>
        </w:tc>
      </w:tr>
      <w:tr w14:paraId="3884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2" w:type="dxa"/>
            <w:gridSpan w:val="3"/>
            <w:vAlign w:val="center"/>
          </w:tcPr>
          <w:p w14:paraId="59C753F8">
            <w:pPr>
              <w:adjustRightInd w:val="0"/>
              <w:snapToGrid w:val="0"/>
              <w:spacing w:before="120" w:beforeLines="50"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u w:val="none"/>
                <w:lang w:val="en-US" w:eastAsia="zh-CN"/>
              </w:rPr>
              <w:t>12.</w:t>
            </w:r>
            <w:r>
              <w:rPr>
                <w:rFonts w:hint="eastAsia" w:ascii="宋体" w:hAnsi="宋体" w:eastAsia="宋体" w:cs="宋体"/>
                <w:b/>
                <w:bCs/>
                <w:color w:val="auto"/>
                <w:sz w:val="24"/>
                <w:szCs w:val="24"/>
                <w:u w:val="none"/>
              </w:rPr>
              <w:t>采购人认为</w:t>
            </w:r>
            <w:r>
              <w:rPr>
                <w:rFonts w:hint="eastAsia" w:ascii="宋体" w:hAnsi="宋体" w:eastAsia="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14:paraId="2245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D21548D">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w:t>
            </w:r>
          </w:p>
        </w:tc>
        <w:tc>
          <w:tcPr>
            <w:tcW w:w="2647" w:type="dxa"/>
            <w:vAlign w:val="center"/>
          </w:tcPr>
          <w:p w14:paraId="78E4E64D">
            <w:pPr>
              <w:spacing w:line="360" w:lineRule="auto"/>
              <w:jc w:val="center"/>
              <w:rPr>
                <w:rFonts w:hint="eastAsia" w:ascii="宋体" w:hAnsi="宋体" w:eastAsia="宋体" w:cs="宋体"/>
                <w:b/>
                <w:bCs/>
                <w:color w:val="auto"/>
                <w:kern w:val="0"/>
                <w:sz w:val="24"/>
                <w:szCs w:val="24"/>
                <w:highlight w:val="none"/>
                <w:u w:val="none"/>
                <w:lang w:val="en-US" w:eastAsia="zh-CN" w:bidi="ar-SA"/>
              </w:rPr>
            </w:pPr>
            <w:r>
              <w:rPr>
                <w:rFonts w:hint="eastAsia" w:ascii="宋体" w:hAnsi="宋体" w:eastAsia="宋体" w:cs="宋体"/>
                <w:b/>
                <w:bCs/>
                <w:kern w:val="0"/>
                <w:sz w:val="24"/>
                <w:szCs w:val="22"/>
                <w:lang w:val="en-US" w:eastAsia="zh-CN" w:bidi="ar-SA"/>
              </w:rPr>
              <w:t>偏离</w:t>
            </w:r>
          </w:p>
        </w:tc>
        <w:tc>
          <w:tcPr>
            <w:tcW w:w="6038" w:type="dxa"/>
            <w:vAlign w:val="center"/>
          </w:tcPr>
          <w:p w14:paraId="109F7A0A">
            <w:pPr>
              <w:pStyle w:val="32"/>
              <w:spacing w:line="360" w:lineRule="auto"/>
              <w:ind w:left="0" w:leftChars="0" w:firstLine="480" w:firstLineChars="20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kern w:val="0"/>
                <w:sz w:val="24"/>
                <w:lang w:val="en-US" w:eastAsia="zh-CN"/>
              </w:rPr>
              <w:t>偏离是指响应文件不满足或者不响应磋商文件的要求。偏离分为偏离磋商文件的实质性要求和条件及偏离磋商文件的非实质性要求和条件。</w:t>
            </w:r>
          </w:p>
        </w:tc>
      </w:tr>
      <w:tr w14:paraId="435E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ED3C70D">
            <w:pPr>
              <w:spacing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kern w:val="0"/>
                <w:sz w:val="24"/>
                <w:highlight w:val="none"/>
                <w:lang w:val="en-US" w:eastAsia="zh-CN"/>
              </w:rPr>
              <w:t>2</w:t>
            </w:r>
          </w:p>
        </w:tc>
        <w:tc>
          <w:tcPr>
            <w:tcW w:w="2647" w:type="dxa"/>
            <w:vAlign w:val="center"/>
          </w:tcPr>
          <w:p w14:paraId="60E77714">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b/>
                <w:bCs/>
                <w:kern w:val="0"/>
                <w:sz w:val="24"/>
                <w:szCs w:val="22"/>
                <w:highlight w:val="none"/>
                <w:lang w:val="en-US" w:eastAsia="zh-CN" w:bidi="ar-SA"/>
              </w:rPr>
              <w:t>信用记录查询</w:t>
            </w:r>
          </w:p>
        </w:tc>
        <w:tc>
          <w:tcPr>
            <w:tcW w:w="6038" w:type="dxa"/>
            <w:vAlign w:val="center"/>
          </w:tcPr>
          <w:p w14:paraId="27D868F4">
            <w:pPr>
              <w:pStyle w:val="32"/>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磋商小组将在资格审查环节在线查询供应商的信用记录。供应商存在不良信用记录的，其投标按</w:t>
            </w:r>
            <w:r>
              <w:rPr>
                <w:rFonts w:hint="eastAsia" w:ascii="宋体" w:hAnsi="宋体" w:eastAsia="宋体" w:cs="宋体"/>
                <w:b/>
                <w:bCs/>
                <w:i/>
                <w:iCs/>
                <w:kern w:val="0"/>
                <w:sz w:val="24"/>
                <w:lang w:val="en-US" w:eastAsia="zh-CN"/>
              </w:rPr>
              <w:t>无效投标</w:t>
            </w:r>
            <w:r>
              <w:rPr>
                <w:rFonts w:hint="eastAsia" w:ascii="宋体" w:hAnsi="宋体" w:eastAsia="宋体" w:cs="宋体"/>
                <w:kern w:val="0"/>
                <w:sz w:val="24"/>
                <w:lang w:val="en-US" w:eastAsia="zh-CN"/>
              </w:rPr>
              <w:t>处理。</w:t>
            </w:r>
          </w:p>
          <w:p w14:paraId="4F3F25C1">
            <w:pPr>
              <w:pStyle w:val="32"/>
              <w:spacing w:line="36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不良信用记录指：供应商在中国政府采购网被列入政府采购严重违法失信行为记录名单，及在“信用中国”网站被列入失信被执行人、重大税收违法案件当事人名单。</w:t>
            </w:r>
          </w:p>
          <w:p w14:paraId="3778D35E">
            <w:pPr>
              <w:pStyle w:val="32"/>
              <w:spacing w:line="360" w:lineRule="auto"/>
              <w:ind w:left="0" w:leftChars="0"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查询及记录方式：磋商小组将查询网页打印并存档备查。供应商不良信用记录以磋商小组查询结果为准。在本磋商文件规定的查询时间之后，网站信息发生的任何变更均不再作为评标依据。供应商自行提供的与网站信息不一致的其他证明材料亦不作为资格审查依据。</w:t>
            </w:r>
          </w:p>
          <w:p w14:paraId="0E2EC311">
            <w:pPr>
              <w:pStyle w:val="32"/>
              <w:spacing w:line="360" w:lineRule="auto"/>
              <w:ind w:left="0" w:leftChars="0" w:firstLine="0" w:firstLineChars="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以联合体形式参加投标的，联合体任何成员存在以上不良信用记录的，联合体投标将被认定为</w:t>
            </w:r>
            <w:r>
              <w:rPr>
                <w:rFonts w:hint="eastAsia" w:ascii="宋体" w:hAnsi="宋体" w:eastAsia="宋体" w:cs="宋体"/>
                <w:b/>
                <w:bCs/>
                <w:i/>
                <w:iCs/>
                <w:kern w:val="0"/>
                <w:sz w:val="24"/>
                <w:lang w:val="en-US" w:eastAsia="zh-CN"/>
              </w:rPr>
              <w:t>无效投标</w:t>
            </w:r>
            <w:r>
              <w:rPr>
                <w:rFonts w:hint="eastAsia" w:ascii="宋体" w:hAnsi="宋体" w:eastAsia="宋体" w:cs="宋体"/>
                <w:kern w:val="0"/>
                <w:sz w:val="24"/>
                <w:lang w:val="en-US" w:eastAsia="zh-CN"/>
              </w:rPr>
              <w:t>。</w:t>
            </w:r>
          </w:p>
        </w:tc>
      </w:tr>
      <w:tr w14:paraId="7C0D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4EEB3B32">
            <w:pPr>
              <w:spacing w:line="360" w:lineRule="auto"/>
              <w:jc w:val="center"/>
              <w:rPr>
                <w:rFonts w:hint="eastAsia" w:ascii="宋体" w:hAnsi="宋体" w:eastAsia="宋体" w:cs="宋体"/>
                <w:b/>
                <w:bCs/>
                <w:color w:val="auto"/>
                <w:sz w:val="24"/>
                <w:szCs w:val="24"/>
                <w:u w:val="none"/>
                <w:lang w:val="en-US" w:eastAsia="zh-CN"/>
              </w:rPr>
            </w:pPr>
            <w:r>
              <w:rPr>
                <w:rFonts w:hint="eastAsia" w:ascii="宋体" w:hAnsi="宋体" w:eastAsia="宋体" w:cs="宋体"/>
                <w:b/>
                <w:kern w:val="0"/>
                <w:sz w:val="24"/>
                <w:lang w:val="en-US" w:eastAsia="zh-CN"/>
              </w:rPr>
              <w:t>3</w:t>
            </w:r>
          </w:p>
        </w:tc>
        <w:tc>
          <w:tcPr>
            <w:tcW w:w="2647" w:type="dxa"/>
            <w:vAlign w:val="center"/>
          </w:tcPr>
          <w:p w14:paraId="7B5922C4">
            <w:pPr>
              <w:adjustRightInd w:val="0"/>
              <w:snapToGrid w:val="0"/>
              <w:spacing w:before="156" w:beforeLines="50"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4"/>
                <w:szCs w:val="24"/>
                <w:lang w:val="en-US" w:eastAsia="zh-CN"/>
              </w:rPr>
              <w:t>多家代理商代理一家制造商的产品参加投标的解决办法</w:t>
            </w:r>
            <w:r>
              <w:rPr>
                <w:rFonts w:hint="eastAsia" w:ascii="宋体" w:hAnsi="宋体" w:cs="宋体"/>
                <w:b/>
                <w:bCs/>
                <w:color w:val="auto"/>
                <w:sz w:val="24"/>
                <w:szCs w:val="24"/>
                <w:lang w:val="en-US" w:eastAsia="zh-CN"/>
              </w:rPr>
              <w:t>（不适用）</w:t>
            </w:r>
          </w:p>
        </w:tc>
        <w:tc>
          <w:tcPr>
            <w:tcW w:w="6038" w:type="dxa"/>
            <w:vAlign w:val="center"/>
          </w:tcPr>
          <w:p w14:paraId="43F05CBC">
            <w:pPr>
              <w:pStyle w:val="32"/>
              <w:spacing w:line="360" w:lineRule="auto"/>
              <w:ind w:left="0" w:leftChars="0" w:firstLine="480" w:firstLineChars="20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一个分包内只有一种产品，不同供应商所投产品为同一品牌的或一个分包内包含多种产品的，采购人将在磋商文件中载明核心产品，多家供应商提供的核心产品品牌相同的，按如下方式处理：提供相同品牌产品且通过资格审查、符合性审查的不同供应商参加同一合同项下投标的，按一家供应商计算，评审后得分最高的同品牌供应商获得中标人推荐资格；评审得分相同的，由评标委员会根据磋商文件规定的方式（磋商文件未规定的采取随机抽取的方式）确定一个中标候选人，其他同品牌供应商不作为中标候选人。</w:t>
            </w:r>
          </w:p>
        </w:tc>
      </w:tr>
      <w:tr w14:paraId="0E5E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0C176AE">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4</w:t>
            </w:r>
          </w:p>
        </w:tc>
        <w:tc>
          <w:tcPr>
            <w:tcW w:w="2647" w:type="dxa"/>
            <w:vAlign w:val="center"/>
          </w:tcPr>
          <w:p w14:paraId="516CA177">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000000"/>
                <w:kern w:val="0"/>
                <w:sz w:val="24"/>
                <w:szCs w:val="24"/>
                <w:u w:val="none"/>
              </w:rPr>
              <w:t>重大违法记录</w:t>
            </w:r>
          </w:p>
        </w:tc>
        <w:tc>
          <w:tcPr>
            <w:tcW w:w="6038" w:type="dxa"/>
            <w:vAlign w:val="center"/>
          </w:tcPr>
          <w:p w14:paraId="229C2BF5">
            <w:pPr>
              <w:pStyle w:val="32"/>
              <w:spacing w:line="360" w:lineRule="auto"/>
              <w:ind w:left="0" w:leftChars="0" w:firstLine="480" w:firstLineChars="200"/>
              <w:rPr>
                <w:rFonts w:hint="eastAsia" w:ascii="宋体" w:hAnsi="宋体" w:eastAsia="宋体" w:cs="宋体"/>
                <w:color w:val="auto"/>
                <w:kern w:val="0"/>
                <w:sz w:val="24"/>
                <w:szCs w:val="24"/>
                <w:u w:val="none"/>
                <w:lang w:eastAsia="zh-CN"/>
              </w:rPr>
            </w:pPr>
            <w:r>
              <w:rPr>
                <w:rFonts w:hint="eastAsia" w:ascii="宋体" w:hAnsi="宋体" w:eastAsia="宋体" w:cs="宋体"/>
                <w:kern w:val="0"/>
                <w:sz w:val="24"/>
                <w:lang w:val="en-US" w:eastAsia="zh-CN"/>
              </w:rPr>
              <w:t>供应商因违法经营受到刑事处罚或者责令停产停业、吊销许可证或者执照、较大数额罚款等行政处罚。</w:t>
            </w:r>
          </w:p>
        </w:tc>
      </w:tr>
      <w:tr w14:paraId="706D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E9CD04C">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lang w:val="en-US" w:eastAsia="zh-CN" w:bidi="ar-SA"/>
              </w:rPr>
              <w:t>5</w:t>
            </w:r>
          </w:p>
        </w:tc>
        <w:tc>
          <w:tcPr>
            <w:tcW w:w="2647" w:type="dxa"/>
            <w:shd w:val="clear" w:color="auto" w:fill="auto"/>
            <w:vAlign w:val="center"/>
          </w:tcPr>
          <w:p w14:paraId="06F31638">
            <w:pPr>
              <w:adjustRightInd w:val="0"/>
              <w:snapToGrid w:val="0"/>
              <w:spacing w:before="156" w:beforeLines="50"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4"/>
                <w:szCs w:val="24"/>
                <w:highlight w:val="none"/>
                <w:lang w:val="en-US" w:eastAsia="zh-CN"/>
              </w:rPr>
              <w:t>本项目是否专门面向中小企业</w:t>
            </w:r>
          </w:p>
        </w:tc>
        <w:tc>
          <w:tcPr>
            <w:tcW w:w="6038" w:type="dxa"/>
            <w:shd w:val="clear" w:color="auto" w:fill="auto"/>
            <w:vAlign w:val="center"/>
          </w:tcPr>
          <w:p w14:paraId="59E82D31">
            <w:pPr>
              <w:pStyle w:val="71"/>
              <w:spacing w:line="360" w:lineRule="auto"/>
              <w:ind w:left="0" w:leftChars="0" w:firstLine="0" w:firstLineChars="0"/>
              <w:rPr>
                <w:rFonts w:hint="eastAsia" w:ascii="宋体" w:hAnsi="宋体" w:eastAsia="宋体" w:cs="宋体"/>
                <w:color w:val="auto"/>
                <w:kern w:val="0"/>
                <w:sz w:val="24"/>
                <w:szCs w:val="24"/>
                <w:highlight w:val="none"/>
                <w:u w:val="none"/>
                <w:lang w:val="en-US" w:eastAsia="zh-CN" w:bidi="ar-SA"/>
              </w:rPr>
            </w:pPr>
            <w:r>
              <w:rPr>
                <w:rFonts w:hint="eastAsia" w:ascii="宋体" w:hAnsi="宋体" w:eastAsia="宋体" w:cs="宋体"/>
                <w:kern w:val="0"/>
                <w:sz w:val="24"/>
                <w:highlight w:val="none"/>
                <w:u w:val="none"/>
                <w:lang w:val="en-US" w:eastAsia="zh-CN"/>
              </w:rPr>
              <w:t>是</w:t>
            </w:r>
          </w:p>
        </w:tc>
      </w:tr>
      <w:tr w14:paraId="0FAA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8FB4CA9">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lang w:val="en-US" w:eastAsia="zh-CN" w:bidi="ar-SA"/>
              </w:rPr>
              <w:t>6</w:t>
            </w:r>
          </w:p>
        </w:tc>
        <w:tc>
          <w:tcPr>
            <w:tcW w:w="2647" w:type="dxa"/>
            <w:vAlign w:val="center"/>
          </w:tcPr>
          <w:p w14:paraId="6B02F4D9">
            <w:pPr>
              <w:spacing w:line="360" w:lineRule="auto"/>
              <w:jc w:val="center"/>
              <w:rPr>
                <w:rFonts w:hint="eastAsia" w:ascii="宋体" w:hAnsi="宋体" w:eastAsia="宋体" w:cs="宋体"/>
                <w:b/>
                <w:bCs/>
                <w:color w:val="auto"/>
                <w:kern w:val="0"/>
                <w:sz w:val="24"/>
                <w:szCs w:val="24"/>
                <w:u w:val="none"/>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038" w:type="dxa"/>
            <w:vAlign w:val="center"/>
          </w:tcPr>
          <w:p w14:paraId="52C75F81">
            <w:pPr>
              <w:pStyle w:val="71"/>
              <w:spacing w:line="360" w:lineRule="auto"/>
              <w:ind w:left="0" w:leftChars="0" w:firstLine="0" w:firstLineChars="0"/>
              <w:rPr>
                <w:rFonts w:hint="eastAsia" w:ascii="宋体" w:hAnsi="宋体" w:eastAsia="宋体" w:cs="宋体"/>
                <w:color w:val="auto"/>
                <w:kern w:val="0"/>
                <w:sz w:val="24"/>
                <w:szCs w:val="24"/>
                <w:u w:val="none"/>
              </w:rPr>
            </w:pPr>
            <w:r>
              <w:rPr>
                <w:rFonts w:hint="eastAsia" w:ascii="宋体" w:hAnsi="宋体" w:eastAsia="宋体" w:cs="宋体"/>
                <w:kern w:val="0"/>
                <w:sz w:val="24"/>
                <w:lang w:val="en-US" w:eastAsia="zh-CN"/>
              </w:rPr>
              <w:t>详见第四章评审办法</w:t>
            </w:r>
          </w:p>
        </w:tc>
      </w:tr>
      <w:tr w14:paraId="3F71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8210434">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7</w:t>
            </w:r>
          </w:p>
        </w:tc>
        <w:tc>
          <w:tcPr>
            <w:tcW w:w="2647" w:type="dxa"/>
            <w:vAlign w:val="center"/>
          </w:tcPr>
          <w:p w14:paraId="5F37C8C7">
            <w:pPr>
              <w:spacing w:line="360" w:lineRule="auto"/>
              <w:jc w:val="center"/>
              <w:rPr>
                <w:rFonts w:hint="eastAsia" w:ascii="宋体" w:hAnsi="宋体" w:eastAsia="宋体" w:cs="宋体"/>
                <w:b/>
                <w:bCs/>
                <w:color w:val="auto"/>
                <w:kern w:val="0"/>
                <w:sz w:val="24"/>
                <w:szCs w:val="22"/>
                <w:lang w:val="en-US" w:eastAsia="zh-CN" w:bidi="ar-SA"/>
              </w:rPr>
            </w:pPr>
            <w:r>
              <w:rPr>
                <w:rFonts w:hint="eastAsia" w:ascii="宋体" w:hAnsi="宋体" w:eastAsia="宋体" w:cs="宋体"/>
                <w:b/>
                <w:bCs/>
                <w:color w:val="000000"/>
                <w:kern w:val="0"/>
                <w:sz w:val="24"/>
                <w:szCs w:val="24"/>
                <w:highlight w:val="none"/>
                <w:u w:val="none"/>
                <w:lang w:eastAsia="zh-CN"/>
              </w:rPr>
              <w:t>本项目所属行业</w:t>
            </w:r>
          </w:p>
        </w:tc>
        <w:tc>
          <w:tcPr>
            <w:tcW w:w="6038" w:type="dxa"/>
            <w:vAlign w:val="center"/>
          </w:tcPr>
          <w:p w14:paraId="701B6FE6">
            <w:pPr>
              <w:pStyle w:val="71"/>
              <w:spacing w:line="360" w:lineRule="auto"/>
              <w:ind w:left="0" w:leftChars="0" w:firstLine="0" w:firstLineChars="0"/>
              <w:rPr>
                <w:rFonts w:hint="default" w:ascii="宋体" w:hAnsi="宋体" w:eastAsia="宋体" w:cs="宋体"/>
                <w:color w:val="auto"/>
                <w:kern w:val="0"/>
                <w:sz w:val="24"/>
                <w:szCs w:val="24"/>
                <w:lang w:val="en-US" w:eastAsia="zh-CN"/>
              </w:rPr>
            </w:pPr>
            <w:r>
              <w:rPr>
                <w:rFonts w:hint="default" w:ascii="宋体" w:hAnsi="宋体" w:eastAsia="宋体" w:cs="宋体"/>
                <w:b/>
                <w:bCs/>
                <w:color w:val="auto"/>
                <w:kern w:val="0"/>
                <w:sz w:val="24"/>
                <w:szCs w:val="24"/>
                <w:lang w:val="en-US" w:eastAsia="zh-CN"/>
              </w:rPr>
              <w:t>其他未列明行业</w:t>
            </w:r>
          </w:p>
        </w:tc>
      </w:tr>
      <w:tr w14:paraId="06C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4AD2869">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8</w:t>
            </w:r>
          </w:p>
        </w:tc>
        <w:tc>
          <w:tcPr>
            <w:tcW w:w="2647" w:type="dxa"/>
            <w:vAlign w:val="center"/>
          </w:tcPr>
          <w:p w14:paraId="192EC4B4">
            <w:pPr>
              <w:adjustRightInd w:val="0"/>
              <w:snapToGrid w:val="0"/>
              <w:spacing w:before="156" w:beforeLines="50" w:line="360" w:lineRule="auto"/>
              <w:jc w:val="center"/>
              <w:rPr>
                <w:rFonts w:hint="eastAsia" w:ascii="宋体" w:hAnsi="宋体" w:eastAsia="宋体" w:cs="宋体"/>
                <w:b/>
                <w:bCs/>
                <w:color w:val="auto"/>
                <w:kern w:val="0"/>
                <w:sz w:val="24"/>
                <w:szCs w:val="24"/>
                <w:u w:val="none"/>
                <w:lang w:val="en-US" w:eastAsia="zh-CN" w:bidi="ar-SA"/>
              </w:rPr>
            </w:pPr>
            <w:r>
              <w:rPr>
                <w:rFonts w:hint="eastAsia" w:ascii="宋体" w:hAnsi="宋体" w:eastAsia="宋体" w:cs="宋体"/>
                <w:b/>
                <w:bCs/>
                <w:color w:val="auto"/>
                <w:sz w:val="24"/>
                <w:szCs w:val="24"/>
                <w:lang w:val="en-US" w:eastAsia="zh-CN"/>
              </w:rPr>
              <w:t>优先采购节能、环境标志产品</w:t>
            </w:r>
          </w:p>
        </w:tc>
        <w:tc>
          <w:tcPr>
            <w:tcW w:w="6038" w:type="dxa"/>
            <w:vAlign w:val="center"/>
          </w:tcPr>
          <w:p w14:paraId="270E6970">
            <w:pPr>
              <w:pStyle w:val="71"/>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cs="宋体"/>
                <w:kern w:val="0"/>
                <w:sz w:val="24"/>
                <w:lang w:val="en-US" w:eastAsia="zh-CN"/>
              </w:rPr>
              <w:t>无</w:t>
            </w:r>
          </w:p>
        </w:tc>
      </w:tr>
      <w:tr w14:paraId="39C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E8FA6E0">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9</w:t>
            </w:r>
          </w:p>
        </w:tc>
        <w:tc>
          <w:tcPr>
            <w:tcW w:w="2647" w:type="dxa"/>
            <w:vAlign w:val="center"/>
          </w:tcPr>
          <w:p w14:paraId="5256CACB">
            <w:pPr>
              <w:adjustRightInd w:val="0"/>
              <w:snapToGrid w:val="0"/>
              <w:spacing w:before="156" w:beforeLines="50"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lang w:val="en-US" w:eastAsia="zh-CN"/>
              </w:rPr>
              <w:t>是否允许投报进口产品</w:t>
            </w:r>
          </w:p>
        </w:tc>
        <w:tc>
          <w:tcPr>
            <w:tcW w:w="6038" w:type="dxa"/>
            <w:vAlign w:val="center"/>
          </w:tcPr>
          <w:p w14:paraId="21C0714A">
            <w:pPr>
              <w:pStyle w:val="71"/>
              <w:spacing w:line="360" w:lineRule="auto"/>
              <w:ind w:left="0" w:leftChars="0" w:firstLine="0" w:firstLineChars="0"/>
              <w:rPr>
                <w:rFonts w:hint="eastAsia" w:ascii="宋体" w:hAnsi="宋体" w:eastAsia="宋体" w:cs="宋体"/>
                <w:color w:val="auto"/>
                <w:kern w:val="0"/>
                <w:sz w:val="24"/>
                <w:lang w:val="en-US" w:eastAsia="zh-CN"/>
              </w:rPr>
            </w:pPr>
            <w:r>
              <w:rPr>
                <w:rFonts w:hint="eastAsia" w:ascii="宋体" w:hAnsi="宋体" w:eastAsia="宋体" w:cs="宋体"/>
                <w:kern w:val="0"/>
                <w:sz w:val="24"/>
                <w:lang w:eastAsia="zh-CN"/>
              </w:rPr>
              <w:t>否</w:t>
            </w:r>
          </w:p>
        </w:tc>
      </w:tr>
      <w:tr w14:paraId="0454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6C09716E">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10</w:t>
            </w:r>
          </w:p>
        </w:tc>
        <w:tc>
          <w:tcPr>
            <w:tcW w:w="2647" w:type="dxa"/>
            <w:vAlign w:val="center"/>
          </w:tcPr>
          <w:p w14:paraId="70BACED5">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000000"/>
                <w:kern w:val="0"/>
                <w:sz w:val="24"/>
                <w:szCs w:val="24"/>
                <w:u w:val="none"/>
                <w:lang w:eastAsia="zh-CN"/>
              </w:rPr>
              <w:t>招标代理服务费</w:t>
            </w:r>
          </w:p>
        </w:tc>
        <w:tc>
          <w:tcPr>
            <w:tcW w:w="6038" w:type="dxa"/>
            <w:vAlign w:val="center"/>
          </w:tcPr>
          <w:p w14:paraId="5D45CBA4">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bookmarkStart w:id="14" w:name="OLE_LINK2"/>
            <w:r>
              <w:rPr>
                <w:rFonts w:hint="eastAsia" w:ascii="宋体" w:hAnsi="宋体" w:eastAsia="宋体" w:cs="宋体"/>
                <w:kern w:val="0"/>
                <w:sz w:val="24"/>
                <w:lang w:val="en-US" w:eastAsia="zh-CN"/>
              </w:rPr>
              <w:t>经与招标人协商，本项目由中标供应商在领取中标通知书的同时，向招标代理机构支付招标代理服务费：按照发改价格〔2015〕299号通知要求，参照国家计委计价格〔2002〕1980号文及发改价格〔2011〕534号文的差额定率累进法计算，以中标金额为基准价收取招标代理服务费，下浮20%。</w:t>
            </w:r>
            <w:bookmarkEnd w:id="14"/>
          </w:p>
        </w:tc>
      </w:tr>
      <w:tr w14:paraId="5195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1906D29D">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lang w:val="en-US" w:eastAsia="zh-CN"/>
              </w:rPr>
              <w:t>11</w:t>
            </w:r>
          </w:p>
        </w:tc>
        <w:tc>
          <w:tcPr>
            <w:tcW w:w="2647" w:type="dxa"/>
            <w:vAlign w:val="center"/>
          </w:tcPr>
          <w:p w14:paraId="5466A0D1">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000000"/>
                <w:kern w:val="0"/>
                <w:sz w:val="24"/>
                <w:szCs w:val="24"/>
                <w:u w:val="none"/>
                <w:lang w:eastAsia="zh-CN"/>
              </w:rPr>
              <w:t>场地服务费</w:t>
            </w:r>
          </w:p>
        </w:tc>
        <w:tc>
          <w:tcPr>
            <w:tcW w:w="6038" w:type="dxa"/>
            <w:vAlign w:val="center"/>
          </w:tcPr>
          <w:p w14:paraId="5FDC431C">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kern w:val="0"/>
                <w:sz w:val="24"/>
                <w:lang w:val="en-US" w:eastAsia="zh-CN"/>
              </w:rPr>
              <w:t>无</w:t>
            </w:r>
          </w:p>
        </w:tc>
      </w:tr>
      <w:tr w14:paraId="493D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5AC0F6B7">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12</w:t>
            </w:r>
          </w:p>
        </w:tc>
        <w:tc>
          <w:tcPr>
            <w:tcW w:w="2647" w:type="dxa"/>
            <w:vAlign w:val="center"/>
          </w:tcPr>
          <w:p w14:paraId="4B02FB5D">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000000"/>
                <w:kern w:val="0"/>
                <w:sz w:val="24"/>
                <w:szCs w:val="24"/>
                <w:highlight w:val="none"/>
                <w:u w:val="none"/>
                <w:lang w:eastAsia="zh-CN"/>
              </w:rPr>
              <w:t>公证费</w:t>
            </w:r>
          </w:p>
        </w:tc>
        <w:tc>
          <w:tcPr>
            <w:tcW w:w="6038" w:type="dxa"/>
            <w:vAlign w:val="center"/>
          </w:tcPr>
          <w:p w14:paraId="198374FB">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lang w:val="en-US" w:eastAsia="zh-CN"/>
              </w:rPr>
              <w:t>不需要。</w:t>
            </w:r>
          </w:p>
        </w:tc>
      </w:tr>
      <w:tr w14:paraId="20B3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32AD10CC">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kern w:val="0"/>
                <w:sz w:val="24"/>
                <w:szCs w:val="22"/>
                <w:highlight w:val="none"/>
                <w:lang w:val="en-US" w:eastAsia="zh-CN" w:bidi="ar-SA"/>
              </w:rPr>
              <w:t>13</w:t>
            </w:r>
          </w:p>
        </w:tc>
        <w:tc>
          <w:tcPr>
            <w:tcW w:w="2647" w:type="dxa"/>
            <w:vAlign w:val="center"/>
          </w:tcPr>
          <w:p w14:paraId="213C325D">
            <w:pPr>
              <w:spacing w:line="360" w:lineRule="auto"/>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sz w:val="24"/>
                <w:szCs w:val="24"/>
                <w:highlight w:val="none"/>
                <w:lang w:eastAsia="zh-CN"/>
              </w:rPr>
              <w:t>电子交易活动的中止</w:t>
            </w:r>
          </w:p>
        </w:tc>
        <w:tc>
          <w:tcPr>
            <w:tcW w:w="6038" w:type="dxa"/>
            <w:vAlign w:val="center"/>
          </w:tcPr>
          <w:p w14:paraId="5DEC07C0">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采购过程中出现以下情形，导致电子交易平台无法正常运行，或者无法保证电子交易的公平、公正和安全时，采购代理机构可中止电子交易活动：</w:t>
            </w:r>
          </w:p>
          <w:p w14:paraId="45FB735D">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1、电子交易平台发生故障而无法登录访问的； </w:t>
            </w:r>
          </w:p>
          <w:p w14:paraId="1B4762DA">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2、电子交易平台应用或数据库出现错误，不能进行正常操作的；</w:t>
            </w:r>
          </w:p>
          <w:p w14:paraId="1F7AE20B">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3、电子交易平台发现严重安全漏洞，有潜在泄密危险的；</w:t>
            </w:r>
          </w:p>
          <w:p w14:paraId="3C35F880">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4、病毒发作导致不能进行正常操作的； </w:t>
            </w:r>
          </w:p>
          <w:p w14:paraId="21EFC22A">
            <w:pPr>
              <w:pStyle w:val="71"/>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5、其他无法保证电子交易的公平、公正和安全的情况。</w:t>
            </w:r>
          </w:p>
          <w:p w14:paraId="5CF76F35">
            <w:pPr>
              <w:pStyle w:val="32"/>
              <w:spacing w:line="360" w:lineRule="auto"/>
              <w:ind w:left="0" w:leftChars="0" w:firstLine="0" w:firstLineChars="0"/>
              <w:rPr>
                <w:rFonts w:hint="eastAsia" w:ascii="宋体" w:hAnsi="宋体" w:eastAsia="宋体" w:cs="宋体"/>
                <w:color w:val="auto"/>
                <w:kern w:val="0"/>
                <w:sz w:val="24"/>
                <w:szCs w:val="24"/>
                <w:u w:val="none"/>
                <w:lang w:val="en-US" w:eastAsia="zh-CN" w:bidi="ar-SA"/>
              </w:rPr>
            </w:pPr>
            <w:r>
              <w:rPr>
                <w:rFonts w:hint="eastAsia" w:ascii="宋体" w:hAnsi="宋体" w:eastAsia="宋体" w:cs="宋体"/>
                <w:color w:val="auto"/>
                <w:kern w:val="0"/>
                <w:sz w:val="24"/>
                <w:szCs w:val="22"/>
                <w:highlight w:val="none"/>
                <w:lang w:val="en-US" w:eastAsia="zh-CN" w:bidi="ar-SA"/>
              </w:rPr>
              <w:t>出现以上情形，不影响采购公平、公正性的，采购组织机构可以待上述情形消除后继续组织电子交易活动，也可以决定某些环节以纸质形式进行；影响或可能影响采购公平、公正性的，应当重新采购。</w:t>
            </w:r>
          </w:p>
        </w:tc>
      </w:tr>
      <w:tr w14:paraId="1E20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7C79630">
            <w:pPr>
              <w:spacing w:line="360" w:lineRule="auto"/>
              <w:jc w:val="center"/>
              <w:rPr>
                <w:rFonts w:hint="default" w:ascii="宋体" w:hAnsi="宋体" w:eastAsia="宋体" w:cs="宋体"/>
                <w:b/>
                <w:kern w:val="0"/>
                <w:sz w:val="24"/>
                <w:szCs w:val="22"/>
                <w:highlight w:val="none"/>
                <w:lang w:val="en-US" w:eastAsia="zh-CN" w:bidi="ar-SA"/>
              </w:rPr>
            </w:pPr>
            <w:r>
              <w:rPr>
                <w:rFonts w:hint="eastAsia" w:ascii="宋体" w:hAnsi="宋体" w:cs="宋体"/>
                <w:b/>
                <w:kern w:val="0"/>
                <w:sz w:val="24"/>
                <w:szCs w:val="22"/>
                <w:highlight w:val="none"/>
                <w:lang w:val="en-US" w:eastAsia="zh-CN" w:bidi="ar-SA"/>
              </w:rPr>
              <w:t>14</w:t>
            </w:r>
          </w:p>
        </w:tc>
        <w:tc>
          <w:tcPr>
            <w:tcW w:w="8685" w:type="dxa"/>
            <w:gridSpan w:val="2"/>
            <w:vAlign w:val="center"/>
          </w:tcPr>
          <w:p w14:paraId="68AB96ED">
            <w:pPr>
              <w:pStyle w:val="32"/>
              <w:spacing w:line="360" w:lineRule="auto"/>
              <w:ind w:left="0" w:leftChars="0" w:firstLine="0" w:firstLineChars="0"/>
              <w:rPr>
                <w:rFonts w:hint="eastAsia" w:ascii="宋体" w:hAnsi="宋体" w:eastAsia="宋体" w:cs="宋体"/>
                <w:b/>
                <w:bCs/>
                <w:color w:val="auto"/>
                <w:kern w:val="0"/>
                <w:sz w:val="24"/>
                <w:szCs w:val="22"/>
                <w:highlight w:val="none"/>
                <w:lang w:val="en-US" w:eastAsia="zh-CN" w:bidi="ar-SA"/>
              </w:rPr>
            </w:pPr>
            <w:r>
              <w:rPr>
                <w:rFonts w:hint="eastAsia" w:ascii="宋体" w:hAnsi="宋体" w:eastAsia="宋体" w:cs="宋体"/>
                <w:b/>
                <w:bCs/>
                <w:color w:val="auto"/>
                <w:kern w:val="0"/>
                <w:sz w:val="24"/>
                <w:szCs w:val="22"/>
                <w:highlight w:val="none"/>
                <w:lang w:val="en-US" w:eastAsia="zh-CN" w:bidi="ar-SA"/>
              </w:rPr>
              <w:t xml:space="preserve">低于成本价不正当竞争预防措施： </w:t>
            </w:r>
          </w:p>
          <w:p w14:paraId="1FC4DA6E">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根据“财库〔2026〕2号《关于推动解决政府采购异常低价问题的通知》”第二条强化政府采购异常低价审查：</w:t>
            </w:r>
          </w:p>
          <w:p w14:paraId="2E259052">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 政府采购评审中出现下列情形之一的，评审委员会应当启动异常低价投标（响应）审查程序：</w:t>
            </w:r>
          </w:p>
          <w:p w14:paraId="7148632F">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（1）投标（响应）报价低于全部通过符合性审查供应商投标（响应）报价平均值50%的，即投标（响应）报价&lt;全部通过符合性审查供应商投标（响应）报价平均值×50%；</w:t>
            </w:r>
          </w:p>
          <w:p w14:paraId="454B55E3">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（2）投标（响应）报价低于通过符合性审查的次低报价供应商投标（响应）报价50%的，即投标（响应）报价&lt;通过符合性审查的次低报价供应商投标（响应）报价×50%；</w:t>
            </w:r>
          </w:p>
          <w:p w14:paraId="2002F8EA">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（3）投标（响应）报价低于采购项目最高限价45%的，即投标（响应）报价&lt;采购项目最高限价×45%；</w:t>
            </w:r>
          </w:p>
          <w:p w14:paraId="6A841B40">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（4）评审委员会基于专业判断，认为供应商报价过低，有可能影响产品质量或者不能诚信履约的其他情形。</w:t>
            </w:r>
          </w:p>
          <w:p w14:paraId="7A3D630E">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采购人可以结合具体项目实际情况，提高上述第（1）项至第（3）项中启动异常低价投标（响应）审查的数值标准，但最高不得超过65%。</w:t>
            </w:r>
          </w:p>
          <w:p w14:paraId="2DFE2C7B">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相关法律法规对供应商报价有规定的，从其规定。</w:t>
            </w:r>
          </w:p>
          <w:p w14:paraId="7E2E7CBA">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2D7C1FD">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w:t>
            </w:r>
          </w:p>
          <w:p w14:paraId="0C95AE3E">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b w:val="0"/>
                <w:bCs w:val="0"/>
                <w:color w:val="auto"/>
                <w:kern w:val="0"/>
                <w:sz w:val="24"/>
                <w:szCs w:val="22"/>
                <w:highlight w:val="none"/>
                <w:lang w:val="en-US" w:eastAsia="zh-CN" w:bidi="ar-SA"/>
              </w:rPr>
              <w:t>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auto"/>
                <w:kern w:val="0"/>
                <w:sz w:val="24"/>
                <w:szCs w:val="22"/>
                <w:highlight w:val="none"/>
                <w:lang w:val="en-US" w:eastAsia="zh-CN" w:bidi="ar-SA"/>
              </w:rPr>
              <w:t xml:space="preserve"> </w:t>
            </w:r>
          </w:p>
        </w:tc>
      </w:tr>
      <w:tr w14:paraId="699F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29010E56">
            <w:pPr>
              <w:spacing w:line="360" w:lineRule="auto"/>
              <w:jc w:val="center"/>
              <w:rPr>
                <w:rFonts w:hint="default" w:ascii="宋体" w:hAnsi="宋体" w:cs="宋体"/>
                <w:b/>
                <w:kern w:val="0"/>
                <w:sz w:val="24"/>
                <w:szCs w:val="22"/>
                <w:highlight w:val="none"/>
                <w:lang w:val="en-US" w:eastAsia="zh-CN" w:bidi="ar-SA"/>
              </w:rPr>
            </w:pPr>
            <w:r>
              <w:rPr>
                <w:rFonts w:hint="eastAsia" w:ascii="宋体" w:hAnsi="宋体" w:cs="宋体"/>
                <w:b/>
                <w:kern w:val="0"/>
                <w:sz w:val="24"/>
                <w:szCs w:val="22"/>
                <w:highlight w:val="none"/>
                <w:lang w:val="en-US" w:eastAsia="zh-CN" w:bidi="ar-SA"/>
              </w:rPr>
              <w:t>15</w:t>
            </w:r>
          </w:p>
        </w:tc>
        <w:tc>
          <w:tcPr>
            <w:tcW w:w="8685" w:type="dxa"/>
            <w:gridSpan w:val="2"/>
            <w:vAlign w:val="center"/>
          </w:tcPr>
          <w:p w14:paraId="243C2FA4">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1、招标文件文件的澄清和质疑综合说明 </w:t>
            </w:r>
          </w:p>
          <w:p w14:paraId="07EF33B4">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法定规定的质疑有效期内提起质疑； 政府采购监督管理部门规定的其他条件。质疑人提出质疑时，应当提交书面质疑书，质疑书应当包括下列主要内容：被质疑人的名称、地址、电话； 采购项目名称、项目编号；具体事项、请求和主张；提起质疑的投标人名称、地址及联系方式；质疑日期。质疑书的递交应当采取当面递交的形式。 </w:t>
            </w:r>
          </w:p>
          <w:p w14:paraId="46F36EBB">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2、对招标文件的澄清和质疑 </w:t>
            </w:r>
          </w:p>
          <w:p w14:paraId="78F1A8D8">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投标人应尽早领取招标文件，若对招标文件有疑问需要澄清或质疑，应当在获取采购文件或者采购文件公告期限届满之日起 7 个工作日内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招标人在投标截止日 3天前根据澄清或质疑函的具体内容相应作出答复或不予答复，答复内容不得涉及商业秘密。作出答复的将以书面形式通知提出澄清或质疑的投标人和其他有关投标人，或在新疆政府采购网上予以公布。递交质疑的投标人和其他有关投标人在被告知、 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197C7323">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3、对招标过程和拟中标结果的质疑 </w:t>
            </w:r>
          </w:p>
          <w:p w14:paraId="533D9ED4">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投标人认为招标过程和拟中标结果使自己的权益受到损害的，可以在投标人于新疆政府采购网发布拟中标结果之日起 7 个工作日内，由质疑方的法定代表人或授权投标人以书面形式向投标人递交质疑函（原件） ，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 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 名称） ”字样，并由身份证持有人签字确认。上述资料均须加盖公章。 招标人应在受理投标人的书面质疑后，根据质疑函的具体内容及时向 递交质疑函的投标人作出答复或不予答复，答复内容不得涉及商业秘密。作出答复的以书面形式通知递交质疑的投标人和其他有关投标人。递交质疑的投标人和其他有关投标人在被告知、收到上述公告、 通知或答疑书后，应立即向招标人回函确认。未确认情况应当视为对质疑答复的知晓，也将视为对质疑答复内容接受的默认。</w:t>
            </w:r>
          </w:p>
          <w:p w14:paraId="469CE1FB">
            <w:pPr>
              <w:keepNext w:val="0"/>
              <w:keepLines w:val="0"/>
              <w:widowControl/>
              <w:suppressLineNumbers w:val="0"/>
              <w:jc w:val="left"/>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供应商须在法定质疑期内一次性提出针对同一采购程序环节的质疑。 </w:t>
            </w:r>
          </w:p>
          <w:p w14:paraId="2B1B1E8E">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4、澄清或质疑不予受理的情况，有下列情形之一的，属于无效质疑被质疑人不予受 理，由此产生的影响由投标人自行承担： </w:t>
            </w:r>
          </w:p>
          <w:p w14:paraId="52C22999">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(一)不是参与该政府采购项目活动供应商的; </w:t>
            </w:r>
          </w:p>
          <w:p w14:paraId="5F00333D">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(二)被质疑人为采购人或政府采购代理机构之外的； </w:t>
            </w:r>
          </w:p>
          <w:p w14:paraId="7F2CA7B2">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(三)所有质疑事项超过质疑有效期的； </w:t>
            </w:r>
          </w:p>
          <w:p w14:paraId="0A34EA13">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(四)以具有法律效力的文书送达之外方式提出的； </w:t>
            </w:r>
          </w:p>
          <w:p w14:paraId="7884BA27">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(五)投标人对采购文件条款或技术参数有异议，未在开标前通过澄清或修改程序提出， </w:t>
            </w:r>
          </w:p>
          <w:p w14:paraId="4753C29F">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并且投标人已经参与报价，而于开标后对采购文件提出质疑的； </w:t>
            </w:r>
          </w:p>
          <w:p w14:paraId="0EB6E6CF">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(六)在提出本次质疑前半年内连续三次质疑而无事实依据的； </w:t>
            </w:r>
          </w:p>
          <w:p w14:paraId="3CEF6719">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(七) 未按上述规定递交澄清或质疑函的； </w:t>
            </w:r>
          </w:p>
          <w:p w14:paraId="2BF85F4D">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(八) 其它不符合受理条件的情形。 </w:t>
            </w:r>
          </w:p>
          <w:p w14:paraId="557647D3">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 xml:space="preserve">5、其他 </w:t>
            </w:r>
          </w:p>
          <w:p w14:paraId="6826D3A4">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澄清或质疑函递交地点：新疆阿克苏地区阿克苏市新城街道阿苏克社区民主南路新农大厦19层</w:t>
            </w:r>
          </w:p>
          <w:p w14:paraId="148128AA">
            <w:pPr>
              <w:pStyle w:val="32"/>
              <w:spacing w:line="360" w:lineRule="auto"/>
              <w:ind w:left="0" w:leftChars="0" w:firstLine="0" w:firstLineChars="0"/>
              <w:rPr>
                <w:rFonts w:hint="default"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联系电话：</w:t>
            </w:r>
            <w:r>
              <w:rPr>
                <w:rFonts w:hint="eastAsia" w:ascii="宋体" w:hAnsi="宋体" w:eastAsia="宋体" w:cs="宋体"/>
                <w:color w:val="auto"/>
                <w:kern w:val="0"/>
                <w:sz w:val="24"/>
                <w:lang w:val="en-US" w:eastAsia="zh-CN"/>
              </w:rPr>
              <w:t xml:space="preserve">18096956372  </w:t>
            </w:r>
            <w:r>
              <w:rPr>
                <w:rFonts w:hint="eastAsia" w:ascii="宋体" w:hAnsi="宋体" w:eastAsia="宋体" w:cs="宋体"/>
                <w:color w:val="auto"/>
                <w:kern w:val="0"/>
                <w:sz w:val="24"/>
                <w:szCs w:val="22"/>
                <w:highlight w:val="none"/>
                <w:lang w:val="en-US" w:eastAsia="zh-CN" w:bidi="ar-SA"/>
              </w:rPr>
              <w:t>15886859066</w:t>
            </w:r>
          </w:p>
        </w:tc>
      </w:tr>
      <w:tr w14:paraId="4BCA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4496D9B">
            <w:pPr>
              <w:spacing w:line="360" w:lineRule="auto"/>
              <w:jc w:val="center"/>
              <w:rPr>
                <w:rFonts w:hint="default" w:ascii="宋体" w:hAnsi="宋体" w:cs="宋体"/>
                <w:b/>
                <w:kern w:val="0"/>
                <w:sz w:val="24"/>
                <w:szCs w:val="22"/>
                <w:highlight w:val="none"/>
                <w:lang w:val="en-US" w:eastAsia="zh-CN" w:bidi="ar-SA"/>
              </w:rPr>
            </w:pPr>
            <w:r>
              <w:rPr>
                <w:rFonts w:hint="eastAsia" w:ascii="宋体" w:hAnsi="宋体" w:cs="宋体"/>
                <w:b/>
                <w:kern w:val="0"/>
                <w:sz w:val="24"/>
                <w:szCs w:val="22"/>
                <w:highlight w:val="none"/>
                <w:lang w:val="en-US" w:eastAsia="zh-CN" w:bidi="ar-SA"/>
              </w:rPr>
              <w:t>16</w:t>
            </w:r>
          </w:p>
        </w:tc>
        <w:tc>
          <w:tcPr>
            <w:tcW w:w="8685" w:type="dxa"/>
            <w:gridSpan w:val="2"/>
            <w:vAlign w:val="center"/>
          </w:tcPr>
          <w:p w14:paraId="57F643A8">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投标企业必须对提供的企业和人员资质负责，如出现资质不符将取消竞标资格，若有涉嫌造假的行为，将上报自治区行业主管部门启动失信黑名单处罚措施。</w:t>
            </w:r>
          </w:p>
        </w:tc>
      </w:tr>
      <w:tr w14:paraId="40E5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29C2FFC">
            <w:pPr>
              <w:spacing w:line="360" w:lineRule="auto"/>
              <w:jc w:val="center"/>
              <w:rPr>
                <w:rFonts w:hint="default" w:ascii="宋体" w:hAnsi="宋体" w:cs="宋体"/>
                <w:b/>
                <w:kern w:val="0"/>
                <w:sz w:val="24"/>
                <w:szCs w:val="22"/>
                <w:highlight w:val="none"/>
                <w:lang w:val="en-US" w:eastAsia="zh-CN" w:bidi="ar-SA"/>
              </w:rPr>
            </w:pPr>
            <w:r>
              <w:rPr>
                <w:rFonts w:hint="eastAsia" w:ascii="宋体" w:hAnsi="宋体" w:cs="宋体"/>
                <w:b/>
                <w:kern w:val="0"/>
                <w:sz w:val="24"/>
                <w:szCs w:val="22"/>
                <w:highlight w:val="none"/>
                <w:lang w:val="en-US" w:eastAsia="zh-CN" w:bidi="ar-SA"/>
              </w:rPr>
              <w:t>17</w:t>
            </w:r>
          </w:p>
        </w:tc>
        <w:tc>
          <w:tcPr>
            <w:tcW w:w="8685" w:type="dxa"/>
            <w:gridSpan w:val="2"/>
            <w:vAlign w:val="center"/>
          </w:tcPr>
          <w:p w14:paraId="0BFF79E5">
            <w:pPr>
              <w:pStyle w:val="32"/>
              <w:spacing w:line="360" w:lineRule="auto"/>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b w:val="0"/>
                <w:bCs/>
                <w:color w:val="auto"/>
                <w:kern w:val="0"/>
                <w:sz w:val="24"/>
                <w:highlight w:val="none"/>
              </w:rPr>
              <w:t>评标委员会推荐中标候选人的人数</w:t>
            </w:r>
            <w:r>
              <w:rPr>
                <w:rFonts w:hint="eastAsia" w:ascii="宋体" w:hAnsi="宋体" w:eastAsia="宋体" w:cs="宋体"/>
                <w:b w:val="0"/>
                <w:bCs/>
                <w:color w:val="auto"/>
                <w:kern w:val="0"/>
                <w:sz w:val="24"/>
                <w:highlight w:val="none"/>
                <w:lang w:eastAsia="zh-CN"/>
              </w:rPr>
              <w:t>：</w:t>
            </w:r>
            <w:r>
              <w:rPr>
                <w:rFonts w:hint="eastAsia" w:ascii="宋体" w:hAnsi="宋体" w:eastAsia="宋体" w:cs="宋体"/>
                <w:b w:val="0"/>
                <w:bCs/>
                <w:color w:val="auto"/>
                <w:kern w:val="0"/>
                <w:sz w:val="24"/>
                <w:highlight w:val="none"/>
                <w:lang w:val="en-US" w:eastAsia="zh-CN"/>
              </w:rPr>
              <w:t>3人</w:t>
            </w:r>
          </w:p>
        </w:tc>
      </w:tr>
      <w:tr w14:paraId="6F86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7" w:type="dxa"/>
            <w:vAlign w:val="center"/>
          </w:tcPr>
          <w:p w14:paraId="01739CE3">
            <w:pPr>
              <w:spacing w:line="360" w:lineRule="auto"/>
              <w:jc w:val="center"/>
              <w:rPr>
                <w:rFonts w:hint="default" w:ascii="宋体" w:hAnsi="宋体" w:cs="宋体"/>
                <w:b/>
                <w:kern w:val="0"/>
                <w:sz w:val="24"/>
                <w:szCs w:val="22"/>
                <w:highlight w:val="none"/>
                <w:lang w:val="en-US" w:eastAsia="zh-CN" w:bidi="ar-SA"/>
              </w:rPr>
            </w:pPr>
            <w:r>
              <w:rPr>
                <w:rFonts w:hint="eastAsia" w:ascii="宋体" w:hAnsi="宋体" w:cs="宋体"/>
                <w:b/>
                <w:kern w:val="0"/>
                <w:sz w:val="24"/>
                <w:szCs w:val="22"/>
                <w:highlight w:val="none"/>
                <w:lang w:val="en-US" w:eastAsia="zh-CN" w:bidi="ar-SA"/>
              </w:rPr>
              <w:t>18</w:t>
            </w:r>
          </w:p>
        </w:tc>
        <w:tc>
          <w:tcPr>
            <w:tcW w:w="8685" w:type="dxa"/>
            <w:gridSpan w:val="2"/>
            <w:vAlign w:val="center"/>
          </w:tcPr>
          <w:p w14:paraId="675113C6">
            <w:pPr>
              <w:pStyle w:val="28"/>
              <w:keepNext w:val="0"/>
              <w:keepLines w:val="0"/>
              <w:widowControl/>
              <w:suppressLineNumbers w:val="0"/>
              <w:spacing w:before="0" w:beforeAutospacing="0" w:after="0" w:afterAutospacing="0" w:line="23" w:lineRule="atLeast"/>
              <w:ind w:left="0" w:right="0"/>
              <w:jc w:val="both"/>
              <w:rPr>
                <w:rFonts w:hint="eastAsia" w:ascii="宋体" w:hAnsi="宋体" w:eastAsia="宋体" w:cs="宋体"/>
                <w:b w:val="0"/>
                <w:bCs/>
                <w:color w:val="auto"/>
                <w:kern w:val="0"/>
                <w:sz w:val="24"/>
                <w:highlight w:val="none"/>
              </w:rPr>
            </w:pPr>
            <w:r>
              <w:rPr>
                <w:rFonts w:hint="eastAsia"/>
                <w:b/>
                <w:bCs/>
              </w:rPr>
              <w:t>磋商轮次：</w:t>
            </w:r>
            <w:r>
              <w:rPr>
                <w:rFonts w:hint="eastAsia" w:ascii="宋体" w:hAnsi="宋体" w:eastAsia="宋体" w:cs="宋体"/>
                <w:b w:val="0"/>
                <w:bCs w:val="0"/>
                <w:i w:val="0"/>
                <w:iCs w:val="0"/>
                <w:color w:val="000000"/>
                <w:spacing w:val="0"/>
                <w:w w:val="100"/>
                <w:sz w:val="24"/>
                <w:szCs w:val="24"/>
                <w:vertAlign w:val="baseline"/>
              </w:rPr>
              <w:t>为保证采购项目质量，在合理价格的基础上进行采购，本项目须进行磋商最终成交价。（注：响应文件内的报价为首次报价，第二轮报价为磋商后报价，经磋商小组评审认为第二轮报价仍不够合理可增加磋商次数，直至磋商达成成交为止。）</w:t>
            </w:r>
          </w:p>
        </w:tc>
      </w:tr>
    </w:tbl>
    <w:p w14:paraId="48E7D9D8">
      <w:pPr>
        <w:spacing w:line="440" w:lineRule="exact"/>
        <w:rPr>
          <w:rFonts w:hint="eastAsia" w:ascii="宋体" w:hAnsi="宋体" w:eastAsia="宋体" w:cs="宋体"/>
          <w:color w:val="auto"/>
          <w:kern w:val="0"/>
          <w:sz w:val="24"/>
          <w:szCs w:val="22"/>
          <w:lang w:eastAsia="zh-CN"/>
        </w:rPr>
      </w:pPr>
      <w:r>
        <w:rPr>
          <w:rFonts w:hint="eastAsia" w:ascii="宋体" w:hAnsi="宋体" w:eastAsia="宋体" w:cs="宋体"/>
          <w:b/>
          <w:bCs/>
          <w:color w:val="auto"/>
          <w:kern w:val="0"/>
          <w:sz w:val="24"/>
          <w:szCs w:val="22"/>
        </w:rPr>
        <w:t>注：</w:t>
      </w:r>
      <w:r>
        <w:rPr>
          <w:rFonts w:hint="eastAsia" w:ascii="宋体" w:hAnsi="宋体" w:eastAsia="宋体" w:cs="宋体"/>
          <w:color w:val="auto"/>
          <w:sz w:val="24"/>
          <w:szCs w:val="22"/>
          <w:lang w:val="en-US" w:eastAsia="zh-CN"/>
        </w:rPr>
        <w:t>1</w:t>
      </w:r>
      <w:r>
        <w:rPr>
          <w:rFonts w:hint="eastAsia" w:ascii="宋体" w:hAnsi="宋体" w:eastAsia="宋体" w:cs="宋体"/>
          <w:color w:val="auto"/>
          <w:sz w:val="24"/>
          <w:szCs w:val="22"/>
        </w:rPr>
        <w:t>、本表内容与</w:t>
      </w:r>
      <w:r>
        <w:rPr>
          <w:rFonts w:hint="eastAsia" w:ascii="宋体" w:hAnsi="宋体" w:eastAsia="宋体" w:cs="宋体"/>
          <w:color w:val="auto"/>
          <w:sz w:val="24"/>
          <w:szCs w:val="22"/>
          <w:lang w:eastAsia="zh-CN"/>
        </w:rPr>
        <w:t>磋商</w:t>
      </w:r>
      <w:r>
        <w:rPr>
          <w:rFonts w:hint="eastAsia" w:ascii="宋体" w:hAnsi="宋体" w:eastAsia="宋体" w:cs="宋体"/>
          <w:color w:val="auto"/>
          <w:sz w:val="24"/>
          <w:szCs w:val="22"/>
        </w:rPr>
        <w:t>文件其它内容不一致的，应当以本表内容为准</w:t>
      </w:r>
      <w:r>
        <w:rPr>
          <w:rFonts w:hint="eastAsia" w:ascii="宋体" w:hAnsi="宋体" w:eastAsia="宋体" w:cs="宋体"/>
          <w:color w:val="auto"/>
          <w:kern w:val="0"/>
          <w:sz w:val="24"/>
          <w:szCs w:val="22"/>
          <w:lang w:eastAsia="zh-CN"/>
        </w:rPr>
        <w:t>。</w:t>
      </w:r>
    </w:p>
    <w:p w14:paraId="78900EF1">
      <w:pPr>
        <w:pStyle w:val="4"/>
        <w:ind w:left="0" w:leftChars="0" w:firstLine="0" w:firstLineChars="0"/>
        <w:jc w:val="both"/>
        <w:rPr>
          <w:rFonts w:hint="eastAsia" w:ascii="宋体" w:hAnsi="宋体" w:eastAsia="宋体" w:cs="宋体"/>
          <w:color w:val="auto"/>
          <w:lang w:eastAsia="zh-CN"/>
        </w:rPr>
        <w:sectPr>
          <w:footerReference r:id="rId3" w:type="default"/>
          <w:pgSz w:w="11906" w:h="16838"/>
          <w:pgMar w:top="1440" w:right="1080" w:bottom="1440" w:left="1080" w:header="851" w:footer="992" w:gutter="0"/>
          <w:pgNumType w:fmt="decimal" w:start="1"/>
          <w:cols w:space="425" w:num="1"/>
          <w:docGrid w:linePitch="312" w:charSpace="0"/>
        </w:sectPr>
      </w:pPr>
    </w:p>
    <w:bookmarkEnd w:id="1"/>
    <w:p w14:paraId="3DBD55CA">
      <w:pPr>
        <w:pStyle w:val="3"/>
        <w:jc w:val="center"/>
        <w:rPr>
          <w:rFonts w:hint="eastAsia" w:ascii="宋体" w:hAnsi="宋体" w:eastAsia="宋体" w:cs="宋体"/>
          <w:color w:val="auto"/>
        </w:rPr>
      </w:pPr>
      <w:bookmarkStart w:id="15" w:name="_Toc16938518"/>
      <w:bookmarkEnd w:id="15"/>
      <w:bookmarkStart w:id="16" w:name="_Toc513029202"/>
      <w:bookmarkEnd w:id="16"/>
      <w:bookmarkStart w:id="17" w:name="_Toc455227390"/>
      <w:bookmarkEnd w:id="17"/>
      <w:bookmarkStart w:id="18" w:name="_Toc20823274"/>
      <w:bookmarkEnd w:id="18"/>
      <w:bookmarkStart w:id="19" w:name="_Toc120614213"/>
      <w:bookmarkEnd w:id="19"/>
      <w:bookmarkStart w:id="20" w:name="_Toc1621"/>
      <w:bookmarkStart w:id="21" w:name="_Toc20759"/>
      <w:r>
        <w:rPr>
          <w:rFonts w:hint="eastAsia" w:ascii="宋体" w:hAnsi="宋体" w:eastAsia="宋体" w:cs="宋体"/>
          <w:color w:val="auto"/>
        </w:rPr>
        <w:t>供应商须</w:t>
      </w:r>
      <w:r>
        <w:rPr>
          <w:rFonts w:hint="eastAsia" w:ascii="宋体" w:hAnsi="宋体" w:eastAsia="宋体" w:cs="宋体"/>
          <w:color w:val="auto"/>
          <w:lang w:val="en-US" w:eastAsia="zh-CN"/>
        </w:rPr>
        <w:t>正文</w:t>
      </w:r>
    </w:p>
    <w:p w14:paraId="2BC18C29">
      <w:pPr>
        <w:pStyle w:val="3"/>
        <w:pageBreakBefore w:val="0"/>
        <w:kinsoku/>
        <w:overflowPunct/>
        <w:autoSpaceDE/>
        <w:autoSpaceDN/>
        <w:bidi w:val="0"/>
        <w:spacing w:line="400" w:lineRule="exact"/>
        <w:rPr>
          <w:rFonts w:hint="eastAsia" w:ascii="宋体" w:hAnsi="宋体" w:eastAsia="宋体" w:cs="宋体"/>
          <w:color w:val="auto"/>
        </w:rPr>
      </w:pPr>
      <w:r>
        <w:rPr>
          <w:rFonts w:hint="eastAsia" w:ascii="宋体" w:hAnsi="宋体" w:eastAsia="宋体" w:cs="宋体"/>
          <w:color w:val="auto"/>
        </w:rPr>
        <w:t>一、说明</w:t>
      </w:r>
      <w:bookmarkEnd w:id="20"/>
      <w:bookmarkEnd w:id="21"/>
    </w:p>
    <w:p w14:paraId="16DD849B">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1.1适用范围</w:t>
      </w:r>
    </w:p>
    <w:p w14:paraId="06C67E5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1本磋商文件仅适用于本磋商</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中所述项目的采购。</w:t>
      </w:r>
    </w:p>
    <w:p w14:paraId="0230AA6B">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1.2定义</w:t>
      </w:r>
    </w:p>
    <w:p w14:paraId="30F190BF">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1.2.1“采购人”名称见供应商须知前附表。</w:t>
      </w:r>
    </w:p>
    <w:p w14:paraId="4AF76353">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1.2.2“采购代理机构”名称见供应商须知前附表。</w:t>
      </w:r>
    </w:p>
    <w:p w14:paraId="48810BD7">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1.2.3“监管部门”名称见供应商须知前附表。</w:t>
      </w:r>
    </w:p>
    <w:p w14:paraId="16C02950">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1.2.4“供应商”系指是指响应招标、参加投标竞争的法人、其他组织或者自然人。</w:t>
      </w:r>
    </w:p>
    <w:p w14:paraId="6C9E8A55">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1.2.5“电子签名”系指数据电文中以电子形式所含、所附用于识别签名人身份并表明签名人认可其中内容的数据；“公章”系指与供应商标准公章一致的供应商电子签章。</w:t>
      </w:r>
    </w:p>
    <w:p w14:paraId="30619F39">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1.2.6电子交易平台系指本项目政府采购活动所依托的新疆政府采购云平台（https://www.zcygov.cn/）。</w:t>
      </w:r>
    </w:p>
    <w:p w14:paraId="052E9F5C">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1.2.7“电子</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文件”指利用新疆政府采购云平台投标客户端“电子</w:t>
      </w:r>
      <w:r>
        <w:rPr>
          <w:rFonts w:hint="eastAsia" w:hAnsi="宋体" w:cs="宋体"/>
          <w:color w:val="auto"/>
          <w:sz w:val="24"/>
          <w:szCs w:val="24"/>
          <w:lang w:eastAsia="zh-CN"/>
        </w:rPr>
        <w:t>响应文件</w:t>
      </w:r>
      <w:r>
        <w:rPr>
          <w:rFonts w:hint="eastAsia" w:ascii="宋体" w:hAnsi="宋体" w:eastAsia="宋体" w:cs="宋体"/>
          <w:color w:val="auto"/>
          <w:sz w:val="24"/>
          <w:szCs w:val="24"/>
        </w:rPr>
        <w:t>制作工具”编制加密和未加密的</w:t>
      </w:r>
      <w:r>
        <w:rPr>
          <w:rFonts w:hint="eastAsia" w:hAnsi="宋体" w:cs="宋体"/>
          <w:color w:val="auto"/>
          <w:sz w:val="24"/>
          <w:szCs w:val="24"/>
          <w:lang w:eastAsia="zh-CN"/>
        </w:rPr>
        <w:t>响应文件</w:t>
      </w:r>
      <w:r>
        <w:rPr>
          <w:rFonts w:hint="eastAsia" w:ascii="宋体" w:hAnsi="宋体" w:eastAsia="宋体" w:cs="宋体"/>
          <w:color w:val="auto"/>
          <w:sz w:val="24"/>
          <w:szCs w:val="24"/>
        </w:rPr>
        <w:t>。</w:t>
      </w:r>
    </w:p>
    <w:p w14:paraId="7E2E6F50">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1.2.8“不见面开标”系指依托新疆政府采购云平台组织开标活动，供应商在线参与开标的一种组织形式。</w:t>
      </w:r>
    </w:p>
    <w:p w14:paraId="007857EF">
      <w:pPr>
        <w:pStyle w:val="20"/>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lang w:val="en-US" w:eastAsia="zh-CN"/>
        </w:rPr>
        <w:t>1.3</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供应商资格要求</w:t>
      </w:r>
    </w:p>
    <w:p w14:paraId="7F83978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1.3.1</w:t>
      </w:r>
      <w:r>
        <w:rPr>
          <w:rFonts w:hint="eastAsia" w:ascii="宋体" w:hAnsi="宋体" w:eastAsia="宋体" w:cs="宋体"/>
          <w:color w:val="auto"/>
          <w:sz w:val="24"/>
          <w:szCs w:val="24"/>
        </w:rPr>
        <w:t>符合供应商须知前附表所规定的供应商资格要求，并满足本文件实质性要求和条件的规定。</w:t>
      </w:r>
    </w:p>
    <w:p w14:paraId="4C962AA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1.3.2</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之间如果存在下列情形之一的，不得同时参加同一包（标段）或者不分包（标段）的同一项目投标：</w:t>
      </w:r>
    </w:p>
    <w:p w14:paraId="39659CED">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（1）单位负责人为同一个人或者存在直接控股、管理关系的不同</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p>
    <w:p w14:paraId="6074FC71">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（2）母公司、全资子公司及其控股公司；</w:t>
      </w:r>
    </w:p>
    <w:p w14:paraId="2B871483">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（3）为本次采购项目提供整体设计、规范编制或者项目管理、监理、检测等服务的</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p>
    <w:p w14:paraId="323D8A39">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（4）参加投标的其他组织之间存在特殊的利害关系的；</w:t>
      </w:r>
    </w:p>
    <w:p w14:paraId="06DF87DD">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（5）法律法规规定的其他情形。</w:t>
      </w:r>
    </w:p>
    <w:p w14:paraId="1466336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1.3.3</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不得存在下列情形之一：</w:t>
      </w:r>
    </w:p>
    <w:p w14:paraId="0AA3BAA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（1）被依法暂停或者取消投标资格；</w:t>
      </w:r>
    </w:p>
    <w:p w14:paraId="224C3B6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（2）被责令停产停业，暂扣或者吊销许可证，暂扣或者吊销执照；</w:t>
      </w:r>
    </w:p>
    <w:p w14:paraId="455E3FD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（3）进入清算程序，或被宣告破产，或其他丧失履约能力的情形；</w:t>
      </w:r>
    </w:p>
    <w:p w14:paraId="0F61BE9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（4）在近三年内发生重大</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质量问题（以相关行业主管部门的行政处罚决定或司法机关出具的有关法律文书为准）；</w:t>
      </w:r>
    </w:p>
    <w:p w14:paraId="37B6D543">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（5）在全国企业信用信息公示系统中列入严重违法失信企业名单；</w:t>
      </w:r>
    </w:p>
    <w:p w14:paraId="2285DDA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（6）在“信用中国”网站（www.creditchina.gov.cn）或各级信用信息共享平台中列入失信被执行人名单；</w:t>
      </w:r>
    </w:p>
    <w:p w14:paraId="1FA5BC6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（7）在“中国政府采购网”网站（http://www.ccgp.gov.cn/）中列入政府采购严重违法失信行为信息记录名单；</w:t>
      </w:r>
    </w:p>
    <w:p w14:paraId="33A836D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（8）法律法规规定的其他情形。</w:t>
      </w:r>
    </w:p>
    <w:p w14:paraId="67A2BB47">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1.3.4供应商应当按照采购代理机构规定的合法方式获得本项目磋商文件。</w:t>
      </w:r>
    </w:p>
    <w:p w14:paraId="7AA5DCE4">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1.4联合体投标</w:t>
      </w:r>
    </w:p>
    <w:p w14:paraId="2BC91E5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供应商须知前附表规定接受联合体投标的，联合体除应符合上述资格要求外，还应遵守以下规定：</w:t>
      </w:r>
    </w:p>
    <w:p w14:paraId="481E8D97">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两个以上供应商可以组成一个联合体，以一个供应商的身份共同参与</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w:t>
      </w:r>
    </w:p>
    <w:p w14:paraId="68A328E9">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采取联合体形式</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的，联合体各方均应当符合政府采购法第二十二条规定的条件。采购人根据采购项目的特殊要求规定供应商特定条件的，联合体各方中至少有一方符合磋商文件规定的特定条件。</w:t>
      </w:r>
    </w:p>
    <w:p w14:paraId="0A409BED">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1.4.3</w:t>
      </w:r>
      <w:r>
        <w:rPr>
          <w:rFonts w:hint="eastAsia" w:ascii="宋体" w:hAnsi="宋体" w:eastAsia="宋体" w:cs="宋体"/>
          <w:color w:val="auto"/>
          <w:sz w:val="24"/>
          <w:szCs w:val="24"/>
        </w:rPr>
        <w:t>联合体各方之间必须签订联合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协议，明确约定联合体主体及各方承担的工作和相应的责任，其响应文件中必须提供联合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协议。</w:t>
      </w:r>
    </w:p>
    <w:p w14:paraId="61CDE37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1.4.4</w:t>
      </w:r>
      <w:r>
        <w:rPr>
          <w:rFonts w:hint="eastAsia" w:ascii="宋体" w:hAnsi="宋体" w:eastAsia="宋体" w:cs="宋体"/>
          <w:color w:val="auto"/>
          <w:sz w:val="24"/>
          <w:szCs w:val="24"/>
        </w:rPr>
        <w:t>以联合体形式参加政府采购活动的，联合体各方不得再单独参加或者与其他供应商另外组成联合体参加同一合同项下的政府采购活动。</w:t>
      </w:r>
    </w:p>
    <w:p w14:paraId="020BEA89">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1.4.5</w:t>
      </w:r>
      <w:r>
        <w:rPr>
          <w:rFonts w:hint="eastAsia" w:ascii="宋体" w:hAnsi="宋体" w:eastAsia="宋体" w:cs="宋体"/>
          <w:color w:val="auto"/>
          <w:sz w:val="24"/>
          <w:szCs w:val="24"/>
        </w:rPr>
        <w:t>采取联合体形式投标的，其响应文件必须由联合体所有成员或其各自正式书面授权的代表签署（盖章），以便对所有成员作为整体及作为个体均具有法律约束力。</w:t>
      </w:r>
    </w:p>
    <w:p w14:paraId="19FF8C00">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1.4.6</w:t>
      </w:r>
      <w:r>
        <w:rPr>
          <w:rFonts w:hint="eastAsia" w:ascii="宋体" w:hAnsi="宋体" w:eastAsia="宋体" w:cs="宋体"/>
          <w:color w:val="auto"/>
          <w:sz w:val="24"/>
          <w:szCs w:val="24"/>
        </w:rPr>
        <w:t>联合体成交的，联合体各方应当共同与采购人签订采购合同。</w:t>
      </w:r>
    </w:p>
    <w:p w14:paraId="51B6840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1.4.7</w:t>
      </w:r>
      <w:r>
        <w:rPr>
          <w:rFonts w:hint="eastAsia" w:ascii="宋体" w:hAnsi="宋体" w:eastAsia="宋体" w:cs="宋体"/>
          <w:color w:val="auto"/>
          <w:sz w:val="24"/>
          <w:szCs w:val="24"/>
        </w:rPr>
        <w:t>联合体中有同类资质的供应商按照联合体分工承担相同工作的，应当按照资质等级较低的供应商确定资质等级。</w:t>
      </w:r>
    </w:p>
    <w:p w14:paraId="315C9212">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磋商费用</w:t>
      </w:r>
    </w:p>
    <w:p w14:paraId="2DDAD08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供应商应承担所有与准备和参加竞争性磋商有关的费用。不论磋商的结果如何，采购单位均无义务和责任承担这些费用。</w:t>
      </w:r>
    </w:p>
    <w:p w14:paraId="792C8CE6">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lang w:eastAsia="zh-CN"/>
        </w:rPr>
        <w:t>计量单位</w:t>
      </w:r>
    </w:p>
    <w:p w14:paraId="58EA23E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除技术要求中另有规定外，本文件所要求使用的计量单位均应采用国家法定计量单位。</w:t>
      </w:r>
    </w:p>
    <w:p w14:paraId="6DBFE93C">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1.7</w:t>
      </w:r>
      <w:r>
        <w:rPr>
          <w:rFonts w:hint="eastAsia" w:ascii="宋体" w:hAnsi="宋体" w:eastAsia="宋体" w:cs="宋体"/>
          <w:b/>
          <w:color w:val="auto"/>
          <w:sz w:val="24"/>
          <w:szCs w:val="24"/>
        </w:rPr>
        <w:t>竞争性</w:t>
      </w:r>
      <w:r>
        <w:rPr>
          <w:rFonts w:hint="eastAsia" w:ascii="宋体" w:hAnsi="宋体" w:eastAsia="宋体" w:cs="宋体"/>
          <w:b/>
          <w:color w:val="auto"/>
          <w:sz w:val="24"/>
          <w:szCs w:val="24"/>
          <w:lang w:eastAsia="zh-CN"/>
        </w:rPr>
        <w:t>磋商</w:t>
      </w:r>
      <w:r>
        <w:rPr>
          <w:rFonts w:hint="eastAsia" w:ascii="宋体" w:hAnsi="宋体" w:eastAsia="宋体" w:cs="宋体"/>
          <w:b/>
          <w:color w:val="auto"/>
          <w:sz w:val="24"/>
          <w:szCs w:val="24"/>
        </w:rPr>
        <w:t>文件的约束力</w:t>
      </w:r>
    </w:p>
    <w:p w14:paraId="301CFF4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供应商一旦购买了本竞争性磋商文件并决定参加竞争性磋商，即被认为接受了本竞争性磋商文件的规定和约束。</w:t>
      </w:r>
    </w:p>
    <w:p w14:paraId="2C649457">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1.8现场考察</w:t>
      </w:r>
    </w:p>
    <w:p w14:paraId="3A229D7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1.8.1</w:t>
      </w:r>
      <w:r>
        <w:rPr>
          <w:rFonts w:hint="eastAsia" w:ascii="宋体" w:hAnsi="宋体" w:eastAsia="宋体" w:cs="宋体"/>
          <w:color w:val="auto"/>
          <w:sz w:val="24"/>
          <w:szCs w:val="24"/>
        </w:rPr>
        <w:t>本项目是否统一组织</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现场考察见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rPr>
        <w:t>中的规定。无论是否统一组织，</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应对供货现场和周围环境进行勘察，以获取编制</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文件所需的资料。</w:t>
      </w:r>
    </w:p>
    <w:p w14:paraId="55DD219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1.8.2</w:t>
      </w:r>
      <w:r>
        <w:rPr>
          <w:rFonts w:hint="eastAsia" w:ascii="宋体" w:hAnsi="宋体" w:eastAsia="宋体" w:cs="宋体"/>
          <w:color w:val="auto"/>
          <w:sz w:val="24"/>
          <w:szCs w:val="24"/>
        </w:rPr>
        <w:t>现场考察所发生的费用由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自行承担。采购人向</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提供的有关供货现场的资料和数据，是采购人现有的能使</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利用的资料。采购人对</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由此而做出的推论、理解和结论概不负责。</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未到供货现场实地踏勘的，中标后签订合同时和履约过程中，不得以不完全了解现场情况为由，提出任何形式的增加合同价款或索赔的要求。</w:t>
      </w:r>
    </w:p>
    <w:p w14:paraId="6463BE9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1.8.3</w:t>
      </w:r>
      <w:r>
        <w:rPr>
          <w:rFonts w:hint="eastAsia" w:ascii="宋体" w:hAnsi="宋体" w:eastAsia="宋体" w:cs="宋体"/>
          <w:color w:val="auto"/>
          <w:sz w:val="24"/>
          <w:szCs w:val="24"/>
        </w:rPr>
        <w:t>除非有特殊要求，</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不单独提供供货使用地的自然环境、气候条件、公用设施等情况，</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被视为熟悉上述与履行合同有关的一切情况。</w:t>
      </w:r>
    </w:p>
    <w:p w14:paraId="20B742D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1.8.4</w:t>
      </w:r>
      <w:r>
        <w:rPr>
          <w:rFonts w:hint="eastAsia" w:ascii="宋体" w:hAnsi="宋体" w:eastAsia="宋体" w:cs="宋体"/>
          <w:color w:val="auto"/>
          <w:sz w:val="24"/>
          <w:szCs w:val="24"/>
        </w:rPr>
        <w:t>除采购人原因外，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自行负责在现场考察中所发生的人员伤亡和财产损失。</w:t>
      </w:r>
    </w:p>
    <w:p w14:paraId="7CCAF5A4">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1.9分包</w:t>
      </w:r>
    </w:p>
    <w:p w14:paraId="26AB8A4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1.9.1</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拟在中标后将中标项目的非主体设备进行分包的，应符合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须知前附表规定的分包内容、分包金额和资质要求等限制性条件，除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rPr>
        <w:t xml:space="preserve">规定的非主体设备外，其他工作不得分包。 </w:t>
      </w:r>
    </w:p>
    <w:p w14:paraId="41E180F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1.9.2</w:t>
      </w:r>
      <w:r>
        <w:rPr>
          <w:rFonts w:hint="eastAsia" w:ascii="宋体" w:hAnsi="宋体" w:eastAsia="宋体" w:cs="宋体"/>
          <w:color w:val="auto"/>
          <w:sz w:val="24"/>
          <w:szCs w:val="24"/>
        </w:rPr>
        <w:t>中标人不得向他人转让中标项目，接受分包的人不得再次分包。中标人应当就分包项目向采购人负责，接受分包的人就分包项目承担连带责任。</w:t>
      </w:r>
    </w:p>
    <w:p w14:paraId="0259AA7B">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1.10偏离</w:t>
      </w:r>
    </w:p>
    <w:p w14:paraId="7C582B10">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1.10.1</w:t>
      </w:r>
      <w:r>
        <w:rPr>
          <w:rFonts w:hint="eastAsia" w:ascii="宋体" w:hAnsi="宋体" w:eastAsia="宋体" w:cs="宋体"/>
          <w:color w:val="auto"/>
          <w:sz w:val="24"/>
          <w:szCs w:val="24"/>
        </w:rPr>
        <w:t>除法律、法规和规章规定外，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文件中用文字规定或标注“★”符号的条款为实质性要求和条件；未用文字规定或“★”符号标注的条款为非实质性要求和条件。</w:t>
      </w:r>
    </w:p>
    <w:p w14:paraId="72E2AEF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1.10.2</w:t>
      </w:r>
      <w:r>
        <w:rPr>
          <w:rFonts w:hint="eastAsia" w:ascii="宋体" w:hAnsi="宋体" w:eastAsia="宋体" w:cs="宋体"/>
          <w:color w:val="auto"/>
          <w:sz w:val="24"/>
          <w:szCs w:val="24"/>
        </w:rPr>
        <w:t>偏离是指</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文件不满足或者不响应</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文件的要求。偏离分为偏离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文件的实质性要求和条件及偏离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文件的非实质性要求和条件。</w:t>
      </w:r>
    </w:p>
    <w:p w14:paraId="3D2D84E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1.10.3</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文件偏离</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文件的实质性要求和条件，在评标时其投标将被否决。</w:t>
      </w:r>
    </w:p>
    <w:p w14:paraId="0D87A4C9">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1.10.4响应文件偏离磋商文件的非实质性要求和条件见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C3A808F">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1.11知识产权</w:t>
      </w:r>
    </w:p>
    <w:p w14:paraId="2F583CD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应保证在本项目使用的任何服务（包括部分使用）时，不会产生因第三方提出侵犯其专利权、商标权或其它知识产权而引起的法律和经济纠纷，如因专利权、商标权或其它知识产权而引起法律和经济纠纷，由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承担所有相关责任。</w:t>
      </w:r>
    </w:p>
    <w:p w14:paraId="4F8A7E2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1.11.2招标人享有本项目实施过程中产生的知识成果及知识产权。</w:t>
      </w:r>
    </w:p>
    <w:p w14:paraId="3BE06791">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如欲在项目实施过程中采用自有知识成果，需在响应文件中声明，并提供相关知识产权证明文件。使用该知识成果后，</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需提供开发接口和开发手册等技术文档，并承诺提供无限期技术支持，招标人享有永久使用权。</w:t>
      </w:r>
    </w:p>
    <w:p w14:paraId="579FE0D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1.11.4如采用</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所不拥有的知识产权，则在投标报价中必须包括合法获取该知识产权的相关费用。</w:t>
      </w:r>
    </w:p>
    <w:p w14:paraId="5DBAE35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highlight w:val="none"/>
          <w:lang w:val="en-US" w:eastAsia="zh-CN"/>
        </w:rPr>
      </w:pPr>
    </w:p>
    <w:p w14:paraId="46CDD50E">
      <w:pPr>
        <w:pStyle w:val="3"/>
        <w:pageBreakBefore w:val="0"/>
        <w:kinsoku/>
        <w:overflowPunct/>
        <w:autoSpaceDE/>
        <w:autoSpaceDN/>
        <w:bidi w:val="0"/>
        <w:spacing w:line="400" w:lineRule="exact"/>
        <w:rPr>
          <w:rFonts w:hint="eastAsia" w:ascii="宋体" w:hAnsi="宋体" w:eastAsia="宋体" w:cs="宋体"/>
          <w:color w:val="auto"/>
        </w:rPr>
      </w:pPr>
      <w:bookmarkStart w:id="22" w:name="_Toc293736054"/>
      <w:bookmarkStart w:id="23" w:name="_Toc293736011"/>
      <w:bookmarkStart w:id="24" w:name="_Toc293738992"/>
      <w:bookmarkStart w:id="25" w:name="_Toc3092"/>
      <w:bookmarkStart w:id="26" w:name="_Toc18317"/>
      <w:bookmarkStart w:id="27" w:name="_Toc446599311"/>
      <w:r>
        <w:rPr>
          <w:rFonts w:hint="eastAsia" w:ascii="宋体" w:hAnsi="宋体" w:eastAsia="宋体" w:cs="宋体"/>
          <w:color w:val="auto"/>
        </w:rPr>
        <w:t>二、磋商文件</w:t>
      </w:r>
      <w:bookmarkEnd w:id="22"/>
      <w:bookmarkEnd w:id="23"/>
      <w:bookmarkEnd w:id="24"/>
      <w:bookmarkEnd w:id="25"/>
      <w:bookmarkEnd w:id="26"/>
      <w:bookmarkEnd w:id="27"/>
    </w:p>
    <w:p w14:paraId="43F0174E">
      <w:pPr>
        <w:pStyle w:val="20"/>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rPr>
        <w:t>2.1磋商文件的构成</w:t>
      </w:r>
    </w:p>
    <w:p w14:paraId="1ABD90E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2.1.1磋商文件由下列文件以及在采购过程中发出的修正和补充文件组成：</w:t>
      </w:r>
    </w:p>
    <w:p w14:paraId="5EF69031">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(1)磋商</w:t>
      </w:r>
      <w:r>
        <w:rPr>
          <w:rFonts w:hint="eastAsia" w:ascii="宋体" w:hAnsi="宋体" w:eastAsia="宋体" w:cs="宋体"/>
          <w:color w:val="auto"/>
          <w:sz w:val="24"/>
          <w:szCs w:val="24"/>
          <w:lang w:eastAsia="zh-CN"/>
        </w:rPr>
        <w:t>公告（邀请书）</w:t>
      </w:r>
      <w:r>
        <w:rPr>
          <w:rFonts w:hint="eastAsia" w:ascii="宋体" w:hAnsi="宋体" w:eastAsia="宋体" w:cs="宋体"/>
          <w:color w:val="auto"/>
          <w:sz w:val="24"/>
          <w:szCs w:val="24"/>
        </w:rPr>
        <w:t>；</w:t>
      </w:r>
    </w:p>
    <w:p w14:paraId="1467F76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5F720FC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(3)采购</w:t>
      </w:r>
      <w:r>
        <w:rPr>
          <w:rFonts w:hint="eastAsia" w:ascii="宋体" w:hAnsi="宋体" w:eastAsia="宋体" w:cs="宋体"/>
          <w:color w:val="auto"/>
          <w:sz w:val="24"/>
          <w:szCs w:val="24"/>
          <w:lang w:eastAsia="zh-CN"/>
        </w:rPr>
        <w:t>需求</w:t>
      </w:r>
      <w:r>
        <w:rPr>
          <w:rFonts w:hint="eastAsia" w:ascii="宋体" w:hAnsi="宋体" w:eastAsia="宋体" w:cs="宋体"/>
          <w:color w:val="auto"/>
          <w:sz w:val="24"/>
          <w:szCs w:val="24"/>
        </w:rPr>
        <w:t>；</w:t>
      </w:r>
    </w:p>
    <w:p w14:paraId="2C95B6E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(4)评审方法；</w:t>
      </w:r>
    </w:p>
    <w:p w14:paraId="02567699">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(5)合同</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p>
    <w:p w14:paraId="6A7026E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(6)响应文件格式；</w:t>
      </w:r>
    </w:p>
    <w:p w14:paraId="1D9E8D8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(7)在磋商过程中由采购单位发出的澄清和补充文件等。</w:t>
      </w:r>
    </w:p>
    <w:p w14:paraId="16028E9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1638A02F">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2.2磋商文件的澄清</w:t>
      </w:r>
      <w:r>
        <w:rPr>
          <w:rFonts w:hint="eastAsia" w:hAnsi="宋体" w:cs="宋体"/>
          <w:b/>
          <w:color w:val="auto"/>
          <w:sz w:val="24"/>
          <w:szCs w:val="24"/>
          <w:lang w:val="en-US" w:eastAsia="zh-CN"/>
        </w:rPr>
        <w:t>和修改</w:t>
      </w:r>
    </w:p>
    <w:p w14:paraId="53C1686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磋商文件的全部内容。供应商若对磋商文件有任何疑问，均应在响应文件递交截止时间5日前提问。采购单位对供应商所要求澄清的内容均予以答复（答复中不包括问题的来源）。必要时，采购单位将组织相关专家召开答疑会，并向所有供应商公布澄清文件。澄清文件作为磋商文件的组成部分，对供应商具有同等约束作用。</w:t>
      </w:r>
    </w:p>
    <w:p w14:paraId="6374959F">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14:paraId="552B7198">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.2.3</w:t>
      </w:r>
      <w:r>
        <w:rPr>
          <w:rFonts w:hint="eastAsia" w:ascii="宋体" w:hAnsi="宋体" w:eastAsia="宋体" w:cs="宋体"/>
          <w:color w:val="auto"/>
          <w:spacing w:val="-6"/>
          <w:sz w:val="24"/>
          <w:szCs w:val="24"/>
        </w:rPr>
        <w:t>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w:t>
      </w:r>
      <w:r>
        <w:rPr>
          <w:rFonts w:hint="eastAsia" w:ascii="宋体" w:hAnsi="宋体" w:cs="宋体"/>
          <w:color w:val="auto"/>
          <w:spacing w:val="-6"/>
          <w:sz w:val="24"/>
          <w:szCs w:val="24"/>
          <w:lang w:val="en-US" w:eastAsia="zh-CN"/>
        </w:rPr>
        <w:t>前</w:t>
      </w:r>
      <w:r>
        <w:rPr>
          <w:rFonts w:hint="eastAsia" w:ascii="宋体" w:hAnsi="宋体" w:eastAsia="宋体" w:cs="宋体"/>
          <w:color w:val="auto"/>
          <w:spacing w:val="-6"/>
          <w:sz w:val="24"/>
          <w:szCs w:val="24"/>
        </w:rPr>
        <w:t>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 xml:space="preserve">磋商文件的供应商。 </w:t>
      </w:r>
    </w:p>
    <w:p w14:paraId="0B0798BA">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2.4</w:t>
      </w:r>
      <w:r>
        <w:rPr>
          <w:rFonts w:hint="eastAsia" w:ascii="宋体" w:hAnsi="宋体" w:eastAsia="宋体" w:cs="宋体"/>
          <w:color w:val="auto"/>
          <w:spacing w:val="-6"/>
          <w:sz w:val="24"/>
          <w:szCs w:val="24"/>
        </w:rPr>
        <w:t>澄清或者修改的内容是磋商文件的组成部分，将向所有供应商公布澄清或者修改文件，澄清或者修改文件对供应商具有约束力。</w:t>
      </w:r>
    </w:p>
    <w:p w14:paraId="09DBB6ED">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2.5</w:t>
      </w:r>
      <w:r>
        <w:rPr>
          <w:rFonts w:hint="eastAsia" w:ascii="宋体" w:hAnsi="宋体" w:eastAsia="宋体" w:cs="宋体"/>
          <w:color w:val="auto"/>
          <w:spacing w:val="-6"/>
          <w:sz w:val="24"/>
          <w:szCs w:val="24"/>
        </w:rPr>
        <w:t>为使供应商有充足的时间对磋商文件的修改部分进行研究，采购单位可适当推迟响应文件截止期，并通知所有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14:paraId="2BC1B5CB">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r>
        <w:rPr>
          <w:rFonts w:hint="eastAsia" w:ascii="宋体" w:hAnsi="宋体" w:cs="宋体"/>
          <w:color w:val="auto"/>
          <w:spacing w:val="-6"/>
          <w:sz w:val="24"/>
          <w:szCs w:val="24"/>
          <w:lang w:val="en-US" w:eastAsia="zh-CN"/>
        </w:rPr>
        <w:t>2.6</w:t>
      </w:r>
      <w:r>
        <w:rPr>
          <w:rFonts w:hint="eastAsia" w:ascii="宋体" w:hAnsi="宋体" w:eastAsia="宋体" w:cs="宋体"/>
          <w:color w:val="auto"/>
          <w:spacing w:val="-6"/>
          <w:sz w:val="24"/>
          <w:szCs w:val="24"/>
        </w:rPr>
        <w:t>供应商应注意及时</w:t>
      </w:r>
      <w:r>
        <w:rPr>
          <w:rFonts w:hint="eastAsia" w:ascii="宋体" w:hAnsi="宋体" w:eastAsia="宋体" w:cs="宋体"/>
          <w:color w:val="auto"/>
          <w:spacing w:val="-6"/>
          <w:sz w:val="24"/>
          <w:szCs w:val="24"/>
          <w:lang w:eastAsia="zh-CN"/>
        </w:rPr>
        <w:t>接收</w:t>
      </w:r>
      <w:r>
        <w:rPr>
          <w:rFonts w:hint="eastAsia" w:ascii="宋体" w:hAnsi="宋体" w:eastAsia="宋体" w:cs="宋体"/>
          <w:color w:val="auto"/>
          <w:spacing w:val="-6"/>
          <w:sz w:val="24"/>
          <w:szCs w:val="24"/>
        </w:rPr>
        <w:t>发布的澄清或修改通知，</w:t>
      </w:r>
      <w:r>
        <w:rPr>
          <w:rFonts w:hint="eastAsia" w:ascii="宋体" w:hAnsi="宋体" w:cs="宋体"/>
          <w:color w:val="auto"/>
          <w:spacing w:val="-6"/>
          <w:sz w:val="24"/>
          <w:szCs w:val="24"/>
          <w:lang w:val="en-US" w:eastAsia="zh-CN"/>
        </w:rPr>
        <w:t>具体</w:t>
      </w:r>
      <w:r>
        <w:rPr>
          <w:rFonts w:hint="eastAsia" w:ascii="宋体" w:hAnsi="宋体" w:eastAsia="宋体" w:cs="宋体"/>
          <w:color w:val="auto"/>
          <w:spacing w:val="-6"/>
          <w:sz w:val="24"/>
          <w:szCs w:val="24"/>
        </w:rPr>
        <w:t>形式</w:t>
      </w:r>
      <w:r>
        <w:rPr>
          <w:rFonts w:hint="eastAsia" w:ascii="宋体" w:hAnsi="宋体" w:eastAsia="宋体" w:cs="宋体"/>
          <w:color w:val="auto"/>
          <w:spacing w:val="-6"/>
          <w:sz w:val="24"/>
          <w:szCs w:val="24"/>
          <w:lang w:val="en-US" w:eastAsia="zh-CN"/>
        </w:rPr>
        <w:t>见</w:t>
      </w:r>
      <w:r>
        <w:rPr>
          <w:rFonts w:hint="eastAsia" w:ascii="宋体" w:hAnsi="宋体" w:eastAsia="宋体" w:cs="宋体"/>
          <w:color w:val="auto"/>
          <w:spacing w:val="-6"/>
          <w:sz w:val="24"/>
          <w:szCs w:val="24"/>
        </w:rPr>
        <w:t>供应商须知前附表规定</w:t>
      </w:r>
      <w:r>
        <w:rPr>
          <w:rFonts w:hint="eastAsia" w:ascii="宋体" w:hAnsi="宋体" w:cs="宋体"/>
          <w:color w:val="auto"/>
          <w:spacing w:val="-6"/>
          <w:sz w:val="24"/>
          <w:szCs w:val="24"/>
          <w:lang w:eastAsia="zh-CN"/>
        </w:rPr>
        <w:t>，</w:t>
      </w:r>
      <w:r>
        <w:rPr>
          <w:rFonts w:hint="eastAsia" w:ascii="宋体" w:hAnsi="宋体" w:eastAsia="宋体" w:cs="宋体"/>
          <w:color w:val="auto"/>
          <w:spacing w:val="-6"/>
          <w:sz w:val="24"/>
          <w:szCs w:val="24"/>
        </w:rPr>
        <w:t>因供应商原因未及时获知澄清、修改或补充内容而导致的任何后果将由供应商自行承担。</w:t>
      </w:r>
    </w:p>
    <w:p w14:paraId="0123BF50">
      <w:pPr>
        <w:pStyle w:val="3"/>
        <w:pageBreakBefore w:val="0"/>
        <w:kinsoku/>
        <w:overflowPunct/>
        <w:autoSpaceDE/>
        <w:autoSpaceDN/>
        <w:bidi w:val="0"/>
        <w:spacing w:line="400" w:lineRule="exact"/>
        <w:rPr>
          <w:rFonts w:hint="eastAsia" w:ascii="宋体" w:hAnsi="宋体" w:eastAsia="宋体" w:cs="宋体"/>
          <w:color w:val="auto"/>
        </w:rPr>
      </w:pPr>
      <w:bookmarkStart w:id="28" w:name="_Toc1735"/>
      <w:bookmarkStart w:id="29" w:name="_Toc13231"/>
      <w:bookmarkStart w:id="30" w:name="_Toc293736055"/>
      <w:bookmarkStart w:id="31" w:name="_Toc293738993"/>
      <w:bookmarkStart w:id="32" w:name="_Toc293736012"/>
      <w:bookmarkStart w:id="33" w:name="_Toc446599312"/>
      <w:r>
        <w:rPr>
          <w:rFonts w:hint="eastAsia" w:ascii="宋体" w:hAnsi="宋体" w:eastAsia="宋体" w:cs="宋体"/>
          <w:color w:val="auto"/>
        </w:rPr>
        <w:t>三、响应文件的编制</w:t>
      </w:r>
      <w:bookmarkEnd w:id="28"/>
      <w:bookmarkEnd w:id="29"/>
      <w:bookmarkEnd w:id="30"/>
      <w:bookmarkEnd w:id="31"/>
      <w:bookmarkEnd w:id="32"/>
      <w:bookmarkEnd w:id="33"/>
    </w:p>
    <w:p w14:paraId="238CA0FD">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3.1响应文件的语言</w:t>
      </w:r>
    </w:p>
    <w:p w14:paraId="3924485F">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6FB559E7">
      <w:pPr>
        <w:pStyle w:val="20"/>
        <w:pageBreakBefore w:val="0"/>
        <w:kinsoku/>
        <w:overflowPunct/>
        <w:autoSpaceDE/>
        <w:autoSpaceDN/>
        <w:bidi w:val="0"/>
        <w:spacing w:line="400" w:lineRule="exact"/>
        <w:ind w:firstLine="562" w:firstLineChars="201"/>
        <w:contextualSpacing/>
        <w:jc w:val="left"/>
        <w:rPr>
          <w:rFonts w:hint="eastAsia" w:ascii="宋体" w:hAnsi="宋体" w:eastAsia="宋体" w:cs="宋体"/>
          <w:b/>
          <w:color w:val="auto"/>
          <w:sz w:val="24"/>
          <w:szCs w:val="24"/>
        </w:rPr>
      </w:pPr>
      <w:r>
        <w:rPr>
          <w:rFonts w:hint="eastAsia" w:ascii="宋体" w:hAnsi="宋体" w:eastAsia="宋体" w:cs="宋体"/>
          <w:color w:val="auto"/>
          <w:sz w:val="28"/>
          <w:szCs w:val="28"/>
        </w:rPr>
        <w:t>★</w:t>
      </w:r>
      <w:r>
        <w:rPr>
          <w:rFonts w:hint="eastAsia" w:ascii="宋体" w:hAnsi="宋体" w:eastAsia="宋体" w:cs="宋体"/>
          <w:b/>
          <w:color w:val="auto"/>
          <w:sz w:val="24"/>
          <w:szCs w:val="24"/>
        </w:rPr>
        <w:t>3.2响应文件的构成</w:t>
      </w:r>
    </w:p>
    <w:p w14:paraId="387706F1">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供应商应按照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文件的规定和要求编制</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文件，具体内容详见第六章“</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文件格式”。供应商在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和评审过程中做出的符合竞争性</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文件要求的澄清、说明或补正，构成响应文件的组成部分。</w:t>
      </w:r>
    </w:p>
    <w:p w14:paraId="364BA248">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3.3响应文件编制</w:t>
      </w:r>
    </w:p>
    <w:p w14:paraId="65AC550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3.3.1</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文件编制的具体要求见供应商须知前附表规定。</w:t>
      </w:r>
      <w:r>
        <w:rPr>
          <w:rFonts w:hint="eastAsia" w:ascii="宋体" w:hAnsi="宋体" w:eastAsia="宋体" w:cs="宋体"/>
          <w:color w:val="auto"/>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14:paraId="0ABD391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3.3.2响应文件应当对磋商文件有关</w:t>
      </w:r>
      <w:r>
        <w:rPr>
          <w:rFonts w:hint="eastAsia" w:ascii="宋体" w:hAnsi="宋体" w:eastAsia="宋体" w:cs="宋体"/>
          <w:b/>
          <w:bCs/>
          <w:color w:val="auto"/>
          <w:kern w:val="0"/>
          <w:sz w:val="24"/>
          <w:szCs w:val="24"/>
          <w:highlight w:val="none"/>
          <w:lang w:val="en-US" w:eastAsia="zh-CN"/>
        </w:rPr>
        <w:t>服务要求、合同条件、投标有效期、响应保证金、投标报价、响应文件密封、响应文件签署盖章、响应文件格式等</w:t>
      </w:r>
      <w:r>
        <w:rPr>
          <w:rFonts w:hint="eastAsia" w:ascii="宋体" w:hAnsi="宋体" w:eastAsia="宋体" w:cs="宋体"/>
          <w:color w:val="auto"/>
          <w:kern w:val="0"/>
          <w:sz w:val="24"/>
          <w:szCs w:val="24"/>
          <w:lang w:val="en-US" w:eastAsia="zh-CN"/>
        </w:rPr>
        <w:t>实质性内容作出响应。响应文件满足磋商文件实质性要求的基础上，可以提出比磋商文件要求更有利于采购人的承诺。</w:t>
      </w:r>
    </w:p>
    <w:p w14:paraId="5851D36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3.3.3</w:t>
      </w:r>
      <w:r>
        <w:rPr>
          <w:rFonts w:hint="eastAsia" w:ascii="宋体" w:hAnsi="宋体" w:eastAsia="宋体" w:cs="宋体"/>
          <w:color w:val="auto"/>
          <w:kern w:val="0"/>
          <w:sz w:val="24"/>
          <w:szCs w:val="24"/>
        </w:rPr>
        <w:t>供应商提交的响应文件以及供应商与采购代理机构和采购人就有关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的所有来往函电均应使用中文。供应商提交的支持文件和印刷的文献可以使用别的语言，但其相应内容必须附有中文翻译文本，在解释响应文件时以翻译文本为主。</w:t>
      </w:r>
    </w:p>
    <w:p w14:paraId="72DD8C5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3.3.4</w:t>
      </w:r>
      <w:r>
        <w:rPr>
          <w:rFonts w:hint="eastAsia" w:ascii="宋体" w:hAnsi="宋体" w:eastAsia="宋体" w:cs="宋体"/>
          <w:color w:val="auto"/>
          <w:kern w:val="0"/>
          <w:sz w:val="24"/>
          <w:szCs w:val="24"/>
        </w:rPr>
        <w:t>供应商应认真阅读、并充分理解本文件的全部内容（包括所有的澄清、修改等内容），承诺并履行</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文件中各项条款规定及要求。</w:t>
      </w:r>
    </w:p>
    <w:p w14:paraId="7C302AB7">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3.3.5</w:t>
      </w:r>
      <w:r>
        <w:rPr>
          <w:rFonts w:hint="eastAsia" w:ascii="宋体" w:hAnsi="宋体" w:eastAsia="宋体" w:cs="宋体"/>
          <w:color w:val="auto"/>
          <w:kern w:val="0"/>
          <w:sz w:val="24"/>
          <w:szCs w:val="24"/>
        </w:rPr>
        <w:t>响应文件必须按</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文件的全部内容，包括所有的澄清、修改等通知及附件进行编制。</w:t>
      </w:r>
    </w:p>
    <w:p w14:paraId="6B8B4F43">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3.3.6</w:t>
      </w:r>
      <w:r>
        <w:rPr>
          <w:rFonts w:hint="eastAsia" w:ascii="宋体" w:hAnsi="宋体" w:eastAsia="宋体" w:cs="宋体"/>
          <w:color w:val="auto"/>
          <w:kern w:val="0"/>
          <w:sz w:val="24"/>
          <w:szCs w:val="24"/>
        </w:rPr>
        <w:t>如因供应商只填写和提供了</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文件要求的部分内容和附件，而给评审造成困难，其可能导致的结果和责任由供应商自行承担。</w:t>
      </w:r>
    </w:p>
    <w:p w14:paraId="2E5D1FDD">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供应商必须保证响应文件所提供的全部资料真实可靠，并接受采购单位对其中任何资料进一步核实的要求。</w:t>
      </w:r>
    </w:p>
    <w:p w14:paraId="6FD0BDA5">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rPr>
        <w:t>3.4</w:t>
      </w:r>
      <w:r>
        <w:rPr>
          <w:rFonts w:hint="eastAsia" w:ascii="宋体" w:hAnsi="宋体" w:eastAsia="宋体" w:cs="宋体"/>
          <w:b/>
          <w:color w:val="auto"/>
          <w:sz w:val="24"/>
          <w:szCs w:val="24"/>
          <w:lang w:eastAsia="zh-CN"/>
        </w:rPr>
        <w:t>投标报价</w:t>
      </w:r>
      <w:r>
        <w:rPr>
          <w:rFonts w:hint="eastAsia" w:ascii="宋体" w:hAnsi="宋体" w:eastAsia="宋体" w:cs="宋体"/>
          <w:b/>
          <w:color w:val="auto"/>
          <w:sz w:val="24"/>
          <w:szCs w:val="24"/>
        </w:rPr>
        <w:t>要求</w:t>
      </w:r>
    </w:p>
    <w:p w14:paraId="4258440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3.4.1供应商所提供的</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均以人民币报价。</w:t>
      </w:r>
    </w:p>
    <w:p w14:paraId="14F36E2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3.4.2供商应按照“第三章 采购需求”规定的</w:t>
      </w:r>
      <w:r>
        <w:rPr>
          <w:rFonts w:hint="eastAsia" w:ascii="宋体" w:hAnsi="宋体" w:eastAsia="宋体" w:cs="宋体"/>
          <w:color w:val="auto"/>
          <w:kern w:val="0"/>
          <w:sz w:val="24"/>
          <w:szCs w:val="24"/>
          <w:highlight w:val="none"/>
        </w:rPr>
        <w:t>服务内容、责任范围以及合同条款进</w:t>
      </w:r>
      <w:r>
        <w:rPr>
          <w:rFonts w:hint="eastAsia" w:ascii="宋体" w:hAnsi="宋体" w:eastAsia="宋体" w:cs="宋体"/>
          <w:color w:val="auto"/>
          <w:kern w:val="0"/>
          <w:sz w:val="24"/>
          <w:szCs w:val="24"/>
        </w:rPr>
        <w:t>行报价。并按</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报价明细表</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rPr>
        <w:t>确定的格式报出分项价格和总价。</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应为优惠后的报价，任何报价上的优惠应体现在各分项报价中，国家规定的各项税费不得优惠。</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中不得包含磋商文件要求以外的内容，否则，在评审时不予核减。</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中也不得缺漏磋商文件所要求的内容，否则，在评审时将被视为已包含在</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中。</w:t>
      </w:r>
    </w:p>
    <w:p w14:paraId="6FF7BCB7">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3.4.3《</w:t>
      </w:r>
      <w:r>
        <w:rPr>
          <w:rFonts w:hint="eastAsia" w:ascii="宋体" w:hAnsi="宋体" w:eastAsia="宋体" w:cs="宋体"/>
          <w:color w:val="auto"/>
          <w:kern w:val="0"/>
          <w:sz w:val="24"/>
          <w:szCs w:val="24"/>
          <w:lang w:eastAsia="zh-CN"/>
        </w:rPr>
        <w:t>报价明细表</w:t>
      </w:r>
      <w:r>
        <w:rPr>
          <w:rFonts w:hint="eastAsia" w:ascii="宋体" w:hAnsi="宋体" w:eastAsia="宋体" w:cs="宋体"/>
          <w:color w:val="auto"/>
          <w:kern w:val="0"/>
          <w:sz w:val="24"/>
          <w:szCs w:val="24"/>
        </w:rPr>
        <w:t>》填写时应响应下列要求：</w:t>
      </w:r>
    </w:p>
    <w:p w14:paraId="3478AB81">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（1）对于报价免费的项目应标明“免费”；</w:t>
      </w:r>
    </w:p>
    <w:p w14:paraId="737064E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（2）所有根据合同或其它原因应由供应商支付的税款和其它应交纳的费用都要包括在供应商提交的磋商总价中；</w:t>
      </w:r>
    </w:p>
    <w:p w14:paraId="5C39236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3.4.5每一种</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只允许有一个报价，否则将被视为无效投标。</w:t>
      </w:r>
    </w:p>
    <w:p w14:paraId="331363D3">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3.4.6供应商所报的总价在合同执行过程中是固定不变的，不得以任何理由予以变更。</w:t>
      </w:r>
    </w:p>
    <w:p w14:paraId="4058B16B">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3.4.7供应商的最后</w:t>
      </w:r>
      <w:r>
        <w:rPr>
          <w:rFonts w:hint="eastAsia" w:ascii="宋体" w:hAnsi="宋体" w:eastAsia="宋体" w:cs="宋体"/>
          <w:color w:val="auto"/>
          <w:kern w:val="0"/>
          <w:sz w:val="24"/>
          <w:szCs w:val="24"/>
          <w:lang w:eastAsia="zh-CN"/>
        </w:rPr>
        <w:t>投标报价</w:t>
      </w:r>
      <w:r>
        <w:rPr>
          <w:rFonts w:hint="eastAsia" w:ascii="宋体" w:hAnsi="宋体" w:eastAsia="宋体" w:cs="宋体"/>
          <w:color w:val="auto"/>
          <w:kern w:val="0"/>
          <w:sz w:val="24"/>
          <w:szCs w:val="24"/>
        </w:rPr>
        <w:t>超过项目采购预算的为无效报价。</w:t>
      </w:r>
    </w:p>
    <w:p w14:paraId="6208D347">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3.4.8本项目预算金额见供应商须知前附表。采购人设有最高限价的，供应商的报价不得超过最高限价，否则其投标无效，最高限价在供应商须知前附表中载明。</w:t>
      </w:r>
    </w:p>
    <w:p w14:paraId="5C2DEEE3">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3.5备选方案</w:t>
      </w:r>
    </w:p>
    <w:p w14:paraId="0B49EDE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3.5.1供应商应按</w:t>
      </w:r>
      <w:r>
        <w:rPr>
          <w:rFonts w:hint="eastAsia" w:ascii="宋体" w:hAnsi="宋体" w:eastAsia="宋体" w:cs="宋体"/>
          <w:color w:val="auto"/>
          <w:kern w:val="0"/>
          <w:sz w:val="24"/>
          <w:szCs w:val="24"/>
          <w:highlight w:val="none"/>
        </w:rPr>
        <w:t>照供应商须知前附表要求编制磋商备选方案，否则将被视为无效响应文件。</w:t>
      </w:r>
    </w:p>
    <w:p w14:paraId="75EEFDDE">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lang w:eastAsia="zh-CN"/>
        </w:rPr>
        <w:t>响应保证金</w:t>
      </w:r>
    </w:p>
    <w:p w14:paraId="3BDBAB9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eastAsia="zh-CN"/>
        </w:rPr>
        <w:t>响应保证金</w:t>
      </w:r>
      <w:r>
        <w:rPr>
          <w:rFonts w:hint="eastAsia" w:ascii="宋体" w:hAnsi="宋体" w:eastAsia="宋体" w:cs="宋体"/>
          <w:color w:val="auto"/>
          <w:kern w:val="0"/>
          <w:sz w:val="24"/>
          <w:szCs w:val="24"/>
          <w:highlight w:val="none"/>
        </w:rPr>
        <w:t>收取要求见供应商须知前附表，</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应在</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内有效。</w:t>
      </w:r>
    </w:p>
    <w:p w14:paraId="11B2620F">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.2对于未按规定提交</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的，即到响应文件递交截止时间前未提交</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，提交的</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形式、数量和有效期不满足</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文件要求的，其投标无效。</w:t>
      </w:r>
    </w:p>
    <w:p w14:paraId="31DB71D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.3未成交的供应商，其</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在成交公告公布后5个工作日内退还；成交供应商的</w:t>
      </w:r>
      <w:r>
        <w:rPr>
          <w:rFonts w:hint="eastAsia" w:ascii="宋体" w:hAnsi="宋体" w:eastAsia="宋体" w:cs="宋体"/>
          <w:color w:val="auto"/>
          <w:kern w:val="0"/>
          <w:sz w:val="24"/>
          <w:szCs w:val="24"/>
          <w:lang w:eastAsia="zh-CN"/>
        </w:rPr>
        <w:t>响应保证金</w:t>
      </w:r>
      <w:r>
        <w:rPr>
          <w:rFonts w:hint="eastAsia" w:ascii="宋体" w:hAnsi="宋体" w:eastAsia="宋体" w:cs="宋体"/>
          <w:color w:val="auto"/>
          <w:kern w:val="0"/>
          <w:sz w:val="24"/>
          <w:szCs w:val="24"/>
        </w:rPr>
        <w:t>,在成交供应商与采购人签订合同后5个工作日内退还；如有质疑或投诉，采购代理机构将在质疑和投诉处理完毕后5个工作日内。</w:t>
      </w:r>
    </w:p>
    <w:p w14:paraId="3326F9B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14:paraId="0DA16278">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活动；</w:t>
      </w:r>
    </w:p>
    <w:p w14:paraId="0B4EE918">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14:paraId="5715FFAF">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14:paraId="5C2E84F4">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14:paraId="341112CC">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14:paraId="3A53DE2E">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14:paraId="3DE62359">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14:paraId="51CF7F9D">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14:paraId="40645C20">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lang w:eastAsia="zh-CN"/>
        </w:rPr>
        <w:t>投标有效期</w:t>
      </w:r>
    </w:p>
    <w:p w14:paraId="5CC98EF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投标有效期</w:t>
      </w:r>
      <w:r>
        <w:rPr>
          <w:rFonts w:hint="eastAsia" w:ascii="宋体" w:hAnsi="宋体" w:eastAsia="宋体" w:cs="宋体"/>
          <w:color w:val="auto"/>
          <w:kern w:val="0"/>
          <w:sz w:val="24"/>
          <w:szCs w:val="24"/>
        </w:rPr>
        <w:t>详</w:t>
      </w:r>
      <w:r>
        <w:rPr>
          <w:rFonts w:hint="eastAsia" w:ascii="宋体" w:hAnsi="宋体" w:eastAsia="宋体" w:cs="宋体"/>
          <w:color w:val="auto"/>
          <w:kern w:val="0"/>
          <w:sz w:val="24"/>
          <w:szCs w:val="24"/>
          <w:highlight w:val="none"/>
        </w:rPr>
        <w:t>见供应商须知前附表</w:t>
      </w:r>
      <w:r>
        <w:rPr>
          <w:rFonts w:hint="eastAsia" w:ascii="宋体" w:hAnsi="宋体" w:eastAsia="宋体" w:cs="宋体"/>
          <w:color w:val="auto"/>
          <w:kern w:val="0"/>
          <w:sz w:val="24"/>
          <w:szCs w:val="24"/>
        </w:rPr>
        <w:t>。供应商响应文件中有效期不足的将被视为无效文件。</w:t>
      </w:r>
    </w:p>
    <w:p w14:paraId="55639C1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.2 有效期内供应商未经采购结果确认</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达成一致不得改变其磋商最后报价及承诺的全部义务。</w:t>
      </w:r>
    </w:p>
    <w:p w14:paraId="0AAFF989">
      <w:pPr>
        <w:pStyle w:val="3"/>
        <w:pageBreakBefore w:val="0"/>
        <w:kinsoku/>
        <w:overflowPunct/>
        <w:autoSpaceDE/>
        <w:autoSpaceDN/>
        <w:bidi w:val="0"/>
        <w:spacing w:line="400" w:lineRule="exact"/>
        <w:rPr>
          <w:rFonts w:hint="eastAsia" w:ascii="宋体" w:hAnsi="宋体" w:eastAsia="宋体" w:cs="宋体"/>
          <w:color w:val="auto"/>
        </w:rPr>
      </w:pPr>
      <w:bookmarkStart w:id="34" w:name="_Toc293736013"/>
      <w:bookmarkStart w:id="35" w:name="_Toc293738994"/>
      <w:bookmarkStart w:id="36" w:name="_Toc293736056"/>
      <w:bookmarkStart w:id="37" w:name="_Toc446599313"/>
      <w:r>
        <w:rPr>
          <w:rFonts w:hint="eastAsia" w:ascii="宋体" w:hAnsi="宋体" w:eastAsia="宋体" w:cs="宋体"/>
          <w:color w:val="auto"/>
        </w:rPr>
        <w:t>四、响应文件的递交</w:t>
      </w:r>
      <w:bookmarkEnd w:id="34"/>
      <w:bookmarkEnd w:id="35"/>
      <w:bookmarkEnd w:id="36"/>
      <w:bookmarkEnd w:id="37"/>
    </w:p>
    <w:p w14:paraId="57EDA21E">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响应文件的递交</w:t>
      </w:r>
    </w:p>
    <w:p w14:paraId="53B8A512">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.1供应商应当在供应商须知前附表规定的</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截止时间前，将生成的已加密的响应文件成功提交至供应商须知前附表规定地点。</w:t>
      </w:r>
    </w:p>
    <w:p w14:paraId="3C195E97">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.2因</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文件的修改推迟</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截止日期的，供应商以网站上发布的更正公告中修改的时间提交响应文件。</w:t>
      </w:r>
    </w:p>
    <w:p w14:paraId="4BC3AF53">
      <w:pPr>
        <w:pStyle w:val="20"/>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4.1</w:t>
      </w:r>
      <w:r>
        <w:rPr>
          <w:rFonts w:hint="eastAsia" w:ascii="宋体" w:hAnsi="宋体" w:eastAsia="宋体" w:cs="宋体"/>
          <w:color w:val="auto"/>
          <w:kern w:val="0"/>
          <w:sz w:val="24"/>
          <w:szCs w:val="24"/>
          <w:highlight w:val="none"/>
        </w:rPr>
        <w:t>.3供应商应充分考虑提交响应文件的不可预见因素，未在</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截止时间前完成提交的，在</w:t>
      </w:r>
      <w:r>
        <w:rPr>
          <w:rFonts w:hint="eastAsia" w:ascii="宋体" w:hAnsi="宋体" w:eastAsia="宋体" w:cs="宋体"/>
          <w:color w:val="auto"/>
          <w:kern w:val="0"/>
          <w:sz w:val="24"/>
          <w:szCs w:val="24"/>
          <w:highlight w:val="none"/>
          <w:lang w:val="en-US" w:eastAsia="zh-CN"/>
        </w:rPr>
        <w:t>递交</w:t>
      </w:r>
      <w:r>
        <w:rPr>
          <w:rFonts w:hint="eastAsia" w:ascii="宋体" w:hAnsi="宋体" w:eastAsia="宋体" w:cs="宋体"/>
          <w:color w:val="auto"/>
          <w:kern w:val="0"/>
          <w:sz w:val="24"/>
          <w:szCs w:val="24"/>
          <w:highlight w:val="none"/>
        </w:rPr>
        <w:t>截止时间后将无法提交，未完成上传的响应文件视为逾期送达，将被拒绝。</w:t>
      </w:r>
    </w:p>
    <w:p w14:paraId="26FFE253">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color w:val="auto"/>
          <w:kern w:val="0"/>
          <w:sz w:val="24"/>
          <w:szCs w:val="24"/>
        </w:rPr>
      </w:pPr>
      <w:r>
        <w:rPr>
          <w:rFonts w:hint="eastAsia" w:ascii="宋体" w:hAnsi="宋体" w:eastAsia="宋体" w:cs="宋体"/>
          <w:b/>
          <w:color w:val="auto"/>
          <w:sz w:val="24"/>
          <w:szCs w:val="24"/>
        </w:rPr>
        <w:t>4.</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响应文件的修改和撤回</w:t>
      </w:r>
    </w:p>
    <w:p w14:paraId="1917705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1在递交截止时间之前，供应商可对已提交的响应文件进行补充、修改。补充或者修改响应文件的，应当先撤回已提交的响应文件，在“新疆政采云投标客户端”补充、修改响应文件并签章、加密后重新提交，以递交截止时间前最后一次上传的响应文件为有效响应文件。撤回响应文件进行补充、修改，在递交截止时间前未重新提交的，视为撤回响应文件。</w:t>
      </w:r>
    </w:p>
    <w:p w14:paraId="7701A49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.2在递交截止时间之后，供应商不得对其提交的响应文件做任何补充、修改。</w:t>
      </w:r>
    </w:p>
    <w:p w14:paraId="0F51E50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4.2</w:t>
      </w:r>
      <w:r>
        <w:rPr>
          <w:rFonts w:hint="eastAsia" w:ascii="宋体" w:hAnsi="宋体" w:eastAsia="宋体" w:cs="宋体"/>
          <w:color w:val="auto"/>
          <w:kern w:val="0"/>
          <w:sz w:val="24"/>
          <w:szCs w:val="24"/>
        </w:rPr>
        <w:t>.3在递交截止时间之前，供应商可对已提交的响应文件进行撤回。在递交截止时间之后，供应商不得撤回响应文件。</w:t>
      </w:r>
    </w:p>
    <w:p w14:paraId="33FB4129">
      <w:pPr>
        <w:pStyle w:val="3"/>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val="en-US" w:eastAsia="zh-CN"/>
        </w:rPr>
        <w:t>五</w:t>
      </w:r>
      <w:r>
        <w:rPr>
          <w:rFonts w:hint="eastAsia" w:ascii="宋体" w:hAnsi="宋体" w:eastAsia="宋体" w:cs="宋体"/>
          <w:color w:val="auto"/>
        </w:rPr>
        <w:t>、</w:t>
      </w:r>
      <w:r>
        <w:rPr>
          <w:rFonts w:hint="eastAsia" w:ascii="宋体" w:hAnsi="宋体" w:eastAsia="宋体" w:cs="宋体"/>
          <w:color w:val="auto"/>
          <w:lang w:eastAsia="zh-CN"/>
        </w:rPr>
        <w:t>开启响应文件</w:t>
      </w:r>
    </w:p>
    <w:p w14:paraId="49BFEBE1">
      <w:pPr>
        <w:pStyle w:val="20"/>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5.会议仪式</w:t>
      </w:r>
    </w:p>
    <w:p w14:paraId="53C083C7">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5.1</w:t>
      </w:r>
      <w:r>
        <w:rPr>
          <w:rFonts w:hint="eastAsia" w:ascii="宋体" w:hAnsi="宋体" w:eastAsia="宋体" w:cs="宋体"/>
          <w:b w:val="0"/>
          <w:bCs/>
          <w:color w:val="auto"/>
          <w:sz w:val="24"/>
          <w:szCs w:val="24"/>
          <w:lang w:val="en-US" w:eastAsia="zh-CN"/>
        </w:rPr>
        <w:t>本次项目采用不见面开标，具体流程见供应商须知前附表规定。</w:t>
      </w:r>
    </w:p>
    <w:p w14:paraId="40A53361">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5.2会议异议</w:t>
      </w:r>
    </w:p>
    <w:p w14:paraId="0677798E">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代表提出询问或者回避申请，当场作出答复，并制作记录。</w:t>
      </w:r>
    </w:p>
    <w:p w14:paraId="3293B403">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5.3在政府采购活动中，采购人员及相关人员与</w:t>
      </w:r>
      <w:r>
        <w:rPr>
          <w:rFonts w:hint="eastAsia" w:ascii="宋体" w:hAnsi="宋体" w:cs="宋体"/>
          <w:b/>
          <w:bCs/>
          <w:color w:val="auto"/>
          <w:sz w:val="24"/>
          <w:szCs w:val="24"/>
          <w:lang w:val="en-US" w:eastAsia="zh-CN"/>
        </w:rPr>
        <w:t>供应商</w:t>
      </w:r>
      <w:r>
        <w:rPr>
          <w:rFonts w:hint="eastAsia" w:ascii="宋体" w:hAnsi="宋体" w:eastAsia="宋体" w:cs="宋体"/>
          <w:b/>
          <w:bCs/>
          <w:color w:val="auto"/>
          <w:sz w:val="24"/>
          <w:szCs w:val="24"/>
          <w:lang w:val="en-US" w:eastAsia="zh-CN"/>
        </w:rPr>
        <w:t>有下列利害关系之一的，应当回避：</w:t>
      </w:r>
    </w:p>
    <w:p w14:paraId="6F10B06E">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存在劳动关系；</w:t>
      </w:r>
    </w:p>
    <w:p w14:paraId="3372CF41">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的董事、监事；</w:t>
      </w:r>
    </w:p>
    <w:p w14:paraId="4EF37665">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的控股股东或者实际控制人；</w:t>
      </w:r>
    </w:p>
    <w:p w14:paraId="0412E4EC">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的法定代表人或者负责人有夫妻、直系血亲、三代以内旁系血亲或者近姻亲关系；</w:t>
      </w:r>
    </w:p>
    <w:p w14:paraId="321EF765">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有其他可能影响政府采购活动公平、公正进行的关系。</w:t>
      </w:r>
    </w:p>
    <w:p w14:paraId="38FC1DDD">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认为采购人员及相关人员与其他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有利害关系的，可以向采购人或者采购代理机构书面提出回避申请，并说明理由。采购人或者采购代理机构应当及时询问被申请回避人员，有利害关系的被申请回避人员应当回避。</w:t>
      </w:r>
    </w:p>
    <w:p w14:paraId="38A32F00">
      <w:pPr>
        <w:pStyle w:val="3"/>
        <w:pageBreakBefore w:val="0"/>
        <w:kinsoku/>
        <w:overflowPunct/>
        <w:autoSpaceDE/>
        <w:autoSpaceDN/>
        <w:bidi w:val="0"/>
        <w:spacing w:line="40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六</w:t>
      </w:r>
      <w:r>
        <w:rPr>
          <w:rFonts w:hint="eastAsia" w:ascii="宋体" w:hAnsi="宋体" w:eastAsia="宋体" w:cs="宋体"/>
          <w:color w:val="auto"/>
        </w:rPr>
        <w:t>、</w:t>
      </w:r>
      <w:r>
        <w:rPr>
          <w:rFonts w:hint="eastAsia" w:ascii="宋体" w:hAnsi="宋体" w:eastAsia="宋体" w:cs="宋体"/>
          <w:color w:val="auto"/>
          <w:lang w:eastAsia="zh-CN"/>
        </w:rPr>
        <w:t>磋商和评审</w:t>
      </w:r>
    </w:p>
    <w:p w14:paraId="025622F4">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6.1</w:t>
      </w:r>
      <w:r>
        <w:rPr>
          <w:rFonts w:hint="eastAsia" w:ascii="宋体" w:hAnsi="宋体" w:eastAsia="宋体" w:cs="宋体"/>
          <w:b/>
          <w:color w:val="auto"/>
          <w:sz w:val="24"/>
          <w:szCs w:val="24"/>
        </w:rPr>
        <w:t>磋商小组的组成</w:t>
      </w:r>
    </w:p>
    <w:p w14:paraId="277A3FF1">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w:t>
      </w:r>
      <w:r>
        <w:rPr>
          <w:rFonts w:hint="eastAsia" w:ascii="宋体" w:hAnsi="宋体" w:eastAsia="宋体" w:cs="宋体"/>
          <w:color w:val="auto"/>
          <w:kern w:val="0"/>
          <w:sz w:val="24"/>
          <w:szCs w:val="24"/>
        </w:rPr>
        <w:t>.1除</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须知前附表规定外，</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小组由采购人代表和评审专家共3人以上单数组成，其中评审专家的人数不得少于</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小组成员总数的2/3。</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小组成员由采购人依法组建,采购人代表不得担任</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小组组长,不得以评审专家身份参加采购项目的评审。</w:t>
      </w:r>
    </w:p>
    <w:p w14:paraId="5EC9376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6.1.2</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小组应以科学、公正的态度参加评审工作并推荐成交候选人。评审专家在评审过程中不受任何干扰，独立、负责地提出评审意见，并对自己的评审意见承担责任。</w:t>
      </w:r>
    </w:p>
    <w:p w14:paraId="0EBA2F8E">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6.1.3</w:t>
      </w:r>
      <w:r>
        <w:rPr>
          <w:rFonts w:hint="eastAsia" w:ascii="宋体" w:hAnsi="宋体" w:eastAsia="宋体" w:cs="宋体"/>
          <w:color w:val="auto"/>
          <w:kern w:val="0"/>
          <w:sz w:val="24"/>
          <w:szCs w:val="24"/>
        </w:rPr>
        <w:t>回避情形</w:t>
      </w:r>
    </w:p>
    <w:p w14:paraId="5ADE1DAA">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小组成员有下列情形之一的，应当回避：</w:t>
      </w:r>
    </w:p>
    <w:p w14:paraId="370EF70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（1）参加采购活动前三年内,与供应商存在劳动关系,或者担任过供应商的董事、监事,或者是供应商的控股股东或实际控制人；</w:t>
      </w:r>
    </w:p>
    <w:p w14:paraId="54758A72">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（2）与供应商的法定代表人或者负责人有夫妻、直系血亲、三代以内旁系血亲或者近姻亲关系；</w:t>
      </w:r>
    </w:p>
    <w:p w14:paraId="669A1CB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（3）与供应商有其他可能影响政府采购活动公平、公正进行的关系。</w:t>
      </w:r>
    </w:p>
    <w:p w14:paraId="7C23B57C">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小组发现本人与参加本项目的供应商有利害关系的,应当主动提出回避。采购人或者采购代理机构发现</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小组与参加采购活动的供应商有利害关系的,应当要求其回避。</w:t>
      </w:r>
    </w:p>
    <w:p w14:paraId="01885E6C">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6.2</w:t>
      </w:r>
      <w:r>
        <w:rPr>
          <w:rFonts w:hint="eastAsia" w:ascii="宋体" w:hAnsi="宋体" w:eastAsia="宋体" w:cs="宋体"/>
          <w:b/>
          <w:bCs/>
          <w:color w:val="auto"/>
          <w:kern w:val="0"/>
          <w:sz w:val="24"/>
          <w:szCs w:val="24"/>
        </w:rPr>
        <w:t>磋商方法</w:t>
      </w:r>
    </w:p>
    <w:p w14:paraId="0D78C1FB">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8" w:name="_Toc10373"/>
      <w:bookmarkStart w:id="39" w:name="_Toc293736058"/>
      <w:bookmarkStart w:id="40" w:name="_Toc293736015"/>
      <w:bookmarkStart w:id="41" w:name="_Toc21441"/>
      <w:bookmarkStart w:id="42" w:name="_Toc446599315"/>
      <w:bookmarkStart w:id="43" w:name="_Toc293738996"/>
      <w:r>
        <w:rPr>
          <w:rFonts w:hint="eastAsia" w:ascii="宋体" w:hAnsi="宋体" w:eastAsia="宋体" w:cs="宋体"/>
          <w:color w:val="auto"/>
          <w:sz w:val="24"/>
          <w:szCs w:val="24"/>
          <w:lang w:val="en-US" w:eastAsia="zh-CN"/>
        </w:rPr>
        <w:t>6.2.1初步评审</w:t>
      </w:r>
    </w:p>
    <w:p w14:paraId="1183C54C">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14:paraId="48597B21">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14:paraId="593CAFB4">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14:paraId="3B3A2A9E">
      <w:pPr>
        <w:pStyle w:val="3"/>
        <w:pageBreakBefore w:val="0"/>
        <w:kinsoku/>
        <w:overflowPunct/>
        <w:autoSpaceDE/>
        <w:autoSpaceDN/>
        <w:bidi w:val="0"/>
        <w:spacing w:line="400" w:lineRule="exact"/>
        <w:rPr>
          <w:rFonts w:hint="eastAsia" w:ascii="宋体" w:hAnsi="宋体" w:eastAsia="宋体" w:cs="宋体"/>
          <w:color w:val="auto"/>
          <w:lang w:eastAsia="zh-CN"/>
        </w:rPr>
      </w:pPr>
      <w:bookmarkStart w:id="44" w:name="_Toc29411"/>
      <w:bookmarkStart w:id="45" w:name="_Toc456291274"/>
      <w:bookmarkStart w:id="46" w:name="_Toc456291531"/>
      <w:bookmarkStart w:id="47" w:name="_Toc456291473"/>
      <w:bookmarkStart w:id="48" w:name="_Toc2"/>
      <w:bookmarkStart w:id="49" w:name="_Toc456291254"/>
      <w:bookmarkStart w:id="50" w:name="_Toc456291159"/>
      <w:bookmarkStart w:id="51" w:name="_Toc456291348"/>
      <w:r>
        <w:rPr>
          <w:rFonts w:hint="eastAsia" w:ascii="宋体" w:hAnsi="宋体" w:eastAsia="宋体" w:cs="宋体"/>
          <w:color w:val="auto"/>
          <w:lang w:eastAsia="zh-CN"/>
        </w:rPr>
        <w:t>七、推荐成交供应商</w:t>
      </w:r>
      <w:bookmarkEnd w:id="44"/>
      <w:bookmarkEnd w:id="45"/>
      <w:bookmarkEnd w:id="46"/>
      <w:bookmarkEnd w:id="47"/>
      <w:bookmarkEnd w:id="48"/>
      <w:bookmarkEnd w:id="49"/>
      <w:bookmarkEnd w:id="50"/>
      <w:bookmarkEnd w:id="51"/>
    </w:p>
    <w:p w14:paraId="12EF82C5">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7.1推荐成交供应商</w:t>
      </w:r>
    </w:p>
    <w:p w14:paraId="7CDB8015">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14:paraId="42211F3B">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53D31BA">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14:paraId="59563E9D">
      <w:pPr>
        <w:pStyle w:val="3"/>
        <w:pageBreakBefore w:val="0"/>
        <w:kinsoku/>
        <w:overflowPunct/>
        <w:autoSpaceDE/>
        <w:autoSpaceDN/>
        <w:bidi w:val="0"/>
        <w:spacing w:line="400" w:lineRule="exact"/>
        <w:rPr>
          <w:rFonts w:hint="eastAsia" w:ascii="宋体" w:hAnsi="宋体" w:eastAsia="宋体" w:cs="宋体"/>
          <w:b/>
          <w:color w:val="auto"/>
          <w:sz w:val="28"/>
          <w:szCs w:val="28"/>
          <w:highlight w:val="green"/>
        </w:rPr>
      </w:pPr>
      <w:r>
        <w:rPr>
          <w:rFonts w:hint="eastAsia" w:ascii="宋体" w:hAnsi="宋体" w:eastAsia="宋体" w:cs="宋体"/>
          <w:color w:val="auto"/>
          <w:lang w:eastAsia="zh-CN"/>
        </w:rPr>
        <w:t>八</w:t>
      </w:r>
      <w:r>
        <w:rPr>
          <w:rFonts w:hint="eastAsia" w:ascii="宋体" w:hAnsi="宋体" w:eastAsia="宋体" w:cs="宋体"/>
          <w:color w:val="auto"/>
        </w:rPr>
        <w:t>、</w:t>
      </w:r>
      <w:r>
        <w:rPr>
          <w:rFonts w:hint="eastAsia" w:ascii="宋体" w:hAnsi="宋体" w:eastAsia="宋体" w:cs="宋体"/>
          <w:color w:val="auto"/>
          <w:lang w:eastAsia="zh-CN"/>
        </w:rPr>
        <w:t>签订</w:t>
      </w:r>
      <w:r>
        <w:rPr>
          <w:rFonts w:hint="eastAsia" w:ascii="宋体" w:hAnsi="宋体" w:eastAsia="宋体" w:cs="宋体"/>
          <w:color w:val="auto"/>
        </w:rPr>
        <w:t>合同</w:t>
      </w:r>
      <w:bookmarkEnd w:id="38"/>
      <w:bookmarkEnd w:id="39"/>
      <w:bookmarkEnd w:id="40"/>
      <w:bookmarkEnd w:id="41"/>
      <w:bookmarkEnd w:id="42"/>
      <w:bookmarkEnd w:id="43"/>
    </w:p>
    <w:p w14:paraId="516B69B4">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8.1 签订合同</w:t>
      </w:r>
    </w:p>
    <w:p w14:paraId="275EFD08">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8.1.1采购人应在成交通知书发出后30日内，根据成交结果和磋商文件、响应文件及有关补遗文件和确认磋商备忘录拟定的合同文本与成交供应商签订项目合同。</w:t>
      </w:r>
    </w:p>
    <w:p w14:paraId="1170FD66">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8.1.2采购人应按磋商文件要求和中标人的响应文件承诺订立书面合同，不得超出磋商文件和中标人响应文件的范围，也不得再另行订立背离合同实质性内容的其他协议。</w:t>
      </w:r>
    </w:p>
    <w:p w14:paraId="07E84DA5">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8.1.3采购人应在《中标通知书》发出之日起30天内与中标人签订政府采购合同。签订政府采购合同后7个工作日内，采购人应将政府采购合同副本报政府采购监管部门备案。</w:t>
      </w:r>
    </w:p>
    <w:p w14:paraId="61473EC4">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14:paraId="51BB5C4C">
      <w:pPr>
        <w:pStyle w:val="3"/>
        <w:pageBreakBefore w:val="0"/>
        <w:kinsoku/>
        <w:overflowPunct/>
        <w:autoSpaceDE/>
        <w:autoSpaceDN/>
        <w:bidi w:val="0"/>
        <w:spacing w:line="400" w:lineRule="exact"/>
        <w:rPr>
          <w:rFonts w:hint="eastAsia" w:ascii="宋体" w:hAnsi="宋体" w:eastAsia="宋体" w:cs="宋体"/>
          <w:color w:val="auto"/>
          <w:lang w:eastAsia="zh-CN"/>
        </w:rPr>
      </w:pPr>
      <w:bookmarkStart w:id="52" w:name="_Toc456291256"/>
      <w:bookmarkStart w:id="53" w:name="_Toc456291350"/>
      <w:bookmarkStart w:id="54" w:name="_Toc7269"/>
      <w:bookmarkStart w:id="55" w:name="_Toc456291475"/>
      <w:bookmarkStart w:id="56" w:name="_Toc5694"/>
      <w:bookmarkStart w:id="57" w:name="_Toc456291161"/>
      <w:bookmarkStart w:id="58" w:name="_Toc456291276"/>
      <w:bookmarkStart w:id="59" w:name="_Toc456291533"/>
      <w:r>
        <w:rPr>
          <w:rFonts w:hint="eastAsia" w:ascii="宋体" w:hAnsi="宋体" w:eastAsia="宋体" w:cs="宋体"/>
          <w:color w:val="auto"/>
          <w:lang w:eastAsia="zh-CN"/>
        </w:rPr>
        <w:t>九、</w:t>
      </w:r>
      <w:bookmarkEnd w:id="52"/>
      <w:bookmarkEnd w:id="53"/>
      <w:bookmarkEnd w:id="54"/>
      <w:bookmarkEnd w:id="55"/>
      <w:bookmarkEnd w:id="56"/>
      <w:bookmarkEnd w:id="57"/>
      <w:bookmarkEnd w:id="58"/>
      <w:bookmarkEnd w:id="59"/>
      <w:r>
        <w:rPr>
          <w:rFonts w:hint="eastAsia" w:ascii="宋体" w:hAnsi="宋体" w:eastAsia="宋体" w:cs="宋体"/>
          <w:color w:val="auto"/>
          <w:lang w:eastAsia="zh-CN"/>
        </w:rPr>
        <w:t>询问、质疑、投诉</w:t>
      </w:r>
    </w:p>
    <w:p w14:paraId="2559D8CF">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bookmarkStart w:id="60" w:name="_Toc456291351"/>
      <w:bookmarkStart w:id="61" w:name="_Toc456291476"/>
      <w:bookmarkStart w:id="62" w:name="_Toc25716"/>
      <w:bookmarkStart w:id="63" w:name="_Toc456291257"/>
      <w:bookmarkStart w:id="64" w:name="_Toc456291162"/>
      <w:bookmarkStart w:id="65" w:name="_Toc456291534"/>
      <w:bookmarkStart w:id="66" w:name="_Toc456291277"/>
      <w:bookmarkStart w:id="67" w:name="_Toc11180"/>
      <w:r>
        <w:rPr>
          <w:rFonts w:hint="eastAsia" w:ascii="宋体" w:hAnsi="宋体" w:eastAsia="宋体" w:cs="宋体"/>
          <w:b/>
          <w:bCs/>
          <w:color w:val="auto"/>
          <w:kern w:val="0"/>
          <w:sz w:val="24"/>
          <w:szCs w:val="24"/>
          <w:lang w:val="en-US" w:eastAsia="zh-CN"/>
        </w:rPr>
        <w:t>9.1</w:t>
      </w:r>
      <w:r>
        <w:rPr>
          <w:rFonts w:hint="eastAsia" w:ascii="宋体" w:hAnsi="宋体" w:eastAsia="宋体" w:cs="宋体"/>
          <w:b/>
          <w:bCs/>
          <w:color w:val="auto"/>
          <w:kern w:val="0"/>
          <w:sz w:val="24"/>
          <w:szCs w:val="24"/>
          <w:lang w:val="zh-CN" w:eastAsia="zh-CN"/>
        </w:rPr>
        <w:t>在线询问、质疑、投诉</w:t>
      </w:r>
    </w:p>
    <w:p w14:paraId="1C49319B">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鼓励供应商在线提起询问，路径为：政采云-项目采购-询问质疑投诉-询问列表；鼓励供应商在线提起质疑，路径为：政采云-项目采购-询问质疑投诉-质疑列表。质疑供应商对在线质疑答复不满意的，可在线提起投诉，路径为：政采云-项目采购-询问质疑投诉-投诉列表。</w:t>
      </w:r>
    </w:p>
    <w:p w14:paraId="19C86140">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.2供应商询问</w:t>
      </w:r>
    </w:p>
    <w:p w14:paraId="3F287464">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7564FE">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.3供应商质疑</w:t>
      </w:r>
    </w:p>
    <w:p w14:paraId="376D208F">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.1提出质疑的供应商应当是参与所质疑项目采购活动的供应商。潜在供应商已依法获取其可质疑的</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的，可以对该文件提出质疑。</w:t>
      </w:r>
    </w:p>
    <w:p w14:paraId="417041F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.2供应商认为</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、采购过程和中标结果使自己的权益受到损害的，可以在知道或者应知其权益受到损害之日起七个工作日内，以书面形式向采购人或者采购代理机构提出质疑，否则，采购人或者采购代理机构不予受理：</w:t>
      </w:r>
    </w:p>
    <w:p w14:paraId="574B944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（1）对</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提出质疑的，质疑期限为供应商获得</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之日或者</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公告期限届满之日起计算。</w:t>
      </w:r>
    </w:p>
    <w:p w14:paraId="3238F86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（2）对采购过程提出质疑的，质疑期限为各采购程序环节结束之日起计算。</w:t>
      </w:r>
    </w:p>
    <w:p w14:paraId="58C23263">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（3）对采购结果提出质疑的，质疑期限自采购结果公告期限届满之日起计算。</w:t>
      </w:r>
    </w:p>
    <w:p w14:paraId="2DA38A82">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.3.3</w:t>
      </w:r>
      <w:r>
        <w:rPr>
          <w:rFonts w:hint="eastAsia" w:ascii="宋体" w:hAnsi="宋体" w:eastAsia="宋体" w:cs="宋体"/>
          <w:color w:val="auto"/>
          <w:sz w:val="24"/>
          <w:lang w:val="en-US" w:eastAsia="zh-CN"/>
        </w:rPr>
        <w:t>供应商提出质疑应当提交质疑函和必要的证明材料。质疑函应当包括下列内容：</w:t>
      </w:r>
    </w:p>
    <w:p w14:paraId="2B7E3153">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eastAsia="zh-CN"/>
        </w:rPr>
        <w:t>）供应商的姓名或者名称、地址、邮编、联系人及联系电话；</w:t>
      </w:r>
    </w:p>
    <w:p w14:paraId="6B22D4DE">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）质疑项目的名称、编号；</w:t>
      </w:r>
    </w:p>
    <w:p w14:paraId="769C973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）具体、明确的质疑事项和与质疑事项相关的请求；</w:t>
      </w:r>
    </w:p>
    <w:p w14:paraId="4611418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eastAsia="zh-CN"/>
        </w:rPr>
        <w:t>）事实依据；</w:t>
      </w:r>
    </w:p>
    <w:p w14:paraId="06F81E0F">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eastAsia="zh-CN"/>
        </w:rPr>
        <w:t>）必要的法律依据；</w:t>
      </w:r>
    </w:p>
    <w:p w14:paraId="0BDCC67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eastAsia="zh-CN"/>
        </w:rPr>
        <w:t>）提出质疑的日期。</w:t>
      </w:r>
    </w:p>
    <w:p w14:paraId="08DE42BB">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供应商提交的质疑函需一式三份。供应商为自然人的，应当由本人签字；供应商为法人或者其他组织的，应当由法定代表人、主要负责人，或者其授权代表签字或者盖章，并加盖公章。</w:t>
      </w:r>
    </w:p>
    <w:p w14:paraId="076361F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质疑函范本及制作说明详见附件1。</w:t>
      </w:r>
    </w:p>
    <w:p w14:paraId="77DC682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9.3.4对同一采购程序环节的质疑，供应商须在法定质疑期内一次性提出。</w:t>
      </w:r>
    </w:p>
    <w:p w14:paraId="6056E36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新疆政府采购网的“其他公告”栏目公开质疑答复，答复内容应当完整。质疑函作为附件上传。</w:t>
      </w:r>
    </w:p>
    <w:p w14:paraId="6D0529B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lang w:val="zh-CN" w:eastAsia="zh-CN"/>
        </w:rPr>
        <w:t>.3</w:t>
      </w:r>
      <w:r>
        <w:rPr>
          <w:rFonts w:hint="eastAsia" w:ascii="宋体" w:hAnsi="宋体" w:eastAsia="宋体" w:cs="宋体"/>
          <w:color w:val="auto"/>
          <w:sz w:val="24"/>
          <w:lang w:val="en-US" w:eastAsia="zh-CN"/>
        </w:rPr>
        <w:t>.6询问或者质疑事项可能影响采购结果的，采购人应当暂停签订合同，已经签订合同的，应当中止履行合同。</w:t>
      </w:r>
    </w:p>
    <w:p w14:paraId="0695BEF4">
      <w:pPr>
        <w:pStyle w:val="11"/>
        <w:pageBreakBefore w:val="0"/>
        <w:kinsoku/>
        <w:overflowPunct/>
        <w:autoSpaceDE/>
        <w:autoSpaceDN/>
        <w:bidi w:val="0"/>
        <w:spacing w:line="400" w:lineRule="exact"/>
        <w:ind w:firstLine="487" w:firstLineChars="202"/>
        <w:jc w:val="left"/>
        <w:rPr>
          <w:rFonts w:hint="eastAsia" w:ascii="宋体" w:hAnsi="宋体" w:eastAsia="宋体" w:cs="宋体"/>
          <w:b/>
          <w:bCs/>
          <w:color w:val="auto"/>
          <w:kern w:val="0"/>
          <w:sz w:val="24"/>
          <w:szCs w:val="24"/>
          <w:lang w:val="zh-CN" w:eastAsia="zh-CN"/>
        </w:rPr>
      </w:pPr>
      <w:r>
        <w:rPr>
          <w:rFonts w:hint="eastAsia" w:ascii="宋体" w:hAnsi="宋体" w:eastAsia="宋体" w:cs="宋体"/>
          <w:b/>
          <w:bCs/>
          <w:color w:val="auto"/>
          <w:kern w:val="0"/>
          <w:sz w:val="24"/>
          <w:szCs w:val="24"/>
          <w:lang w:val="en-US" w:eastAsia="zh-CN"/>
        </w:rPr>
        <w:t>9</w:t>
      </w:r>
      <w:r>
        <w:rPr>
          <w:rFonts w:hint="eastAsia" w:ascii="宋体" w:hAnsi="宋体" w:eastAsia="宋体" w:cs="宋体"/>
          <w:b/>
          <w:bCs/>
          <w:color w:val="auto"/>
          <w:kern w:val="0"/>
          <w:sz w:val="24"/>
          <w:szCs w:val="24"/>
          <w:lang w:val="zh-CN" w:eastAsia="zh-CN"/>
        </w:rPr>
        <w:t>.4供应商投诉</w:t>
      </w:r>
    </w:p>
    <w:p w14:paraId="62A0173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9.4.1质疑供应商对采购人、采购代理机构的答复不满意或者采购人、采购代理机构未在规定的时间内作出答复的，可以在答复期满后十五个工作日内向同级政府采购监督管理部门提出投诉。</w:t>
      </w:r>
    </w:p>
    <w:p w14:paraId="64FF5B1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w:t>
      </w:r>
      <w:r>
        <w:rPr>
          <w:rFonts w:hint="eastAsia" w:ascii="宋体" w:hAnsi="宋体" w:eastAsia="宋体" w:cs="宋体"/>
          <w:color w:val="auto"/>
          <w:sz w:val="24"/>
          <w:lang w:val="zh-CN" w:eastAsia="zh-CN"/>
        </w:rPr>
        <w:t>2</w:t>
      </w:r>
      <w:r>
        <w:rPr>
          <w:rFonts w:hint="eastAsia" w:ascii="宋体" w:hAnsi="宋体" w:eastAsia="宋体" w:cs="宋体"/>
          <w:color w:val="auto"/>
          <w:sz w:val="24"/>
          <w:lang w:val="en-US" w:eastAsia="zh-CN"/>
        </w:rPr>
        <w:t>供应商投诉的事项不得超出已质疑事项的范围，基于质疑答复内容提出的投诉事项除外。</w:t>
      </w:r>
    </w:p>
    <w:p w14:paraId="0E469A9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9.4.3供应商投诉应当有明确的请求和必要的证明材料。</w:t>
      </w:r>
    </w:p>
    <w:p w14:paraId="1DACA03F">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9.4.4 以联合体形式参加政府采购活动的，其投诉应当由组成联合体的所有供应商共同提出。</w:t>
      </w:r>
    </w:p>
    <w:p w14:paraId="4408D14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投诉书范本及制作说明详见附件2。</w:t>
      </w:r>
    </w:p>
    <w:p w14:paraId="68BDE2D8">
      <w:pPr>
        <w:pStyle w:val="3"/>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十、</w:t>
      </w:r>
      <w:bookmarkEnd w:id="60"/>
      <w:bookmarkEnd w:id="61"/>
      <w:bookmarkEnd w:id="62"/>
      <w:bookmarkEnd w:id="63"/>
      <w:bookmarkEnd w:id="64"/>
      <w:bookmarkEnd w:id="65"/>
      <w:bookmarkEnd w:id="66"/>
      <w:bookmarkEnd w:id="67"/>
      <w:r>
        <w:rPr>
          <w:rFonts w:hint="eastAsia" w:ascii="宋体" w:hAnsi="宋体" w:eastAsia="宋体" w:cs="宋体"/>
          <w:color w:val="auto"/>
          <w:lang w:eastAsia="zh-CN"/>
        </w:rPr>
        <w:t>纪律要求</w:t>
      </w:r>
    </w:p>
    <w:p w14:paraId="292B7848">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14:paraId="4A66F4A2">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采购人不得泄露磋商采购活动中应当保密的情况和资料，不得与供应商串通损害国家利益、社会公共利益或者他人合法权益。</w:t>
      </w:r>
    </w:p>
    <w:p w14:paraId="6824F6AD">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14:paraId="7DC9A58C">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供应商不得相互串通或者与采购人串通，不得向采购人或者磋商小组成员行贿谋取成交，不得以他人名义参加磋商采购活动或者以其他方式弄虚作假骗取成交；供应商不得以任何方式干扰、影响评审工作。</w:t>
      </w:r>
    </w:p>
    <w:p w14:paraId="796E528D">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10.3对磋商小组成员的纪律要求</w:t>
      </w:r>
    </w:p>
    <w:p w14:paraId="5609B679">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14:paraId="755A9743">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10.4对与磋商活动有关的工作人员的纪律要求</w:t>
      </w:r>
    </w:p>
    <w:p w14:paraId="4853B2D4">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w:t>
      </w:r>
      <w:r>
        <w:rPr>
          <w:rFonts w:hint="eastAsia" w:ascii="宋体" w:hAnsi="宋体" w:eastAsia="宋体" w:cs="宋体"/>
          <w:color w:val="auto"/>
          <w:kern w:val="2"/>
          <w:sz w:val="24"/>
          <w:szCs w:val="24"/>
          <w:lang w:val="en-US" w:eastAsia="zh-CN" w:bidi="ar-SA"/>
        </w:rPr>
        <w:t xml:space="preserve">  </w:t>
      </w:r>
    </w:p>
    <w:p w14:paraId="455E70F2">
      <w:pPr>
        <w:spacing w:line="500" w:lineRule="exact"/>
        <w:jc w:val="center"/>
        <w:outlineLvl w:val="1"/>
        <w:rPr>
          <w:rFonts w:hint="eastAsia" w:ascii="宋体" w:hAnsi="宋体" w:eastAsia="宋体" w:cs="宋体"/>
          <w:b/>
          <w:color w:val="auto"/>
          <w:kern w:val="2"/>
          <w:sz w:val="32"/>
          <w:szCs w:val="28"/>
          <w:lang w:val="en-US" w:eastAsia="zh-CN" w:bidi="ar-SA"/>
        </w:rPr>
      </w:pPr>
      <w:bookmarkStart w:id="68" w:name="_Toc31537"/>
      <w:r>
        <w:rPr>
          <w:rFonts w:hint="eastAsia" w:ascii="宋体" w:hAnsi="宋体" w:eastAsia="宋体" w:cs="宋体"/>
          <w:b/>
          <w:color w:val="auto"/>
          <w:kern w:val="2"/>
          <w:sz w:val="32"/>
          <w:szCs w:val="28"/>
          <w:lang w:val="en-US" w:eastAsia="zh-CN" w:bidi="ar-SA"/>
        </w:rPr>
        <w:t>十一、采购项目需要落实的政府采购政策</w:t>
      </w:r>
      <w:bookmarkEnd w:id="68"/>
    </w:p>
    <w:p w14:paraId="19D42E8A">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7497422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 支持绿色发展</w:t>
      </w:r>
    </w:p>
    <w:p w14:paraId="10400CF1">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须按</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要求提供相关产品认证证书。采购人拟采购的产品属于政府强制采购的节能产品品目清单范围的，</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相应的投标产品未获得国家确定的认证机构出具的、处于有效期之内的节能产品认证证书的，</w:t>
      </w:r>
      <w:r>
        <w:rPr>
          <w:rFonts w:hint="eastAsia" w:ascii="宋体" w:hAnsi="宋体" w:eastAsia="宋体" w:cs="宋体"/>
          <w:b/>
          <w:bCs/>
          <w:i/>
          <w:iCs/>
          <w:color w:val="auto"/>
          <w:sz w:val="24"/>
          <w:lang w:val="en-US" w:eastAsia="zh-CN"/>
        </w:rPr>
        <w:t>投标无效</w:t>
      </w:r>
      <w:r>
        <w:rPr>
          <w:rFonts w:hint="eastAsia" w:ascii="宋体" w:hAnsi="宋体" w:eastAsia="宋体" w:cs="宋体"/>
          <w:color w:val="auto"/>
          <w:sz w:val="24"/>
          <w:lang w:val="en-US" w:eastAsia="zh-CN"/>
        </w:rPr>
        <w:t>。</w:t>
      </w:r>
    </w:p>
    <w:p w14:paraId="7B538593">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11.2.2 纳入政府采购管理的修缮、装修类项目采购建材的，鼓励采购单位将绿色建材性能、指标等作为实质性条件纳入采购文件和合同，具体性能指标要求参考相关绿色建材政府采购需求标准。</w:t>
      </w:r>
    </w:p>
    <w:p w14:paraId="18342F30">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4348DF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C4149B4">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11.3支持中小企业发展</w:t>
      </w:r>
    </w:p>
    <w:p w14:paraId="1D7E485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11.3.1中小企业，是指在中华人民共和国境内依法设立，依据国务院批准的中小企业划分标准确定的中型企业、小型企业和微型企业，但与大企业的负责人为同一人，或者与大企业存在直接控股、管理关系的除外。</w:t>
      </w:r>
    </w:p>
    <w:p w14:paraId="3121AA9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符合中小企业划分标准的个体工商户，在政府采购活动中视同中小企业。</w:t>
      </w:r>
    </w:p>
    <w:p w14:paraId="32B0C594">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11.3.2在政府采购活动中，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提供的货物既有中小企业制造货物，也有大型企业制造货物的，不享受中小企业扶持政策。</w:t>
      </w:r>
    </w:p>
    <w:p w14:paraId="4466383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以联合体形式参加政府采购活动，联合体各方均为中小企业的，联合体视同中小企业。其中，联合体各方均为小微企业的，联合体视同小微企业。</w:t>
      </w:r>
    </w:p>
    <w:p w14:paraId="00E44497">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11.3.3对于未预留份额专门面向中小企业的政府采购货物项目，以及预留份额政府采购货物项目中的非预留部分标项，对小型和微</w:t>
      </w:r>
      <w:r>
        <w:rPr>
          <w:rFonts w:hint="eastAsia" w:ascii="宋体" w:hAnsi="宋体" w:eastAsia="宋体" w:cs="宋体"/>
          <w:color w:val="auto"/>
          <w:sz w:val="24"/>
          <w:highlight w:val="none"/>
          <w:lang w:val="en-US" w:eastAsia="zh-CN"/>
        </w:rPr>
        <w:t>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D395266">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11.3.4符合《关于促进残疾人就业政府采购政策的通知》（财库〔2017〕141号）规定的条件并提供《残疾人福利性单位声明函》的残疾人福利性单位视同小型、微型企业；</w:t>
      </w:r>
    </w:p>
    <w:p w14:paraId="455DF384">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11.3.5符合《关于政府采购支持监狱企业发展有关问题的通知》（财库[</w:t>
      </w:r>
      <w:r>
        <w:rPr>
          <w:rFonts w:hint="eastAsia" w:ascii="宋体" w:hAnsi="宋体" w:eastAsia="宋体" w:cs="宋体"/>
          <w:color w:val="auto"/>
          <w:sz w:val="24"/>
          <w:lang w:val="en-US" w:eastAsia="zh-CN"/>
        </w:rPr>
        <w:t>2014]68号）规定的监狱企业并提供由省级以上监狱管理局、戒毒管理局（含新疆生产建设兵团）出具的属于监狱企业证明文件的，视同为小型、微型企业。</w:t>
      </w:r>
    </w:p>
    <w:p w14:paraId="7FF87508">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11.3.6可享受中小企业扶持政策的</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应按照</w:t>
      </w:r>
      <w:r>
        <w:rPr>
          <w:rFonts w:hint="eastAsia" w:ascii="宋体" w:hAnsi="宋体" w:cs="宋体"/>
          <w:color w:val="auto"/>
          <w:sz w:val="24"/>
          <w:lang w:val="en-US" w:eastAsia="zh-CN"/>
        </w:rPr>
        <w:t>磋商文件</w:t>
      </w:r>
      <w:r>
        <w:rPr>
          <w:rFonts w:hint="eastAsia" w:ascii="宋体" w:hAnsi="宋体" w:eastAsia="宋体" w:cs="宋体"/>
          <w:color w:val="auto"/>
          <w:sz w:val="24"/>
          <w:lang w:val="en-US" w:eastAsia="zh-CN"/>
        </w:rPr>
        <w:t>格式要求提供《中小企业声明函》，</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提供的《中小企业声明函》与实际情况不符的，不享受中小企业扶持政策。声明内容不实的，属于提供虚假材料谋取中标、成交的，依法承担法律责任。</w:t>
      </w:r>
    </w:p>
    <w:p w14:paraId="0116276A">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11.3.7中小企业享受扶持政策获得政府采购合同的，小微企业不得将合同分包给大中型企业，中型企业不得将合同分包给大型企业。</w:t>
      </w:r>
    </w:p>
    <w:p w14:paraId="209D369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11.4支持创新发展</w:t>
      </w:r>
    </w:p>
    <w:p w14:paraId="62CF43F9">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11.4.1采购人优先采购被认定为首台套产品和“制造精品”的自主创新产品。</w:t>
      </w:r>
    </w:p>
    <w:p w14:paraId="24F6A325">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A82CDED">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11.5平等对待内外资企业和符合条件的破产重整企业</w:t>
      </w:r>
    </w:p>
    <w:p w14:paraId="02FC87A2">
      <w:pPr>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平等对待内外资企业和符合条件的破产重整企业，切实保障企业公平竞争，平等维护企业的合法利益。</w:t>
      </w:r>
    </w:p>
    <w:p w14:paraId="1946B329">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14:paraId="71EFE717">
      <w:pPr>
        <w:pStyle w:val="3"/>
        <w:pageBreakBefore w:val="0"/>
        <w:kinsoku/>
        <w:overflowPunct/>
        <w:autoSpaceDE/>
        <w:autoSpaceDN/>
        <w:bidi w:val="0"/>
        <w:spacing w:line="400" w:lineRule="exact"/>
        <w:rPr>
          <w:rFonts w:hint="eastAsia" w:ascii="宋体" w:hAnsi="宋体" w:eastAsia="宋体" w:cs="宋体"/>
          <w:color w:val="auto"/>
          <w:lang w:eastAsia="zh-CN"/>
        </w:rPr>
      </w:pPr>
      <w:r>
        <w:rPr>
          <w:rFonts w:hint="eastAsia" w:ascii="宋体" w:hAnsi="宋体" w:eastAsia="宋体" w:cs="宋体"/>
          <w:color w:val="auto"/>
          <w:lang w:eastAsia="zh-CN"/>
        </w:rPr>
        <w:t>十</w:t>
      </w:r>
      <w:r>
        <w:rPr>
          <w:rFonts w:hint="eastAsia" w:ascii="宋体" w:hAnsi="宋体" w:eastAsia="宋体" w:cs="宋体"/>
          <w:color w:val="auto"/>
          <w:lang w:val="en-US" w:eastAsia="zh-CN"/>
        </w:rPr>
        <w:t>二</w:t>
      </w:r>
      <w:r>
        <w:rPr>
          <w:rFonts w:hint="eastAsia" w:ascii="宋体" w:hAnsi="宋体" w:eastAsia="宋体" w:cs="宋体"/>
          <w:color w:val="auto"/>
          <w:lang w:eastAsia="zh-CN"/>
        </w:rPr>
        <w:t>、需要补充的其他内容</w:t>
      </w:r>
    </w:p>
    <w:p w14:paraId="5AB12811">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需要补充的其他内容：详见供应商须知前附表。</w:t>
      </w:r>
    </w:p>
    <w:p w14:paraId="59092F08">
      <w:pPr>
        <w:rPr>
          <w:rFonts w:hint="eastAsia" w:ascii="宋体" w:hAnsi="宋体" w:eastAsia="宋体" w:cs="宋体"/>
          <w:color w:val="auto"/>
          <w:sz w:val="28"/>
          <w:highlight w:val="cyan"/>
        </w:rPr>
      </w:pPr>
    </w:p>
    <w:p w14:paraId="68AFFF08">
      <w:pPr>
        <w:pStyle w:val="32"/>
        <w:rPr>
          <w:rFonts w:hint="eastAsia" w:ascii="宋体" w:hAnsi="宋体" w:eastAsia="宋体" w:cs="宋体"/>
          <w:color w:val="auto"/>
          <w:sz w:val="28"/>
          <w:highlight w:val="cyan"/>
        </w:rPr>
      </w:pPr>
    </w:p>
    <w:p w14:paraId="69FCF3CB">
      <w:pPr>
        <w:pStyle w:val="32"/>
        <w:rPr>
          <w:rFonts w:hint="eastAsia" w:ascii="宋体" w:hAnsi="宋体" w:eastAsia="宋体" w:cs="宋体"/>
          <w:color w:val="auto"/>
          <w:sz w:val="28"/>
          <w:highlight w:val="cyan"/>
        </w:rPr>
      </w:pPr>
    </w:p>
    <w:p w14:paraId="465D95FE">
      <w:pPr>
        <w:pStyle w:val="32"/>
        <w:rPr>
          <w:rFonts w:hint="eastAsia" w:ascii="宋体" w:hAnsi="宋体" w:eastAsia="宋体" w:cs="宋体"/>
          <w:color w:val="auto"/>
          <w:sz w:val="28"/>
          <w:highlight w:val="cyan"/>
        </w:rPr>
      </w:pPr>
    </w:p>
    <w:p w14:paraId="128ED4BB">
      <w:pPr>
        <w:pStyle w:val="32"/>
        <w:rPr>
          <w:rFonts w:hint="eastAsia" w:ascii="宋体" w:hAnsi="宋体" w:eastAsia="宋体" w:cs="宋体"/>
          <w:color w:val="auto"/>
          <w:sz w:val="28"/>
          <w:highlight w:val="cyan"/>
        </w:rPr>
      </w:pPr>
    </w:p>
    <w:p w14:paraId="2B027E8B">
      <w:pPr>
        <w:pStyle w:val="32"/>
        <w:rPr>
          <w:rFonts w:hint="eastAsia" w:ascii="宋体" w:hAnsi="宋体" w:eastAsia="宋体" w:cs="宋体"/>
          <w:color w:val="auto"/>
          <w:sz w:val="28"/>
          <w:highlight w:val="cyan"/>
        </w:rPr>
      </w:pPr>
    </w:p>
    <w:p w14:paraId="22799336">
      <w:pPr>
        <w:pStyle w:val="32"/>
        <w:rPr>
          <w:rFonts w:hint="eastAsia" w:ascii="宋体" w:hAnsi="宋体" w:eastAsia="宋体" w:cs="宋体"/>
          <w:color w:val="auto"/>
          <w:sz w:val="28"/>
          <w:highlight w:val="cyan"/>
        </w:rPr>
      </w:pPr>
    </w:p>
    <w:p w14:paraId="4F26D81B">
      <w:pPr>
        <w:pStyle w:val="32"/>
        <w:ind w:left="0" w:leftChars="0" w:firstLine="0" w:firstLineChars="0"/>
        <w:rPr>
          <w:rFonts w:hint="eastAsia" w:ascii="宋体" w:hAnsi="宋体" w:eastAsia="宋体" w:cs="宋体"/>
          <w:color w:val="auto"/>
          <w:sz w:val="28"/>
          <w:highlight w:val="cyan"/>
        </w:rPr>
      </w:pPr>
    </w:p>
    <w:p w14:paraId="599869C6">
      <w:pPr>
        <w:pStyle w:val="32"/>
        <w:ind w:left="0" w:leftChars="0" w:firstLine="0" w:firstLineChars="0"/>
        <w:rPr>
          <w:rFonts w:hint="eastAsia" w:ascii="宋体" w:hAnsi="宋体" w:eastAsia="宋体" w:cs="宋体"/>
          <w:color w:val="auto"/>
          <w:sz w:val="28"/>
          <w:highlight w:val="cyan"/>
        </w:rPr>
      </w:pPr>
    </w:p>
    <w:p w14:paraId="1652EEEE">
      <w:pPr>
        <w:pStyle w:val="32"/>
        <w:ind w:left="0" w:leftChars="0" w:firstLine="0" w:firstLineChars="0"/>
        <w:rPr>
          <w:rFonts w:hint="eastAsia" w:ascii="宋体" w:hAnsi="宋体" w:eastAsia="宋体" w:cs="宋体"/>
          <w:color w:val="auto"/>
          <w:sz w:val="28"/>
          <w:highlight w:val="cyan"/>
        </w:rPr>
      </w:pPr>
    </w:p>
    <w:p w14:paraId="2BB62906">
      <w:pPr>
        <w:pStyle w:val="32"/>
        <w:ind w:left="0" w:leftChars="0" w:firstLine="0" w:firstLineChars="0"/>
        <w:rPr>
          <w:rFonts w:hint="eastAsia" w:ascii="宋体" w:hAnsi="宋体" w:eastAsia="宋体" w:cs="宋体"/>
          <w:color w:val="auto"/>
          <w:sz w:val="28"/>
          <w:highlight w:val="cyan"/>
        </w:rPr>
      </w:pPr>
    </w:p>
    <w:p w14:paraId="222B684F">
      <w:pPr>
        <w:pStyle w:val="32"/>
        <w:ind w:left="0" w:leftChars="0" w:firstLine="0" w:firstLineChars="0"/>
        <w:rPr>
          <w:rFonts w:hint="eastAsia" w:ascii="宋体" w:hAnsi="宋体" w:eastAsia="宋体" w:cs="宋体"/>
          <w:color w:val="auto"/>
          <w:sz w:val="28"/>
          <w:highlight w:val="cyan"/>
        </w:rPr>
      </w:pPr>
    </w:p>
    <w:p w14:paraId="78CDCB80">
      <w:pPr>
        <w:pStyle w:val="32"/>
        <w:ind w:left="0" w:leftChars="0" w:firstLine="0" w:firstLineChars="0"/>
        <w:rPr>
          <w:rFonts w:hint="eastAsia" w:ascii="宋体" w:hAnsi="宋体" w:eastAsia="宋体" w:cs="宋体"/>
          <w:color w:val="auto"/>
          <w:sz w:val="28"/>
          <w:highlight w:val="cyan"/>
        </w:rPr>
      </w:pPr>
    </w:p>
    <w:p w14:paraId="1B766AC3">
      <w:pPr>
        <w:pStyle w:val="32"/>
        <w:ind w:left="0" w:leftChars="0" w:firstLine="0" w:firstLineChars="0"/>
        <w:rPr>
          <w:rFonts w:hint="eastAsia" w:ascii="宋体" w:hAnsi="宋体" w:eastAsia="宋体" w:cs="宋体"/>
          <w:color w:val="auto"/>
          <w:sz w:val="28"/>
          <w:highlight w:val="cyan"/>
        </w:rPr>
      </w:pPr>
    </w:p>
    <w:p w14:paraId="209E6192">
      <w:pPr>
        <w:pStyle w:val="32"/>
        <w:ind w:left="0" w:leftChars="0" w:firstLine="0" w:firstLineChars="0"/>
        <w:rPr>
          <w:rFonts w:hint="eastAsia" w:ascii="宋体" w:hAnsi="宋体" w:eastAsia="宋体" w:cs="宋体"/>
          <w:color w:val="auto"/>
          <w:sz w:val="28"/>
          <w:highlight w:val="cyan"/>
        </w:rPr>
      </w:pPr>
    </w:p>
    <w:p w14:paraId="374131C4">
      <w:pPr>
        <w:pStyle w:val="32"/>
        <w:ind w:left="0" w:leftChars="0" w:firstLine="0" w:firstLineChars="0"/>
        <w:rPr>
          <w:rFonts w:hint="eastAsia" w:ascii="宋体" w:hAnsi="宋体" w:eastAsia="宋体" w:cs="宋体"/>
          <w:color w:val="auto"/>
          <w:sz w:val="28"/>
          <w:highlight w:val="cyan"/>
        </w:rPr>
      </w:pPr>
    </w:p>
    <w:p w14:paraId="61BA7B64">
      <w:pPr>
        <w:pStyle w:val="32"/>
        <w:ind w:left="0" w:leftChars="0" w:firstLine="0" w:firstLineChars="0"/>
        <w:rPr>
          <w:rFonts w:hint="eastAsia" w:ascii="宋体" w:hAnsi="宋体" w:eastAsia="宋体" w:cs="宋体"/>
          <w:color w:val="auto"/>
          <w:sz w:val="28"/>
          <w:highlight w:val="cyan"/>
        </w:rPr>
      </w:pPr>
    </w:p>
    <w:p w14:paraId="1CF8B99B">
      <w:pPr>
        <w:pStyle w:val="32"/>
        <w:ind w:left="0" w:leftChars="0" w:firstLine="0" w:firstLineChars="0"/>
        <w:rPr>
          <w:rFonts w:hint="eastAsia" w:ascii="宋体" w:hAnsi="宋体" w:eastAsia="宋体" w:cs="宋体"/>
          <w:color w:val="auto"/>
          <w:sz w:val="28"/>
          <w:highlight w:val="cyan"/>
        </w:rPr>
      </w:pPr>
    </w:p>
    <w:p w14:paraId="016B1BAC">
      <w:pPr>
        <w:pStyle w:val="32"/>
        <w:ind w:left="0" w:leftChars="0" w:firstLine="0" w:firstLineChars="0"/>
        <w:rPr>
          <w:rFonts w:hint="eastAsia" w:ascii="宋体" w:hAnsi="宋体" w:eastAsia="宋体" w:cs="宋体"/>
          <w:color w:val="auto"/>
          <w:sz w:val="28"/>
          <w:highlight w:val="cyan"/>
        </w:rPr>
      </w:pPr>
    </w:p>
    <w:p w14:paraId="4DAA63F0">
      <w:pPr>
        <w:pStyle w:val="32"/>
        <w:ind w:left="0" w:leftChars="0" w:firstLine="0" w:firstLineChars="0"/>
        <w:rPr>
          <w:rFonts w:hint="eastAsia" w:ascii="宋体" w:hAnsi="宋体" w:eastAsia="宋体" w:cs="宋体"/>
          <w:color w:val="auto"/>
          <w:sz w:val="28"/>
          <w:highlight w:val="cyan"/>
        </w:rPr>
      </w:pPr>
    </w:p>
    <w:p w14:paraId="753CE572">
      <w:pPr>
        <w:pStyle w:val="32"/>
        <w:ind w:left="0" w:leftChars="0" w:firstLine="0" w:firstLineChars="0"/>
        <w:rPr>
          <w:rFonts w:hint="eastAsia" w:ascii="宋体" w:hAnsi="宋体" w:eastAsia="宋体" w:cs="宋体"/>
          <w:color w:val="auto"/>
          <w:sz w:val="28"/>
          <w:highlight w:val="cyan"/>
        </w:rPr>
      </w:pPr>
    </w:p>
    <w:p w14:paraId="63964C04">
      <w:pPr>
        <w:rPr>
          <w:rFonts w:hint="eastAsia"/>
        </w:rPr>
      </w:pPr>
    </w:p>
    <w:p w14:paraId="46ABC583">
      <w:pPr>
        <w:pStyle w:val="15"/>
        <w:rPr>
          <w:rFonts w:hint="eastAsia"/>
        </w:rPr>
      </w:pPr>
    </w:p>
    <w:p w14:paraId="22760D66">
      <w:pPr>
        <w:pStyle w:val="15"/>
        <w:rPr>
          <w:rFonts w:hint="eastAsia"/>
        </w:rPr>
      </w:pPr>
    </w:p>
    <w:p w14:paraId="5B4403EB">
      <w:pPr>
        <w:pStyle w:val="8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p>
    <w:p w14:paraId="1788B7C4">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14:paraId="2342220B">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w:t>
      </w:r>
      <w:r>
        <w:rPr>
          <w:rFonts w:hint="eastAsia" w:ascii="宋体" w:hAnsi="宋体" w:eastAsia="宋体" w:cs="宋体"/>
          <w:bCs/>
          <w:color w:val="auto"/>
          <w:sz w:val="24"/>
          <w:szCs w:val="24"/>
          <w:lang w:eastAsia="zh-CN"/>
        </w:rPr>
        <w:t>供应商</w:t>
      </w:r>
      <w:r>
        <w:rPr>
          <w:rFonts w:hint="eastAsia" w:ascii="宋体" w:hAnsi="宋体" w:eastAsia="宋体" w:cs="宋体"/>
          <w:bCs/>
          <w:color w:val="auto"/>
          <w:sz w:val="24"/>
          <w:szCs w:val="24"/>
        </w:rPr>
        <w:t>基本信息</w:t>
      </w:r>
    </w:p>
    <w:p w14:paraId="6FFA0446">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dotted"/>
        </w:rPr>
        <w:t xml:space="preserve">                                                              </w:t>
      </w:r>
    </w:p>
    <w:p w14:paraId="62B6CF3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665F0154">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2490D554">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726F21E8">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73D5363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6DFCE49C">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14:paraId="3F55FCC5">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6D0F5422">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08F6D3EA">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名称：</w:t>
      </w:r>
      <w:r>
        <w:rPr>
          <w:rFonts w:hint="eastAsia" w:ascii="宋体" w:hAnsi="宋体" w:eastAsia="宋体" w:cs="宋体"/>
          <w:color w:val="auto"/>
          <w:sz w:val="24"/>
          <w:szCs w:val="24"/>
          <w:u w:val="dotted"/>
        </w:rPr>
        <w:t xml:space="preserve">                                                              </w:t>
      </w:r>
    </w:p>
    <w:p w14:paraId="071BB12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7425DA26">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14:paraId="4C9C658C">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03BA6522">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3074314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089F10CF">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542F428F">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2CD95490">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03DCBC83">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25D1686">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14:paraId="4AD4ACE7">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08111AE5">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7302071F">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14:paraId="3C1431C8">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14:paraId="564F7DEF">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提出质疑时，应提交质疑函和必要的证明材料。</w:t>
      </w:r>
    </w:p>
    <w:p w14:paraId="452495CE">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若委托代理人进行质疑的，质疑函应按要求列明“授权代表”的有关内容，并在附件中提交由质疑</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签署的授权委托书。授权委托书应载明代理人的姓名或者名称、代理事项、具体权限、期限和相关事项。</w:t>
      </w:r>
    </w:p>
    <w:p w14:paraId="0DC4C62C">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若对项目的某一分包进行质疑，质疑函中应列明具体分包号。</w:t>
      </w:r>
    </w:p>
    <w:p w14:paraId="510309BA">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14:paraId="7DCDF51C">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14:paraId="37C2187E">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为自然人的，质疑函应由本人签字；质疑</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为法人或者其他组织的，质疑函应由法定代表人、主要负责人，或者其授权代表签字或者盖章，并加盖公章。</w:t>
      </w:r>
    </w:p>
    <w:p w14:paraId="723BD6E6">
      <w:pPr>
        <w:rPr>
          <w:rFonts w:hint="eastAsia" w:ascii="宋体" w:hAnsi="宋体" w:eastAsia="宋体" w:cs="宋体"/>
          <w:color w:val="auto"/>
        </w:rPr>
      </w:pPr>
    </w:p>
    <w:p w14:paraId="4AAE0F8D">
      <w:pPr>
        <w:rPr>
          <w:rFonts w:hint="eastAsia" w:ascii="宋体" w:hAnsi="宋体" w:eastAsia="宋体" w:cs="宋体"/>
          <w:color w:val="auto"/>
        </w:rPr>
      </w:pPr>
    </w:p>
    <w:p w14:paraId="1714C5E0">
      <w:pPr>
        <w:rPr>
          <w:rFonts w:hint="eastAsia" w:ascii="宋体" w:hAnsi="宋体" w:eastAsia="宋体" w:cs="宋体"/>
          <w:color w:val="auto"/>
        </w:rPr>
      </w:pPr>
    </w:p>
    <w:p w14:paraId="1E3E01F0">
      <w:pPr>
        <w:rPr>
          <w:rFonts w:hint="eastAsia" w:ascii="宋体" w:hAnsi="宋体" w:eastAsia="宋体" w:cs="宋体"/>
          <w:color w:val="auto"/>
        </w:rPr>
      </w:pPr>
    </w:p>
    <w:p w14:paraId="4064BB5E">
      <w:pPr>
        <w:rPr>
          <w:rFonts w:hint="eastAsia" w:ascii="宋体" w:hAnsi="宋体" w:eastAsia="宋体" w:cs="宋体"/>
          <w:color w:val="auto"/>
        </w:rPr>
      </w:pPr>
    </w:p>
    <w:p w14:paraId="33966442">
      <w:pPr>
        <w:rPr>
          <w:rFonts w:hint="eastAsia" w:ascii="宋体" w:hAnsi="宋体" w:eastAsia="宋体" w:cs="宋体"/>
          <w:color w:val="auto"/>
        </w:rPr>
      </w:pPr>
    </w:p>
    <w:p w14:paraId="6F1B9E26">
      <w:pPr>
        <w:rPr>
          <w:rFonts w:hint="eastAsia" w:ascii="宋体" w:hAnsi="宋体" w:eastAsia="宋体" w:cs="宋体"/>
          <w:color w:val="auto"/>
        </w:rPr>
      </w:pPr>
    </w:p>
    <w:p w14:paraId="66266AD0">
      <w:pPr>
        <w:rPr>
          <w:rFonts w:hint="eastAsia" w:ascii="宋体" w:hAnsi="宋体" w:eastAsia="宋体" w:cs="宋体"/>
          <w:color w:val="auto"/>
        </w:rPr>
      </w:pPr>
    </w:p>
    <w:p w14:paraId="3C6C4034">
      <w:pPr>
        <w:rPr>
          <w:rFonts w:hint="eastAsia" w:ascii="宋体" w:hAnsi="宋体" w:eastAsia="宋体" w:cs="宋体"/>
          <w:color w:val="auto"/>
        </w:rPr>
      </w:pPr>
    </w:p>
    <w:p w14:paraId="45A12496">
      <w:pPr>
        <w:rPr>
          <w:rFonts w:hint="eastAsia" w:ascii="宋体" w:hAnsi="宋体" w:eastAsia="宋体" w:cs="宋体"/>
          <w:color w:val="auto"/>
        </w:rPr>
      </w:pPr>
    </w:p>
    <w:p w14:paraId="4CAE2B9A">
      <w:pPr>
        <w:rPr>
          <w:rFonts w:hint="eastAsia" w:ascii="宋体" w:hAnsi="宋体" w:eastAsia="宋体" w:cs="宋体"/>
          <w:color w:val="auto"/>
        </w:rPr>
      </w:pPr>
    </w:p>
    <w:p w14:paraId="4B958C53">
      <w:pPr>
        <w:rPr>
          <w:rFonts w:hint="eastAsia" w:ascii="宋体" w:hAnsi="宋体" w:eastAsia="宋体" w:cs="宋体"/>
          <w:color w:val="auto"/>
        </w:rPr>
      </w:pPr>
    </w:p>
    <w:p w14:paraId="7E490E1D">
      <w:pPr>
        <w:rPr>
          <w:rFonts w:hint="eastAsia" w:ascii="宋体" w:hAnsi="宋体" w:eastAsia="宋体" w:cs="宋体"/>
          <w:color w:val="auto"/>
        </w:rPr>
      </w:pPr>
    </w:p>
    <w:p w14:paraId="1A9E15BC">
      <w:pPr>
        <w:rPr>
          <w:rFonts w:hint="eastAsia" w:ascii="宋体" w:hAnsi="宋体" w:eastAsia="宋体" w:cs="宋体"/>
          <w:color w:val="auto"/>
        </w:rPr>
      </w:pPr>
    </w:p>
    <w:p w14:paraId="27CAFBA6">
      <w:pPr>
        <w:rPr>
          <w:rFonts w:hint="eastAsia" w:ascii="宋体" w:hAnsi="宋体" w:eastAsia="宋体" w:cs="宋体"/>
          <w:color w:val="auto"/>
        </w:rPr>
      </w:pPr>
    </w:p>
    <w:p w14:paraId="44999DE9">
      <w:pPr>
        <w:rPr>
          <w:rFonts w:hint="eastAsia" w:ascii="宋体" w:hAnsi="宋体" w:eastAsia="宋体" w:cs="宋体"/>
          <w:color w:val="auto"/>
        </w:rPr>
      </w:pPr>
    </w:p>
    <w:p w14:paraId="676A0AC8">
      <w:pPr>
        <w:rPr>
          <w:rFonts w:hint="eastAsia" w:ascii="宋体" w:hAnsi="宋体" w:eastAsia="宋体" w:cs="宋体"/>
          <w:color w:val="auto"/>
        </w:rPr>
      </w:pPr>
    </w:p>
    <w:p w14:paraId="30FF3B0F">
      <w:pPr>
        <w:rPr>
          <w:rFonts w:hint="eastAsia" w:ascii="宋体" w:hAnsi="宋体" w:eastAsia="宋体" w:cs="宋体"/>
          <w:color w:val="auto"/>
        </w:rPr>
      </w:pPr>
    </w:p>
    <w:p w14:paraId="7464FD9D">
      <w:pPr>
        <w:rPr>
          <w:rFonts w:hint="eastAsia" w:ascii="宋体" w:hAnsi="宋体" w:eastAsia="宋体" w:cs="宋体"/>
          <w:color w:val="auto"/>
        </w:rPr>
      </w:pPr>
    </w:p>
    <w:p w14:paraId="7194E6D5">
      <w:pPr>
        <w:rPr>
          <w:rFonts w:hint="eastAsia" w:ascii="宋体" w:hAnsi="宋体" w:eastAsia="宋体" w:cs="宋体"/>
          <w:color w:val="auto"/>
        </w:rPr>
      </w:pPr>
    </w:p>
    <w:p w14:paraId="16F1F1F9">
      <w:pPr>
        <w:rPr>
          <w:rFonts w:hint="eastAsia" w:ascii="宋体" w:hAnsi="宋体" w:eastAsia="宋体" w:cs="宋体"/>
          <w:color w:val="auto"/>
        </w:rPr>
      </w:pPr>
    </w:p>
    <w:p w14:paraId="3CDCB00D">
      <w:pPr>
        <w:rPr>
          <w:rFonts w:hint="eastAsia" w:ascii="宋体" w:hAnsi="宋体" w:eastAsia="宋体" w:cs="宋体"/>
          <w:color w:val="auto"/>
        </w:rPr>
      </w:pPr>
    </w:p>
    <w:p w14:paraId="4FF2C5A9">
      <w:pPr>
        <w:rPr>
          <w:rFonts w:hint="eastAsia" w:ascii="宋体" w:hAnsi="宋体" w:eastAsia="宋体" w:cs="宋体"/>
          <w:color w:val="auto"/>
        </w:rPr>
      </w:pPr>
    </w:p>
    <w:p w14:paraId="5F6D3B69">
      <w:pPr>
        <w:rPr>
          <w:rFonts w:hint="eastAsia" w:ascii="宋体" w:hAnsi="宋体" w:eastAsia="宋体" w:cs="宋体"/>
          <w:color w:val="auto"/>
        </w:rPr>
      </w:pPr>
    </w:p>
    <w:p w14:paraId="5E153909">
      <w:pPr>
        <w:rPr>
          <w:rFonts w:hint="eastAsia" w:ascii="宋体" w:hAnsi="宋体" w:eastAsia="宋体" w:cs="宋体"/>
          <w:color w:val="auto"/>
        </w:rPr>
      </w:pPr>
    </w:p>
    <w:p w14:paraId="6EE621D4">
      <w:pPr>
        <w:rPr>
          <w:rFonts w:hint="eastAsia" w:ascii="宋体" w:hAnsi="宋体" w:eastAsia="宋体" w:cs="宋体"/>
          <w:color w:val="auto"/>
        </w:rPr>
      </w:pPr>
    </w:p>
    <w:p w14:paraId="1B61239C">
      <w:pPr>
        <w:rPr>
          <w:rFonts w:hint="eastAsia" w:ascii="宋体" w:hAnsi="宋体" w:eastAsia="宋体" w:cs="宋体"/>
          <w:color w:val="auto"/>
        </w:rPr>
      </w:pPr>
    </w:p>
    <w:p w14:paraId="72626B90">
      <w:pPr>
        <w:rPr>
          <w:rFonts w:hint="eastAsia" w:ascii="宋体" w:hAnsi="宋体" w:eastAsia="宋体" w:cs="宋体"/>
          <w:color w:val="auto"/>
        </w:rPr>
      </w:pPr>
    </w:p>
    <w:p w14:paraId="06D7B4C1">
      <w:pPr>
        <w:rPr>
          <w:rFonts w:hint="eastAsia" w:ascii="宋体" w:hAnsi="宋体" w:eastAsia="宋体" w:cs="宋体"/>
          <w:color w:val="auto"/>
        </w:rPr>
      </w:pPr>
    </w:p>
    <w:p w14:paraId="20848127">
      <w:pPr>
        <w:rPr>
          <w:rFonts w:hint="eastAsia" w:ascii="宋体" w:hAnsi="宋体" w:eastAsia="宋体" w:cs="宋体"/>
          <w:color w:val="auto"/>
        </w:rPr>
      </w:pPr>
    </w:p>
    <w:p w14:paraId="44D9D42E">
      <w:pPr>
        <w:rPr>
          <w:rFonts w:hint="eastAsia" w:ascii="宋体" w:hAnsi="宋体" w:eastAsia="宋体" w:cs="宋体"/>
          <w:color w:val="auto"/>
        </w:rPr>
      </w:pPr>
    </w:p>
    <w:p w14:paraId="0C6C4039">
      <w:pPr>
        <w:rPr>
          <w:rFonts w:hint="eastAsia" w:ascii="宋体" w:hAnsi="宋体" w:eastAsia="宋体" w:cs="宋体"/>
          <w:color w:val="auto"/>
          <w:lang w:eastAsia="zh-CN"/>
        </w:rPr>
      </w:pPr>
    </w:p>
    <w:p w14:paraId="378097B3">
      <w:pPr>
        <w:pStyle w:val="15"/>
        <w:rPr>
          <w:rFonts w:hint="eastAsia" w:ascii="宋体" w:hAnsi="宋体" w:eastAsia="宋体" w:cs="宋体"/>
          <w:color w:val="auto"/>
          <w:lang w:eastAsia="zh-CN"/>
        </w:rPr>
      </w:pPr>
    </w:p>
    <w:p w14:paraId="2E706364">
      <w:pPr>
        <w:rPr>
          <w:rFonts w:hint="eastAsia" w:ascii="宋体" w:hAnsi="宋体" w:eastAsia="宋体" w:cs="宋体"/>
          <w:color w:val="auto"/>
          <w:lang w:eastAsia="zh-CN"/>
        </w:rPr>
      </w:pPr>
    </w:p>
    <w:p w14:paraId="2DDFFB66">
      <w:pPr>
        <w:pStyle w:val="15"/>
        <w:rPr>
          <w:rFonts w:hint="eastAsia" w:ascii="宋体" w:hAnsi="宋体" w:eastAsia="宋体" w:cs="宋体"/>
          <w:color w:val="auto"/>
          <w:lang w:eastAsia="zh-CN"/>
        </w:rPr>
      </w:pPr>
    </w:p>
    <w:p w14:paraId="05E31E66">
      <w:pPr>
        <w:rPr>
          <w:rFonts w:hint="eastAsia" w:ascii="宋体" w:hAnsi="宋体" w:eastAsia="宋体" w:cs="宋体"/>
          <w:color w:val="auto"/>
          <w:lang w:eastAsia="zh-CN"/>
        </w:rPr>
      </w:pPr>
    </w:p>
    <w:p w14:paraId="5336DB7B">
      <w:pPr>
        <w:pStyle w:val="15"/>
        <w:rPr>
          <w:rFonts w:hint="eastAsia" w:ascii="宋体" w:hAnsi="宋体" w:eastAsia="宋体" w:cs="宋体"/>
          <w:color w:val="auto"/>
          <w:lang w:eastAsia="zh-CN"/>
        </w:rPr>
      </w:pPr>
    </w:p>
    <w:p w14:paraId="3BE40337">
      <w:pPr>
        <w:rPr>
          <w:rFonts w:hint="eastAsia" w:ascii="宋体" w:hAnsi="宋体" w:eastAsia="宋体" w:cs="宋体"/>
          <w:color w:val="auto"/>
          <w:lang w:eastAsia="zh-CN"/>
        </w:rPr>
      </w:pPr>
    </w:p>
    <w:p w14:paraId="5764A0F3">
      <w:pPr>
        <w:pStyle w:val="15"/>
        <w:rPr>
          <w:rFonts w:hint="eastAsia" w:ascii="宋体" w:hAnsi="宋体" w:eastAsia="宋体" w:cs="宋体"/>
          <w:color w:val="auto"/>
          <w:lang w:eastAsia="zh-CN"/>
        </w:rPr>
      </w:pPr>
    </w:p>
    <w:p w14:paraId="5A455CEB">
      <w:pPr>
        <w:rPr>
          <w:rFonts w:hint="eastAsia"/>
          <w:lang w:eastAsia="zh-CN"/>
        </w:rPr>
      </w:pPr>
    </w:p>
    <w:p w14:paraId="34B19AAA">
      <w:pPr>
        <w:rPr>
          <w:rFonts w:hint="eastAsia" w:ascii="宋体" w:hAnsi="宋体" w:eastAsia="宋体" w:cs="宋体"/>
          <w:color w:val="auto"/>
          <w:lang w:eastAsia="zh-CN"/>
        </w:rPr>
      </w:pPr>
    </w:p>
    <w:p w14:paraId="3CE13E05">
      <w:pPr>
        <w:rPr>
          <w:rFonts w:hint="eastAsia" w:ascii="宋体" w:hAnsi="宋体" w:eastAsia="宋体" w:cs="宋体"/>
          <w:color w:val="auto"/>
          <w:lang w:eastAsia="zh-CN"/>
        </w:rPr>
      </w:pPr>
    </w:p>
    <w:p w14:paraId="24A114BC">
      <w:pPr>
        <w:pStyle w:val="8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附件2：</w:t>
      </w:r>
    </w:p>
    <w:p w14:paraId="0B009D86">
      <w:pPr>
        <w:spacing w:line="360" w:lineRule="auto"/>
        <w:jc w:val="center"/>
        <w:rPr>
          <w:rFonts w:hint="eastAsia" w:ascii="宋体" w:hAnsi="宋体" w:eastAsia="宋体" w:cs="宋体"/>
          <w:b/>
          <w:color w:val="auto"/>
          <w:spacing w:val="6"/>
          <w:sz w:val="28"/>
          <w:szCs w:val="28"/>
        </w:rPr>
      </w:pPr>
      <w:r>
        <w:rPr>
          <w:rFonts w:hint="eastAsia" w:ascii="宋体" w:hAnsi="宋体" w:eastAsia="宋体" w:cs="宋体"/>
          <w:b/>
          <w:color w:val="auto"/>
          <w:spacing w:val="6"/>
          <w:sz w:val="28"/>
          <w:szCs w:val="28"/>
        </w:rPr>
        <w:t>投诉书范本</w:t>
      </w:r>
    </w:p>
    <w:p w14:paraId="7A17D7C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一、投诉相关主体基本情况</w:t>
      </w:r>
    </w:p>
    <w:p w14:paraId="54B81D6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投诉人：</w:t>
      </w:r>
      <w:r>
        <w:rPr>
          <w:rFonts w:hint="eastAsia" w:ascii="宋体" w:hAnsi="宋体" w:eastAsia="宋体" w:cs="宋体"/>
          <w:color w:val="auto"/>
          <w:sz w:val="24"/>
          <w:u w:val="dotted"/>
        </w:rPr>
        <w:t xml:space="preserve">                                               </w:t>
      </w:r>
    </w:p>
    <w:p w14:paraId="5FAF724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0FF6116B">
      <w:pPr>
        <w:keepNext w:val="0"/>
        <w:keepLines w:val="0"/>
        <w:pageBreakBefore w:val="0"/>
        <w:tabs>
          <w:tab w:val="left" w:pos="651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rPr>
      </w:pPr>
      <w:r>
        <w:rPr>
          <w:rFonts w:hint="eastAsia" w:ascii="宋体" w:hAnsi="宋体" w:eastAsia="宋体" w:cs="宋体"/>
          <w:color w:val="auto"/>
          <w:sz w:val="24"/>
        </w:rPr>
        <w:t>法定代表人/主要负责人：</w:t>
      </w: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162439F3">
      <w:pPr>
        <w:keepNext w:val="0"/>
        <w:keepLines w:val="0"/>
        <w:pageBreakBefore w:val="0"/>
        <w:tabs>
          <w:tab w:val="left" w:pos="6510"/>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p>
    <w:p w14:paraId="428D058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授权代表：</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p>
    <w:p w14:paraId="65D97DF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dotted"/>
        </w:rPr>
        <w:t xml:space="preserve">                   </w:t>
      </w:r>
    </w:p>
    <w:p w14:paraId="27AEBF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被投诉人1：</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2BABE1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62B2486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联系人：</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50AE30E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被投诉人2</w:t>
      </w:r>
    </w:p>
    <w:p w14:paraId="30CDE259">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w:t>
      </w:r>
    </w:p>
    <w:p w14:paraId="112C80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相关供应商：</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36A2AF7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dotted"/>
        </w:rPr>
        <w:t xml:space="preserve">                             </w:t>
      </w:r>
      <w:r>
        <w:rPr>
          <w:rFonts w:hint="eastAsia" w:ascii="宋体" w:hAnsi="宋体" w:eastAsia="宋体" w:cs="宋体"/>
          <w:color w:val="auto"/>
          <w:sz w:val="24"/>
        </w:rPr>
        <w:t>邮编：</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27C8AEE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联系人：</w:t>
      </w:r>
      <w:r>
        <w:rPr>
          <w:rFonts w:hint="eastAsia" w:ascii="宋体" w:hAnsi="宋体" w:eastAsia="宋体" w:cs="宋体"/>
          <w:color w:val="auto"/>
          <w:sz w:val="24"/>
          <w:u w:val="dotted"/>
        </w:rPr>
        <w:t xml:space="preserve">               </w:t>
      </w:r>
      <w:r>
        <w:rPr>
          <w:rFonts w:hint="eastAsia" w:ascii="宋体" w:hAnsi="宋体" w:eastAsia="宋体" w:cs="宋体"/>
          <w:color w:val="auto"/>
          <w:sz w:val="24"/>
        </w:rPr>
        <w:t>联系电话：</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5DEB5C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二、投诉项目基本情况</w:t>
      </w:r>
    </w:p>
    <w:p w14:paraId="574F99C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采购项目名称：</w:t>
      </w:r>
      <w:r>
        <w:rPr>
          <w:rFonts w:hint="eastAsia" w:ascii="宋体" w:hAnsi="宋体" w:eastAsia="宋体" w:cs="宋体"/>
          <w:color w:val="auto"/>
          <w:sz w:val="24"/>
          <w:u w:val="dotted"/>
        </w:rPr>
        <w:t xml:space="preserve">                                        </w:t>
      </w:r>
    </w:p>
    <w:p w14:paraId="40914D3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采购项目编号：</w:t>
      </w:r>
      <w:r>
        <w:rPr>
          <w:rFonts w:hint="eastAsia" w:ascii="宋体" w:hAnsi="宋体" w:eastAsia="宋体" w:cs="宋体"/>
          <w:color w:val="auto"/>
          <w:sz w:val="24"/>
          <w:u w:val="dotted"/>
        </w:rPr>
        <w:t xml:space="preserve">                 </w:t>
      </w:r>
      <w:r>
        <w:rPr>
          <w:rFonts w:hint="eastAsia" w:ascii="宋体" w:hAnsi="宋体" w:eastAsia="宋体" w:cs="宋体"/>
          <w:color w:val="auto"/>
          <w:sz w:val="24"/>
        </w:rPr>
        <w:t>包号：</w:t>
      </w:r>
      <w:r>
        <w:rPr>
          <w:rFonts w:hint="eastAsia" w:ascii="宋体" w:hAnsi="宋体" w:eastAsia="宋体" w:cs="宋体"/>
          <w:color w:val="auto"/>
          <w:sz w:val="24"/>
          <w:u w:val="dotted"/>
        </w:rPr>
        <w:t xml:space="preserve">              </w:t>
      </w:r>
    </w:p>
    <w:p w14:paraId="4E207B8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采购人名称：</w:t>
      </w:r>
      <w:r>
        <w:rPr>
          <w:rFonts w:hint="eastAsia" w:ascii="宋体" w:hAnsi="宋体" w:eastAsia="宋体" w:cs="宋体"/>
          <w:color w:val="auto"/>
          <w:sz w:val="24"/>
          <w:u w:val="dotted"/>
        </w:rPr>
        <w:t xml:space="preserve">                                           </w:t>
      </w:r>
      <w:r>
        <w:rPr>
          <w:rFonts w:hint="eastAsia" w:ascii="宋体" w:hAnsi="宋体" w:eastAsia="宋体" w:cs="宋体"/>
          <w:color w:val="auto"/>
          <w:sz w:val="24"/>
          <w:u w:val="single"/>
        </w:rPr>
        <w:t xml:space="preserve">  </w:t>
      </w:r>
    </w:p>
    <w:p w14:paraId="0ACFE5D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代理机构名称：</w:t>
      </w:r>
      <w:r>
        <w:rPr>
          <w:rFonts w:hint="eastAsia" w:ascii="宋体" w:hAnsi="宋体" w:eastAsia="宋体" w:cs="宋体"/>
          <w:color w:val="auto"/>
          <w:sz w:val="24"/>
          <w:u w:val="dotted"/>
        </w:rPr>
        <w:t xml:space="preserve">                                         </w:t>
      </w:r>
    </w:p>
    <w:p w14:paraId="2304A00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采购文件公告:</w:t>
      </w:r>
      <w:r>
        <w:rPr>
          <w:rFonts w:hint="eastAsia" w:ascii="宋体" w:hAnsi="宋体" w:eastAsia="宋体" w:cs="宋体"/>
          <w:color w:val="auto"/>
          <w:sz w:val="24"/>
          <w:u w:val="dotted"/>
        </w:rPr>
        <w:t xml:space="preserve">是/否 </w:t>
      </w:r>
      <w:r>
        <w:rPr>
          <w:rFonts w:hint="eastAsia" w:ascii="宋体" w:hAnsi="宋体" w:eastAsia="宋体" w:cs="宋体"/>
          <w:color w:val="auto"/>
          <w:sz w:val="24"/>
        </w:rPr>
        <w:t>公告期限：</w:t>
      </w:r>
      <w:r>
        <w:rPr>
          <w:rFonts w:hint="eastAsia" w:ascii="宋体" w:hAnsi="宋体" w:eastAsia="宋体" w:cs="宋体"/>
          <w:color w:val="auto"/>
          <w:sz w:val="24"/>
          <w:u w:val="dotted"/>
        </w:rPr>
        <w:t xml:space="preserve">                                 </w:t>
      </w:r>
    </w:p>
    <w:p w14:paraId="1BD561E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采购结果公告:</w:t>
      </w:r>
      <w:r>
        <w:rPr>
          <w:rFonts w:hint="eastAsia" w:ascii="宋体" w:hAnsi="宋体" w:eastAsia="宋体" w:cs="宋体"/>
          <w:color w:val="auto"/>
          <w:sz w:val="24"/>
          <w:u w:val="dotted"/>
        </w:rPr>
        <w:t xml:space="preserve">是/否 </w:t>
      </w:r>
      <w:r>
        <w:rPr>
          <w:rFonts w:hint="eastAsia" w:ascii="宋体" w:hAnsi="宋体" w:eastAsia="宋体" w:cs="宋体"/>
          <w:color w:val="auto"/>
          <w:sz w:val="24"/>
        </w:rPr>
        <w:t>公告期限：</w:t>
      </w:r>
      <w:r>
        <w:rPr>
          <w:rFonts w:hint="eastAsia" w:ascii="宋体" w:hAnsi="宋体" w:eastAsia="宋体" w:cs="宋体"/>
          <w:color w:val="auto"/>
          <w:sz w:val="24"/>
          <w:u w:val="dotted"/>
        </w:rPr>
        <w:t xml:space="preserve">                        </w:t>
      </w:r>
    </w:p>
    <w:p w14:paraId="7E2E31A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三、质疑基本情况</w:t>
      </w:r>
    </w:p>
    <w:p w14:paraId="5CC1854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u w:val="dotted"/>
        </w:rPr>
      </w:pPr>
      <w:r>
        <w:rPr>
          <w:rFonts w:hint="eastAsia" w:ascii="宋体" w:hAnsi="宋体" w:eastAsia="宋体" w:cs="宋体"/>
          <w:color w:val="auto"/>
          <w:sz w:val="24"/>
        </w:rPr>
        <w:t>投诉人于</w:t>
      </w:r>
      <w:r>
        <w:rPr>
          <w:rFonts w:hint="eastAsia" w:ascii="宋体" w:hAnsi="宋体" w:eastAsia="宋体" w:cs="宋体"/>
          <w:color w:val="auto"/>
          <w:sz w:val="24"/>
          <w:u w:val="dotted"/>
        </w:rPr>
        <w:t xml:space="preserve">   </w:t>
      </w:r>
      <w:r>
        <w:rPr>
          <w:rFonts w:hint="eastAsia" w:ascii="宋体" w:hAnsi="宋体" w:eastAsia="宋体" w:cs="宋体"/>
          <w:color w:val="auto"/>
          <w:sz w:val="24"/>
        </w:rPr>
        <w:t>年</w:t>
      </w:r>
      <w:r>
        <w:rPr>
          <w:rFonts w:hint="eastAsia" w:ascii="宋体" w:hAnsi="宋体" w:eastAsia="宋体" w:cs="宋体"/>
          <w:color w:val="auto"/>
          <w:sz w:val="24"/>
          <w:u w:val="dotted"/>
        </w:rPr>
        <w:t xml:space="preserve">   </w:t>
      </w:r>
      <w:r>
        <w:rPr>
          <w:rFonts w:hint="eastAsia" w:ascii="宋体" w:hAnsi="宋体" w:eastAsia="宋体" w:cs="宋体"/>
          <w:color w:val="auto"/>
          <w:sz w:val="24"/>
        </w:rPr>
        <w:t>月</w:t>
      </w:r>
      <w:r>
        <w:rPr>
          <w:rFonts w:hint="eastAsia" w:ascii="宋体" w:hAnsi="宋体" w:eastAsia="宋体" w:cs="宋体"/>
          <w:color w:val="auto"/>
          <w:sz w:val="24"/>
          <w:u w:val="dotted"/>
        </w:rPr>
        <w:t xml:space="preserve">  </w:t>
      </w:r>
      <w:r>
        <w:rPr>
          <w:rFonts w:hint="eastAsia" w:ascii="宋体" w:hAnsi="宋体" w:eastAsia="宋体" w:cs="宋体"/>
          <w:color w:val="auto"/>
          <w:sz w:val="24"/>
        </w:rPr>
        <w:t>日,向</w:t>
      </w:r>
      <w:r>
        <w:rPr>
          <w:rFonts w:hint="eastAsia" w:ascii="宋体" w:hAnsi="宋体" w:eastAsia="宋体" w:cs="宋体"/>
          <w:color w:val="auto"/>
          <w:sz w:val="24"/>
          <w:u w:val="dotted"/>
        </w:rPr>
        <w:t xml:space="preserve">                   </w:t>
      </w:r>
      <w:r>
        <w:rPr>
          <w:rFonts w:hint="eastAsia" w:ascii="宋体" w:hAnsi="宋体" w:eastAsia="宋体" w:cs="宋体"/>
          <w:color w:val="auto"/>
          <w:sz w:val="24"/>
        </w:rPr>
        <w:t>提出质疑，质疑事项为：</w:t>
      </w:r>
      <w:r>
        <w:rPr>
          <w:rFonts w:hint="eastAsia" w:ascii="宋体" w:hAnsi="宋体" w:eastAsia="宋体" w:cs="宋体"/>
          <w:color w:val="auto"/>
          <w:sz w:val="24"/>
          <w:u w:val="dotted"/>
        </w:rPr>
        <w:t xml:space="preserve">                                </w:t>
      </w:r>
    </w:p>
    <w:p w14:paraId="0A6DCB0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2618123B">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color w:val="auto"/>
          <w:sz w:val="24"/>
        </w:rPr>
      </w:pPr>
      <w:r>
        <w:rPr>
          <w:rFonts w:hint="eastAsia" w:ascii="宋体" w:hAnsi="宋体" w:eastAsia="宋体" w:cs="宋体"/>
          <w:color w:val="auto"/>
          <w:sz w:val="24"/>
          <w:u w:val="dotted"/>
        </w:rPr>
        <w:t>采购人/代理机构</w:t>
      </w:r>
      <w:r>
        <w:rPr>
          <w:rFonts w:hint="eastAsia" w:ascii="宋体" w:hAnsi="宋体" w:eastAsia="宋体" w:cs="宋体"/>
          <w:color w:val="auto"/>
          <w:sz w:val="24"/>
        </w:rPr>
        <w:t>于</w:t>
      </w:r>
      <w:r>
        <w:rPr>
          <w:rFonts w:hint="eastAsia" w:ascii="宋体" w:hAnsi="宋体" w:eastAsia="宋体" w:cs="宋体"/>
          <w:color w:val="auto"/>
          <w:sz w:val="24"/>
          <w:u w:val="dotted"/>
        </w:rPr>
        <w:t xml:space="preserve">   </w:t>
      </w:r>
      <w:r>
        <w:rPr>
          <w:rFonts w:hint="eastAsia" w:ascii="宋体" w:hAnsi="宋体" w:eastAsia="宋体" w:cs="宋体"/>
          <w:color w:val="auto"/>
          <w:sz w:val="24"/>
        </w:rPr>
        <w:t>年</w:t>
      </w:r>
      <w:r>
        <w:rPr>
          <w:rFonts w:hint="eastAsia" w:ascii="宋体" w:hAnsi="宋体" w:eastAsia="宋体" w:cs="宋体"/>
          <w:color w:val="auto"/>
          <w:sz w:val="24"/>
          <w:u w:val="dotted"/>
        </w:rPr>
        <w:t xml:space="preserve">   </w:t>
      </w:r>
      <w:r>
        <w:rPr>
          <w:rFonts w:hint="eastAsia" w:ascii="宋体" w:hAnsi="宋体" w:eastAsia="宋体" w:cs="宋体"/>
          <w:color w:val="auto"/>
          <w:sz w:val="24"/>
        </w:rPr>
        <w:t>月</w:t>
      </w:r>
      <w:r>
        <w:rPr>
          <w:rFonts w:hint="eastAsia" w:ascii="宋体" w:hAnsi="宋体" w:eastAsia="宋体" w:cs="宋体"/>
          <w:color w:val="auto"/>
          <w:sz w:val="24"/>
          <w:u w:val="dotted"/>
        </w:rPr>
        <w:t xml:space="preserve">   </w:t>
      </w:r>
      <w:r>
        <w:rPr>
          <w:rFonts w:hint="eastAsia" w:ascii="宋体" w:hAnsi="宋体" w:eastAsia="宋体" w:cs="宋体"/>
          <w:color w:val="auto"/>
          <w:sz w:val="24"/>
        </w:rPr>
        <w:t>日,就质疑事项作出了答复/没有在法定期限内作出答复。</w:t>
      </w:r>
    </w:p>
    <w:p w14:paraId="6A419F7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四、投诉事项具体内容</w:t>
      </w:r>
    </w:p>
    <w:p w14:paraId="67DCE02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投诉事项 1：</w:t>
      </w:r>
      <w:r>
        <w:rPr>
          <w:rFonts w:hint="eastAsia" w:ascii="宋体" w:hAnsi="宋体" w:eastAsia="宋体" w:cs="宋体"/>
          <w:color w:val="auto"/>
          <w:sz w:val="24"/>
          <w:u w:val="dotted"/>
        </w:rPr>
        <w:t xml:space="preserve">                                       </w:t>
      </w:r>
    </w:p>
    <w:p w14:paraId="69816DC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事实依据：</w:t>
      </w:r>
      <w:r>
        <w:rPr>
          <w:rFonts w:hint="eastAsia" w:ascii="宋体" w:hAnsi="宋体" w:eastAsia="宋体" w:cs="宋体"/>
          <w:color w:val="auto"/>
          <w:sz w:val="24"/>
          <w:u w:val="dotted"/>
        </w:rPr>
        <w:t xml:space="preserve">                                         </w:t>
      </w:r>
    </w:p>
    <w:p w14:paraId="0A17437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p>
    <w:p w14:paraId="60BE5DD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法律依据：</w:t>
      </w:r>
      <w:r>
        <w:rPr>
          <w:rFonts w:hint="eastAsia" w:ascii="宋体" w:hAnsi="宋体" w:eastAsia="宋体" w:cs="宋体"/>
          <w:color w:val="auto"/>
          <w:sz w:val="24"/>
          <w:u w:val="dotted"/>
        </w:rPr>
        <w:t xml:space="preserve">                                          </w:t>
      </w:r>
    </w:p>
    <w:p w14:paraId="0D853AA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u w:val="dotted"/>
        </w:rPr>
        <w:t xml:space="preserve">                                                      </w:t>
      </w:r>
    </w:p>
    <w:p w14:paraId="1A8BE33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投诉事项2</w:t>
      </w:r>
    </w:p>
    <w:p w14:paraId="118DE72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dotted"/>
        </w:rPr>
      </w:pPr>
      <w:r>
        <w:rPr>
          <w:rFonts w:hint="eastAsia" w:ascii="宋体" w:hAnsi="宋体" w:eastAsia="宋体" w:cs="宋体"/>
          <w:color w:val="auto"/>
          <w:sz w:val="24"/>
        </w:rPr>
        <w:t>……</w:t>
      </w:r>
    </w:p>
    <w:p w14:paraId="4C48C8E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五、与投诉事项相关的投诉请求</w:t>
      </w:r>
    </w:p>
    <w:p w14:paraId="6BE4EF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请求：</w:t>
      </w:r>
      <w:r>
        <w:rPr>
          <w:rFonts w:hint="eastAsia" w:ascii="宋体" w:hAnsi="宋体" w:eastAsia="宋体" w:cs="宋体"/>
          <w:color w:val="auto"/>
          <w:sz w:val="24"/>
          <w:u w:val="dotted"/>
        </w:rPr>
        <w:t xml:space="preserve">                                              </w:t>
      </w:r>
      <w:r>
        <w:rPr>
          <w:rFonts w:hint="eastAsia" w:ascii="宋体" w:hAnsi="宋体" w:eastAsia="宋体" w:cs="宋体"/>
          <w:color w:val="auto"/>
          <w:sz w:val="24"/>
        </w:rPr>
        <w:t xml:space="preserve"> </w:t>
      </w:r>
    </w:p>
    <w:p w14:paraId="242FB05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rPr>
        <w:t xml:space="preserve">                                                                                                    </w:t>
      </w:r>
    </w:p>
    <w:p w14:paraId="3BFA378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签字(签章)：                   公章：                      </w:t>
      </w:r>
    </w:p>
    <w:p w14:paraId="4E5B569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rPr>
      </w:pPr>
      <w:r>
        <w:rPr>
          <w:rFonts w:hint="eastAsia" w:ascii="宋体" w:hAnsi="宋体" w:eastAsia="宋体" w:cs="宋体"/>
          <w:color w:val="auto"/>
          <w:sz w:val="24"/>
        </w:rPr>
        <w:t xml:space="preserve">日期：    </w:t>
      </w:r>
    </w:p>
    <w:p w14:paraId="46AC07D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p>
    <w:p w14:paraId="503423C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rPr>
      </w:pPr>
      <w:r>
        <w:rPr>
          <w:rFonts w:hint="eastAsia" w:ascii="宋体" w:hAnsi="宋体" w:eastAsia="宋体" w:cs="宋体"/>
          <w:b/>
          <w:color w:val="auto"/>
          <w:sz w:val="24"/>
        </w:rPr>
        <w:t>投诉书制作说明：</w:t>
      </w:r>
    </w:p>
    <w:p w14:paraId="625740C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1.投诉人提起投诉时，应当提交投诉书和必要的证明材料，并按照被投诉人和与投诉事项有关的供应商数量提供投诉书副本。</w:t>
      </w:r>
    </w:p>
    <w:p w14:paraId="47473B9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rPr>
        <w:t>2.投诉人若委托代理人进行投诉的，投诉书应按照要求列明“授权代表”的有关内容，并在附件中提交由</w:t>
      </w:r>
      <w:r>
        <w:rPr>
          <w:rFonts w:hint="eastAsia" w:ascii="宋体" w:hAnsi="宋体" w:eastAsia="宋体" w:cs="宋体"/>
          <w:color w:val="auto"/>
          <w:kern w:val="0"/>
          <w:sz w:val="24"/>
        </w:rPr>
        <w:t>投诉人签署的授权委托书。授权委托书应当载明代理人的姓名或者名称、代理事项、具体权限、期限和相关事项。</w:t>
      </w:r>
    </w:p>
    <w:p w14:paraId="75B3D9E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3.投诉人若对项目的某一分包进行投诉，投诉书应列明具体分包号。</w:t>
      </w:r>
    </w:p>
    <w:p w14:paraId="0398A92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4.投诉书应简要列明质疑事项，质疑函、质疑答复等作为附件材料提供。</w:t>
      </w:r>
    </w:p>
    <w:p w14:paraId="6E7E657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5.投诉书的投诉事项应具体、明确，并有必要的事实依据和法律依据。</w:t>
      </w:r>
    </w:p>
    <w:p w14:paraId="596E02E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6.投诉书的投诉请求应与投诉事项相关。</w:t>
      </w:r>
    </w:p>
    <w:p w14:paraId="1EBEE44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sz w:val="24"/>
        </w:rPr>
        <w:t>7.投诉人为自然人的，投诉书应当由本人签字；投诉人为法人或者其他组织的，投诉书应当由法定代表人、主要负责人，或者其授权代表签字或者盖章，并加盖公章。</w:t>
      </w:r>
    </w:p>
    <w:p w14:paraId="4B530FF0">
      <w:pPr>
        <w:rPr>
          <w:rFonts w:hint="eastAsia" w:ascii="宋体" w:hAnsi="宋体" w:eastAsia="宋体" w:cs="宋体"/>
          <w:color w:val="auto"/>
          <w:lang w:val="en-US" w:eastAsia="zh-CN"/>
        </w:rPr>
      </w:pPr>
    </w:p>
    <w:p w14:paraId="3426A30C">
      <w:pPr>
        <w:rPr>
          <w:rFonts w:hint="eastAsia" w:ascii="宋体" w:hAnsi="宋体" w:eastAsia="宋体" w:cs="宋体"/>
          <w:color w:val="auto"/>
          <w:lang w:eastAsia="zh-CN"/>
        </w:rPr>
      </w:pPr>
    </w:p>
    <w:p w14:paraId="0C251032">
      <w:pPr>
        <w:rPr>
          <w:rFonts w:hint="eastAsia" w:ascii="宋体" w:hAnsi="宋体" w:eastAsia="宋体" w:cs="宋体"/>
          <w:color w:val="auto"/>
          <w:lang w:eastAsia="zh-CN"/>
        </w:rPr>
      </w:pPr>
    </w:p>
    <w:p w14:paraId="220F1557">
      <w:pPr>
        <w:pStyle w:val="15"/>
        <w:rPr>
          <w:rFonts w:hint="eastAsia" w:ascii="宋体" w:hAnsi="宋体" w:eastAsia="宋体" w:cs="宋体"/>
          <w:color w:val="auto"/>
          <w:lang w:eastAsia="zh-CN"/>
        </w:rPr>
      </w:pPr>
    </w:p>
    <w:p w14:paraId="1DB53FF0">
      <w:pPr>
        <w:rPr>
          <w:rFonts w:hint="eastAsia" w:ascii="宋体" w:hAnsi="宋体" w:eastAsia="宋体" w:cs="宋体"/>
          <w:color w:val="auto"/>
          <w:lang w:eastAsia="zh-CN"/>
        </w:rPr>
      </w:pPr>
    </w:p>
    <w:p w14:paraId="69C53E1B">
      <w:pPr>
        <w:pStyle w:val="15"/>
        <w:rPr>
          <w:rFonts w:hint="eastAsia" w:ascii="宋体" w:hAnsi="宋体" w:eastAsia="宋体" w:cs="宋体"/>
          <w:color w:val="auto"/>
          <w:lang w:eastAsia="zh-CN"/>
        </w:rPr>
      </w:pPr>
    </w:p>
    <w:p w14:paraId="33333EC6">
      <w:pPr>
        <w:rPr>
          <w:rFonts w:hint="eastAsia" w:ascii="宋体" w:hAnsi="宋体" w:eastAsia="宋体" w:cs="宋体"/>
          <w:color w:val="auto"/>
          <w:lang w:eastAsia="zh-CN"/>
        </w:rPr>
      </w:pPr>
    </w:p>
    <w:p w14:paraId="571F51CE">
      <w:pPr>
        <w:pStyle w:val="15"/>
        <w:rPr>
          <w:rFonts w:hint="eastAsia" w:ascii="宋体" w:hAnsi="宋体" w:eastAsia="宋体" w:cs="宋体"/>
          <w:color w:val="auto"/>
          <w:lang w:eastAsia="zh-CN"/>
        </w:rPr>
      </w:pPr>
    </w:p>
    <w:p w14:paraId="1EA639AB">
      <w:pPr>
        <w:rPr>
          <w:rFonts w:hint="eastAsia" w:ascii="宋体" w:hAnsi="宋体" w:eastAsia="宋体" w:cs="宋体"/>
          <w:color w:val="auto"/>
          <w:lang w:eastAsia="zh-CN"/>
        </w:rPr>
      </w:pPr>
    </w:p>
    <w:p w14:paraId="3EFBBE64">
      <w:pPr>
        <w:pStyle w:val="15"/>
        <w:rPr>
          <w:rFonts w:hint="eastAsia" w:ascii="宋体" w:hAnsi="宋体" w:eastAsia="宋体" w:cs="宋体"/>
          <w:color w:val="auto"/>
          <w:lang w:eastAsia="zh-CN"/>
        </w:rPr>
      </w:pPr>
    </w:p>
    <w:p w14:paraId="20A2EE0C">
      <w:pPr>
        <w:rPr>
          <w:rFonts w:hint="eastAsia" w:ascii="宋体" w:hAnsi="宋体" w:eastAsia="宋体" w:cs="宋体"/>
          <w:color w:val="auto"/>
          <w:lang w:eastAsia="zh-CN"/>
        </w:rPr>
      </w:pPr>
    </w:p>
    <w:p w14:paraId="5B90A485">
      <w:pPr>
        <w:pStyle w:val="15"/>
        <w:rPr>
          <w:rFonts w:hint="eastAsia" w:ascii="宋体" w:hAnsi="宋体" w:eastAsia="宋体" w:cs="宋体"/>
          <w:color w:val="auto"/>
          <w:lang w:eastAsia="zh-CN"/>
        </w:rPr>
      </w:pPr>
    </w:p>
    <w:p w14:paraId="5A87079B">
      <w:pPr>
        <w:rPr>
          <w:rFonts w:hint="eastAsia"/>
          <w:lang w:eastAsia="zh-CN"/>
        </w:rPr>
      </w:pPr>
    </w:p>
    <w:p w14:paraId="68D0BB65">
      <w:pPr>
        <w:pStyle w:val="11"/>
        <w:spacing w:line="500" w:lineRule="exact"/>
        <w:ind w:left="0" w:leftChars="0" w:firstLine="0" w:firstLineChars="0"/>
        <w:jc w:val="left"/>
        <w:rPr>
          <w:rFonts w:hint="eastAsia" w:ascii="宋体" w:hAnsi="宋体" w:eastAsia="宋体" w:cs="宋体"/>
          <w:color w:val="auto"/>
          <w:sz w:val="28"/>
          <w:szCs w:val="28"/>
        </w:rPr>
      </w:pPr>
    </w:p>
    <w:p w14:paraId="549384F5">
      <w:pPr>
        <w:pStyle w:val="11"/>
        <w:spacing w:line="500" w:lineRule="exact"/>
        <w:ind w:left="0" w:leftChars="0" w:firstLine="0" w:firstLineChars="0"/>
        <w:jc w:val="left"/>
        <w:rPr>
          <w:rFonts w:hint="eastAsia" w:ascii="宋体" w:hAnsi="宋体" w:eastAsia="宋体" w:cs="宋体"/>
          <w:color w:val="auto"/>
          <w:sz w:val="28"/>
          <w:szCs w:val="28"/>
        </w:rPr>
      </w:pPr>
    </w:p>
    <w:p w14:paraId="00C46D80">
      <w:pPr>
        <w:pStyle w:val="2"/>
        <w:numPr>
          <w:ilvl w:val="0"/>
          <w:numId w:val="1"/>
        </w:numPr>
        <w:spacing w:before="0" w:after="0" w:line="240" w:lineRule="auto"/>
        <w:ind w:left="0" w:leftChars="0"/>
        <w:rPr>
          <w:rFonts w:hint="eastAsia" w:ascii="宋体" w:hAnsi="宋体" w:eastAsia="宋体" w:cs="宋体"/>
          <w:color w:val="auto"/>
          <w:highlight w:val="none"/>
        </w:rPr>
      </w:pPr>
      <w:bookmarkStart w:id="69" w:name="_Toc293739000"/>
      <w:bookmarkStart w:id="70" w:name="_Toc293736019"/>
      <w:bookmarkStart w:id="71" w:name="_Toc293736062"/>
      <w:bookmarkStart w:id="72" w:name="_Toc28752"/>
      <w:bookmarkStart w:id="73" w:name="_Toc446599321"/>
      <w:bookmarkStart w:id="74" w:name="_Toc28105"/>
      <w:bookmarkStart w:id="75" w:name="_Toc293736063"/>
      <w:bookmarkStart w:id="76" w:name="_Toc293739001"/>
      <w:bookmarkStart w:id="77" w:name="_Toc293736020"/>
      <w:bookmarkStart w:id="78" w:name="_Toc446599322"/>
      <w:r>
        <w:rPr>
          <w:rFonts w:hint="eastAsia" w:ascii="宋体" w:hAnsi="宋体" w:eastAsia="宋体" w:cs="宋体"/>
          <w:color w:val="auto"/>
          <w:highlight w:val="none"/>
          <w:lang w:val="en-US" w:eastAsia="zh-CN"/>
        </w:rPr>
        <w:t xml:space="preserve"> </w:t>
      </w:r>
      <w:bookmarkStart w:id="79" w:name="_Toc15716"/>
      <w:bookmarkStart w:id="80" w:name="_Toc21897"/>
      <w:bookmarkStart w:id="81" w:name="_Toc8546"/>
      <w:r>
        <w:rPr>
          <w:rFonts w:hint="eastAsia" w:ascii="宋体" w:hAnsi="宋体" w:eastAsia="宋体" w:cs="宋体"/>
          <w:color w:val="auto"/>
          <w:highlight w:val="none"/>
        </w:rPr>
        <w:t>采购</w:t>
      </w:r>
      <w:bookmarkEnd w:id="69"/>
      <w:bookmarkEnd w:id="70"/>
      <w:bookmarkEnd w:id="71"/>
      <w:bookmarkStart w:id="82" w:name="_Toc294515580"/>
      <w:r>
        <w:rPr>
          <w:rFonts w:hint="eastAsia" w:ascii="宋体" w:hAnsi="宋体" w:eastAsia="宋体" w:cs="宋体"/>
          <w:color w:val="auto"/>
          <w:highlight w:val="none"/>
        </w:rPr>
        <w:t>需求</w:t>
      </w:r>
      <w:bookmarkEnd w:id="72"/>
      <w:bookmarkEnd w:id="73"/>
      <w:bookmarkEnd w:id="74"/>
      <w:bookmarkEnd w:id="79"/>
      <w:bookmarkEnd w:id="80"/>
      <w:bookmarkEnd w:id="81"/>
    </w:p>
    <w:bookmarkEnd w:id="82"/>
    <w:p w14:paraId="373E1A9E">
      <w:pPr>
        <w:keepNext w:val="0"/>
        <w:keepLines w:val="0"/>
        <w:pageBreakBefore w:val="0"/>
        <w:widowControl/>
        <w:kinsoku/>
        <w:wordWrap/>
        <w:overflowPunct/>
        <w:topLinePunct w:val="0"/>
        <w:autoSpaceDE/>
        <w:autoSpaceDN/>
        <w:bidi w:val="0"/>
        <w:adjustRightInd/>
        <w:snapToGrid/>
        <w:spacing w:line="360" w:lineRule="auto"/>
        <w:ind w:firstLine="644" w:firstLineChars="200"/>
        <w:jc w:val="both"/>
        <w:textAlignment w:val="auto"/>
        <w:rPr>
          <w:rFonts w:hint="eastAsia" w:ascii="黑体" w:hAnsi="黑体" w:eastAsia="黑体" w:cs="黑体"/>
          <w:color w:val="000000" w:themeColor="text1"/>
          <w:spacing w:val="11"/>
          <w:sz w:val="30"/>
          <w:szCs w:val="30"/>
          <w:lang w:val="en-US" w:eastAsia="zh-CN"/>
          <w14:textFill>
            <w14:solidFill>
              <w14:schemeClr w14:val="tx1"/>
            </w14:solidFill>
          </w14:textFill>
        </w:rPr>
      </w:pPr>
    </w:p>
    <w:p w14:paraId="5EFB793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一、项目名称：</w:t>
      </w:r>
      <w:r>
        <w:rPr>
          <w:rFonts w:hint="eastAsia" w:ascii="宋体" w:hAnsi="宋体" w:cs="宋体"/>
          <w:color w:val="auto"/>
          <w:sz w:val="24"/>
          <w:lang w:val="en-US" w:eastAsia="zh-CN"/>
        </w:rPr>
        <w:t>2024-2025年政府投资项目审计服务</w:t>
      </w:r>
    </w:p>
    <w:p w14:paraId="2CD8922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二、采购内容</w:t>
      </w:r>
    </w:p>
    <w:p w14:paraId="722CDE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red"/>
          <w:lang w:val="en-US" w:eastAsia="zh-CN"/>
        </w:rPr>
      </w:pPr>
      <w:r>
        <w:rPr>
          <w:rFonts w:hint="eastAsia" w:ascii="宋体" w:hAnsi="宋体" w:cs="宋体"/>
          <w:color w:val="auto"/>
          <w:sz w:val="24"/>
          <w:highlight w:val="none"/>
          <w:lang w:val="en-US" w:eastAsia="zh-CN"/>
        </w:rPr>
        <w:t>对2024-2025年政府投资项目进行自查自纠咨询审计服务</w:t>
      </w:r>
    </w:p>
    <w:p w14:paraId="497F196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color w:val="auto"/>
          <w:sz w:val="24"/>
          <w:lang w:val="en-US" w:eastAsia="zh-CN"/>
        </w:rPr>
      </w:pPr>
      <w:r>
        <w:rPr>
          <w:rFonts w:hint="eastAsia" w:ascii="宋体" w:hAnsi="宋体" w:eastAsia="宋体" w:cs="宋体"/>
          <w:b/>
          <w:bCs/>
          <w:color w:val="auto"/>
          <w:sz w:val="24"/>
          <w:lang w:val="en-US" w:eastAsia="zh-CN"/>
        </w:rPr>
        <w:t>★</w:t>
      </w:r>
      <w:r>
        <w:rPr>
          <w:rFonts w:hint="eastAsia" w:ascii="宋体" w:hAnsi="宋体" w:eastAsia="宋体" w:cs="宋体"/>
          <w:color w:val="auto"/>
          <w:kern w:val="2"/>
          <w:sz w:val="24"/>
          <w:szCs w:val="22"/>
          <w:lang w:val="en-US" w:eastAsia="zh-CN" w:bidi="ar-SA"/>
        </w:rPr>
        <w:t>三、</w:t>
      </w:r>
      <w:r>
        <w:rPr>
          <w:rFonts w:hint="eastAsia" w:ascii="宋体" w:hAnsi="宋体" w:cs="宋体"/>
          <w:color w:val="auto"/>
          <w:sz w:val="24"/>
          <w:lang w:val="en-US" w:eastAsia="zh-CN"/>
        </w:rPr>
        <w:t>所属行业</w:t>
      </w:r>
    </w:p>
    <w:p w14:paraId="759E591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其他未列明行业</w:t>
      </w:r>
    </w:p>
    <w:p w14:paraId="68F9156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四、服务要求</w:t>
      </w:r>
    </w:p>
    <w:p w14:paraId="6D1EECE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(一）人员派驻要求</w:t>
      </w:r>
    </w:p>
    <w:p w14:paraId="343FB26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1.专业资质：</w:t>
      </w:r>
      <w:r>
        <w:rPr>
          <w:rFonts w:hint="eastAsia" w:ascii="宋体" w:hAnsi="宋体" w:cs="宋体"/>
          <w:color w:val="auto"/>
          <w:sz w:val="24"/>
          <w:lang w:val="en-US" w:eastAsia="zh-CN"/>
        </w:rPr>
        <w:t>供应商</w:t>
      </w:r>
      <w:r>
        <w:rPr>
          <w:rFonts w:hint="default" w:ascii="宋体" w:hAnsi="宋体" w:cs="宋体"/>
          <w:color w:val="auto"/>
          <w:sz w:val="24"/>
          <w:lang w:val="en-US" w:eastAsia="zh-CN"/>
        </w:rPr>
        <w:t>应派驻一名审计从业人员，该人员需拥</w:t>
      </w:r>
      <w:r>
        <w:rPr>
          <w:rFonts w:hint="default" w:ascii="宋体" w:hAnsi="宋体" w:cs="宋体"/>
          <w:color w:val="auto"/>
          <w:sz w:val="24"/>
          <w:highlight w:val="none"/>
          <w:lang w:val="en-US" w:eastAsia="zh-CN"/>
        </w:rPr>
        <w:t>有至少2年</w:t>
      </w:r>
      <w:r>
        <w:rPr>
          <w:rFonts w:hint="default" w:ascii="宋体" w:hAnsi="宋体" w:cs="宋体"/>
          <w:color w:val="auto"/>
          <w:sz w:val="24"/>
          <w:lang w:val="en-US" w:eastAsia="zh-CN"/>
        </w:rPr>
        <w:t>政府投资项目审计工作经验，熟悉</w:t>
      </w:r>
      <w:r>
        <w:rPr>
          <w:rFonts w:hint="eastAsia" w:ascii="宋体" w:hAnsi="宋体" w:cs="宋体"/>
          <w:color w:val="auto"/>
          <w:sz w:val="24"/>
          <w:lang w:val="en-US" w:eastAsia="zh-CN"/>
        </w:rPr>
        <w:t>政府投资</w:t>
      </w:r>
      <w:r>
        <w:rPr>
          <w:rFonts w:hint="default" w:ascii="宋体" w:hAnsi="宋体" w:cs="宋体"/>
          <w:color w:val="auto"/>
          <w:sz w:val="24"/>
          <w:lang w:val="en-US" w:eastAsia="zh-CN"/>
        </w:rPr>
        <w:t>项目政策法规和业务流程。</w:t>
      </w:r>
    </w:p>
    <w:p w14:paraId="51E4A5A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2.常驻要求：派驻人员需在</w:t>
      </w:r>
      <w:r>
        <w:rPr>
          <w:rFonts w:hint="eastAsia" w:ascii="宋体" w:hAnsi="宋体" w:cs="宋体"/>
          <w:color w:val="auto"/>
          <w:sz w:val="24"/>
          <w:lang w:val="en-US" w:eastAsia="zh-CN"/>
        </w:rPr>
        <w:t>拜城县</w:t>
      </w:r>
      <w:r>
        <w:rPr>
          <w:rFonts w:hint="default" w:ascii="宋体" w:hAnsi="宋体" w:cs="宋体"/>
          <w:color w:val="auto"/>
          <w:sz w:val="24"/>
          <w:lang w:val="en-US" w:eastAsia="zh-CN"/>
        </w:rPr>
        <w:t>项目现场办公，全程参与项目审批监督工作，及时响应项目各方需求。</w:t>
      </w:r>
    </w:p>
    <w:p w14:paraId="20BB37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3.人员稳定性：在服务期内，未经</w:t>
      </w:r>
      <w:r>
        <w:rPr>
          <w:rFonts w:hint="eastAsia" w:ascii="宋体" w:hAnsi="宋体" w:cs="宋体"/>
          <w:color w:val="auto"/>
          <w:sz w:val="24"/>
          <w:lang w:val="en-US" w:eastAsia="zh-CN"/>
        </w:rPr>
        <w:t>拜城</w:t>
      </w:r>
      <w:r>
        <w:rPr>
          <w:rFonts w:hint="default" w:ascii="宋体" w:hAnsi="宋体" w:cs="宋体"/>
          <w:color w:val="auto"/>
          <w:sz w:val="24"/>
          <w:lang w:val="en-US" w:eastAsia="zh-CN"/>
        </w:rPr>
        <w:t>县财政部门书面同意，</w:t>
      </w:r>
      <w:r>
        <w:rPr>
          <w:rFonts w:hint="eastAsia" w:ascii="宋体" w:hAnsi="宋体" w:cs="宋体"/>
          <w:color w:val="auto"/>
          <w:sz w:val="24"/>
          <w:lang w:val="en-US" w:eastAsia="zh-CN"/>
        </w:rPr>
        <w:t>供应商</w:t>
      </w:r>
      <w:r>
        <w:rPr>
          <w:rFonts w:hint="default" w:ascii="宋体" w:hAnsi="宋体" w:cs="宋体"/>
          <w:color w:val="auto"/>
          <w:sz w:val="24"/>
          <w:lang w:val="en-US" w:eastAsia="zh-CN"/>
        </w:rPr>
        <w:t>不得擅自更换派驻人员。如因特殊原因确需更换，应提前30个工作日提交书面申请，并确保新派驻人员具备同等或更优的专业能力和经验。</w:t>
      </w:r>
    </w:p>
    <w:p w14:paraId="42C0EC5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w:t>
      </w:r>
      <w:r>
        <w:rPr>
          <w:rFonts w:hint="eastAsia" w:ascii="宋体" w:hAnsi="宋体" w:cs="宋体"/>
          <w:color w:val="auto"/>
          <w:sz w:val="24"/>
          <w:lang w:val="en-US" w:eastAsia="zh-CN"/>
        </w:rPr>
        <w:t>二</w:t>
      </w:r>
      <w:r>
        <w:rPr>
          <w:rFonts w:hint="default" w:ascii="宋体" w:hAnsi="宋体" w:cs="宋体"/>
          <w:color w:val="auto"/>
          <w:sz w:val="24"/>
          <w:lang w:val="en-US" w:eastAsia="zh-CN"/>
        </w:rPr>
        <w:t>）审计要求</w:t>
      </w:r>
    </w:p>
    <w:p w14:paraId="04B0666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highlight w:val="none"/>
          <w:lang w:val="en-US" w:eastAsia="zh-CN"/>
        </w:rPr>
      </w:pPr>
      <w:r>
        <w:rPr>
          <w:rFonts w:hint="default" w:ascii="宋体" w:hAnsi="宋体" w:cs="宋体"/>
          <w:color w:val="auto"/>
          <w:sz w:val="24"/>
          <w:lang w:val="en-US" w:eastAsia="zh-CN"/>
        </w:rPr>
        <w:t>1.审计范围全面性：对</w:t>
      </w:r>
      <w:r>
        <w:rPr>
          <w:rFonts w:hint="eastAsia" w:ascii="宋体" w:hAnsi="宋体" w:cs="宋体"/>
          <w:color w:val="auto"/>
          <w:sz w:val="24"/>
          <w:lang w:val="en-US" w:eastAsia="zh-CN"/>
        </w:rPr>
        <w:t>2024-2025</w:t>
      </w:r>
      <w:r>
        <w:rPr>
          <w:rFonts w:hint="default" w:ascii="宋体" w:hAnsi="宋体" w:cs="宋体"/>
          <w:color w:val="auto"/>
          <w:sz w:val="24"/>
          <w:lang w:val="en-US" w:eastAsia="zh-CN"/>
        </w:rPr>
        <w:t>年实施的</w:t>
      </w:r>
      <w:r>
        <w:rPr>
          <w:rFonts w:hint="eastAsia" w:ascii="宋体" w:hAnsi="宋体" w:cs="宋体"/>
          <w:color w:val="auto"/>
          <w:sz w:val="24"/>
          <w:highlight w:val="none"/>
          <w:lang w:val="en-US" w:eastAsia="zh-CN"/>
        </w:rPr>
        <w:t>政</w:t>
      </w:r>
      <w:r>
        <w:rPr>
          <w:rFonts w:hint="eastAsia" w:ascii="宋体" w:hAnsi="宋体" w:cs="宋体"/>
          <w:color w:val="auto"/>
          <w:sz w:val="24"/>
          <w:lang w:val="en-US" w:eastAsia="zh-CN"/>
        </w:rPr>
        <w:t>府投资</w:t>
      </w:r>
      <w:r>
        <w:rPr>
          <w:rFonts w:hint="default" w:ascii="宋体" w:hAnsi="宋体" w:cs="宋体"/>
          <w:color w:val="auto"/>
          <w:sz w:val="24"/>
          <w:lang w:val="en-US" w:eastAsia="zh-CN"/>
        </w:rPr>
        <w:t>项目进行</w:t>
      </w:r>
      <w:r>
        <w:rPr>
          <w:rFonts w:hint="eastAsia" w:ascii="宋体" w:hAnsi="宋体" w:cs="宋体"/>
          <w:color w:val="auto"/>
          <w:sz w:val="24"/>
          <w:highlight w:val="none"/>
          <w:lang w:val="en-US" w:eastAsia="zh-CN"/>
        </w:rPr>
        <w:t>自查自纠</w:t>
      </w:r>
      <w:r>
        <w:rPr>
          <w:rFonts w:hint="default" w:ascii="宋体" w:hAnsi="宋体" w:cs="宋体"/>
          <w:color w:val="auto"/>
          <w:sz w:val="24"/>
          <w:highlight w:val="none"/>
          <w:lang w:val="en-US" w:eastAsia="zh-CN"/>
        </w:rPr>
        <w:t>审计</w:t>
      </w:r>
      <w:r>
        <w:rPr>
          <w:rFonts w:hint="default" w:ascii="宋体" w:hAnsi="宋体" w:cs="宋体"/>
          <w:color w:val="auto"/>
          <w:sz w:val="24"/>
          <w:lang w:val="en-US" w:eastAsia="zh-CN"/>
        </w:rPr>
        <w:t>，</w:t>
      </w:r>
      <w:r>
        <w:rPr>
          <w:rFonts w:hint="default" w:ascii="宋体" w:hAnsi="宋体" w:cs="宋体"/>
          <w:color w:val="auto"/>
          <w:sz w:val="24"/>
          <w:highlight w:val="none"/>
          <w:lang w:val="en-US" w:eastAsia="zh-CN"/>
        </w:rPr>
        <w:t>包括但不限于项目前期准备、项目实施、竣工验收等各个阶段，确保审计无死角。</w:t>
      </w:r>
    </w:p>
    <w:p w14:paraId="640C954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2.审计内容完整性：</w:t>
      </w:r>
    </w:p>
    <w:p w14:paraId="1CB01EF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2.1 项目前期准备阶段的主要内容：</w:t>
      </w:r>
    </w:p>
    <w:p w14:paraId="5B84372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2.1.1 项目开工前建设程序的审批和执行情况。</w:t>
      </w:r>
    </w:p>
    <w:p w14:paraId="2B644C6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2.1.2 项目勘察、设计、施工、监理、设备采购的招标投标情况。</w:t>
      </w:r>
    </w:p>
    <w:p w14:paraId="223D260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2.1.3 项目合同文件与响应文件的一致性、合规性、合法性。</w:t>
      </w:r>
    </w:p>
    <w:p w14:paraId="1B9F13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 项目实施阶段的主要内容：</w:t>
      </w:r>
    </w:p>
    <w:p w14:paraId="5F4135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2.2.1 项目建设单位基本程序执行情况。</w:t>
      </w:r>
    </w:p>
    <w:p w14:paraId="043F159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2.2.2 项目合同条款变更的真实性、合理性、合规性。</w:t>
      </w:r>
    </w:p>
    <w:p w14:paraId="0757F6F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2.2.3 项目工程价款及相关费用支付的真实性、合规性、合法性。</w:t>
      </w:r>
    </w:p>
    <w:p w14:paraId="023DD5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2.2.4 项目隐蔽工程情况。</w:t>
      </w:r>
    </w:p>
    <w:p w14:paraId="5C7B8D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2.2.5 项目工程量的增减情况（现场签字、设计变更的真实性、合理性、经济性）。</w:t>
      </w:r>
    </w:p>
    <w:p w14:paraId="6506368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2.3 竣工结算审核阶段的主要内容：</w:t>
      </w:r>
    </w:p>
    <w:p w14:paraId="2B5FA1A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2.3.1 工程价款结算是否按照合同约定和国家有关规定进行，有无多算和重复计算工程量、高估冒算建筑材料价格现象；</w:t>
      </w:r>
    </w:p>
    <w:p w14:paraId="47F18A7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2.3.2 项目是否按照批准的概（预）算内容实施，有无超标准、超规模、超概（预）算建设现象；</w:t>
      </w:r>
    </w:p>
    <w:p w14:paraId="2A7A3B1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2.3.3 项目建设是否履行基本建设程序，是否符合国家有关建设管理制度要求等；</w:t>
      </w:r>
    </w:p>
    <w:p w14:paraId="2448F50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2.3.4 其他需要</w:t>
      </w:r>
      <w:r>
        <w:rPr>
          <w:rFonts w:hint="eastAsia" w:ascii="宋体" w:hAnsi="宋体" w:cs="宋体"/>
          <w:color w:val="auto"/>
          <w:sz w:val="24"/>
          <w:lang w:val="en-US" w:eastAsia="zh-CN"/>
        </w:rPr>
        <w:t>审计的</w:t>
      </w:r>
      <w:r>
        <w:rPr>
          <w:rFonts w:hint="default" w:ascii="宋体" w:hAnsi="宋体" w:cs="宋体"/>
          <w:color w:val="auto"/>
          <w:sz w:val="24"/>
          <w:lang w:val="en-US" w:eastAsia="zh-CN"/>
        </w:rPr>
        <w:t>事项。</w:t>
      </w:r>
    </w:p>
    <w:p w14:paraId="0D47798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w:t>
      </w:r>
      <w:r>
        <w:rPr>
          <w:rFonts w:hint="default" w:ascii="宋体" w:hAnsi="宋体" w:cs="宋体"/>
          <w:color w:val="auto"/>
          <w:sz w:val="24"/>
          <w:lang w:val="en-US" w:eastAsia="zh-CN"/>
        </w:rPr>
        <w:t xml:space="preserve">、验收标准： </w:t>
      </w:r>
    </w:p>
    <w:p w14:paraId="36A6EDB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w:t>
      </w:r>
      <w:r>
        <w:rPr>
          <w:rFonts w:hint="default" w:ascii="宋体" w:hAnsi="宋体" w:cs="宋体"/>
          <w:color w:val="auto"/>
          <w:sz w:val="24"/>
          <w:lang w:val="en-US" w:eastAsia="zh-CN"/>
        </w:rPr>
        <w:t xml:space="preserve">.1、项目审计中，针对发现的建设项目中存在的相关问题，提出问题整改建议，且整改建议具有针对性、操作性。 </w:t>
      </w:r>
    </w:p>
    <w:p w14:paraId="329D37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w:t>
      </w:r>
      <w:r>
        <w:rPr>
          <w:rFonts w:hint="default" w:ascii="宋体" w:hAnsi="宋体" w:cs="宋体"/>
          <w:color w:val="auto"/>
          <w:sz w:val="24"/>
          <w:lang w:val="en-US" w:eastAsia="zh-CN"/>
        </w:rPr>
        <w:t>.2、出具的</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自查自纠</w:t>
      </w:r>
      <w:r>
        <w:rPr>
          <w:rFonts w:hint="default" w:ascii="宋体" w:hAnsi="宋体" w:cs="宋体"/>
          <w:color w:val="auto"/>
          <w:sz w:val="24"/>
          <w:highlight w:val="none"/>
          <w:lang w:val="en-US" w:eastAsia="zh-CN"/>
        </w:rPr>
        <w:t>审计报告》</w:t>
      </w:r>
      <w:r>
        <w:rPr>
          <w:rFonts w:hint="default" w:ascii="宋体" w:hAnsi="宋体" w:cs="宋体"/>
          <w:color w:val="auto"/>
          <w:sz w:val="24"/>
          <w:lang w:val="en-US" w:eastAsia="zh-CN"/>
        </w:rPr>
        <w:t xml:space="preserve">反映的建设项目存在的问题需真实、准确且整改建议可行。 </w:t>
      </w:r>
    </w:p>
    <w:p w14:paraId="190AEDE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3</w:t>
      </w:r>
      <w:r>
        <w:rPr>
          <w:rFonts w:hint="default" w:ascii="宋体" w:hAnsi="宋体" w:cs="宋体"/>
          <w:color w:val="auto"/>
          <w:sz w:val="24"/>
          <w:lang w:val="en-US" w:eastAsia="zh-CN"/>
        </w:rPr>
        <w:t xml:space="preserve">.3、对项目审计质量负责，即：对所提供的审计内容的真实性、完整性、合法性责任。 </w:t>
      </w:r>
    </w:p>
    <w:p w14:paraId="262EB7E5">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color w:val="auto"/>
          <w:sz w:val="24"/>
          <w:lang w:val="en-US" w:eastAsia="zh-CN"/>
        </w:rPr>
      </w:pPr>
      <w:r>
        <w:rPr>
          <w:rFonts w:hint="eastAsia" w:ascii="宋体" w:hAnsi="宋体" w:eastAsia="宋体" w:cs="宋体"/>
          <w:b/>
          <w:bCs/>
          <w:color w:val="auto"/>
          <w:sz w:val="24"/>
          <w:lang w:val="en-US" w:eastAsia="zh-CN"/>
        </w:rPr>
        <w:t>★</w:t>
      </w:r>
      <w:r>
        <w:rPr>
          <w:rFonts w:hint="default" w:ascii="宋体" w:hAnsi="宋体" w:cs="宋体"/>
          <w:color w:val="auto"/>
          <w:sz w:val="24"/>
          <w:lang w:val="en-US" w:eastAsia="zh-CN"/>
        </w:rPr>
        <w:t>（</w:t>
      </w:r>
      <w:r>
        <w:rPr>
          <w:rFonts w:hint="eastAsia" w:ascii="宋体" w:hAnsi="宋体" w:cs="宋体"/>
          <w:color w:val="auto"/>
          <w:sz w:val="24"/>
          <w:lang w:val="en-US" w:eastAsia="zh-CN"/>
        </w:rPr>
        <w:t>三</w:t>
      </w:r>
      <w:r>
        <w:rPr>
          <w:rFonts w:hint="default" w:ascii="宋体" w:hAnsi="宋体" w:cs="宋体"/>
          <w:color w:val="auto"/>
          <w:sz w:val="24"/>
          <w:lang w:val="en-US" w:eastAsia="zh-CN"/>
        </w:rPr>
        <w:t>）审计报告要求</w:t>
      </w:r>
    </w:p>
    <w:p w14:paraId="5475958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highlight w:val="red"/>
          <w:lang w:val="en-US" w:eastAsia="zh-CN"/>
        </w:rPr>
      </w:pPr>
      <w:r>
        <w:rPr>
          <w:rFonts w:hint="default" w:ascii="宋体" w:hAnsi="宋体" w:cs="宋体"/>
          <w:color w:val="auto"/>
          <w:sz w:val="24"/>
          <w:lang w:val="en-US" w:eastAsia="zh-CN"/>
        </w:rPr>
        <w:t>1.报告出具及时性：</w:t>
      </w:r>
      <w:r>
        <w:rPr>
          <w:rFonts w:hint="default" w:ascii="宋体" w:hAnsi="宋体" w:cs="宋体"/>
          <w:color w:val="auto"/>
          <w:sz w:val="24"/>
          <w:highlight w:val="none"/>
          <w:lang w:val="en-US" w:eastAsia="zh-CN"/>
        </w:rPr>
        <w:t>项目</w:t>
      </w:r>
      <w:r>
        <w:rPr>
          <w:rFonts w:hint="eastAsia" w:ascii="宋体" w:hAnsi="宋体" w:cs="宋体"/>
          <w:color w:val="auto"/>
          <w:sz w:val="24"/>
          <w:highlight w:val="none"/>
          <w:lang w:val="en-US" w:eastAsia="zh-CN"/>
        </w:rPr>
        <w:t>审计</w:t>
      </w:r>
      <w:r>
        <w:rPr>
          <w:rFonts w:hint="default" w:ascii="宋体" w:hAnsi="宋体" w:cs="宋体"/>
          <w:color w:val="auto"/>
          <w:sz w:val="24"/>
          <w:highlight w:val="none"/>
          <w:lang w:val="en-US" w:eastAsia="zh-CN"/>
        </w:rPr>
        <w:t>结束后，应在</w:t>
      </w:r>
      <w:r>
        <w:rPr>
          <w:rFonts w:hint="eastAsia" w:ascii="宋体" w:hAnsi="宋体" w:cs="宋体"/>
          <w:color w:val="auto"/>
          <w:sz w:val="24"/>
          <w:highlight w:val="none"/>
          <w:lang w:val="en-US" w:eastAsia="zh-CN"/>
        </w:rPr>
        <w:t>七</w:t>
      </w:r>
      <w:r>
        <w:rPr>
          <w:rFonts w:hint="default" w:ascii="宋体" w:hAnsi="宋体" w:cs="宋体"/>
          <w:color w:val="auto"/>
          <w:sz w:val="24"/>
          <w:highlight w:val="none"/>
          <w:lang w:val="en-US" w:eastAsia="zh-CN"/>
        </w:rPr>
        <w:t>个工作日内出具正式</w:t>
      </w:r>
      <w:r>
        <w:rPr>
          <w:rFonts w:hint="eastAsia" w:ascii="宋体" w:hAnsi="宋体" w:cs="宋体"/>
          <w:color w:val="auto"/>
          <w:sz w:val="24"/>
          <w:highlight w:val="none"/>
          <w:lang w:val="en-US" w:eastAsia="zh-CN"/>
        </w:rPr>
        <w:t>自查自纠</w:t>
      </w:r>
      <w:r>
        <w:rPr>
          <w:rFonts w:hint="default" w:ascii="宋体" w:hAnsi="宋体" w:cs="宋体"/>
          <w:color w:val="auto"/>
          <w:sz w:val="24"/>
          <w:highlight w:val="none"/>
          <w:lang w:val="en-US" w:eastAsia="zh-CN"/>
        </w:rPr>
        <w:t>审计报告</w:t>
      </w:r>
      <w:r>
        <w:rPr>
          <w:rFonts w:hint="default" w:ascii="宋体" w:hAnsi="宋体" w:cs="宋体"/>
          <w:color w:val="auto"/>
          <w:sz w:val="24"/>
          <w:lang w:val="en-US" w:eastAsia="zh-CN"/>
        </w:rPr>
        <w:t>。</w:t>
      </w:r>
    </w:p>
    <w:p w14:paraId="0491746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报告内容准确性：审计报告应内容完整、事实清楚、证据确凿、定性准确、结论恰当。报告应包含项目基本情况、审计依据、审计范围、审计方法、审计发现的问题及处理建议等内容。审计报告中的数据应准确无误，引用的法律法规和政策依据应准确恰当。</w:t>
      </w:r>
    </w:p>
    <w:p w14:paraId="3018E84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3.报告格式规范性：审计报告应按照国家审计准则和</w:t>
      </w:r>
      <w:r>
        <w:rPr>
          <w:rFonts w:hint="eastAsia" w:ascii="宋体" w:hAnsi="宋体" w:cs="宋体"/>
          <w:color w:val="auto"/>
          <w:sz w:val="24"/>
          <w:lang w:val="en-US" w:eastAsia="zh-CN"/>
        </w:rPr>
        <w:t>拜城</w:t>
      </w:r>
      <w:r>
        <w:rPr>
          <w:rFonts w:hint="default" w:ascii="宋体" w:hAnsi="宋体" w:cs="宋体"/>
          <w:color w:val="auto"/>
          <w:sz w:val="24"/>
          <w:lang w:val="en-US" w:eastAsia="zh-CN"/>
        </w:rPr>
        <w:t>县相关部门规定的格式出具，语言表达应严谨、规范、简洁，报告文本应排版整齐、装订规范。</w:t>
      </w:r>
    </w:p>
    <w:p w14:paraId="6FAD42E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w:t>
      </w:r>
      <w:r>
        <w:rPr>
          <w:rFonts w:hint="eastAsia" w:ascii="宋体" w:hAnsi="宋体" w:cs="宋体"/>
          <w:color w:val="auto"/>
          <w:sz w:val="24"/>
          <w:lang w:val="en-US" w:eastAsia="zh-CN"/>
        </w:rPr>
        <w:t>四</w:t>
      </w:r>
      <w:r>
        <w:rPr>
          <w:rFonts w:hint="default" w:ascii="宋体" w:hAnsi="宋体" w:cs="宋体"/>
          <w:color w:val="auto"/>
          <w:sz w:val="24"/>
          <w:lang w:val="en-US" w:eastAsia="zh-CN"/>
        </w:rPr>
        <w:t>）沟通协调要求</w:t>
      </w:r>
    </w:p>
    <w:p w14:paraId="2D8F574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1.定期汇报：中标企业应</w:t>
      </w:r>
      <w:r>
        <w:rPr>
          <w:rFonts w:hint="eastAsia" w:ascii="宋体" w:hAnsi="宋体" w:cs="宋体"/>
          <w:color w:val="auto"/>
          <w:sz w:val="24"/>
          <w:lang w:val="en-US" w:eastAsia="zh-CN"/>
        </w:rPr>
        <w:t>及时拜城</w:t>
      </w:r>
      <w:r>
        <w:rPr>
          <w:rFonts w:hint="default" w:ascii="宋体" w:hAnsi="宋体" w:cs="宋体"/>
          <w:color w:val="auto"/>
          <w:sz w:val="24"/>
          <w:lang w:val="en-US" w:eastAsia="zh-CN"/>
        </w:rPr>
        <w:t>县</w:t>
      </w:r>
      <w:r>
        <w:rPr>
          <w:rFonts w:hint="eastAsia" w:ascii="宋体" w:hAnsi="宋体" w:cs="宋体"/>
          <w:color w:val="auto"/>
          <w:sz w:val="24"/>
          <w:lang w:val="en-US" w:eastAsia="zh-CN"/>
        </w:rPr>
        <w:t>财政局</w:t>
      </w:r>
      <w:r>
        <w:rPr>
          <w:rFonts w:hint="default" w:ascii="宋体" w:hAnsi="宋体" w:cs="宋体"/>
          <w:color w:val="auto"/>
          <w:sz w:val="24"/>
          <w:lang w:val="en-US" w:eastAsia="zh-CN"/>
        </w:rPr>
        <w:t>汇报审计工作进展情况，包括已完成的审计项目、发现的问题及处理情况、下一步工作计划等。</w:t>
      </w:r>
    </w:p>
    <w:p w14:paraId="3AE0B91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2.及时反馈：对于审计过程中发现的重大问题或紧急事项，应</w:t>
      </w:r>
      <w:r>
        <w:rPr>
          <w:rFonts w:hint="eastAsia" w:ascii="宋体" w:hAnsi="宋体" w:cs="宋体"/>
          <w:color w:val="auto"/>
          <w:sz w:val="24"/>
          <w:lang w:val="en-US" w:eastAsia="zh-CN"/>
        </w:rPr>
        <w:t>及时</w:t>
      </w:r>
      <w:r>
        <w:rPr>
          <w:rFonts w:hint="default" w:ascii="宋体" w:hAnsi="宋体" w:cs="宋体"/>
          <w:color w:val="auto"/>
          <w:sz w:val="24"/>
          <w:lang w:val="en-US" w:eastAsia="zh-CN"/>
        </w:rPr>
        <w:t>反馈，并根据要求及时采取相应措施。</w:t>
      </w:r>
    </w:p>
    <w:p w14:paraId="59A7DB1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3.积极配合：积极配合</w:t>
      </w:r>
      <w:r>
        <w:rPr>
          <w:rFonts w:hint="eastAsia" w:ascii="宋体" w:hAnsi="宋体" w:cs="宋体"/>
          <w:color w:val="auto"/>
          <w:sz w:val="24"/>
          <w:lang w:val="en-US" w:eastAsia="zh-CN"/>
        </w:rPr>
        <w:t>拜城</w:t>
      </w:r>
      <w:r>
        <w:rPr>
          <w:rFonts w:hint="default" w:ascii="宋体" w:hAnsi="宋体" w:cs="宋体"/>
          <w:color w:val="auto"/>
          <w:sz w:val="24"/>
          <w:lang w:val="en-US" w:eastAsia="zh-CN"/>
        </w:rPr>
        <w:t>县</w:t>
      </w:r>
      <w:r>
        <w:rPr>
          <w:rFonts w:hint="eastAsia" w:ascii="宋体" w:hAnsi="宋体" w:cs="宋体"/>
          <w:color w:val="auto"/>
          <w:sz w:val="24"/>
          <w:lang w:val="en-US" w:eastAsia="zh-CN"/>
        </w:rPr>
        <w:t>财政局</w:t>
      </w:r>
      <w:r>
        <w:rPr>
          <w:rFonts w:hint="default" w:ascii="宋体" w:hAnsi="宋体" w:cs="宋体"/>
          <w:color w:val="auto"/>
          <w:sz w:val="24"/>
          <w:lang w:val="en-US" w:eastAsia="zh-CN"/>
        </w:rPr>
        <w:t>的工作安排，按照要求提供审计资料、参加会议、协助调查等，确保审计工作的有效衔接。</w:t>
      </w:r>
    </w:p>
    <w:p w14:paraId="041CF55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五</w:t>
      </w:r>
      <w:r>
        <w:rPr>
          <w:rFonts w:hint="default" w:ascii="宋体" w:hAnsi="宋体" w:cs="宋体"/>
          <w:color w:val="auto"/>
          <w:sz w:val="24"/>
          <w:lang w:val="en-US" w:eastAsia="zh-CN"/>
        </w:rPr>
        <w:t>、服务标准</w:t>
      </w:r>
    </w:p>
    <w:p w14:paraId="2E39A16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（一）职业道德标准</w:t>
      </w:r>
    </w:p>
    <w:p w14:paraId="3BB68F2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1.独立性：审计人员应保持独立、客观、公正的立场，不受任何外部因素的干扰，确保审计工作的公正性和客观性。与被审计单位及相关利益方不存在可能影响审计独立性的经济利益关系或其他利害关系。</w:t>
      </w:r>
    </w:p>
    <w:p w14:paraId="54E094D6">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2.保密性：严格遵守保密制度，对在审计过程中知悉的国家秘密、商业秘密和个人隐私予以保密。未经</w:t>
      </w:r>
      <w:r>
        <w:rPr>
          <w:rFonts w:hint="eastAsia" w:ascii="宋体" w:hAnsi="宋体" w:cs="宋体"/>
          <w:color w:val="auto"/>
          <w:sz w:val="24"/>
          <w:lang w:val="en-US" w:eastAsia="zh-CN"/>
        </w:rPr>
        <w:t>拜城</w:t>
      </w:r>
      <w:r>
        <w:rPr>
          <w:rFonts w:hint="default" w:ascii="宋体" w:hAnsi="宋体" w:cs="宋体"/>
          <w:color w:val="auto"/>
          <w:sz w:val="24"/>
          <w:lang w:val="en-US" w:eastAsia="zh-CN"/>
        </w:rPr>
        <w:t>县</w:t>
      </w:r>
      <w:r>
        <w:rPr>
          <w:rFonts w:hint="eastAsia" w:ascii="宋体" w:hAnsi="宋体" w:cs="宋体"/>
          <w:color w:val="auto"/>
          <w:sz w:val="24"/>
          <w:lang w:val="en-US" w:eastAsia="zh-CN"/>
        </w:rPr>
        <w:t>财政局</w:t>
      </w:r>
      <w:r>
        <w:rPr>
          <w:rFonts w:hint="default" w:ascii="宋体" w:hAnsi="宋体" w:cs="宋体"/>
          <w:color w:val="auto"/>
          <w:sz w:val="24"/>
          <w:lang w:val="en-US" w:eastAsia="zh-CN"/>
        </w:rPr>
        <w:t>书面同意，不得向任何第三方泄露审计工作中获取的信息。</w:t>
      </w:r>
    </w:p>
    <w:p w14:paraId="46397F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3.职业操守：秉持良好的职业操守，诚实守信，勤勉尽责，遵守审计行业规范和道德准则，维护审计职业的声誉和形象。</w:t>
      </w:r>
    </w:p>
    <w:p w14:paraId="35FB4FAA">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color w:val="auto"/>
          <w:sz w:val="24"/>
          <w:lang w:val="en-US" w:eastAsia="zh-CN"/>
        </w:rPr>
      </w:pPr>
      <w:r>
        <w:rPr>
          <w:rFonts w:hint="eastAsia" w:ascii="宋体" w:hAnsi="宋体" w:eastAsia="宋体" w:cs="宋体"/>
          <w:b/>
          <w:bCs/>
          <w:color w:val="auto"/>
          <w:sz w:val="24"/>
          <w:lang w:val="en-US" w:eastAsia="zh-CN"/>
        </w:rPr>
        <w:t>★</w:t>
      </w:r>
      <w:r>
        <w:rPr>
          <w:rFonts w:hint="default" w:ascii="宋体" w:hAnsi="宋体" w:cs="宋体"/>
          <w:color w:val="auto"/>
          <w:sz w:val="24"/>
          <w:lang w:val="en-US" w:eastAsia="zh-CN"/>
        </w:rPr>
        <w:t>（二）审计工作质量标准</w:t>
      </w:r>
    </w:p>
    <w:p w14:paraId="279445C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1.审计程序合规性：严格按照国家审计准则和相关法律法规规定的审计程序开展工作，确保审计程序合法、合规、完整。审计过程中获取的审计证据应充分、适当，能够支持审计结论和处理建议。</w:t>
      </w:r>
    </w:p>
    <w:p w14:paraId="29E5076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2.问题查处准确性：对审计发现的问题应进行深入调查和分析，准确认定问题性质，明确责任主体，提出的整改建议。</w:t>
      </w:r>
    </w:p>
    <w:p w14:paraId="428805E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3.审计成果运用有效性：积极推动审计成果的运用，协助</w:t>
      </w:r>
      <w:r>
        <w:rPr>
          <w:rFonts w:hint="eastAsia" w:ascii="宋体" w:hAnsi="宋体" w:cs="宋体"/>
          <w:color w:val="auto"/>
          <w:sz w:val="24"/>
          <w:lang w:val="en-US" w:eastAsia="zh-CN"/>
        </w:rPr>
        <w:t>拜城</w:t>
      </w:r>
      <w:r>
        <w:rPr>
          <w:rFonts w:hint="default" w:ascii="宋体" w:hAnsi="宋体" w:cs="宋体"/>
          <w:color w:val="auto"/>
          <w:sz w:val="24"/>
          <w:lang w:val="en-US" w:eastAsia="zh-CN"/>
        </w:rPr>
        <w:t>县</w:t>
      </w:r>
      <w:r>
        <w:rPr>
          <w:rFonts w:hint="eastAsia" w:ascii="宋体" w:hAnsi="宋体" w:cs="宋体"/>
          <w:color w:val="auto"/>
          <w:sz w:val="24"/>
          <w:lang w:val="en-US" w:eastAsia="zh-CN"/>
        </w:rPr>
        <w:t>财政局</w:t>
      </w:r>
      <w:r>
        <w:rPr>
          <w:rFonts w:hint="default" w:ascii="宋体" w:hAnsi="宋体" w:cs="宋体"/>
          <w:color w:val="auto"/>
          <w:sz w:val="24"/>
          <w:lang w:val="en-US" w:eastAsia="zh-CN"/>
        </w:rPr>
        <w:t>建立健全内部控制制度，完善项目管理流程，堵塞管理漏洞，提高项目管理水平和资金使用效益。</w:t>
      </w:r>
    </w:p>
    <w:p w14:paraId="0AF238C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（三）档案管理标准</w:t>
      </w:r>
    </w:p>
    <w:p w14:paraId="6963FD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1.资料完整性：建立完善的审计档案管理制度，对审计过程中形成的各类资料进行及时收</w:t>
      </w:r>
    </w:p>
    <w:p w14:paraId="79229BF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集、整理和归档，确保审计档案资料的完整性。审计档案应包括工作底稿、项目存在问题确认表、自查自纠报告、被审计单位反馈意见等相关资料。</w:t>
      </w:r>
    </w:p>
    <w:p w14:paraId="4C3790B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2.档案规范性：审计档案应按照档案管理的有关规定进行分类、编号、装订和保管，做到档案资料排列有序、目录清晰、装订整齐。档案保管期限应符合国家有关规定，期满后按照规定程序进行销毁或移交。</w:t>
      </w:r>
    </w:p>
    <w:p w14:paraId="3B42635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s="宋体"/>
          <w:color w:val="auto"/>
          <w:sz w:val="24"/>
          <w:lang w:val="en-US" w:eastAsia="zh-CN"/>
        </w:rPr>
      </w:pPr>
      <w:r>
        <w:rPr>
          <w:rFonts w:hint="default" w:ascii="宋体" w:hAnsi="宋体" w:cs="宋体"/>
          <w:color w:val="auto"/>
          <w:sz w:val="24"/>
          <w:lang w:val="en-US" w:eastAsia="zh-CN"/>
        </w:rPr>
        <w:t>中标企业应严格按照上述服务要求及标准开展工作，如有违反，</w:t>
      </w:r>
      <w:r>
        <w:rPr>
          <w:rFonts w:hint="eastAsia" w:ascii="宋体" w:hAnsi="宋体" w:cs="宋体"/>
          <w:color w:val="auto"/>
          <w:sz w:val="24"/>
          <w:lang w:val="en-US" w:eastAsia="zh-CN"/>
        </w:rPr>
        <w:t>拜城县财政局</w:t>
      </w:r>
      <w:r>
        <w:rPr>
          <w:rFonts w:hint="default" w:ascii="宋体" w:hAnsi="宋体" w:cs="宋体"/>
          <w:color w:val="auto"/>
          <w:sz w:val="24"/>
          <w:lang w:val="en-US" w:eastAsia="zh-CN"/>
        </w:rPr>
        <w:t>有权根据合同约定追究其违约责任，情节严重的，将取消其中标资格。</w:t>
      </w:r>
    </w:p>
    <w:p w14:paraId="06E3EFE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三、商务要求</w:t>
      </w:r>
    </w:p>
    <w:p w14:paraId="4B1B42A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highlight w:val="red"/>
          <w:lang w:val="en-US" w:eastAsia="zh-CN"/>
        </w:rPr>
      </w:pPr>
      <w:r>
        <w:rPr>
          <w:rFonts w:hint="eastAsia" w:ascii="宋体" w:hAnsi="宋体" w:eastAsia="宋体" w:cs="宋体"/>
          <w:b/>
          <w:bCs/>
          <w:color w:val="auto"/>
          <w:sz w:val="24"/>
          <w:lang w:val="en-US" w:eastAsia="zh-CN"/>
        </w:rPr>
        <w:t>★</w:t>
      </w:r>
      <w:r>
        <w:rPr>
          <w:rFonts w:hint="eastAsia" w:ascii="宋体" w:hAnsi="宋体" w:cs="宋体"/>
          <w:color w:val="auto"/>
          <w:sz w:val="24"/>
          <w:lang w:val="en-US" w:eastAsia="zh-CN"/>
        </w:rPr>
        <w:t>（一）</w:t>
      </w:r>
      <w:r>
        <w:rPr>
          <w:rFonts w:hint="eastAsia" w:ascii="宋体" w:hAnsi="宋体" w:eastAsia="宋体" w:cs="宋体"/>
          <w:color w:val="auto"/>
          <w:sz w:val="24"/>
          <w:lang w:val="en-US" w:eastAsia="zh-CN"/>
        </w:rPr>
        <w:t>合同履约期限：</w:t>
      </w:r>
      <w:r>
        <w:rPr>
          <w:rFonts w:hint="eastAsia" w:ascii="宋体" w:hAnsi="宋体" w:eastAsia="宋体" w:cs="宋体"/>
          <w:color w:val="auto"/>
          <w:sz w:val="24"/>
          <w:highlight w:val="none"/>
          <w:lang w:val="en-US" w:eastAsia="zh-CN"/>
        </w:rPr>
        <w:t>合同签订</w:t>
      </w:r>
      <w:r>
        <w:rPr>
          <w:rFonts w:hint="eastAsia" w:cs="宋体"/>
          <w:color w:val="auto"/>
          <w:sz w:val="24"/>
          <w:highlight w:val="none"/>
          <w:lang w:val="en-US" w:eastAsia="zh-CN"/>
        </w:rPr>
        <w:t>后60日内</w:t>
      </w:r>
      <w:r>
        <w:rPr>
          <w:rFonts w:hint="eastAsia" w:ascii="宋体" w:hAnsi="宋体" w:eastAsia="宋体" w:cs="宋体"/>
          <w:i w:val="0"/>
          <w:iCs w:val="0"/>
          <w:caps w:val="0"/>
          <w:color w:val="auto"/>
          <w:spacing w:val="0"/>
          <w:sz w:val="24"/>
          <w:szCs w:val="24"/>
          <w:highlight w:val="none"/>
          <w:lang w:eastAsia="zh-CN"/>
        </w:rPr>
        <w:t>。</w:t>
      </w:r>
    </w:p>
    <w:p w14:paraId="26B7D363">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w:t>
      </w:r>
      <w:r>
        <w:rPr>
          <w:rFonts w:hint="eastAsia" w:ascii="宋体" w:hAnsi="宋体" w:eastAsia="宋体" w:cs="宋体"/>
          <w:color w:val="auto"/>
          <w:sz w:val="24"/>
          <w:lang w:val="en-US" w:eastAsia="zh-CN"/>
        </w:rPr>
        <w:t>（二）服务地点：</w:t>
      </w:r>
      <w:r>
        <w:rPr>
          <w:rFonts w:hint="eastAsia" w:ascii="宋体" w:hAnsi="宋体" w:cs="宋体"/>
          <w:color w:val="auto"/>
          <w:sz w:val="24"/>
          <w:lang w:val="en-US" w:eastAsia="zh-CN"/>
        </w:rPr>
        <w:t>拜城</w:t>
      </w:r>
      <w:r>
        <w:rPr>
          <w:rFonts w:hint="eastAsia" w:ascii="宋体" w:hAnsi="宋体" w:eastAsia="宋体" w:cs="宋体"/>
          <w:color w:val="auto"/>
          <w:sz w:val="24"/>
          <w:lang w:val="en-US" w:eastAsia="zh-CN"/>
        </w:rPr>
        <w:t>县。</w:t>
      </w:r>
    </w:p>
    <w:p w14:paraId="3904F46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w:t>
      </w:r>
      <w:r>
        <w:rPr>
          <w:rFonts w:hint="eastAsia" w:ascii="宋体" w:hAnsi="宋体" w:eastAsia="宋体" w:cs="宋体"/>
          <w:color w:val="auto"/>
          <w:sz w:val="24"/>
          <w:lang w:val="en-US" w:eastAsia="zh-CN"/>
        </w:rPr>
        <w:t>（三）付款方式：具体以政府采购合同为准。</w:t>
      </w:r>
    </w:p>
    <w:p w14:paraId="4FB98B49">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w:t>
      </w:r>
      <w:r>
        <w:rPr>
          <w:rFonts w:hint="eastAsia" w:ascii="宋体" w:hAnsi="宋体" w:eastAsia="宋体" w:cs="宋体"/>
          <w:color w:val="auto"/>
          <w:sz w:val="24"/>
          <w:lang w:val="en-US" w:eastAsia="zh-CN"/>
        </w:rPr>
        <w:t>（四）履约验收标准：严格按照政府采购相关法律法规以及《财政部关于进一步加强政府采购需求和履约验收管理的指导意见》（财库〔2016〕205 号）的要求进行验收。</w:t>
      </w:r>
    </w:p>
    <w:p w14:paraId="1F1F1F50">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★（五）报价要求：</w:t>
      </w:r>
    </w:p>
    <w:p w14:paraId="72D52E1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投标报价以人民币为结算单位，包括人工、技术咨询、各项税费、相关部门验收及合同实施中不可预见费用等及完成本次招标内容所需的一切费用，以及投标人认为必要的其他货物、材料、工程、服务等费用。</w:t>
      </w:r>
    </w:p>
    <w:p w14:paraId="3ABA122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2）投标报价已包含完成本项目所需的人力成本、投入成本、利润、税金、交通、中标服务费及其他相关费用等，采购人将不予支付除招标文件及承包合同约定的由投标人承担的风险因素之外的任何补偿。</w:t>
      </w:r>
    </w:p>
    <w:p w14:paraId="071DE2F2">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(应在响应文件中单独提供承诺函，格式自拟，必须有供应商法定代表人或授权代表签字和加盖供应商公章)</w:t>
      </w:r>
    </w:p>
    <w:p w14:paraId="63A610F4">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违约责任：如成交，不可因未了解项目情况而放弃成交不履行中标人义务。如因中标人不能正常履约，给采购人造成任何损失的，采购人将保留进一步追溯的权利，并要求中标人赔偿由此带来的所有损失；如放弃中标，所产生的后果按照政府采购相关法律法规执行。</w:t>
      </w:r>
    </w:p>
    <w:p w14:paraId="6A50F4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(应在响应文件中单独提供承诺函，格式自拟，必须有供应商法定代表人或授权代表签字和加盖供应商公章)</w:t>
      </w:r>
    </w:p>
    <w:p w14:paraId="5A98C7F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注：本章采购需求中标注“★ ”号的条款为本次采购项目的实质性要求，不</w:t>
      </w:r>
      <w:bookmarkStart w:id="83" w:name="bookmark10"/>
      <w:bookmarkEnd w:id="83"/>
      <w:r>
        <w:rPr>
          <w:rFonts w:hint="eastAsia" w:ascii="宋体" w:hAnsi="宋体" w:eastAsia="宋体" w:cs="宋体"/>
          <w:color w:val="auto"/>
          <w:sz w:val="24"/>
          <w:lang w:val="en-US" w:eastAsia="zh-CN"/>
        </w:rPr>
        <w:t>允许有负偏离。</w:t>
      </w:r>
    </w:p>
    <w:p w14:paraId="0E34583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lang w:val="en-US" w:eastAsia="zh-CN"/>
        </w:rPr>
        <w:sectPr>
          <w:footerReference r:id="rId4" w:type="default"/>
          <w:pgSz w:w="11907" w:h="16840"/>
          <w:pgMar w:top="1440" w:right="1080" w:bottom="1440" w:left="1080" w:header="0" w:footer="842" w:gutter="0"/>
          <w:pgNumType w:fmt="decimal"/>
          <w:cols w:space="720" w:num="1"/>
        </w:sectPr>
      </w:pPr>
    </w:p>
    <w:p w14:paraId="6ADF2EDB">
      <w:pPr>
        <w:pStyle w:val="2"/>
        <w:numPr>
          <w:ilvl w:val="0"/>
          <w:numId w:val="1"/>
        </w:numPr>
        <w:spacing w:before="0" w:after="0" w:line="240" w:lineRule="auto"/>
        <w:ind w:left="0" w:leftChars="0"/>
        <w:rPr>
          <w:rFonts w:hint="eastAsia" w:ascii="宋体" w:hAnsi="宋体" w:eastAsia="宋体" w:cs="宋体"/>
          <w:color w:val="auto"/>
        </w:rPr>
      </w:pPr>
      <w:bookmarkStart w:id="84" w:name="_Toc20816"/>
      <w:bookmarkStart w:id="85" w:name="_Toc10724"/>
      <w:r>
        <w:rPr>
          <w:rFonts w:hint="eastAsia" w:ascii="宋体" w:hAnsi="宋体" w:eastAsia="宋体" w:cs="宋体"/>
          <w:color w:val="auto"/>
          <w:lang w:val="en-US" w:eastAsia="zh-CN"/>
        </w:rPr>
        <w:t xml:space="preserve"> </w:t>
      </w:r>
      <w:bookmarkStart w:id="86" w:name="_Toc23076"/>
      <w:bookmarkStart w:id="87" w:name="_Toc5472"/>
      <w:bookmarkStart w:id="88" w:name="_Toc3330"/>
      <w:r>
        <w:rPr>
          <w:rFonts w:hint="eastAsia" w:ascii="宋体" w:hAnsi="宋体" w:eastAsia="宋体" w:cs="宋体"/>
          <w:color w:val="auto"/>
        </w:rPr>
        <w:t>评审方法</w:t>
      </w:r>
      <w:bookmarkEnd w:id="75"/>
      <w:bookmarkEnd w:id="76"/>
      <w:bookmarkEnd w:id="77"/>
      <w:bookmarkEnd w:id="78"/>
      <w:bookmarkEnd w:id="84"/>
      <w:bookmarkEnd w:id="85"/>
      <w:bookmarkEnd w:id="86"/>
      <w:bookmarkEnd w:id="87"/>
      <w:bookmarkEnd w:id="88"/>
    </w:p>
    <w:p w14:paraId="156DA314">
      <w:pPr>
        <w:tabs>
          <w:tab w:val="left" w:pos="420"/>
          <w:tab w:val="left" w:pos="7560"/>
          <w:tab w:val="left" w:pos="7740"/>
          <w:tab w:val="left" w:pos="7920"/>
        </w:tabs>
        <w:adjustRightInd w:val="0"/>
        <w:snapToGrid w:val="0"/>
        <w:spacing w:line="360" w:lineRule="exact"/>
        <w:rPr>
          <w:rFonts w:hint="eastAsia" w:ascii="宋体" w:hAnsi="宋体" w:eastAsia="宋体" w:cs="宋体"/>
          <w:b/>
          <w:color w:val="auto"/>
          <w:sz w:val="28"/>
          <w:szCs w:val="24"/>
          <w:highlight w:val="white"/>
          <w:lang w:val="en-US" w:eastAsia="zh-CN"/>
        </w:rPr>
      </w:pPr>
      <w:bookmarkStart w:id="89" w:name="_Toc293736067"/>
      <w:bookmarkStart w:id="90" w:name="_Toc293736024"/>
      <w:bookmarkStart w:id="91" w:name="_Toc446599330"/>
      <w:bookmarkStart w:id="92" w:name="_Toc293739005"/>
    </w:p>
    <w:p w14:paraId="48315449">
      <w:pPr>
        <w:spacing w:line="500" w:lineRule="exact"/>
        <w:outlineLvl w:val="1"/>
        <w:rPr>
          <w:rFonts w:hint="eastAsia" w:ascii="宋体" w:hAnsi="宋体" w:eastAsia="宋体" w:cs="宋体"/>
          <w:b/>
          <w:color w:val="auto"/>
          <w:sz w:val="28"/>
          <w:szCs w:val="24"/>
          <w:highlight w:val="white"/>
          <w:lang w:val="en-US" w:eastAsia="zh-CN"/>
        </w:rPr>
      </w:pPr>
      <w:bookmarkStart w:id="93" w:name="_Toc12926"/>
      <w:bookmarkStart w:id="94" w:name="_Toc16809"/>
      <w:r>
        <w:rPr>
          <w:rFonts w:hint="eastAsia" w:ascii="宋体" w:hAnsi="宋体" w:eastAsia="宋体" w:cs="宋体"/>
          <w:b/>
          <w:color w:val="auto"/>
          <w:sz w:val="28"/>
          <w:szCs w:val="28"/>
          <w:lang w:eastAsia="zh-CN"/>
        </w:rPr>
        <w:t>一、评审办法</w:t>
      </w:r>
      <w:r>
        <w:rPr>
          <w:rFonts w:hint="eastAsia" w:ascii="宋体" w:hAnsi="宋体" w:eastAsia="宋体" w:cs="宋体"/>
          <w:b/>
          <w:color w:val="auto"/>
          <w:sz w:val="28"/>
          <w:szCs w:val="28"/>
        </w:rPr>
        <w:t>前附表</w:t>
      </w:r>
      <w:bookmarkEnd w:id="93"/>
      <w:bookmarkEnd w:id="94"/>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14:paraId="4701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noWrap w:val="0"/>
            <w:vAlign w:val="center"/>
          </w:tcPr>
          <w:p w14:paraId="46CAC801">
            <w:pPr>
              <w:spacing w:line="360" w:lineRule="auto"/>
              <w:ind w:firstLine="649" w:firstLineChars="294"/>
              <w:jc w:val="both"/>
              <w:rPr>
                <w:rFonts w:hint="eastAsia" w:ascii="宋体" w:hAnsi="宋体" w:eastAsia="宋体" w:cs="宋体"/>
                <w:b/>
                <w:color w:val="auto"/>
                <w:sz w:val="22"/>
                <w:szCs w:val="22"/>
              </w:rPr>
            </w:pPr>
            <w:r>
              <w:rPr>
                <w:rFonts w:hint="eastAsia" w:ascii="宋体" w:hAnsi="宋体" w:eastAsia="宋体" w:cs="宋体"/>
                <w:b/>
                <w:color w:val="auto"/>
                <w:sz w:val="22"/>
                <w:szCs w:val="22"/>
              </w:rPr>
              <w:t>评分因素</w:t>
            </w:r>
          </w:p>
        </w:tc>
        <w:tc>
          <w:tcPr>
            <w:tcW w:w="5845" w:type="dxa"/>
            <w:noWrap w:val="0"/>
            <w:vAlign w:val="center"/>
          </w:tcPr>
          <w:p w14:paraId="67F3595B">
            <w:pPr>
              <w:spacing w:line="360" w:lineRule="auto"/>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评分标准</w:t>
            </w:r>
          </w:p>
        </w:tc>
        <w:tc>
          <w:tcPr>
            <w:tcW w:w="1235" w:type="dxa"/>
            <w:noWrap w:val="0"/>
            <w:vAlign w:val="center"/>
          </w:tcPr>
          <w:p w14:paraId="7F75E521">
            <w:pPr>
              <w:spacing w:line="360" w:lineRule="auto"/>
              <w:jc w:val="center"/>
              <w:rPr>
                <w:rFonts w:hint="eastAsia" w:ascii="宋体" w:hAnsi="宋体" w:eastAsia="宋体" w:cs="宋体"/>
                <w:b/>
                <w:color w:val="auto"/>
                <w:sz w:val="22"/>
                <w:szCs w:val="22"/>
                <w:lang w:eastAsia="zh-CN"/>
              </w:rPr>
            </w:pPr>
            <w:r>
              <w:rPr>
                <w:rFonts w:hint="eastAsia" w:ascii="宋体" w:hAnsi="宋体" w:eastAsia="宋体" w:cs="宋体"/>
                <w:b/>
                <w:color w:val="auto"/>
                <w:sz w:val="22"/>
                <w:szCs w:val="22"/>
              </w:rPr>
              <w:t>评审</w:t>
            </w:r>
            <w:r>
              <w:rPr>
                <w:rFonts w:hint="eastAsia" w:ascii="宋体" w:hAnsi="宋体" w:eastAsia="宋体" w:cs="宋体"/>
                <w:b/>
                <w:color w:val="auto"/>
                <w:sz w:val="22"/>
                <w:szCs w:val="22"/>
                <w:lang w:eastAsia="zh-CN"/>
              </w:rPr>
              <w:t>结论</w:t>
            </w:r>
          </w:p>
        </w:tc>
      </w:tr>
      <w:tr w14:paraId="38E8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14:paraId="6A02E40D">
            <w:pPr>
              <w:spacing w:line="360" w:lineRule="auto"/>
              <w:ind w:firstLine="110" w:firstLineChars="50"/>
              <w:jc w:val="both"/>
              <w:rPr>
                <w:rFonts w:hint="eastAsia" w:ascii="宋体" w:hAnsi="宋体" w:eastAsia="宋体" w:cs="宋体"/>
                <w:color w:val="auto"/>
                <w:sz w:val="22"/>
                <w:szCs w:val="22"/>
              </w:rPr>
            </w:pPr>
            <w:r>
              <w:rPr>
                <w:rFonts w:hint="eastAsia" w:ascii="宋体" w:hAnsi="宋体" w:eastAsia="宋体" w:cs="宋体"/>
                <w:color w:val="auto"/>
                <w:sz w:val="22"/>
                <w:szCs w:val="22"/>
              </w:rPr>
              <w:t>初步评审</w:t>
            </w:r>
          </w:p>
        </w:tc>
        <w:tc>
          <w:tcPr>
            <w:tcW w:w="1708" w:type="dxa"/>
            <w:noWrap w:val="0"/>
            <w:vAlign w:val="center"/>
          </w:tcPr>
          <w:p w14:paraId="1BC301EF">
            <w:pPr>
              <w:spacing w:line="360" w:lineRule="auto"/>
              <w:jc w:val="center"/>
              <w:rPr>
                <w:rFonts w:hint="eastAsia" w:ascii="宋体" w:hAnsi="宋体" w:eastAsia="宋体" w:cs="宋体"/>
                <w:b/>
                <w:color w:val="auto"/>
                <w:sz w:val="22"/>
                <w:szCs w:val="22"/>
                <w:lang w:eastAsia="zh-CN"/>
              </w:rPr>
            </w:pPr>
            <w:r>
              <w:rPr>
                <w:rFonts w:hint="eastAsia" w:ascii="宋体" w:hAnsi="宋体" w:eastAsia="宋体" w:cs="宋体"/>
                <w:color w:val="auto"/>
                <w:sz w:val="22"/>
                <w:szCs w:val="22"/>
                <w:highlight w:val="none"/>
              </w:rPr>
              <w:t>资格</w:t>
            </w:r>
            <w:r>
              <w:rPr>
                <w:rFonts w:hint="eastAsia" w:ascii="宋体" w:hAnsi="宋体" w:eastAsia="宋体" w:cs="宋体"/>
                <w:color w:val="auto"/>
                <w:sz w:val="22"/>
                <w:szCs w:val="22"/>
                <w:highlight w:val="none"/>
                <w:lang w:eastAsia="zh-CN"/>
              </w:rPr>
              <w:t>审查</w:t>
            </w:r>
          </w:p>
        </w:tc>
        <w:tc>
          <w:tcPr>
            <w:tcW w:w="5845" w:type="dxa"/>
            <w:vMerge w:val="restart"/>
            <w:noWrap w:val="0"/>
            <w:vAlign w:val="center"/>
          </w:tcPr>
          <w:p w14:paraId="6E63D1F6">
            <w:pPr>
              <w:spacing w:line="360" w:lineRule="auto"/>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详见附表一</w:t>
            </w:r>
          </w:p>
        </w:tc>
        <w:tc>
          <w:tcPr>
            <w:tcW w:w="1235" w:type="dxa"/>
            <w:vMerge w:val="restart"/>
            <w:noWrap w:val="0"/>
            <w:vAlign w:val="top"/>
          </w:tcPr>
          <w:p w14:paraId="125F2F90">
            <w:pPr>
              <w:spacing w:line="360" w:lineRule="auto"/>
              <w:jc w:val="center"/>
              <w:rPr>
                <w:rFonts w:hint="eastAsia" w:ascii="宋体" w:hAnsi="宋体" w:eastAsia="宋体" w:cs="宋体"/>
                <w:color w:val="auto"/>
                <w:sz w:val="22"/>
                <w:szCs w:val="22"/>
              </w:rPr>
            </w:pPr>
          </w:p>
        </w:tc>
      </w:tr>
      <w:tr w14:paraId="675D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14:paraId="01C31900">
            <w:pPr>
              <w:spacing w:line="360" w:lineRule="auto"/>
              <w:jc w:val="center"/>
              <w:rPr>
                <w:rFonts w:hint="eastAsia" w:ascii="宋体" w:hAnsi="宋体" w:eastAsia="宋体" w:cs="宋体"/>
                <w:color w:val="auto"/>
                <w:sz w:val="22"/>
                <w:szCs w:val="22"/>
              </w:rPr>
            </w:pPr>
          </w:p>
        </w:tc>
        <w:tc>
          <w:tcPr>
            <w:tcW w:w="1708" w:type="dxa"/>
            <w:noWrap w:val="0"/>
            <w:vAlign w:val="center"/>
          </w:tcPr>
          <w:p w14:paraId="4DF73B69">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符合性</w:t>
            </w:r>
            <w:r>
              <w:rPr>
                <w:rFonts w:hint="eastAsia" w:ascii="宋体" w:hAnsi="宋体" w:eastAsia="宋体" w:cs="宋体"/>
                <w:color w:val="auto"/>
                <w:sz w:val="22"/>
                <w:szCs w:val="22"/>
                <w:lang w:eastAsia="zh-CN"/>
              </w:rPr>
              <w:t>审查</w:t>
            </w:r>
          </w:p>
        </w:tc>
        <w:tc>
          <w:tcPr>
            <w:tcW w:w="5845" w:type="dxa"/>
            <w:vMerge w:val="continue"/>
            <w:noWrap w:val="0"/>
            <w:vAlign w:val="center"/>
          </w:tcPr>
          <w:p w14:paraId="57684040">
            <w:pPr>
              <w:spacing w:line="440" w:lineRule="exact"/>
              <w:jc w:val="left"/>
              <w:rPr>
                <w:rFonts w:hint="eastAsia" w:ascii="宋体" w:hAnsi="宋体" w:eastAsia="宋体" w:cs="宋体"/>
                <w:color w:val="auto"/>
                <w:sz w:val="22"/>
                <w:szCs w:val="22"/>
              </w:rPr>
            </w:pPr>
          </w:p>
        </w:tc>
        <w:tc>
          <w:tcPr>
            <w:tcW w:w="1235" w:type="dxa"/>
            <w:vMerge w:val="continue"/>
            <w:noWrap w:val="0"/>
            <w:vAlign w:val="top"/>
          </w:tcPr>
          <w:p w14:paraId="72195D3C">
            <w:pPr>
              <w:spacing w:line="360" w:lineRule="auto"/>
              <w:jc w:val="center"/>
              <w:rPr>
                <w:rFonts w:hint="eastAsia" w:ascii="宋体" w:hAnsi="宋体" w:eastAsia="宋体" w:cs="宋体"/>
                <w:color w:val="auto"/>
                <w:sz w:val="22"/>
                <w:szCs w:val="22"/>
              </w:rPr>
            </w:pPr>
          </w:p>
        </w:tc>
      </w:tr>
      <w:tr w14:paraId="7D3E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14:paraId="2FE19C10">
            <w:pPr>
              <w:spacing w:line="360" w:lineRule="auto"/>
              <w:jc w:val="both"/>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eastAsia="zh-CN"/>
              </w:rPr>
              <w:t>说明：</w:t>
            </w:r>
            <w:r>
              <w:rPr>
                <w:rFonts w:hint="eastAsia" w:ascii="宋体" w:hAnsi="宋体" w:eastAsia="宋体" w:cs="宋体"/>
                <w:color w:val="auto"/>
                <w:sz w:val="22"/>
                <w:szCs w:val="22"/>
              </w:rPr>
              <w:t>初步评审</w:t>
            </w:r>
            <w:r>
              <w:rPr>
                <w:rFonts w:hint="eastAsia" w:ascii="宋体" w:hAnsi="宋体" w:eastAsia="宋体" w:cs="宋体"/>
                <w:color w:val="auto"/>
                <w:sz w:val="22"/>
                <w:szCs w:val="22"/>
                <w:lang w:eastAsia="zh-CN"/>
              </w:rPr>
              <w:t>不通过的</w:t>
            </w:r>
            <w:r>
              <w:rPr>
                <w:rFonts w:hint="eastAsia" w:ascii="宋体" w:hAnsi="宋体" w:eastAsia="宋体" w:cs="宋体"/>
                <w:color w:val="auto"/>
                <w:sz w:val="22"/>
                <w:szCs w:val="22"/>
                <w:lang w:val="en-US" w:eastAsia="zh-CN"/>
              </w:rPr>
              <w:t>不再进入详细评审</w:t>
            </w:r>
          </w:p>
        </w:tc>
      </w:tr>
      <w:tr w14:paraId="7FD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14:paraId="75B95AEC">
            <w:pPr>
              <w:spacing w:line="360" w:lineRule="auto"/>
              <w:ind w:firstLine="541" w:firstLineChars="245"/>
              <w:rPr>
                <w:rFonts w:hint="eastAsia" w:ascii="宋体" w:hAnsi="宋体" w:eastAsia="宋体" w:cs="宋体"/>
                <w:color w:val="auto"/>
                <w:sz w:val="22"/>
                <w:szCs w:val="22"/>
              </w:rPr>
            </w:pPr>
            <w:r>
              <w:rPr>
                <w:rFonts w:hint="eastAsia" w:ascii="宋体" w:hAnsi="宋体" w:eastAsia="宋体" w:cs="宋体"/>
                <w:b/>
                <w:color w:val="auto"/>
                <w:sz w:val="22"/>
                <w:szCs w:val="22"/>
              </w:rPr>
              <w:t>评分因素</w:t>
            </w:r>
          </w:p>
        </w:tc>
        <w:tc>
          <w:tcPr>
            <w:tcW w:w="5845" w:type="dxa"/>
            <w:noWrap w:val="0"/>
            <w:vAlign w:val="center"/>
          </w:tcPr>
          <w:p w14:paraId="783BCF6F">
            <w:pPr>
              <w:spacing w:line="360" w:lineRule="auto"/>
              <w:jc w:val="center"/>
              <w:rPr>
                <w:rFonts w:hint="eastAsia" w:ascii="宋体" w:hAnsi="宋体" w:eastAsia="宋体" w:cs="宋体"/>
                <w:color w:val="auto"/>
                <w:sz w:val="22"/>
                <w:szCs w:val="22"/>
              </w:rPr>
            </w:pPr>
            <w:r>
              <w:rPr>
                <w:rFonts w:hint="eastAsia" w:ascii="宋体" w:hAnsi="宋体" w:eastAsia="宋体" w:cs="宋体"/>
                <w:b/>
                <w:color w:val="auto"/>
                <w:sz w:val="22"/>
                <w:szCs w:val="22"/>
              </w:rPr>
              <w:t>评分标准</w:t>
            </w:r>
          </w:p>
        </w:tc>
        <w:tc>
          <w:tcPr>
            <w:tcW w:w="1235" w:type="dxa"/>
            <w:noWrap w:val="0"/>
            <w:vAlign w:val="top"/>
          </w:tcPr>
          <w:p w14:paraId="42775F96">
            <w:pPr>
              <w:spacing w:line="360" w:lineRule="auto"/>
              <w:jc w:val="center"/>
              <w:rPr>
                <w:rFonts w:hint="eastAsia" w:ascii="宋体" w:hAnsi="宋体" w:eastAsia="宋体" w:cs="宋体"/>
                <w:color w:val="auto"/>
                <w:sz w:val="22"/>
                <w:szCs w:val="22"/>
              </w:rPr>
            </w:pPr>
            <w:r>
              <w:rPr>
                <w:rFonts w:hint="eastAsia" w:ascii="宋体" w:hAnsi="宋体" w:eastAsia="宋体" w:cs="宋体"/>
                <w:b/>
                <w:color w:val="auto"/>
                <w:sz w:val="22"/>
                <w:szCs w:val="22"/>
              </w:rPr>
              <w:t>权重分配</w:t>
            </w:r>
          </w:p>
        </w:tc>
      </w:tr>
      <w:tr w14:paraId="7B08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0" w:hRule="atLeast"/>
          <w:jc w:val="center"/>
        </w:trPr>
        <w:tc>
          <w:tcPr>
            <w:tcW w:w="1202" w:type="dxa"/>
            <w:vMerge w:val="restart"/>
            <w:noWrap w:val="0"/>
            <w:vAlign w:val="center"/>
          </w:tcPr>
          <w:p w14:paraId="7AA71C96">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详细评审</w:t>
            </w:r>
          </w:p>
        </w:tc>
        <w:tc>
          <w:tcPr>
            <w:tcW w:w="1708" w:type="dxa"/>
            <w:noWrap w:val="0"/>
            <w:vAlign w:val="center"/>
          </w:tcPr>
          <w:p w14:paraId="4A20351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投标报价评审</w:t>
            </w:r>
          </w:p>
          <w:p w14:paraId="78A5318B">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tc>
        <w:tc>
          <w:tcPr>
            <w:tcW w:w="5845" w:type="dxa"/>
            <w:noWrap w:val="0"/>
            <w:vAlign w:val="center"/>
          </w:tcPr>
          <w:p w14:paraId="72C288DB">
            <w:pPr>
              <w:spacing w:line="360" w:lineRule="auto"/>
              <w:jc w:val="left"/>
              <w:rPr>
                <w:rFonts w:hint="eastAsia" w:ascii="宋体" w:hAnsi="宋体" w:eastAsia="宋体" w:cs="宋体"/>
                <w:color w:val="auto"/>
                <w:sz w:val="28"/>
                <w:szCs w:val="18"/>
                <w:lang w:eastAsia="zh-CN"/>
              </w:rPr>
            </w:pPr>
            <w:r>
              <w:rPr>
                <w:rFonts w:hint="eastAsia" w:ascii="宋体" w:hAnsi="宋体" w:eastAsia="宋体" w:cs="宋体"/>
                <w:color w:val="auto"/>
                <w:kern w:val="2"/>
                <w:sz w:val="22"/>
                <w:szCs w:val="22"/>
                <w:lang w:val="en-US" w:eastAsia="zh-CN" w:bidi="ar-SA"/>
              </w:rPr>
              <w:t>评标基准价=有效投标报价的最低值，有效投标报价等于基准值的得满分，投标报价得分=（评标基准价/投标报价）×价格权重×100。有效投标报价为通过初步审查的供应商报价。</w:t>
            </w:r>
          </w:p>
        </w:tc>
        <w:tc>
          <w:tcPr>
            <w:tcW w:w="1235" w:type="dxa"/>
            <w:noWrap w:val="0"/>
            <w:vAlign w:val="center"/>
          </w:tcPr>
          <w:p w14:paraId="07DBFDF6">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p>
        </w:tc>
      </w:tr>
      <w:tr w14:paraId="367A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14:paraId="15F2C58A">
            <w:pPr>
              <w:spacing w:line="360" w:lineRule="auto"/>
              <w:jc w:val="center"/>
              <w:rPr>
                <w:rFonts w:hint="eastAsia" w:ascii="宋体" w:hAnsi="宋体" w:eastAsia="宋体" w:cs="宋体"/>
                <w:color w:val="auto"/>
                <w:sz w:val="22"/>
                <w:szCs w:val="22"/>
              </w:rPr>
            </w:pPr>
          </w:p>
        </w:tc>
        <w:tc>
          <w:tcPr>
            <w:tcW w:w="1708" w:type="dxa"/>
            <w:noWrap w:val="0"/>
            <w:vAlign w:val="center"/>
          </w:tcPr>
          <w:p w14:paraId="2E3E5E7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商务</w:t>
            </w:r>
            <w:r>
              <w:rPr>
                <w:rFonts w:hint="eastAsia" w:ascii="宋体" w:hAnsi="宋体" w:cs="宋体"/>
                <w:color w:val="auto"/>
                <w:sz w:val="22"/>
                <w:szCs w:val="22"/>
                <w:highlight w:val="none"/>
                <w:lang w:val="en-US" w:eastAsia="zh-CN"/>
              </w:rPr>
              <w:t>技术</w:t>
            </w:r>
            <w:r>
              <w:rPr>
                <w:rFonts w:hint="eastAsia" w:ascii="宋体" w:hAnsi="宋体" w:eastAsia="宋体" w:cs="宋体"/>
                <w:color w:val="auto"/>
                <w:sz w:val="22"/>
                <w:szCs w:val="22"/>
                <w:highlight w:val="none"/>
                <w:lang w:eastAsia="zh-CN"/>
              </w:rPr>
              <w:t>详细评审表</w:t>
            </w: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0分</w:t>
            </w:r>
          </w:p>
        </w:tc>
        <w:tc>
          <w:tcPr>
            <w:tcW w:w="5845" w:type="dxa"/>
            <w:noWrap w:val="0"/>
            <w:vAlign w:val="center"/>
          </w:tcPr>
          <w:p w14:paraId="7B2DA22A">
            <w:pPr>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详见附表</w:t>
            </w:r>
            <w:r>
              <w:rPr>
                <w:rFonts w:hint="eastAsia" w:ascii="宋体" w:hAnsi="宋体" w:eastAsia="宋体" w:cs="宋体"/>
                <w:color w:val="auto"/>
                <w:sz w:val="22"/>
                <w:szCs w:val="22"/>
                <w:highlight w:val="none"/>
                <w:lang w:val="en-US" w:eastAsia="zh-CN"/>
              </w:rPr>
              <w:t>二</w:t>
            </w:r>
          </w:p>
        </w:tc>
        <w:tc>
          <w:tcPr>
            <w:tcW w:w="1235" w:type="dxa"/>
            <w:noWrap w:val="0"/>
            <w:vAlign w:val="center"/>
          </w:tcPr>
          <w:p w14:paraId="117ABC87">
            <w:pPr>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0%</w:t>
            </w:r>
          </w:p>
        </w:tc>
      </w:tr>
      <w:tr w14:paraId="3E43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center"/>
          </w:tcPr>
          <w:p w14:paraId="7FFC6BEB">
            <w:pPr>
              <w:spacing w:line="36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合计</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100分</w:t>
            </w:r>
            <w:r>
              <w:rPr>
                <w:rFonts w:hint="eastAsia" w:ascii="宋体" w:hAnsi="宋体" w:eastAsia="宋体" w:cs="宋体"/>
                <w:color w:val="auto"/>
                <w:sz w:val="22"/>
                <w:szCs w:val="22"/>
                <w:lang w:eastAsia="zh-CN"/>
              </w:rPr>
              <w:t>）</w:t>
            </w:r>
          </w:p>
        </w:tc>
        <w:tc>
          <w:tcPr>
            <w:tcW w:w="5845" w:type="dxa"/>
            <w:noWrap w:val="0"/>
            <w:vAlign w:val="center"/>
          </w:tcPr>
          <w:p w14:paraId="160868C1">
            <w:pPr>
              <w:spacing w:line="360" w:lineRule="auto"/>
              <w:jc w:val="center"/>
              <w:rPr>
                <w:rFonts w:hint="eastAsia" w:ascii="宋体" w:hAnsi="宋体" w:eastAsia="宋体" w:cs="宋体"/>
                <w:color w:val="auto"/>
                <w:sz w:val="22"/>
                <w:szCs w:val="22"/>
              </w:rPr>
            </w:pPr>
          </w:p>
        </w:tc>
        <w:tc>
          <w:tcPr>
            <w:tcW w:w="1235" w:type="dxa"/>
            <w:noWrap w:val="0"/>
            <w:vAlign w:val="center"/>
          </w:tcPr>
          <w:p w14:paraId="315898A6">
            <w:pPr>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100%</w:t>
            </w:r>
          </w:p>
        </w:tc>
      </w:tr>
      <w:tr w14:paraId="4985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noWrap w:val="0"/>
            <w:vAlign w:val="center"/>
          </w:tcPr>
          <w:p w14:paraId="5946A4C5">
            <w:pPr>
              <w:spacing w:line="360" w:lineRule="auto"/>
              <w:jc w:val="left"/>
              <w:rPr>
                <w:rFonts w:hint="eastAsia" w:ascii="宋体" w:hAnsi="宋体" w:eastAsia="宋体" w:cs="宋体"/>
                <w:color w:val="auto"/>
                <w:sz w:val="22"/>
                <w:szCs w:val="22"/>
              </w:rPr>
            </w:pPr>
            <w:r>
              <w:rPr>
                <w:rFonts w:hint="eastAsia" w:ascii="宋体" w:hAnsi="宋体" w:eastAsia="宋体" w:cs="宋体"/>
                <w:color w:val="auto"/>
                <w:sz w:val="22"/>
                <w:szCs w:val="22"/>
              </w:rPr>
              <w:t>注：评分分值计算保留小数点后两位，小数点后第三位“四舍五入”</w:t>
            </w:r>
          </w:p>
        </w:tc>
      </w:tr>
    </w:tbl>
    <w:p w14:paraId="0413F842">
      <w:pPr>
        <w:pStyle w:val="32"/>
        <w:ind w:left="0" w:leftChars="0" w:firstLine="0" w:firstLineChars="0"/>
        <w:rPr>
          <w:rFonts w:hint="eastAsia" w:ascii="宋体" w:hAnsi="宋体" w:eastAsia="宋体" w:cs="宋体"/>
          <w:color w:val="auto"/>
          <w:kern w:val="2"/>
          <w:sz w:val="28"/>
          <w:szCs w:val="24"/>
          <w:highlight w:val="white"/>
          <w:lang w:val="en-US" w:eastAsia="zh-CN" w:bidi="ar-SA"/>
        </w:rPr>
      </w:pPr>
    </w:p>
    <w:p w14:paraId="27F8BACE">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注：本项目为专门面向中小微企业，故不进行价格扣除。</w:t>
      </w:r>
    </w:p>
    <w:p w14:paraId="3E63A89D">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sz w:val="24"/>
          <w:highlight w:val="none"/>
          <w:lang w:eastAsia="zh-CN"/>
        </w:rPr>
        <w:t>政府采购政策功能落实：</w:t>
      </w:r>
      <w:r>
        <w:rPr>
          <w:rFonts w:hint="eastAsia" w:ascii="宋体" w:hAnsi="宋体" w:eastAsia="宋体" w:cs="宋体"/>
          <w:b/>
          <w:bCs/>
          <w:color w:val="auto"/>
          <w:sz w:val="24"/>
          <w:highlight w:val="none"/>
          <w:lang w:val="en-US" w:eastAsia="zh-CN"/>
        </w:rPr>
        <w:t>本项目不适用</w:t>
      </w:r>
    </w:p>
    <w:p w14:paraId="1D5AA93D">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一、关于</w:t>
      </w:r>
      <w:r>
        <w:rPr>
          <w:rFonts w:hint="eastAsia" w:ascii="宋体" w:hAnsi="宋体" w:eastAsia="宋体" w:cs="宋体"/>
          <w:color w:val="auto"/>
          <w:sz w:val="24"/>
          <w:szCs w:val="24"/>
        </w:rPr>
        <w:t>小</w:t>
      </w:r>
      <w:r>
        <w:rPr>
          <w:rFonts w:hint="eastAsia" w:ascii="宋体" w:hAnsi="宋体" w:eastAsia="宋体" w:cs="宋体"/>
          <w:color w:val="auto"/>
          <w:sz w:val="24"/>
          <w:szCs w:val="24"/>
          <w:lang w:val="en-US" w:eastAsia="zh-CN"/>
        </w:rPr>
        <w:t>微</w:t>
      </w:r>
      <w:r>
        <w:rPr>
          <w:rFonts w:hint="eastAsia" w:ascii="宋体" w:hAnsi="宋体" w:eastAsia="宋体" w:cs="宋体"/>
          <w:color w:val="auto"/>
          <w:sz w:val="24"/>
          <w:szCs w:val="24"/>
          <w:lang w:eastAsia="zh-CN"/>
        </w:rPr>
        <w:t>企业、</w:t>
      </w:r>
      <w:r>
        <w:rPr>
          <w:rFonts w:hint="eastAsia" w:ascii="宋体" w:hAnsi="宋体" w:eastAsia="宋体" w:cs="宋体"/>
          <w:color w:val="auto"/>
          <w:sz w:val="24"/>
          <w:szCs w:val="24"/>
        </w:rPr>
        <w:t>残疾人福利</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监狱企业</w:t>
      </w:r>
      <w:r>
        <w:rPr>
          <w:rFonts w:hint="eastAsia" w:ascii="宋体" w:hAnsi="宋体" w:eastAsia="宋体" w:cs="宋体"/>
          <w:color w:val="auto"/>
          <w:sz w:val="24"/>
          <w:szCs w:val="24"/>
          <w:lang w:eastAsia="zh-CN"/>
        </w:rPr>
        <w:t>扶持政策落实的规定：</w:t>
      </w:r>
    </w:p>
    <w:p w14:paraId="476D00B0">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1、小</w:t>
      </w:r>
      <w:r>
        <w:rPr>
          <w:rFonts w:hint="eastAsia" w:ascii="宋体" w:hAnsi="宋体" w:eastAsia="宋体" w:cs="宋体"/>
          <w:color w:val="auto"/>
          <w:sz w:val="24"/>
          <w:szCs w:val="24"/>
          <w:lang w:val="en-US" w:eastAsia="zh-CN"/>
        </w:rPr>
        <w:t>微</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报价的</w:t>
      </w:r>
      <w:r>
        <w:rPr>
          <w:rFonts w:hint="eastAsia" w:ascii="宋体" w:hAnsi="宋体" w:eastAsia="宋体" w:cs="宋体"/>
          <w:color w:val="auto"/>
          <w:sz w:val="24"/>
          <w:szCs w:val="24"/>
        </w:rPr>
        <w:t>价格扣除</w:t>
      </w:r>
    </w:p>
    <w:p w14:paraId="5A0FFA88">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（1）本项目对小</w:t>
      </w:r>
      <w:r>
        <w:rPr>
          <w:rFonts w:hint="eastAsia" w:ascii="宋体" w:hAnsi="宋体" w:eastAsia="宋体" w:cs="宋体"/>
          <w:color w:val="auto"/>
          <w:sz w:val="24"/>
          <w:szCs w:val="24"/>
          <w:lang w:val="en-US" w:eastAsia="zh-CN"/>
        </w:rPr>
        <w:t>微</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报价的</w:t>
      </w:r>
      <w:r>
        <w:rPr>
          <w:rFonts w:hint="eastAsia" w:ascii="宋体" w:hAnsi="宋体" w:eastAsia="宋体" w:cs="宋体"/>
          <w:color w:val="auto"/>
          <w:sz w:val="24"/>
          <w:szCs w:val="24"/>
          <w:lang w:eastAsia="zh-CN"/>
        </w:rPr>
        <w:t>价格</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的扣除，用扣除后的价格参与评审。</w:t>
      </w:r>
    </w:p>
    <w:p w14:paraId="2819516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（2）供应商需按照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文件的要求提供《</w:t>
      </w:r>
      <w:r>
        <w:rPr>
          <w:rFonts w:hint="eastAsia" w:ascii="宋体" w:hAnsi="宋体" w:eastAsia="宋体" w:cs="宋体"/>
          <w:color w:val="auto"/>
          <w:sz w:val="24"/>
          <w:szCs w:val="24"/>
          <w:lang w:eastAsia="zh-CN"/>
        </w:rPr>
        <w:t>中小</w:t>
      </w:r>
      <w:r>
        <w:rPr>
          <w:rFonts w:hint="eastAsia" w:ascii="宋体" w:hAnsi="宋体" w:eastAsia="宋体" w:cs="宋体"/>
          <w:color w:val="auto"/>
          <w:sz w:val="24"/>
          <w:szCs w:val="24"/>
        </w:rPr>
        <w:t>企业声明函》。</w:t>
      </w:r>
    </w:p>
    <w:p w14:paraId="42899F2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（3）企业标准</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参</w:t>
      </w:r>
      <w:r>
        <w:rPr>
          <w:rFonts w:hint="eastAsia" w:ascii="宋体" w:hAnsi="宋体" w:eastAsia="宋体" w:cs="宋体"/>
          <w:color w:val="auto"/>
          <w:sz w:val="24"/>
          <w:szCs w:val="24"/>
          <w:lang w:val="en-US" w:eastAsia="zh-CN"/>
        </w:rPr>
        <w:t>考</w:t>
      </w:r>
      <w:r>
        <w:rPr>
          <w:rFonts w:hint="eastAsia" w:ascii="宋体" w:hAnsi="宋体" w:eastAsia="宋体" w:cs="宋体"/>
          <w:color w:val="auto"/>
          <w:sz w:val="24"/>
          <w:szCs w:val="24"/>
        </w:rPr>
        <w:t>《关于印发中小企业划型标准规定的通知》（工信部联企业[2011]300号）文件规定自行填写。</w:t>
      </w:r>
    </w:p>
    <w:p w14:paraId="4A46E8A5">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2、残疾人福利</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单位</w:t>
      </w:r>
      <w:r>
        <w:rPr>
          <w:rFonts w:hint="eastAsia" w:ascii="宋体" w:hAnsi="宋体" w:eastAsia="宋体" w:cs="宋体"/>
          <w:color w:val="auto"/>
          <w:sz w:val="24"/>
          <w:szCs w:val="24"/>
          <w:lang w:val="en-US" w:eastAsia="zh-CN"/>
        </w:rPr>
        <w:t>报价的</w:t>
      </w:r>
      <w:r>
        <w:rPr>
          <w:rFonts w:hint="eastAsia" w:ascii="宋体" w:hAnsi="宋体" w:eastAsia="宋体" w:cs="宋体"/>
          <w:color w:val="auto"/>
          <w:sz w:val="24"/>
          <w:szCs w:val="24"/>
        </w:rPr>
        <w:t>价格扣除</w:t>
      </w:r>
    </w:p>
    <w:p w14:paraId="398A6C4F">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（1）本项目对残疾人福利性单位视同小微企业</w:t>
      </w:r>
      <w:r>
        <w:rPr>
          <w:rFonts w:hint="eastAsia" w:ascii="宋体" w:hAnsi="宋体" w:eastAsia="宋体" w:cs="宋体"/>
          <w:color w:val="auto"/>
          <w:sz w:val="24"/>
          <w:szCs w:val="24"/>
          <w:lang w:val="en-US" w:eastAsia="zh-CN"/>
        </w:rPr>
        <w:t>享受同等</w:t>
      </w:r>
      <w:r>
        <w:rPr>
          <w:rFonts w:hint="eastAsia" w:ascii="宋体" w:hAnsi="宋体" w:eastAsia="宋体" w:cs="宋体"/>
          <w:color w:val="auto"/>
          <w:sz w:val="24"/>
          <w:szCs w:val="24"/>
        </w:rPr>
        <w:t>价格扣除，用扣除后的价格参与评审。</w:t>
      </w:r>
    </w:p>
    <w:p w14:paraId="4991B1F5">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（2）残疾人福利</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单位需按照</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文件的要求提供《残疾人福利性单位声明函》。</w:t>
      </w:r>
    </w:p>
    <w:p w14:paraId="045A1ED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（3）残疾人福利</w:t>
      </w:r>
      <w:r>
        <w:rPr>
          <w:rFonts w:hint="eastAsia" w:ascii="宋体" w:hAnsi="宋体" w:eastAsia="宋体" w:cs="宋体"/>
          <w:color w:val="auto"/>
          <w:sz w:val="24"/>
          <w:szCs w:val="24"/>
          <w:lang w:eastAsia="zh-CN"/>
        </w:rPr>
        <w:t>性</w:t>
      </w:r>
      <w:r>
        <w:rPr>
          <w:rFonts w:hint="eastAsia" w:ascii="宋体" w:hAnsi="宋体" w:eastAsia="宋体" w:cs="宋体"/>
          <w:color w:val="auto"/>
          <w:sz w:val="24"/>
          <w:szCs w:val="24"/>
        </w:rPr>
        <w:t>单位标准请参照《关于促进残疾人就业政府采购政策的通知》（财库〔2017〕141号）。</w:t>
      </w:r>
    </w:p>
    <w:p w14:paraId="24C515B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3、监狱和戒毒企业</w:t>
      </w:r>
      <w:r>
        <w:rPr>
          <w:rFonts w:hint="eastAsia" w:ascii="宋体" w:hAnsi="宋体" w:eastAsia="宋体" w:cs="宋体"/>
          <w:color w:val="auto"/>
          <w:sz w:val="24"/>
          <w:szCs w:val="24"/>
          <w:lang w:val="en-US" w:eastAsia="zh-CN"/>
        </w:rPr>
        <w:t>报价的</w:t>
      </w:r>
      <w:r>
        <w:rPr>
          <w:rFonts w:hint="eastAsia" w:ascii="宋体" w:hAnsi="宋体" w:eastAsia="宋体" w:cs="宋体"/>
          <w:color w:val="auto"/>
          <w:sz w:val="24"/>
          <w:szCs w:val="24"/>
        </w:rPr>
        <w:t>价格扣除</w:t>
      </w:r>
    </w:p>
    <w:p w14:paraId="16915A9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（1）本项目对监狱和戒毒企业（简称监狱企业）视同小微企业</w:t>
      </w:r>
      <w:r>
        <w:rPr>
          <w:rFonts w:hint="eastAsia" w:ascii="宋体" w:hAnsi="宋体" w:eastAsia="宋体" w:cs="宋体"/>
          <w:color w:val="auto"/>
          <w:sz w:val="24"/>
          <w:szCs w:val="24"/>
          <w:lang w:val="en-US" w:eastAsia="zh-CN"/>
        </w:rPr>
        <w:t>享受同等</w:t>
      </w:r>
      <w:r>
        <w:rPr>
          <w:rFonts w:hint="eastAsia" w:ascii="宋体" w:hAnsi="宋体" w:eastAsia="宋体" w:cs="宋体"/>
          <w:color w:val="auto"/>
          <w:sz w:val="24"/>
          <w:szCs w:val="24"/>
        </w:rPr>
        <w:t>价格扣除，用扣除后的价格参与评审。</w:t>
      </w:r>
    </w:p>
    <w:p w14:paraId="113A1D4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4A2216E8">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（3）监狱企业标准请参照《关于政府采购支持监狱企业发展有关问题的通知》（财库[2014]68号）。</w:t>
      </w:r>
    </w:p>
    <w:p w14:paraId="32321C3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4、残疾人福利单位、监狱企业属于小型、微型企业的，不重复享受政策。</w:t>
      </w:r>
    </w:p>
    <w:p w14:paraId="1CAEE265">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5、大中型企业与小微企业（残疾人福利单位、监狱企业）组成联合体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联合协议中约定，小微企业（残疾人福利单位、监狱企业）的协议合同金额占到联合体协议合同总金额30%以上的，给予联合体</w:t>
      </w:r>
      <w:r>
        <w:rPr>
          <w:rFonts w:hint="eastAsia" w:ascii="宋体" w:hAnsi="宋体" w:eastAsia="宋体" w:cs="宋体"/>
          <w:b/>
          <w:bCs/>
          <w:color w:val="auto"/>
          <w:sz w:val="24"/>
          <w:szCs w:val="24"/>
          <w:lang w:val="en-US" w:eastAsia="zh-CN"/>
        </w:rPr>
        <w:t xml:space="preserve"> 4</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的价格扣除，用扣除后的价格参与评审</w:t>
      </w:r>
      <w:r>
        <w:rPr>
          <w:rFonts w:hint="eastAsia" w:ascii="宋体" w:hAnsi="宋体" w:eastAsia="宋体" w:cs="宋体"/>
          <w:color w:val="auto"/>
          <w:sz w:val="24"/>
          <w:szCs w:val="24"/>
          <w:lang w:eastAsia="zh-CN"/>
        </w:rPr>
        <w:t>（注意：组成联合体的</w:t>
      </w:r>
      <w:r>
        <w:rPr>
          <w:rFonts w:hint="eastAsia" w:ascii="宋体" w:hAnsi="宋体" w:eastAsia="宋体" w:cs="宋体"/>
          <w:color w:val="auto"/>
          <w:sz w:val="24"/>
          <w:szCs w:val="24"/>
        </w:rPr>
        <w:t>小</w:t>
      </w:r>
      <w:r>
        <w:rPr>
          <w:rFonts w:hint="eastAsia" w:ascii="宋体" w:hAnsi="宋体" w:eastAsia="宋体" w:cs="宋体"/>
          <w:color w:val="auto"/>
          <w:sz w:val="24"/>
          <w:szCs w:val="24"/>
          <w:lang w:val="en-US" w:eastAsia="zh-CN"/>
        </w:rPr>
        <w:t>微</w:t>
      </w:r>
      <w:r>
        <w:rPr>
          <w:rFonts w:hint="eastAsia" w:ascii="宋体" w:hAnsi="宋体" w:eastAsia="宋体" w:cs="宋体"/>
          <w:color w:val="auto"/>
          <w:sz w:val="24"/>
          <w:szCs w:val="24"/>
        </w:rPr>
        <w:t>企业</w:t>
      </w:r>
      <w:r>
        <w:rPr>
          <w:rFonts w:hint="eastAsia" w:ascii="宋体" w:hAnsi="宋体" w:eastAsia="宋体" w:cs="宋体"/>
          <w:color w:val="auto"/>
          <w:sz w:val="24"/>
          <w:szCs w:val="24"/>
          <w:lang w:eastAsia="zh-CN"/>
        </w:rPr>
        <w:t>与联合体内其他</w:t>
      </w:r>
      <w:r>
        <w:rPr>
          <w:rFonts w:hint="eastAsia" w:ascii="宋体" w:hAnsi="宋体" w:eastAsia="宋体" w:cs="宋体"/>
          <w:color w:val="auto"/>
          <w:sz w:val="24"/>
          <w:szCs w:val="24"/>
        </w:rPr>
        <w:t>企业</w:t>
      </w:r>
      <w:r>
        <w:rPr>
          <w:rFonts w:hint="eastAsia" w:ascii="宋体" w:hAnsi="宋体" w:eastAsia="宋体" w:cs="宋体"/>
          <w:color w:val="auto"/>
          <w:sz w:val="24"/>
          <w:szCs w:val="24"/>
          <w:lang w:eastAsia="zh-CN"/>
        </w:rPr>
        <w:t>之间不得存在直接控股、管理关系）</w:t>
      </w:r>
      <w:r>
        <w:rPr>
          <w:rFonts w:hint="eastAsia" w:ascii="宋体" w:hAnsi="宋体" w:eastAsia="宋体" w:cs="宋体"/>
          <w:color w:val="auto"/>
          <w:sz w:val="24"/>
          <w:szCs w:val="24"/>
        </w:rPr>
        <w:t>。</w:t>
      </w:r>
    </w:p>
    <w:p w14:paraId="4C0AF78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6、联合体各方均为小微企业（残疾人福利单位、监狱企业）的，联合体享受</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 xml:space="preserve">10% </w:t>
      </w:r>
      <w:r>
        <w:rPr>
          <w:rFonts w:hint="eastAsia" w:ascii="宋体" w:hAnsi="宋体" w:eastAsia="宋体" w:cs="宋体"/>
          <w:color w:val="auto"/>
          <w:sz w:val="24"/>
          <w:szCs w:val="24"/>
        </w:rPr>
        <w:t>价格扣除，用扣除后的价格参与评审。</w:t>
      </w:r>
    </w:p>
    <w:p w14:paraId="1BF571A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7、符合中小企业划型标准的个体工商户视同</w:t>
      </w:r>
      <w:r>
        <w:rPr>
          <w:rFonts w:hint="eastAsia" w:ascii="宋体" w:hAnsi="宋体" w:eastAsia="宋体" w:cs="宋体"/>
          <w:color w:val="auto"/>
          <w:sz w:val="24"/>
          <w:szCs w:val="24"/>
        </w:rPr>
        <w:t>小</w:t>
      </w:r>
      <w:r>
        <w:rPr>
          <w:rFonts w:hint="eastAsia" w:ascii="宋体" w:hAnsi="宋体" w:eastAsia="宋体" w:cs="宋体"/>
          <w:color w:val="auto"/>
          <w:sz w:val="24"/>
          <w:szCs w:val="24"/>
          <w:lang w:val="en-US" w:eastAsia="zh-CN"/>
        </w:rPr>
        <w:t>微企业。</w:t>
      </w:r>
    </w:p>
    <w:p w14:paraId="461AB9A5">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8、若本项目所有供应商均属</w:t>
      </w:r>
      <w:r>
        <w:rPr>
          <w:rFonts w:hint="eastAsia" w:ascii="宋体" w:hAnsi="宋体" w:eastAsia="宋体" w:cs="宋体"/>
          <w:color w:val="auto"/>
          <w:sz w:val="24"/>
          <w:szCs w:val="24"/>
        </w:rPr>
        <w:t>小微</w:t>
      </w:r>
      <w:r>
        <w:rPr>
          <w:rFonts w:hint="eastAsia" w:ascii="宋体" w:hAnsi="宋体" w:eastAsia="宋体" w:cs="宋体"/>
          <w:color w:val="auto"/>
          <w:sz w:val="24"/>
          <w:szCs w:val="24"/>
          <w:lang w:val="en-US" w:eastAsia="zh-CN"/>
        </w:rPr>
        <w:t>企业（残疾人福利性单位、监狱企业）的，按原报价进行评审。</w:t>
      </w:r>
    </w:p>
    <w:p w14:paraId="2E1834A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6AB461D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622CB6BA">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1B9D3960">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60443F08">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4151954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6081FC3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59CF7AA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3C20278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73AB268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44DC11D1">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79CEC2F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2350C2FD">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3051A54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451D4F6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63E9C44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p>
    <w:p w14:paraId="3AF81313">
      <w:pPr>
        <w:pStyle w:val="80"/>
        <w:rPr>
          <w:rFonts w:hint="eastAsia" w:ascii="宋体" w:hAnsi="宋体" w:eastAsia="宋体" w:cs="宋体"/>
          <w:color w:val="auto"/>
          <w:sz w:val="22"/>
          <w:szCs w:val="22"/>
          <w:highlight w:val="white"/>
          <w:lang w:val="en-US" w:eastAsia="zh-CN"/>
        </w:rPr>
      </w:pPr>
      <w:r>
        <w:rPr>
          <w:rFonts w:hint="eastAsia" w:ascii="宋体" w:hAnsi="宋体" w:eastAsia="宋体" w:cs="宋体"/>
          <w:color w:val="auto"/>
          <w:sz w:val="22"/>
          <w:szCs w:val="22"/>
          <w:highlight w:val="white"/>
          <w:lang w:eastAsia="zh-CN"/>
        </w:rPr>
        <w:t>附表一</w:t>
      </w:r>
      <w:r>
        <w:rPr>
          <w:rFonts w:hint="eastAsia" w:ascii="宋体" w:hAnsi="宋体" w:eastAsia="宋体" w:cs="宋体"/>
          <w:color w:val="auto"/>
          <w:sz w:val="22"/>
          <w:szCs w:val="22"/>
          <w:highlight w:val="white"/>
          <w:lang w:val="en-US" w:eastAsia="zh-CN"/>
        </w:rPr>
        <w:t>：</w:t>
      </w:r>
    </w:p>
    <w:p w14:paraId="452B39BA">
      <w:pPr>
        <w:pStyle w:val="80"/>
        <w:jc w:val="center"/>
        <w:rPr>
          <w:rFonts w:hint="eastAsia" w:ascii="宋体" w:hAnsi="宋体" w:eastAsia="宋体" w:cs="宋体"/>
          <w:color w:val="auto"/>
          <w:sz w:val="28"/>
          <w:szCs w:val="28"/>
          <w:highlight w:val="white"/>
          <w:lang w:val="en-US" w:eastAsia="zh-CN"/>
        </w:rPr>
      </w:pPr>
      <w:r>
        <w:rPr>
          <w:rFonts w:hint="eastAsia" w:ascii="宋体" w:hAnsi="宋体" w:eastAsia="宋体" w:cs="宋体"/>
          <w:b/>
          <w:bCs/>
          <w:color w:val="auto"/>
          <w:sz w:val="28"/>
          <w:szCs w:val="32"/>
          <w:highlight w:val="white"/>
          <w:lang w:eastAsia="zh-CN"/>
        </w:rPr>
        <w:t>初步评审－资格、符合性审查表</w:t>
      </w:r>
    </w:p>
    <w:tbl>
      <w:tblPr>
        <w:tblStyle w:val="3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539"/>
        <w:gridCol w:w="3015"/>
        <w:gridCol w:w="4945"/>
        <w:gridCol w:w="623"/>
      </w:tblGrid>
      <w:tr w14:paraId="79C1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1094" w:type="dxa"/>
            <w:gridSpan w:val="2"/>
            <w:noWrap w:val="0"/>
            <w:vAlign w:val="center"/>
          </w:tcPr>
          <w:p w14:paraId="0B4BD5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w:t>
            </w:r>
            <w:r>
              <w:rPr>
                <w:rFonts w:hint="eastAsia" w:ascii="宋体" w:hAnsi="宋体" w:eastAsia="宋体" w:cs="宋体"/>
                <w:b/>
                <w:color w:val="auto"/>
                <w:sz w:val="21"/>
                <w:szCs w:val="21"/>
                <w:lang w:eastAsia="zh-CN"/>
              </w:rPr>
              <w:t>审</w:t>
            </w:r>
            <w:r>
              <w:rPr>
                <w:rFonts w:hint="eastAsia" w:ascii="宋体" w:hAnsi="宋体" w:eastAsia="宋体" w:cs="宋体"/>
                <w:b/>
                <w:color w:val="auto"/>
                <w:sz w:val="21"/>
                <w:szCs w:val="21"/>
              </w:rPr>
              <w:t>因素</w:t>
            </w:r>
          </w:p>
        </w:tc>
        <w:tc>
          <w:tcPr>
            <w:tcW w:w="3015" w:type="dxa"/>
            <w:noWrap w:val="0"/>
            <w:vAlign w:val="center"/>
          </w:tcPr>
          <w:p w14:paraId="4F1AFB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评</w:t>
            </w:r>
            <w:r>
              <w:rPr>
                <w:rFonts w:hint="eastAsia" w:ascii="宋体" w:hAnsi="宋体" w:eastAsia="宋体" w:cs="宋体"/>
                <w:b/>
                <w:color w:val="auto"/>
                <w:sz w:val="21"/>
                <w:szCs w:val="21"/>
                <w:lang w:eastAsia="zh-CN"/>
              </w:rPr>
              <w:t>审内容</w:t>
            </w:r>
          </w:p>
        </w:tc>
        <w:tc>
          <w:tcPr>
            <w:tcW w:w="4945" w:type="dxa"/>
            <w:noWrap w:val="0"/>
            <w:vAlign w:val="center"/>
          </w:tcPr>
          <w:p w14:paraId="58EE6A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highlight w:val="yellow"/>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标准</w:t>
            </w:r>
          </w:p>
        </w:tc>
        <w:tc>
          <w:tcPr>
            <w:tcW w:w="623" w:type="dxa"/>
            <w:noWrap w:val="0"/>
            <w:vAlign w:val="top"/>
          </w:tcPr>
          <w:p w14:paraId="340A8D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评审意见</w:t>
            </w:r>
          </w:p>
        </w:tc>
      </w:tr>
      <w:tr w14:paraId="4ABB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555" w:type="dxa"/>
            <w:vMerge w:val="restart"/>
            <w:noWrap w:val="0"/>
            <w:vAlign w:val="top"/>
          </w:tcPr>
          <w:p w14:paraId="0A438A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p w14:paraId="1097776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p w14:paraId="61F368A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p w14:paraId="069A689D">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362F5A91">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696A41BF">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2DC477B1">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76A43234">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19157C0C">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460B2E2F">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0CE3F86E">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7FD0EE7C">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258416DD">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1F56A4E8">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526E352A">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62631706">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56564BF4">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p>
          <w:p w14:paraId="6276492F">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初</w:t>
            </w:r>
          </w:p>
          <w:p w14:paraId="1DEAEFC3">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步</w:t>
            </w:r>
          </w:p>
          <w:p w14:paraId="2244FB2E">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w:t>
            </w:r>
          </w:p>
          <w:p w14:paraId="58C66938">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审</w:t>
            </w:r>
          </w:p>
          <w:p w14:paraId="273369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p w14:paraId="747021CC">
            <w:pPr>
              <w:pStyle w:val="3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539" w:type="dxa"/>
            <w:vMerge w:val="restart"/>
            <w:noWrap w:val="0"/>
            <w:vAlign w:val="center"/>
          </w:tcPr>
          <w:p w14:paraId="5895EAB7">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w:t>
            </w:r>
          </w:p>
          <w:p w14:paraId="3D52E71D">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w:t>
            </w:r>
          </w:p>
          <w:p w14:paraId="26F7A0AD">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w:t>
            </w:r>
          </w:p>
          <w:p w14:paraId="523ED212">
            <w:pPr>
              <w:keepNext w:val="0"/>
              <w:keepLines w:val="0"/>
              <w:pageBreakBefore w:val="0"/>
              <w:widowControl w:val="0"/>
              <w:kinsoku/>
              <w:wordWrap/>
              <w:overflowPunct/>
              <w:topLinePunct w:val="0"/>
              <w:autoSpaceDE/>
              <w:autoSpaceDN/>
              <w:bidi w:val="0"/>
              <w:adjustRightInd/>
              <w:snapToGrid/>
              <w:spacing w:line="320" w:lineRule="exact"/>
              <w:ind w:firstLine="105" w:firstLineChars="50"/>
              <w:jc w:val="center"/>
              <w:textAlignment w:val="auto"/>
              <w:rPr>
                <w:rFonts w:hint="eastAsia" w:ascii="宋体" w:hAnsi="宋体" w:eastAsia="宋体" w:cs="宋体"/>
                <w:b/>
                <w:color w:val="auto"/>
                <w:sz w:val="21"/>
                <w:szCs w:val="21"/>
                <w:highlight w:val="yellow"/>
              </w:rPr>
            </w:pPr>
            <w:r>
              <w:rPr>
                <w:rFonts w:hint="eastAsia" w:ascii="宋体" w:hAnsi="宋体" w:eastAsia="宋体" w:cs="宋体"/>
                <w:color w:val="auto"/>
                <w:sz w:val="21"/>
                <w:szCs w:val="21"/>
                <w:highlight w:val="none"/>
              </w:rPr>
              <w:t>查</w:t>
            </w:r>
          </w:p>
        </w:tc>
        <w:tc>
          <w:tcPr>
            <w:tcW w:w="3015" w:type="dxa"/>
            <w:noWrap w:val="0"/>
            <w:vAlign w:val="center"/>
          </w:tcPr>
          <w:p w14:paraId="0A5AE7C7">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具有独立承担民事责任的能力</w:t>
            </w:r>
          </w:p>
        </w:tc>
        <w:tc>
          <w:tcPr>
            <w:tcW w:w="4945" w:type="dxa"/>
            <w:noWrap w:val="0"/>
            <w:vAlign w:val="center"/>
          </w:tcPr>
          <w:p w14:paraId="1866EC4C">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提供营业执照原件复印件</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 w:val="21"/>
                <w:szCs w:val="21"/>
                <w:highlight w:val="none"/>
                <w:lang w:val="en-US" w:eastAsia="zh-CN"/>
              </w:rPr>
              <w:t>；</w:t>
            </w:r>
          </w:p>
        </w:tc>
        <w:tc>
          <w:tcPr>
            <w:tcW w:w="623" w:type="dxa"/>
            <w:noWrap w:val="0"/>
            <w:vAlign w:val="top"/>
          </w:tcPr>
          <w:p w14:paraId="2968D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AB2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jc w:val="center"/>
        </w:trPr>
        <w:tc>
          <w:tcPr>
            <w:tcW w:w="555" w:type="dxa"/>
            <w:vMerge w:val="continue"/>
            <w:noWrap w:val="0"/>
            <w:vAlign w:val="top"/>
          </w:tcPr>
          <w:p w14:paraId="54A52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5C86EE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17CAB6F5">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具有良好的商业信誉和健全的财务会计制度</w:t>
            </w:r>
          </w:p>
        </w:tc>
        <w:tc>
          <w:tcPr>
            <w:tcW w:w="4945" w:type="dxa"/>
            <w:noWrap w:val="0"/>
            <w:vAlign w:val="center"/>
          </w:tcPr>
          <w:p w14:paraId="1A6E9E10">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提供2024年度经会计师事务所出具的财务审计报告或财务报表（包含资产负债表、利润表、所有者权益变动表、现金流量表，财务报表附注）或响应截止日前三个月内银行出具的资信证明原件复印件（扫描件）；</w:t>
            </w:r>
          </w:p>
          <w:p w14:paraId="2D373AA6">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供应商成立时间少于该规定时限的，提供成立至今的材料原件复印件（扫描件）；</w:t>
            </w:r>
          </w:p>
        </w:tc>
        <w:tc>
          <w:tcPr>
            <w:tcW w:w="623" w:type="dxa"/>
            <w:noWrap w:val="0"/>
            <w:vAlign w:val="top"/>
          </w:tcPr>
          <w:p w14:paraId="28B9DB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D61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555" w:type="dxa"/>
            <w:vMerge w:val="continue"/>
            <w:noWrap w:val="0"/>
            <w:vAlign w:val="top"/>
          </w:tcPr>
          <w:p w14:paraId="2F0E87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7EF0FD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607765FD">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具有履行合同所必需的设备和专业技术能力</w:t>
            </w:r>
          </w:p>
        </w:tc>
        <w:tc>
          <w:tcPr>
            <w:tcW w:w="4945" w:type="dxa"/>
            <w:noWrap w:val="0"/>
            <w:vAlign w:val="center"/>
          </w:tcPr>
          <w:p w14:paraId="24F22BF0">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提供书面声明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并加盖公章</w:t>
            </w:r>
            <w:r>
              <w:rPr>
                <w:rFonts w:hint="eastAsia" w:ascii="宋体" w:hAnsi="宋体" w:eastAsia="宋体" w:cs="宋体"/>
                <w:color w:val="auto"/>
                <w:szCs w:val="21"/>
                <w:highlight w:val="none"/>
              </w:rPr>
              <w:t>。</w:t>
            </w:r>
          </w:p>
        </w:tc>
        <w:tc>
          <w:tcPr>
            <w:tcW w:w="623" w:type="dxa"/>
            <w:noWrap w:val="0"/>
            <w:vAlign w:val="top"/>
          </w:tcPr>
          <w:p w14:paraId="6818FB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806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8" w:hRule="atLeast"/>
          <w:jc w:val="center"/>
        </w:trPr>
        <w:tc>
          <w:tcPr>
            <w:tcW w:w="555" w:type="dxa"/>
            <w:vMerge w:val="continue"/>
            <w:noWrap w:val="0"/>
            <w:vAlign w:val="top"/>
          </w:tcPr>
          <w:p w14:paraId="6B47B4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12385B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546F33FA">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有依法缴纳税收和社会保障资金的良好记录</w:t>
            </w:r>
          </w:p>
        </w:tc>
        <w:tc>
          <w:tcPr>
            <w:tcW w:w="4945" w:type="dxa"/>
            <w:noWrap w:val="0"/>
            <w:vAlign w:val="center"/>
          </w:tcPr>
          <w:p w14:paraId="25DF81F6">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提供近</w:t>
            </w:r>
            <w:r>
              <w:rPr>
                <w:rFonts w:hint="eastAsia" w:ascii="宋体" w:hAnsi="宋体" w:cs="宋体"/>
                <w:color w:val="auto"/>
                <w:sz w:val="21"/>
                <w:szCs w:val="21"/>
                <w:highlight w:val="none"/>
                <w:lang w:val="en-US" w:eastAsia="zh-CN"/>
              </w:rPr>
              <w:t>半年任意一个月</w:t>
            </w:r>
            <w:r>
              <w:rPr>
                <w:rFonts w:hint="eastAsia" w:ascii="宋体" w:hAnsi="宋体" w:eastAsia="宋体" w:cs="宋体"/>
                <w:color w:val="auto"/>
                <w:sz w:val="21"/>
                <w:szCs w:val="21"/>
                <w:highlight w:val="none"/>
                <w:lang w:val="en-US" w:eastAsia="zh-CN"/>
              </w:rPr>
              <w:t>缴纳税收的凭据以及缴纳社会保险的凭据（专用收据或社会保险缴纳清单）原件复印件（扫描件）；依法免税或不需要缴纳社会保障资金的供应商，提供相应文件证明原件复印件（扫描件）；</w:t>
            </w:r>
          </w:p>
          <w:p w14:paraId="2833B33B">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供应商成立时间少于该规定时限的，提供成立至今的材料原件复印件（扫描件）；</w:t>
            </w:r>
          </w:p>
        </w:tc>
        <w:tc>
          <w:tcPr>
            <w:tcW w:w="623" w:type="dxa"/>
            <w:noWrap w:val="0"/>
            <w:vAlign w:val="top"/>
          </w:tcPr>
          <w:p w14:paraId="35FBD5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DBF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555" w:type="dxa"/>
            <w:vMerge w:val="continue"/>
            <w:noWrap w:val="0"/>
            <w:vAlign w:val="top"/>
          </w:tcPr>
          <w:p w14:paraId="668FC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11675D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0316A0AA">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参加政府采购活动前三年内，在经营活动中没有重大违法记录</w:t>
            </w:r>
          </w:p>
        </w:tc>
        <w:tc>
          <w:tcPr>
            <w:tcW w:w="4945" w:type="dxa"/>
            <w:noWrap w:val="0"/>
            <w:vAlign w:val="center"/>
          </w:tcPr>
          <w:p w14:paraId="0BCFF7EB">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提供书面声明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并加盖公章</w:t>
            </w:r>
            <w:r>
              <w:rPr>
                <w:rFonts w:hint="eastAsia" w:ascii="宋体" w:hAnsi="宋体" w:eastAsia="宋体" w:cs="宋体"/>
                <w:color w:val="auto"/>
                <w:szCs w:val="21"/>
                <w:highlight w:val="none"/>
              </w:rPr>
              <w:t>。</w:t>
            </w:r>
          </w:p>
        </w:tc>
        <w:tc>
          <w:tcPr>
            <w:tcW w:w="623" w:type="dxa"/>
            <w:noWrap w:val="0"/>
            <w:vAlign w:val="top"/>
          </w:tcPr>
          <w:p w14:paraId="6FB620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05C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5" w:hRule="atLeast"/>
          <w:jc w:val="center"/>
        </w:trPr>
        <w:tc>
          <w:tcPr>
            <w:tcW w:w="555" w:type="dxa"/>
            <w:vMerge w:val="continue"/>
            <w:noWrap w:val="0"/>
            <w:vAlign w:val="top"/>
          </w:tcPr>
          <w:p w14:paraId="36F7A4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6D9D0E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47B50E19">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eastAsia="zh-CN"/>
              </w:rPr>
              <w:t>落实政府采购政策需满足的资格要求</w:t>
            </w:r>
          </w:p>
        </w:tc>
        <w:tc>
          <w:tcPr>
            <w:tcW w:w="4945" w:type="dxa"/>
            <w:noWrap w:val="0"/>
            <w:vAlign w:val="center"/>
          </w:tcPr>
          <w:p w14:paraId="314636BD">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提供《中小企业声明函》并加盖公章；</w:t>
            </w:r>
          </w:p>
        </w:tc>
        <w:tc>
          <w:tcPr>
            <w:tcW w:w="623" w:type="dxa"/>
            <w:noWrap w:val="0"/>
            <w:vAlign w:val="top"/>
          </w:tcPr>
          <w:p w14:paraId="42092F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DFC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4" w:hRule="atLeast"/>
          <w:jc w:val="center"/>
        </w:trPr>
        <w:tc>
          <w:tcPr>
            <w:tcW w:w="555" w:type="dxa"/>
            <w:vMerge w:val="continue"/>
            <w:noWrap w:val="0"/>
            <w:vAlign w:val="top"/>
          </w:tcPr>
          <w:p w14:paraId="23E779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575A96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3015" w:type="dxa"/>
            <w:noWrap w:val="0"/>
            <w:vAlign w:val="center"/>
          </w:tcPr>
          <w:p w14:paraId="73B1DAB1">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其他要求</w:t>
            </w:r>
          </w:p>
        </w:tc>
        <w:tc>
          <w:tcPr>
            <w:tcW w:w="4945" w:type="dxa"/>
            <w:noWrap w:val="0"/>
            <w:vAlign w:val="center"/>
          </w:tcPr>
          <w:p w14:paraId="48A5BD90">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1.说明自己与其他参与同一合同项下的供应商，不存在《政府采购法实施条例》第十八条规定的关联关系的书面声明，并加盖公章。</w:t>
            </w:r>
          </w:p>
          <w:p w14:paraId="37266736">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2.供应商存在“信用中国”网站 </w:t>
            </w:r>
          </w:p>
          <w:p w14:paraId="387FF041">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（www.creditchina.gov.cn）、中国政府采购网 </w:t>
            </w:r>
          </w:p>
          <w:p w14:paraId="77504F63">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（www.ccgp.gov.cn）中被列入失信被执行人、 </w:t>
            </w:r>
          </w:p>
          <w:p w14:paraId="699C31BE">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重大税收违法案件当事人名单、政府采购严重违 </w:t>
            </w:r>
          </w:p>
          <w:p w14:paraId="1571A7BA">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法失信行为记录名单的禁止参与参与本项目，响 </w:t>
            </w:r>
          </w:p>
          <w:p w14:paraId="45EC309B">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应文件无效。（由资格审查小组在评标系统中自行查 </w:t>
            </w:r>
          </w:p>
          <w:p w14:paraId="56A47D48">
            <w:pPr>
              <w:pStyle w:val="11"/>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询）</w:t>
            </w:r>
          </w:p>
        </w:tc>
        <w:tc>
          <w:tcPr>
            <w:tcW w:w="623" w:type="dxa"/>
            <w:noWrap w:val="0"/>
            <w:vAlign w:val="top"/>
          </w:tcPr>
          <w:p w14:paraId="127D08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6E3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6576E9EE">
            <w:pPr>
              <w:pStyle w:val="3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539" w:type="dxa"/>
            <w:vMerge w:val="restart"/>
            <w:noWrap w:val="0"/>
            <w:vAlign w:val="center"/>
          </w:tcPr>
          <w:p w14:paraId="0BAF8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w:t>
            </w:r>
          </w:p>
          <w:p w14:paraId="6D17E0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w:t>
            </w:r>
          </w:p>
          <w:p w14:paraId="48DAFA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w:t>
            </w:r>
          </w:p>
          <w:p w14:paraId="085B68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w:t>
            </w:r>
          </w:p>
          <w:p w14:paraId="11B514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查</w:t>
            </w:r>
          </w:p>
        </w:tc>
        <w:tc>
          <w:tcPr>
            <w:tcW w:w="7960" w:type="dxa"/>
            <w:gridSpan w:val="2"/>
            <w:noWrap w:val="0"/>
            <w:vAlign w:val="center"/>
          </w:tcPr>
          <w:p w14:paraId="6A12C3C8">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供应商名称与购买文件时一致且有有效变更证明的；</w:t>
            </w:r>
          </w:p>
        </w:tc>
        <w:tc>
          <w:tcPr>
            <w:tcW w:w="623" w:type="dxa"/>
            <w:noWrap w:val="0"/>
            <w:vAlign w:val="top"/>
          </w:tcPr>
          <w:p w14:paraId="6BF5AE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D4A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01EF3A3F">
            <w:pPr>
              <w:pStyle w:val="3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p>
        </w:tc>
        <w:tc>
          <w:tcPr>
            <w:tcW w:w="539" w:type="dxa"/>
            <w:vMerge w:val="continue"/>
            <w:noWrap w:val="0"/>
            <w:vAlign w:val="center"/>
          </w:tcPr>
          <w:p w14:paraId="2A5EA8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494D9F3C">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供应商代表</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文件规定</w:t>
            </w:r>
            <w:r>
              <w:rPr>
                <w:rFonts w:hint="eastAsia" w:ascii="宋体" w:hAnsi="宋体" w:eastAsia="宋体" w:cs="宋体"/>
                <w:color w:val="auto"/>
                <w:sz w:val="21"/>
                <w:szCs w:val="21"/>
                <w:lang w:eastAsia="zh-CN"/>
              </w:rPr>
              <w:t>提供了法定代表人（单位负责人）身份证明或授权委托书；</w:t>
            </w:r>
          </w:p>
        </w:tc>
        <w:tc>
          <w:tcPr>
            <w:tcW w:w="623" w:type="dxa"/>
            <w:noWrap w:val="0"/>
            <w:vAlign w:val="top"/>
          </w:tcPr>
          <w:p w14:paraId="1610C6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A63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54D8A8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7CEBAA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260F316F">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rPr>
              <w:t>按照</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文件规定要求签署、盖章的；</w:t>
            </w:r>
          </w:p>
        </w:tc>
        <w:tc>
          <w:tcPr>
            <w:tcW w:w="623" w:type="dxa"/>
            <w:noWrap w:val="0"/>
            <w:vAlign w:val="top"/>
          </w:tcPr>
          <w:p w14:paraId="3511DF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628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3C0D89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6C0C93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45FFC221">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供应商报价小于磋商文件规定的项目预算（最高限价）；</w:t>
            </w:r>
          </w:p>
        </w:tc>
        <w:tc>
          <w:tcPr>
            <w:tcW w:w="623" w:type="dxa"/>
            <w:noWrap w:val="0"/>
            <w:vAlign w:val="top"/>
          </w:tcPr>
          <w:p w14:paraId="4A7DA3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A2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04A1DF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575F5E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75B55605">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合同履约期限符合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eastAsia="zh-CN"/>
              </w:rPr>
              <w:t>文件中规定；</w:t>
            </w:r>
          </w:p>
        </w:tc>
        <w:tc>
          <w:tcPr>
            <w:tcW w:w="623" w:type="dxa"/>
            <w:noWrap w:val="0"/>
            <w:vAlign w:val="top"/>
          </w:tcPr>
          <w:p w14:paraId="7971D6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6B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555" w:type="dxa"/>
            <w:vMerge w:val="continue"/>
            <w:noWrap w:val="0"/>
            <w:vAlign w:val="top"/>
          </w:tcPr>
          <w:p w14:paraId="11D1AB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1C7151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16C85C34">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投标有效期</w:t>
            </w: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文件中规定</w:t>
            </w:r>
            <w:r>
              <w:rPr>
                <w:rFonts w:hint="eastAsia" w:ascii="宋体" w:hAnsi="宋体" w:eastAsia="宋体" w:cs="宋体"/>
                <w:color w:val="auto"/>
                <w:sz w:val="21"/>
                <w:szCs w:val="21"/>
                <w:lang w:eastAsia="zh-CN"/>
              </w:rPr>
              <w:t>；</w:t>
            </w:r>
          </w:p>
        </w:tc>
        <w:tc>
          <w:tcPr>
            <w:tcW w:w="623" w:type="dxa"/>
            <w:noWrap w:val="0"/>
            <w:vAlign w:val="top"/>
          </w:tcPr>
          <w:p w14:paraId="61A625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318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0" w:hRule="atLeast"/>
          <w:jc w:val="center"/>
        </w:trPr>
        <w:tc>
          <w:tcPr>
            <w:tcW w:w="555" w:type="dxa"/>
            <w:vMerge w:val="continue"/>
            <w:noWrap w:val="0"/>
            <w:vAlign w:val="top"/>
          </w:tcPr>
          <w:p w14:paraId="6DBBD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573F79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27809643">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文件中规定的实质性要求和条件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eastAsia="zh-CN"/>
              </w:rPr>
              <w:t>文件中标注“★”符号的所有条款）</w:t>
            </w:r>
            <w:r>
              <w:rPr>
                <w:rFonts w:hint="eastAsia" w:ascii="宋体" w:hAnsi="宋体" w:eastAsia="宋体" w:cs="宋体"/>
                <w:color w:val="auto"/>
                <w:sz w:val="21"/>
                <w:szCs w:val="21"/>
              </w:rPr>
              <w:t>；</w:t>
            </w:r>
          </w:p>
        </w:tc>
        <w:tc>
          <w:tcPr>
            <w:tcW w:w="623" w:type="dxa"/>
            <w:noWrap w:val="0"/>
            <w:vAlign w:val="top"/>
          </w:tcPr>
          <w:p w14:paraId="7BF3D6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FD6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jc w:val="center"/>
        </w:trPr>
        <w:tc>
          <w:tcPr>
            <w:tcW w:w="555" w:type="dxa"/>
            <w:vMerge w:val="continue"/>
            <w:noWrap w:val="0"/>
            <w:vAlign w:val="top"/>
          </w:tcPr>
          <w:p w14:paraId="2A894C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7ED53A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2A516069">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w:t>
            </w:r>
            <w:r>
              <w:rPr>
                <w:rFonts w:hint="eastAsia" w:ascii="宋体" w:hAnsi="宋体" w:eastAsia="宋体" w:cs="宋体"/>
                <w:color w:val="auto"/>
                <w:sz w:val="21"/>
                <w:szCs w:val="21"/>
                <w:lang w:eastAsia="zh-CN"/>
              </w:rPr>
              <w:t>没</w:t>
            </w:r>
            <w:r>
              <w:rPr>
                <w:rFonts w:hint="eastAsia" w:ascii="宋体" w:hAnsi="宋体" w:eastAsia="宋体" w:cs="宋体"/>
                <w:color w:val="auto"/>
                <w:sz w:val="21"/>
                <w:szCs w:val="21"/>
              </w:rPr>
              <w:t>有采购人不能接受的附加条件的；</w:t>
            </w:r>
          </w:p>
        </w:tc>
        <w:tc>
          <w:tcPr>
            <w:tcW w:w="623" w:type="dxa"/>
            <w:noWrap w:val="0"/>
            <w:vAlign w:val="top"/>
          </w:tcPr>
          <w:p w14:paraId="5391C1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1A5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 w:hRule="atLeast"/>
          <w:jc w:val="center"/>
        </w:trPr>
        <w:tc>
          <w:tcPr>
            <w:tcW w:w="555" w:type="dxa"/>
            <w:vMerge w:val="continue"/>
            <w:noWrap w:val="0"/>
            <w:vAlign w:val="top"/>
          </w:tcPr>
          <w:p w14:paraId="6DDC76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539" w:type="dxa"/>
            <w:vMerge w:val="continue"/>
            <w:noWrap w:val="0"/>
            <w:vAlign w:val="center"/>
          </w:tcPr>
          <w:p w14:paraId="11260D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7960" w:type="dxa"/>
            <w:gridSpan w:val="2"/>
            <w:noWrap w:val="0"/>
            <w:vAlign w:val="center"/>
          </w:tcPr>
          <w:p w14:paraId="6977E8B3">
            <w:pPr>
              <w:pStyle w:val="11"/>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不存在不符合</w:t>
            </w:r>
            <w:r>
              <w:rPr>
                <w:rFonts w:hint="eastAsia" w:ascii="宋体" w:hAnsi="宋体" w:eastAsia="宋体" w:cs="宋体"/>
                <w:color w:val="auto"/>
                <w:sz w:val="21"/>
                <w:szCs w:val="21"/>
              </w:rPr>
              <w:t>法律、法规及本</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文件规定的其他情形</w:t>
            </w:r>
            <w:r>
              <w:rPr>
                <w:rFonts w:hint="eastAsia" w:ascii="宋体" w:hAnsi="宋体" w:eastAsia="宋体" w:cs="宋体"/>
                <w:color w:val="auto"/>
                <w:sz w:val="21"/>
                <w:szCs w:val="21"/>
                <w:lang w:eastAsia="zh-CN"/>
              </w:rPr>
              <w:t>。</w:t>
            </w:r>
          </w:p>
        </w:tc>
        <w:tc>
          <w:tcPr>
            <w:tcW w:w="623" w:type="dxa"/>
            <w:noWrap w:val="0"/>
            <w:vAlign w:val="top"/>
          </w:tcPr>
          <w:p w14:paraId="739B49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37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9677" w:type="dxa"/>
            <w:gridSpan w:val="5"/>
            <w:noWrap w:val="0"/>
            <w:vAlign w:val="center"/>
          </w:tcPr>
          <w:p w14:paraId="5F9056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注：以上检查内容必须全部</w:t>
            </w:r>
            <w:r>
              <w:rPr>
                <w:rFonts w:hint="eastAsia" w:ascii="宋体" w:hAnsi="宋体" w:eastAsia="宋体" w:cs="宋体"/>
                <w:b/>
                <w:color w:val="auto"/>
                <w:sz w:val="21"/>
                <w:szCs w:val="21"/>
                <w:lang w:eastAsia="zh-CN"/>
              </w:rPr>
              <w:t>满足</w:t>
            </w:r>
            <w:r>
              <w:rPr>
                <w:rFonts w:hint="eastAsia" w:ascii="宋体" w:hAnsi="宋体" w:eastAsia="宋体" w:cs="宋体"/>
                <w:b/>
                <w:color w:val="auto"/>
                <w:sz w:val="21"/>
                <w:szCs w:val="21"/>
              </w:rPr>
              <w:t>检查标准，否则</w:t>
            </w:r>
            <w:r>
              <w:rPr>
                <w:rFonts w:hint="eastAsia" w:ascii="宋体" w:hAnsi="宋体" w:eastAsia="宋体" w:cs="宋体"/>
                <w:b/>
                <w:color w:val="auto"/>
                <w:sz w:val="21"/>
                <w:szCs w:val="21"/>
                <w:lang w:eastAsia="zh-CN"/>
              </w:rPr>
              <w:t>视</w:t>
            </w:r>
            <w:r>
              <w:rPr>
                <w:rFonts w:hint="eastAsia" w:ascii="宋体" w:hAnsi="宋体" w:eastAsia="宋体" w:cs="宋体"/>
                <w:b/>
                <w:color w:val="auto"/>
                <w:sz w:val="21"/>
                <w:szCs w:val="21"/>
              </w:rPr>
              <w:t>为无效</w:t>
            </w:r>
            <w:r>
              <w:rPr>
                <w:rFonts w:hint="eastAsia" w:ascii="宋体" w:hAnsi="宋体" w:eastAsia="宋体" w:cs="宋体"/>
                <w:b/>
                <w:color w:val="auto"/>
                <w:sz w:val="21"/>
                <w:szCs w:val="21"/>
                <w:lang w:eastAsia="zh-CN"/>
              </w:rPr>
              <w:t>投</w:t>
            </w:r>
            <w:r>
              <w:rPr>
                <w:rFonts w:hint="eastAsia" w:ascii="宋体" w:hAnsi="宋体" w:eastAsia="宋体" w:cs="宋体"/>
                <w:b/>
                <w:color w:val="auto"/>
                <w:sz w:val="21"/>
                <w:szCs w:val="21"/>
              </w:rPr>
              <w:t>标。</w:t>
            </w:r>
          </w:p>
        </w:tc>
      </w:tr>
    </w:tbl>
    <w:p w14:paraId="7D024F1E">
      <w:pPr>
        <w:rPr>
          <w:rFonts w:hint="eastAsia" w:ascii="宋体" w:hAnsi="宋体" w:eastAsia="宋体" w:cs="宋体"/>
          <w:color w:val="auto"/>
          <w:lang w:val="en-US" w:eastAsia="zh-CN"/>
        </w:rPr>
      </w:pPr>
    </w:p>
    <w:p w14:paraId="68327919">
      <w:pPr>
        <w:rPr>
          <w:rFonts w:hint="eastAsia" w:ascii="宋体" w:hAnsi="宋体" w:eastAsia="宋体" w:cs="宋体"/>
          <w:color w:val="auto"/>
          <w:lang w:val="en-US" w:eastAsia="zh-CN"/>
        </w:rPr>
      </w:pPr>
    </w:p>
    <w:p w14:paraId="49336D3F">
      <w:pPr>
        <w:rPr>
          <w:rFonts w:hint="eastAsia" w:ascii="宋体" w:hAnsi="宋体" w:eastAsia="宋体" w:cs="宋体"/>
          <w:color w:val="auto"/>
          <w:lang w:val="en-US" w:eastAsia="zh-CN"/>
        </w:rPr>
      </w:pPr>
    </w:p>
    <w:p w14:paraId="3A19F161">
      <w:pPr>
        <w:rPr>
          <w:rFonts w:hint="eastAsia" w:ascii="宋体" w:hAnsi="宋体" w:eastAsia="宋体" w:cs="宋体"/>
          <w:color w:val="auto"/>
          <w:lang w:val="en-US" w:eastAsia="zh-CN"/>
        </w:rPr>
      </w:pPr>
    </w:p>
    <w:p w14:paraId="4281D330">
      <w:pPr>
        <w:rPr>
          <w:rFonts w:hint="eastAsia" w:ascii="宋体" w:hAnsi="宋体" w:eastAsia="宋体" w:cs="宋体"/>
          <w:color w:val="auto"/>
          <w:lang w:val="en-US" w:eastAsia="zh-CN"/>
        </w:rPr>
      </w:pPr>
    </w:p>
    <w:p w14:paraId="25F853D1">
      <w:pPr>
        <w:rPr>
          <w:rFonts w:hint="eastAsia" w:ascii="宋体" w:hAnsi="宋体" w:eastAsia="宋体" w:cs="宋体"/>
          <w:color w:val="auto"/>
          <w:lang w:val="en-US" w:eastAsia="zh-CN"/>
        </w:rPr>
      </w:pPr>
    </w:p>
    <w:p w14:paraId="55729094">
      <w:pPr>
        <w:rPr>
          <w:rFonts w:hint="eastAsia" w:ascii="宋体" w:hAnsi="宋体" w:eastAsia="宋体" w:cs="宋体"/>
          <w:color w:val="auto"/>
          <w:lang w:val="en-US" w:eastAsia="zh-CN"/>
        </w:rPr>
      </w:pPr>
    </w:p>
    <w:p w14:paraId="72101AF0">
      <w:pPr>
        <w:rPr>
          <w:rFonts w:hint="eastAsia" w:ascii="宋体" w:hAnsi="宋体" w:eastAsia="宋体" w:cs="宋体"/>
          <w:color w:val="auto"/>
          <w:lang w:val="en-US" w:eastAsia="zh-CN"/>
        </w:rPr>
      </w:pPr>
    </w:p>
    <w:p w14:paraId="5DC557F0">
      <w:pPr>
        <w:rPr>
          <w:rFonts w:hint="eastAsia" w:ascii="宋体" w:hAnsi="宋体" w:eastAsia="宋体" w:cs="宋体"/>
          <w:color w:val="auto"/>
          <w:lang w:val="en-US" w:eastAsia="zh-CN"/>
        </w:rPr>
      </w:pPr>
    </w:p>
    <w:p w14:paraId="2E0A01B3">
      <w:pPr>
        <w:rPr>
          <w:rFonts w:hint="eastAsia" w:ascii="宋体" w:hAnsi="宋体" w:eastAsia="宋体" w:cs="宋体"/>
          <w:color w:val="auto"/>
          <w:lang w:val="en-US" w:eastAsia="zh-CN"/>
        </w:rPr>
      </w:pPr>
    </w:p>
    <w:p w14:paraId="42772E8E">
      <w:pPr>
        <w:rPr>
          <w:rFonts w:hint="eastAsia" w:ascii="宋体" w:hAnsi="宋体" w:eastAsia="宋体" w:cs="宋体"/>
          <w:color w:val="auto"/>
          <w:lang w:val="en-US" w:eastAsia="zh-CN"/>
        </w:rPr>
      </w:pPr>
    </w:p>
    <w:p w14:paraId="47BF1CAD">
      <w:pPr>
        <w:rPr>
          <w:rFonts w:hint="eastAsia" w:ascii="宋体" w:hAnsi="宋体" w:eastAsia="宋体" w:cs="宋体"/>
          <w:color w:val="auto"/>
          <w:lang w:val="en-US" w:eastAsia="zh-CN"/>
        </w:rPr>
      </w:pPr>
    </w:p>
    <w:p w14:paraId="3AAF37B8">
      <w:pPr>
        <w:rPr>
          <w:rFonts w:hint="eastAsia" w:ascii="宋体" w:hAnsi="宋体" w:eastAsia="宋体" w:cs="宋体"/>
          <w:color w:val="auto"/>
          <w:lang w:val="en-US" w:eastAsia="zh-CN"/>
        </w:rPr>
      </w:pPr>
    </w:p>
    <w:p w14:paraId="73824BA2">
      <w:pPr>
        <w:rPr>
          <w:rFonts w:hint="eastAsia" w:ascii="宋体" w:hAnsi="宋体" w:eastAsia="宋体" w:cs="宋体"/>
          <w:color w:val="auto"/>
          <w:lang w:val="en-US" w:eastAsia="zh-CN"/>
        </w:rPr>
      </w:pPr>
    </w:p>
    <w:p w14:paraId="26BA3CD4">
      <w:pPr>
        <w:rPr>
          <w:rFonts w:hint="eastAsia" w:ascii="宋体" w:hAnsi="宋体" w:eastAsia="宋体" w:cs="宋体"/>
          <w:color w:val="auto"/>
          <w:lang w:val="en-US" w:eastAsia="zh-CN"/>
        </w:rPr>
      </w:pPr>
    </w:p>
    <w:p w14:paraId="56A2F91E">
      <w:pPr>
        <w:rPr>
          <w:rFonts w:hint="eastAsia" w:ascii="宋体" w:hAnsi="宋体" w:eastAsia="宋体" w:cs="宋体"/>
          <w:color w:val="auto"/>
          <w:lang w:val="en-US" w:eastAsia="zh-CN"/>
        </w:rPr>
      </w:pPr>
    </w:p>
    <w:p w14:paraId="7254FEAC">
      <w:pPr>
        <w:rPr>
          <w:rFonts w:hint="eastAsia" w:ascii="宋体" w:hAnsi="宋体" w:eastAsia="宋体" w:cs="宋体"/>
          <w:color w:val="auto"/>
          <w:lang w:val="en-US" w:eastAsia="zh-CN"/>
        </w:rPr>
      </w:pPr>
    </w:p>
    <w:p w14:paraId="12752E18">
      <w:pPr>
        <w:rPr>
          <w:rFonts w:hint="eastAsia" w:ascii="宋体" w:hAnsi="宋体" w:eastAsia="宋体" w:cs="宋体"/>
          <w:color w:val="auto"/>
          <w:lang w:val="en-US" w:eastAsia="zh-CN"/>
        </w:rPr>
      </w:pPr>
    </w:p>
    <w:p w14:paraId="5A421FD2">
      <w:pPr>
        <w:rPr>
          <w:rFonts w:hint="eastAsia" w:ascii="宋体" w:hAnsi="宋体" w:eastAsia="宋体" w:cs="宋体"/>
          <w:color w:val="auto"/>
          <w:lang w:val="en-US" w:eastAsia="zh-CN"/>
        </w:rPr>
      </w:pPr>
    </w:p>
    <w:p w14:paraId="3E026016">
      <w:pPr>
        <w:rPr>
          <w:rFonts w:hint="eastAsia" w:ascii="宋体" w:hAnsi="宋体" w:eastAsia="宋体" w:cs="宋体"/>
          <w:color w:val="auto"/>
          <w:lang w:val="en-US" w:eastAsia="zh-CN"/>
        </w:rPr>
      </w:pPr>
    </w:p>
    <w:p w14:paraId="46A0EDE9">
      <w:pPr>
        <w:rPr>
          <w:rFonts w:hint="eastAsia" w:ascii="宋体" w:hAnsi="宋体" w:eastAsia="宋体" w:cs="宋体"/>
          <w:color w:val="auto"/>
          <w:lang w:val="en-US" w:eastAsia="zh-CN"/>
        </w:rPr>
      </w:pPr>
    </w:p>
    <w:p w14:paraId="17749960">
      <w:pPr>
        <w:rPr>
          <w:rFonts w:hint="eastAsia" w:ascii="宋体" w:hAnsi="宋体" w:eastAsia="宋体" w:cs="宋体"/>
          <w:color w:val="auto"/>
          <w:lang w:val="en-US" w:eastAsia="zh-CN"/>
        </w:rPr>
      </w:pPr>
    </w:p>
    <w:p w14:paraId="525D99D0">
      <w:pPr>
        <w:rPr>
          <w:rFonts w:hint="eastAsia" w:ascii="宋体" w:hAnsi="宋体" w:eastAsia="宋体" w:cs="宋体"/>
          <w:color w:val="auto"/>
          <w:lang w:val="en-US" w:eastAsia="zh-CN"/>
        </w:rPr>
      </w:pPr>
    </w:p>
    <w:p w14:paraId="3FEDAFE9">
      <w:pPr>
        <w:rPr>
          <w:rFonts w:hint="eastAsia" w:ascii="宋体" w:hAnsi="宋体" w:eastAsia="宋体" w:cs="宋体"/>
          <w:color w:val="auto"/>
          <w:lang w:val="en-US" w:eastAsia="zh-CN"/>
        </w:rPr>
      </w:pPr>
    </w:p>
    <w:p w14:paraId="01949C03">
      <w:pPr>
        <w:rPr>
          <w:rFonts w:hint="eastAsia" w:ascii="宋体" w:hAnsi="宋体" w:eastAsia="宋体" w:cs="宋体"/>
          <w:color w:val="auto"/>
          <w:lang w:val="en-US" w:eastAsia="zh-CN"/>
        </w:rPr>
      </w:pPr>
    </w:p>
    <w:p w14:paraId="3EFF274F">
      <w:pPr>
        <w:rPr>
          <w:rFonts w:hint="eastAsia" w:ascii="宋体" w:hAnsi="宋体" w:eastAsia="宋体" w:cs="宋体"/>
          <w:color w:val="auto"/>
          <w:lang w:val="en-US" w:eastAsia="zh-CN"/>
        </w:rPr>
      </w:pPr>
    </w:p>
    <w:p w14:paraId="62B5E192">
      <w:pPr>
        <w:rPr>
          <w:rFonts w:hint="eastAsia" w:ascii="宋体" w:hAnsi="宋体" w:eastAsia="宋体" w:cs="宋体"/>
          <w:color w:val="auto"/>
          <w:lang w:val="en-US" w:eastAsia="zh-CN"/>
        </w:rPr>
      </w:pPr>
    </w:p>
    <w:p w14:paraId="40F6F380">
      <w:pPr>
        <w:rPr>
          <w:rFonts w:hint="eastAsia" w:ascii="宋体" w:hAnsi="宋体" w:eastAsia="宋体" w:cs="宋体"/>
          <w:color w:val="auto"/>
          <w:lang w:val="en-US" w:eastAsia="zh-CN"/>
        </w:rPr>
      </w:pPr>
    </w:p>
    <w:p w14:paraId="361E76F0">
      <w:pPr>
        <w:rPr>
          <w:rFonts w:hint="eastAsia" w:ascii="宋体" w:hAnsi="宋体" w:eastAsia="宋体" w:cs="宋体"/>
          <w:color w:val="auto"/>
          <w:lang w:val="en-US" w:eastAsia="zh-CN"/>
        </w:rPr>
      </w:pPr>
    </w:p>
    <w:p w14:paraId="7FBDE174">
      <w:pPr>
        <w:rPr>
          <w:rFonts w:hint="eastAsia" w:ascii="宋体" w:hAnsi="宋体" w:eastAsia="宋体" w:cs="宋体"/>
          <w:color w:val="auto"/>
          <w:lang w:val="en-US" w:eastAsia="zh-CN"/>
        </w:rPr>
      </w:pPr>
    </w:p>
    <w:p w14:paraId="5AA09A87">
      <w:pPr>
        <w:rPr>
          <w:rFonts w:hint="eastAsia" w:ascii="宋体" w:hAnsi="宋体" w:eastAsia="宋体" w:cs="宋体"/>
          <w:color w:val="auto"/>
          <w:lang w:val="en-US" w:eastAsia="zh-CN"/>
        </w:rPr>
      </w:pPr>
    </w:p>
    <w:p w14:paraId="71335D8D">
      <w:pPr>
        <w:rPr>
          <w:rFonts w:hint="eastAsia" w:ascii="宋体" w:hAnsi="宋体" w:eastAsia="宋体" w:cs="宋体"/>
          <w:color w:val="auto"/>
          <w:lang w:val="en-US" w:eastAsia="zh-CN"/>
        </w:rPr>
      </w:pPr>
    </w:p>
    <w:p w14:paraId="75D67246">
      <w:pPr>
        <w:rPr>
          <w:rFonts w:hint="eastAsia" w:ascii="宋体" w:hAnsi="宋体" w:eastAsia="宋体" w:cs="宋体"/>
          <w:color w:val="auto"/>
          <w:lang w:val="en-US" w:eastAsia="zh-CN"/>
        </w:rPr>
      </w:pPr>
    </w:p>
    <w:p w14:paraId="0A86A052">
      <w:pPr>
        <w:rPr>
          <w:rFonts w:hint="eastAsia" w:ascii="宋体" w:hAnsi="宋体" w:eastAsia="宋体" w:cs="宋体"/>
          <w:color w:val="auto"/>
          <w:lang w:val="en-US" w:eastAsia="zh-CN"/>
        </w:rPr>
      </w:pPr>
    </w:p>
    <w:p w14:paraId="2D96A495">
      <w:pPr>
        <w:rPr>
          <w:rFonts w:hint="eastAsia" w:ascii="宋体" w:hAnsi="宋体" w:eastAsia="宋体" w:cs="宋体"/>
          <w:color w:val="auto"/>
          <w:lang w:val="en-US" w:eastAsia="zh-CN"/>
        </w:rPr>
      </w:pPr>
    </w:p>
    <w:p w14:paraId="4773F8CC">
      <w:pPr>
        <w:rPr>
          <w:rFonts w:hint="eastAsia" w:ascii="宋体" w:hAnsi="宋体" w:eastAsia="宋体" w:cs="宋体"/>
          <w:color w:val="auto"/>
          <w:lang w:val="en-US" w:eastAsia="zh-CN"/>
        </w:rPr>
      </w:pPr>
    </w:p>
    <w:p w14:paraId="16D9C56F">
      <w:pPr>
        <w:rPr>
          <w:rFonts w:hint="eastAsia" w:ascii="宋体" w:hAnsi="宋体" w:eastAsia="宋体" w:cs="宋体"/>
          <w:color w:val="auto"/>
          <w:lang w:val="en-US" w:eastAsia="zh-CN"/>
        </w:rPr>
      </w:pPr>
    </w:p>
    <w:p w14:paraId="05C9BE53">
      <w:pPr>
        <w:rPr>
          <w:rFonts w:hint="eastAsia" w:ascii="宋体" w:hAnsi="宋体" w:eastAsia="宋体" w:cs="宋体"/>
          <w:color w:val="auto"/>
          <w:lang w:val="en-US" w:eastAsia="zh-CN"/>
        </w:rPr>
      </w:pPr>
    </w:p>
    <w:p w14:paraId="350BDBD4">
      <w:pPr>
        <w:rPr>
          <w:rFonts w:hint="eastAsia" w:ascii="宋体" w:hAnsi="宋体" w:eastAsia="宋体" w:cs="宋体"/>
          <w:color w:val="auto"/>
          <w:lang w:val="en-US" w:eastAsia="zh-CN"/>
        </w:rPr>
      </w:pPr>
    </w:p>
    <w:p w14:paraId="79245F0A">
      <w:pPr>
        <w:rPr>
          <w:rFonts w:hint="eastAsia" w:ascii="宋体" w:hAnsi="宋体" w:eastAsia="宋体" w:cs="宋体"/>
          <w:color w:val="auto"/>
          <w:lang w:val="en-US" w:eastAsia="zh-CN"/>
        </w:rPr>
      </w:pPr>
    </w:p>
    <w:p w14:paraId="5335D7D3">
      <w:pPr>
        <w:rPr>
          <w:rFonts w:hint="eastAsia" w:ascii="宋体" w:hAnsi="宋体" w:eastAsia="宋体" w:cs="宋体"/>
          <w:color w:val="auto"/>
          <w:lang w:val="en-US" w:eastAsia="zh-CN"/>
        </w:rPr>
      </w:pPr>
    </w:p>
    <w:p w14:paraId="61534A86">
      <w:pPr>
        <w:rPr>
          <w:rFonts w:hint="eastAsia" w:ascii="宋体" w:hAnsi="宋体" w:eastAsia="宋体" w:cs="宋体"/>
          <w:color w:val="auto"/>
          <w:lang w:val="en-US" w:eastAsia="zh-CN"/>
        </w:rPr>
      </w:pPr>
    </w:p>
    <w:p w14:paraId="5B0E82C7">
      <w:pPr>
        <w:pStyle w:val="80"/>
        <w:rPr>
          <w:rFonts w:hint="eastAsia" w:ascii="宋体" w:hAnsi="宋体" w:eastAsia="宋体" w:cs="宋体"/>
          <w:color w:val="auto"/>
          <w:sz w:val="22"/>
          <w:szCs w:val="22"/>
          <w:highlight w:val="white"/>
          <w:lang w:val="en-US" w:eastAsia="zh-CN"/>
        </w:rPr>
      </w:pPr>
      <w:r>
        <w:rPr>
          <w:rFonts w:hint="eastAsia" w:ascii="宋体" w:hAnsi="宋体" w:eastAsia="宋体" w:cs="宋体"/>
          <w:color w:val="auto"/>
          <w:sz w:val="22"/>
          <w:szCs w:val="22"/>
          <w:highlight w:val="white"/>
          <w:lang w:eastAsia="zh-CN"/>
        </w:rPr>
        <w:t>附表二</w:t>
      </w:r>
      <w:r>
        <w:rPr>
          <w:rFonts w:hint="eastAsia" w:ascii="宋体" w:hAnsi="宋体" w:eastAsia="宋体" w:cs="宋体"/>
          <w:color w:val="auto"/>
          <w:sz w:val="22"/>
          <w:szCs w:val="22"/>
          <w:highlight w:val="white"/>
          <w:lang w:val="en-US" w:eastAsia="zh-CN"/>
        </w:rPr>
        <w:t>：</w:t>
      </w:r>
    </w:p>
    <w:p w14:paraId="7970F349">
      <w:pPr>
        <w:pStyle w:val="80"/>
        <w:jc w:val="center"/>
        <w:rPr>
          <w:rFonts w:hint="eastAsia" w:ascii="宋体" w:hAnsi="宋体" w:eastAsia="宋体" w:cs="宋体"/>
          <w:color w:val="auto"/>
          <w:highlight w:val="yellow"/>
          <w:lang w:val="en-US" w:eastAsia="zh-CN"/>
        </w:rPr>
      </w:pPr>
      <w:r>
        <w:rPr>
          <w:rFonts w:hint="eastAsia" w:ascii="宋体" w:hAnsi="宋体" w:eastAsia="宋体" w:cs="宋体"/>
          <w:b/>
          <w:bCs/>
          <w:color w:val="auto"/>
          <w:sz w:val="28"/>
          <w:szCs w:val="32"/>
          <w:highlight w:val="none"/>
          <w:lang w:eastAsia="zh-CN"/>
        </w:rPr>
        <w:t>商务</w:t>
      </w:r>
      <w:r>
        <w:rPr>
          <w:rFonts w:hint="eastAsia" w:ascii="宋体" w:hAnsi="宋体" w:cs="宋体"/>
          <w:b/>
          <w:bCs/>
          <w:color w:val="auto"/>
          <w:sz w:val="28"/>
          <w:szCs w:val="32"/>
          <w:highlight w:val="none"/>
          <w:lang w:val="en-US" w:eastAsia="zh-CN"/>
        </w:rPr>
        <w:t>技术</w:t>
      </w:r>
      <w:r>
        <w:rPr>
          <w:rFonts w:hint="eastAsia" w:ascii="宋体" w:hAnsi="宋体" w:eastAsia="宋体" w:cs="宋体"/>
          <w:b/>
          <w:bCs/>
          <w:color w:val="auto"/>
          <w:sz w:val="28"/>
          <w:szCs w:val="32"/>
          <w:highlight w:val="none"/>
          <w:lang w:eastAsia="zh-CN"/>
        </w:rPr>
        <w:t>详细评审表</w:t>
      </w:r>
    </w:p>
    <w:tbl>
      <w:tblPr>
        <w:tblStyle w:val="33"/>
        <w:tblpPr w:leftFromText="180" w:rightFromText="180" w:vertAnchor="text" w:horzAnchor="page" w:tblpX="1239" w:tblpY="156"/>
        <w:tblOverlap w:val="never"/>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146"/>
        <w:gridCol w:w="834"/>
        <w:gridCol w:w="7175"/>
      </w:tblGrid>
      <w:tr w14:paraId="7CD9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F6903A2">
            <w:pPr>
              <w:spacing w:line="240" w:lineRule="auto"/>
              <w:jc w:val="both"/>
              <w:rPr>
                <w:rFonts w:hint="eastAsia" w:ascii="宋体" w:hAnsi="宋体" w:eastAsia="宋体" w:cs="宋体"/>
                <w:color w:val="000000"/>
                <w:sz w:val="24"/>
                <w:szCs w:val="24"/>
              </w:rPr>
            </w:pPr>
            <w:r>
              <w:rPr>
                <w:rFonts w:hint="eastAsia" w:ascii="宋体" w:hAnsi="宋体" w:eastAsia="宋体" w:cs="宋体"/>
                <w:b/>
                <w:color w:val="000000"/>
                <w:sz w:val="24"/>
                <w:szCs w:val="24"/>
              </w:rPr>
              <w:t>序号</w:t>
            </w:r>
          </w:p>
        </w:tc>
        <w:tc>
          <w:tcPr>
            <w:tcW w:w="577" w:type="pct"/>
            <w:noWrap w:val="0"/>
            <w:vAlign w:val="center"/>
          </w:tcPr>
          <w:p w14:paraId="16B42C56">
            <w:pPr>
              <w:spacing w:line="24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评审项目</w:t>
            </w:r>
          </w:p>
        </w:tc>
        <w:tc>
          <w:tcPr>
            <w:tcW w:w="419" w:type="pct"/>
            <w:noWrap w:val="0"/>
            <w:vAlign w:val="center"/>
          </w:tcPr>
          <w:p w14:paraId="77B93679">
            <w:pPr>
              <w:spacing w:line="240" w:lineRule="auto"/>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分值</w:t>
            </w:r>
          </w:p>
        </w:tc>
        <w:tc>
          <w:tcPr>
            <w:tcW w:w="3612" w:type="pct"/>
            <w:noWrap w:val="0"/>
            <w:vAlign w:val="center"/>
          </w:tcPr>
          <w:p w14:paraId="7E84A293">
            <w:pPr>
              <w:spacing w:line="240" w:lineRule="auto"/>
              <w:jc w:val="center"/>
              <w:rPr>
                <w:rFonts w:hint="eastAsia" w:ascii="宋体" w:hAnsi="宋体" w:eastAsia="宋体" w:cs="宋体"/>
                <w:color w:val="000000"/>
                <w:sz w:val="24"/>
                <w:szCs w:val="24"/>
              </w:rPr>
            </w:pPr>
            <w:r>
              <w:rPr>
                <w:rFonts w:hint="eastAsia" w:ascii="宋体" w:hAnsi="宋体" w:eastAsia="宋体" w:cs="宋体"/>
                <w:b/>
                <w:color w:val="000000"/>
                <w:spacing w:val="-2"/>
                <w:sz w:val="24"/>
                <w:szCs w:val="24"/>
              </w:rPr>
              <w:t>评分标准</w:t>
            </w:r>
          </w:p>
        </w:tc>
      </w:tr>
      <w:tr w14:paraId="2494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04B3F735">
            <w:pPr>
              <w:spacing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577" w:type="pct"/>
            <w:noWrap w:val="0"/>
            <w:vAlign w:val="center"/>
          </w:tcPr>
          <w:p w14:paraId="013C6E5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业绩</w:t>
            </w:r>
          </w:p>
        </w:tc>
        <w:tc>
          <w:tcPr>
            <w:tcW w:w="419" w:type="pct"/>
            <w:noWrap w:val="0"/>
            <w:vAlign w:val="center"/>
          </w:tcPr>
          <w:p w14:paraId="0908B76D">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3612" w:type="pct"/>
            <w:noWrap w:val="0"/>
            <w:vAlign w:val="top"/>
          </w:tcPr>
          <w:p w14:paraId="5769F626">
            <w:pPr>
              <w:pStyle w:val="13"/>
              <w:spacing w:line="24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供应商自202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lang w:val="zh-TW" w:eastAsia="zh-TW"/>
              </w:rPr>
              <w:t>以来（以合同签订时间为准）</w:t>
            </w:r>
            <w:r>
              <w:rPr>
                <w:rFonts w:hint="eastAsia" w:ascii="宋体" w:hAnsi="宋体" w:eastAsia="宋体" w:cs="宋体"/>
                <w:color w:val="auto"/>
                <w:kern w:val="2"/>
                <w:sz w:val="24"/>
                <w:szCs w:val="24"/>
                <w:highlight w:val="none"/>
                <w:lang w:val="en-US" w:eastAsia="zh-CN" w:bidi="ar-SA"/>
              </w:rPr>
              <w:t>类似</w:t>
            </w:r>
            <w:r>
              <w:rPr>
                <w:rFonts w:hint="eastAsia" w:ascii="宋体" w:hAnsi="宋体" w:eastAsia="宋体" w:cs="宋体"/>
                <w:color w:val="auto"/>
                <w:sz w:val="24"/>
                <w:szCs w:val="24"/>
                <w:highlight w:val="none"/>
                <w:lang w:val="zh-TW" w:eastAsia="zh-TW"/>
              </w:rPr>
              <w:t>业绩</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每个</w:t>
            </w:r>
            <w:r>
              <w:rPr>
                <w:rFonts w:hint="eastAsia" w:ascii="宋体" w:hAnsi="宋体" w:eastAsia="宋体" w:cs="宋体"/>
                <w:color w:val="auto"/>
                <w:sz w:val="24"/>
                <w:szCs w:val="24"/>
                <w:highlight w:val="none"/>
                <w:lang w:val="en-US" w:eastAsia="zh-CN"/>
              </w:rPr>
              <w:t>提供1个业绩</w:t>
            </w:r>
            <w:r>
              <w:rPr>
                <w:rFonts w:hint="eastAsia" w:ascii="宋体" w:hAnsi="宋体" w:eastAsia="宋体" w:cs="宋体"/>
                <w:color w:val="auto"/>
                <w:sz w:val="24"/>
                <w:szCs w:val="24"/>
                <w:highlight w:val="none"/>
                <w:lang w:val="zh-TW" w:eastAsia="zh-TW"/>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TW" w:eastAsia="zh-TW"/>
              </w:rPr>
              <w:t>分，最高得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TW" w:eastAsia="zh-TW"/>
              </w:rPr>
              <w:t>分。</w:t>
            </w:r>
          </w:p>
          <w:p w14:paraId="60AC8701">
            <w:pPr>
              <w:pStyle w:val="13"/>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zh-TW" w:eastAsia="zh-TW"/>
              </w:rPr>
              <w:t>注：</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zh-TW" w:eastAsia="zh-TW"/>
              </w:rPr>
              <w:t>提供</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lang w:val="zh-TW" w:eastAsia="zh-TW"/>
              </w:rPr>
              <w:t>合同复印件（须包含合同首末页、金额页、签字盖章页等关键页，加盖公章）为准，未盖章或盖章不清晰合同无效。</w:t>
            </w:r>
          </w:p>
        </w:tc>
      </w:tr>
      <w:tr w14:paraId="7944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FA17F6F">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p>
        </w:tc>
        <w:tc>
          <w:tcPr>
            <w:tcW w:w="577" w:type="pct"/>
            <w:shd w:val="clear" w:color="auto" w:fill="auto"/>
            <w:noWrap w:val="0"/>
            <w:vAlign w:val="center"/>
          </w:tcPr>
          <w:p w14:paraId="1102CC57">
            <w:pPr>
              <w:rPr>
                <w:rFonts w:hint="eastAsia" w:ascii="宋体" w:hAnsi="宋体" w:eastAsia="宋体" w:cs="宋体"/>
                <w:color w:val="auto"/>
                <w:sz w:val="24"/>
                <w:szCs w:val="24"/>
                <w:highlight w:val="none"/>
                <w:lang w:val="en-US" w:eastAsia="zh-CN"/>
              </w:rPr>
            </w:pPr>
            <w:r>
              <w:rPr>
                <w:rFonts w:hint="eastAsia" w:eastAsia="宋体" w:cs="Times New Roman"/>
                <w:sz w:val="24"/>
                <w:szCs w:val="24"/>
                <w:lang w:val="zh-TW" w:eastAsia="zh-TW"/>
              </w:rPr>
              <w:t>项目负责人</w:t>
            </w:r>
            <w:r>
              <w:rPr>
                <w:rFonts w:hint="eastAsia" w:eastAsia="宋体" w:cs="Times New Roman"/>
                <w:sz w:val="24"/>
                <w:szCs w:val="24"/>
                <w:lang w:val="en-US" w:eastAsia="zh-CN"/>
              </w:rPr>
              <w:t>配备</w:t>
            </w:r>
          </w:p>
        </w:tc>
        <w:tc>
          <w:tcPr>
            <w:tcW w:w="419" w:type="pct"/>
            <w:shd w:val="clear" w:color="auto" w:fill="auto"/>
            <w:noWrap w:val="0"/>
            <w:vAlign w:val="center"/>
          </w:tcPr>
          <w:p w14:paraId="3947EA81">
            <w:pPr>
              <w:pStyle w:val="13"/>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3612" w:type="pct"/>
            <w:shd w:val="clear" w:color="auto" w:fill="auto"/>
            <w:noWrap w:val="0"/>
            <w:vAlign w:val="top"/>
          </w:tcPr>
          <w:p w14:paraId="1846AD1D">
            <w:pPr>
              <w:pStyle w:val="1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供应商拟派项目负责人具有一级注册造价师执业资格证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TW" w:eastAsia="zh-TW"/>
              </w:rPr>
              <w:t>注册会计师且具备高级职称，持证连续工作满</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TW" w:eastAsia="zh-TW"/>
              </w:rPr>
              <w:t xml:space="preserve">年以上的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en-US" w:eastAsia="zh-CN"/>
              </w:rPr>
              <w:t>；</w:t>
            </w:r>
          </w:p>
          <w:p w14:paraId="14AEA77B">
            <w:pPr>
              <w:pStyle w:val="13"/>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TW" w:eastAsia="zh-TW"/>
              </w:rPr>
              <w:t>具有一级注册造价师执业资格证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val="zh-TW" w:eastAsia="zh-TW"/>
              </w:rPr>
              <w:t>注册会计师且具备</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lang w:val="zh-TW" w:eastAsia="zh-TW"/>
              </w:rPr>
              <w:t>职称</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zh-TW" w:eastAsia="zh-TW"/>
              </w:rPr>
              <w:t>，持证连续工作满</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TW" w:eastAsia="zh-TW"/>
              </w:rPr>
              <w:t>年以上的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TW" w:eastAsia="zh-TW"/>
              </w:rPr>
              <w:t>分</w:t>
            </w:r>
            <w:r>
              <w:rPr>
                <w:rFonts w:hint="eastAsia" w:ascii="宋体" w:hAnsi="宋体" w:eastAsia="宋体" w:cs="宋体"/>
                <w:color w:val="auto"/>
                <w:sz w:val="24"/>
                <w:szCs w:val="24"/>
                <w:highlight w:val="none"/>
                <w:lang w:val="en-US" w:eastAsia="zh-CN"/>
              </w:rPr>
              <w:t>；</w:t>
            </w:r>
          </w:p>
          <w:p w14:paraId="2BE1ED02">
            <w:pPr>
              <w:pStyle w:val="13"/>
              <w:spacing w:line="240" w:lineRule="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注：提供注册一级造价工程师</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注册会计师资格证书</w:t>
            </w:r>
            <w:r>
              <w:rPr>
                <w:rFonts w:hint="eastAsia" w:ascii="宋体" w:hAnsi="宋体" w:eastAsia="宋体" w:cs="宋体"/>
                <w:color w:val="auto"/>
                <w:sz w:val="24"/>
                <w:szCs w:val="24"/>
                <w:highlight w:val="none"/>
                <w:lang w:val="en-US" w:eastAsia="zh-CN"/>
              </w:rPr>
              <w:t>扫描件、职称证书</w:t>
            </w:r>
            <w:r>
              <w:rPr>
                <w:rFonts w:hint="eastAsia" w:ascii="宋体" w:hAnsi="宋体" w:eastAsia="宋体" w:cs="宋体"/>
                <w:color w:val="auto"/>
                <w:sz w:val="24"/>
                <w:szCs w:val="24"/>
                <w:highlight w:val="none"/>
                <w:lang w:val="zh-TW" w:eastAsia="zh-TW"/>
              </w:rPr>
              <w:t>以及本单位近六个月(连续)社保证明(若是退体人员提供退体证明)，不提供不得分</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en-US" w:eastAsia="zh-CN"/>
              </w:rPr>
              <w:t>需提供一级注册造价师执业资格证、注册会计师证书、职称证书</w:t>
            </w:r>
            <w:r>
              <w:rPr>
                <w:rFonts w:hint="eastAsia" w:ascii="宋体" w:hAnsi="宋体" w:eastAsia="宋体" w:cs="宋体"/>
                <w:color w:val="auto"/>
                <w:sz w:val="24"/>
                <w:szCs w:val="24"/>
                <w:highlight w:val="none"/>
                <w:lang w:val="zh-TW" w:eastAsia="zh-CN"/>
              </w:rPr>
              <w:t>）</w:t>
            </w:r>
            <w:r>
              <w:rPr>
                <w:rFonts w:hint="eastAsia" w:ascii="宋体" w:hAnsi="宋体" w:eastAsia="宋体" w:cs="宋体"/>
                <w:color w:val="auto"/>
                <w:sz w:val="24"/>
                <w:szCs w:val="24"/>
                <w:highlight w:val="none"/>
                <w:lang w:val="zh-TW" w:eastAsia="zh-TW"/>
              </w:rPr>
              <w:t>。</w:t>
            </w:r>
          </w:p>
        </w:tc>
      </w:tr>
      <w:tr w14:paraId="0998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3C41C9FF">
            <w:pPr>
              <w:spacing w:line="240"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p>
        </w:tc>
        <w:tc>
          <w:tcPr>
            <w:tcW w:w="577" w:type="pct"/>
            <w:noWrap w:val="0"/>
            <w:vAlign w:val="center"/>
          </w:tcPr>
          <w:p w14:paraId="430309FD">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项目团队配备</w:t>
            </w:r>
          </w:p>
        </w:tc>
        <w:tc>
          <w:tcPr>
            <w:tcW w:w="419" w:type="pct"/>
            <w:noWrap w:val="0"/>
            <w:vAlign w:val="center"/>
          </w:tcPr>
          <w:p w14:paraId="0B639ACF">
            <w:pPr>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3612" w:type="pct"/>
            <w:noWrap w:val="0"/>
            <w:vAlign w:val="top"/>
          </w:tcPr>
          <w:p w14:paraId="1781C42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供应商拟为本项目配备的其他服务团队人员，</w:t>
            </w:r>
          </w:p>
          <w:p w14:paraId="5FFA031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具有注册一级造价工程师或注册会计师等相关资格的人数在5人及以上的得6分，4-2人的得4分，2人以下得2分。</w:t>
            </w:r>
          </w:p>
          <w:p w14:paraId="5B677AF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具有注册二级造价工程师或会计类职称中级或高级等相关资格的人数在4人及以上的得4分，4-2人的得3分，2人以下得2分。</w:t>
            </w:r>
          </w:p>
          <w:p w14:paraId="48858846">
            <w:pPr>
              <w:rPr>
                <w:rFonts w:hint="default" w:eastAsia="宋体"/>
                <w:sz w:val="24"/>
                <w:szCs w:val="24"/>
                <w:lang w:val="en-US" w:eastAsia="zh-CN"/>
              </w:rPr>
            </w:pPr>
            <w:r>
              <w:rPr>
                <w:rFonts w:hint="eastAsia" w:asciiTheme="minorEastAsia" w:hAnsiTheme="minorEastAsia" w:eastAsiaTheme="minorEastAsia" w:cstheme="minorEastAsia"/>
                <w:sz w:val="24"/>
                <w:szCs w:val="24"/>
                <w:lang w:val="en-US" w:eastAsia="zh-CN"/>
              </w:rPr>
              <w:t>注：项目负责人除外，提供注册造价工程师或注册会计师资格证书、会计类职称扫描件以及本单位近六个月(连续)社保证明(若是退体人员提供退体证明)，不提供不得分。</w:t>
            </w:r>
          </w:p>
        </w:tc>
      </w:tr>
      <w:tr w14:paraId="6BE2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48262A39">
            <w:pPr>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577" w:type="pct"/>
            <w:noWrap w:val="0"/>
            <w:vAlign w:val="center"/>
          </w:tcPr>
          <w:p w14:paraId="6B9D9D02">
            <w:pPr>
              <w:keepNext w:val="0"/>
              <w:keepLines w:val="0"/>
              <w:widowControl/>
              <w:suppressLineNumbers w:val="0"/>
              <w:jc w:val="center"/>
              <w:rPr>
                <w:rFonts w:hint="eastAsia" w:ascii="仿宋" w:hAnsi="仿宋" w:eastAsia="仿宋" w:cs="仿宋"/>
                <w:b w:val="0"/>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整体服务方案</w:t>
            </w:r>
          </w:p>
        </w:tc>
        <w:tc>
          <w:tcPr>
            <w:tcW w:w="419" w:type="pct"/>
            <w:noWrap w:val="0"/>
            <w:vAlign w:val="center"/>
          </w:tcPr>
          <w:p w14:paraId="22225EC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分</w:t>
            </w:r>
          </w:p>
        </w:tc>
        <w:tc>
          <w:tcPr>
            <w:tcW w:w="3612" w:type="pct"/>
            <w:noWrap w:val="0"/>
            <w:vAlign w:val="top"/>
          </w:tcPr>
          <w:p w14:paraId="7D7C015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供应商针对本项目提供的整体服务方案（包括但不限于：①服务的范围和任务；②工作实施计划；③组织机构及人员分工；④实施方案；⑤工作重点与工作内容；⑥管理及协调；⑦资料整理存档；⑧质量控制措施；⑨风险控制措施）进行综合评审。</w:t>
            </w:r>
          </w:p>
          <w:p w14:paraId="6A58A3E7">
            <w:pPr>
              <w:rPr>
                <w:rFonts w:hint="default" w:eastAsia="宋体"/>
                <w:sz w:val="24"/>
                <w:szCs w:val="24"/>
                <w:lang w:val="en-US" w:eastAsia="zh-CN"/>
              </w:rPr>
            </w:pPr>
            <w:r>
              <w:rPr>
                <w:rFonts w:hint="eastAsia" w:asciiTheme="minorEastAsia" w:hAnsiTheme="minorEastAsia" w:eastAsiaTheme="minorEastAsia" w:cstheme="minorEastAsia"/>
                <w:sz w:val="24"/>
                <w:szCs w:val="24"/>
                <w:lang w:val="en-US" w:eastAsia="zh-CN"/>
              </w:rPr>
              <w:t>供应商提供的方案包含前述要求的内容且满足招标文件要求的得27分，每缺少一项要求的方案内容扣3分，扣完为止。方案中有一处错误的（错误是指：项目名称或项目编号或实施地点或涉及的规范、标准与本项目要求不一致的，或逻辑错误等相关错误的），一处扣1分，扣完为止。方案中有一处描述不切合项目实际的，一处扣1.5分，扣完为止。不提供整体服务方案的不得分。</w:t>
            </w:r>
          </w:p>
        </w:tc>
      </w:tr>
      <w:tr w14:paraId="7E3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1200462B">
            <w:pPr>
              <w:spacing w:line="24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577" w:type="pct"/>
            <w:noWrap w:val="0"/>
            <w:vAlign w:val="center"/>
          </w:tcPr>
          <w:p w14:paraId="0338975A">
            <w:pPr>
              <w:keepNext w:val="0"/>
              <w:keepLines w:val="0"/>
              <w:widowControl/>
              <w:suppressLineNumbers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服务质量保障方案</w:t>
            </w:r>
          </w:p>
        </w:tc>
        <w:tc>
          <w:tcPr>
            <w:tcW w:w="419" w:type="pct"/>
            <w:noWrap w:val="0"/>
            <w:vAlign w:val="center"/>
          </w:tcPr>
          <w:p w14:paraId="6C47275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3612" w:type="pct"/>
            <w:noWrap w:val="0"/>
            <w:vAlign w:val="top"/>
          </w:tcPr>
          <w:p w14:paraId="6DEA4A6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根据供应商针对本项目提供的服务质量保障方案 (①项目前期控制措施；②项目实施阶段控制措施；③项目结算阶段的控制措施；④服务承诺）进行综合评审。</w:t>
            </w:r>
          </w:p>
          <w:p w14:paraId="04788C04">
            <w:pPr>
              <w:rPr>
                <w:rFonts w:hint="eastAsia" w:eastAsia="宋体" w:cs="Times New Roman"/>
                <w:sz w:val="24"/>
                <w:szCs w:val="24"/>
                <w:lang w:val="en-US" w:eastAsia="zh-CN"/>
              </w:rPr>
            </w:pPr>
            <w:r>
              <w:rPr>
                <w:rFonts w:hint="eastAsia" w:asciiTheme="minorEastAsia" w:hAnsiTheme="minorEastAsia" w:eastAsiaTheme="minorEastAsia" w:cstheme="minorEastAsia"/>
                <w:sz w:val="24"/>
                <w:szCs w:val="24"/>
                <w:lang w:val="en-US" w:eastAsia="zh-CN"/>
              </w:rPr>
              <w:t>供应商提供的方案包含前述要求的内容且满足招标文件要求的得16分，每缺少一项要求的方案内容扣4分，扣完为止。方案中有一处错误的（错误是指：项目名称或项目编号或实施地点或涉及的规范、标准与本项目要求不一致的，或逻辑错误等相关错误的），一处扣1分，扣完为止。方案中有一处描述不切合项目实际的，一处扣 2 分，扣完为止。不提供服务质量保障方案的不得分</w:t>
            </w:r>
          </w:p>
        </w:tc>
      </w:tr>
      <w:tr w14:paraId="5923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0" w:type="pct"/>
            <w:noWrap w:val="0"/>
            <w:vAlign w:val="center"/>
          </w:tcPr>
          <w:p w14:paraId="6D062647">
            <w:pPr>
              <w:spacing w:line="240" w:lineRule="auto"/>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577" w:type="pct"/>
            <w:noWrap w:val="0"/>
            <w:vAlign w:val="center"/>
          </w:tcPr>
          <w:p w14:paraId="2F4FB19A">
            <w:pPr>
              <w:keepNext w:val="0"/>
              <w:keepLines w:val="0"/>
              <w:widowControl/>
              <w:suppressLineNumbers w:val="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内部管理制度</w:t>
            </w:r>
          </w:p>
        </w:tc>
        <w:tc>
          <w:tcPr>
            <w:tcW w:w="419" w:type="pct"/>
            <w:noWrap w:val="0"/>
            <w:vAlign w:val="center"/>
          </w:tcPr>
          <w:p w14:paraId="5B91B57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分</w:t>
            </w:r>
          </w:p>
        </w:tc>
        <w:tc>
          <w:tcPr>
            <w:tcW w:w="3612" w:type="pct"/>
            <w:noWrap w:val="0"/>
            <w:vAlign w:val="top"/>
          </w:tcPr>
          <w:p w14:paraId="6AB7F77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供应商针对本项目提供的内部管理制度（包括但不限于：①项目组织机构管理制度及岗位责任制度；②质量控制制度；③风险防范管理制度；④信息保密制度；⑤评审执业及廉洁从审制度；⑥职业回避制度；⑦档案管理制度；⑧内部监督考核制度）进行综合评审。</w:t>
            </w:r>
          </w:p>
          <w:p w14:paraId="73FF446A">
            <w:pPr>
              <w:rPr>
                <w:rFonts w:hint="eastAsia" w:eastAsia="宋体" w:cs="Times New Roman"/>
                <w:sz w:val="24"/>
                <w:szCs w:val="24"/>
                <w:lang w:val="en-US" w:eastAsia="zh-CN"/>
              </w:rPr>
            </w:pPr>
            <w:r>
              <w:rPr>
                <w:rFonts w:hint="eastAsia" w:asciiTheme="minorEastAsia" w:hAnsiTheme="minorEastAsia" w:eastAsiaTheme="minorEastAsia" w:cstheme="minorEastAsia"/>
                <w:sz w:val="24"/>
                <w:szCs w:val="24"/>
                <w:lang w:val="en-US" w:eastAsia="zh-CN"/>
              </w:rPr>
              <w:t>供应商提供的方案包含前述要求的内容且满足招标文件要求的得28分，每缺少一项要求的方案内容扣3.5分，扣完为止。方案中有一处错误的（错误是指：项目名称或项目编号或实施地点或涉及的规范、标准与本项目要求不一致的，或逻辑错误等相关错误的），一处扣0.5分，扣完为止。方案中有一处描述不切合项目实际的，一处扣1.5分，扣完为止。不提供内部管理制度的不得分。</w:t>
            </w:r>
          </w:p>
        </w:tc>
      </w:tr>
      <w:tr w14:paraId="09CD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7" w:type="pct"/>
            <w:gridSpan w:val="3"/>
            <w:noWrap w:val="0"/>
            <w:vAlign w:val="center"/>
          </w:tcPr>
          <w:p w14:paraId="10DC48E0">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合计</w:t>
            </w:r>
          </w:p>
        </w:tc>
        <w:tc>
          <w:tcPr>
            <w:tcW w:w="3612" w:type="pct"/>
            <w:noWrap w:val="0"/>
            <w:vAlign w:val="center"/>
          </w:tcPr>
          <w:p w14:paraId="5A6197EC">
            <w:pPr>
              <w:spacing w:line="240" w:lineRule="auto"/>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90</w:t>
            </w:r>
            <w:r>
              <w:rPr>
                <w:rFonts w:hint="eastAsia" w:ascii="宋体" w:hAnsi="宋体" w:eastAsia="宋体" w:cs="宋体"/>
                <w:color w:val="000000"/>
                <w:sz w:val="24"/>
                <w:szCs w:val="24"/>
              </w:rPr>
              <w:t>分</w:t>
            </w:r>
          </w:p>
        </w:tc>
      </w:tr>
    </w:tbl>
    <w:p w14:paraId="0E587622">
      <w:pPr>
        <w:pStyle w:val="80"/>
        <w:jc w:val="center"/>
        <w:rPr>
          <w:rFonts w:hint="eastAsia" w:ascii="宋体" w:hAnsi="宋体" w:eastAsia="宋体" w:cs="宋体"/>
          <w:color w:val="auto"/>
          <w:lang w:val="en-US" w:eastAsia="zh-CN"/>
        </w:rPr>
      </w:pPr>
    </w:p>
    <w:p w14:paraId="32DEBFF3">
      <w:pPr>
        <w:pStyle w:val="32"/>
        <w:ind w:left="0" w:leftChars="0" w:firstLine="0" w:firstLineChars="0"/>
        <w:rPr>
          <w:rFonts w:hint="eastAsia" w:ascii="宋体" w:hAnsi="宋体" w:eastAsia="宋体" w:cs="宋体"/>
          <w:color w:val="auto"/>
          <w:lang w:val="en-US" w:eastAsia="zh-CN"/>
        </w:rPr>
      </w:pPr>
    </w:p>
    <w:p w14:paraId="4BBC9910">
      <w:pPr>
        <w:rPr>
          <w:rFonts w:hint="eastAsia" w:ascii="宋体" w:hAnsi="宋体" w:eastAsia="宋体" w:cs="宋体"/>
          <w:color w:val="auto"/>
          <w:lang w:val="en-US" w:eastAsia="zh-CN"/>
        </w:rPr>
      </w:pPr>
    </w:p>
    <w:p w14:paraId="2AC0B541">
      <w:pPr>
        <w:rPr>
          <w:rFonts w:hint="eastAsia" w:ascii="宋体" w:hAnsi="宋体" w:eastAsia="宋体" w:cs="宋体"/>
          <w:color w:val="auto"/>
          <w:lang w:val="en-US" w:eastAsia="zh-CN"/>
        </w:rPr>
      </w:pPr>
    </w:p>
    <w:p w14:paraId="4D2E1BD1">
      <w:pPr>
        <w:rPr>
          <w:rFonts w:hint="eastAsia" w:ascii="宋体" w:hAnsi="宋体" w:eastAsia="宋体" w:cs="宋体"/>
          <w:color w:val="auto"/>
          <w:lang w:val="en-US" w:eastAsia="zh-CN"/>
        </w:rPr>
      </w:pPr>
    </w:p>
    <w:p w14:paraId="07C97E24">
      <w:pPr>
        <w:rPr>
          <w:rFonts w:hint="eastAsia" w:ascii="宋体" w:hAnsi="宋体" w:eastAsia="宋体" w:cs="宋体"/>
          <w:color w:val="auto"/>
          <w:lang w:val="en-US" w:eastAsia="zh-CN"/>
        </w:rPr>
      </w:pPr>
    </w:p>
    <w:p w14:paraId="70A03CBB">
      <w:pPr>
        <w:rPr>
          <w:rFonts w:hint="eastAsia" w:ascii="宋体" w:hAnsi="宋体" w:eastAsia="宋体" w:cs="宋体"/>
          <w:color w:val="auto"/>
          <w:lang w:val="en-US" w:eastAsia="zh-CN"/>
        </w:rPr>
      </w:pPr>
    </w:p>
    <w:p w14:paraId="0D97CCA6">
      <w:pPr>
        <w:rPr>
          <w:rFonts w:hint="eastAsia" w:ascii="宋体" w:hAnsi="宋体" w:eastAsia="宋体" w:cs="宋体"/>
          <w:color w:val="auto"/>
          <w:lang w:val="en-US" w:eastAsia="zh-CN"/>
        </w:rPr>
      </w:pPr>
    </w:p>
    <w:p w14:paraId="54D6D667">
      <w:pPr>
        <w:rPr>
          <w:rFonts w:hint="eastAsia" w:ascii="宋体" w:hAnsi="宋体" w:eastAsia="宋体" w:cs="宋体"/>
          <w:color w:val="auto"/>
          <w:lang w:val="en-US" w:eastAsia="zh-CN"/>
        </w:rPr>
      </w:pPr>
    </w:p>
    <w:p w14:paraId="194281E2">
      <w:pPr>
        <w:rPr>
          <w:rFonts w:hint="eastAsia" w:ascii="宋体" w:hAnsi="宋体" w:eastAsia="宋体" w:cs="宋体"/>
          <w:color w:val="auto"/>
          <w:lang w:val="en-US" w:eastAsia="zh-CN"/>
        </w:rPr>
      </w:pPr>
    </w:p>
    <w:p w14:paraId="572687BD">
      <w:pPr>
        <w:rPr>
          <w:rFonts w:hint="eastAsia" w:ascii="宋体" w:hAnsi="宋体" w:eastAsia="宋体" w:cs="宋体"/>
          <w:color w:val="auto"/>
          <w:lang w:val="en-US" w:eastAsia="zh-CN"/>
        </w:rPr>
      </w:pPr>
    </w:p>
    <w:p w14:paraId="7614AA7F">
      <w:pPr>
        <w:rPr>
          <w:rFonts w:hint="eastAsia" w:ascii="宋体" w:hAnsi="宋体" w:eastAsia="宋体" w:cs="宋体"/>
          <w:color w:val="auto"/>
          <w:lang w:val="en-US" w:eastAsia="zh-CN"/>
        </w:rPr>
      </w:pPr>
    </w:p>
    <w:p w14:paraId="2B938F8C">
      <w:pPr>
        <w:rPr>
          <w:rFonts w:hint="eastAsia" w:ascii="宋体" w:hAnsi="宋体" w:eastAsia="宋体" w:cs="宋体"/>
          <w:color w:val="auto"/>
          <w:lang w:val="en-US" w:eastAsia="zh-CN"/>
        </w:rPr>
      </w:pPr>
    </w:p>
    <w:p w14:paraId="121BA136">
      <w:pPr>
        <w:rPr>
          <w:rFonts w:hint="eastAsia" w:ascii="宋体" w:hAnsi="宋体" w:eastAsia="宋体" w:cs="宋体"/>
          <w:color w:val="auto"/>
          <w:lang w:val="en-US" w:eastAsia="zh-CN"/>
        </w:rPr>
      </w:pPr>
    </w:p>
    <w:p w14:paraId="49042967">
      <w:pPr>
        <w:rPr>
          <w:rFonts w:hint="eastAsia" w:ascii="宋体" w:hAnsi="宋体" w:eastAsia="宋体" w:cs="宋体"/>
          <w:color w:val="auto"/>
          <w:lang w:val="en-US" w:eastAsia="zh-CN"/>
        </w:rPr>
      </w:pPr>
    </w:p>
    <w:p w14:paraId="49C8B0C5">
      <w:pPr>
        <w:rPr>
          <w:rFonts w:hint="eastAsia" w:ascii="宋体" w:hAnsi="宋体" w:eastAsia="宋体" w:cs="宋体"/>
          <w:color w:val="auto"/>
          <w:lang w:val="en-US" w:eastAsia="zh-CN"/>
        </w:rPr>
      </w:pPr>
    </w:p>
    <w:p w14:paraId="2245DB07">
      <w:pPr>
        <w:rPr>
          <w:rFonts w:hint="eastAsia" w:ascii="宋体" w:hAnsi="宋体" w:eastAsia="宋体" w:cs="宋体"/>
          <w:color w:val="auto"/>
          <w:lang w:val="en-US" w:eastAsia="zh-CN"/>
        </w:rPr>
      </w:pPr>
    </w:p>
    <w:p w14:paraId="070AEB3A">
      <w:pPr>
        <w:rPr>
          <w:rFonts w:hint="eastAsia" w:ascii="宋体" w:hAnsi="宋体" w:eastAsia="宋体" w:cs="宋体"/>
          <w:color w:val="auto"/>
          <w:lang w:val="en-US" w:eastAsia="zh-CN"/>
        </w:rPr>
      </w:pPr>
    </w:p>
    <w:p w14:paraId="44DAC6E0">
      <w:pPr>
        <w:rPr>
          <w:rFonts w:hint="eastAsia" w:ascii="宋体" w:hAnsi="宋体" w:eastAsia="宋体" w:cs="宋体"/>
          <w:color w:val="auto"/>
          <w:lang w:val="en-US" w:eastAsia="zh-CN"/>
        </w:rPr>
      </w:pPr>
    </w:p>
    <w:p w14:paraId="6A9C0D74">
      <w:pPr>
        <w:rPr>
          <w:rFonts w:hint="eastAsia" w:ascii="宋体" w:hAnsi="宋体" w:eastAsia="宋体" w:cs="宋体"/>
          <w:color w:val="auto"/>
          <w:lang w:val="en-US" w:eastAsia="zh-CN"/>
        </w:rPr>
      </w:pPr>
    </w:p>
    <w:p w14:paraId="6BC04FB0">
      <w:pPr>
        <w:rPr>
          <w:rFonts w:hint="eastAsia" w:ascii="宋体" w:hAnsi="宋体" w:eastAsia="宋体" w:cs="宋体"/>
          <w:color w:val="auto"/>
          <w:lang w:val="en-US" w:eastAsia="zh-CN"/>
        </w:rPr>
      </w:pPr>
    </w:p>
    <w:p w14:paraId="37F38D31">
      <w:pPr>
        <w:rPr>
          <w:rFonts w:hint="eastAsia" w:ascii="宋体" w:hAnsi="宋体" w:eastAsia="宋体" w:cs="宋体"/>
          <w:color w:val="auto"/>
          <w:lang w:val="en-US" w:eastAsia="zh-CN"/>
        </w:rPr>
      </w:pPr>
    </w:p>
    <w:p w14:paraId="731FEBD8">
      <w:pPr>
        <w:rPr>
          <w:rFonts w:hint="eastAsia" w:ascii="宋体" w:hAnsi="宋体" w:eastAsia="宋体" w:cs="宋体"/>
          <w:color w:val="auto"/>
          <w:lang w:val="en-US" w:eastAsia="zh-CN"/>
        </w:rPr>
      </w:pPr>
    </w:p>
    <w:p w14:paraId="197B2AB1">
      <w:pPr>
        <w:rPr>
          <w:rFonts w:hint="eastAsia" w:ascii="宋体" w:hAnsi="宋体" w:eastAsia="宋体" w:cs="宋体"/>
          <w:color w:val="auto"/>
          <w:lang w:val="en-US" w:eastAsia="zh-CN"/>
        </w:rPr>
      </w:pPr>
    </w:p>
    <w:p w14:paraId="4354D493">
      <w:pPr>
        <w:rPr>
          <w:rFonts w:hint="eastAsia" w:ascii="宋体" w:hAnsi="宋体" w:eastAsia="宋体" w:cs="宋体"/>
          <w:color w:val="auto"/>
          <w:lang w:val="en-US" w:eastAsia="zh-CN"/>
        </w:rPr>
      </w:pPr>
    </w:p>
    <w:p w14:paraId="624DCB90">
      <w:pPr>
        <w:rPr>
          <w:rFonts w:hint="eastAsia" w:ascii="宋体" w:hAnsi="宋体" w:eastAsia="宋体" w:cs="宋体"/>
          <w:color w:val="auto"/>
          <w:lang w:val="en-US" w:eastAsia="zh-CN"/>
        </w:rPr>
      </w:pPr>
    </w:p>
    <w:p w14:paraId="609D0DF6">
      <w:pPr>
        <w:rPr>
          <w:rFonts w:hint="eastAsia" w:ascii="宋体" w:hAnsi="宋体" w:eastAsia="宋体" w:cs="宋体"/>
          <w:color w:val="auto"/>
          <w:lang w:val="en-US" w:eastAsia="zh-CN"/>
        </w:rPr>
      </w:pPr>
    </w:p>
    <w:p w14:paraId="51748612">
      <w:pPr>
        <w:rPr>
          <w:rFonts w:hint="eastAsia" w:ascii="宋体" w:hAnsi="宋体" w:eastAsia="宋体" w:cs="宋体"/>
          <w:color w:val="auto"/>
          <w:lang w:val="en-US" w:eastAsia="zh-CN"/>
        </w:rPr>
      </w:pPr>
    </w:p>
    <w:p w14:paraId="6C19FF77">
      <w:pPr>
        <w:rPr>
          <w:rFonts w:hint="eastAsia" w:ascii="宋体" w:hAnsi="宋体" w:eastAsia="宋体" w:cs="宋体"/>
          <w:color w:val="auto"/>
          <w:lang w:val="en-US" w:eastAsia="zh-CN"/>
        </w:rPr>
      </w:pPr>
    </w:p>
    <w:p w14:paraId="5E4F8893">
      <w:pPr>
        <w:rPr>
          <w:rFonts w:hint="eastAsia" w:ascii="宋体" w:hAnsi="宋体" w:eastAsia="宋体" w:cs="宋体"/>
          <w:color w:val="auto"/>
          <w:lang w:val="en-US" w:eastAsia="zh-CN"/>
        </w:rPr>
      </w:pPr>
    </w:p>
    <w:p w14:paraId="6B853D23">
      <w:pPr>
        <w:rPr>
          <w:rFonts w:hint="eastAsia" w:ascii="宋体" w:hAnsi="宋体" w:eastAsia="宋体" w:cs="宋体"/>
          <w:color w:val="auto"/>
          <w:lang w:val="en-US" w:eastAsia="zh-CN"/>
        </w:rPr>
      </w:pPr>
    </w:p>
    <w:p w14:paraId="431DE3EC">
      <w:pPr>
        <w:rPr>
          <w:rFonts w:hint="eastAsia" w:ascii="宋体" w:hAnsi="宋体" w:eastAsia="宋体" w:cs="宋体"/>
          <w:color w:val="auto"/>
          <w:lang w:val="en-US" w:eastAsia="zh-CN"/>
        </w:rPr>
      </w:pPr>
    </w:p>
    <w:p w14:paraId="7E42F9E4">
      <w:pPr>
        <w:rPr>
          <w:rFonts w:hint="eastAsia" w:ascii="宋体" w:hAnsi="宋体" w:eastAsia="宋体" w:cs="宋体"/>
          <w:color w:val="auto"/>
          <w:lang w:val="en-US" w:eastAsia="zh-CN"/>
        </w:rPr>
      </w:pPr>
    </w:p>
    <w:p w14:paraId="297400AC">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kern w:val="0"/>
          <w:sz w:val="24"/>
          <w:lang w:eastAsia="zh-CN"/>
        </w:rPr>
      </w:pPr>
      <w:bookmarkStart w:id="95" w:name="_Toc14001"/>
      <w:bookmarkStart w:id="96" w:name="_Toc25362"/>
      <w:r>
        <w:rPr>
          <w:rFonts w:hint="eastAsia" w:ascii="宋体" w:hAnsi="宋体" w:eastAsia="宋体" w:cs="宋体"/>
          <w:b/>
          <w:color w:val="auto"/>
          <w:sz w:val="28"/>
          <w:szCs w:val="28"/>
          <w:lang w:eastAsia="zh-CN"/>
        </w:rPr>
        <w:t>二、评审办法正文部分</w:t>
      </w:r>
      <w:bookmarkEnd w:id="95"/>
      <w:bookmarkEnd w:id="96"/>
    </w:p>
    <w:p w14:paraId="36576F2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经磋商确定最终采购需求和提交最后报价的供应商后，由磋商小组采用综合评分法对提交最后报价的供应商的响应文件和最后报价进行综合评分。</w:t>
      </w:r>
    </w:p>
    <w:p w14:paraId="469A980D">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综合评分法，是指响应文件满足磋商文件全部实质性要求且按评审因素的量化指标评审得分最高的供应商为成交候选供应商的评审方法。</w:t>
      </w:r>
    </w:p>
    <w:p w14:paraId="3836FB0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评审时，磋商小组各成员应当独立对每个有效响应的文件进行评价、打分，然后汇总每个供应商每项评分因素的得分。</w:t>
      </w:r>
    </w:p>
    <w:p w14:paraId="64FEDA1A">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2.1</w:t>
      </w:r>
      <w:r>
        <w:rPr>
          <w:rFonts w:hint="eastAsia" w:ascii="宋体" w:hAnsi="宋体" w:eastAsia="宋体" w:cs="宋体"/>
          <w:b/>
          <w:bCs/>
          <w:color w:val="auto"/>
          <w:sz w:val="24"/>
          <w:szCs w:val="24"/>
        </w:rPr>
        <w:t>响应文件的初审</w:t>
      </w:r>
    </w:p>
    <w:p w14:paraId="6871BD04">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初审分为资格审查和符合性审查。</w:t>
      </w:r>
    </w:p>
    <w:p w14:paraId="426E8F2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2.1.1</w:t>
      </w:r>
      <w:r>
        <w:rPr>
          <w:rFonts w:hint="eastAsia" w:ascii="宋体" w:hAnsi="宋体" w:eastAsia="宋体" w:cs="宋体"/>
          <w:color w:val="auto"/>
          <w:sz w:val="24"/>
          <w:szCs w:val="24"/>
        </w:rPr>
        <w:t>资格审查</w:t>
      </w:r>
    </w:p>
    <w:p w14:paraId="5CF69AD8">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（1）磋商小组根据评</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办法前附表规定的评审因素和评审标准，对供应商的响应文件进行资格评审。资格审查不合格的供应商的响应文件作</w:t>
      </w:r>
      <w:r>
        <w:rPr>
          <w:rFonts w:hint="eastAsia" w:ascii="宋体" w:hAnsi="宋体" w:eastAsia="宋体" w:cs="宋体"/>
          <w:b/>
          <w:bCs/>
          <w:color w:val="auto"/>
          <w:sz w:val="24"/>
          <w:szCs w:val="24"/>
        </w:rPr>
        <w:t>无效文件</w:t>
      </w:r>
      <w:r>
        <w:rPr>
          <w:rFonts w:hint="eastAsia" w:ascii="宋体" w:hAnsi="宋体" w:eastAsia="宋体" w:cs="宋体"/>
          <w:color w:val="auto"/>
          <w:sz w:val="24"/>
          <w:szCs w:val="24"/>
        </w:rPr>
        <w:t>处理。</w:t>
      </w:r>
    </w:p>
    <w:p w14:paraId="3232222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（2）磋商小组在进行资格检查时，不得改变磋商文件中已载明的资格条件、标准和办法。资格审查不合格的供应商的响应文件作无效文件处理。</w:t>
      </w:r>
    </w:p>
    <w:p w14:paraId="19E89B6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）磋商小组在评审中必要时可按供应商提供的联系方式就有关问题进行查询核实，或要求供应商做出书面澄清，查询及澄清结果将作为审查的依据。</w:t>
      </w:r>
    </w:p>
    <w:p w14:paraId="0DFBD521">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）通过全部资格审查条件合格的供应商才能通过资格审查，其响应文件方可进入下一个检查阶段。</w:t>
      </w:r>
    </w:p>
    <w:p w14:paraId="0854BE7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2.1.2</w:t>
      </w:r>
      <w:r>
        <w:rPr>
          <w:rFonts w:hint="eastAsia" w:ascii="宋体" w:hAnsi="宋体" w:eastAsia="宋体" w:cs="宋体"/>
          <w:color w:val="auto"/>
          <w:sz w:val="24"/>
          <w:szCs w:val="24"/>
        </w:rPr>
        <w:t>符合性审查</w:t>
      </w:r>
    </w:p>
    <w:p w14:paraId="4A5C8AE0">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磋商小组根据评</w:t>
      </w:r>
      <w:r>
        <w:rPr>
          <w:rFonts w:hint="eastAsia" w:ascii="宋体" w:hAnsi="宋体" w:eastAsia="宋体" w:cs="宋体"/>
          <w:color w:val="auto"/>
          <w:sz w:val="24"/>
          <w:szCs w:val="24"/>
          <w:lang w:eastAsia="zh-CN"/>
        </w:rPr>
        <w:t>标</w:t>
      </w:r>
      <w:r>
        <w:rPr>
          <w:rFonts w:hint="eastAsia" w:ascii="宋体" w:hAnsi="宋体" w:eastAsia="宋体" w:cs="宋体"/>
          <w:color w:val="auto"/>
          <w:sz w:val="24"/>
          <w:szCs w:val="24"/>
        </w:rPr>
        <w:t>办法前附表规定的评审因素和评审标准，对供应商的响应文件进行符合性审查。符合性审查不合格的供应商的响应文件作无效文件处理。</w:t>
      </w:r>
    </w:p>
    <w:p w14:paraId="5859F557">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磋商小组审查响应文件是否完整、有无计算上的错误等。</w:t>
      </w:r>
    </w:p>
    <w:p w14:paraId="785FF29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2.2.1</w:t>
      </w:r>
      <w:r>
        <w:rPr>
          <w:rFonts w:hint="eastAsia" w:ascii="宋体" w:hAnsi="宋体" w:eastAsia="宋体" w:cs="宋体"/>
          <w:color w:val="auto"/>
          <w:sz w:val="24"/>
          <w:szCs w:val="24"/>
        </w:rPr>
        <w:t>响应文件的修正及澄清</w:t>
      </w:r>
    </w:p>
    <w:p w14:paraId="143F8B70">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磋商小组对确定为实质上响应磋商文件要求的响应文件进行校核，看其是否有计算或表达上的错误，算术错误将按以下方法更正：</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内容与</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文件中相应内容不一致的，以</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为准；大写金额和小写金额不一致的，以大写金额为准；单价金额小数点或者百分比有明显错位的，以</w:t>
      </w:r>
      <w:r>
        <w:rPr>
          <w:rFonts w:hint="eastAsia" w:ascii="宋体" w:hAnsi="宋体" w:eastAsia="宋体" w:cs="宋体"/>
          <w:color w:val="auto"/>
          <w:sz w:val="24"/>
          <w:szCs w:val="24"/>
          <w:lang w:eastAsia="zh-CN"/>
        </w:rPr>
        <w:t>报价一览表</w:t>
      </w:r>
      <w:r>
        <w:rPr>
          <w:rFonts w:hint="eastAsia" w:ascii="宋体" w:hAnsi="宋体" w:eastAsia="宋体" w:cs="宋体"/>
          <w:color w:val="auto"/>
          <w:sz w:val="24"/>
          <w:szCs w:val="24"/>
        </w:rPr>
        <w:t>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14:paraId="2D422BD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2.2.2</w:t>
      </w:r>
      <w:r>
        <w:rPr>
          <w:rFonts w:hint="eastAsia" w:ascii="宋体" w:hAnsi="宋体" w:eastAsia="宋体" w:cs="宋体"/>
          <w:color w:val="auto"/>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6A7422C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2.2.3</w:t>
      </w:r>
      <w:r>
        <w:rPr>
          <w:rFonts w:hint="eastAsia" w:ascii="宋体" w:hAnsi="宋体" w:eastAsia="宋体" w:cs="宋体"/>
          <w:color w:val="auto"/>
          <w:sz w:val="24"/>
          <w:szCs w:val="24"/>
        </w:rPr>
        <w:t>实质上没有响应磋商文件要求的响应文件将被视为无效文件。供应商不得通过修正或撤销不合要求的偏离从而使其成为实质上响应的文件。</w:t>
      </w:r>
    </w:p>
    <w:p w14:paraId="1C4552C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7CD6F68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2.2.5</w:t>
      </w:r>
      <w:r>
        <w:rPr>
          <w:rFonts w:hint="eastAsia" w:ascii="宋体" w:hAnsi="宋体" w:eastAsia="宋体" w:cs="宋体"/>
          <w:color w:val="auto"/>
          <w:sz w:val="24"/>
          <w:szCs w:val="24"/>
        </w:rPr>
        <w:t>供应商的澄清文件是其响应文件的组成部分。</w:t>
      </w:r>
    </w:p>
    <w:p w14:paraId="4075F648">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2.3</w:t>
      </w:r>
      <w:r>
        <w:rPr>
          <w:rFonts w:hint="eastAsia" w:ascii="宋体" w:hAnsi="宋体" w:eastAsia="宋体" w:cs="宋体"/>
          <w:b/>
          <w:bCs/>
          <w:color w:val="auto"/>
          <w:sz w:val="24"/>
          <w:szCs w:val="24"/>
        </w:rPr>
        <w:t>磋商</w:t>
      </w:r>
    </w:p>
    <w:p w14:paraId="1A33F36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.1磋商小组所有成员应当集中与单一供应商分别进行磋商，并给予所有参加磋商的供应商平等的磋商机会。</w:t>
      </w:r>
    </w:p>
    <w:p w14:paraId="7D94D9C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14:paraId="76CF0137">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.3对磋商文件作出的实质性变动是磋商文件的有效组成部分，磋商小组应当及时以书面形式同时通知所有参加磋商的供应商。</w:t>
      </w:r>
    </w:p>
    <w:p w14:paraId="2633B29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9EC79C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w:t>
      </w:r>
    </w:p>
    <w:p w14:paraId="731A591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家以上供应商的设计方案或者解决方案，并要求其在规定时间内提交最后报价。</w:t>
      </w:r>
    </w:p>
    <w:p w14:paraId="24E7A02A">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.7已提交响应文件的供应商，在提交最后报价之前，可以根据磋商情况退出磋商。其</w:t>
      </w:r>
      <w:r>
        <w:rPr>
          <w:rFonts w:hint="eastAsia" w:ascii="宋体" w:hAnsi="宋体" w:eastAsia="宋体" w:cs="宋体"/>
          <w:color w:val="auto"/>
          <w:sz w:val="24"/>
          <w:szCs w:val="24"/>
          <w:lang w:eastAsia="zh-CN"/>
        </w:rPr>
        <w:t>响应保证金</w:t>
      </w:r>
      <w:r>
        <w:rPr>
          <w:rFonts w:hint="eastAsia" w:ascii="宋体" w:hAnsi="宋体" w:eastAsia="宋体" w:cs="宋体"/>
          <w:color w:val="auto"/>
          <w:sz w:val="24"/>
          <w:szCs w:val="24"/>
        </w:rPr>
        <w:t>将予以退还。</w:t>
      </w:r>
    </w:p>
    <w:p w14:paraId="7C9B60AC">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.8最后报价是供应商响应文件的有效组成部分。</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《政府采购竞争性磋商采购方式管理暂行办法》</w:t>
      </w:r>
      <w:r>
        <w:rPr>
          <w:rFonts w:hint="eastAsia" w:ascii="宋体" w:hAnsi="宋体" w:eastAsia="宋体" w:cs="宋体"/>
          <w:color w:val="auto"/>
          <w:sz w:val="24"/>
          <w:szCs w:val="24"/>
          <w:highlight w:val="none"/>
        </w:rPr>
        <w:t>第三条第四项情形</w:t>
      </w:r>
      <w:r>
        <w:rPr>
          <w:rFonts w:hint="eastAsia" w:ascii="宋体" w:hAnsi="宋体" w:eastAsia="宋体" w:cs="宋体"/>
          <w:color w:val="auto"/>
          <w:sz w:val="24"/>
          <w:szCs w:val="24"/>
          <w:highlight w:val="none"/>
          <w:lang w:eastAsia="zh-CN"/>
        </w:rPr>
        <w:t>：市场竞争不充分的科研项目，以及需要扶持的科技成果转化项目</w:t>
      </w:r>
      <w:r>
        <w:rPr>
          <w:rFonts w:hint="eastAsia" w:ascii="宋体" w:hAnsi="宋体" w:eastAsia="宋体" w:cs="宋体"/>
          <w:color w:val="auto"/>
          <w:sz w:val="24"/>
          <w:szCs w:val="24"/>
          <w:highlight w:val="none"/>
        </w:rPr>
        <w:t>，提交最后报价的供应商可</w:t>
      </w:r>
      <w:r>
        <w:rPr>
          <w:rFonts w:hint="eastAsia" w:ascii="宋体" w:hAnsi="宋体" w:eastAsia="宋体" w:cs="宋体"/>
          <w:color w:val="auto"/>
          <w:sz w:val="24"/>
          <w:szCs w:val="24"/>
        </w:rPr>
        <w:t>以为2家。</w:t>
      </w:r>
    </w:p>
    <w:p w14:paraId="05B2CFDB">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.9经磋商确定最终采购需求和提交最后报价的供应商后，由磋商小组采用综合评分法对提交最后报价的供应商的响应文件和最后报价进行综合评分。</w:t>
      </w:r>
    </w:p>
    <w:p w14:paraId="1A1A0148">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.10采购结果确认</w:t>
      </w:r>
    </w:p>
    <w:p w14:paraId="342935C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（1）磋商小组按照</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305ED0A1">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14:paraId="514F6ACE">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（3）条款是指磋商过程中确定的最终采购需求及报价。</w:t>
      </w:r>
    </w:p>
    <w:p w14:paraId="64F089CD">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2.4推荐成交供应商</w:t>
      </w:r>
    </w:p>
    <w:p w14:paraId="1FDBEBE1">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5BE6528">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2.5确定成交供应商</w:t>
      </w:r>
    </w:p>
    <w:p w14:paraId="13F7C06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采购代理机构应当在评审结束后2个工作日内将评审报告送采购人确认。</w:t>
      </w:r>
    </w:p>
    <w:p w14:paraId="4B7EF82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2.5.2</w:t>
      </w:r>
      <w:r>
        <w:rPr>
          <w:rFonts w:hint="eastAsia" w:ascii="宋体" w:hAnsi="宋体" w:eastAsia="宋体" w:cs="宋体"/>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028D37F">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lang w:val="en-US" w:eastAsia="zh-CN"/>
        </w:rPr>
      </w:pPr>
      <w:bookmarkStart w:id="97" w:name="_Toc19418"/>
      <w:r>
        <w:rPr>
          <w:rFonts w:hint="eastAsia" w:ascii="宋体" w:hAnsi="宋体" w:eastAsia="宋体" w:cs="宋体"/>
          <w:b/>
          <w:color w:val="auto"/>
          <w:sz w:val="28"/>
          <w:szCs w:val="28"/>
          <w:lang w:val="en-US" w:eastAsia="zh-CN"/>
        </w:rPr>
        <w:t>三、串通投标的情况</w:t>
      </w:r>
      <w:bookmarkEnd w:id="97"/>
    </w:p>
    <w:p w14:paraId="50783D52">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有下列情形之一的，视为</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串通投标，其</w:t>
      </w:r>
      <w:r>
        <w:rPr>
          <w:rFonts w:hint="eastAsia" w:ascii="宋体" w:hAnsi="宋体" w:eastAsia="宋体" w:cs="宋体"/>
          <w:b/>
          <w:bCs/>
          <w:color w:val="auto"/>
          <w:sz w:val="24"/>
          <w:szCs w:val="24"/>
          <w:lang w:val="en-US" w:eastAsia="zh-CN"/>
        </w:rPr>
        <w:t>投标无效</w:t>
      </w:r>
      <w:r>
        <w:rPr>
          <w:rFonts w:hint="eastAsia" w:ascii="宋体" w:hAnsi="宋体" w:eastAsia="宋体" w:cs="宋体"/>
          <w:color w:val="auto"/>
          <w:sz w:val="24"/>
          <w:szCs w:val="24"/>
          <w:lang w:val="en-US" w:eastAsia="zh-CN"/>
        </w:rPr>
        <w:t>：</w:t>
      </w:r>
    </w:p>
    <w:p w14:paraId="5B88FB41">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的响应文件由同一单位或者个人编制；</w:t>
      </w:r>
    </w:p>
    <w:p w14:paraId="54BA1F5B">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委托同一单位或者个人办理投标事宜；</w:t>
      </w:r>
    </w:p>
    <w:p w14:paraId="6437821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的响应文件载明的项目管理成员或者联系人员为同一人；</w:t>
      </w:r>
    </w:p>
    <w:p w14:paraId="56831049">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的响应文件异常一致或者投标报价呈规律性差异；</w:t>
      </w:r>
    </w:p>
    <w:p w14:paraId="267B40C6">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的响应文件相互混装；</w:t>
      </w:r>
    </w:p>
    <w:p w14:paraId="7E9C7230">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8"/>
          <w:szCs w:val="28"/>
        </w:rPr>
      </w:pPr>
      <w:r>
        <w:rPr>
          <w:rFonts w:hint="eastAsia" w:ascii="宋体" w:hAnsi="宋体" w:eastAsia="宋体" w:cs="宋体"/>
          <w:color w:val="auto"/>
          <w:sz w:val="24"/>
          <w:szCs w:val="24"/>
          <w:lang w:val="en-US" w:eastAsia="zh-CN"/>
        </w:rPr>
        <w:t>6、不同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的响应保证金从同一单位或者个人的账户转出。</w:t>
      </w:r>
    </w:p>
    <w:p w14:paraId="2A954450">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四、无效投标条款和废标条款</w:t>
      </w:r>
    </w:p>
    <w:p w14:paraId="68A49613">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r>
        <w:rPr>
          <w:rFonts w:hint="eastAsia" w:ascii="宋体" w:hAnsi="宋体" w:eastAsia="宋体" w:cs="宋体"/>
          <w:b/>
          <w:bCs/>
          <w:color w:val="auto"/>
          <w:sz w:val="24"/>
          <w:szCs w:val="24"/>
          <w:lang w:val="en-US" w:eastAsia="zh-CN"/>
        </w:rPr>
        <w:t>无效投标条款</w:t>
      </w:r>
    </w:p>
    <w:p w14:paraId="129F7C5B">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不遵循公平竞争的原则，恶意串通，妨碍其他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的竞争，损害采购人或者其他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的合法权益，评标委员会应当认定其投标无效。</w:t>
      </w:r>
    </w:p>
    <w:p w14:paraId="14959A9D">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r>
        <w:rPr>
          <w:rFonts w:hint="eastAsia" w:ascii="宋体" w:hAnsi="宋体" w:eastAsia="宋体" w:cs="宋体"/>
          <w:b/>
          <w:bCs/>
          <w:color w:val="auto"/>
          <w:sz w:val="24"/>
          <w:szCs w:val="24"/>
          <w:lang w:val="en-US" w:eastAsia="zh-CN"/>
        </w:rPr>
        <w:t>废标条款</w:t>
      </w:r>
      <w:r>
        <w:rPr>
          <w:rFonts w:hint="eastAsia" w:ascii="宋体" w:hAnsi="宋体" w:eastAsia="宋体" w:cs="宋体"/>
          <w:color w:val="auto"/>
          <w:sz w:val="24"/>
          <w:szCs w:val="24"/>
          <w:lang w:val="en-US" w:eastAsia="zh-CN"/>
        </w:rPr>
        <w:t>：</w:t>
      </w:r>
    </w:p>
    <w:p w14:paraId="6EDCFB55">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4.2.1符合专业条件的供应商或者对磋商文件作实质响应的供应商不足三家的；</w:t>
      </w:r>
    </w:p>
    <w:p w14:paraId="1EE064E5">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4.2.2出现影响采购公正的违法、违规行为的；</w:t>
      </w:r>
    </w:p>
    <w:p w14:paraId="3F84E390">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的报价均超过了采购预算，采购人不能支付的；</w:t>
      </w:r>
    </w:p>
    <w:p w14:paraId="16CDDD34">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4.2.4因重大变故，采购任务取消的。</w:t>
      </w:r>
    </w:p>
    <w:p w14:paraId="3B31B6C5">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p>
    <w:p w14:paraId="2D1083BB">
      <w:pPr>
        <w:pStyle w:val="11"/>
        <w:keepNext w:val="0"/>
        <w:keepLines w:val="0"/>
        <w:pageBreakBefore w:val="0"/>
        <w:widowControl w:val="0"/>
        <w:kinsoku/>
        <w:wordWrap/>
        <w:overflowPunct/>
        <w:topLinePunct w:val="0"/>
        <w:autoSpaceDE/>
        <w:autoSpaceDN/>
        <w:bidi w:val="0"/>
        <w:adjustRightInd/>
        <w:snapToGrid/>
        <w:spacing w:line="240" w:lineRule="auto"/>
        <w:ind w:firstLine="484" w:firstLineChars="202"/>
        <w:jc w:val="left"/>
        <w:textAlignment w:val="auto"/>
        <w:rPr>
          <w:rFonts w:hint="eastAsia" w:ascii="宋体" w:hAnsi="宋体" w:eastAsia="宋体" w:cs="宋体"/>
          <w:color w:val="auto"/>
          <w:sz w:val="24"/>
          <w:szCs w:val="24"/>
          <w:lang w:val="en-US" w:eastAsia="zh-CN"/>
        </w:rPr>
      </w:pPr>
    </w:p>
    <w:p w14:paraId="579BB1AB">
      <w:pPr>
        <w:pStyle w:val="2"/>
        <w:numPr>
          <w:ilvl w:val="0"/>
          <w:numId w:val="1"/>
        </w:numPr>
        <w:spacing w:before="0" w:after="0" w:line="240" w:lineRule="auto"/>
        <w:ind w:left="0" w:leftChars="0"/>
        <w:rPr>
          <w:rFonts w:hint="eastAsia" w:ascii="宋体" w:hAnsi="宋体" w:eastAsia="宋体" w:cs="宋体"/>
          <w:b/>
          <w:color w:val="auto"/>
          <w:sz w:val="52"/>
          <w:szCs w:val="52"/>
        </w:rPr>
      </w:pPr>
      <w:bookmarkStart w:id="98" w:name="_Toc6170"/>
      <w:bookmarkStart w:id="99" w:name="_Toc22804"/>
      <w:r>
        <w:rPr>
          <w:rFonts w:hint="eastAsia" w:ascii="宋体" w:hAnsi="宋体" w:eastAsia="宋体" w:cs="宋体"/>
          <w:color w:val="auto"/>
          <w:lang w:val="en-US" w:eastAsia="zh-CN"/>
        </w:rPr>
        <w:t xml:space="preserve"> </w:t>
      </w:r>
      <w:bookmarkStart w:id="100" w:name="_Toc10028"/>
      <w:bookmarkStart w:id="101" w:name="_Toc15715"/>
      <w:bookmarkStart w:id="102" w:name="_Toc14090"/>
      <w:r>
        <w:rPr>
          <w:rFonts w:hint="eastAsia" w:ascii="宋体" w:hAnsi="宋体" w:eastAsia="宋体" w:cs="宋体"/>
          <w:color w:val="auto"/>
        </w:rPr>
        <w:t>合同</w:t>
      </w:r>
      <w:bookmarkEnd w:id="89"/>
      <w:bookmarkEnd w:id="90"/>
      <w:bookmarkEnd w:id="91"/>
      <w:bookmarkEnd w:id="92"/>
      <w:bookmarkEnd w:id="98"/>
      <w:bookmarkEnd w:id="99"/>
      <w:bookmarkEnd w:id="100"/>
      <w:bookmarkEnd w:id="101"/>
      <w:r>
        <w:rPr>
          <w:rFonts w:hint="eastAsia" w:ascii="宋体" w:hAnsi="宋体" w:eastAsia="宋体" w:cs="宋体"/>
          <w:color w:val="auto"/>
          <w:lang w:eastAsia="zh-CN"/>
        </w:rPr>
        <w:t>文件</w:t>
      </w:r>
      <w:bookmarkEnd w:id="102"/>
    </w:p>
    <w:p w14:paraId="36D79B7A">
      <w:pPr>
        <w:wordWrap w:val="0"/>
        <w:jc w:val="center"/>
        <w:rPr>
          <w:rFonts w:hint="eastAsia" w:eastAsia="宋体"/>
          <w:bCs/>
          <w:i w:val="0"/>
          <w:iCs w:val="0"/>
          <w:color w:val="auto"/>
          <w:sz w:val="24"/>
          <w:szCs w:val="24"/>
          <w:highlight w:val="none"/>
          <w:lang w:eastAsia="zh-CN"/>
        </w:rPr>
      </w:pPr>
      <w:bookmarkStart w:id="103" w:name="_Toc3714"/>
      <w:bookmarkStart w:id="104" w:name="_Toc31237"/>
      <w:bookmarkStart w:id="105" w:name="_Toc10084"/>
      <w:bookmarkStart w:id="106" w:name="_Toc18901"/>
      <w:bookmarkStart w:id="107" w:name="_Toc7411"/>
      <w:bookmarkStart w:id="108" w:name="_Toc257633148"/>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2D6D0A80">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34F0E48A">
      <w:pPr>
        <w:pStyle w:val="15"/>
        <w:spacing w:after="0"/>
        <w:jc w:val="center"/>
        <w:rPr>
          <w:rFonts w:ascii="宋体" w:hAnsi="宋体" w:cs="宋体"/>
          <w:b/>
          <w:bCs/>
          <w:i w:val="0"/>
          <w:iCs w:val="0"/>
          <w:color w:val="auto"/>
          <w:spacing w:val="-20"/>
          <w:kern w:val="44"/>
          <w:sz w:val="48"/>
          <w:szCs w:val="48"/>
          <w:highlight w:val="none"/>
        </w:rPr>
      </w:pPr>
    </w:p>
    <w:p w14:paraId="64DD6F76">
      <w:pPr>
        <w:pStyle w:val="15"/>
        <w:spacing w:after="0"/>
        <w:jc w:val="center"/>
        <w:rPr>
          <w:rFonts w:ascii="宋体" w:hAnsi="宋体" w:cs="宋体"/>
          <w:b/>
          <w:bCs/>
          <w:i w:val="0"/>
          <w:iCs w:val="0"/>
          <w:color w:val="auto"/>
          <w:spacing w:val="-20"/>
          <w:kern w:val="44"/>
          <w:sz w:val="48"/>
          <w:szCs w:val="48"/>
          <w:highlight w:val="none"/>
        </w:rPr>
      </w:pPr>
    </w:p>
    <w:p w14:paraId="6C0248B8">
      <w:pPr>
        <w:pStyle w:val="15"/>
        <w:spacing w:after="0"/>
        <w:jc w:val="center"/>
        <w:rPr>
          <w:rFonts w:ascii="宋体" w:hAnsi="宋体" w:cs="宋体"/>
          <w:b/>
          <w:bCs/>
          <w:i w:val="0"/>
          <w:iCs w:val="0"/>
          <w:color w:val="auto"/>
          <w:spacing w:val="-20"/>
          <w:kern w:val="44"/>
          <w:sz w:val="48"/>
          <w:szCs w:val="48"/>
          <w:highlight w:val="none"/>
        </w:rPr>
      </w:pPr>
    </w:p>
    <w:p w14:paraId="1A7DD511">
      <w:pPr>
        <w:rPr>
          <w:rFonts w:hint="eastAsia"/>
          <w:lang w:val="en-US" w:eastAsia="zh-CN"/>
        </w:rPr>
      </w:pPr>
    </w:p>
    <w:p w14:paraId="47B37823">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103"/>
      <w:bookmarkEnd w:id="104"/>
      <w:bookmarkEnd w:id="105"/>
    </w:p>
    <w:p w14:paraId="37D19772">
      <w:pPr>
        <w:spacing w:line="480" w:lineRule="auto"/>
        <w:jc w:val="center"/>
        <w:outlineLvl w:val="1"/>
        <w:rPr>
          <w:rFonts w:hint="eastAsia" w:ascii="宋体" w:hAnsi="宋体" w:eastAsia="宋体" w:cs="宋体"/>
          <w:b/>
          <w:i w:val="0"/>
          <w:iCs w:val="0"/>
          <w:color w:val="auto"/>
          <w:sz w:val="28"/>
          <w:szCs w:val="28"/>
          <w:highlight w:val="none"/>
        </w:rPr>
      </w:pPr>
      <w:bookmarkStart w:id="109" w:name="_Toc1613"/>
      <w:bookmarkStart w:id="110" w:name="_Toc19383"/>
      <w:bookmarkStart w:id="111" w:name="_Toc8560"/>
      <w:r>
        <w:rPr>
          <w:rFonts w:hint="eastAsia" w:ascii="宋体" w:hAnsi="宋体" w:eastAsia="宋体" w:cs="宋体"/>
          <w:b/>
          <w:bCs/>
          <w:i w:val="0"/>
          <w:iCs w:val="0"/>
          <w:color w:val="auto"/>
          <w:spacing w:val="-20"/>
          <w:kern w:val="44"/>
          <w:sz w:val="44"/>
          <w:szCs w:val="44"/>
          <w:highlight w:val="none"/>
          <w:lang w:val="en-US" w:eastAsia="zh-CN" w:bidi="ar-SA"/>
        </w:rPr>
        <w:t>（服务类）</w:t>
      </w:r>
      <w:bookmarkEnd w:id="109"/>
      <w:bookmarkEnd w:id="110"/>
      <w:bookmarkEnd w:id="111"/>
    </w:p>
    <w:p w14:paraId="6CE284DC">
      <w:pPr>
        <w:spacing w:line="480" w:lineRule="auto"/>
        <w:jc w:val="center"/>
        <w:rPr>
          <w:rFonts w:hint="eastAsia" w:ascii="宋体" w:hAnsi="宋体" w:eastAsia="宋体" w:cs="宋体"/>
          <w:b/>
          <w:i w:val="0"/>
          <w:iCs w:val="0"/>
          <w:color w:val="auto"/>
          <w:sz w:val="24"/>
          <w:szCs w:val="24"/>
          <w:highlight w:val="none"/>
        </w:rPr>
      </w:pPr>
    </w:p>
    <w:p w14:paraId="5B241FC2">
      <w:pPr>
        <w:pStyle w:val="3"/>
        <w:bidi w:val="0"/>
        <w:jc w:val="center"/>
        <w:rPr>
          <w:rFonts w:hint="eastAsia"/>
          <w:color w:val="auto"/>
          <w:sz w:val="36"/>
          <w:szCs w:val="36"/>
          <w:highlight w:val="none"/>
        </w:rPr>
      </w:pPr>
      <w:bookmarkStart w:id="112" w:name="_Toc2449"/>
      <w:bookmarkStart w:id="113" w:name="_Toc9879"/>
      <w:bookmarkStart w:id="114" w:name="_Toc6128"/>
      <w:r>
        <w:rPr>
          <w:rFonts w:hint="eastAsia"/>
          <w:color w:val="auto"/>
          <w:sz w:val="36"/>
          <w:szCs w:val="36"/>
          <w:highlight w:val="none"/>
        </w:rPr>
        <w:t>第一部分 合同书</w:t>
      </w:r>
      <w:bookmarkEnd w:id="112"/>
      <w:bookmarkEnd w:id="113"/>
      <w:bookmarkEnd w:id="114"/>
    </w:p>
    <w:p w14:paraId="2322EA52">
      <w:pPr>
        <w:spacing w:line="480" w:lineRule="auto"/>
        <w:jc w:val="center"/>
        <w:rPr>
          <w:rFonts w:hint="eastAsia" w:ascii="宋体" w:hAnsi="宋体" w:eastAsia="宋体" w:cs="宋体"/>
          <w:b/>
          <w:i w:val="0"/>
          <w:iCs w:val="0"/>
          <w:color w:val="auto"/>
          <w:sz w:val="24"/>
          <w:szCs w:val="24"/>
          <w:highlight w:val="none"/>
        </w:rPr>
      </w:pPr>
    </w:p>
    <w:p w14:paraId="61C453D4">
      <w:pPr>
        <w:pStyle w:val="15"/>
        <w:rPr>
          <w:rFonts w:hint="eastAsia" w:ascii="宋体" w:hAnsi="宋体" w:eastAsia="宋体" w:cs="宋体"/>
          <w:i w:val="0"/>
          <w:iCs w:val="0"/>
          <w:color w:val="auto"/>
          <w:highlight w:val="none"/>
        </w:rPr>
      </w:pPr>
    </w:p>
    <w:p w14:paraId="4F57E1E9">
      <w:pPr>
        <w:pStyle w:val="15"/>
        <w:rPr>
          <w:rFonts w:hint="eastAsia" w:ascii="宋体" w:hAnsi="宋体" w:eastAsia="宋体" w:cs="宋体"/>
          <w:i w:val="0"/>
          <w:iCs w:val="0"/>
          <w:color w:val="auto"/>
          <w:highlight w:val="none"/>
        </w:rPr>
      </w:pPr>
    </w:p>
    <w:p w14:paraId="2BDC6880">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2024-2025年政府投资项目审计服务</w:t>
      </w:r>
      <w:r>
        <w:rPr>
          <w:rFonts w:hint="eastAsia" w:ascii="宋体" w:hAnsi="宋体" w:eastAsia="宋体" w:cs="宋体"/>
          <w:i w:val="0"/>
          <w:iCs w:val="0"/>
          <w:color w:val="auto"/>
          <w:sz w:val="24"/>
          <w:szCs w:val="24"/>
          <w:highlight w:val="none"/>
          <w:u w:val="single"/>
        </w:rPr>
        <w:t xml:space="preserve">    </w:t>
      </w:r>
    </w:p>
    <w:p w14:paraId="60406C59">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578B18F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拜城县财政局</w:t>
      </w:r>
      <w:r>
        <w:rPr>
          <w:rFonts w:hint="eastAsia" w:ascii="宋体" w:hAnsi="宋体" w:eastAsia="宋体" w:cs="宋体"/>
          <w:i w:val="0"/>
          <w:iCs w:val="0"/>
          <w:color w:val="auto"/>
          <w:sz w:val="24"/>
          <w:szCs w:val="24"/>
          <w:highlight w:val="none"/>
          <w:u w:val="single"/>
        </w:rPr>
        <w:t xml:space="preserve"> </w:t>
      </w:r>
    </w:p>
    <w:p w14:paraId="1F94F08B">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1F5E0E73">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拜城县</w:t>
      </w:r>
      <w:r>
        <w:rPr>
          <w:rFonts w:hint="eastAsia" w:ascii="宋体" w:hAnsi="宋体" w:eastAsia="宋体" w:cs="宋体"/>
          <w:i w:val="0"/>
          <w:iCs w:val="0"/>
          <w:color w:val="auto"/>
          <w:sz w:val="24"/>
          <w:szCs w:val="24"/>
          <w:highlight w:val="none"/>
          <w:u w:val="single"/>
        </w:rPr>
        <w:t xml:space="preserve">  </w:t>
      </w:r>
    </w:p>
    <w:p w14:paraId="39E77795">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6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7E8BBFE5">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0A2F67F7">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szCs w:val="24"/>
          <w:highlight w:val="none"/>
          <w:u w:val="single"/>
          <w:lang w:val="en-US" w:eastAsia="zh-CN"/>
        </w:rPr>
        <w:t>拜城县财政局</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32F32FB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3E41091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15" w:name="_Toc2232"/>
      <w:bookmarkStart w:id="116" w:name="_Toc3029"/>
      <w:bookmarkStart w:id="117" w:name="_Toc24059"/>
      <w:r>
        <w:rPr>
          <w:rFonts w:hint="eastAsia" w:ascii="宋体" w:hAnsi="宋体" w:eastAsia="宋体" w:cs="宋体"/>
          <w:b/>
          <w:bCs/>
          <w:i w:val="0"/>
          <w:iCs w:val="0"/>
          <w:color w:val="auto"/>
          <w:sz w:val="24"/>
          <w:szCs w:val="24"/>
          <w:highlight w:val="none"/>
          <w:lang w:val="zh-CN"/>
        </w:rPr>
        <w:t>1.1 合同组成部分</w:t>
      </w:r>
      <w:bookmarkEnd w:id="115"/>
      <w:bookmarkEnd w:id="116"/>
      <w:bookmarkEnd w:id="117"/>
    </w:p>
    <w:p w14:paraId="6CA3611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E578D4B">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59BB8FD1">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4D44CDB2">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1ADC5A9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2BD6F48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6DD52391">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18" w:name="_Toc2918"/>
      <w:bookmarkStart w:id="119" w:name="_Toc6311"/>
      <w:bookmarkStart w:id="120" w:name="_Toc22185"/>
      <w:bookmarkStart w:id="121" w:name="_Toc6773"/>
      <w:bookmarkStart w:id="122" w:name="_Toc18585"/>
      <w:r>
        <w:rPr>
          <w:rFonts w:hint="eastAsia" w:ascii="宋体" w:hAnsi="宋体" w:eastAsia="宋体" w:cs="宋体"/>
          <w:b/>
          <w:bCs/>
          <w:i w:val="0"/>
          <w:iCs w:val="0"/>
          <w:color w:val="auto"/>
          <w:sz w:val="24"/>
          <w:szCs w:val="24"/>
          <w:highlight w:val="none"/>
          <w:lang w:val="zh-CN"/>
        </w:rPr>
        <w:t xml:space="preserve">1.2 </w:t>
      </w:r>
      <w:bookmarkEnd w:id="118"/>
      <w:bookmarkEnd w:id="119"/>
      <w:bookmarkEnd w:id="120"/>
      <w:bookmarkEnd w:id="121"/>
      <w:bookmarkEnd w:id="122"/>
      <w:r>
        <w:rPr>
          <w:rFonts w:hint="eastAsia" w:ascii="宋体" w:hAnsi="宋体" w:eastAsia="宋体" w:cs="宋体"/>
          <w:b/>
          <w:bCs/>
          <w:i w:val="0"/>
          <w:iCs w:val="0"/>
          <w:color w:val="auto"/>
          <w:sz w:val="24"/>
          <w:szCs w:val="24"/>
          <w:highlight w:val="none"/>
          <w:lang w:val="zh-CN"/>
        </w:rPr>
        <w:t>服务</w:t>
      </w:r>
    </w:p>
    <w:p w14:paraId="172F0997">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2024-2025年政府投资项目审计服务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3C726FD">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对2024-2025年政府投资项目进行自查自纠审计服务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8187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1.严格按照国家审计准则和相关法律法规规定的审计程序开展工作，确保审计程序合法、合规、完整。审计过程中获取的审计证据应充分、适当，能够支持审计结论和处理建议。2.对审计发现的问题应进行深入调查和分析，准确认定问题性质，明确责任主体，提出的整改建议。3.积极推动审计成果的运用，协助拜城县财政局建立健全内部控制制度，完善项目管理流程，堵塞管理漏洞，提高项目管理水平和资金使用效益</w:t>
      </w:r>
      <w:r>
        <w:rPr>
          <w:rFonts w:hint="eastAsia" w:ascii="宋体" w:hAnsi="宋体" w:eastAsia="宋体" w:cs="宋体"/>
          <w:i w:val="0"/>
          <w:iCs w:val="0"/>
          <w:color w:val="auto"/>
          <w:sz w:val="24"/>
          <w:szCs w:val="24"/>
          <w:highlight w:val="none"/>
        </w:rPr>
        <w:t>。</w:t>
      </w:r>
    </w:p>
    <w:p w14:paraId="02A4523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23" w:name="_Toc21551"/>
      <w:bookmarkStart w:id="124" w:name="_Toc23292"/>
      <w:bookmarkStart w:id="125" w:name="_Toc21631"/>
      <w:r>
        <w:rPr>
          <w:rFonts w:hint="eastAsia" w:ascii="宋体" w:hAnsi="宋体" w:eastAsia="宋体" w:cs="宋体"/>
          <w:b/>
          <w:bCs/>
          <w:i w:val="0"/>
          <w:iCs w:val="0"/>
          <w:color w:val="auto"/>
          <w:sz w:val="24"/>
          <w:szCs w:val="24"/>
          <w:highlight w:val="none"/>
          <w:lang w:val="zh-CN"/>
        </w:rPr>
        <w:t>1.3 价款</w:t>
      </w:r>
      <w:bookmarkEnd w:id="123"/>
      <w:bookmarkEnd w:id="124"/>
      <w:bookmarkEnd w:id="125"/>
    </w:p>
    <w:p w14:paraId="715D108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7ACD3962">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33"/>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506D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5E4EA1D6">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37EA553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58C842EB">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C85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3A8D0E84">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3BF48A24">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72AA0438">
            <w:pPr>
              <w:ind w:firstLine="200"/>
              <w:jc w:val="center"/>
              <w:rPr>
                <w:rFonts w:hint="eastAsia" w:ascii="宋体" w:hAnsi="宋体" w:eastAsia="宋体" w:cs="宋体"/>
                <w:i w:val="0"/>
                <w:iCs w:val="0"/>
                <w:color w:val="auto"/>
                <w:sz w:val="24"/>
                <w:szCs w:val="24"/>
                <w:highlight w:val="none"/>
              </w:rPr>
            </w:pPr>
          </w:p>
        </w:tc>
      </w:tr>
      <w:tr w14:paraId="32D5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3C23446C">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2B2AA62E">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6EC9C867">
            <w:pPr>
              <w:ind w:firstLine="200"/>
              <w:jc w:val="center"/>
              <w:rPr>
                <w:rFonts w:hint="eastAsia" w:ascii="宋体" w:hAnsi="宋体" w:eastAsia="宋体" w:cs="宋体"/>
                <w:i w:val="0"/>
                <w:iCs w:val="0"/>
                <w:color w:val="auto"/>
                <w:sz w:val="24"/>
                <w:szCs w:val="24"/>
                <w:highlight w:val="none"/>
              </w:rPr>
            </w:pPr>
          </w:p>
        </w:tc>
      </w:tr>
      <w:tr w14:paraId="19BA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6AB8D85">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219DAE43">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7B6E5F3F">
            <w:pPr>
              <w:ind w:firstLine="200"/>
              <w:jc w:val="center"/>
              <w:rPr>
                <w:rFonts w:hint="eastAsia" w:ascii="宋体" w:hAnsi="宋体" w:eastAsia="宋体" w:cs="宋体"/>
                <w:i w:val="0"/>
                <w:iCs w:val="0"/>
                <w:color w:val="auto"/>
                <w:sz w:val="24"/>
                <w:szCs w:val="24"/>
                <w:highlight w:val="none"/>
              </w:rPr>
            </w:pPr>
          </w:p>
        </w:tc>
      </w:tr>
      <w:tr w14:paraId="55ED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10E88E2">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6C50F195">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CDD98C2">
            <w:pPr>
              <w:ind w:firstLine="200"/>
              <w:jc w:val="center"/>
              <w:rPr>
                <w:rFonts w:hint="eastAsia" w:ascii="宋体" w:hAnsi="宋体" w:eastAsia="宋体" w:cs="宋体"/>
                <w:i w:val="0"/>
                <w:iCs w:val="0"/>
                <w:color w:val="auto"/>
                <w:sz w:val="24"/>
                <w:szCs w:val="24"/>
                <w:highlight w:val="none"/>
              </w:rPr>
            </w:pPr>
          </w:p>
        </w:tc>
      </w:tr>
      <w:tr w14:paraId="5B18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3DBB45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6D60C276">
            <w:pPr>
              <w:ind w:firstLine="200"/>
              <w:jc w:val="center"/>
              <w:rPr>
                <w:rFonts w:hint="eastAsia" w:ascii="宋体" w:hAnsi="宋体" w:eastAsia="宋体" w:cs="宋体"/>
                <w:i w:val="0"/>
                <w:iCs w:val="0"/>
                <w:color w:val="auto"/>
                <w:sz w:val="24"/>
                <w:szCs w:val="24"/>
                <w:highlight w:val="none"/>
              </w:rPr>
            </w:pPr>
          </w:p>
        </w:tc>
      </w:tr>
    </w:tbl>
    <w:p w14:paraId="3436E2B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26" w:name="_Toc22618"/>
      <w:bookmarkStart w:id="127" w:name="_Toc1814"/>
      <w:bookmarkStart w:id="128" w:name="_Toc10340"/>
      <w:r>
        <w:rPr>
          <w:rFonts w:hint="eastAsia" w:ascii="宋体" w:hAnsi="宋体" w:eastAsia="宋体" w:cs="宋体"/>
          <w:b/>
          <w:bCs/>
          <w:i w:val="0"/>
          <w:iCs w:val="0"/>
          <w:color w:val="auto"/>
          <w:sz w:val="24"/>
          <w:szCs w:val="24"/>
          <w:highlight w:val="none"/>
          <w:lang w:val="zh-CN"/>
        </w:rPr>
        <w:t>1.4 付款方式和发票开具方式</w:t>
      </w:r>
      <w:bookmarkEnd w:id="126"/>
      <w:bookmarkEnd w:id="127"/>
      <w:bookmarkEnd w:id="128"/>
    </w:p>
    <w:p w14:paraId="4752DBF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cs="宋体"/>
          <w:i w:val="0"/>
          <w:iCs w:val="0"/>
          <w:color w:val="auto"/>
          <w:sz w:val="24"/>
          <w:szCs w:val="24"/>
          <w:highlight w:val="none"/>
          <w:u w:val="single"/>
          <w:lang w:val="en-US" w:eastAsia="zh-CN"/>
        </w:rPr>
        <w:t>合同签订后支付合同金额的50%，项目完成服务验收后支付合同金额的50%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73A7F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8C30CB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29" w:name="_Toc32071"/>
      <w:bookmarkStart w:id="130" w:name="_Toc19304"/>
      <w:bookmarkStart w:id="131" w:name="_Toc2846"/>
      <w:r>
        <w:rPr>
          <w:rFonts w:hint="eastAsia" w:ascii="宋体" w:hAnsi="宋体" w:eastAsia="宋体" w:cs="宋体"/>
          <w:b/>
          <w:bCs/>
          <w:i w:val="0"/>
          <w:iCs w:val="0"/>
          <w:color w:val="auto"/>
          <w:sz w:val="24"/>
          <w:szCs w:val="24"/>
          <w:highlight w:val="none"/>
          <w:lang w:val="zh-CN"/>
        </w:rPr>
        <w:t>1.5 服务期限、地点和方式</w:t>
      </w:r>
      <w:bookmarkEnd w:id="129"/>
      <w:bookmarkEnd w:id="130"/>
      <w:bookmarkEnd w:id="131"/>
    </w:p>
    <w:p w14:paraId="67D37896">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合同签订后60日历天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C4D167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拜城县</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26C301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450546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32" w:name="_Toc21423"/>
      <w:bookmarkStart w:id="133" w:name="_Toc27250"/>
      <w:bookmarkStart w:id="134" w:name="_Toc19554"/>
      <w:r>
        <w:rPr>
          <w:rFonts w:hint="eastAsia" w:ascii="宋体" w:hAnsi="宋体" w:eastAsia="宋体" w:cs="宋体"/>
          <w:b/>
          <w:bCs/>
          <w:i w:val="0"/>
          <w:iCs w:val="0"/>
          <w:color w:val="auto"/>
          <w:sz w:val="24"/>
          <w:szCs w:val="24"/>
          <w:highlight w:val="none"/>
          <w:lang w:val="zh-CN"/>
        </w:rPr>
        <w:t>1.6 违约责任</w:t>
      </w:r>
      <w:bookmarkEnd w:id="132"/>
      <w:bookmarkEnd w:id="133"/>
      <w:bookmarkEnd w:id="134"/>
    </w:p>
    <w:p w14:paraId="69A153E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10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63138CE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 </w:t>
      </w:r>
    </w:p>
    <w:p w14:paraId="0EDD4EC6">
      <w:pPr>
        <w:spacing w:line="360" w:lineRule="auto"/>
        <w:ind w:firstLine="4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w:t>
      </w:r>
      <w:bookmarkStart w:id="135" w:name="_Toc15583"/>
      <w:bookmarkStart w:id="136" w:name="_Toc28375"/>
      <w:bookmarkStart w:id="137" w:name="_Toc16021"/>
      <w:r>
        <w:rPr>
          <w:rFonts w:hint="eastAsia" w:ascii="宋体" w:hAnsi="宋体" w:eastAsia="宋体" w:cs="宋体"/>
          <w:i w:val="0"/>
          <w:iCs w:val="0"/>
          <w:color w:val="auto"/>
          <w:sz w:val="24"/>
          <w:szCs w:val="24"/>
          <w:highlight w:val="none"/>
          <w:lang w:val="en-US" w:eastAsia="zh-CN"/>
        </w:rPr>
        <w:t xml:space="preserve">违约金和按照己方实际损失情况要求违约方赔偿损失；且守约方行使的任何权利救济方式均不视为其放弃了其他法定或者约定的权利救济方式； </w:t>
      </w:r>
    </w:p>
    <w:p w14:paraId="762F7CB5">
      <w:pPr>
        <w:spacing w:line="360" w:lineRule="auto"/>
        <w:ind w:firstLine="4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1.6.4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716202CC">
      <w:pPr>
        <w:spacing w:line="360" w:lineRule="auto"/>
        <w:ind w:firstLine="4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1.6.5 如果出现政府采购监督管理部门在处理投诉事项期间，书面通知甲方暂停采购活动的情形，或者询问或质疑事项可能影响中标结果的，导致甲方中止履行合同的情形，均不视为甲方违约。 </w:t>
      </w:r>
    </w:p>
    <w:p w14:paraId="7559DFC0">
      <w:pPr>
        <w:spacing w:line="360" w:lineRule="auto"/>
        <w:ind w:firstLine="43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1.6.6 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w:t>
      </w:r>
      <w:bookmarkStart w:id="284" w:name="_GoBack"/>
      <w:bookmarkEnd w:id="284"/>
      <w:r>
        <w:rPr>
          <w:rFonts w:hint="eastAsia" w:ascii="宋体" w:hAnsi="宋体" w:eastAsia="宋体" w:cs="宋体"/>
          <w:i w:val="0"/>
          <w:iCs w:val="0"/>
          <w:color w:val="auto"/>
          <w:sz w:val="24"/>
          <w:szCs w:val="24"/>
          <w:highlight w:val="none"/>
          <w:lang w:val="en-US" w:eastAsia="zh-CN"/>
        </w:rPr>
        <w:t>的直接损失。</w:t>
      </w:r>
    </w:p>
    <w:p w14:paraId="2B9CBD4E">
      <w:pPr>
        <w:spacing w:line="360" w:lineRule="auto"/>
        <w:ind w:firstLine="437"/>
        <w:outlineLvl w:val="2"/>
        <w:rPr>
          <w:rFonts w:hint="eastAsia" w:ascii="宋体" w:hAnsi="宋体" w:eastAsia="宋体" w:cs="宋体"/>
          <w:b/>
          <w:bCs/>
          <w:i w:val="0"/>
          <w:iCs w:val="0"/>
          <w:color w:val="auto"/>
          <w:sz w:val="24"/>
          <w:szCs w:val="24"/>
          <w:highlight w:val="none"/>
          <w:lang w:val="zh-CN"/>
        </w:rPr>
      </w:pPr>
      <w:r>
        <w:rPr>
          <w:rFonts w:hint="eastAsia" w:ascii="宋体" w:hAnsi="宋体" w:eastAsia="宋体" w:cs="宋体"/>
          <w:b/>
          <w:bCs/>
          <w:i w:val="0"/>
          <w:iCs w:val="0"/>
          <w:color w:val="auto"/>
          <w:sz w:val="24"/>
          <w:szCs w:val="24"/>
          <w:highlight w:val="none"/>
          <w:lang w:val="zh-CN"/>
        </w:rPr>
        <w:t>1.7 合同争议的解决</w:t>
      </w:r>
      <w:bookmarkEnd w:id="135"/>
      <w:bookmarkEnd w:id="136"/>
      <w:bookmarkEnd w:id="137"/>
    </w:p>
    <w:p w14:paraId="1EC099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B3A1EB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77B383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1709A2D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38" w:name="_Toc15322"/>
      <w:bookmarkStart w:id="139" w:name="_Toc7245"/>
      <w:bookmarkStart w:id="140" w:name="_Toc11173"/>
      <w:r>
        <w:rPr>
          <w:rFonts w:hint="eastAsia" w:ascii="宋体" w:hAnsi="宋体" w:eastAsia="宋体" w:cs="宋体"/>
          <w:b/>
          <w:bCs/>
          <w:i w:val="0"/>
          <w:iCs w:val="0"/>
          <w:color w:val="auto"/>
          <w:sz w:val="24"/>
          <w:szCs w:val="24"/>
          <w:highlight w:val="none"/>
          <w:lang w:val="zh-CN"/>
        </w:rPr>
        <w:t>1.8 合同生效</w:t>
      </w:r>
      <w:bookmarkEnd w:id="138"/>
      <w:bookmarkEnd w:id="139"/>
      <w:bookmarkEnd w:id="140"/>
    </w:p>
    <w:p w14:paraId="4A2ADA8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10411DDA">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4AF3C10C">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57FEAA62">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2B13F12C">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6262D545">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141"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6CA75E98">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142" w:name="_Hlk110099149"/>
      <w:r>
        <w:rPr>
          <w:rFonts w:hint="eastAsia" w:ascii="宋体" w:hAnsi="宋体" w:eastAsia="宋体" w:cs="宋体"/>
          <w:i w:val="0"/>
          <w:iCs w:val="0"/>
          <w:color w:val="auto"/>
          <w:sz w:val="24"/>
          <w:szCs w:val="24"/>
          <w:highlight w:val="none"/>
        </w:rPr>
        <w:t>乙方账户信息</w:t>
      </w:r>
    </w:p>
    <w:p w14:paraId="027E635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5FB384C9">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09DD45A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142"/>
    <w:p w14:paraId="4CEF00FA">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2D699F0A">
      <w:pPr>
        <w:pStyle w:val="3"/>
        <w:bidi w:val="0"/>
        <w:jc w:val="center"/>
        <w:rPr>
          <w:rFonts w:hint="eastAsia"/>
          <w:color w:val="auto"/>
          <w:sz w:val="36"/>
          <w:szCs w:val="36"/>
          <w:highlight w:val="none"/>
        </w:rPr>
      </w:pPr>
      <w:bookmarkStart w:id="143" w:name="_Toc16962"/>
      <w:bookmarkStart w:id="144" w:name="_Toc415"/>
      <w:bookmarkStart w:id="145" w:name="_Toc11038"/>
      <w:r>
        <w:rPr>
          <w:rFonts w:hint="eastAsia"/>
          <w:color w:val="auto"/>
          <w:sz w:val="36"/>
          <w:szCs w:val="36"/>
          <w:highlight w:val="none"/>
        </w:rPr>
        <w:t>第二部分 合同一般条款</w:t>
      </w:r>
      <w:bookmarkEnd w:id="141"/>
      <w:bookmarkEnd w:id="143"/>
      <w:bookmarkEnd w:id="144"/>
      <w:bookmarkEnd w:id="145"/>
    </w:p>
    <w:p w14:paraId="2382095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46" w:name="_Ref467379195"/>
      <w:bookmarkStart w:id="147" w:name="_Ref467378463"/>
      <w:bookmarkStart w:id="148" w:name="_Toc259093669"/>
      <w:bookmarkStart w:id="149" w:name="_Ref467379225"/>
      <w:bookmarkStart w:id="150" w:name="_Ref467379094"/>
      <w:bookmarkStart w:id="151" w:name="_Ref467378404"/>
      <w:bookmarkStart w:id="152" w:name="_Toc19614"/>
      <w:bookmarkStart w:id="153" w:name="_Ref467379214"/>
      <w:bookmarkStart w:id="154" w:name="_Toc28763"/>
      <w:bookmarkStart w:id="155" w:name="_Ref467379205"/>
      <w:bookmarkStart w:id="156" w:name="_Ref467379101"/>
      <w:bookmarkStart w:id="157" w:name="_Ref467379109"/>
      <w:bookmarkStart w:id="158" w:name="_Toc487900349"/>
      <w:bookmarkStart w:id="159" w:name="_Toc16917"/>
      <w:bookmarkStart w:id="160" w:name="_Toc279701240"/>
      <w:bookmarkStart w:id="161" w:name="_Ref467378499"/>
      <w:r>
        <w:rPr>
          <w:rFonts w:hint="eastAsia" w:ascii="宋体" w:hAnsi="宋体" w:eastAsia="宋体" w:cs="宋体"/>
          <w:b/>
          <w:bCs/>
          <w:i w:val="0"/>
          <w:iCs w:val="0"/>
          <w:color w:val="auto"/>
          <w:sz w:val="24"/>
          <w:szCs w:val="24"/>
          <w:highlight w:val="none"/>
          <w:lang w:val="zh-CN"/>
        </w:rPr>
        <w:t>2.1 定义</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F7D7FA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1838832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84157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19F9E7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59CB506C">
      <w:pPr>
        <w:spacing w:line="360" w:lineRule="auto"/>
        <w:ind w:firstLine="435"/>
        <w:rPr>
          <w:rFonts w:hint="eastAsia" w:ascii="宋体" w:hAnsi="宋体" w:eastAsia="宋体" w:cs="宋体"/>
          <w:i w:val="0"/>
          <w:iCs w:val="0"/>
          <w:color w:val="auto"/>
          <w:sz w:val="24"/>
          <w:szCs w:val="24"/>
          <w:highlight w:val="none"/>
        </w:rPr>
      </w:pPr>
      <w:bookmarkStart w:id="162" w:name="_Ref467378840"/>
      <w:r>
        <w:rPr>
          <w:rFonts w:hint="eastAsia" w:ascii="宋体" w:hAnsi="宋体" w:eastAsia="宋体" w:cs="宋体"/>
          <w:i w:val="0"/>
          <w:iCs w:val="0"/>
          <w:color w:val="auto"/>
          <w:sz w:val="24"/>
          <w:szCs w:val="24"/>
          <w:highlight w:val="none"/>
        </w:rPr>
        <w:t>2.1.4“甲方”系指与中标人签署合同的采购人</w:t>
      </w:r>
      <w:bookmarkEnd w:id="162"/>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4C78DA6F">
      <w:pPr>
        <w:spacing w:line="360" w:lineRule="auto"/>
        <w:ind w:firstLine="435"/>
        <w:rPr>
          <w:rFonts w:hint="eastAsia" w:ascii="宋体" w:hAnsi="宋体" w:eastAsia="宋体" w:cs="宋体"/>
          <w:i w:val="0"/>
          <w:iCs w:val="0"/>
          <w:color w:val="auto"/>
          <w:sz w:val="24"/>
          <w:szCs w:val="24"/>
          <w:highlight w:val="none"/>
        </w:rPr>
      </w:pPr>
      <w:bookmarkStart w:id="163" w:name="_Ref467379400"/>
      <w:r>
        <w:rPr>
          <w:rFonts w:hint="eastAsia" w:ascii="宋体" w:hAnsi="宋体" w:eastAsia="宋体" w:cs="宋体"/>
          <w:i w:val="0"/>
          <w:iCs w:val="0"/>
          <w:color w:val="auto"/>
          <w:sz w:val="24"/>
          <w:szCs w:val="24"/>
          <w:highlight w:val="none"/>
        </w:rPr>
        <w:t>2.1.5“乙方”系指根据合同约定提供服务的中标人</w:t>
      </w:r>
      <w:bookmarkEnd w:id="163"/>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717B61E">
      <w:pPr>
        <w:spacing w:line="360" w:lineRule="auto"/>
        <w:ind w:firstLine="435"/>
        <w:rPr>
          <w:rFonts w:hint="eastAsia" w:ascii="宋体" w:hAnsi="宋体" w:eastAsia="宋体" w:cs="宋体"/>
          <w:i w:val="0"/>
          <w:iCs w:val="0"/>
          <w:color w:val="auto"/>
          <w:sz w:val="24"/>
          <w:szCs w:val="24"/>
          <w:highlight w:val="none"/>
        </w:rPr>
      </w:pPr>
      <w:bookmarkStart w:id="164" w:name="_Ref467379436"/>
      <w:r>
        <w:rPr>
          <w:rFonts w:hint="eastAsia" w:ascii="宋体" w:hAnsi="宋体" w:eastAsia="宋体" w:cs="宋体"/>
          <w:i w:val="0"/>
          <w:iCs w:val="0"/>
          <w:color w:val="auto"/>
          <w:sz w:val="24"/>
          <w:szCs w:val="24"/>
          <w:highlight w:val="none"/>
        </w:rPr>
        <w:t>2.1.6“现场”系指合同约定提供服务的地点。</w:t>
      </w:r>
      <w:bookmarkEnd w:id="164"/>
    </w:p>
    <w:p w14:paraId="68FE3E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65" w:name="_Toc32504"/>
      <w:bookmarkStart w:id="166" w:name="_Toc13336"/>
      <w:bookmarkStart w:id="167" w:name="_Toc487900350"/>
      <w:bookmarkStart w:id="168" w:name="_Toc27635"/>
      <w:bookmarkStart w:id="169" w:name="_Toc259093670"/>
      <w:bookmarkStart w:id="170" w:name="_Toc279701241"/>
      <w:r>
        <w:rPr>
          <w:rFonts w:hint="eastAsia" w:ascii="宋体" w:hAnsi="宋体" w:eastAsia="宋体" w:cs="宋体"/>
          <w:b/>
          <w:bCs/>
          <w:i w:val="0"/>
          <w:iCs w:val="0"/>
          <w:color w:val="auto"/>
          <w:sz w:val="24"/>
          <w:szCs w:val="24"/>
          <w:highlight w:val="none"/>
          <w:lang w:val="zh-CN"/>
        </w:rPr>
        <w:t>2.2 技术规范</w:t>
      </w:r>
      <w:bookmarkEnd w:id="165"/>
      <w:bookmarkEnd w:id="166"/>
      <w:bookmarkEnd w:id="167"/>
      <w:bookmarkEnd w:id="168"/>
      <w:bookmarkEnd w:id="169"/>
      <w:bookmarkEnd w:id="170"/>
    </w:p>
    <w:p w14:paraId="781271D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8CF3E3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71" w:name="_Toc279701242"/>
      <w:bookmarkStart w:id="172" w:name="_Toc487900351"/>
      <w:bookmarkStart w:id="173" w:name="_Toc259093671"/>
      <w:bookmarkStart w:id="174" w:name="_Toc27853"/>
      <w:bookmarkStart w:id="175" w:name="_Toc9829"/>
      <w:bookmarkStart w:id="176" w:name="_Toc31634"/>
      <w:r>
        <w:rPr>
          <w:rFonts w:hint="eastAsia" w:ascii="宋体" w:hAnsi="宋体" w:eastAsia="宋体" w:cs="宋体"/>
          <w:b/>
          <w:bCs/>
          <w:i w:val="0"/>
          <w:iCs w:val="0"/>
          <w:color w:val="auto"/>
          <w:sz w:val="24"/>
          <w:szCs w:val="24"/>
          <w:highlight w:val="none"/>
          <w:lang w:val="zh-CN"/>
        </w:rPr>
        <w:t>2.3 知识产权</w:t>
      </w:r>
      <w:bookmarkEnd w:id="171"/>
      <w:bookmarkEnd w:id="172"/>
      <w:bookmarkEnd w:id="173"/>
      <w:bookmarkEnd w:id="174"/>
      <w:bookmarkEnd w:id="175"/>
      <w:bookmarkEnd w:id="176"/>
    </w:p>
    <w:p w14:paraId="1F7A217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B489B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44706CD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77" w:name="_Toc279701245"/>
      <w:bookmarkStart w:id="178" w:name="_Ref467379536"/>
      <w:bookmarkStart w:id="179" w:name="_Ref467378591"/>
      <w:bookmarkStart w:id="180" w:name="_Toc259093674"/>
      <w:bookmarkStart w:id="181" w:name="_Ref467378541"/>
      <w:bookmarkStart w:id="182" w:name="_Toc487900354"/>
      <w:bookmarkStart w:id="183" w:name="_Ref467379527"/>
      <w:bookmarkStart w:id="184" w:name="_Ref467379542"/>
      <w:bookmarkStart w:id="185" w:name="_Toc26182"/>
      <w:bookmarkStart w:id="186" w:name="_Toc30272"/>
      <w:bookmarkStart w:id="187" w:name="_Toc19074"/>
      <w:r>
        <w:rPr>
          <w:rFonts w:hint="eastAsia" w:ascii="宋体" w:hAnsi="宋体" w:eastAsia="宋体" w:cs="宋体"/>
          <w:b/>
          <w:bCs/>
          <w:i w:val="0"/>
          <w:iCs w:val="0"/>
          <w:color w:val="auto"/>
          <w:sz w:val="24"/>
          <w:szCs w:val="24"/>
          <w:highlight w:val="none"/>
          <w:lang w:val="zh-CN"/>
        </w:rPr>
        <w:t>2.</w:t>
      </w:r>
      <w:bookmarkEnd w:id="177"/>
      <w:bookmarkEnd w:id="178"/>
      <w:bookmarkEnd w:id="179"/>
      <w:bookmarkEnd w:id="180"/>
      <w:bookmarkEnd w:id="181"/>
      <w:bookmarkEnd w:id="182"/>
      <w:bookmarkEnd w:id="183"/>
      <w:bookmarkEnd w:id="184"/>
      <w:r>
        <w:rPr>
          <w:rFonts w:hint="eastAsia" w:ascii="宋体" w:hAnsi="宋体" w:eastAsia="宋体" w:cs="宋体"/>
          <w:b/>
          <w:bCs/>
          <w:i w:val="0"/>
          <w:iCs w:val="0"/>
          <w:color w:val="auto"/>
          <w:sz w:val="24"/>
          <w:szCs w:val="24"/>
          <w:highlight w:val="none"/>
          <w:lang w:val="zh-CN"/>
        </w:rPr>
        <w:t>4 履约检查和问题反馈</w:t>
      </w:r>
      <w:bookmarkEnd w:id="185"/>
      <w:bookmarkEnd w:id="186"/>
      <w:bookmarkEnd w:id="187"/>
    </w:p>
    <w:p w14:paraId="24CAF804">
      <w:pPr>
        <w:spacing w:line="360" w:lineRule="auto"/>
        <w:ind w:firstLine="435"/>
        <w:rPr>
          <w:rFonts w:hint="eastAsia" w:ascii="宋体" w:hAnsi="宋体" w:eastAsia="宋体" w:cs="宋体"/>
          <w:i w:val="0"/>
          <w:iCs w:val="0"/>
          <w:color w:val="auto"/>
          <w:sz w:val="24"/>
          <w:szCs w:val="24"/>
          <w:highlight w:val="none"/>
        </w:rPr>
      </w:pPr>
      <w:bookmarkStart w:id="188" w:name="_Toc186431854"/>
      <w:bookmarkStart w:id="189" w:name="_Toc259093676"/>
      <w:bookmarkStart w:id="190" w:name="_Toc487900357"/>
      <w:bookmarkStart w:id="191" w:name="_Ref467379807"/>
      <w:bookmarkStart w:id="192" w:name="_Ref467379793"/>
      <w:bookmarkStart w:id="193" w:name="_Toc27970124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93EE2A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188"/>
      <w:bookmarkStart w:id="194" w:name="_Toc186431855"/>
      <w:r>
        <w:rPr>
          <w:rFonts w:hint="eastAsia" w:ascii="宋体" w:hAnsi="宋体" w:eastAsia="宋体" w:cs="宋体"/>
          <w:i w:val="0"/>
          <w:iCs w:val="0"/>
          <w:color w:val="auto"/>
          <w:sz w:val="24"/>
          <w:szCs w:val="24"/>
          <w:highlight w:val="none"/>
        </w:rPr>
        <w:t>。</w:t>
      </w:r>
    </w:p>
    <w:bookmarkEnd w:id="194"/>
    <w:p w14:paraId="72A287D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95" w:name="_Toc19219"/>
      <w:bookmarkStart w:id="196" w:name="_Toc28451"/>
      <w:bookmarkStart w:id="197" w:name="_Toc7836"/>
      <w:r>
        <w:rPr>
          <w:rFonts w:hint="eastAsia" w:ascii="宋体" w:hAnsi="宋体" w:eastAsia="宋体" w:cs="宋体"/>
          <w:b/>
          <w:bCs/>
          <w:i w:val="0"/>
          <w:iCs w:val="0"/>
          <w:color w:val="auto"/>
          <w:sz w:val="24"/>
          <w:szCs w:val="24"/>
          <w:highlight w:val="none"/>
          <w:lang w:val="zh-CN"/>
        </w:rPr>
        <w:t>2.5 结算方式和付款条件</w:t>
      </w:r>
      <w:bookmarkEnd w:id="189"/>
      <w:bookmarkEnd w:id="190"/>
      <w:bookmarkEnd w:id="191"/>
      <w:bookmarkEnd w:id="192"/>
      <w:bookmarkEnd w:id="193"/>
      <w:bookmarkEnd w:id="195"/>
      <w:bookmarkEnd w:id="196"/>
      <w:bookmarkEnd w:id="197"/>
    </w:p>
    <w:p w14:paraId="251B318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35FBF05B">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198" w:name="_Ref467379923"/>
      <w:bookmarkStart w:id="199" w:name="_Toc279701248"/>
      <w:bookmarkStart w:id="200" w:name="_Ref467379852"/>
      <w:bookmarkStart w:id="201" w:name="_Toc487900358"/>
      <w:bookmarkStart w:id="202" w:name="_Toc259093677"/>
      <w:bookmarkStart w:id="203" w:name="_Ref467379863"/>
      <w:bookmarkStart w:id="204" w:name="_Toc774"/>
      <w:bookmarkStart w:id="205" w:name="_Toc16110"/>
      <w:bookmarkStart w:id="206" w:name="_Toc3225"/>
      <w:r>
        <w:rPr>
          <w:rFonts w:hint="eastAsia" w:ascii="宋体" w:hAnsi="宋体" w:eastAsia="宋体" w:cs="宋体"/>
          <w:b/>
          <w:bCs/>
          <w:i w:val="0"/>
          <w:iCs w:val="0"/>
          <w:color w:val="auto"/>
          <w:sz w:val="24"/>
          <w:szCs w:val="24"/>
          <w:highlight w:val="none"/>
          <w:lang w:val="zh-CN"/>
        </w:rPr>
        <w:t>2.6 技术资料</w:t>
      </w:r>
      <w:bookmarkEnd w:id="198"/>
      <w:bookmarkEnd w:id="199"/>
      <w:bookmarkEnd w:id="200"/>
      <w:bookmarkEnd w:id="201"/>
      <w:bookmarkEnd w:id="202"/>
      <w:bookmarkEnd w:id="203"/>
      <w:r>
        <w:rPr>
          <w:rFonts w:hint="eastAsia" w:ascii="宋体" w:hAnsi="宋体" w:eastAsia="宋体" w:cs="宋体"/>
          <w:b/>
          <w:bCs/>
          <w:i w:val="0"/>
          <w:iCs w:val="0"/>
          <w:color w:val="auto"/>
          <w:sz w:val="24"/>
          <w:szCs w:val="24"/>
          <w:highlight w:val="none"/>
          <w:lang w:val="zh-CN"/>
        </w:rPr>
        <w:t>和保密义务</w:t>
      </w:r>
      <w:bookmarkEnd w:id="204"/>
      <w:bookmarkEnd w:id="205"/>
      <w:bookmarkEnd w:id="206"/>
    </w:p>
    <w:p w14:paraId="0A06420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4D20F7B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713533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C406FC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07" w:name="_Toc7860"/>
      <w:r>
        <w:rPr>
          <w:rFonts w:hint="eastAsia" w:ascii="宋体" w:hAnsi="宋体" w:eastAsia="宋体" w:cs="宋体"/>
          <w:b/>
          <w:bCs/>
          <w:i w:val="0"/>
          <w:iCs w:val="0"/>
          <w:color w:val="auto"/>
          <w:sz w:val="24"/>
          <w:szCs w:val="24"/>
          <w:highlight w:val="none"/>
          <w:lang w:val="zh-CN"/>
        </w:rPr>
        <w:t>2.7 质量保证</w:t>
      </w:r>
      <w:bookmarkEnd w:id="207"/>
    </w:p>
    <w:p w14:paraId="0DC9517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4CC9C88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2D8C3739">
      <w:pPr>
        <w:spacing w:line="360" w:lineRule="auto"/>
        <w:ind w:firstLine="437"/>
        <w:outlineLvl w:val="2"/>
        <w:rPr>
          <w:rFonts w:hint="eastAsia" w:ascii="宋体" w:hAnsi="宋体" w:eastAsia="宋体" w:cs="宋体"/>
          <w:b/>
          <w:i w:val="0"/>
          <w:iCs w:val="0"/>
          <w:color w:val="auto"/>
          <w:sz w:val="24"/>
          <w:szCs w:val="24"/>
          <w:highlight w:val="none"/>
        </w:rPr>
      </w:pPr>
      <w:bookmarkStart w:id="208" w:name="_Toc22267"/>
      <w:r>
        <w:rPr>
          <w:rFonts w:hint="eastAsia" w:ascii="宋体" w:hAnsi="宋体" w:eastAsia="宋体" w:cs="宋体"/>
          <w:b/>
          <w:i w:val="0"/>
          <w:iCs w:val="0"/>
          <w:color w:val="auto"/>
          <w:sz w:val="24"/>
          <w:szCs w:val="24"/>
          <w:highlight w:val="none"/>
        </w:rPr>
        <w:t>2.8 延迟履行</w:t>
      </w:r>
      <w:bookmarkEnd w:id="208"/>
    </w:p>
    <w:p w14:paraId="2FACCE3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220E36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09" w:name="_Toc7502"/>
      <w:bookmarkStart w:id="210" w:name="_Toc487900364"/>
      <w:bookmarkStart w:id="211" w:name="_Toc259093683"/>
      <w:bookmarkStart w:id="212" w:name="_Ref467378121"/>
      <w:bookmarkStart w:id="213" w:name="_Toc279701254"/>
      <w:r>
        <w:rPr>
          <w:rFonts w:hint="eastAsia" w:ascii="宋体" w:hAnsi="宋体" w:eastAsia="宋体" w:cs="宋体"/>
          <w:b/>
          <w:bCs/>
          <w:i w:val="0"/>
          <w:iCs w:val="0"/>
          <w:color w:val="auto"/>
          <w:sz w:val="24"/>
          <w:szCs w:val="24"/>
          <w:highlight w:val="none"/>
          <w:lang w:val="zh-CN"/>
        </w:rPr>
        <w:t>2.9 合同变更</w:t>
      </w:r>
      <w:bookmarkEnd w:id="209"/>
    </w:p>
    <w:p w14:paraId="068FF3E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6779272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214" w:name="_Toc487900369"/>
      <w:bookmarkStart w:id="215" w:name="_Toc279701259"/>
      <w:bookmarkStart w:id="216" w:name="_Toc259093688"/>
    </w:p>
    <w:p w14:paraId="28819DF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17" w:name="_Toc22955"/>
      <w:bookmarkStart w:id="218" w:name="_Toc10366"/>
      <w:bookmarkStart w:id="219" w:name="_Toc15237"/>
      <w:r>
        <w:rPr>
          <w:rFonts w:hint="eastAsia" w:ascii="宋体" w:hAnsi="宋体" w:eastAsia="宋体" w:cs="宋体"/>
          <w:b/>
          <w:bCs/>
          <w:i w:val="0"/>
          <w:iCs w:val="0"/>
          <w:color w:val="auto"/>
          <w:sz w:val="24"/>
          <w:szCs w:val="24"/>
          <w:highlight w:val="none"/>
          <w:lang w:val="zh-CN"/>
        </w:rPr>
        <w:t>2.10 合同转让</w:t>
      </w:r>
      <w:bookmarkEnd w:id="214"/>
      <w:bookmarkEnd w:id="215"/>
      <w:bookmarkEnd w:id="216"/>
      <w:r>
        <w:rPr>
          <w:rFonts w:hint="eastAsia" w:ascii="宋体" w:hAnsi="宋体" w:eastAsia="宋体" w:cs="宋体"/>
          <w:b/>
          <w:bCs/>
          <w:i w:val="0"/>
          <w:iCs w:val="0"/>
          <w:color w:val="auto"/>
          <w:sz w:val="24"/>
          <w:szCs w:val="24"/>
          <w:highlight w:val="none"/>
          <w:lang w:val="zh-CN"/>
        </w:rPr>
        <w:t>和分包</w:t>
      </w:r>
      <w:bookmarkEnd w:id="217"/>
      <w:bookmarkEnd w:id="218"/>
      <w:bookmarkEnd w:id="219"/>
    </w:p>
    <w:p w14:paraId="7A66981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005F8E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20" w:name="_Toc13566"/>
      <w:bookmarkStart w:id="221" w:name="_Toc14066"/>
      <w:bookmarkStart w:id="222" w:name="_Toc16508"/>
      <w:r>
        <w:rPr>
          <w:rFonts w:hint="eastAsia" w:ascii="宋体" w:hAnsi="宋体" w:eastAsia="宋体" w:cs="宋体"/>
          <w:b/>
          <w:bCs/>
          <w:i w:val="0"/>
          <w:iCs w:val="0"/>
          <w:color w:val="auto"/>
          <w:sz w:val="24"/>
          <w:szCs w:val="24"/>
          <w:highlight w:val="none"/>
          <w:lang w:val="zh-CN"/>
        </w:rPr>
        <w:t>2.11 不可抗力</w:t>
      </w:r>
      <w:bookmarkEnd w:id="220"/>
      <w:bookmarkEnd w:id="221"/>
      <w:bookmarkEnd w:id="222"/>
    </w:p>
    <w:p w14:paraId="7F25E63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3427ED5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329DC56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51B7C2C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54A4819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23" w:name="_Toc279701255"/>
      <w:bookmarkStart w:id="224" w:name="_Toc30676"/>
      <w:bookmarkStart w:id="225" w:name="_Toc487900365"/>
      <w:bookmarkStart w:id="226" w:name="_Toc259093684"/>
      <w:bookmarkStart w:id="227" w:name="_Toc6969"/>
      <w:bookmarkStart w:id="228" w:name="_Toc689"/>
      <w:r>
        <w:rPr>
          <w:rFonts w:hint="eastAsia" w:ascii="宋体" w:hAnsi="宋体" w:eastAsia="宋体" w:cs="宋体"/>
          <w:b/>
          <w:bCs/>
          <w:i w:val="0"/>
          <w:iCs w:val="0"/>
          <w:color w:val="auto"/>
          <w:sz w:val="24"/>
          <w:szCs w:val="24"/>
          <w:highlight w:val="none"/>
          <w:lang w:val="zh-CN"/>
        </w:rPr>
        <w:t>2.12 税费</w:t>
      </w:r>
      <w:bookmarkEnd w:id="223"/>
      <w:bookmarkEnd w:id="224"/>
      <w:bookmarkEnd w:id="225"/>
      <w:bookmarkEnd w:id="226"/>
      <w:bookmarkEnd w:id="227"/>
      <w:bookmarkEnd w:id="228"/>
    </w:p>
    <w:p w14:paraId="17C56D3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1EF2414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29" w:name="_Toc259093687"/>
      <w:bookmarkStart w:id="230" w:name="_Toc16959"/>
      <w:bookmarkStart w:id="231" w:name="_Toc8298"/>
      <w:bookmarkStart w:id="232" w:name="_Toc7102"/>
      <w:bookmarkStart w:id="233" w:name="_Toc279701258"/>
      <w:bookmarkStart w:id="234" w:name="_Toc487900368"/>
      <w:r>
        <w:rPr>
          <w:rFonts w:hint="eastAsia" w:ascii="宋体" w:hAnsi="宋体" w:eastAsia="宋体" w:cs="宋体"/>
          <w:b/>
          <w:bCs/>
          <w:i w:val="0"/>
          <w:iCs w:val="0"/>
          <w:color w:val="auto"/>
          <w:sz w:val="24"/>
          <w:szCs w:val="24"/>
          <w:highlight w:val="none"/>
          <w:lang w:val="zh-CN"/>
        </w:rPr>
        <w:t>2.13 乙方破产</w:t>
      </w:r>
      <w:bookmarkEnd w:id="229"/>
      <w:bookmarkEnd w:id="230"/>
      <w:bookmarkEnd w:id="231"/>
      <w:bookmarkEnd w:id="232"/>
      <w:bookmarkEnd w:id="233"/>
      <w:bookmarkEnd w:id="234"/>
    </w:p>
    <w:p w14:paraId="3EA73FA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B6A6072">
      <w:pPr>
        <w:spacing w:line="360" w:lineRule="auto"/>
        <w:ind w:firstLine="437"/>
        <w:outlineLvl w:val="2"/>
        <w:rPr>
          <w:rFonts w:hint="eastAsia" w:ascii="宋体" w:hAnsi="宋体" w:eastAsia="宋体" w:cs="宋体"/>
          <w:b/>
          <w:i w:val="0"/>
          <w:iCs w:val="0"/>
          <w:color w:val="auto"/>
          <w:sz w:val="24"/>
          <w:szCs w:val="24"/>
          <w:highlight w:val="none"/>
        </w:rPr>
      </w:pPr>
      <w:bookmarkStart w:id="235" w:name="_Toc15387"/>
      <w:bookmarkStart w:id="236" w:name="_Toc6134"/>
      <w:bookmarkStart w:id="237" w:name="_Toc29333"/>
      <w:r>
        <w:rPr>
          <w:rFonts w:hint="eastAsia" w:ascii="宋体" w:hAnsi="宋体" w:eastAsia="宋体" w:cs="宋体"/>
          <w:b/>
          <w:bCs/>
          <w:i w:val="0"/>
          <w:iCs w:val="0"/>
          <w:color w:val="auto"/>
          <w:sz w:val="24"/>
          <w:szCs w:val="24"/>
          <w:highlight w:val="none"/>
          <w:lang w:val="zh-CN"/>
        </w:rPr>
        <w:t>2.14 合同中止、终止</w:t>
      </w:r>
      <w:bookmarkEnd w:id="235"/>
      <w:bookmarkEnd w:id="236"/>
      <w:bookmarkEnd w:id="237"/>
    </w:p>
    <w:p w14:paraId="4730BC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1017A7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1232AF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238" w:name="_Toc1125"/>
      <w:bookmarkStart w:id="239" w:name="_Toc6596"/>
      <w:bookmarkStart w:id="240" w:name="_Toc14563"/>
      <w:r>
        <w:rPr>
          <w:rFonts w:hint="eastAsia" w:ascii="宋体" w:hAnsi="宋体" w:eastAsia="宋体" w:cs="宋体"/>
          <w:b/>
          <w:bCs/>
          <w:i w:val="0"/>
          <w:iCs w:val="0"/>
          <w:color w:val="auto"/>
          <w:sz w:val="24"/>
          <w:szCs w:val="24"/>
          <w:highlight w:val="none"/>
          <w:lang w:val="zh-CN"/>
        </w:rPr>
        <w:t>2.15 检验和验收</w:t>
      </w:r>
      <w:bookmarkEnd w:id="238"/>
      <w:bookmarkEnd w:id="239"/>
      <w:bookmarkEnd w:id="240"/>
    </w:p>
    <w:p w14:paraId="7B73E81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7AEC63B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046DA1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210"/>
    <w:bookmarkEnd w:id="211"/>
    <w:bookmarkEnd w:id="212"/>
    <w:bookmarkEnd w:id="213"/>
    <w:p w14:paraId="154297BD">
      <w:pPr>
        <w:spacing w:line="360" w:lineRule="auto"/>
        <w:ind w:firstLine="437"/>
        <w:outlineLvl w:val="2"/>
        <w:rPr>
          <w:rFonts w:hint="eastAsia" w:ascii="宋体" w:hAnsi="宋体" w:eastAsia="宋体" w:cs="宋体"/>
          <w:b/>
          <w:bCs/>
          <w:i w:val="0"/>
          <w:iCs w:val="0"/>
          <w:color w:val="auto"/>
          <w:sz w:val="24"/>
          <w:szCs w:val="24"/>
          <w:highlight w:val="none"/>
        </w:rPr>
      </w:pPr>
      <w:bookmarkStart w:id="241" w:name="_Toc259093692"/>
      <w:bookmarkStart w:id="242" w:name="_Toc12773"/>
      <w:bookmarkStart w:id="243" w:name="_Toc18567"/>
      <w:bookmarkStart w:id="244" w:name="_Toc487900373"/>
      <w:bookmarkStart w:id="245" w:name="_Toc279701263"/>
      <w:bookmarkStart w:id="246" w:name="_Toc10330"/>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241"/>
      <w:bookmarkEnd w:id="242"/>
      <w:bookmarkEnd w:id="243"/>
      <w:bookmarkEnd w:id="244"/>
      <w:bookmarkEnd w:id="245"/>
      <w:bookmarkEnd w:id="246"/>
    </w:p>
    <w:p w14:paraId="35FB401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151B68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5E2F97E6">
      <w:pPr>
        <w:spacing w:line="360" w:lineRule="auto"/>
        <w:ind w:firstLine="437"/>
        <w:outlineLvl w:val="2"/>
        <w:rPr>
          <w:rFonts w:hint="eastAsia" w:ascii="宋体" w:hAnsi="宋体" w:eastAsia="宋体" w:cs="宋体"/>
          <w:b/>
          <w:i w:val="0"/>
          <w:iCs w:val="0"/>
          <w:color w:val="auto"/>
          <w:sz w:val="24"/>
          <w:szCs w:val="24"/>
          <w:highlight w:val="none"/>
        </w:rPr>
      </w:pPr>
      <w:bookmarkStart w:id="247" w:name="_Toc279701264"/>
      <w:bookmarkStart w:id="248" w:name="_Toc3148"/>
      <w:bookmarkStart w:id="249" w:name="_Toc12004"/>
      <w:bookmarkStart w:id="250" w:name="_Toc259093693"/>
      <w:bookmarkStart w:id="251" w:name="_Toc16673"/>
      <w:bookmarkStart w:id="252" w:name="_Toc487900374"/>
      <w:r>
        <w:rPr>
          <w:rFonts w:hint="eastAsia" w:ascii="宋体" w:hAnsi="宋体" w:eastAsia="宋体" w:cs="宋体"/>
          <w:b/>
          <w:bCs/>
          <w:i w:val="0"/>
          <w:iCs w:val="0"/>
          <w:color w:val="auto"/>
          <w:sz w:val="24"/>
          <w:szCs w:val="24"/>
          <w:highlight w:val="none"/>
          <w:lang w:val="zh-CN"/>
        </w:rPr>
        <w:t>2.17 履约保证金</w:t>
      </w:r>
      <w:bookmarkEnd w:id="247"/>
      <w:bookmarkEnd w:id="248"/>
      <w:bookmarkEnd w:id="249"/>
      <w:bookmarkEnd w:id="250"/>
      <w:bookmarkEnd w:id="251"/>
    </w:p>
    <w:p w14:paraId="604241B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2B55DD3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7B2E31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52"/>
    <w:p w14:paraId="3A600ADF">
      <w:pPr>
        <w:spacing w:line="360" w:lineRule="auto"/>
        <w:ind w:firstLine="437"/>
        <w:outlineLvl w:val="2"/>
        <w:rPr>
          <w:rFonts w:hint="eastAsia" w:ascii="宋体" w:hAnsi="宋体" w:eastAsia="宋体" w:cs="宋体"/>
          <w:b/>
          <w:i w:val="0"/>
          <w:iCs w:val="0"/>
          <w:color w:val="auto"/>
          <w:sz w:val="24"/>
          <w:szCs w:val="24"/>
          <w:highlight w:val="none"/>
        </w:rPr>
      </w:pPr>
      <w:bookmarkStart w:id="253" w:name="_Toc19890"/>
      <w:bookmarkStart w:id="254" w:name="_Toc6885"/>
      <w:r>
        <w:rPr>
          <w:rFonts w:hint="eastAsia" w:ascii="宋体" w:hAnsi="宋体" w:eastAsia="宋体" w:cs="宋体"/>
          <w:b/>
          <w:bCs/>
          <w:i w:val="0"/>
          <w:iCs w:val="0"/>
          <w:color w:val="auto"/>
          <w:sz w:val="24"/>
          <w:szCs w:val="24"/>
          <w:highlight w:val="none"/>
          <w:lang w:val="zh-CN"/>
        </w:rPr>
        <w:t>2.18 合同份数</w:t>
      </w:r>
      <w:bookmarkEnd w:id="253"/>
      <w:bookmarkEnd w:id="254"/>
    </w:p>
    <w:p w14:paraId="00501C6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15EE6FBE">
      <w:pPr>
        <w:pStyle w:val="3"/>
        <w:bidi w:val="0"/>
        <w:jc w:val="center"/>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255" w:name="_Toc3736"/>
      <w:bookmarkStart w:id="256" w:name="_Toc24501"/>
      <w:bookmarkStart w:id="257" w:name="_Toc21974"/>
      <w:r>
        <w:rPr>
          <w:rFonts w:hint="eastAsia"/>
          <w:color w:val="auto"/>
          <w:sz w:val="36"/>
          <w:szCs w:val="36"/>
          <w:highlight w:val="none"/>
        </w:rPr>
        <w:t>第三部分 合同专用条款</w:t>
      </w:r>
      <w:bookmarkEnd w:id="255"/>
      <w:bookmarkEnd w:id="256"/>
      <w:bookmarkEnd w:id="257"/>
    </w:p>
    <w:p w14:paraId="213476E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79D1E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62956801">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2C10FB8C">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30EF0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79DC4F84">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A0E2605">
            <w:pPr>
              <w:spacing w:line="560" w:lineRule="exact"/>
              <w:rPr>
                <w:rFonts w:hint="eastAsia" w:ascii="宋体" w:hAnsi="宋体" w:eastAsia="宋体" w:cs="宋体"/>
                <w:i w:val="0"/>
                <w:iCs w:val="0"/>
                <w:color w:val="auto"/>
                <w:sz w:val="24"/>
                <w:szCs w:val="24"/>
                <w:highlight w:val="none"/>
              </w:rPr>
            </w:pPr>
          </w:p>
        </w:tc>
      </w:tr>
      <w:tr w14:paraId="46FFC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0E111AC">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6FA7C33">
            <w:pPr>
              <w:spacing w:line="560" w:lineRule="exact"/>
              <w:rPr>
                <w:rFonts w:hint="eastAsia" w:ascii="宋体" w:hAnsi="宋体" w:eastAsia="宋体" w:cs="宋体"/>
                <w:i w:val="0"/>
                <w:iCs w:val="0"/>
                <w:color w:val="auto"/>
                <w:sz w:val="24"/>
                <w:szCs w:val="24"/>
                <w:highlight w:val="none"/>
              </w:rPr>
            </w:pPr>
          </w:p>
        </w:tc>
      </w:tr>
      <w:tr w14:paraId="4BD28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0743729">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FB8AE3E">
            <w:pPr>
              <w:spacing w:line="560" w:lineRule="exact"/>
              <w:rPr>
                <w:rFonts w:hint="eastAsia" w:ascii="宋体" w:hAnsi="宋体" w:eastAsia="宋体" w:cs="宋体"/>
                <w:i w:val="0"/>
                <w:iCs w:val="0"/>
                <w:color w:val="auto"/>
                <w:sz w:val="24"/>
                <w:szCs w:val="24"/>
                <w:highlight w:val="none"/>
              </w:rPr>
            </w:pPr>
          </w:p>
        </w:tc>
      </w:tr>
      <w:tr w14:paraId="1FE12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A1FE358">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AF55648">
            <w:pPr>
              <w:spacing w:line="560" w:lineRule="exact"/>
              <w:rPr>
                <w:rFonts w:hint="eastAsia" w:ascii="宋体" w:hAnsi="宋体" w:eastAsia="宋体" w:cs="宋体"/>
                <w:i w:val="0"/>
                <w:iCs w:val="0"/>
                <w:color w:val="auto"/>
                <w:sz w:val="24"/>
                <w:szCs w:val="24"/>
                <w:highlight w:val="none"/>
              </w:rPr>
            </w:pPr>
          </w:p>
        </w:tc>
      </w:tr>
      <w:tr w14:paraId="56220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A17E807">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E0965D">
            <w:pPr>
              <w:spacing w:line="560" w:lineRule="exact"/>
              <w:rPr>
                <w:rFonts w:hint="eastAsia" w:ascii="宋体" w:hAnsi="宋体" w:eastAsia="宋体" w:cs="宋体"/>
                <w:i w:val="0"/>
                <w:iCs w:val="0"/>
                <w:color w:val="auto"/>
                <w:sz w:val="24"/>
                <w:szCs w:val="24"/>
                <w:highlight w:val="none"/>
                <w:u w:val="single"/>
              </w:rPr>
            </w:pPr>
          </w:p>
        </w:tc>
      </w:tr>
      <w:tr w14:paraId="71CF7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2F1D99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F315E9">
            <w:pPr>
              <w:spacing w:line="560" w:lineRule="exact"/>
              <w:rPr>
                <w:rFonts w:hint="eastAsia" w:ascii="宋体" w:hAnsi="宋体" w:eastAsia="宋体" w:cs="宋体"/>
                <w:i w:val="0"/>
                <w:iCs w:val="0"/>
                <w:color w:val="auto"/>
                <w:sz w:val="24"/>
                <w:szCs w:val="24"/>
                <w:highlight w:val="none"/>
              </w:rPr>
            </w:pPr>
          </w:p>
        </w:tc>
      </w:tr>
      <w:tr w14:paraId="42F4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70C1867">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5C90E8A">
            <w:pPr>
              <w:spacing w:line="560" w:lineRule="exact"/>
              <w:rPr>
                <w:rFonts w:hint="eastAsia" w:ascii="宋体" w:hAnsi="宋体" w:eastAsia="宋体" w:cs="宋体"/>
                <w:i w:val="0"/>
                <w:iCs w:val="0"/>
                <w:color w:val="auto"/>
                <w:sz w:val="24"/>
                <w:szCs w:val="24"/>
                <w:highlight w:val="none"/>
                <w:u w:val="single"/>
              </w:rPr>
            </w:pPr>
          </w:p>
        </w:tc>
      </w:tr>
      <w:tr w14:paraId="7B43C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4E1C053">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194567AF">
            <w:pPr>
              <w:spacing w:line="560" w:lineRule="exact"/>
              <w:rPr>
                <w:rFonts w:hint="eastAsia" w:ascii="宋体" w:hAnsi="宋体" w:eastAsia="宋体" w:cs="宋体"/>
                <w:i w:val="0"/>
                <w:iCs w:val="0"/>
                <w:color w:val="auto"/>
                <w:sz w:val="24"/>
                <w:szCs w:val="24"/>
                <w:highlight w:val="none"/>
              </w:rPr>
            </w:pPr>
          </w:p>
        </w:tc>
      </w:tr>
      <w:tr w14:paraId="4335C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FDEF3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E2F72A1">
            <w:pPr>
              <w:spacing w:line="560" w:lineRule="exact"/>
              <w:rPr>
                <w:rFonts w:hint="eastAsia" w:ascii="宋体" w:hAnsi="宋体" w:eastAsia="宋体" w:cs="宋体"/>
                <w:i w:val="0"/>
                <w:iCs w:val="0"/>
                <w:color w:val="auto"/>
                <w:sz w:val="24"/>
                <w:szCs w:val="24"/>
                <w:highlight w:val="none"/>
              </w:rPr>
            </w:pPr>
          </w:p>
        </w:tc>
      </w:tr>
      <w:tr w14:paraId="3BED9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5C45A8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58F75A9">
            <w:pPr>
              <w:spacing w:line="560" w:lineRule="exact"/>
              <w:rPr>
                <w:rFonts w:hint="eastAsia" w:ascii="宋体" w:hAnsi="宋体" w:eastAsia="宋体" w:cs="宋体"/>
                <w:i w:val="0"/>
                <w:iCs w:val="0"/>
                <w:color w:val="auto"/>
                <w:sz w:val="24"/>
                <w:szCs w:val="24"/>
                <w:highlight w:val="none"/>
              </w:rPr>
            </w:pPr>
          </w:p>
        </w:tc>
      </w:tr>
      <w:tr w14:paraId="30522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94362B1">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1430946C">
            <w:pPr>
              <w:spacing w:line="560" w:lineRule="exact"/>
              <w:rPr>
                <w:rFonts w:hint="eastAsia" w:ascii="宋体" w:hAnsi="宋体" w:eastAsia="宋体" w:cs="宋体"/>
                <w:i w:val="0"/>
                <w:iCs w:val="0"/>
                <w:color w:val="auto"/>
                <w:sz w:val="24"/>
                <w:szCs w:val="24"/>
                <w:highlight w:val="none"/>
              </w:rPr>
            </w:pPr>
          </w:p>
        </w:tc>
      </w:tr>
      <w:tr w14:paraId="5786D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2B540DB">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AF2711A">
            <w:pPr>
              <w:spacing w:line="560" w:lineRule="exact"/>
              <w:rPr>
                <w:rFonts w:hint="eastAsia" w:ascii="宋体" w:hAnsi="宋体" w:eastAsia="宋体" w:cs="宋体"/>
                <w:i w:val="0"/>
                <w:iCs w:val="0"/>
                <w:color w:val="auto"/>
                <w:sz w:val="24"/>
                <w:szCs w:val="24"/>
                <w:highlight w:val="none"/>
              </w:rPr>
            </w:pPr>
          </w:p>
        </w:tc>
      </w:tr>
    </w:tbl>
    <w:p w14:paraId="7A4FE108">
      <w:pPr>
        <w:spacing w:line="360" w:lineRule="auto"/>
        <w:rPr>
          <w:rFonts w:hint="eastAsia" w:ascii="宋体" w:hAnsi="宋体" w:eastAsia="宋体" w:cs="宋体"/>
          <w:i w:val="0"/>
          <w:iCs w:val="0"/>
          <w:color w:val="auto"/>
          <w:sz w:val="24"/>
          <w:highlight w:val="none"/>
        </w:rPr>
      </w:pPr>
    </w:p>
    <w:p w14:paraId="132163D6">
      <w:pPr>
        <w:ind w:left="550" w:firstLine="367" w:firstLineChars="175"/>
        <w:rPr>
          <w:i w:val="0"/>
          <w:iCs w:val="0"/>
          <w:color w:val="auto"/>
          <w:highlight w:val="none"/>
        </w:rPr>
      </w:pPr>
    </w:p>
    <w:p w14:paraId="37F433B3">
      <w:pPr>
        <w:ind w:left="550" w:firstLine="367" w:firstLineChars="175"/>
        <w:rPr>
          <w:i w:val="0"/>
          <w:iCs w:val="0"/>
          <w:color w:val="auto"/>
          <w:highlight w:val="none"/>
        </w:rPr>
      </w:pPr>
    </w:p>
    <w:p w14:paraId="20D09617">
      <w:pPr>
        <w:ind w:left="550" w:firstLine="367" w:firstLineChars="175"/>
        <w:rPr>
          <w:i w:val="0"/>
          <w:iCs w:val="0"/>
          <w:color w:val="auto"/>
          <w:highlight w:val="none"/>
        </w:rPr>
      </w:pPr>
    </w:p>
    <w:p w14:paraId="395C4BF6">
      <w:pPr>
        <w:ind w:left="550" w:firstLine="367" w:firstLineChars="175"/>
        <w:rPr>
          <w:i w:val="0"/>
          <w:iCs w:val="0"/>
          <w:color w:val="auto"/>
          <w:highlight w:val="none"/>
        </w:rPr>
      </w:pPr>
    </w:p>
    <w:p w14:paraId="18FE4EA0">
      <w:pPr>
        <w:ind w:left="550" w:firstLine="367" w:firstLineChars="175"/>
        <w:rPr>
          <w:i w:val="0"/>
          <w:iCs w:val="0"/>
          <w:color w:val="auto"/>
          <w:highlight w:val="none"/>
        </w:rPr>
      </w:pPr>
    </w:p>
    <w:p w14:paraId="5DB781AE">
      <w:pPr>
        <w:ind w:left="550" w:firstLine="367" w:firstLineChars="175"/>
        <w:rPr>
          <w:i w:val="0"/>
          <w:iCs w:val="0"/>
          <w:color w:val="auto"/>
          <w:highlight w:val="none"/>
        </w:rPr>
      </w:pPr>
    </w:p>
    <w:p w14:paraId="75BFF9BC">
      <w:pPr>
        <w:ind w:left="550" w:firstLine="367" w:firstLineChars="175"/>
        <w:rPr>
          <w:i w:val="0"/>
          <w:iCs w:val="0"/>
          <w:color w:val="auto"/>
          <w:highlight w:val="none"/>
        </w:rPr>
      </w:pPr>
    </w:p>
    <w:p w14:paraId="2A0DA7F1">
      <w:pPr>
        <w:ind w:left="550" w:firstLine="367" w:firstLineChars="175"/>
        <w:rPr>
          <w:i w:val="0"/>
          <w:iCs w:val="0"/>
          <w:color w:val="auto"/>
          <w:highlight w:val="none"/>
        </w:rPr>
      </w:pPr>
    </w:p>
    <w:p w14:paraId="03F0468A">
      <w:pPr>
        <w:ind w:left="550" w:firstLine="367" w:firstLineChars="175"/>
        <w:rPr>
          <w:i w:val="0"/>
          <w:iCs w:val="0"/>
          <w:color w:val="auto"/>
          <w:highlight w:val="none"/>
        </w:rPr>
      </w:pPr>
    </w:p>
    <w:p w14:paraId="57C5302E">
      <w:pPr>
        <w:ind w:left="550" w:firstLine="367" w:firstLineChars="175"/>
        <w:rPr>
          <w:i w:val="0"/>
          <w:iCs w:val="0"/>
          <w:color w:val="auto"/>
          <w:highlight w:val="none"/>
        </w:rPr>
      </w:pPr>
    </w:p>
    <w:p w14:paraId="26D0F750">
      <w:pPr>
        <w:ind w:left="550" w:firstLine="367" w:firstLineChars="175"/>
        <w:rPr>
          <w:i w:val="0"/>
          <w:iCs w:val="0"/>
          <w:color w:val="auto"/>
          <w:highlight w:val="none"/>
        </w:rPr>
      </w:pPr>
    </w:p>
    <w:p w14:paraId="3211F4ED"/>
    <w:p w14:paraId="40EB25F9">
      <w:pPr>
        <w:pStyle w:val="2"/>
        <w:numPr>
          <w:ilvl w:val="0"/>
          <w:numId w:val="1"/>
        </w:numPr>
        <w:spacing w:before="0" w:after="0" w:line="240" w:lineRule="auto"/>
        <w:ind w:left="0" w:leftChars="0"/>
        <w:rPr>
          <w:rFonts w:hint="eastAsia" w:ascii="宋体" w:hAnsi="宋体" w:eastAsia="宋体" w:cs="宋体"/>
          <w:color w:val="auto"/>
        </w:rPr>
      </w:pPr>
      <w:r>
        <w:rPr>
          <w:rFonts w:hint="eastAsia" w:ascii="宋体" w:hAnsi="宋体" w:eastAsia="宋体" w:cs="宋体"/>
          <w:color w:val="auto"/>
          <w:lang w:val="en-US" w:eastAsia="zh-CN"/>
        </w:rPr>
        <w:t xml:space="preserve"> </w:t>
      </w:r>
      <w:bookmarkStart w:id="258" w:name="_Toc804"/>
      <w:bookmarkStart w:id="259" w:name="_Toc16000"/>
      <w:bookmarkStart w:id="260" w:name="_Toc4707"/>
      <w:r>
        <w:rPr>
          <w:rFonts w:hint="eastAsia" w:ascii="宋体" w:hAnsi="宋体" w:eastAsia="宋体" w:cs="宋体"/>
          <w:color w:val="auto"/>
        </w:rPr>
        <w:t>响应文件格式</w:t>
      </w:r>
      <w:bookmarkEnd w:id="106"/>
      <w:bookmarkEnd w:id="107"/>
      <w:bookmarkEnd w:id="258"/>
      <w:bookmarkEnd w:id="259"/>
      <w:bookmarkEnd w:id="260"/>
    </w:p>
    <w:p w14:paraId="7BB75BF9">
      <w:pPr>
        <w:rPr>
          <w:rFonts w:hint="eastAsia" w:ascii="宋体" w:hAnsi="宋体" w:eastAsia="宋体" w:cs="宋体"/>
          <w:color w:val="auto"/>
          <w:sz w:val="24"/>
        </w:rPr>
      </w:pPr>
    </w:p>
    <w:p w14:paraId="480B2FCF">
      <w:pPr>
        <w:spacing w:line="360" w:lineRule="auto"/>
        <w:jc w:val="center"/>
        <w:rPr>
          <w:rFonts w:hint="eastAsia" w:ascii="宋体" w:hAnsi="宋体" w:eastAsia="宋体" w:cs="宋体"/>
          <w:b/>
          <w:color w:val="auto"/>
          <w:sz w:val="28"/>
        </w:rPr>
      </w:pPr>
      <w:r>
        <w:rPr>
          <w:rFonts w:hint="eastAsia" w:ascii="宋体" w:hAnsi="宋体" w:eastAsia="宋体" w:cs="宋体"/>
          <w:b/>
          <w:color w:val="auto"/>
          <w:sz w:val="28"/>
          <w:lang w:eastAsia="zh-CN"/>
        </w:rPr>
        <w:t>响应</w:t>
      </w:r>
      <w:r>
        <w:rPr>
          <w:rFonts w:hint="eastAsia" w:ascii="宋体" w:hAnsi="宋体" w:eastAsia="宋体" w:cs="宋体"/>
          <w:b/>
          <w:color w:val="auto"/>
          <w:sz w:val="28"/>
        </w:rPr>
        <w:t>文件封面</w:t>
      </w:r>
    </w:p>
    <w:p w14:paraId="26A2D593">
      <w:pPr>
        <w:spacing w:line="360" w:lineRule="auto"/>
        <w:rPr>
          <w:rFonts w:hint="eastAsia" w:ascii="宋体" w:hAnsi="宋体" w:eastAsia="宋体" w:cs="宋体"/>
          <w:b/>
          <w:color w:val="auto"/>
          <w:sz w:val="28"/>
        </w:rPr>
      </w:pPr>
    </w:p>
    <w:p w14:paraId="78A7C251">
      <w:pPr>
        <w:spacing w:line="360" w:lineRule="auto"/>
        <w:jc w:val="center"/>
        <w:rPr>
          <w:rFonts w:hint="eastAsia" w:ascii="宋体" w:hAnsi="宋体" w:eastAsia="宋体" w:cs="宋体"/>
          <w:color w:val="auto"/>
          <w:sz w:val="28"/>
        </w:rPr>
      </w:pPr>
    </w:p>
    <w:p w14:paraId="79C7B19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p>
    <w:p w14:paraId="24BA5EC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（项目编号）</w:t>
      </w:r>
    </w:p>
    <w:p w14:paraId="458C7A81">
      <w:pPr>
        <w:spacing w:line="360" w:lineRule="auto"/>
        <w:jc w:val="center"/>
        <w:rPr>
          <w:rFonts w:hint="eastAsia" w:ascii="宋体" w:hAnsi="宋体" w:eastAsia="宋体" w:cs="宋体"/>
          <w:color w:val="auto"/>
          <w:sz w:val="28"/>
          <w:szCs w:val="28"/>
        </w:rPr>
      </w:pPr>
    </w:p>
    <w:p w14:paraId="1B21AC1E">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0C1A1BF2">
      <w:pPr>
        <w:spacing w:line="360" w:lineRule="auto"/>
        <w:jc w:val="center"/>
        <w:rPr>
          <w:rFonts w:hint="eastAsia" w:ascii="宋体" w:hAnsi="宋体" w:eastAsia="宋体" w:cs="宋体"/>
          <w:color w:val="auto"/>
          <w:sz w:val="28"/>
        </w:rPr>
      </w:pPr>
    </w:p>
    <w:p w14:paraId="75511C69">
      <w:pPr>
        <w:spacing w:line="360" w:lineRule="auto"/>
        <w:jc w:val="center"/>
        <w:rPr>
          <w:rFonts w:hint="eastAsia" w:ascii="宋体" w:hAnsi="宋体" w:eastAsia="宋体" w:cs="宋体"/>
          <w:color w:val="auto"/>
          <w:sz w:val="28"/>
        </w:rPr>
      </w:pPr>
    </w:p>
    <w:p w14:paraId="76F4D616">
      <w:pPr>
        <w:spacing w:line="360" w:lineRule="auto"/>
        <w:jc w:val="center"/>
        <w:rPr>
          <w:rFonts w:hint="eastAsia" w:ascii="宋体" w:hAnsi="宋体" w:eastAsia="宋体" w:cs="宋体"/>
          <w:b/>
          <w:color w:val="auto"/>
          <w:sz w:val="72"/>
          <w:szCs w:val="72"/>
        </w:rPr>
      </w:pPr>
      <w:r>
        <w:rPr>
          <w:rFonts w:hint="eastAsia" w:ascii="宋体" w:hAnsi="宋体" w:eastAsia="宋体" w:cs="宋体"/>
          <w:b/>
          <w:color w:val="auto"/>
          <w:sz w:val="72"/>
          <w:szCs w:val="72"/>
          <w:lang w:val="en-US" w:eastAsia="zh-CN"/>
        </w:rPr>
        <w:t>响应</w:t>
      </w:r>
      <w:r>
        <w:rPr>
          <w:rFonts w:hint="eastAsia" w:ascii="宋体" w:hAnsi="宋体" w:eastAsia="宋体" w:cs="宋体"/>
          <w:b/>
          <w:color w:val="auto"/>
          <w:sz w:val="72"/>
          <w:szCs w:val="72"/>
        </w:rPr>
        <w:t>文件</w:t>
      </w:r>
    </w:p>
    <w:p w14:paraId="4D7E4148">
      <w:pPr>
        <w:spacing w:line="360" w:lineRule="auto"/>
        <w:jc w:val="center"/>
        <w:rPr>
          <w:rFonts w:hint="eastAsia" w:ascii="宋体" w:hAnsi="宋体" w:eastAsia="宋体" w:cs="宋体"/>
          <w:color w:val="auto"/>
          <w:sz w:val="28"/>
        </w:rPr>
      </w:pPr>
    </w:p>
    <w:p w14:paraId="024AE6FB">
      <w:pPr>
        <w:spacing w:line="360" w:lineRule="auto"/>
        <w:jc w:val="both"/>
        <w:rPr>
          <w:rFonts w:hint="eastAsia" w:ascii="宋体" w:hAnsi="宋体" w:eastAsia="宋体" w:cs="宋体"/>
          <w:b/>
          <w:color w:val="auto"/>
          <w:sz w:val="28"/>
        </w:rPr>
      </w:pPr>
    </w:p>
    <w:p w14:paraId="6116CD4A">
      <w:pPr>
        <w:spacing w:line="360" w:lineRule="auto"/>
        <w:jc w:val="center"/>
        <w:rPr>
          <w:rFonts w:hint="eastAsia" w:ascii="宋体" w:hAnsi="宋体" w:eastAsia="宋体" w:cs="宋体"/>
          <w:b/>
          <w:color w:val="auto"/>
          <w:sz w:val="28"/>
        </w:rPr>
      </w:pPr>
    </w:p>
    <w:p w14:paraId="67B6FF3E">
      <w:pPr>
        <w:spacing w:line="360" w:lineRule="auto"/>
        <w:jc w:val="center"/>
        <w:rPr>
          <w:rFonts w:hint="eastAsia" w:ascii="宋体" w:hAnsi="宋体" w:eastAsia="宋体" w:cs="宋体"/>
          <w:b/>
          <w:color w:val="auto"/>
          <w:sz w:val="28"/>
        </w:rPr>
      </w:pPr>
    </w:p>
    <w:p w14:paraId="67799096">
      <w:pPr>
        <w:spacing w:line="36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公</w:t>
      </w:r>
      <w:r>
        <w:rPr>
          <w:rFonts w:hint="eastAsia" w:ascii="宋体" w:hAnsi="宋体" w:eastAsia="宋体" w:cs="宋体"/>
          <w:color w:val="auto"/>
          <w:sz w:val="28"/>
          <w:szCs w:val="28"/>
        </w:rPr>
        <w:t>章）</w:t>
      </w:r>
    </w:p>
    <w:p w14:paraId="3C9EFA35">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auto"/>
          <w:sz w:val="28"/>
          <w:szCs w:val="28"/>
          <w:lang w:eastAsia="zh-CN"/>
        </w:rPr>
        <w:t>或授权委托人：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签字或盖章</w:t>
      </w:r>
      <w:r>
        <w:rPr>
          <w:rFonts w:hint="eastAsia" w:ascii="宋体" w:hAnsi="宋体" w:eastAsia="宋体" w:cs="宋体"/>
          <w:color w:val="auto"/>
          <w:sz w:val="28"/>
          <w:szCs w:val="28"/>
        </w:rPr>
        <w:t>）</w:t>
      </w:r>
    </w:p>
    <w:p w14:paraId="572392A7">
      <w:pPr>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（年/月/日）</w:t>
      </w:r>
    </w:p>
    <w:p w14:paraId="4274BC65">
      <w:pPr>
        <w:spacing w:line="360" w:lineRule="auto"/>
        <w:jc w:val="both"/>
        <w:rPr>
          <w:rFonts w:hint="eastAsia" w:ascii="宋体" w:hAnsi="宋体" w:eastAsia="宋体" w:cs="宋体"/>
          <w:color w:val="auto"/>
          <w:sz w:val="28"/>
          <w:szCs w:val="28"/>
        </w:rPr>
      </w:pPr>
    </w:p>
    <w:p w14:paraId="6B6C88DA">
      <w:pPr>
        <w:spacing w:line="360" w:lineRule="auto"/>
        <w:jc w:val="both"/>
        <w:rPr>
          <w:rFonts w:hint="eastAsia" w:ascii="宋体" w:hAnsi="宋体" w:eastAsia="宋体" w:cs="宋体"/>
          <w:color w:val="auto"/>
          <w:sz w:val="28"/>
          <w:szCs w:val="28"/>
        </w:rPr>
      </w:pPr>
    </w:p>
    <w:p w14:paraId="4B5FBDCB">
      <w:pPr>
        <w:spacing w:line="360" w:lineRule="auto"/>
        <w:jc w:val="both"/>
        <w:rPr>
          <w:rFonts w:hint="eastAsia" w:ascii="宋体" w:hAnsi="宋体" w:eastAsia="宋体" w:cs="宋体"/>
          <w:color w:val="auto"/>
          <w:sz w:val="28"/>
          <w:szCs w:val="28"/>
        </w:rPr>
      </w:pPr>
    </w:p>
    <w:p w14:paraId="0BE624A6">
      <w:pPr>
        <w:spacing w:line="360" w:lineRule="auto"/>
        <w:jc w:val="both"/>
        <w:rPr>
          <w:rFonts w:hint="eastAsia" w:ascii="宋体" w:hAnsi="宋体" w:eastAsia="宋体" w:cs="宋体"/>
          <w:color w:val="auto"/>
          <w:sz w:val="28"/>
          <w:szCs w:val="28"/>
        </w:rPr>
      </w:pPr>
    </w:p>
    <w:p w14:paraId="636ED157">
      <w:pPr>
        <w:pStyle w:val="32"/>
        <w:rPr>
          <w:rFonts w:hint="eastAsia" w:ascii="宋体" w:hAnsi="宋体" w:eastAsia="宋体" w:cs="宋体"/>
          <w:color w:val="auto"/>
        </w:rPr>
      </w:pPr>
    </w:p>
    <w:bookmarkEnd w:id="108"/>
    <w:p w14:paraId="21D7A9DA">
      <w:pPr>
        <w:rPr>
          <w:rFonts w:hint="eastAsia" w:ascii="宋体" w:hAnsi="宋体" w:eastAsia="宋体" w:cs="宋体"/>
          <w:color w:val="auto"/>
          <w:lang w:val="en-US" w:eastAsia="zh-CN"/>
        </w:rPr>
      </w:pPr>
      <w:bookmarkStart w:id="261" w:name="_Toc22775"/>
      <w:bookmarkStart w:id="262" w:name="_Toc6001"/>
      <w:bookmarkStart w:id="263" w:name="_Toc11979"/>
      <w:bookmarkStart w:id="264" w:name="_Toc20276"/>
      <w:bookmarkStart w:id="265" w:name="_Toc5794"/>
    </w:p>
    <w:p w14:paraId="1356B5C0">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266" w:name="_Toc17241"/>
      <w:r>
        <w:rPr>
          <w:rFonts w:hint="eastAsia" w:ascii="宋体" w:hAnsi="宋体" w:eastAsia="宋体" w:cs="宋体"/>
          <w:b/>
          <w:color w:val="auto"/>
          <w:sz w:val="28"/>
          <w:szCs w:val="28"/>
          <w:lang w:val="en-US" w:eastAsia="zh-CN"/>
        </w:rPr>
        <w:t>资格文件部分</w:t>
      </w:r>
      <w:bookmarkEnd w:id="266"/>
    </w:p>
    <w:p w14:paraId="49F280B7">
      <w:pPr>
        <w:jc w:val="center"/>
        <w:rPr>
          <w:rFonts w:hint="eastAsia" w:ascii="宋体" w:hAnsi="宋体" w:eastAsia="宋体" w:cs="宋体"/>
          <w:color w:val="auto"/>
          <w:kern w:val="2"/>
          <w:sz w:val="24"/>
          <w:szCs w:val="22"/>
          <w:u w:val="none"/>
          <w:lang w:val="en-US" w:eastAsia="zh-CN" w:bidi="ar-SA"/>
        </w:rPr>
      </w:pPr>
    </w:p>
    <w:p w14:paraId="0890918F">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 录</w:t>
      </w:r>
    </w:p>
    <w:p w14:paraId="4D2F4EA0">
      <w:pPr>
        <w:rPr>
          <w:rFonts w:hint="eastAsia" w:ascii="宋体" w:hAnsi="宋体" w:eastAsia="宋体" w:cs="宋体"/>
          <w:color w:val="auto"/>
        </w:rPr>
      </w:pPr>
    </w:p>
    <w:p w14:paraId="7907BC2A">
      <w:pPr>
        <w:snapToGrid w:val="0"/>
        <w:spacing w:line="360" w:lineRule="auto"/>
        <w:rPr>
          <w:rFonts w:hint="eastAsia" w:ascii="宋体" w:hAnsi="宋体" w:eastAsia="宋体" w:cs="宋体"/>
          <w:snapToGrid w:val="0"/>
          <w:color w:val="auto"/>
          <w:kern w:val="28"/>
          <w:sz w:val="24"/>
          <w:szCs w:val="20"/>
          <w:lang w:val="en-US" w:eastAsia="zh-CN"/>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1</w:t>
      </w:r>
      <w:r>
        <w:rPr>
          <w:rFonts w:hint="eastAsia" w:ascii="宋体" w:hAnsi="宋体" w:eastAsia="宋体" w:cs="宋体"/>
          <w:snapToGrid w:val="0"/>
          <w:color w:val="auto"/>
          <w:kern w:val="28"/>
          <w:sz w:val="24"/>
          <w:szCs w:val="20"/>
        </w:rPr>
        <w:t>）</w:t>
      </w:r>
      <w:r>
        <w:rPr>
          <w:rFonts w:hint="eastAsia" w:ascii="宋体" w:hAnsi="宋体" w:eastAsia="宋体" w:cs="宋体"/>
          <w:color w:val="auto"/>
          <w:sz w:val="24"/>
        </w:rPr>
        <w:t>满足《中华人民共和国政府采购法》第二十二条规定的资格要求…………（页码）</w:t>
      </w:r>
    </w:p>
    <w:p w14:paraId="77697456">
      <w:pPr>
        <w:snapToGrid w:val="0"/>
        <w:spacing w:line="360" w:lineRule="auto"/>
        <w:rPr>
          <w:rFonts w:hint="eastAsia" w:ascii="宋体" w:hAnsi="宋体" w:eastAsia="宋体" w:cs="宋体"/>
          <w:color w:val="auto"/>
          <w:sz w:val="24"/>
        </w:rPr>
      </w:pP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lang w:val="en-US" w:eastAsia="zh-CN"/>
        </w:rPr>
        <w:t>2</w:t>
      </w:r>
      <w:r>
        <w:rPr>
          <w:rFonts w:hint="eastAsia" w:ascii="宋体" w:hAnsi="宋体" w:eastAsia="宋体" w:cs="宋体"/>
          <w:snapToGrid w:val="0"/>
          <w:color w:val="auto"/>
          <w:kern w:val="28"/>
          <w:sz w:val="24"/>
          <w:szCs w:val="20"/>
          <w:lang w:eastAsia="zh-CN"/>
        </w:rPr>
        <w:t>）</w:t>
      </w:r>
      <w:r>
        <w:rPr>
          <w:rFonts w:hint="eastAsia" w:ascii="宋体" w:hAnsi="宋体" w:eastAsia="宋体" w:cs="宋体"/>
          <w:color w:val="auto"/>
          <w:sz w:val="24"/>
        </w:rPr>
        <w:t>落实政府采购政策需满足的资格要求…………………………………………（页码）</w:t>
      </w:r>
    </w:p>
    <w:p w14:paraId="168CBF3B">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）本项目的特定资格要求…………………………………………………………（页码）</w:t>
      </w:r>
    </w:p>
    <w:p w14:paraId="7A0BEA05">
      <w:pPr>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其他</w:t>
      </w:r>
      <w:r>
        <w:rPr>
          <w:rFonts w:hint="eastAsia" w:ascii="宋体" w:hAnsi="宋体" w:eastAsia="宋体" w:cs="宋体"/>
          <w:color w:val="auto"/>
          <w:sz w:val="24"/>
        </w:rPr>
        <w:t>资格要求……………………………………………………………………（页码）</w:t>
      </w:r>
    </w:p>
    <w:p w14:paraId="3D2CC89E">
      <w:pPr>
        <w:snapToGrid w:val="0"/>
        <w:spacing w:line="360" w:lineRule="auto"/>
        <w:rPr>
          <w:rFonts w:hint="eastAsia" w:ascii="宋体" w:hAnsi="宋体" w:eastAsia="宋体" w:cs="宋体"/>
          <w:color w:val="auto"/>
          <w:sz w:val="24"/>
        </w:rPr>
      </w:pPr>
    </w:p>
    <w:p w14:paraId="140EDEA0">
      <w:pPr>
        <w:rPr>
          <w:rFonts w:hint="eastAsia" w:ascii="宋体" w:hAnsi="宋体" w:eastAsia="宋体" w:cs="宋体"/>
          <w:color w:val="auto"/>
          <w:lang w:val="en-US" w:eastAsia="zh-CN"/>
        </w:rPr>
      </w:pPr>
    </w:p>
    <w:p w14:paraId="73755166">
      <w:pPr>
        <w:rPr>
          <w:rFonts w:hint="eastAsia" w:ascii="宋体" w:hAnsi="宋体" w:eastAsia="宋体" w:cs="宋体"/>
          <w:color w:val="auto"/>
          <w:lang w:val="en-US" w:eastAsia="zh-CN"/>
        </w:rPr>
      </w:pPr>
    </w:p>
    <w:p w14:paraId="6073A844">
      <w:pPr>
        <w:rPr>
          <w:rFonts w:hint="eastAsia" w:ascii="宋体" w:hAnsi="宋体" w:eastAsia="宋体" w:cs="宋体"/>
          <w:color w:val="auto"/>
          <w:lang w:val="en-US" w:eastAsia="zh-CN"/>
        </w:rPr>
      </w:pPr>
    </w:p>
    <w:p w14:paraId="14997A7A">
      <w:pPr>
        <w:rPr>
          <w:rFonts w:hint="eastAsia" w:ascii="宋体" w:hAnsi="宋体" w:eastAsia="宋体" w:cs="宋体"/>
          <w:color w:val="auto"/>
          <w:lang w:val="en-US" w:eastAsia="zh-CN"/>
        </w:rPr>
      </w:pPr>
    </w:p>
    <w:p w14:paraId="4248E78F">
      <w:pPr>
        <w:rPr>
          <w:rFonts w:hint="eastAsia" w:ascii="宋体" w:hAnsi="宋体" w:eastAsia="宋体" w:cs="宋体"/>
          <w:color w:val="auto"/>
          <w:lang w:val="en-US" w:eastAsia="zh-CN"/>
        </w:rPr>
      </w:pPr>
    </w:p>
    <w:p w14:paraId="50F65CBA">
      <w:pPr>
        <w:rPr>
          <w:rFonts w:hint="eastAsia" w:ascii="宋体" w:hAnsi="宋体" w:eastAsia="宋体" w:cs="宋体"/>
          <w:color w:val="auto"/>
          <w:lang w:val="en-US" w:eastAsia="zh-CN"/>
        </w:rPr>
      </w:pPr>
    </w:p>
    <w:p w14:paraId="2027F6B1">
      <w:pPr>
        <w:rPr>
          <w:rFonts w:hint="eastAsia" w:ascii="宋体" w:hAnsi="宋体" w:eastAsia="宋体" w:cs="宋体"/>
          <w:color w:val="auto"/>
          <w:lang w:val="en-US" w:eastAsia="zh-CN"/>
        </w:rPr>
      </w:pPr>
    </w:p>
    <w:p w14:paraId="0FA2B024">
      <w:pPr>
        <w:rPr>
          <w:rFonts w:hint="eastAsia" w:ascii="宋体" w:hAnsi="宋体" w:eastAsia="宋体" w:cs="宋体"/>
          <w:color w:val="auto"/>
          <w:lang w:val="en-US" w:eastAsia="zh-CN"/>
        </w:rPr>
      </w:pPr>
    </w:p>
    <w:p w14:paraId="769C3D14">
      <w:pPr>
        <w:rPr>
          <w:rFonts w:hint="eastAsia" w:ascii="宋体" w:hAnsi="宋体" w:eastAsia="宋体" w:cs="宋体"/>
          <w:color w:val="auto"/>
          <w:lang w:val="en-US" w:eastAsia="zh-CN"/>
        </w:rPr>
      </w:pPr>
    </w:p>
    <w:p w14:paraId="5C505641">
      <w:pPr>
        <w:rPr>
          <w:rFonts w:hint="eastAsia" w:ascii="宋体" w:hAnsi="宋体" w:eastAsia="宋体" w:cs="宋体"/>
          <w:color w:val="auto"/>
          <w:lang w:val="en-US" w:eastAsia="zh-CN"/>
        </w:rPr>
      </w:pPr>
    </w:p>
    <w:p w14:paraId="0CF61D4A">
      <w:pPr>
        <w:rPr>
          <w:rFonts w:hint="eastAsia" w:ascii="宋体" w:hAnsi="宋体" w:eastAsia="宋体" w:cs="宋体"/>
          <w:color w:val="auto"/>
          <w:lang w:val="en-US" w:eastAsia="zh-CN"/>
        </w:rPr>
      </w:pPr>
    </w:p>
    <w:p w14:paraId="371195C1">
      <w:pPr>
        <w:rPr>
          <w:rFonts w:hint="eastAsia" w:ascii="宋体" w:hAnsi="宋体" w:eastAsia="宋体" w:cs="宋体"/>
          <w:color w:val="auto"/>
          <w:lang w:val="en-US" w:eastAsia="zh-CN"/>
        </w:rPr>
      </w:pPr>
    </w:p>
    <w:p w14:paraId="5CE0A184">
      <w:pPr>
        <w:rPr>
          <w:rFonts w:hint="eastAsia" w:ascii="宋体" w:hAnsi="宋体" w:eastAsia="宋体" w:cs="宋体"/>
          <w:color w:val="auto"/>
          <w:lang w:val="en-US" w:eastAsia="zh-CN"/>
        </w:rPr>
      </w:pPr>
    </w:p>
    <w:p w14:paraId="4DF4097A">
      <w:pPr>
        <w:rPr>
          <w:rFonts w:hint="eastAsia" w:ascii="宋体" w:hAnsi="宋体" w:eastAsia="宋体" w:cs="宋体"/>
          <w:color w:val="auto"/>
          <w:lang w:val="en-US" w:eastAsia="zh-CN"/>
        </w:rPr>
      </w:pPr>
    </w:p>
    <w:p w14:paraId="35A8B5BF">
      <w:pPr>
        <w:rPr>
          <w:rFonts w:hint="eastAsia" w:ascii="宋体" w:hAnsi="宋体" w:eastAsia="宋体" w:cs="宋体"/>
          <w:color w:val="auto"/>
          <w:lang w:val="en-US" w:eastAsia="zh-CN"/>
        </w:rPr>
      </w:pPr>
    </w:p>
    <w:p w14:paraId="40AFA7A7">
      <w:pPr>
        <w:rPr>
          <w:rFonts w:hint="eastAsia" w:ascii="宋体" w:hAnsi="宋体" w:eastAsia="宋体" w:cs="宋体"/>
          <w:color w:val="auto"/>
          <w:lang w:val="en-US" w:eastAsia="zh-CN"/>
        </w:rPr>
      </w:pPr>
    </w:p>
    <w:p w14:paraId="69C8D236">
      <w:pPr>
        <w:rPr>
          <w:rFonts w:hint="eastAsia" w:ascii="宋体" w:hAnsi="宋体" w:eastAsia="宋体" w:cs="宋体"/>
          <w:color w:val="auto"/>
          <w:lang w:val="en-US" w:eastAsia="zh-CN"/>
        </w:rPr>
      </w:pPr>
    </w:p>
    <w:p w14:paraId="627951C1">
      <w:pPr>
        <w:rPr>
          <w:rFonts w:hint="eastAsia" w:ascii="宋体" w:hAnsi="宋体" w:eastAsia="宋体" w:cs="宋体"/>
          <w:color w:val="auto"/>
          <w:lang w:val="en-US" w:eastAsia="zh-CN"/>
        </w:rPr>
      </w:pPr>
    </w:p>
    <w:p w14:paraId="3C49F8D7">
      <w:pPr>
        <w:rPr>
          <w:rFonts w:hint="eastAsia" w:ascii="宋体" w:hAnsi="宋体" w:eastAsia="宋体" w:cs="宋体"/>
          <w:color w:val="auto"/>
          <w:lang w:val="en-US" w:eastAsia="zh-CN"/>
        </w:rPr>
      </w:pPr>
    </w:p>
    <w:p w14:paraId="618005EB">
      <w:pPr>
        <w:rPr>
          <w:rFonts w:hint="eastAsia" w:ascii="宋体" w:hAnsi="宋体" w:eastAsia="宋体" w:cs="宋体"/>
          <w:color w:val="auto"/>
          <w:lang w:val="en-US" w:eastAsia="zh-CN"/>
        </w:rPr>
      </w:pPr>
    </w:p>
    <w:p w14:paraId="126B41B7">
      <w:pPr>
        <w:rPr>
          <w:rFonts w:hint="eastAsia" w:ascii="宋体" w:hAnsi="宋体" w:eastAsia="宋体" w:cs="宋体"/>
          <w:color w:val="auto"/>
          <w:lang w:val="en-US" w:eastAsia="zh-CN"/>
        </w:rPr>
      </w:pPr>
    </w:p>
    <w:p w14:paraId="17811ED3">
      <w:pPr>
        <w:rPr>
          <w:rFonts w:hint="eastAsia" w:ascii="宋体" w:hAnsi="宋体" w:eastAsia="宋体" w:cs="宋体"/>
          <w:color w:val="auto"/>
          <w:lang w:val="en-US" w:eastAsia="zh-CN"/>
        </w:rPr>
      </w:pPr>
    </w:p>
    <w:p w14:paraId="345FF36F">
      <w:pPr>
        <w:rPr>
          <w:rFonts w:hint="eastAsia" w:ascii="宋体" w:hAnsi="宋体" w:eastAsia="宋体" w:cs="宋体"/>
          <w:color w:val="auto"/>
          <w:lang w:val="en-US" w:eastAsia="zh-CN"/>
        </w:rPr>
      </w:pPr>
    </w:p>
    <w:p w14:paraId="56A97163">
      <w:pPr>
        <w:rPr>
          <w:rFonts w:hint="eastAsia" w:ascii="宋体" w:hAnsi="宋体" w:eastAsia="宋体" w:cs="宋体"/>
          <w:color w:val="auto"/>
          <w:lang w:val="en-US" w:eastAsia="zh-CN"/>
        </w:rPr>
      </w:pPr>
    </w:p>
    <w:p w14:paraId="0FDA3060">
      <w:pPr>
        <w:rPr>
          <w:rFonts w:hint="eastAsia" w:ascii="宋体" w:hAnsi="宋体" w:eastAsia="宋体" w:cs="宋体"/>
          <w:color w:val="auto"/>
          <w:lang w:val="en-US" w:eastAsia="zh-CN"/>
        </w:rPr>
      </w:pPr>
    </w:p>
    <w:p w14:paraId="16EEC924">
      <w:pPr>
        <w:rPr>
          <w:rFonts w:hint="eastAsia" w:ascii="宋体" w:hAnsi="宋体" w:eastAsia="宋体" w:cs="宋体"/>
          <w:color w:val="auto"/>
          <w:lang w:val="en-US" w:eastAsia="zh-CN"/>
        </w:rPr>
      </w:pPr>
    </w:p>
    <w:p w14:paraId="790CE3FB">
      <w:pPr>
        <w:rPr>
          <w:rFonts w:hint="eastAsia" w:ascii="宋体" w:hAnsi="宋体" w:eastAsia="宋体" w:cs="宋体"/>
          <w:color w:val="auto"/>
          <w:lang w:val="en-US" w:eastAsia="zh-CN"/>
        </w:rPr>
      </w:pPr>
    </w:p>
    <w:p w14:paraId="15080CA9">
      <w:pPr>
        <w:pStyle w:val="15"/>
        <w:rPr>
          <w:rFonts w:hint="eastAsia" w:ascii="宋体" w:hAnsi="宋体" w:eastAsia="宋体" w:cs="宋体"/>
          <w:color w:val="auto"/>
          <w:lang w:val="en-US" w:eastAsia="zh-CN"/>
        </w:rPr>
      </w:pPr>
    </w:p>
    <w:p w14:paraId="3D0446BD">
      <w:pPr>
        <w:rPr>
          <w:rFonts w:hint="eastAsia" w:ascii="宋体" w:hAnsi="宋体" w:eastAsia="宋体" w:cs="宋体"/>
          <w:color w:val="auto"/>
          <w:lang w:val="en-US" w:eastAsia="zh-CN"/>
        </w:rPr>
      </w:pPr>
    </w:p>
    <w:p w14:paraId="60F890F0">
      <w:pPr>
        <w:rPr>
          <w:rFonts w:hint="eastAsia" w:ascii="宋体" w:hAnsi="宋体" w:eastAsia="宋体" w:cs="宋体"/>
          <w:color w:val="auto"/>
          <w:lang w:val="en-US" w:eastAsia="zh-CN"/>
        </w:rPr>
      </w:pPr>
    </w:p>
    <w:p w14:paraId="044EEBF1">
      <w:pPr>
        <w:rPr>
          <w:rFonts w:hint="eastAsia" w:ascii="宋体" w:hAnsi="宋体" w:eastAsia="宋体" w:cs="宋体"/>
          <w:color w:val="auto"/>
          <w:lang w:val="en-US" w:eastAsia="zh-CN"/>
        </w:rPr>
      </w:pPr>
    </w:p>
    <w:p w14:paraId="11E7BB9F">
      <w:pPr>
        <w:rPr>
          <w:rFonts w:hint="eastAsia" w:ascii="宋体" w:hAnsi="宋体" w:eastAsia="宋体" w:cs="宋体"/>
          <w:color w:val="auto"/>
          <w:lang w:val="en-US" w:eastAsia="zh-CN"/>
        </w:rPr>
      </w:pPr>
    </w:p>
    <w:p w14:paraId="68938970">
      <w:pPr>
        <w:rPr>
          <w:rFonts w:hint="eastAsia" w:ascii="宋体" w:hAnsi="宋体" w:eastAsia="宋体" w:cs="宋体"/>
          <w:color w:val="auto"/>
          <w:lang w:val="en-US" w:eastAsia="zh-CN"/>
        </w:rPr>
      </w:pPr>
    </w:p>
    <w:p w14:paraId="6E47ABF7">
      <w:pPr>
        <w:rPr>
          <w:rFonts w:hint="eastAsia" w:ascii="宋体" w:hAnsi="宋体" w:eastAsia="宋体" w:cs="宋体"/>
          <w:color w:val="auto"/>
          <w:lang w:val="en-US" w:eastAsia="zh-CN"/>
        </w:rPr>
      </w:pPr>
    </w:p>
    <w:p w14:paraId="087F8F61">
      <w:pPr>
        <w:rPr>
          <w:rFonts w:hint="eastAsia" w:ascii="宋体" w:hAnsi="宋体" w:eastAsia="宋体" w:cs="宋体"/>
          <w:color w:val="auto"/>
          <w:lang w:val="en-US" w:eastAsia="zh-CN"/>
        </w:rPr>
      </w:pPr>
    </w:p>
    <w:p w14:paraId="7EBA1B99">
      <w:pPr>
        <w:rPr>
          <w:rFonts w:hint="eastAsia" w:ascii="宋体" w:hAnsi="宋体" w:eastAsia="宋体" w:cs="宋体"/>
          <w:color w:val="auto"/>
          <w:lang w:val="en-US" w:eastAsia="zh-CN"/>
        </w:rPr>
      </w:pPr>
    </w:p>
    <w:p w14:paraId="59C4A896">
      <w:pPr>
        <w:rPr>
          <w:rFonts w:hint="eastAsia" w:ascii="宋体" w:hAnsi="宋体" w:eastAsia="宋体" w:cs="宋体"/>
          <w:color w:val="auto"/>
          <w:lang w:val="en-US" w:eastAsia="zh-CN"/>
        </w:rPr>
      </w:pPr>
    </w:p>
    <w:p w14:paraId="3839AF8B">
      <w:pPr>
        <w:rPr>
          <w:rFonts w:hint="eastAsia" w:ascii="宋体" w:hAnsi="宋体" w:eastAsia="宋体" w:cs="宋体"/>
          <w:color w:val="auto"/>
          <w:lang w:val="en-US" w:eastAsia="zh-CN"/>
        </w:rPr>
      </w:pPr>
    </w:p>
    <w:p w14:paraId="5B329FAF">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一、满足《中华人民共和国政府采购法》第二十二条规定的</w:t>
      </w:r>
      <w:r>
        <w:rPr>
          <w:rFonts w:hint="eastAsia" w:ascii="宋体" w:hAnsi="宋体" w:eastAsia="宋体" w:cs="宋体"/>
          <w:b/>
          <w:bCs/>
          <w:color w:val="auto"/>
          <w:sz w:val="24"/>
          <w:szCs w:val="24"/>
          <w:lang w:val="en-US" w:eastAsia="zh-CN"/>
        </w:rPr>
        <w:t>资格要求</w:t>
      </w:r>
    </w:p>
    <w:bookmarkEnd w:id="261"/>
    <w:bookmarkEnd w:id="262"/>
    <w:bookmarkEnd w:id="263"/>
    <w:bookmarkEnd w:id="264"/>
    <w:bookmarkEnd w:id="265"/>
    <w:p w14:paraId="14168747">
      <w:pPr>
        <w:pStyle w:val="32"/>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bookmarkStart w:id="267" w:name="_Toc534816643"/>
      <w:bookmarkStart w:id="268" w:name="_Toc519111281"/>
      <w:bookmarkStart w:id="269" w:name="_Toc534725614"/>
      <w:r>
        <w:rPr>
          <w:rFonts w:hint="eastAsia" w:ascii="宋体" w:hAnsi="宋体" w:eastAsia="宋体" w:cs="宋体"/>
          <w:b/>
          <w:bCs/>
          <w:color w:val="auto"/>
          <w:kern w:val="2"/>
          <w:sz w:val="24"/>
          <w:szCs w:val="22"/>
          <w:highlight w:val="none"/>
          <w:u w:val="none"/>
          <w:lang w:val="en-US" w:eastAsia="zh-CN" w:bidi="ar-SA"/>
        </w:rPr>
        <w:t>具有独立承担民事责任的能力</w:t>
      </w:r>
    </w:p>
    <w:p w14:paraId="41563700">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提供营业执照原件复印件（扫描件）；</w:t>
      </w:r>
    </w:p>
    <w:p w14:paraId="2F36F4A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4682E091">
      <w:pPr>
        <w:pStyle w:val="32"/>
        <w:keepNext w:val="0"/>
        <w:keepLines w:val="0"/>
        <w:pageBreakBefore w:val="0"/>
        <w:widowControl w:val="0"/>
        <w:numPr>
          <w:ilvl w:val="0"/>
          <w:numId w:val="3"/>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具有良好的商业信誉和健全的财务会计制度</w:t>
      </w:r>
    </w:p>
    <w:p w14:paraId="1D86BDC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提供2024年度经会计师事务所出具的财务审计报告或财务报表（包含资产负债表、利润表、所有者权益变动表、现金流量表，财务报表附注）或响应截止日前三个月内银行出具的资信证明原件复印件（扫描件）；</w:t>
      </w:r>
    </w:p>
    <w:p w14:paraId="4BE9C52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供应商成立时间少于该规定时限的，提供成立至今的材料原件复印件（扫描件）；</w:t>
      </w:r>
    </w:p>
    <w:p w14:paraId="72A6110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626BB28C">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3、有依法缴纳税收和社会保障资金的良好记录</w:t>
      </w:r>
    </w:p>
    <w:p w14:paraId="7761837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提供近半年任意一个月缴纳税收的凭据以及缴纳社会保险的凭据（专用收据或社会保险缴纳清单）原件复印件（扫描件）；依法免税或不需要缴纳社会保障资金的供应商，提供相应文件证明原件复印件（扫描件）；供应商成立时间少于该规定时限的，提供成立至今的材料原件复印件（扫描件）；</w:t>
      </w:r>
    </w:p>
    <w:p w14:paraId="389BEF1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注：提供材料为原件复印件（扫描件）并加盖公章。</w:t>
      </w:r>
    </w:p>
    <w:p w14:paraId="06444A08">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4、具备履行合同所必需专业能力的书面声明（格式见附件一）</w:t>
      </w:r>
    </w:p>
    <w:p w14:paraId="29545A1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highlight w:val="none"/>
          <w:u w:val="none"/>
          <w:lang w:val="en-US" w:eastAsia="zh-CN" w:bidi="ar-SA"/>
        </w:rPr>
      </w:pPr>
      <w:r>
        <w:rPr>
          <w:rFonts w:hint="eastAsia" w:ascii="宋体" w:hAnsi="宋体" w:eastAsia="宋体" w:cs="宋体"/>
          <w:b/>
          <w:bCs/>
          <w:color w:val="auto"/>
          <w:kern w:val="2"/>
          <w:sz w:val="24"/>
          <w:szCs w:val="22"/>
          <w:highlight w:val="none"/>
          <w:u w:val="none"/>
          <w:lang w:val="en-US" w:eastAsia="zh-CN" w:bidi="ar-SA"/>
        </w:rPr>
        <w:t>5、参加政府采购活动前 3 年内在经营活动中没有重大违法记录的书面声明（格式见附件二）</w:t>
      </w:r>
    </w:p>
    <w:p w14:paraId="5DF10344">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二、落实政府采购政策需满足的资格要求</w:t>
      </w:r>
    </w:p>
    <w:p w14:paraId="00ABEEA4">
      <w:pPr>
        <w:ind w:firstLine="480" w:firstLineChars="200"/>
        <w:rPr>
          <w:rFonts w:hint="eastAsia" w:ascii="宋体" w:hAnsi="宋体" w:eastAsia="宋体" w:cs="宋体"/>
          <w:color w:val="auto"/>
          <w:kern w:val="0"/>
          <w:sz w:val="24"/>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提供《中小企业声明函》</w:t>
      </w:r>
      <w:r>
        <w:rPr>
          <w:rFonts w:hint="eastAsia" w:ascii="宋体" w:hAnsi="宋体" w:eastAsia="宋体" w:cs="宋体"/>
          <w:b/>
          <w:bCs/>
          <w:color w:val="auto"/>
          <w:kern w:val="2"/>
          <w:sz w:val="24"/>
          <w:szCs w:val="22"/>
          <w:highlight w:val="none"/>
          <w:u w:val="none"/>
          <w:lang w:val="en-US" w:eastAsia="zh-CN" w:bidi="ar-SA"/>
        </w:rPr>
        <w:t>（格式见附件三）</w:t>
      </w:r>
    </w:p>
    <w:p w14:paraId="256E648A">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三、本项目的特定资格要求</w:t>
      </w:r>
    </w:p>
    <w:p w14:paraId="18FBB64B">
      <w:pPr>
        <w:ind w:firstLine="480" w:firstLineChars="200"/>
        <w:rPr>
          <w:rFonts w:hint="eastAsia" w:ascii="宋体" w:hAnsi="宋体" w:eastAsia="宋体" w:cs="宋体"/>
          <w:color w:val="auto"/>
          <w:kern w:val="2"/>
          <w:sz w:val="24"/>
          <w:szCs w:val="22"/>
          <w:highlight w:val="none"/>
          <w:u w:val="none"/>
          <w:lang w:val="en-US" w:eastAsia="zh-CN" w:bidi="ar-SA"/>
        </w:rPr>
      </w:pPr>
      <w:r>
        <w:rPr>
          <w:rFonts w:hint="eastAsia" w:ascii="宋体" w:hAnsi="宋体" w:cs="宋体"/>
          <w:color w:val="auto"/>
          <w:kern w:val="2"/>
          <w:sz w:val="24"/>
          <w:szCs w:val="22"/>
          <w:highlight w:val="none"/>
          <w:u w:val="none"/>
          <w:lang w:val="en-US" w:eastAsia="zh-CN" w:bidi="ar-SA"/>
        </w:rPr>
        <w:t>无</w:t>
      </w:r>
    </w:p>
    <w:p w14:paraId="4B234C00">
      <w:pPr>
        <w:pStyle w:val="4"/>
        <w:numPr>
          <w:ilvl w:val="2"/>
          <w:numId w:val="0"/>
        </w:numPr>
        <w:spacing w:before="145" w:beforeLines="50" w:after="145" w:afterLines="50" w:line="300" w:lineRule="auto"/>
        <w:ind w:leftChars="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四、其他资格要求</w:t>
      </w:r>
    </w:p>
    <w:p w14:paraId="1FF47F7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1、联合体协议书（如果有，格式见附件四）</w:t>
      </w:r>
    </w:p>
    <w:p w14:paraId="1A895F6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b w:val="0"/>
          <w:bCs w:val="0"/>
          <w:color w:val="auto"/>
          <w:kern w:val="2"/>
          <w:sz w:val="24"/>
          <w:szCs w:val="22"/>
          <w:highlight w:val="none"/>
          <w:u w:val="none"/>
          <w:lang w:val="en-US" w:eastAsia="zh-CN" w:bidi="ar-SA"/>
        </w:rPr>
        <w:t>2、</w:t>
      </w:r>
      <w:r>
        <w:rPr>
          <w:rFonts w:hint="eastAsia" w:ascii="宋体" w:hAnsi="宋体" w:eastAsia="宋体" w:cs="宋体"/>
          <w:color w:val="auto"/>
          <w:kern w:val="2"/>
          <w:sz w:val="24"/>
          <w:szCs w:val="22"/>
          <w:highlight w:val="none"/>
          <w:u w:val="none"/>
          <w:lang w:val="en-US" w:eastAsia="zh-CN" w:bidi="ar-SA"/>
        </w:rPr>
        <w:t>书面声明（格式自拟）：表示自己与其他参与同一合同项下的供应商，不存在《政府采购法实施条例》第十八条规定的关联关系。</w:t>
      </w:r>
    </w:p>
    <w:p w14:paraId="1D25979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书面声明包括如下内容：供应商法定代表人（单位负责人）在其单位外的其他单位担任法定代表人（单位负责人）的信息；供应商直接控股、存在管理关系的其他单位信息。</w:t>
      </w:r>
    </w:p>
    <w:p w14:paraId="1CCE48F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t>3、供应商认为需要提供的其他材料。</w:t>
      </w:r>
    </w:p>
    <w:p w14:paraId="281E2385">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highlight w:val="none"/>
          <w:u w:val="none"/>
          <w:lang w:val="en-US" w:eastAsia="zh-CN" w:bidi="ar-SA"/>
        </w:rPr>
      </w:pPr>
    </w:p>
    <w:p w14:paraId="1B3D3A10">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highlight w:val="none"/>
          <w:u w:val="none"/>
          <w:lang w:val="en-US" w:eastAsia="zh-CN" w:bidi="ar-SA"/>
        </w:rPr>
      </w:pPr>
    </w:p>
    <w:p w14:paraId="73AAF66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4"/>
          <w:szCs w:val="22"/>
          <w:highlight w:val="none"/>
          <w:u w:val="none"/>
          <w:lang w:val="en-US" w:eastAsia="zh-CN" w:bidi="ar-SA"/>
        </w:rPr>
      </w:pPr>
    </w:p>
    <w:p w14:paraId="58A34D11">
      <w:pPr>
        <w:rPr>
          <w:rFonts w:hint="eastAsia" w:ascii="宋体" w:hAnsi="宋体" w:eastAsia="宋体" w:cs="宋体"/>
          <w:color w:val="auto"/>
          <w:kern w:val="2"/>
          <w:sz w:val="24"/>
          <w:szCs w:val="22"/>
          <w:highlight w:val="none"/>
          <w:u w:val="none"/>
          <w:lang w:val="en-US" w:eastAsia="zh-CN" w:bidi="ar-SA"/>
        </w:rPr>
      </w:pPr>
      <w:r>
        <w:rPr>
          <w:rFonts w:hint="eastAsia" w:ascii="宋体" w:hAnsi="宋体" w:eastAsia="宋体" w:cs="宋体"/>
          <w:color w:val="auto"/>
          <w:kern w:val="2"/>
          <w:sz w:val="24"/>
          <w:szCs w:val="22"/>
          <w:highlight w:val="none"/>
          <w:u w:val="none"/>
          <w:lang w:val="en-US" w:eastAsia="zh-CN" w:bidi="ar-SA"/>
        </w:rPr>
        <w:br w:type="page"/>
      </w:r>
    </w:p>
    <w:p w14:paraId="74162734">
      <w:pPr>
        <w:spacing w:before="145" w:beforeLines="50" w:after="145" w:afterLines="50" w:line="300" w:lineRule="auto"/>
        <w:rPr>
          <w:rFonts w:hint="eastAsia" w:ascii="宋体" w:hAnsi="宋体" w:eastAsia="宋体" w:cs="宋体"/>
          <w:b/>
          <w:bCs w:val="0"/>
          <w:color w:val="auto"/>
          <w:sz w:val="24"/>
          <w:lang w:eastAsia="zh-CN"/>
        </w:rPr>
      </w:pPr>
      <w:bookmarkStart w:id="270" w:name="_Toc5322"/>
      <w:r>
        <w:rPr>
          <w:rFonts w:hint="eastAsia" w:ascii="宋体" w:hAnsi="宋体" w:eastAsia="宋体" w:cs="宋体"/>
          <w:b/>
          <w:bCs w:val="0"/>
          <w:color w:val="auto"/>
          <w:sz w:val="24"/>
          <w:lang w:eastAsia="zh-CN"/>
        </w:rPr>
        <w:t>附件一</w:t>
      </w:r>
    </w:p>
    <w:p w14:paraId="6C83AC2D">
      <w:pPr>
        <w:spacing w:before="145" w:beforeLines="50" w:after="145" w:afterLines="50" w:line="300" w:lineRule="auto"/>
        <w:jc w:val="center"/>
        <w:rPr>
          <w:rFonts w:hint="eastAsia" w:ascii="宋体" w:hAnsi="宋体" w:eastAsia="宋体" w:cs="宋体"/>
          <w:b/>
          <w:bCs w:val="0"/>
          <w:color w:val="auto"/>
          <w:sz w:val="24"/>
        </w:rPr>
      </w:pPr>
      <w:r>
        <w:rPr>
          <w:rFonts w:hint="eastAsia" w:ascii="宋体" w:hAnsi="宋体" w:eastAsia="宋体" w:cs="宋体"/>
          <w:b/>
          <w:bCs w:val="0"/>
          <w:color w:val="auto"/>
          <w:sz w:val="24"/>
        </w:rPr>
        <w:t>具备履行合同所必需的设备和专业技术能力的书面声明</w:t>
      </w:r>
      <w:bookmarkEnd w:id="270"/>
    </w:p>
    <w:p w14:paraId="2A53AE0D">
      <w:pPr>
        <w:rPr>
          <w:rFonts w:hint="eastAsia" w:ascii="宋体" w:hAnsi="宋体" w:eastAsia="宋体" w:cs="宋体"/>
          <w:color w:val="auto"/>
        </w:rPr>
      </w:pPr>
    </w:p>
    <w:p w14:paraId="5F59638A">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我单位郑重声明：我单位具备履行本项采购合同所必需的设备和专业技术能力，为履行本项采购合同我公司具备如下主要设备和主要专业技术能力：</w:t>
      </w:r>
    </w:p>
    <w:p w14:paraId="3E7BFB6A">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主要设备有：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357202F9">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ind w:firstLine="492"/>
        <w:textAlignment w:val="auto"/>
        <w:rPr>
          <w:rFonts w:hint="eastAsia" w:ascii="宋体" w:hAnsi="宋体" w:eastAsia="宋体" w:cs="宋体"/>
          <w:bCs/>
          <w:color w:val="auto"/>
          <w:sz w:val="24"/>
        </w:rPr>
      </w:pPr>
      <w:r>
        <w:rPr>
          <w:rFonts w:hint="eastAsia" w:ascii="宋体" w:hAnsi="宋体" w:eastAsia="宋体" w:cs="宋体"/>
          <w:bCs/>
          <w:color w:val="auto"/>
          <w:sz w:val="24"/>
        </w:rPr>
        <w:t>主要专业技术能力有：</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w:t>
      </w:r>
    </w:p>
    <w:p w14:paraId="300A7E9D">
      <w:pPr>
        <w:pStyle w:val="8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7A37A466">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6EA98DC3">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3EB59690">
      <w:pPr>
        <w:pStyle w:val="82"/>
        <w:tabs>
          <w:tab w:val="left" w:pos="750"/>
        </w:tabs>
        <w:adjustRightInd w:val="0"/>
        <w:snapToGrid w:val="0"/>
        <w:spacing w:line="500" w:lineRule="exact"/>
        <w:ind w:firstLine="720" w:firstLineChars="300"/>
        <w:jc w:val="right"/>
        <w:rPr>
          <w:rFonts w:hint="eastAsia" w:ascii="宋体" w:hAnsi="宋体" w:eastAsia="宋体" w:cs="宋体"/>
          <w:color w:val="auto"/>
          <w:sz w:val="24"/>
          <w:szCs w:val="24"/>
        </w:rPr>
      </w:pPr>
    </w:p>
    <w:p w14:paraId="6EE39820">
      <w:pPr>
        <w:rPr>
          <w:rFonts w:hint="eastAsia" w:ascii="宋体" w:hAnsi="宋体" w:eastAsia="宋体" w:cs="宋体"/>
          <w:color w:val="auto"/>
        </w:rPr>
      </w:pPr>
    </w:p>
    <w:p w14:paraId="4959075E">
      <w:pPr>
        <w:rPr>
          <w:rFonts w:hint="eastAsia" w:ascii="宋体" w:hAnsi="宋体" w:eastAsia="宋体" w:cs="宋体"/>
          <w:color w:val="auto"/>
        </w:rPr>
      </w:pPr>
    </w:p>
    <w:p w14:paraId="59C2AC2D">
      <w:pPr>
        <w:rPr>
          <w:rFonts w:hint="eastAsia" w:ascii="宋体" w:hAnsi="宋体" w:eastAsia="宋体" w:cs="宋体"/>
          <w:color w:val="auto"/>
        </w:rPr>
      </w:pPr>
    </w:p>
    <w:p w14:paraId="4445B5FA">
      <w:pPr>
        <w:rPr>
          <w:rFonts w:hint="eastAsia" w:ascii="宋体" w:hAnsi="宋体" w:eastAsia="宋体" w:cs="宋体"/>
          <w:color w:val="auto"/>
        </w:rPr>
      </w:pPr>
    </w:p>
    <w:p w14:paraId="693FB885">
      <w:pPr>
        <w:rPr>
          <w:rFonts w:hint="eastAsia" w:ascii="宋体" w:hAnsi="宋体" w:eastAsia="宋体" w:cs="宋体"/>
          <w:color w:val="auto"/>
        </w:rPr>
      </w:pPr>
    </w:p>
    <w:p w14:paraId="6DA3E4BF">
      <w:pPr>
        <w:pStyle w:val="80"/>
        <w:rPr>
          <w:rFonts w:hint="eastAsia" w:ascii="宋体" w:hAnsi="宋体" w:eastAsia="宋体" w:cs="宋体"/>
          <w:color w:val="auto"/>
        </w:rPr>
      </w:pPr>
    </w:p>
    <w:p w14:paraId="6857313F">
      <w:pPr>
        <w:pStyle w:val="80"/>
        <w:rPr>
          <w:rFonts w:hint="eastAsia" w:ascii="宋体" w:hAnsi="宋体" w:eastAsia="宋体" w:cs="宋体"/>
          <w:color w:val="auto"/>
        </w:rPr>
      </w:pPr>
    </w:p>
    <w:p w14:paraId="7FE46FF2">
      <w:pPr>
        <w:pStyle w:val="80"/>
        <w:rPr>
          <w:rFonts w:hint="eastAsia" w:ascii="宋体" w:hAnsi="宋体" w:eastAsia="宋体" w:cs="宋体"/>
          <w:color w:val="auto"/>
        </w:rPr>
      </w:pPr>
    </w:p>
    <w:p w14:paraId="6495A50E">
      <w:pPr>
        <w:pStyle w:val="80"/>
        <w:rPr>
          <w:rFonts w:hint="eastAsia" w:ascii="宋体" w:hAnsi="宋体" w:eastAsia="宋体" w:cs="宋体"/>
          <w:color w:val="auto"/>
        </w:rPr>
      </w:pPr>
    </w:p>
    <w:p w14:paraId="74D5731A">
      <w:pPr>
        <w:pStyle w:val="80"/>
        <w:rPr>
          <w:rFonts w:hint="eastAsia" w:ascii="宋体" w:hAnsi="宋体" w:eastAsia="宋体" w:cs="宋体"/>
          <w:color w:val="auto"/>
        </w:rPr>
      </w:pPr>
    </w:p>
    <w:p w14:paraId="520E6DED">
      <w:pPr>
        <w:pStyle w:val="80"/>
        <w:rPr>
          <w:rFonts w:hint="eastAsia" w:ascii="宋体" w:hAnsi="宋体" w:eastAsia="宋体" w:cs="宋体"/>
          <w:color w:val="auto"/>
        </w:rPr>
      </w:pPr>
    </w:p>
    <w:p w14:paraId="2172B028">
      <w:pPr>
        <w:pStyle w:val="80"/>
        <w:rPr>
          <w:rFonts w:hint="eastAsia" w:ascii="宋体" w:hAnsi="宋体" w:eastAsia="宋体" w:cs="宋体"/>
          <w:color w:val="auto"/>
        </w:rPr>
      </w:pPr>
    </w:p>
    <w:p w14:paraId="07E0EA39">
      <w:pPr>
        <w:pStyle w:val="80"/>
        <w:rPr>
          <w:rFonts w:hint="eastAsia" w:ascii="宋体" w:hAnsi="宋体" w:eastAsia="宋体" w:cs="宋体"/>
          <w:color w:val="auto"/>
        </w:rPr>
      </w:pPr>
    </w:p>
    <w:p w14:paraId="7D410071">
      <w:pPr>
        <w:pStyle w:val="80"/>
        <w:rPr>
          <w:rFonts w:hint="eastAsia" w:ascii="宋体" w:hAnsi="宋体" w:eastAsia="宋体" w:cs="宋体"/>
          <w:color w:val="auto"/>
        </w:rPr>
      </w:pPr>
    </w:p>
    <w:p w14:paraId="642DC703">
      <w:pPr>
        <w:pStyle w:val="80"/>
        <w:rPr>
          <w:rFonts w:hint="eastAsia" w:ascii="宋体" w:hAnsi="宋体" w:eastAsia="宋体" w:cs="宋体"/>
          <w:color w:val="auto"/>
        </w:rPr>
      </w:pPr>
    </w:p>
    <w:p w14:paraId="56BD7B85">
      <w:pPr>
        <w:pStyle w:val="80"/>
        <w:rPr>
          <w:rFonts w:hint="eastAsia" w:ascii="宋体" w:hAnsi="宋体" w:eastAsia="宋体" w:cs="宋体"/>
          <w:color w:val="auto"/>
        </w:rPr>
      </w:pPr>
    </w:p>
    <w:p w14:paraId="23FCB09A">
      <w:pPr>
        <w:pStyle w:val="80"/>
        <w:rPr>
          <w:rFonts w:hint="eastAsia" w:ascii="宋体" w:hAnsi="宋体" w:eastAsia="宋体" w:cs="宋体"/>
          <w:color w:val="auto"/>
        </w:rPr>
      </w:pPr>
    </w:p>
    <w:p w14:paraId="18C48F85">
      <w:pPr>
        <w:pStyle w:val="80"/>
        <w:rPr>
          <w:rFonts w:hint="eastAsia" w:ascii="宋体" w:hAnsi="宋体" w:eastAsia="宋体" w:cs="宋体"/>
          <w:color w:val="auto"/>
        </w:rPr>
      </w:pPr>
    </w:p>
    <w:p w14:paraId="61205D01">
      <w:pPr>
        <w:pStyle w:val="80"/>
        <w:rPr>
          <w:rFonts w:hint="eastAsia" w:ascii="宋体" w:hAnsi="宋体" w:eastAsia="宋体" w:cs="宋体"/>
          <w:color w:val="auto"/>
        </w:rPr>
      </w:pPr>
    </w:p>
    <w:p w14:paraId="2FD369EE">
      <w:pPr>
        <w:pStyle w:val="80"/>
        <w:rPr>
          <w:rFonts w:hint="eastAsia" w:ascii="宋体" w:hAnsi="宋体" w:eastAsia="宋体" w:cs="宋体"/>
          <w:color w:val="auto"/>
        </w:rPr>
      </w:pPr>
    </w:p>
    <w:p w14:paraId="1F797415">
      <w:pPr>
        <w:pStyle w:val="80"/>
        <w:rPr>
          <w:rFonts w:hint="eastAsia" w:ascii="宋体" w:hAnsi="宋体" w:eastAsia="宋体" w:cs="宋体"/>
          <w:color w:val="auto"/>
        </w:rPr>
      </w:pPr>
    </w:p>
    <w:p w14:paraId="0DEA1E80">
      <w:pPr>
        <w:pStyle w:val="80"/>
        <w:rPr>
          <w:rFonts w:hint="eastAsia" w:ascii="宋体" w:hAnsi="宋体" w:eastAsia="宋体" w:cs="宋体"/>
          <w:color w:val="auto"/>
        </w:rPr>
      </w:pPr>
    </w:p>
    <w:p w14:paraId="7C58FA6C">
      <w:pPr>
        <w:pStyle w:val="80"/>
        <w:rPr>
          <w:rFonts w:hint="eastAsia" w:ascii="宋体" w:hAnsi="宋体" w:eastAsia="宋体" w:cs="宋体"/>
          <w:color w:val="auto"/>
        </w:rPr>
      </w:pPr>
    </w:p>
    <w:p w14:paraId="277C53ED">
      <w:pPr>
        <w:pStyle w:val="80"/>
        <w:rPr>
          <w:rFonts w:hint="eastAsia" w:ascii="宋体" w:hAnsi="宋体" w:eastAsia="宋体" w:cs="宋体"/>
          <w:color w:val="auto"/>
        </w:rPr>
      </w:pPr>
    </w:p>
    <w:p w14:paraId="39AC0B0A">
      <w:pPr>
        <w:pStyle w:val="80"/>
        <w:rPr>
          <w:rFonts w:hint="eastAsia" w:ascii="宋体" w:hAnsi="宋体" w:eastAsia="宋体" w:cs="宋体"/>
          <w:color w:val="auto"/>
        </w:rPr>
      </w:pPr>
    </w:p>
    <w:p w14:paraId="095D910E">
      <w:pPr>
        <w:pStyle w:val="80"/>
        <w:rPr>
          <w:rFonts w:hint="eastAsia" w:ascii="宋体" w:hAnsi="宋体" w:eastAsia="宋体" w:cs="宋体"/>
          <w:color w:val="auto"/>
        </w:rPr>
      </w:pPr>
    </w:p>
    <w:p w14:paraId="218EA2E3">
      <w:pPr>
        <w:pStyle w:val="80"/>
        <w:rPr>
          <w:rFonts w:hint="eastAsia" w:ascii="宋体" w:hAnsi="宋体" w:eastAsia="宋体" w:cs="宋体"/>
          <w:color w:val="auto"/>
        </w:rPr>
      </w:pPr>
    </w:p>
    <w:p w14:paraId="2B9D9AAD">
      <w:pPr>
        <w:pStyle w:val="80"/>
        <w:rPr>
          <w:rFonts w:hint="eastAsia" w:ascii="宋体" w:hAnsi="宋体" w:eastAsia="宋体" w:cs="宋体"/>
          <w:color w:val="auto"/>
        </w:rPr>
      </w:pPr>
    </w:p>
    <w:p w14:paraId="5E59961E">
      <w:pPr>
        <w:pStyle w:val="80"/>
        <w:rPr>
          <w:rFonts w:hint="eastAsia" w:ascii="宋体" w:hAnsi="宋体" w:eastAsia="宋体" w:cs="宋体"/>
          <w:color w:val="auto"/>
        </w:rPr>
      </w:pPr>
    </w:p>
    <w:p w14:paraId="701406DB">
      <w:pPr>
        <w:pStyle w:val="80"/>
        <w:rPr>
          <w:rFonts w:hint="eastAsia" w:ascii="宋体" w:hAnsi="宋体" w:eastAsia="宋体" w:cs="宋体"/>
          <w:color w:val="auto"/>
        </w:rPr>
      </w:pPr>
    </w:p>
    <w:p w14:paraId="1141BC62">
      <w:pPr>
        <w:pStyle w:val="80"/>
        <w:rPr>
          <w:rFonts w:hint="eastAsia" w:ascii="宋体" w:hAnsi="宋体" w:eastAsia="宋体" w:cs="宋体"/>
          <w:color w:val="auto"/>
        </w:rPr>
      </w:pPr>
    </w:p>
    <w:p w14:paraId="30F25EF0">
      <w:pPr>
        <w:spacing w:before="145" w:beforeLines="50" w:after="145" w:afterLines="50" w:line="300" w:lineRule="auto"/>
        <w:rPr>
          <w:rFonts w:hint="eastAsia" w:ascii="宋体" w:hAnsi="宋体" w:eastAsia="宋体" w:cs="宋体"/>
          <w:b/>
          <w:bCs w:val="0"/>
          <w:color w:val="auto"/>
          <w:sz w:val="24"/>
          <w:lang w:val="en-US" w:eastAsia="zh-CN"/>
        </w:rPr>
      </w:pPr>
      <w:bookmarkStart w:id="271" w:name="_Toc4105"/>
      <w:bookmarkStart w:id="272" w:name="_Toc534725615"/>
      <w:bookmarkStart w:id="273" w:name="_Toc534816644"/>
      <w:r>
        <w:rPr>
          <w:rFonts w:hint="eastAsia" w:ascii="宋体" w:hAnsi="宋体" w:eastAsia="宋体" w:cs="宋体"/>
          <w:b/>
          <w:bCs w:val="0"/>
          <w:color w:val="auto"/>
          <w:sz w:val="24"/>
          <w:lang w:val="en-US" w:eastAsia="zh-CN"/>
        </w:rPr>
        <w:t>附件二</w:t>
      </w:r>
    </w:p>
    <w:p w14:paraId="30470BC5">
      <w:pPr>
        <w:spacing w:before="145" w:beforeLines="50" w:after="145" w:afterLines="50" w:line="300" w:lineRule="auto"/>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参加政府采购活动前 3 年内在经营活动中没有重大违法记录的书面声明</w:t>
      </w:r>
      <w:bookmarkEnd w:id="271"/>
      <w:bookmarkEnd w:id="272"/>
      <w:bookmarkEnd w:id="273"/>
    </w:p>
    <w:p w14:paraId="3C37C4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lang w:val="en-US" w:eastAsia="zh-CN"/>
        </w:rPr>
      </w:pPr>
    </w:p>
    <w:p w14:paraId="6736C83C">
      <w:pPr>
        <w:keepNext w:val="0"/>
        <w:keepLines w:val="0"/>
        <w:pageBreakBefore w:val="0"/>
        <w:widowControl w:val="0"/>
        <w:kinsoku/>
        <w:wordWrap/>
        <w:overflowPunct/>
        <w:topLinePunct w:val="0"/>
        <w:autoSpaceDE/>
        <w:autoSpaceDN/>
        <w:bidi w:val="0"/>
        <w:adjustRightInd/>
        <w:snapToGrid/>
        <w:spacing w:before="145" w:beforeLines="50" w:after="145" w:afterLines="50" w:line="440" w:lineRule="exact"/>
        <w:textAlignment w:val="auto"/>
        <w:rPr>
          <w:rFonts w:hint="eastAsia" w:ascii="宋体" w:hAnsi="宋体" w:eastAsia="宋体" w:cs="宋体"/>
          <w:bCs/>
          <w:color w:val="auto"/>
          <w:sz w:val="24"/>
        </w:rPr>
      </w:pPr>
      <w:r>
        <w:rPr>
          <w:rFonts w:hint="eastAsia" w:ascii="宋体" w:hAnsi="宋体" w:eastAsia="宋体" w:cs="宋体"/>
          <w:b/>
          <w:bCs/>
          <w:color w:val="auto"/>
          <w:sz w:val="24"/>
        </w:rPr>
        <w:t xml:space="preserve">    </w:t>
      </w:r>
      <w:r>
        <w:rPr>
          <w:rFonts w:hint="eastAsia" w:ascii="宋体" w:hAnsi="宋体" w:eastAsia="宋体" w:cs="宋体"/>
          <w:bCs/>
          <w:color w:val="auto"/>
          <w:sz w:val="24"/>
        </w:rPr>
        <w:t>我单位郑重声明：参加本次政府采购活动前 3 年内，我单位在经营活动中没有因违法经营受到刑事处罚或者责令停产停业、吊销许可证或者执照、较大数额罚款等行政处罚。</w:t>
      </w:r>
    </w:p>
    <w:p w14:paraId="52E971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rPr>
      </w:pPr>
    </w:p>
    <w:p w14:paraId="22FBDDBF">
      <w:pPr>
        <w:keepNext w:val="0"/>
        <w:keepLines w:val="0"/>
        <w:pageBreakBefore w:val="0"/>
        <w:widowControl w:val="0"/>
        <w:kinsoku/>
        <w:wordWrap/>
        <w:overflowPunct/>
        <w:topLinePunct w:val="0"/>
        <w:autoSpaceDE/>
        <w:autoSpaceDN/>
        <w:bidi w:val="0"/>
        <w:adjustRightInd/>
        <w:snapToGrid/>
        <w:spacing w:line="440" w:lineRule="exact"/>
        <w:ind w:firstLine="3150" w:firstLineChars="1500"/>
        <w:textAlignment w:val="auto"/>
        <w:rPr>
          <w:rFonts w:hint="eastAsia" w:ascii="宋体" w:hAnsi="宋体" w:eastAsia="宋体" w:cs="宋体"/>
          <w:color w:val="auto"/>
          <w:sz w:val="24"/>
        </w:rPr>
      </w:pPr>
      <w:r>
        <w:rPr>
          <w:rFonts w:hint="eastAsia" w:ascii="宋体" w:hAnsi="宋体" w:eastAsia="宋体" w:cs="宋体"/>
          <w:bCs/>
          <w:color w:val="auto"/>
        </w:rPr>
        <w:t xml:space="preserve">   </w:t>
      </w:r>
      <w:r>
        <w:rPr>
          <w:rFonts w:hint="eastAsia" w:ascii="宋体" w:hAnsi="宋体" w:eastAsia="宋体" w:cs="宋体"/>
          <w:bCs/>
          <w:color w:val="auto"/>
          <w:lang w:val="en-US" w:eastAsia="zh-CN"/>
        </w:rPr>
        <w:t xml:space="preserve">                             </w:t>
      </w:r>
      <w:r>
        <w:rPr>
          <w:rFonts w:hint="eastAsia" w:ascii="宋体" w:hAnsi="宋体" w:eastAsia="宋体" w:cs="宋体"/>
          <w:bCs/>
          <w:color w:val="auto"/>
        </w:rPr>
        <w:t xml:space="preserve">  </w:t>
      </w: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2B35DBFE">
      <w:pPr>
        <w:keepNext w:val="0"/>
        <w:keepLines w:val="0"/>
        <w:pageBreakBefore w:val="0"/>
        <w:widowControl w:val="0"/>
        <w:kinsoku/>
        <w:wordWrap/>
        <w:overflowPunct/>
        <w:topLinePunct w:val="0"/>
        <w:autoSpaceDE/>
        <w:autoSpaceDN/>
        <w:bidi w:val="0"/>
        <w:adjustRightInd/>
        <w:snapToGrid/>
        <w:spacing w:line="440" w:lineRule="exact"/>
        <w:ind w:firstLine="3600" w:firstLineChars="150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5299F054">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4FD1913C">
      <w:pPr>
        <w:pStyle w:val="3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3C2389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DF23B4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BF7B2D7">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BD4E9CC">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46321AE">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3DC9E3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0C03273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2E958B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F2C5112">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3C122E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5DB13E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266C15B">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78C9F7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C43CEF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AEDDE50">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9DCE9F1">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7CE3A63">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F025B8A">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B479046">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21EE421F">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66AA8FCD">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1AAECCF9">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54937745">
      <w:pPr>
        <w:spacing w:before="145" w:beforeLines="50" w:after="145" w:afterLines="50" w:line="300" w:lineRule="auto"/>
        <w:rPr>
          <w:rFonts w:hint="eastAsia" w:ascii="宋体" w:hAnsi="宋体" w:eastAsia="宋体" w:cs="宋体"/>
          <w:b/>
          <w:bCs w:val="0"/>
          <w:color w:val="auto"/>
          <w:sz w:val="24"/>
          <w:highlight w:val="none"/>
          <w:lang w:val="en-US" w:eastAsia="zh-CN"/>
        </w:rPr>
      </w:pPr>
      <w:bookmarkStart w:id="274" w:name="_Toc18115"/>
      <w:r>
        <w:rPr>
          <w:rFonts w:hint="eastAsia" w:ascii="宋体" w:hAnsi="宋体" w:eastAsia="宋体" w:cs="宋体"/>
          <w:b/>
          <w:bCs w:val="0"/>
          <w:color w:val="auto"/>
          <w:sz w:val="24"/>
          <w:lang w:val="en-US" w:eastAsia="zh-CN"/>
        </w:rPr>
        <w:t>附件三：中小企业声明函</w:t>
      </w:r>
      <w:bookmarkEnd w:id="274"/>
    </w:p>
    <w:p w14:paraId="7BFB7CF0">
      <w:pPr>
        <w:jc w:val="center"/>
        <w:rPr>
          <w:rFonts w:hint="eastAsia"/>
          <w:b/>
          <w:bCs/>
          <w:sz w:val="32"/>
          <w:szCs w:val="36"/>
          <w:highlight w:val="none"/>
          <w:lang w:val="en-US" w:eastAsia="zh-CN"/>
        </w:rPr>
      </w:pPr>
      <w:r>
        <w:rPr>
          <w:rFonts w:hint="eastAsia"/>
          <w:b/>
          <w:bCs/>
          <w:sz w:val="32"/>
          <w:szCs w:val="36"/>
          <w:highlight w:val="none"/>
          <w:lang w:val="en-US" w:eastAsia="zh-CN"/>
        </w:rPr>
        <w:t>中小企业声明函</w:t>
      </w:r>
    </w:p>
    <w:p w14:paraId="33B1E221">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600" w:firstLineChars="25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lang w:eastAsia="zh-CN"/>
        </w:rPr>
        <w:t>（联合体）</w:t>
      </w:r>
      <w:r>
        <w:rPr>
          <w:rFonts w:hint="eastAsia" w:ascii="宋体" w:hAnsi="宋体" w:eastAsia="宋体" w:cs="宋体"/>
          <w:sz w:val="24"/>
        </w:rPr>
        <w:t>郑重声明，根据《政府采购促进中小企业发展</w:t>
      </w:r>
      <w:r>
        <w:rPr>
          <w:rFonts w:hint="eastAsia" w:ascii="宋体" w:hAnsi="宋体" w:eastAsia="宋体" w:cs="宋体"/>
          <w:sz w:val="24"/>
          <w:lang w:eastAsia="zh-CN"/>
        </w:rPr>
        <w:t>管理</w:t>
      </w:r>
      <w:r>
        <w:rPr>
          <w:rFonts w:hint="eastAsia" w:ascii="宋体" w:hAnsi="宋体" w:eastAsia="宋体" w:cs="宋体"/>
          <w:sz w:val="24"/>
        </w:rPr>
        <w:t>办法》(财库[20</w:t>
      </w:r>
      <w:r>
        <w:rPr>
          <w:rFonts w:hint="eastAsia" w:ascii="宋体" w:hAnsi="宋体" w:eastAsia="宋体" w:cs="宋体"/>
          <w:sz w:val="24"/>
          <w:lang w:val="en-US" w:eastAsia="zh-CN"/>
        </w:rPr>
        <w:t>20</w:t>
      </w:r>
      <w:r>
        <w:rPr>
          <w:rFonts w:hint="eastAsia" w:ascii="宋体" w:hAnsi="宋体" w:eastAsia="宋体" w:cs="宋体"/>
          <w:sz w:val="24"/>
        </w:rPr>
        <w:t>]</w:t>
      </w:r>
      <w:r>
        <w:rPr>
          <w:rFonts w:hint="eastAsia" w:ascii="宋体" w:hAnsi="宋体" w:eastAsia="宋体" w:cs="宋体"/>
          <w:sz w:val="24"/>
          <w:lang w:val="en-US" w:eastAsia="zh-CN"/>
        </w:rPr>
        <w:t>46</w:t>
      </w:r>
      <w:r>
        <w:rPr>
          <w:rFonts w:hint="eastAsia" w:ascii="宋体" w:hAnsi="宋体" w:eastAsia="宋体" w:cs="宋体"/>
          <w:sz w:val="24"/>
        </w:rPr>
        <w:t>号)的规定，本公司</w:t>
      </w:r>
      <w:r>
        <w:rPr>
          <w:rFonts w:hint="eastAsia" w:ascii="宋体" w:hAnsi="宋体" w:eastAsia="宋体" w:cs="宋体"/>
          <w:sz w:val="24"/>
          <w:lang w:eastAsia="zh-CN"/>
        </w:rPr>
        <w:t>（联合体）参加</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cs="宋体"/>
          <w:sz w:val="24"/>
          <w:u w:val="single"/>
          <w:lang w:val="en-US" w:eastAsia="zh-CN"/>
        </w:rPr>
        <w:t>拜城县财政局</w:t>
      </w:r>
      <w:r>
        <w:rPr>
          <w:rFonts w:hint="eastAsia" w:ascii="宋体" w:hAnsi="宋体" w:eastAsia="宋体" w:cs="宋体"/>
          <w:sz w:val="24"/>
          <w:u w:val="single"/>
        </w:rPr>
        <w:t xml:space="preserve">  </w:t>
      </w:r>
      <w:r>
        <w:rPr>
          <w:rFonts w:hint="eastAsia" w:ascii="宋体" w:hAnsi="宋体" w:eastAsia="宋体" w:cs="宋体"/>
          <w:sz w:val="24"/>
          <w:lang w:eastAsia="zh-CN"/>
        </w:rPr>
        <w:t>的</w:t>
      </w:r>
      <w:r>
        <w:rPr>
          <w:rFonts w:hint="eastAsia" w:ascii="宋体" w:hAnsi="宋体" w:eastAsia="宋体" w:cs="宋体"/>
          <w:sz w:val="24"/>
          <w:u w:val="single"/>
          <w:lang w:val="en-US" w:eastAsia="zh-CN"/>
        </w:rPr>
        <w:t>2024-2025年政府投资项目审计服务</w:t>
      </w:r>
      <w:r>
        <w:rPr>
          <w:rFonts w:hint="eastAsia" w:ascii="宋体" w:hAnsi="宋体" w:eastAsia="宋体" w:cs="宋体"/>
          <w:sz w:val="24"/>
          <w:u w:val="none"/>
          <w:lang w:val="en-US" w:eastAsia="zh-CN"/>
        </w:rPr>
        <w:t>采购活动，</w:t>
      </w:r>
      <w:r>
        <w:rPr>
          <w:rFonts w:hint="eastAsia" w:ascii="宋体" w:hAnsi="宋体" w:cs="宋体"/>
          <w:sz w:val="24"/>
          <w:u w:val="none"/>
          <w:lang w:val="en-US" w:eastAsia="zh-CN"/>
        </w:rPr>
        <w:t>服务全部由符合政策要求的中小企业承接</w:t>
      </w:r>
      <w:r>
        <w:rPr>
          <w:rFonts w:hint="eastAsia" w:ascii="宋体" w:hAnsi="宋体" w:eastAsia="宋体" w:cs="宋体"/>
          <w:sz w:val="24"/>
          <w:u w:val="none"/>
          <w:lang w:val="en-US" w:eastAsia="zh-CN"/>
        </w:rPr>
        <w:t>。相关企业（含联合体中的中小企业、签订分包意向协议的中小企业）</w:t>
      </w:r>
      <w:r>
        <w:rPr>
          <w:rFonts w:hint="eastAsia" w:ascii="宋体" w:hAnsi="宋体" w:eastAsia="宋体" w:cs="宋体"/>
          <w:sz w:val="24"/>
          <w:lang w:eastAsia="zh-CN"/>
        </w:rPr>
        <w:t>具体情况如下</w:t>
      </w:r>
      <w:r>
        <w:rPr>
          <w:rFonts w:hint="eastAsia" w:ascii="宋体" w:hAnsi="宋体" w:eastAsia="宋体" w:cs="宋体"/>
          <w:sz w:val="24"/>
        </w:rPr>
        <w:t>：</w:t>
      </w:r>
    </w:p>
    <w:p w14:paraId="4572ED65">
      <w:pPr>
        <w:keepNext w:val="0"/>
        <w:keepLines w:val="0"/>
        <w:pageBreakBefore w:val="0"/>
        <w:widowControl w:val="0"/>
        <w:numPr>
          <w:ilvl w:val="0"/>
          <w:numId w:val="0"/>
        </w:numPr>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u w:val="none"/>
          <w:lang w:val="en-US" w:eastAsia="zh-CN"/>
        </w:rPr>
        <w:t>1.</w:t>
      </w:r>
      <w:r>
        <w:rPr>
          <w:rFonts w:hint="eastAsia" w:ascii="宋体" w:hAnsi="宋体" w:eastAsia="宋体" w:cs="宋体"/>
          <w:sz w:val="24"/>
          <w:u w:val="single"/>
          <w:lang w:val="en-US" w:eastAsia="zh-CN"/>
        </w:rPr>
        <w:t xml:space="preserve">  2024-2025年政府投资项目审计服务  </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其他未列明行业</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承接企业</w:t>
      </w:r>
      <w:r>
        <w:rPr>
          <w:rFonts w:hint="eastAsia" w:ascii="宋体" w:hAnsi="宋体" w:eastAsia="宋体" w:cs="宋体"/>
          <w:sz w:val="24"/>
          <w:u w:val="none"/>
          <w:lang w:val="en-US" w:eastAsia="zh-CN"/>
        </w:rPr>
        <w:t>为</w:t>
      </w:r>
      <w:r>
        <w:rPr>
          <w:rFonts w:hint="eastAsia" w:ascii="宋体" w:hAnsi="宋体" w:eastAsia="宋体" w:cs="宋体"/>
          <w:sz w:val="24"/>
          <w:u w:val="single"/>
          <w:lang w:val="en-US" w:eastAsia="zh-CN"/>
        </w:rPr>
        <w:t>（企业名称）</w:t>
      </w:r>
      <w:r>
        <w:rPr>
          <w:rFonts w:hint="eastAsia" w:ascii="宋体" w:hAnsi="宋体" w:eastAsia="宋体" w:cs="宋体"/>
          <w:sz w:val="24"/>
          <w:u w:val="none"/>
          <w:lang w:val="en-US" w:eastAsia="zh-CN"/>
        </w:rPr>
        <w:t>，从业人员</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人，营业收入为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万元，资产总额为</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万元</w:t>
      </w:r>
      <w:r>
        <w:rPr>
          <w:rFonts w:hint="eastAsia" w:ascii="宋体" w:hAnsi="宋体" w:eastAsia="宋体" w:cs="宋体"/>
          <w:sz w:val="24"/>
          <w:u w:val="none"/>
          <w:vertAlign w:val="superscript"/>
          <w:lang w:val="en-US" w:eastAsia="zh-CN"/>
        </w:rPr>
        <w:t>1</w:t>
      </w:r>
      <w:r>
        <w:rPr>
          <w:rFonts w:hint="eastAsia" w:ascii="宋体" w:hAnsi="宋体" w:eastAsia="宋体" w:cs="宋体"/>
          <w:sz w:val="24"/>
          <w:u w:val="none"/>
          <w:lang w:val="en-US" w:eastAsia="zh-CN"/>
        </w:rPr>
        <w:t>，属于</w:t>
      </w:r>
      <w:r>
        <w:rPr>
          <w:rFonts w:hint="eastAsia" w:ascii="宋体" w:hAnsi="宋体" w:eastAsia="宋体" w:cs="宋体"/>
          <w:sz w:val="24"/>
          <w:u w:val="single"/>
          <w:lang w:val="en-US" w:eastAsia="zh-CN"/>
        </w:rPr>
        <w:t xml:space="preserve">   （中型企业、小型企业、微型企业）；</w:t>
      </w:r>
    </w:p>
    <w:p w14:paraId="4E919CB3">
      <w:pPr>
        <w:pStyle w:val="3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u w:val="none"/>
          <w:lang w:val="en-US"/>
        </w:rPr>
      </w:pPr>
      <w:r>
        <w:rPr>
          <w:rFonts w:hint="eastAsia" w:ascii="宋体" w:hAnsi="宋体" w:eastAsia="宋体" w:cs="宋体"/>
          <w:sz w:val="24"/>
          <w:u w:val="none"/>
          <w:lang w:val="en-US" w:eastAsia="zh-CN"/>
        </w:rPr>
        <w:t>......</w:t>
      </w:r>
    </w:p>
    <w:p w14:paraId="490B83A4">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以上企业，不属于大企业的分支机构，不存在控股股东为大型企业的情形，也不存在与大企业的负责人为同一人的情形。</w:t>
      </w:r>
    </w:p>
    <w:p w14:paraId="13D6B4F5">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本企业对上述声明内容的真实性负责</w:t>
      </w:r>
      <w:r>
        <w:rPr>
          <w:rFonts w:hint="eastAsia" w:ascii="宋体" w:hAnsi="宋体" w:eastAsia="宋体" w:cs="宋体"/>
          <w:sz w:val="24"/>
        </w:rPr>
        <w:t>。</w:t>
      </w:r>
      <w:r>
        <w:rPr>
          <w:rFonts w:hint="eastAsia" w:ascii="宋体" w:hAnsi="宋体" w:eastAsia="宋体" w:cs="宋体"/>
          <w:sz w:val="24"/>
          <w:lang w:eastAsia="zh-CN"/>
        </w:rPr>
        <w:t>如有虚假，将依法承担相应责任。</w:t>
      </w:r>
    </w:p>
    <w:p w14:paraId="3C7D37F0">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企业名称（</w:t>
      </w:r>
      <w:r>
        <w:rPr>
          <w:rFonts w:hint="eastAsia" w:ascii="宋体" w:hAnsi="宋体" w:eastAsia="宋体" w:cs="宋体"/>
          <w:sz w:val="24"/>
          <w:lang w:eastAsia="zh-CN"/>
        </w:rPr>
        <w:t>盖章</w:t>
      </w:r>
      <w:r>
        <w:rPr>
          <w:rFonts w:hint="eastAsia" w:ascii="宋体" w:hAnsi="宋体" w:eastAsia="宋体" w:cs="宋体"/>
          <w:sz w:val="24"/>
        </w:rPr>
        <w:t>）：</w:t>
      </w:r>
    </w:p>
    <w:p w14:paraId="630C37E4">
      <w:pPr>
        <w:keepNext w:val="0"/>
        <w:keepLines w:val="0"/>
        <w:pageBreakBefore w:val="0"/>
        <w:widowControl w:val="0"/>
        <w:kinsoku/>
        <w:wordWrap/>
        <w:overflowPunct/>
        <w:topLinePunct w:val="0"/>
        <w:autoSpaceDE/>
        <w:autoSpaceDN/>
        <w:bidi w:val="0"/>
        <w:adjustRightInd/>
        <w:snapToGrid/>
        <w:spacing w:before="145" w:beforeLines="50" w:after="145" w:afterLines="50" w:line="400" w:lineRule="exact"/>
        <w:ind w:firstLine="360" w:firstLineChars="150"/>
        <w:jc w:val="center"/>
        <w:textAlignment w:val="auto"/>
        <w:rPr>
          <w:rFonts w:hint="eastAsia" w:ascii="宋体" w:hAnsi="宋体" w:eastAsia="宋体" w:cs="宋体"/>
          <w:sz w:val="24"/>
        </w:rPr>
      </w:pPr>
      <w:r>
        <w:rPr>
          <w:rFonts w:hint="eastAsia" w:ascii="宋体" w:hAnsi="宋体" w:eastAsia="宋体" w:cs="宋体"/>
          <w:sz w:val="24"/>
          <w:lang w:val="en-US" w:eastAsia="zh-CN"/>
        </w:rPr>
        <w:t xml:space="preserve">                       </w:t>
      </w:r>
      <w:r>
        <w:rPr>
          <w:rFonts w:hint="eastAsia" w:ascii="宋体" w:hAnsi="宋体" w:eastAsia="宋体" w:cs="宋体"/>
          <w:sz w:val="24"/>
        </w:rPr>
        <w:t>日期：</w:t>
      </w:r>
    </w:p>
    <w:p w14:paraId="0186335F">
      <w:pPr>
        <w:spacing w:before="145" w:beforeLines="50" w:after="145" w:afterLines="50" w:line="300" w:lineRule="auto"/>
        <w:ind w:firstLine="240" w:firstLineChars="100"/>
        <w:rPr>
          <w:rFonts w:hint="eastAsia" w:ascii="宋体" w:hAnsi="宋体" w:eastAsia="宋体" w:cs="宋体"/>
          <w:sz w:val="24"/>
        </w:rPr>
      </w:pPr>
    </w:p>
    <w:p w14:paraId="516838B4">
      <w:pPr>
        <w:pStyle w:val="32"/>
        <w:ind w:left="0" w:leftChars="0" w:firstLine="0" w:firstLineChars="0"/>
        <w:rPr>
          <w:rFonts w:hint="eastAsia" w:ascii="宋体" w:hAnsi="宋体" w:eastAsia="宋体" w:cs="宋体"/>
          <w:sz w:val="20"/>
          <w:szCs w:val="18"/>
          <w:lang w:eastAsia="zh-CN"/>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14:paraId="5FD4234C">
      <w:pPr>
        <w:spacing w:before="145" w:beforeLines="50" w:after="145" w:afterLines="50" w:line="300" w:lineRule="auto"/>
        <w:rPr>
          <w:rFonts w:hint="eastAsia" w:ascii="宋体" w:hAnsi="宋体" w:eastAsia="宋体" w:cs="宋体"/>
          <w:bCs/>
          <w:sz w:val="24"/>
          <w:lang w:eastAsia="zh-CN"/>
        </w:rPr>
      </w:pPr>
      <w:r>
        <w:rPr>
          <w:rFonts w:hint="eastAsia" w:ascii="宋体" w:hAnsi="宋体" w:eastAsia="宋体" w:cs="宋体"/>
          <w:bCs/>
          <w:sz w:val="24"/>
          <w:lang w:eastAsia="zh-CN"/>
        </w:rPr>
        <w:t>注：符合中小企业划型标准的企业请提供本函，不符合的不提供本函。</w:t>
      </w:r>
    </w:p>
    <w:p w14:paraId="72CBEAF3">
      <w:pPr>
        <w:pStyle w:val="32"/>
        <w:rPr>
          <w:rFonts w:hint="eastAsia" w:ascii="宋体" w:hAnsi="宋体" w:eastAsia="宋体" w:cs="宋体"/>
          <w:bCs/>
          <w:color w:val="000000"/>
          <w:sz w:val="24"/>
          <w:highlight w:val="none"/>
        </w:rPr>
      </w:pPr>
    </w:p>
    <w:p w14:paraId="290A0808">
      <w:pPr>
        <w:pStyle w:val="32"/>
        <w:rPr>
          <w:rFonts w:hint="eastAsia" w:ascii="宋体" w:hAnsi="宋体" w:eastAsia="宋体" w:cs="宋体"/>
          <w:bCs/>
          <w:color w:val="000000"/>
          <w:sz w:val="24"/>
          <w:highlight w:val="none"/>
        </w:rPr>
      </w:pPr>
    </w:p>
    <w:p w14:paraId="2E6E0417">
      <w:pPr>
        <w:pStyle w:val="32"/>
        <w:rPr>
          <w:rFonts w:hint="eastAsia" w:ascii="宋体" w:hAnsi="宋体" w:eastAsia="宋体" w:cs="宋体"/>
          <w:bCs/>
          <w:color w:val="000000"/>
          <w:sz w:val="24"/>
          <w:highlight w:val="none"/>
        </w:rPr>
      </w:pPr>
    </w:p>
    <w:p w14:paraId="0507CCDC">
      <w:pPr>
        <w:pStyle w:val="32"/>
        <w:rPr>
          <w:rFonts w:hint="eastAsia" w:ascii="宋体" w:hAnsi="宋体" w:eastAsia="宋体" w:cs="宋体"/>
          <w:bCs/>
          <w:color w:val="000000"/>
          <w:sz w:val="24"/>
          <w:highlight w:val="none"/>
        </w:rPr>
      </w:pPr>
    </w:p>
    <w:p w14:paraId="20141EE7">
      <w:pPr>
        <w:pStyle w:val="32"/>
        <w:rPr>
          <w:rFonts w:hint="eastAsia" w:ascii="宋体" w:hAnsi="宋体" w:eastAsia="宋体" w:cs="宋体"/>
          <w:bCs/>
          <w:color w:val="000000"/>
          <w:sz w:val="24"/>
          <w:highlight w:val="none"/>
        </w:rPr>
      </w:pPr>
    </w:p>
    <w:p w14:paraId="5E65151E">
      <w:pPr>
        <w:pStyle w:val="32"/>
        <w:rPr>
          <w:rFonts w:hint="eastAsia" w:ascii="宋体" w:hAnsi="宋体" w:eastAsia="宋体" w:cs="宋体"/>
          <w:bCs/>
          <w:color w:val="000000"/>
          <w:sz w:val="24"/>
          <w:highlight w:val="none"/>
        </w:rPr>
      </w:pPr>
    </w:p>
    <w:p w14:paraId="4DD37EFE">
      <w:pPr>
        <w:pStyle w:val="32"/>
        <w:rPr>
          <w:rFonts w:hint="eastAsia" w:ascii="宋体" w:hAnsi="宋体" w:eastAsia="宋体" w:cs="宋体"/>
          <w:bCs/>
          <w:color w:val="000000"/>
          <w:sz w:val="24"/>
          <w:highlight w:val="none"/>
        </w:rPr>
      </w:pPr>
    </w:p>
    <w:p w14:paraId="17B8B06B">
      <w:pPr>
        <w:pStyle w:val="32"/>
        <w:rPr>
          <w:rFonts w:hint="eastAsia" w:ascii="宋体" w:hAnsi="宋体" w:eastAsia="宋体" w:cs="宋体"/>
          <w:bCs/>
          <w:color w:val="000000"/>
          <w:sz w:val="24"/>
          <w:highlight w:val="none"/>
        </w:rPr>
      </w:pPr>
    </w:p>
    <w:p w14:paraId="282DE5A5">
      <w:pPr>
        <w:pStyle w:val="32"/>
        <w:rPr>
          <w:rFonts w:hint="eastAsia" w:ascii="宋体" w:hAnsi="宋体" w:eastAsia="宋体" w:cs="宋体"/>
          <w:bCs/>
          <w:color w:val="000000"/>
          <w:sz w:val="24"/>
          <w:highlight w:val="none"/>
        </w:rPr>
      </w:pPr>
    </w:p>
    <w:p w14:paraId="04650AA9">
      <w:pPr>
        <w:pStyle w:val="32"/>
        <w:rPr>
          <w:rFonts w:hint="eastAsia" w:ascii="宋体" w:hAnsi="宋体" w:eastAsia="宋体" w:cs="宋体"/>
          <w:bCs/>
          <w:color w:val="000000"/>
          <w:sz w:val="24"/>
          <w:highlight w:val="none"/>
        </w:rPr>
      </w:pPr>
    </w:p>
    <w:p w14:paraId="176271D8">
      <w:pPr>
        <w:rPr>
          <w:rFonts w:hint="eastAsia" w:ascii="宋体" w:hAnsi="宋体" w:eastAsia="宋体" w:cs="宋体"/>
          <w:bCs/>
          <w:color w:val="000000"/>
          <w:sz w:val="24"/>
          <w:highlight w:val="none"/>
        </w:rPr>
      </w:pPr>
    </w:p>
    <w:p w14:paraId="79DC3FE1">
      <w:pPr>
        <w:rPr>
          <w:rFonts w:hint="eastAsia" w:ascii="宋体" w:hAnsi="宋体" w:eastAsia="宋体" w:cs="宋体"/>
          <w:bCs/>
          <w:color w:val="000000"/>
          <w:sz w:val="24"/>
          <w:highlight w:val="none"/>
        </w:rPr>
      </w:pPr>
    </w:p>
    <w:p w14:paraId="56D10959">
      <w:pPr>
        <w:rPr>
          <w:rFonts w:hint="eastAsia" w:ascii="宋体" w:hAnsi="宋体" w:eastAsia="宋体" w:cs="宋体"/>
          <w:bCs/>
          <w:color w:val="000000"/>
          <w:sz w:val="24"/>
          <w:highlight w:val="none"/>
        </w:rPr>
      </w:pPr>
    </w:p>
    <w:p w14:paraId="35A4E92E">
      <w:pPr>
        <w:rPr>
          <w:rFonts w:hint="eastAsia" w:ascii="宋体" w:hAnsi="宋体" w:eastAsia="宋体" w:cs="宋体"/>
          <w:bCs/>
          <w:color w:val="000000"/>
          <w:sz w:val="24"/>
          <w:highlight w:val="none"/>
        </w:rPr>
      </w:pPr>
    </w:p>
    <w:p w14:paraId="3589CDAE">
      <w:pPr>
        <w:pStyle w:val="32"/>
        <w:rPr>
          <w:rFonts w:hint="eastAsia" w:ascii="宋体" w:hAnsi="宋体" w:eastAsia="宋体" w:cs="宋体"/>
          <w:bCs/>
          <w:color w:val="000000"/>
          <w:sz w:val="24"/>
          <w:highlight w:val="none"/>
        </w:rPr>
      </w:pPr>
    </w:p>
    <w:p w14:paraId="7073CD1D">
      <w:pPr>
        <w:pStyle w:val="32"/>
        <w:rPr>
          <w:rFonts w:hint="eastAsia" w:ascii="宋体" w:hAnsi="宋体" w:eastAsia="宋体" w:cs="宋体"/>
          <w:bCs/>
          <w:color w:val="000000"/>
          <w:sz w:val="24"/>
          <w:highlight w:val="none"/>
        </w:rPr>
      </w:pPr>
    </w:p>
    <w:p w14:paraId="7704C56B">
      <w:pPr>
        <w:jc w:val="center"/>
        <w:rPr>
          <w:rFonts w:hint="eastAsia"/>
          <w:sz w:val="24"/>
          <w:szCs w:val="28"/>
          <w:lang w:val="en-US" w:eastAsia="zh-CN"/>
        </w:rPr>
      </w:pPr>
      <w:bookmarkStart w:id="275" w:name="_Toc26894"/>
    </w:p>
    <w:p w14:paraId="70DCB30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（一）关于“中小企业声明函”的填写要求</w:t>
      </w:r>
    </w:p>
    <w:p w14:paraId="166223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1.“单位名称”应填写采购人名称。</w:t>
      </w:r>
    </w:p>
    <w:p w14:paraId="4F5842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42D028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54E65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4.“采购文件中明确的所属行业”应填写采购文件中明确的采购标的所属行业，并应确保与采购标的涉及的货物制造商/服务承接商/工程承建商（根据项目属性确定）本身的所属行业保持一致。</w:t>
      </w:r>
    </w:p>
    <w:p w14:paraId="4A88019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91D4F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6732B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5.“企业名称”应填写投标（响应）的货物制造商/服务承接商/工程承建商（根据项目属性确定）。</w:t>
      </w:r>
    </w:p>
    <w:p w14:paraId="77B3357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对于分包方式面向中小企业采购的项目，“企业名称”应填写分包部分采购标的对应的货物制造商/服务承接商/工程承建商（根据项目属性确定）。</w:t>
      </w:r>
    </w:p>
    <w:p w14:paraId="7DC3DE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对于以联合体方式面向中小企业采购的项目，“企业名称”应填写联合体中中小企业承担采购标的对应的货物制造商/服务承接商/工程承建商（根据项目属性确定）。</w:t>
      </w:r>
    </w:p>
    <w:p w14:paraId="35D88E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6.从业人员、资产总额指标以上年度末数据为依据，营业收入指标以上年度累计数据为依据。无上年度数据的新成立企业可不填报。</w:t>
      </w:r>
    </w:p>
    <w:p w14:paraId="29DF8A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7.“中型企业/小型企业/微型企业”部分，供应商应依据企业上年度从业人员、营业收入、资产总额等指标，</w:t>
      </w:r>
      <w:r>
        <w:rPr>
          <w:rFonts w:hint="eastAsia" w:ascii="宋体" w:hAnsi="宋体" w:eastAsia="宋体" w:cs="宋体"/>
          <w:color w:val="auto"/>
          <w:kern w:val="2"/>
          <w:sz w:val="24"/>
          <w:szCs w:val="22"/>
          <w:highlight w:val="none"/>
          <w:u w:val="none"/>
          <w:lang w:val="en-US" w:eastAsia="zh-CN" w:bidi="ar-SA"/>
        </w:rPr>
        <w:t>按照《国民经济行业分类》（GB/T 4754—2017）、《统计上大中小微型企业划分办法（2017）》，判</w:t>
      </w:r>
      <w:r>
        <w:rPr>
          <w:rFonts w:hint="eastAsia" w:ascii="宋体" w:hAnsi="宋体" w:eastAsia="宋体" w:cs="宋体"/>
          <w:color w:val="auto"/>
          <w:kern w:val="2"/>
          <w:sz w:val="24"/>
          <w:szCs w:val="22"/>
          <w:u w:val="none"/>
          <w:lang w:val="en-US" w:eastAsia="zh-CN" w:bidi="ar-SA"/>
        </w:rPr>
        <w:t>断“中小企业声明函”载明的货物制造商/服务承接商/工程承建商（根据项目属性确定）是否属于采购文件所属行业的中型企业/小型企业/微型企业。</w:t>
      </w:r>
    </w:p>
    <w:p w14:paraId="73C3BA9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6D83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（二）关于“中小企业声明函”的提交要求</w:t>
      </w:r>
    </w:p>
    <w:p w14:paraId="0C02AA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8AFF9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2.鼓励供应商在投标（响应）时一并提供对货物制造商、服务承接商、工程承建商相关信息的核实核验情况以及其他佐证材料。</w:t>
      </w:r>
    </w:p>
    <w:p w14:paraId="179517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7EB28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68F362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1DFE26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7652F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51DB59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1C58C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A4896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7DE936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A8E8C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A3A11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BCE76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4D18C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674C76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DB88F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3CBA0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035323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116D67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492397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9FB5D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102A94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1D7D15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2CDAAE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宋体" w:hAnsi="宋体" w:eastAsia="宋体" w:cs="宋体"/>
          <w:color w:val="auto"/>
          <w:kern w:val="2"/>
          <w:sz w:val="24"/>
          <w:szCs w:val="22"/>
          <w:u w:val="none"/>
          <w:lang w:val="en-US" w:eastAsia="zh-CN" w:bidi="ar-SA"/>
        </w:rPr>
      </w:pPr>
    </w:p>
    <w:p w14:paraId="30323E64">
      <w:pPr>
        <w:widowControl/>
        <w:spacing w:line="330" w:lineRule="atLeast"/>
        <w:jc w:val="center"/>
        <w:rPr>
          <w:rFonts w:hint="eastAsia" w:ascii="宋体" w:hAnsi="宋体" w:eastAsia="宋体" w:cs="宋体"/>
          <w:b/>
          <w:bCs/>
          <w:color w:val="000000"/>
          <w:kern w:val="0"/>
          <w:sz w:val="28"/>
          <w:szCs w:val="24"/>
        </w:rPr>
      </w:pPr>
      <w:r>
        <w:rPr>
          <w:rFonts w:hint="eastAsia" w:ascii="宋体" w:hAnsi="宋体" w:eastAsia="宋体" w:cs="宋体"/>
          <w:b/>
          <w:bCs/>
          <w:color w:val="000000"/>
          <w:kern w:val="0"/>
          <w:sz w:val="28"/>
          <w:szCs w:val="24"/>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D50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03899104">
            <w:pPr>
              <w:widowControl/>
              <w:spacing w:line="240" w:lineRule="exact"/>
              <w:jc w:val="center"/>
              <w:rPr>
                <w:rFonts w:ascii="宋体" w:hAnsi="宋体" w:eastAsia="宋体" w:cs="宋体"/>
                <w:b/>
                <w:bCs/>
                <w:color w:val="000000"/>
                <w:kern w:val="0"/>
                <w:sz w:val="18"/>
                <w:szCs w:val="21"/>
              </w:rPr>
            </w:pPr>
            <w:r>
              <w:rPr>
                <w:rFonts w:hint="eastAsia" w:ascii="宋体" w:hAnsi="宋体" w:eastAsia="宋体" w:cs="宋体"/>
                <w:b/>
                <w:bCs/>
                <w:color w:val="000000"/>
                <w:kern w:val="0"/>
                <w:sz w:val="18"/>
                <w:szCs w:val="21"/>
              </w:rPr>
              <w:t>行业名称</w:t>
            </w:r>
          </w:p>
        </w:tc>
        <w:tc>
          <w:tcPr>
            <w:tcW w:w="1369" w:type="dxa"/>
            <w:noWrap w:val="0"/>
            <w:vAlign w:val="center"/>
          </w:tcPr>
          <w:p w14:paraId="3A952B4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指标名称</w:t>
            </w:r>
          </w:p>
        </w:tc>
        <w:tc>
          <w:tcPr>
            <w:tcW w:w="709" w:type="dxa"/>
            <w:noWrap w:val="0"/>
            <w:vAlign w:val="center"/>
          </w:tcPr>
          <w:p w14:paraId="11ECB126">
            <w:pPr>
              <w:widowControl/>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rPr>
              <w:t>计量</w:t>
            </w:r>
          </w:p>
          <w:p w14:paraId="2276A6CD">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单位</w:t>
            </w:r>
          </w:p>
        </w:tc>
        <w:tc>
          <w:tcPr>
            <w:tcW w:w="1125" w:type="dxa"/>
            <w:noWrap w:val="0"/>
            <w:vAlign w:val="center"/>
          </w:tcPr>
          <w:p w14:paraId="2B5DEC1F">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大型</w:t>
            </w:r>
          </w:p>
        </w:tc>
        <w:tc>
          <w:tcPr>
            <w:tcW w:w="1701" w:type="dxa"/>
            <w:noWrap w:val="0"/>
            <w:vAlign w:val="center"/>
          </w:tcPr>
          <w:p w14:paraId="6B60CE6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中型</w:t>
            </w:r>
          </w:p>
        </w:tc>
        <w:tc>
          <w:tcPr>
            <w:tcW w:w="1426" w:type="dxa"/>
            <w:noWrap w:val="0"/>
            <w:vAlign w:val="center"/>
          </w:tcPr>
          <w:p w14:paraId="7B8D4F1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小型</w:t>
            </w:r>
          </w:p>
        </w:tc>
        <w:tc>
          <w:tcPr>
            <w:tcW w:w="992" w:type="dxa"/>
            <w:noWrap w:val="0"/>
            <w:vAlign w:val="center"/>
          </w:tcPr>
          <w:p w14:paraId="0468932C">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微型</w:t>
            </w:r>
          </w:p>
        </w:tc>
      </w:tr>
      <w:tr w14:paraId="6353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6FD5D7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农、林、牧、渔业</w:t>
            </w:r>
          </w:p>
        </w:tc>
        <w:tc>
          <w:tcPr>
            <w:tcW w:w="1369" w:type="dxa"/>
            <w:noWrap w:val="0"/>
            <w:vAlign w:val="center"/>
          </w:tcPr>
          <w:p w14:paraId="1FF73C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1A4571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14E8D19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noWrap w:val="0"/>
            <w:vAlign w:val="center"/>
          </w:tcPr>
          <w:p w14:paraId="2EAFDE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noWrap w:val="0"/>
            <w:vAlign w:val="center"/>
          </w:tcPr>
          <w:p w14:paraId="615AE38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50≤Y＜500</w:t>
            </w:r>
          </w:p>
        </w:tc>
        <w:tc>
          <w:tcPr>
            <w:tcW w:w="992" w:type="dxa"/>
            <w:noWrap w:val="0"/>
            <w:vAlign w:val="center"/>
          </w:tcPr>
          <w:p w14:paraId="57C68B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5AC7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AD895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工业 *</w:t>
            </w:r>
          </w:p>
        </w:tc>
        <w:tc>
          <w:tcPr>
            <w:tcW w:w="1369" w:type="dxa"/>
            <w:noWrap w:val="0"/>
            <w:vAlign w:val="center"/>
          </w:tcPr>
          <w:p w14:paraId="384333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636F37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02B38D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4FD7CA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7E13464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46BF7C3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554F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03F85D">
            <w:pPr>
              <w:widowControl/>
              <w:jc w:val="left"/>
              <w:rPr>
                <w:rFonts w:ascii="宋体" w:hAnsi="宋体" w:eastAsia="宋体" w:cs="宋体"/>
                <w:color w:val="000000"/>
                <w:kern w:val="0"/>
                <w:sz w:val="18"/>
                <w:szCs w:val="18"/>
              </w:rPr>
            </w:pPr>
          </w:p>
        </w:tc>
        <w:tc>
          <w:tcPr>
            <w:tcW w:w="1369" w:type="dxa"/>
            <w:noWrap w:val="0"/>
            <w:vAlign w:val="center"/>
          </w:tcPr>
          <w:p w14:paraId="40E840C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5428B69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18C85A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noWrap w:val="0"/>
            <w:vAlign w:val="center"/>
          </w:tcPr>
          <w:p w14:paraId="19C98BC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2000≤Y＜40000</w:t>
            </w:r>
          </w:p>
        </w:tc>
        <w:tc>
          <w:tcPr>
            <w:tcW w:w="1426" w:type="dxa"/>
            <w:noWrap w:val="0"/>
            <w:vAlign w:val="center"/>
          </w:tcPr>
          <w:p w14:paraId="389F24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300≤Y＜2000</w:t>
            </w:r>
          </w:p>
        </w:tc>
        <w:tc>
          <w:tcPr>
            <w:tcW w:w="992" w:type="dxa"/>
            <w:noWrap w:val="0"/>
            <w:vAlign w:val="center"/>
          </w:tcPr>
          <w:p w14:paraId="19AF70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107F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C5635D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建筑业</w:t>
            </w:r>
          </w:p>
        </w:tc>
        <w:tc>
          <w:tcPr>
            <w:tcW w:w="1369" w:type="dxa"/>
            <w:noWrap w:val="0"/>
            <w:vAlign w:val="center"/>
          </w:tcPr>
          <w:p w14:paraId="588576F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085F87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68E51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Y≥80000</w:t>
            </w:r>
          </w:p>
        </w:tc>
        <w:tc>
          <w:tcPr>
            <w:tcW w:w="1701" w:type="dxa"/>
            <w:noWrap w:val="0"/>
            <w:vAlign w:val="center"/>
          </w:tcPr>
          <w:p w14:paraId="1B49C6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6000≤Y＜80000</w:t>
            </w:r>
          </w:p>
        </w:tc>
        <w:tc>
          <w:tcPr>
            <w:tcW w:w="1426" w:type="dxa"/>
            <w:noWrap w:val="0"/>
            <w:vAlign w:val="center"/>
          </w:tcPr>
          <w:p w14:paraId="5C89F2E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300≤Y＜6000</w:t>
            </w:r>
          </w:p>
        </w:tc>
        <w:tc>
          <w:tcPr>
            <w:tcW w:w="992" w:type="dxa"/>
            <w:noWrap w:val="0"/>
            <w:vAlign w:val="center"/>
          </w:tcPr>
          <w:p w14:paraId="15C724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w:t>
            </w:r>
          </w:p>
        </w:tc>
      </w:tr>
      <w:tr w14:paraId="5689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21958B">
            <w:pPr>
              <w:widowControl/>
              <w:jc w:val="left"/>
              <w:rPr>
                <w:rFonts w:ascii="宋体" w:hAnsi="宋体" w:eastAsia="宋体" w:cs="宋体"/>
                <w:color w:val="000000"/>
                <w:kern w:val="0"/>
                <w:sz w:val="18"/>
                <w:szCs w:val="18"/>
              </w:rPr>
            </w:pPr>
          </w:p>
        </w:tc>
        <w:tc>
          <w:tcPr>
            <w:tcW w:w="1369" w:type="dxa"/>
            <w:noWrap w:val="0"/>
            <w:vAlign w:val="center"/>
          </w:tcPr>
          <w:p w14:paraId="7D77A5C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0C4735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E9086F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Z≥80000</w:t>
            </w:r>
          </w:p>
        </w:tc>
        <w:tc>
          <w:tcPr>
            <w:tcW w:w="1701" w:type="dxa"/>
            <w:noWrap w:val="0"/>
            <w:vAlign w:val="center"/>
          </w:tcPr>
          <w:p w14:paraId="3BC3B4F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5000≤Z＜80000</w:t>
            </w:r>
          </w:p>
        </w:tc>
        <w:tc>
          <w:tcPr>
            <w:tcW w:w="1426" w:type="dxa"/>
            <w:noWrap w:val="0"/>
            <w:vAlign w:val="center"/>
          </w:tcPr>
          <w:p w14:paraId="51F0F89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300≤Z＜5000</w:t>
            </w:r>
          </w:p>
        </w:tc>
        <w:tc>
          <w:tcPr>
            <w:tcW w:w="992" w:type="dxa"/>
            <w:noWrap w:val="0"/>
            <w:vAlign w:val="center"/>
          </w:tcPr>
          <w:p w14:paraId="7265554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Z＜300</w:t>
            </w:r>
          </w:p>
        </w:tc>
      </w:tr>
      <w:tr w14:paraId="277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C54802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批发业</w:t>
            </w:r>
          </w:p>
        </w:tc>
        <w:tc>
          <w:tcPr>
            <w:tcW w:w="1369" w:type="dxa"/>
            <w:noWrap w:val="0"/>
            <w:vAlign w:val="center"/>
          </w:tcPr>
          <w:p w14:paraId="3FE7FE3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25683B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16751BE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noWrap w:val="0"/>
            <w:vAlign w:val="center"/>
          </w:tcPr>
          <w:p w14:paraId="6ACA7FF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20≤X＜200</w:t>
            </w:r>
          </w:p>
        </w:tc>
        <w:tc>
          <w:tcPr>
            <w:tcW w:w="1426" w:type="dxa"/>
            <w:noWrap w:val="0"/>
            <w:vAlign w:val="center"/>
          </w:tcPr>
          <w:p w14:paraId="794704E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5≤X＜20</w:t>
            </w:r>
          </w:p>
        </w:tc>
        <w:tc>
          <w:tcPr>
            <w:tcW w:w="992" w:type="dxa"/>
            <w:noWrap w:val="0"/>
            <w:vAlign w:val="center"/>
          </w:tcPr>
          <w:p w14:paraId="2CCD23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X＜5</w:t>
            </w:r>
          </w:p>
        </w:tc>
      </w:tr>
      <w:tr w14:paraId="76DB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BADE025">
            <w:pPr>
              <w:widowControl/>
              <w:jc w:val="left"/>
              <w:rPr>
                <w:rFonts w:ascii="宋体" w:hAnsi="宋体" w:eastAsia="宋体" w:cs="宋体"/>
                <w:color w:val="000000"/>
                <w:kern w:val="0"/>
                <w:sz w:val="18"/>
                <w:szCs w:val="18"/>
              </w:rPr>
            </w:pPr>
          </w:p>
        </w:tc>
        <w:tc>
          <w:tcPr>
            <w:tcW w:w="1369" w:type="dxa"/>
            <w:noWrap w:val="0"/>
            <w:vAlign w:val="center"/>
          </w:tcPr>
          <w:p w14:paraId="394DA07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312815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F5C046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Y≥40000</w:t>
            </w:r>
          </w:p>
        </w:tc>
        <w:tc>
          <w:tcPr>
            <w:tcW w:w="1701" w:type="dxa"/>
            <w:noWrap w:val="0"/>
            <w:vAlign w:val="center"/>
          </w:tcPr>
          <w:p w14:paraId="6CA4C3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5000≤Y＜40000</w:t>
            </w:r>
          </w:p>
        </w:tc>
        <w:tc>
          <w:tcPr>
            <w:tcW w:w="1426" w:type="dxa"/>
            <w:noWrap w:val="0"/>
            <w:vAlign w:val="center"/>
          </w:tcPr>
          <w:p w14:paraId="2DE4B55C">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1000≤Y＜5000</w:t>
            </w:r>
          </w:p>
        </w:tc>
        <w:tc>
          <w:tcPr>
            <w:tcW w:w="992" w:type="dxa"/>
            <w:noWrap w:val="0"/>
            <w:vAlign w:val="center"/>
          </w:tcPr>
          <w:p w14:paraId="68F1CC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w:t>
            </w:r>
          </w:p>
        </w:tc>
      </w:tr>
      <w:tr w14:paraId="3B3B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34359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零售业</w:t>
            </w:r>
          </w:p>
        </w:tc>
        <w:tc>
          <w:tcPr>
            <w:tcW w:w="1369" w:type="dxa"/>
            <w:noWrap w:val="0"/>
            <w:vAlign w:val="center"/>
          </w:tcPr>
          <w:p w14:paraId="3140783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CCC90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1B0BC60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65607E1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50≤X＜300</w:t>
            </w:r>
          </w:p>
        </w:tc>
        <w:tc>
          <w:tcPr>
            <w:tcW w:w="1426" w:type="dxa"/>
            <w:noWrap w:val="0"/>
            <w:vAlign w:val="center"/>
          </w:tcPr>
          <w:p w14:paraId="54672689">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10≤X＜50 </w:t>
            </w:r>
          </w:p>
        </w:tc>
        <w:tc>
          <w:tcPr>
            <w:tcW w:w="992" w:type="dxa"/>
            <w:noWrap w:val="0"/>
            <w:vAlign w:val="center"/>
          </w:tcPr>
          <w:p w14:paraId="41BD93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2889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4357083">
            <w:pPr>
              <w:widowControl/>
              <w:jc w:val="left"/>
              <w:rPr>
                <w:rFonts w:ascii="宋体" w:hAnsi="宋体" w:eastAsia="宋体" w:cs="宋体"/>
                <w:color w:val="000000"/>
                <w:kern w:val="0"/>
                <w:sz w:val="18"/>
                <w:szCs w:val="18"/>
              </w:rPr>
            </w:pPr>
          </w:p>
        </w:tc>
        <w:tc>
          <w:tcPr>
            <w:tcW w:w="1369" w:type="dxa"/>
            <w:noWrap w:val="0"/>
            <w:vAlign w:val="center"/>
          </w:tcPr>
          <w:p w14:paraId="696D000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4649C8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5714DF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w:t>
            </w:r>
          </w:p>
        </w:tc>
        <w:tc>
          <w:tcPr>
            <w:tcW w:w="1701" w:type="dxa"/>
            <w:noWrap w:val="0"/>
            <w:vAlign w:val="center"/>
          </w:tcPr>
          <w:p w14:paraId="0276DE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500≤Y＜20000</w:t>
            </w:r>
          </w:p>
        </w:tc>
        <w:tc>
          <w:tcPr>
            <w:tcW w:w="1426" w:type="dxa"/>
            <w:noWrap w:val="0"/>
            <w:vAlign w:val="center"/>
          </w:tcPr>
          <w:p w14:paraId="2EAA4BA7">
            <w:pPr>
              <w:widowControl/>
              <w:ind w:left="-1" w:leftChars="-1" w:hanging="1"/>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100≤Y＜500 </w:t>
            </w:r>
          </w:p>
        </w:tc>
        <w:tc>
          <w:tcPr>
            <w:tcW w:w="992" w:type="dxa"/>
            <w:noWrap w:val="0"/>
            <w:vAlign w:val="center"/>
          </w:tcPr>
          <w:p w14:paraId="648753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0F61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D0F76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交通运输业 *</w:t>
            </w:r>
          </w:p>
        </w:tc>
        <w:tc>
          <w:tcPr>
            <w:tcW w:w="1369" w:type="dxa"/>
            <w:noWrap w:val="0"/>
            <w:vAlign w:val="center"/>
          </w:tcPr>
          <w:p w14:paraId="799C097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61CAFD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3005002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185281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2BF3249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215E35C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5574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95BA05">
            <w:pPr>
              <w:widowControl/>
              <w:jc w:val="left"/>
              <w:rPr>
                <w:rFonts w:ascii="宋体" w:hAnsi="宋体" w:eastAsia="宋体" w:cs="宋体"/>
                <w:color w:val="000000"/>
                <w:kern w:val="0"/>
                <w:sz w:val="18"/>
                <w:szCs w:val="18"/>
              </w:rPr>
            </w:pPr>
          </w:p>
        </w:tc>
        <w:tc>
          <w:tcPr>
            <w:tcW w:w="1369" w:type="dxa"/>
            <w:noWrap w:val="0"/>
            <w:vAlign w:val="center"/>
          </w:tcPr>
          <w:p w14:paraId="4550501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1F077DC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4F4AE1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18B061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3000≤Y＜30000</w:t>
            </w:r>
          </w:p>
        </w:tc>
        <w:tc>
          <w:tcPr>
            <w:tcW w:w="1426" w:type="dxa"/>
            <w:noWrap w:val="0"/>
            <w:vAlign w:val="center"/>
          </w:tcPr>
          <w:p w14:paraId="5751A5C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200≤Y＜3000</w:t>
            </w:r>
          </w:p>
        </w:tc>
        <w:tc>
          <w:tcPr>
            <w:tcW w:w="992" w:type="dxa"/>
            <w:noWrap w:val="0"/>
            <w:vAlign w:val="center"/>
          </w:tcPr>
          <w:p w14:paraId="487014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w:t>
            </w:r>
          </w:p>
        </w:tc>
      </w:tr>
      <w:tr w14:paraId="3254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AE296E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仓储业*</w:t>
            </w:r>
          </w:p>
        </w:tc>
        <w:tc>
          <w:tcPr>
            <w:tcW w:w="1369" w:type="dxa"/>
            <w:noWrap w:val="0"/>
            <w:vAlign w:val="center"/>
          </w:tcPr>
          <w:p w14:paraId="67FCCF2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72496D5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38D72F5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w:t>
            </w:r>
          </w:p>
        </w:tc>
        <w:tc>
          <w:tcPr>
            <w:tcW w:w="1701" w:type="dxa"/>
            <w:noWrap w:val="0"/>
            <w:vAlign w:val="center"/>
          </w:tcPr>
          <w:p w14:paraId="4BE1B294">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100≤X＜200</w:t>
            </w:r>
          </w:p>
        </w:tc>
        <w:tc>
          <w:tcPr>
            <w:tcW w:w="1426" w:type="dxa"/>
            <w:noWrap w:val="0"/>
            <w:vAlign w:val="center"/>
          </w:tcPr>
          <w:p w14:paraId="188237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20≤X＜100</w:t>
            </w:r>
          </w:p>
        </w:tc>
        <w:tc>
          <w:tcPr>
            <w:tcW w:w="992" w:type="dxa"/>
            <w:noWrap w:val="0"/>
            <w:vAlign w:val="center"/>
          </w:tcPr>
          <w:p w14:paraId="30E649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0F18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B254775">
            <w:pPr>
              <w:widowControl/>
              <w:jc w:val="left"/>
              <w:rPr>
                <w:rFonts w:ascii="宋体" w:hAnsi="宋体" w:eastAsia="宋体" w:cs="宋体"/>
                <w:color w:val="000000"/>
                <w:kern w:val="0"/>
                <w:sz w:val="18"/>
                <w:szCs w:val="18"/>
              </w:rPr>
            </w:pPr>
          </w:p>
        </w:tc>
        <w:tc>
          <w:tcPr>
            <w:tcW w:w="1369" w:type="dxa"/>
            <w:noWrap w:val="0"/>
            <w:vAlign w:val="center"/>
          </w:tcPr>
          <w:p w14:paraId="06B0F27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54DFABE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21BDFCD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01557B8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1000≤Y＜30000</w:t>
            </w:r>
          </w:p>
        </w:tc>
        <w:tc>
          <w:tcPr>
            <w:tcW w:w="1426" w:type="dxa"/>
            <w:noWrap w:val="0"/>
            <w:vAlign w:val="center"/>
          </w:tcPr>
          <w:p w14:paraId="69E23E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0EFAD53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0F6B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50F3C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邮政业</w:t>
            </w:r>
          </w:p>
        </w:tc>
        <w:tc>
          <w:tcPr>
            <w:tcW w:w="1369" w:type="dxa"/>
            <w:noWrap w:val="0"/>
            <w:vAlign w:val="center"/>
          </w:tcPr>
          <w:p w14:paraId="175ADA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430B62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008D98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5C4E89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7460677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20≤X＜300</w:t>
            </w:r>
          </w:p>
        </w:tc>
        <w:tc>
          <w:tcPr>
            <w:tcW w:w="992" w:type="dxa"/>
            <w:noWrap w:val="0"/>
            <w:vAlign w:val="center"/>
          </w:tcPr>
          <w:p w14:paraId="78862B8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w:t>
            </w:r>
          </w:p>
        </w:tc>
      </w:tr>
      <w:tr w14:paraId="502D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3273FEE">
            <w:pPr>
              <w:widowControl/>
              <w:jc w:val="left"/>
              <w:rPr>
                <w:rFonts w:ascii="宋体" w:hAnsi="宋体" w:eastAsia="宋体" w:cs="宋体"/>
                <w:color w:val="000000"/>
                <w:kern w:val="0"/>
                <w:sz w:val="18"/>
                <w:szCs w:val="18"/>
              </w:rPr>
            </w:pPr>
          </w:p>
        </w:tc>
        <w:tc>
          <w:tcPr>
            <w:tcW w:w="1369" w:type="dxa"/>
            <w:noWrap w:val="0"/>
            <w:vAlign w:val="center"/>
          </w:tcPr>
          <w:p w14:paraId="2BEC831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19A232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7240C8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Y≥30000</w:t>
            </w:r>
          </w:p>
        </w:tc>
        <w:tc>
          <w:tcPr>
            <w:tcW w:w="1701" w:type="dxa"/>
            <w:noWrap w:val="0"/>
            <w:vAlign w:val="center"/>
          </w:tcPr>
          <w:p w14:paraId="33331B0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2000≤Y＜30000</w:t>
            </w:r>
          </w:p>
        </w:tc>
        <w:tc>
          <w:tcPr>
            <w:tcW w:w="1426" w:type="dxa"/>
            <w:noWrap w:val="0"/>
            <w:vAlign w:val="center"/>
          </w:tcPr>
          <w:p w14:paraId="6655BAC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53D02F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3A08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3EDD53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住宿业</w:t>
            </w:r>
          </w:p>
        </w:tc>
        <w:tc>
          <w:tcPr>
            <w:tcW w:w="1369" w:type="dxa"/>
            <w:noWrap w:val="0"/>
            <w:vAlign w:val="center"/>
          </w:tcPr>
          <w:p w14:paraId="643D51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7E84EDA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92A573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3EE84948">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3FA05D3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0F3E30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324FD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7B65FA5">
            <w:pPr>
              <w:widowControl/>
              <w:jc w:val="left"/>
              <w:rPr>
                <w:rFonts w:ascii="宋体" w:hAnsi="宋体" w:eastAsia="宋体" w:cs="宋体"/>
                <w:color w:val="000000"/>
                <w:kern w:val="0"/>
                <w:sz w:val="18"/>
                <w:szCs w:val="18"/>
              </w:rPr>
            </w:pPr>
          </w:p>
        </w:tc>
        <w:tc>
          <w:tcPr>
            <w:tcW w:w="1369" w:type="dxa"/>
            <w:noWrap w:val="0"/>
            <w:vAlign w:val="center"/>
          </w:tcPr>
          <w:p w14:paraId="6ADE3AE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4F3C0D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438021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515AF9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noWrap w:val="0"/>
            <w:vAlign w:val="center"/>
          </w:tcPr>
          <w:p w14:paraId="47EB6DE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685585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4B56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60730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餐饮业</w:t>
            </w:r>
          </w:p>
        </w:tc>
        <w:tc>
          <w:tcPr>
            <w:tcW w:w="1369" w:type="dxa"/>
            <w:noWrap w:val="0"/>
            <w:vAlign w:val="center"/>
          </w:tcPr>
          <w:p w14:paraId="428BD4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3A5823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D08866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0969F570">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4228602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01B489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5B18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4FA772">
            <w:pPr>
              <w:widowControl/>
              <w:jc w:val="left"/>
              <w:rPr>
                <w:rFonts w:ascii="宋体" w:hAnsi="宋体" w:eastAsia="宋体" w:cs="宋体"/>
                <w:color w:val="000000"/>
                <w:kern w:val="0"/>
                <w:sz w:val="18"/>
                <w:szCs w:val="18"/>
              </w:rPr>
            </w:pPr>
          </w:p>
        </w:tc>
        <w:tc>
          <w:tcPr>
            <w:tcW w:w="1369" w:type="dxa"/>
            <w:noWrap w:val="0"/>
            <w:vAlign w:val="center"/>
          </w:tcPr>
          <w:p w14:paraId="4E683A0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0DBDD65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2102232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4C96837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2000≤Y＜10000</w:t>
            </w:r>
          </w:p>
        </w:tc>
        <w:tc>
          <w:tcPr>
            <w:tcW w:w="1426" w:type="dxa"/>
            <w:noWrap w:val="0"/>
            <w:vAlign w:val="center"/>
          </w:tcPr>
          <w:p w14:paraId="7B901E4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100≤Y＜2000</w:t>
            </w:r>
          </w:p>
        </w:tc>
        <w:tc>
          <w:tcPr>
            <w:tcW w:w="992" w:type="dxa"/>
            <w:noWrap w:val="0"/>
            <w:vAlign w:val="center"/>
          </w:tcPr>
          <w:p w14:paraId="74C7F3F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2761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20FE6D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信息传输业 *</w:t>
            </w:r>
          </w:p>
        </w:tc>
        <w:tc>
          <w:tcPr>
            <w:tcW w:w="1369" w:type="dxa"/>
            <w:noWrap w:val="0"/>
            <w:vAlign w:val="center"/>
          </w:tcPr>
          <w:p w14:paraId="41CA498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25C5CA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722C9A0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X≥2000</w:t>
            </w:r>
          </w:p>
        </w:tc>
        <w:tc>
          <w:tcPr>
            <w:tcW w:w="1701" w:type="dxa"/>
            <w:noWrap w:val="0"/>
            <w:vAlign w:val="center"/>
          </w:tcPr>
          <w:p w14:paraId="4D418F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100≤X＜2000</w:t>
            </w:r>
          </w:p>
        </w:tc>
        <w:tc>
          <w:tcPr>
            <w:tcW w:w="1426" w:type="dxa"/>
            <w:noWrap w:val="0"/>
            <w:vAlign w:val="center"/>
          </w:tcPr>
          <w:p w14:paraId="151C024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08BAC46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122D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4226E9D">
            <w:pPr>
              <w:widowControl/>
              <w:jc w:val="left"/>
              <w:rPr>
                <w:rFonts w:ascii="宋体" w:hAnsi="宋体" w:eastAsia="宋体" w:cs="宋体"/>
                <w:color w:val="000000"/>
                <w:kern w:val="0"/>
                <w:sz w:val="18"/>
                <w:szCs w:val="18"/>
              </w:rPr>
            </w:pPr>
          </w:p>
        </w:tc>
        <w:tc>
          <w:tcPr>
            <w:tcW w:w="1369" w:type="dxa"/>
            <w:noWrap w:val="0"/>
            <w:vAlign w:val="center"/>
          </w:tcPr>
          <w:p w14:paraId="2B1F656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27B720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59D8C0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Y≥100000</w:t>
            </w:r>
          </w:p>
        </w:tc>
        <w:tc>
          <w:tcPr>
            <w:tcW w:w="1701" w:type="dxa"/>
            <w:noWrap w:val="0"/>
            <w:vAlign w:val="center"/>
          </w:tcPr>
          <w:p w14:paraId="214509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1000≤Y＜100000</w:t>
            </w:r>
          </w:p>
        </w:tc>
        <w:tc>
          <w:tcPr>
            <w:tcW w:w="1426" w:type="dxa"/>
            <w:noWrap w:val="0"/>
            <w:vAlign w:val="center"/>
          </w:tcPr>
          <w:p w14:paraId="1C47087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4D47EB2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8AE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5A8965E">
            <w:pPr>
              <w:widowControl/>
              <w:spacing w:line="240" w:lineRule="exact"/>
              <w:jc w:val="left"/>
              <w:rPr>
                <w:rFonts w:ascii="宋体" w:hAnsi="宋体" w:eastAsia="宋体" w:cs="宋体"/>
                <w:color w:val="000000"/>
                <w:spacing w:val="-12"/>
                <w:kern w:val="0"/>
                <w:sz w:val="18"/>
                <w:szCs w:val="18"/>
              </w:rPr>
            </w:pPr>
            <w:r>
              <w:rPr>
                <w:rFonts w:hint="eastAsia" w:ascii="宋体" w:hAnsi="宋体" w:eastAsia="宋体" w:cs="宋体"/>
                <w:color w:val="000000"/>
                <w:spacing w:val="-12"/>
                <w:kern w:val="0"/>
                <w:sz w:val="18"/>
                <w:szCs w:val="18"/>
              </w:rPr>
              <w:t>软件和信息技术服</w:t>
            </w:r>
            <w:r>
              <w:rPr>
                <w:rFonts w:hint="eastAsia" w:ascii="宋体" w:hAnsi="宋体" w:eastAsia="宋体" w:cs="宋体"/>
                <w:color w:val="000000"/>
                <w:kern w:val="0"/>
                <w:sz w:val="18"/>
                <w:szCs w:val="18"/>
              </w:rPr>
              <w:t>务业</w:t>
            </w:r>
          </w:p>
        </w:tc>
        <w:tc>
          <w:tcPr>
            <w:tcW w:w="1369" w:type="dxa"/>
            <w:noWrap w:val="0"/>
            <w:vAlign w:val="center"/>
          </w:tcPr>
          <w:p w14:paraId="5028AD8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031E40E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3D1117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2CFF8421">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1C9EBCA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31781DB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7141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8A07B1">
            <w:pPr>
              <w:widowControl/>
              <w:jc w:val="left"/>
              <w:rPr>
                <w:rFonts w:ascii="宋体" w:hAnsi="宋体" w:eastAsia="宋体" w:cs="宋体"/>
                <w:color w:val="000000"/>
                <w:spacing w:val="-12"/>
                <w:kern w:val="0"/>
                <w:sz w:val="18"/>
                <w:szCs w:val="18"/>
              </w:rPr>
            </w:pPr>
          </w:p>
        </w:tc>
        <w:tc>
          <w:tcPr>
            <w:tcW w:w="1369" w:type="dxa"/>
            <w:noWrap w:val="0"/>
            <w:vAlign w:val="center"/>
          </w:tcPr>
          <w:p w14:paraId="64938CD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342FCCE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20395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Y≥10000</w:t>
            </w:r>
          </w:p>
        </w:tc>
        <w:tc>
          <w:tcPr>
            <w:tcW w:w="1701" w:type="dxa"/>
            <w:noWrap w:val="0"/>
            <w:vAlign w:val="center"/>
          </w:tcPr>
          <w:p w14:paraId="0A85271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1000≤Y＜10000</w:t>
            </w:r>
          </w:p>
        </w:tc>
        <w:tc>
          <w:tcPr>
            <w:tcW w:w="1426" w:type="dxa"/>
            <w:noWrap w:val="0"/>
            <w:vAlign w:val="center"/>
          </w:tcPr>
          <w:p w14:paraId="2A16443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50≤Y＜1000</w:t>
            </w:r>
          </w:p>
        </w:tc>
        <w:tc>
          <w:tcPr>
            <w:tcW w:w="992" w:type="dxa"/>
            <w:noWrap w:val="0"/>
            <w:vAlign w:val="center"/>
          </w:tcPr>
          <w:p w14:paraId="0612CA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w:t>
            </w:r>
          </w:p>
        </w:tc>
      </w:tr>
      <w:tr w14:paraId="2E4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C229F6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房地产开发经营</w:t>
            </w:r>
          </w:p>
        </w:tc>
        <w:tc>
          <w:tcPr>
            <w:tcW w:w="1369" w:type="dxa"/>
            <w:noWrap w:val="0"/>
            <w:vAlign w:val="center"/>
          </w:tcPr>
          <w:p w14:paraId="6C578F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4FA8C2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15AD4E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Y≥200000</w:t>
            </w:r>
          </w:p>
        </w:tc>
        <w:tc>
          <w:tcPr>
            <w:tcW w:w="1701" w:type="dxa"/>
            <w:noWrap w:val="0"/>
            <w:vAlign w:val="center"/>
          </w:tcPr>
          <w:p w14:paraId="1A1A724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1000≤Y＜200000</w:t>
            </w:r>
          </w:p>
        </w:tc>
        <w:tc>
          <w:tcPr>
            <w:tcW w:w="1426" w:type="dxa"/>
            <w:noWrap w:val="0"/>
            <w:vAlign w:val="center"/>
          </w:tcPr>
          <w:p w14:paraId="2DAFC1E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100≤Y＜1000</w:t>
            </w:r>
          </w:p>
        </w:tc>
        <w:tc>
          <w:tcPr>
            <w:tcW w:w="992" w:type="dxa"/>
            <w:noWrap w:val="0"/>
            <w:vAlign w:val="center"/>
          </w:tcPr>
          <w:p w14:paraId="1FAA793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Y＜100</w:t>
            </w:r>
          </w:p>
        </w:tc>
      </w:tr>
      <w:tr w14:paraId="6C13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CE39BA">
            <w:pPr>
              <w:widowControl/>
              <w:jc w:val="left"/>
              <w:rPr>
                <w:rFonts w:ascii="宋体" w:hAnsi="宋体" w:eastAsia="宋体" w:cs="宋体"/>
                <w:color w:val="000000"/>
                <w:kern w:val="0"/>
                <w:sz w:val="18"/>
                <w:szCs w:val="18"/>
              </w:rPr>
            </w:pPr>
          </w:p>
        </w:tc>
        <w:tc>
          <w:tcPr>
            <w:tcW w:w="1369" w:type="dxa"/>
            <w:noWrap w:val="0"/>
            <w:vAlign w:val="center"/>
          </w:tcPr>
          <w:p w14:paraId="46C2F60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53A4ACC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0E455F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Z≥10000</w:t>
            </w:r>
          </w:p>
        </w:tc>
        <w:tc>
          <w:tcPr>
            <w:tcW w:w="1701" w:type="dxa"/>
            <w:noWrap w:val="0"/>
            <w:vAlign w:val="center"/>
          </w:tcPr>
          <w:p w14:paraId="7ABEC9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5000≤Z＜10000</w:t>
            </w:r>
          </w:p>
        </w:tc>
        <w:tc>
          <w:tcPr>
            <w:tcW w:w="1426" w:type="dxa"/>
            <w:noWrap w:val="0"/>
            <w:vAlign w:val="center"/>
          </w:tcPr>
          <w:p w14:paraId="0DB7A2D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2000≤Z＜5000   </w:t>
            </w:r>
          </w:p>
        </w:tc>
        <w:tc>
          <w:tcPr>
            <w:tcW w:w="992" w:type="dxa"/>
            <w:noWrap w:val="0"/>
            <w:vAlign w:val="center"/>
          </w:tcPr>
          <w:p w14:paraId="4056FE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Z＜2000</w:t>
            </w:r>
          </w:p>
        </w:tc>
      </w:tr>
      <w:tr w14:paraId="07B7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23C47B1">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物业管理</w:t>
            </w:r>
          </w:p>
        </w:tc>
        <w:tc>
          <w:tcPr>
            <w:tcW w:w="1369" w:type="dxa"/>
            <w:noWrap w:val="0"/>
            <w:vAlign w:val="center"/>
          </w:tcPr>
          <w:p w14:paraId="4EC7314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30D72D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51A8219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X≥1000</w:t>
            </w:r>
          </w:p>
        </w:tc>
        <w:tc>
          <w:tcPr>
            <w:tcW w:w="1701" w:type="dxa"/>
            <w:noWrap w:val="0"/>
            <w:vAlign w:val="center"/>
          </w:tcPr>
          <w:p w14:paraId="013B69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300≤X＜1000</w:t>
            </w:r>
          </w:p>
        </w:tc>
        <w:tc>
          <w:tcPr>
            <w:tcW w:w="1426" w:type="dxa"/>
            <w:noWrap w:val="0"/>
            <w:vAlign w:val="center"/>
          </w:tcPr>
          <w:p w14:paraId="76AF22C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992" w:type="dxa"/>
            <w:noWrap w:val="0"/>
            <w:vAlign w:val="center"/>
          </w:tcPr>
          <w:p w14:paraId="0A8524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X＜100</w:t>
            </w:r>
          </w:p>
        </w:tc>
      </w:tr>
      <w:tr w14:paraId="76B6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592EA23">
            <w:pPr>
              <w:widowControl/>
              <w:jc w:val="left"/>
              <w:rPr>
                <w:rFonts w:ascii="宋体" w:hAnsi="宋体" w:eastAsia="宋体" w:cs="宋体"/>
                <w:color w:val="000000"/>
                <w:kern w:val="0"/>
                <w:sz w:val="18"/>
                <w:szCs w:val="18"/>
              </w:rPr>
            </w:pPr>
          </w:p>
        </w:tc>
        <w:tc>
          <w:tcPr>
            <w:tcW w:w="1369" w:type="dxa"/>
            <w:noWrap w:val="0"/>
            <w:vAlign w:val="center"/>
          </w:tcPr>
          <w:p w14:paraId="7A4135B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营业收入(Y)</w:t>
            </w:r>
          </w:p>
        </w:tc>
        <w:tc>
          <w:tcPr>
            <w:tcW w:w="709" w:type="dxa"/>
            <w:noWrap w:val="0"/>
            <w:vAlign w:val="center"/>
          </w:tcPr>
          <w:p w14:paraId="6071C66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4B82407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Y≥5000</w:t>
            </w:r>
          </w:p>
        </w:tc>
        <w:tc>
          <w:tcPr>
            <w:tcW w:w="1701" w:type="dxa"/>
            <w:noWrap w:val="0"/>
            <w:vAlign w:val="center"/>
          </w:tcPr>
          <w:p w14:paraId="0127E940">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1000≤Y＜5000 </w:t>
            </w:r>
          </w:p>
        </w:tc>
        <w:tc>
          <w:tcPr>
            <w:tcW w:w="1426" w:type="dxa"/>
            <w:noWrap w:val="0"/>
            <w:vAlign w:val="center"/>
          </w:tcPr>
          <w:p w14:paraId="744FED5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500≤Y＜1000</w:t>
            </w:r>
          </w:p>
        </w:tc>
        <w:tc>
          <w:tcPr>
            <w:tcW w:w="992" w:type="dxa"/>
            <w:noWrap w:val="0"/>
            <w:vAlign w:val="center"/>
          </w:tcPr>
          <w:p w14:paraId="2512164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Y＜500</w:t>
            </w:r>
          </w:p>
        </w:tc>
      </w:tr>
      <w:tr w14:paraId="79D7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94A45D0">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租赁和商务服务业</w:t>
            </w:r>
          </w:p>
        </w:tc>
        <w:tc>
          <w:tcPr>
            <w:tcW w:w="1369" w:type="dxa"/>
            <w:noWrap w:val="0"/>
            <w:vAlign w:val="center"/>
          </w:tcPr>
          <w:p w14:paraId="5E9B48D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7ADC138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790797B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7D10D962">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25B195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6C9B5CA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r w14:paraId="31F3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C9190B">
            <w:pPr>
              <w:widowControl/>
              <w:jc w:val="left"/>
              <w:rPr>
                <w:rFonts w:ascii="宋体" w:hAnsi="宋体" w:eastAsia="宋体" w:cs="宋体"/>
                <w:color w:val="000000"/>
                <w:kern w:val="0"/>
                <w:sz w:val="18"/>
                <w:szCs w:val="18"/>
              </w:rPr>
            </w:pPr>
          </w:p>
        </w:tc>
        <w:tc>
          <w:tcPr>
            <w:tcW w:w="1369" w:type="dxa"/>
            <w:noWrap w:val="0"/>
            <w:vAlign w:val="center"/>
          </w:tcPr>
          <w:p w14:paraId="4DF12A0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资产总额(Z)</w:t>
            </w:r>
          </w:p>
        </w:tc>
        <w:tc>
          <w:tcPr>
            <w:tcW w:w="709" w:type="dxa"/>
            <w:noWrap w:val="0"/>
            <w:vAlign w:val="center"/>
          </w:tcPr>
          <w:p w14:paraId="3A3EA24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1125" w:type="dxa"/>
            <w:noWrap w:val="0"/>
            <w:vAlign w:val="center"/>
          </w:tcPr>
          <w:p w14:paraId="37C70E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Z≥120000</w:t>
            </w:r>
          </w:p>
        </w:tc>
        <w:tc>
          <w:tcPr>
            <w:tcW w:w="1701" w:type="dxa"/>
            <w:noWrap w:val="0"/>
            <w:vAlign w:val="center"/>
          </w:tcPr>
          <w:p w14:paraId="6DF219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8000≤Z＜120000</w:t>
            </w:r>
          </w:p>
        </w:tc>
        <w:tc>
          <w:tcPr>
            <w:tcW w:w="1426" w:type="dxa"/>
            <w:noWrap w:val="0"/>
            <w:vAlign w:val="center"/>
          </w:tcPr>
          <w:p w14:paraId="6EC610B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100≤Z＜8000</w:t>
            </w:r>
          </w:p>
        </w:tc>
        <w:tc>
          <w:tcPr>
            <w:tcW w:w="992" w:type="dxa"/>
            <w:noWrap w:val="0"/>
            <w:vAlign w:val="center"/>
          </w:tcPr>
          <w:p w14:paraId="6F91BA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Z＜100</w:t>
            </w:r>
          </w:p>
        </w:tc>
      </w:tr>
      <w:tr w14:paraId="3586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F25C03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其他未列明行业 *</w:t>
            </w:r>
          </w:p>
        </w:tc>
        <w:tc>
          <w:tcPr>
            <w:tcW w:w="1369" w:type="dxa"/>
            <w:noWrap w:val="0"/>
            <w:vAlign w:val="center"/>
          </w:tcPr>
          <w:p w14:paraId="6482CC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从业人员(X)</w:t>
            </w:r>
          </w:p>
        </w:tc>
        <w:tc>
          <w:tcPr>
            <w:tcW w:w="709" w:type="dxa"/>
            <w:noWrap w:val="0"/>
            <w:vAlign w:val="center"/>
          </w:tcPr>
          <w:p w14:paraId="17AEDB6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w:t>
            </w:r>
          </w:p>
        </w:tc>
        <w:tc>
          <w:tcPr>
            <w:tcW w:w="1125" w:type="dxa"/>
            <w:noWrap w:val="0"/>
            <w:vAlign w:val="center"/>
          </w:tcPr>
          <w:p w14:paraId="031DE0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X≥300</w:t>
            </w:r>
          </w:p>
        </w:tc>
        <w:tc>
          <w:tcPr>
            <w:tcW w:w="1701" w:type="dxa"/>
            <w:noWrap w:val="0"/>
            <w:vAlign w:val="center"/>
          </w:tcPr>
          <w:p w14:paraId="74B1569E">
            <w:pPr>
              <w:widowControl/>
              <w:ind w:left="1" w:leftChars="-51" w:hanging="108" w:hangingChars="6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100≤X＜300 </w:t>
            </w:r>
          </w:p>
        </w:tc>
        <w:tc>
          <w:tcPr>
            <w:tcW w:w="1426" w:type="dxa"/>
            <w:noWrap w:val="0"/>
            <w:vAlign w:val="center"/>
          </w:tcPr>
          <w:p w14:paraId="4E921B9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10≤X＜100</w:t>
            </w:r>
          </w:p>
        </w:tc>
        <w:tc>
          <w:tcPr>
            <w:tcW w:w="992" w:type="dxa"/>
            <w:noWrap w:val="0"/>
            <w:vAlign w:val="center"/>
          </w:tcPr>
          <w:p w14:paraId="4D9CD71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X＜10</w:t>
            </w:r>
          </w:p>
        </w:tc>
      </w:tr>
    </w:tbl>
    <w:p w14:paraId="755A0291">
      <w:pPr>
        <w:widowControl/>
        <w:spacing w:line="540" w:lineRule="exact"/>
        <w:ind w:firstLine="256" w:firstLineChars="100"/>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56923BC4">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1.大型、中型和小型企业须同时满足所列指标的下限，否则下划一档；微型企业只须满足所列指标中的一项即可。</w:t>
      </w:r>
    </w:p>
    <w:p w14:paraId="055E5034">
      <w:pPr>
        <w:spacing w:line="540" w:lineRule="exact"/>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4C2E41">
      <w:pPr>
        <w:spacing w:line="540" w:lineRule="exact"/>
        <w:ind w:firstLine="512" w:firstLineChars="200"/>
        <w:rPr>
          <w:rFonts w:hint="eastAsia"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7EE189B">
      <w:pPr>
        <w:jc w:val="center"/>
        <w:rPr>
          <w:rFonts w:hint="eastAsia"/>
          <w:sz w:val="24"/>
          <w:szCs w:val="28"/>
          <w:lang w:val="en-US" w:eastAsia="zh-CN"/>
        </w:rPr>
      </w:pPr>
    </w:p>
    <w:p w14:paraId="6B871927">
      <w:pPr>
        <w:jc w:val="center"/>
        <w:rPr>
          <w:rFonts w:hint="eastAsia"/>
          <w:sz w:val="24"/>
          <w:szCs w:val="28"/>
          <w:lang w:val="en-US" w:eastAsia="zh-CN"/>
        </w:rPr>
      </w:pPr>
    </w:p>
    <w:p w14:paraId="66965A7B">
      <w:pPr>
        <w:jc w:val="center"/>
        <w:rPr>
          <w:rFonts w:hint="eastAsia"/>
          <w:sz w:val="24"/>
          <w:szCs w:val="28"/>
          <w:lang w:val="en-US" w:eastAsia="zh-CN"/>
        </w:rPr>
      </w:pPr>
    </w:p>
    <w:p w14:paraId="776D782D">
      <w:pPr>
        <w:jc w:val="center"/>
        <w:rPr>
          <w:rFonts w:hint="eastAsia"/>
          <w:sz w:val="24"/>
          <w:szCs w:val="28"/>
          <w:lang w:val="en-US" w:eastAsia="zh-CN"/>
        </w:rPr>
      </w:pPr>
    </w:p>
    <w:p w14:paraId="760BD205">
      <w:pPr>
        <w:jc w:val="center"/>
        <w:rPr>
          <w:rFonts w:hint="eastAsia"/>
          <w:sz w:val="24"/>
          <w:szCs w:val="28"/>
          <w:lang w:val="en-US" w:eastAsia="zh-CN"/>
        </w:rPr>
      </w:pPr>
    </w:p>
    <w:p w14:paraId="25387985">
      <w:pPr>
        <w:jc w:val="center"/>
        <w:rPr>
          <w:rFonts w:hint="eastAsia"/>
          <w:sz w:val="24"/>
          <w:szCs w:val="28"/>
          <w:lang w:val="en-US" w:eastAsia="zh-CN"/>
        </w:rPr>
      </w:pPr>
    </w:p>
    <w:p w14:paraId="47E78028">
      <w:pPr>
        <w:jc w:val="center"/>
        <w:rPr>
          <w:rFonts w:hint="eastAsia"/>
          <w:sz w:val="24"/>
          <w:szCs w:val="28"/>
          <w:lang w:val="en-US" w:eastAsia="zh-CN"/>
        </w:rPr>
      </w:pPr>
    </w:p>
    <w:p w14:paraId="27E2FB55">
      <w:pPr>
        <w:jc w:val="center"/>
        <w:rPr>
          <w:rFonts w:hint="eastAsia"/>
          <w:sz w:val="24"/>
          <w:szCs w:val="28"/>
          <w:lang w:val="en-US" w:eastAsia="zh-CN"/>
        </w:rPr>
      </w:pPr>
    </w:p>
    <w:p w14:paraId="4E450172">
      <w:pPr>
        <w:jc w:val="center"/>
        <w:rPr>
          <w:rFonts w:hint="eastAsia"/>
          <w:sz w:val="24"/>
          <w:szCs w:val="28"/>
          <w:lang w:val="en-US" w:eastAsia="zh-CN"/>
        </w:rPr>
      </w:pPr>
    </w:p>
    <w:p w14:paraId="4B438EAA">
      <w:pPr>
        <w:jc w:val="center"/>
        <w:rPr>
          <w:rFonts w:hint="eastAsia"/>
          <w:sz w:val="24"/>
          <w:szCs w:val="28"/>
          <w:lang w:val="en-US" w:eastAsia="zh-CN"/>
        </w:rPr>
      </w:pPr>
    </w:p>
    <w:p w14:paraId="3D389E22">
      <w:pPr>
        <w:jc w:val="center"/>
        <w:rPr>
          <w:rFonts w:hint="eastAsia"/>
          <w:sz w:val="24"/>
          <w:szCs w:val="28"/>
          <w:lang w:val="en-US" w:eastAsia="zh-CN"/>
        </w:rPr>
      </w:pPr>
    </w:p>
    <w:p w14:paraId="64842049">
      <w:pPr>
        <w:jc w:val="center"/>
        <w:rPr>
          <w:rFonts w:hint="eastAsia"/>
          <w:sz w:val="24"/>
          <w:szCs w:val="28"/>
          <w:lang w:val="en-US" w:eastAsia="zh-CN"/>
        </w:rPr>
      </w:pPr>
    </w:p>
    <w:p w14:paraId="25003015">
      <w:pPr>
        <w:jc w:val="center"/>
        <w:rPr>
          <w:rFonts w:hint="eastAsia"/>
          <w:sz w:val="24"/>
          <w:szCs w:val="28"/>
          <w:lang w:val="en-US" w:eastAsia="zh-CN"/>
        </w:rPr>
      </w:pPr>
    </w:p>
    <w:p w14:paraId="65690B29">
      <w:pPr>
        <w:jc w:val="center"/>
        <w:rPr>
          <w:rFonts w:hint="eastAsia"/>
          <w:sz w:val="24"/>
          <w:szCs w:val="28"/>
          <w:lang w:val="en-US" w:eastAsia="zh-CN"/>
        </w:rPr>
      </w:pPr>
    </w:p>
    <w:p w14:paraId="6604CD57">
      <w:pPr>
        <w:jc w:val="center"/>
        <w:rPr>
          <w:rFonts w:hint="eastAsia"/>
          <w:sz w:val="24"/>
          <w:szCs w:val="28"/>
          <w:lang w:val="en-US" w:eastAsia="zh-CN"/>
        </w:rPr>
      </w:pPr>
    </w:p>
    <w:p w14:paraId="562B89CF">
      <w:pPr>
        <w:jc w:val="center"/>
        <w:rPr>
          <w:rFonts w:hint="eastAsia"/>
          <w:sz w:val="24"/>
          <w:szCs w:val="28"/>
          <w:lang w:val="en-US" w:eastAsia="zh-CN"/>
        </w:rPr>
      </w:pPr>
    </w:p>
    <w:p w14:paraId="558128CF">
      <w:pPr>
        <w:jc w:val="center"/>
        <w:rPr>
          <w:rFonts w:hint="eastAsia"/>
          <w:sz w:val="24"/>
          <w:szCs w:val="28"/>
          <w:lang w:val="en-US" w:eastAsia="zh-CN"/>
        </w:rPr>
      </w:pPr>
    </w:p>
    <w:p w14:paraId="7084C468">
      <w:pPr>
        <w:jc w:val="center"/>
        <w:rPr>
          <w:rFonts w:hint="eastAsia"/>
          <w:sz w:val="24"/>
          <w:szCs w:val="28"/>
          <w:lang w:val="en-US" w:eastAsia="zh-CN"/>
        </w:rPr>
      </w:pPr>
    </w:p>
    <w:p w14:paraId="5F8159F6">
      <w:pPr>
        <w:jc w:val="center"/>
        <w:rPr>
          <w:rFonts w:hint="eastAsia"/>
          <w:sz w:val="24"/>
          <w:szCs w:val="28"/>
          <w:lang w:val="en-US" w:eastAsia="zh-CN"/>
        </w:rPr>
      </w:pPr>
    </w:p>
    <w:p w14:paraId="377E3976">
      <w:pPr>
        <w:jc w:val="center"/>
        <w:rPr>
          <w:rFonts w:hint="eastAsia"/>
          <w:sz w:val="24"/>
          <w:szCs w:val="28"/>
          <w:lang w:val="en-US" w:eastAsia="zh-CN"/>
        </w:rPr>
      </w:pPr>
      <w:r>
        <w:rPr>
          <w:rFonts w:hint="eastAsia"/>
          <w:sz w:val="24"/>
          <w:szCs w:val="28"/>
          <w:lang w:val="en-US" w:eastAsia="zh-CN"/>
        </w:rPr>
        <w:t>残疾人福利性单位声明函</w:t>
      </w:r>
      <w:bookmarkEnd w:id="275"/>
      <w:r>
        <w:rPr>
          <w:rFonts w:hint="eastAsia"/>
          <w:sz w:val="24"/>
          <w:szCs w:val="28"/>
          <w:lang w:val="en-US" w:eastAsia="zh-CN"/>
        </w:rPr>
        <w:t>（若有）</w:t>
      </w:r>
    </w:p>
    <w:p w14:paraId="42EA8130">
      <w:pPr>
        <w:pStyle w:val="15"/>
        <w:rPr>
          <w:rFonts w:hint="eastAsia"/>
          <w:lang w:val="en-US" w:eastAsia="zh-CN"/>
        </w:rPr>
      </w:pPr>
    </w:p>
    <w:p w14:paraId="4EACB38B">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110EFFE7">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本单位在本次政府采购活动中提供的残疾人福利单位产品报价合计为人民币（大写）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圆整（￥：     ）。</w:t>
      </w:r>
    </w:p>
    <w:p w14:paraId="0B4063D3">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2FF578A4">
      <w:pPr>
        <w:spacing w:before="145" w:beforeLines="50" w:after="145" w:afterLines="50" w:line="300" w:lineRule="auto"/>
        <w:ind w:firstLine="480" w:firstLineChars="200"/>
        <w:rPr>
          <w:rFonts w:hint="eastAsia" w:ascii="宋体" w:hAnsi="宋体" w:eastAsia="宋体" w:cs="宋体"/>
          <w:color w:val="000000"/>
          <w:sz w:val="24"/>
          <w:highlight w:val="none"/>
        </w:rPr>
      </w:pPr>
    </w:p>
    <w:p w14:paraId="31EF3544">
      <w:pPr>
        <w:spacing w:before="145" w:beforeLines="50" w:after="145" w:afterLines="50" w:line="30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（备注：1、供应商如不提供此声明函，价格将不做相应扣除。2、中标供应商为残疾人福利单位的，此声明函将随中标结果同时公告，接受社会监督）</w:t>
      </w:r>
    </w:p>
    <w:p w14:paraId="4B0D12CB">
      <w:pPr>
        <w:spacing w:before="145" w:beforeLines="50" w:after="145" w:afterLines="50" w:line="300" w:lineRule="auto"/>
        <w:ind w:firstLine="624" w:firstLineChars="200"/>
        <w:rPr>
          <w:rFonts w:hint="eastAsia" w:ascii="宋体" w:hAnsi="宋体" w:eastAsia="宋体" w:cs="宋体"/>
          <w:color w:val="000000"/>
          <w:spacing w:val="6"/>
          <w:sz w:val="30"/>
          <w:szCs w:val="30"/>
          <w:highlight w:val="none"/>
        </w:rPr>
      </w:pPr>
    </w:p>
    <w:p w14:paraId="7D0957C3">
      <w:pPr>
        <w:spacing w:before="145" w:beforeLines="50" w:after="145" w:afterLines="50" w:line="300" w:lineRule="auto"/>
        <w:ind w:firstLine="468" w:firstLineChars="150"/>
        <w:jc w:val="right"/>
        <w:rPr>
          <w:rFonts w:hint="eastAsia" w:ascii="宋体" w:hAnsi="宋体" w:eastAsia="宋体" w:cs="宋体"/>
          <w:color w:val="000000"/>
          <w:sz w:val="24"/>
          <w:highlight w:val="none"/>
        </w:rPr>
      </w:pPr>
      <w:r>
        <w:rPr>
          <w:rFonts w:hint="eastAsia" w:ascii="宋体" w:hAnsi="宋体" w:eastAsia="宋体" w:cs="宋体"/>
          <w:color w:val="000000"/>
          <w:spacing w:val="6"/>
          <w:sz w:val="30"/>
          <w:szCs w:val="30"/>
          <w:highlight w:val="none"/>
        </w:rPr>
        <w:t xml:space="preserve">             </w:t>
      </w:r>
      <w:r>
        <w:rPr>
          <w:rFonts w:hint="eastAsia" w:ascii="宋体" w:hAnsi="宋体" w:eastAsia="宋体" w:cs="宋体"/>
          <w:color w:val="000000"/>
          <w:sz w:val="24"/>
          <w:highlight w:val="none"/>
        </w:rPr>
        <w:t xml:space="preserve">                  企业名称（</w:t>
      </w:r>
      <w:r>
        <w:rPr>
          <w:rFonts w:hint="eastAsia" w:ascii="宋体" w:hAnsi="宋体" w:eastAsia="宋体" w:cs="宋体"/>
          <w:color w:val="000000"/>
          <w:sz w:val="24"/>
          <w:highlight w:val="none"/>
          <w:lang w:eastAsia="zh-CN"/>
        </w:rPr>
        <w:t>公</w:t>
      </w:r>
      <w:r>
        <w:rPr>
          <w:rFonts w:hint="eastAsia" w:ascii="宋体" w:hAnsi="宋体" w:eastAsia="宋体" w:cs="宋体"/>
          <w:color w:val="000000"/>
          <w:sz w:val="24"/>
          <w:highlight w:val="none"/>
        </w:rPr>
        <w:t>章）：</w:t>
      </w:r>
    </w:p>
    <w:p w14:paraId="0EF0804C">
      <w:pPr>
        <w:spacing w:before="145" w:beforeLines="50" w:after="145" w:afterLines="50" w:line="300" w:lineRule="auto"/>
        <w:ind w:right="480" w:firstLine="6960" w:firstLineChars="29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w:t>
      </w:r>
    </w:p>
    <w:p w14:paraId="5079569D">
      <w:pPr>
        <w:tabs>
          <w:tab w:val="left" w:pos="4860"/>
        </w:tabs>
        <w:spacing w:before="145" w:beforeLines="50" w:after="145" w:afterLines="50" w:line="300" w:lineRule="auto"/>
        <w:ind w:right="1560" w:firstLine="480" w:firstLineChars="200"/>
        <w:jc w:val="center"/>
        <w:rPr>
          <w:rFonts w:hint="eastAsia" w:ascii="宋体" w:hAnsi="宋体" w:eastAsia="宋体" w:cs="宋体"/>
          <w:color w:val="000000"/>
          <w:sz w:val="24"/>
          <w:highlight w:val="none"/>
        </w:rPr>
      </w:pPr>
    </w:p>
    <w:p w14:paraId="2C475C3E">
      <w:pPr>
        <w:spacing w:before="145" w:beforeLines="50" w:after="145" w:afterLines="50" w:line="300" w:lineRule="auto"/>
        <w:rPr>
          <w:rFonts w:hint="eastAsia" w:ascii="宋体" w:hAnsi="宋体" w:eastAsia="宋体" w:cs="宋体"/>
          <w:bCs/>
          <w:color w:val="000000"/>
          <w:sz w:val="24"/>
          <w:highlight w:val="none"/>
          <w:lang w:eastAsia="zh-CN"/>
        </w:rPr>
      </w:pPr>
      <w:r>
        <w:rPr>
          <w:rFonts w:hint="eastAsia" w:ascii="宋体" w:hAnsi="宋体" w:eastAsia="宋体" w:cs="宋体"/>
          <w:bCs/>
          <w:color w:val="000000"/>
          <w:sz w:val="24"/>
          <w:highlight w:val="none"/>
          <w:lang w:eastAsia="zh-CN"/>
        </w:rPr>
        <w:t>注：符合条件的残疾人福利性单位请提供本函，不符合的不提供本函。</w:t>
      </w:r>
    </w:p>
    <w:p w14:paraId="7FCB9612">
      <w:pPr>
        <w:spacing w:before="145" w:beforeLines="50" w:after="145" w:afterLines="50" w:line="300" w:lineRule="auto"/>
        <w:rPr>
          <w:rFonts w:hint="eastAsia" w:ascii="宋体" w:hAnsi="宋体" w:eastAsia="宋体" w:cs="宋体"/>
          <w:bCs/>
          <w:color w:val="000000"/>
          <w:sz w:val="24"/>
          <w:highlight w:val="none"/>
          <w:lang w:eastAsia="zh-CN"/>
        </w:rPr>
      </w:pPr>
    </w:p>
    <w:p w14:paraId="100565F6">
      <w:pPr>
        <w:spacing w:before="145" w:beforeLines="50" w:after="145" w:afterLines="50" w:line="300" w:lineRule="auto"/>
        <w:rPr>
          <w:rFonts w:hint="eastAsia" w:ascii="宋体" w:hAnsi="宋体" w:eastAsia="宋体" w:cs="宋体"/>
          <w:bCs/>
          <w:color w:val="000000"/>
          <w:sz w:val="24"/>
          <w:highlight w:val="none"/>
          <w:lang w:eastAsia="zh-CN"/>
        </w:rPr>
      </w:pPr>
    </w:p>
    <w:p w14:paraId="60278F5B">
      <w:pPr>
        <w:spacing w:before="145" w:beforeLines="50" w:after="145" w:afterLines="50" w:line="300" w:lineRule="auto"/>
        <w:rPr>
          <w:rFonts w:hint="eastAsia" w:ascii="宋体" w:hAnsi="宋体" w:eastAsia="宋体" w:cs="宋体"/>
          <w:bCs/>
          <w:color w:val="000000"/>
          <w:sz w:val="24"/>
          <w:highlight w:val="none"/>
          <w:lang w:eastAsia="zh-CN"/>
        </w:rPr>
      </w:pPr>
    </w:p>
    <w:p w14:paraId="5CEF58A7">
      <w:pPr>
        <w:spacing w:before="145" w:beforeLines="50" w:after="145" w:afterLines="50" w:line="300" w:lineRule="auto"/>
        <w:rPr>
          <w:rFonts w:hint="eastAsia" w:ascii="宋体" w:hAnsi="宋体" w:eastAsia="宋体" w:cs="宋体"/>
          <w:bCs/>
          <w:color w:val="000000"/>
          <w:sz w:val="24"/>
          <w:highlight w:val="none"/>
          <w:lang w:eastAsia="zh-CN"/>
        </w:rPr>
      </w:pPr>
    </w:p>
    <w:p w14:paraId="416E4D83">
      <w:pPr>
        <w:spacing w:before="145" w:beforeLines="50" w:after="145" w:afterLines="50" w:line="300" w:lineRule="auto"/>
        <w:rPr>
          <w:rFonts w:hint="eastAsia" w:ascii="宋体" w:hAnsi="宋体" w:eastAsia="宋体" w:cs="宋体"/>
          <w:bCs/>
          <w:color w:val="000000"/>
          <w:sz w:val="24"/>
          <w:highlight w:val="none"/>
          <w:lang w:eastAsia="zh-CN"/>
        </w:rPr>
      </w:pPr>
    </w:p>
    <w:p w14:paraId="49D716A7">
      <w:pPr>
        <w:spacing w:before="145" w:beforeLines="50" w:after="145" w:afterLines="50" w:line="300" w:lineRule="auto"/>
        <w:rPr>
          <w:rFonts w:hint="eastAsia" w:ascii="宋体" w:hAnsi="宋体" w:eastAsia="宋体" w:cs="宋体"/>
          <w:bCs/>
          <w:color w:val="000000"/>
          <w:sz w:val="24"/>
          <w:highlight w:val="none"/>
          <w:lang w:eastAsia="zh-CN"/>
        </w:rPr>
      </w:pPr>
    </w:p>
    <w:p w14:paraId="0396F920">
      <w:pPr>
        <w:spacing w:before="145" w:beforeLines="50" w:after="145" w:afterLines="50" w:line="300" w:lineRule="auto"/>
        <w:rPr>
          <w:rFonts w:hint="eastAsia" w:ascii="宋体" w:hAnsi="宋体" w:eastAsia="宋体" w:cs="宋体"/>
          <w:bCs/>
          <w:color w:val="000000"/>
          <w:sz w:val="24"/>
          <w:highlight w:val="none"/>
          <w:lang w:eastAsia="zh-CN"/>
        </w:rPr>
      </w:pPr>
    </w:p>
    <w:p w14:paraId="502EACFD">
      <w:pPr>
        <w:pStyle w:val="15"/>
        <w:rPr>
          <w:rFonts w:hint="eastAsia"/>
          <w:lang w:eastAsia="zh-CN"/>
        </w:rPr>
      </w:pPr>
    </w:p>
    <w:p w14:paraId="292EC1FA">
      <w:pPr>
        <w:rPr>
          <w:rFonts w:hint="eastAsia"/>
          <w:lang w:eastAsia="zh-CN"/>
        </w:rPr>
      </w:pPr>
    </w:p>
    <w:p w14:paraId="5C3B1B47">
      <w:pPr>
        <w:rPr>
          <w:rFonts w:hint="eastAsia"/>
          <w:lang w:eastAsia="zh-CN"/>
        </w:rPr>
      </w:pPr>
    </w:p>
    <w:p w14:paraId="0D80187E">
      <w:pPr>
        <w:rPr>
          <w:rFonts w:hint="eastAsia"/>
          <w:lang w:eastAsia="zh-CN"/>
        </w:rPr>
      </w:pPr>
    </w:p>
    <w:p w14:paraId="6D512AC4">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2"/>
          <w:u w:val="none"/>
          <w:lang w:val="en-US" w:eastAsia="zh-CN" w:bidi="ar-SA"/>
        </w:rPr>
      </w:pPr>
    </w:p>
    <w:p w14:paraId="3906E267">
      <w:pPr>
        <w:rPr>
          <w:rFonts w:hint="eastAsia"/>
          <w:lang w:val="en-US" w:eastAsia="zh-CN"/>
        </w:rPr>
      </w:pPr>
    </w:p>
    <w:p w14:paraId="36E65B79">
      <w:pPr>
        <w:spacing w:before="145" w:beforeLines="50" w:after="145" w:afterLines="50" w:line="300" w:lineRule="auto"/>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lang w:val="en-US" w:eastAsia="zh-CN"/>
        </w:rPr>
        <w:t>附件四、联合体协议</w:t>
      </w:r>
    </w:p>
    <w:p w14:paraId="2DA80D42">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b/>
          <w:bCs/>
          <w:color w:val="auto"/>
          <w:kern w:val="0"/>
          <w:sz w:val="24"/>
          <w:u w:val="none"/>
        </w:rPr>
      </w:pPr>
      <w:r>
        <w:rPr>
          <w:rFonts w:hint="eastAsia" w:ascii="宋体" w:hAnsi="宋体" w:eastAsia="宋体" w:cs="宋体"/>
          <w:b/>
          <w:bCs/>
          <w:color w:val="auto"/>
          <w:kern w:val="0"/>
          <w:sz w:val="24"/>
          <w:u w:val="none"/>
        </w:rPr>
        <w:t>（以联合体形式投标的，提供联合协议；本项目不接受联合体投标或者</w:t>
      </w:r>
      <w:r>
        <w:rPr>
          <w:rFonts w:hint="eastAsia" w:ascii="宋体" w:hAnsi="宋体" w:cs="宋体"/>
          <w:b/>
          <w:bCs/>
          <w:color w:val="auto"/>
          <w:kern w:val="0"/>
          <w:sz w:val="24"/>
          <w:u w:val="none"/>
          <w:lang w:eastAsia="zh-CN"/>
        </w:rPr>
        <w:t>供应商</w:t>
      </w:r>
      <w:r>
        <w:rPr>
          <w:rFonts w:hint="eastAsia" w:ascii="宋体" w:hAnsi="宋体" w:eastAsia="宋体" w:cs="宋体"/>
          <w:b/>
          <w:bCs/>
          <w:color w:val="auto"/>
          <w:kern w:val="0"/>
          <w:sz w:val="24"/>
          <w:u w:val="none"/>
        </w:rPr>
        <w:t>不以联合体形式投标的，则不需要提供）</w:t>
      </w:r>
    </w:p>
    <w:p w14:paraId="0A61F662">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（联合体所有成员名称）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的身份</w:t>
      </w:r>
      <w:r>
        <w:rPr>
          <w:rFonts w:hint="eastAsia" w:ascii="宋体" w:hAnsi="宋体" w:eastAsia="宋体" w:cs="宋体"/>
          <w:color w:val="auto"/>
          <w:kern w:val="0"/>
          <w:sz w:val="24"/>
        </w:rPr>
        <w:t>参加</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 xml:space="preserve">投标。 </w:t>
      </w:r>
    </w:p>
    <w:p w14:paraId="36B8B386">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一、各方一致决定，</w:t>
      </w:r>
      <w:r>
        <w:rPr>
          <w:rFonts w:hint="eastAsia" w:ascii="宋体" w:hAnsi="宋体" w:eastAsia="宋体" w:cs="宋体"/>
          <w:color w:val="auto"/>
          <w:kern w:val="0"/>
          <w:sz w:val="24"/>
          <w:u w:val="single"/>
        </w:rPr>
        <w:t>（某联合体成员名称）</w:t>
      </w:r>
      <w:r>
        <w:rPr>
          <w:rFonts w:hint="eastAsia" w:ascii="宋体" w:hAnsi="宋体" w:eastAsia="宋体" w:cs="宋体"/>
          <w:color w:val="auto"/>
          <w:kern w:val="0"/>
          <w:sz w:val="24"/>
        </w:rPr>
        <w:t>为联合体</w:t>
      </w:r>
      <w:r>
        <w:rPr>
          <w:rFonts w:hint="eastAsia" w:ascii="宋体" w:hAnsi="宋体" w:eastAsia="宋体" w:cs="宋体"/>
          <w:color w:val="auto"/>
          <w:kern w:val="0"/>
          <w:sz w:val="24"/>
          <w:lang w:val="zh-CN"/>
        </w:rPr>
        <w:t>牵头人</w:t>
      </w:r>
      <w:r>
        <w:rPr>
          <w:rFonts w:hint="eastAsia" w:ascii="宋体" w:hAnsi="宋体" w:eastAsia="宋体" w:cs="宋体"/>
          <w:color w:val="auto"/>
          <w:sz w:val="24"/>
        </w:rPr>
        <w:t>，代表所有联合体成员负责投标和合同实施阶段的主办、协调工作</w:t>
      </w:r>
      <w:r>
        <w:rPr>
          <w:rFonts w:hint="eastAsia" w:ascii="宋体" w:hAnsi="宋体" w:eastAsia="宋体" w:cs="宋体"/>
          <w:color w:val="auto"/>
          <w:kern w:val="0"/>
          <w:sz w:val="24"/>
          <w:lang w:val="zh-CN"/>
        </w:rPr>
        <w:t>。</w:t>
      </w:r>
    </w:p>
    <w:p w14:paraId="7D8A4DE0">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二、</w:t>
      </w:r>
      <w:r>
        <w:rPr>
          <w:rFonts w:hint="eastAsia" w:ascii="宋体" w:hAnsi="宋体" w:eastAsia="宋体" w:cs="宋体"/>
          <w:color w:val="auto"/>
          <w:sz w:val="24"/>
        </w:rPr>
        <w:t>所有联合体成员各方签署授权书，授权书载明的</w:t>
      </w:r>
      <w:r>
        <w:rPr>
          <w:rFonts w:hint="eastAsia" w:ascii="宋体" w:hAnsi="宋体" w:eastAsia="宋体" w:cs="宋体"/>
          <w:color w:val="auto"/>
          <w:kern w:val="0"/>
          <w:sz w:val="24"/>
          <w:lang w:val="zh-CN"/>
        </w:rPr>
        <w:t>授权代表根据</w:t>
      </w:r>
      <w:r>
        <w:rPr>
          <w:rFonts w:hint="eastAsia" w:ascii="宋体" w:hAnsi="宋体" w:cs="宋体"/>
          <w:color w:val="auto"/>
          <w:kern w:val="0"/>
          <w:sz w:val="24"/>
          <w:lang w:val="zh-CN"/>
        </w:rPr>
        <w:t>磋商文件</w:t>
      </w:r>
      <w:r>
        <w:rPr>
          <w:rFonts w:hint="eastAsia" w:ascii="宋体" w:hAnsi="宋体" w:eastAsia="宋体" w:cs="宋体"/>
          <w:color w:val="auto"/>
          <w:kern w:val="0"/>
          <w:sz w:val="24"/>
          <w:lang w:val="zh-CN"/>
        </w:rPr>
        <w:t>规定及投标内容而对采购人、采购代理机构所作的任何合法承诺，包括书面澄清及相应等均对联合投标各方产生约束力。</w:t>
      </w:r>
    </w:p>
    <w:p w14:paraId="03837AE7">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三、本次联合投标中，分工如下：</w:t>
      </w:r>
    </w:p>
    <w:p w14:paraId="5EE023A1">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bookmarkStart w:id="276" w:name="_Hlk101134295"/>
      <w:r>
        <w:rPr>
          <w:rFonts w:hint="eastAsia" w:ascii="宋体" w:hAnsi="宋体" w:eastAsia="宋体" w:cs="宋体"/>
          <w:color w:val="auto"/>
          <w:kern w:val="0"/>
          <w:sz w:val="24"/>
          <w:u w:val="single"/>
        </w:rPr>
        <w:t>（联合体成员1）</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733C4C88">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u w:val="single"/>
        </w:rPr>
        <w:t>（联合体成员2）</w:t>
      </w:r>
      <w:r>
        <w:rPr>
          <w:rFonts w:hint="eastAsia" w:ascii="宋体" w:hAnsi="宋体" w:eastAsia="宋体" w:cs="宋体"/>
          <w:color w:val="auto"/>
          <w:kern w:val="0"/>
          <w:sz w:val="24"/>
          <w:lang w:val="zh-CN"/>
        </w:rPr>
        <w:t>承担的工作和义务为：</w:t>
      </w:r>
      <w:r>
        <w:rPr>
          <w:rFonts w:hint="eastAsia" w:ascii="宋体" w:hAnsi="宋体" w:eastAsia="宋体" w:cs="宋体"/>
          <w:color w:val="auto"/>
          <w:u w:val="single"/>
        </w:rPr>
        <w:t xml:space="preserve">             </w:t>
      </w:r>
      <w:r>
        <w:rPr>
          <w:rFonts w:hint="eastAsia" w:ascii="宋体" w:hAnsi="宋体" w:eastAsia="宋体" w:cs="宋体"/>
          <w:color w:val="auto"/>
          <w:kern w:val="0"/>
          <w:sz w:val="24"/>
          <w:lang w:val="zh-CN"/>
        </w:rPr>
        <w:t>；</w:t>
      </w:r>
    </w:p>
    <w:p w14:paraId="1209510D">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w:t>
      </w:r>
    </w:p>
    <w:bookmarkEnd w:id="276"/>
    <w:p w14:paraId="2CB2283D">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四、联合体成员中小企业合同份额。</w:t>
      </w:r>
    </w:p>
    <w:p w14:paraId="007A252A">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b/>
          <w:color w:val="auto"/>
          <w:kern w:val="0"/>
          <w:sz w:val="24"/>
          <w:lang w:val="zh-CN"/>
        </w:rPr>
      </w:pPr>
      <w:r>
        <w:rPr>
          <w:rFonts w:hint="eastAsia" w:ascii="宋体" w:hAnsi="宋体" w:eastAsia="宋体" w:cs="宋体"/>
          <w:color w:val="auto"/>
          <w:kern w:val="0"/>
          <w:sz w:val="24"/>
          <w:lang w:val="zh-CN"/>
        </w:rPr>
        <w:t>1、</w:t>
      </w:r>
      <w:r>
        <w:rPr>
          <w:rFonts w:hint="eastAsia" w:ascii="宋体" w:hAnsi="宋体" w:eastAsia="宋体" w:cs="宋体"/>
          <w:color w:val="auto"/>
          <w:kern w:val="0"/>
          <w:sz w:val="24"/>
          <w:u w:val="single"/>
        </w:rPr>
        <w:t>（联合体成员X,……）</w:t>
      </w:r>
      <w:r>
        <w:rPr>
          <w:rFonts w:hint="eastAsia" w:ascii="宋体" w:hAnsi="宋体" w:eastAsia="宋体" w:cs="宋体"/>
          <w:color w:val="auto"/>
          <w:kern w:val="0"/>
          <w:sz w:val="24"/>
        </w:rPr>
        <w:t>提供的全部货物由小微企业制造，其合同份额占到合同总金额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%以上；</w:t>
      </w:r>
      <w:r>
        <w:rPr>
          <w:rFonts w:hint="eastAsia" w:ascii="宋体" w:hAnsi="宋体" w:eastAsia="宋体" w:cs="宋体"/>
          <w:color w:val="auto"/>
          <w:kern w:val="0"/>
          <w:sz w:val="24"/>
          <w:lang w:val="zh-CN"/>
        </w:rPr>
        <w:t>……。</w:t>
      </w:r>
      <w:r>
        <w:rPr>
          <w:rFonts w:hint="eastAsia" w:ascii="宋体" w:hAnsi="宋体" w:eastAsia="宋体" w:cs="宋体"/>
          <w:b/>
          <w:color w:val="auto"/>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rPr>
        <w:t>拟享受以上价格扣除政策的，填写有关内容。</w:t>
      </w:r>
      <w:r>
        <w:rPr>
          <w:rFonts w:hint="eastAsia" w:ascii="宋体" w:hAnsi="宋体" w:eastAsia="宋体" w:cs="宋体"/>
          <w:b/>
          <w:color w:val="auto"/>
          <w:kern w:val="0"/>
          <w:sz w:val="24"/>
          <w:lang w:val="zh-CN"/>
        </w:rPr>
        <w:t>）</w:t>
      </w:r>
    </w:p>
    <w:p w14:paraId="48492D28">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sz w:val="24"/>
        </w:rPr>
        <w:t>2、中小企业合同金额达到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%，其中小微企业合同金额达到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kern w:val="0"/>
          <w:sz w:val="24"/>
          <w:lang w:val="zh-CN"/>
        </w:rPr>
        <w:t>。</w:t>
      </w:r>
      <w:r>
        <w:rPr>
          <w:rFonts w:hint="eastAsia" w:ascii="宋体" w:hAnsi="宋体" w:eastAsia="宋体" w:cs="宋体"/>
          <w:b/>
          <w:bCs/>
          <w:color w:val="auto"/>
          <w:kern w:val="0"/>
          <w:sz w:val="24"/>
          <w:lang w:val="zh-CN"/>
        </w:rPr>
        <w:t>（</w:t>
      </w:r>
      <w:r>
        <w:rPr>
          <w:rFonts w:hint="eastAsia" w:ascii="宋体" w:hAnsi="宋体" w:eastAsia="宋体" w:cs="宋体"/>
          <w:b/>
          <w:bCs/>
          <w:color w:val="auto"/>
          <w:sz w:val="24"/>
        </w:rPr>
        <w:t>要求以联合体形式参加的项目或采购包，供应商按</w:t>
      </w:r>
      <w:r>
        <w:rPr>
          <w:rFonts w:hint="eastAsia" w:ascii="宋体" w:hAnsi="宋体" w:cs="宋体"/>
          <w:b/>
          <w:bCs/>
          <w:color w:val="auto"/>
          <w:sz w:val="24"/>
          <w:lang w:eastAsia="zh-CN"/>
        </w:rPr>
        <w:t>磋商文件</w:t>
      </w:r>
      <w:r>
        <w:rPr>
          <w:rFonts w:hint="eastAsia" w:ascii="宋体" w:hAnsi="宋体" w:eastAsia="宋体" w:cs="宋体"/>
          <w:b/>
          <w:bCs/>
          <w:color w:val="auto"/>
          <w:sz w:val="24"/>
        </w:rPr>
        <w:t>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lang w:val="zh-CN"/>
        </w:rPr>
        <w:t>）</w:t>
      </w:r>
    </w:p>
    <w:p w14:paraId="1EC88189">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五、如果中标，</w:t>
      </w:r>
      <w:r>
        <w:rPr>
          <w:rFonts w:hint="eastAsia" w:ascii="宋体" w:hAnsi="宋体" w:eastAsia="宋体" w:cs="宋体"/>
          <w:color w:val="auto"/>
          <w:sz w:val="24"/>
        </w:rPr>
        <w:t>联合体各成员方共同与采购人签订合同，并就采购合同约定的事项对采购人承担连带责任。</w:t>
      </w:r>
    </w:p>
    <w:p w14:paraId="7A6D0A33">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六、有关本次联合投标的其他事宜：</w:t>
      </w:r>
    </w:p>
    <w:p w14:paraId="5227819D">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1、联合体各方不再单独参加或者与其他供应商另外组成联合体参加同一合同项下的政府采购活动。</w:t>
      </w:r>
    </w:p>
    <w:p w14:paraId="4F45FEB0">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2、联合体中有同类资质的各方按照联合体分工承担相同工作的，按照资质等级较低的供应商确定资质等级。</w:t>
      </w:r>
    </w:p>
    <w:p w14:paraId="219722C4">
      <w:pPr>
        <w:keepNext w:val="0"/>
        <w:keepLines w:val="0"/>
        <w:pageBreakBefore w:val="0"/>
        <w:widowControl w:val="0"/>
        <w:kinsoku/>
        <w:wordWrap/>
        <w:overflowPunct/>
        <w:topLinePunct w:val="0"/>
        <w:autoSpaceDE/>
        <w:autoSpaceDN/>
        <w:bidi w:val="0"/>
        <w:adjustRightInd/>
        <w:snapToGrid w:val="0"/>
        <w:spacing w:line="440" w:lineRule="exact"/>
        <w:ind w:firstLine="576"/>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3、本协议提交采购人、采购代理机构后，联合体各方不得以任何形式对上述内容进行修改或撤销。</w:t>
      </w:r>
    </w:p>
    <w:p w14:paraId="64F66456">
      <w:pPr>
        <w:keepNext w:val="0"/>
        <w:keepLines w:val="0"/>
        <w:pageBreakBefore w:val="0"/>
        <w:widowControl w:val="0"/>
        <w:kinsoku/>
        <w:wordWrap/>
        <w:overflowPunct/>
        <w:topLinePunct w:val="0"/>
        <w:autoSpaceDE/>
        <w:autoSpaceDN/>
        <w:bidi w:val="0"/>
        <w:adjustRightInd/>
        <w:snapToGrid w:val="0"/>
        <w:spacing w:line="440" w:lineRule="exact"/>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3A317904">
      <w:pPr>
        <w:keepNext w:val="0"/>
        <w:keepLines w:val="0"/>
        <w:pageBreakBefore w:val="0"/>
        <w:widowControl w:val="0"/>
        <w:kinsoku/>
        <w:wordWrap/>
        <w:overflowPunct/>
        <w:topLinePunct w:val="0"/>
        <w:autoSpaceDE/>
        <w:autoSpaceDN/>
        <w:bidi w:val="0"/>
        <w:adjustRightInd/>
        <w:snapToGrid w:val="0"/>
        <w:spacing w:line="440" w:lineRule="exact"/>
        <w:ind w:firstLine="5040" w:firstLineChars="2100"/>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5ED0EBCD">
      <w:pPr>
        <w:keepNext w:val="0"/>
        <w:keepLines w:val="0"/>
        <w:pageBreakBefore w:val="0"/>
        <w:widowControl w:val="0"/>
        <w:kinsoku/>
        <w:wordWrap/>
        <w:overflowPunct/>
        <w:topLinePunct w:val="0"/>
        <w:autoSpaceDE/>
        <w:autoSpaceDN/>
        <w:bidi w:val="0"/>
        <w:adjustRightInd/>
        <w:snapToGrid w:val="0"/>
        <w:spacing w:line="440" w:lineRule="exact"/>
        <w:ind w:right="960"/>
        <w:jc w:val="center"/>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0936882B">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日期：  年  月   日</w:t>
      </w:r>
    </w:p>
    <w:p w14:paraId="422CAB47">
      <w:pPr>
        <w:keepNext w:val="0"/>
        <w:keepLines w:val="0"/>
        <w:pageBreakBefore w:val="0"/>
        <w:widowControl w:val="0"/>
        <w:kinsoku/>
        <w:wordWrap/>
        <w:overflowPunct/>
        <w:topLinePunct w:val="0"/>
        <w:autoSpaceDE/>
        <w:autoSpaceDN/>
        <w:bidi w:val="0"/>
        <w:adjustRightInd/>
        <w:spacing w:line="440" w:lineRule="exact"/>
        <w:ind w:right="420"/>
        <w:textAlignment w:val="auto"/>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3AD16DC3">
      <w:pPr>
        <w:rPr>
          <w:rFonts w:hint="eastAsia" w:ascii="宋体" w:hAnsi="宋体" w:eastAsia="宋体" w:cs="宋体"/>
          <w:color w:val="auto"/>
        </w:rPr>
      </w:pPr>
    </w:p>
    <w:p w14:paraId="7ECEAAC7">
      <w:pPr>
        <w:rPr>
          <w:rFonts w:hint="eastAsia" w:ascii="宋体" w:hAnsi="宋体" w:eastAsia="宋体" w:cs="宋体"/>
          <w:color w:val="auto"/>
        </w:rPr>
      </w:pPr>
    </w:p>
    <w:p w14:paraId="1F587099">
      <w:pPr>
        <w:rPr>
          <w:rFonts w:hint="eastAsia" w:ascii="宋体" w:hAnsi="宋体" w:eastAsia="宋体" w:cs="宋体"/>
          <w:color w:val="auto"/>
        </w:rPr>
      </w:pPr>
    </w:p>
    <w:p w14:paraId="7FDE7493">
      <w:pPr>
        <w:rPr>
          <w:rFonts w:hint="eastAsia" w:ascii="宋体" w:hAnsi="宋体" w:eastAsia="宋体" w:cs="宋体"/>
          <w:color w:val="auto"/>
        </w:rPr>
      </w:pPr>
    </w:p>
    <w:p w14:paraId="1A2F46B9">
      <w:pPr>
        <w:rPr>
          <w:rFonts w:hint="eastAsia" w:ascii="宋体" w:hAnsi="宋体" w:eastAsia="宋体" w:cs="宋体"/>
          <w:color w:val="auto"/>
        </w:rPr>
      </w:pPr>
    </w:p>
    <w:p w14:paraId="4C0316AC">
      <w:pPr>
        <w:rPr>
          <w:rFonts w:hint="eastAsia" w:ascii="宋体" w:hAnsi="宋体" w:eastAsia="宋体" w:cs="宋体"/>
          <w:color w:val="auto"/>
        </w:rPr>
      </w:pPr>
    </w:p>
    <w:p w14:paraId="66687AF5">
      <w:pPr>
        <w:rPr>
          <w:rFonts w:hint="eastAsia" w:ascii="宋体" w:hAnsi="宋体" w:eastAsia="宋体" w:cs="宋体"/>
          <w:color w:val="auto"/>
        </w:rPr>
      </w:pPr>
    </w:p>
    <w:p w14:paraId="38CF806B">
      <w:pPr>
        <w:rPr>
          <w:rFonts w:hint="eastAsia" w:ascii="宋体" w:hAnsi="宋体" w:eastAsia="宋体" w:cs="宋体"/>
          <w:color w:val="auto"/>
        </w:rPr>
      </w:pPr>
    </w:p>
    <w:p w14:paraId="0B53495E">
      <w:pPr>
        <w:rPr>
          <w:rFonts w:hint="eastAsia" w:ascii="宋体" w:hAnsi="宋体" w:eastAsia="宋体" w:cs="宋体"/>
          <w:color w:val="auto"/>
        </w:rPr>
      </w:pPr>
    </w:p>
    <w:p w14:paraId="0C6992BE">
      <w:pPr>
        <w:rPr>
          <w:rFonts w:hint="eastAsia" w:ascii="宋体" w:hAnsi="宋体" w:eastAsia="宋体" w:cs="宋体"/>
          <w:color w:val="auto"/>
        </w:rPr>
      </w:pPr>
    </w:p>
    <w:p w14:paraId="104708F6">
      <w:pPr>
        <w:rPr>
          <w:rFonts w:hint="eastAsia" w:ascii="宋体" w:hAnsi="宋体" w:eastAsia="宋体" w:cs="宋体"/>
          <w:color w:val="auto"/>
        </w:rPr>
      </w:pPr>
    </w:p>
    <w:p w14:paraId="3A2C283B">
      <w:pPr>
        <w:rPr>
          <w:rFonts w:hint="eastAsia" w:ascii="宋体" w:hAnsi="宋体" w:eastAsia="宋体" w:cs="宋体"/>
          <w:color w:val="auto"/>
        </w:rPr>
      </w:pPr>
    </w:p>
    <w:p w14:paraId="1A2BF82E">
      <w:pPr>
        <w:rPr>
          <w:rFonts w:hint="eastAsia" w:ascii="宋体" w:hAnsi="宋体" w:eastAsia="宋体" w:cs="宋体"/>
          <w:color w:val="auto"/>
        </w:rPr>
      </w:pPr>
    </w:p>
    <w:p w14:paraId="6F34BBED">
      <w:pPr>
        <w:rPr>
          <w:rFonts w:hint="eastAsia" w:ascii="宋体" w:hAnsi="宋体" w:eastAsia="宋体" w:cs="宋体"/>
          <w:color w:val="auto"/>
        </w:rPr>
      </w:pPr>
    </w:p>
    <w:p w14:paraId="4A404639">
      <w:pPr>
        <w:rPr>
          <w:rFonts w:hint="eastAsia" w:ascii="宋体" w:hAnsi="宋体" w:eastAsia="宋体" w:cs="宋体"/>
          <w:color w:val="auto"/>
        </w:rPr>
      </w:pPr>
    </w:p>
    <w:p w14:paraId="6C8C891F">
      <w:pPr>
        <w:rPr>
          <w:rFonts w:hint="eastAsia" w:ascii="宋体" w:hAnsi="宋体" w:eastAsia="宋体" w:cs="宋体"/>
          <w:color w:val="auto"/>
        </w:rPr>
      </w:pPr>
    </w:p>
    <w:p w14:paraId="721B38A7">
      <w:pPr>
        <w:rPr>
          <w:rFonts w:hint="eastAsia" w:ascii="宋体" w:hAnsi="宋体" w:eastAsia="宋体" w:cs="宋体"/>
          <w:color w:val="auto"/>
        </w:rPr>
      </w:pPr>
    </w:p>
    <w:p w14:paraId="04E2F178">
      <w:pPr>
        <w:rPr>
          <w:rFonts w:hint="eastAsia" w:ascii="宋体" w:hAnsi="宋体" w:eastAsia="宋体" w:cs="宋体"/>
          <w:color w:val="auto"/>
        </w:rPr>
      </w:pPr>
    </w:p>
    <w:p w14:paraId="73F9D1E8">
      <w:pPr>
        <w:rPr>
          <w:rFonts w:hint="eastAsia" w:ascii="宋体" w:hAnsi="宋体" w:eastAsia="宋体" w:cs="宋体"/>
          <w:color w:val="auto"/>
        </w:rPr>
      </w:pPr>
    </w:p>
    <w:p w14:paraId="4F9F5256">
      <w:pPr>
        <w:rPr>
          <w:rFonts w:hint="eastAsia" w:ascii="宋体" w:hAnsi="宋体" w:eastAsia="宋体" w:cs="宋体"/>
          <w:color w:val="auto"/>
        </w:rPr>
      </w:pPr>
    </w:p>
    <w:p w14:paraId="14CCFD80">
      <w:pPr>
        <w:rPr>
          <w:rFonts w:hint="eastAsia" w:ascii="宋体" w:hAnsi="宋体" w:eastAsia="宋体" w:cs="宋体"/>
          <w:color w:val="auto"/>
        </w:rPr>
      </w:pPr>
    </w:p>
    <w:p w14:paraId="35964120">
      <w:pPr>
        <w:rPr>
          <w:rFonts w:hint="eastAsia" w:ascii="宋体" w:hAnsi="宋体" w:eastAsia="宋体" w:cs="宋体"/>
          <w:color w:val="auto"/>
        </w:rPr>
      </w:pPr>
    </w:p>
    <w:p w14:paraId="60C9B290">
      <w:pPr>
        <w:rPr>
          <w:rFonts w:hint="eastAsia" w:ascii="宋体" w:hAnsi="宋体" w:eastAsia="宋体" w:cs="宋体"/>
          <w:color w:val="auto"/>
        </w:rPr>
      </w:pPr>
    </w:p>
    <w:p w14:paraId="02355ACA">
      <w:pPr>
        <w:rPr>
          <w:rFonts w:hint="eastAsia" w:ascii="宋体" w:hAnsi="宋体" w:eastAsia="宋体" w:cs="宋体"/>
          <w:color w:val="auto"/>
        </w:rPr>
      </w:pPr>
    </w:p>
    <w:p w14:paraId="4CE7306E">
      <w:pPr>
        <w:rPr>
          <w:rFonts w:hint="eastAsia" w:ascii="宋体" w:hAnsi="宋体" w:eastAsia="宋体" w:cs="宋体"/>
          <w:color w:val="auto"/>
        </w:rPr>
      </w:pPr>
    </w:p>
    <w:p w14:paraId="57D32CA0">
      <w:pPr>
        <w:rPr>
          <w:rFonts w:hint="eastAsia" w:ascii="宋体" w:hAnsi="宋体" w:eastAsia="宋体" w:cs="宋体"/>
          <w:color w:val="auto"/>
        </w:rPr>
      </w:pPr>
    </w:p>
    <w:p w14:paraId="72D43342">
      <w:pPr>
        <w:rPr>
          <w:rFonts w:hint="eastAsia" w:ascii="宋体" w:hAnsi="宋体" w:eastAsia="宋体" w:cs="宋体"/>
          <w:color w:val="auto"/>
        </w:rPr>
      </w:pPr>
    </w:p>
    <w:p w14:paraId="7A4B978A">
      <w:pPr>
        <w:rPr>
          <w:rFonts w:hint="eastAsia" w:ascii="宋体" w:hAnsi="宋体" w:eastAsia="宋体" w:cs="宋体"/>
          <w:color w:val="auto"/>
        </w:rPr>
      </w:pPr>
    </w:p>
    <w:p w14:paraId="4A2E80AA">
      <w:pPr>
        <w:rPr>
          <w:rFonts w:hint="eastAsia" w:ascii="宋体" w:hAnsi="宋体" w:eastAsia="宋体" w:cs="宋体"/>
          <w:color w:val="auto"/>
        </w:rPr>
      </w:pPr>
    </w:p>
    <w:p w14:paraId="14702E86">
      <w:pPr>
        <w:rPr>
          <w:rFonts w:hint="eastAsia" w:ascii="宋体" w:hAnsi="宋体" w:eastAsia="宋体" w:cs="宋体"/>
          <w:color w:val="auto"/>
        </w:rPr>
      </w:pPr>
    </w:p>
    <w:p w14:paraId="309EC1B3">
      <w:pPr>
        <w:rPr>
          <w:rFonts w:hint="eastAsia" w:ascii="宋体" w:hAnsi="宋体" w:eastAsia="宋体" w:cs="宋体"/>
          <w:color w:val="auto"/>
        </w:rPr>
      </w:pPr>
    </w:p>
    <w:p w14:paraId="12B464AE">
      <w:pPr>
        <w:rPr>
          <w:rFonts w:hint="eastAsia" w:ascii="宋体" w:hAnsi="宋体" w:eastAsia="宋体" w:cs="宋体"/>
          <w:color w:val="auto"/>
        </w:rPr>
      </w:pPr>
    </w:p>
    <w:p w14:paraId="7AE82F30">
      <w:pPr>
        <w:pStyle w:val="15"/>
        <w:rPr>
          <w:rFonts w:hint="eastAsia" w:ascii="宋体" w:hAnsi="宋体" w:eastAsia="宋体" w:cs="宋体"/>
          <w:color w:val="auto"/>
        </w:rPr>
      </w:pPr>
    </w:p>
    <w:p w14:paraId="0A9771E4">
      <w:pPr>
        <w:rPr>
          <w:rFonts w:hint="eastAsia" w:ascii="宋体" w:hAnsi="宋体" w:eastAsia="宋体" w:cs="宋体"/>
          <w:color w:val="auto"/>
        </w:rPr>
      </w:pPr>
    </w:p>
    <w:p w14:paraId="57CFCB84">
      <w:pPr>
        <w:pStyle w:val="15"/>
        <w:rPr>
          <w:rFonts w:hint="eastAsia" w:ascii="宋体" w:hAnsi="宋体" w:eastAsia="宋体" w:cs="宋体"/>
          <w:color w:val="auto"/>
        </w:rPr>
      </w:pPr>
    </w:p>
    <w:p w14:paraId="780F80A6">
      <w:pPr>
        <w:rPr>
          <w:rFonts w:hint="eastAsia"/>
        </w:rPr>
      </w:pPr>
    </w:p>
    <w:p w14:paraId="24955E6B">
      <w:pPr>
        <w:rPr>
          <w:rFonts w:hint="eastAsia" w:ascii="宋体" w:hAnsi="宋体" w:eastAsia="宋体" w:cs="宋体"/>
          <w:color w:val="auto"/>
        </w:rPr>
      </w:pPr>
    </w:p>
    <w:p w14:paraId="6635CDD8">
      <w:pPr>
        <w:rPr>
          <w:rFonts w:hint="eastAsia" w:ascii="宋体" w:hAnsi="宋体" w:eastAsia="宋体" w:cs="宋体"/>
          <w:color w:val="auto"/>
        </w:rPr>
      </w:pPr>
    </w:p>
    <w:p w14:paraId="4F6ABD7D">
      <w:pPr>
        <w:rPr>
          <w:rFonts w:hint="eastAsia" w:ascii="宋体" w:hAnsi="宋体" w:eastAsia="宋体" w:cs="宋体"/>
          <w:color w:val="auto"/>
        </w:rPr>
      </w:pPr>
    </w:p>
    <w:p w14:paraId="49CABFB7">
      <w:pPr>
        <w:rPr>
          <w:rFonts w:hint="eastAsia" w:ascii="宋体" w:hAnsi="宋体" w:eastAsia="宋体" w:cs="宋体"/>
          <w:color w:val="auto"/>
        </w:rPr>
      </w:pPr>
    </w:p>
    <w:p w14:paraId="03266D2B">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277" w:name="_Toc12993"/>
      <w:r>
        <w:rPr>
          <w:rFonts w:hint="eastAsia" w:ascii="宋体" w:hAnsi="宋体" w:eastAsia="宋体" w:cs="宋体"/>
          <w:b/>
          <w:color w:val="auto"/>
          <w:sz w:val="28"/>
          <w:szCs w:val="28"/>
          <w:lang w:val="en-US" w:eastAsia="zh-CN"/>
        </w:rPr>
        <w:t>商务技术文件部分</w:t>
      </w:r>
      <w:bookmarkEnd w:id="277"/>
    </w:p>
    <w:p w14:paraId="606712E0">
      <w:pPr>
        <w:rPr>
          <w:rFonts w:hint="eastAsia" w:ascii="宋体" w:hAnsi="宋体" w:eastAsia="宋体" w:cs="宋体"/>
          <w:color w:val="auto"/>
          <w:lang w:val="en-US" w:eastAsia="zh-CN"/>
        </w:rPr>
      </w:pPr>
    </w:p>
    <w:p w14:paraId="64AA9AB8">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 录</w:t>
      </w:r>
    </w:p>
    <w:p w14:paraId="34DDFFEE">
      <w:pPr>
        <w:rPr>
          <w:rFonts w:hint="eastAsia" w:ascii="宋体" w:hAnsi="宋体" w:eastAsia="宋体" w:cs="宋体"/>
          <w:color w:val="auto"/>
          <w:lang w:val="en-US" w:eastAsia="zh-CN"/>
        </w:rPr>
      </w:pPr>
    </w:p>
    <w:p w14:paraId="4135BEF8">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lang w:val="en-US" w:eastAsia="zh-CN"/>
        </w:rPr>
        <w:t>1</w:t>
      </w:r>
      <w:r>
        <w:rPr>
          <w:rFonts w:hint="eastAsia" w:ascii="宋体" w:hAnsi="宋体" w:eastAsia="宋体" w:cs="宋体"/>
          <w:snapToGrid w:val="0"/>
          <w:color w:val="auto"/>
          <w:kern w:val="28"/>
          <w:sz w:val="24"/>
          <w:szCs w:val="20"/>
          <w:lang w:eastAsia="zh-CN"/>
        </w:rPr>
        <w:t>）</w:t>
      </w:r>
      <w:r>
        <w:rPr>
          <w:rFonts w:hint="eastAsia" w:ascii="宋体" w:hAnsi="宋体" w:eastAsia="宋体" w:cs="宋体"/>
          <w:snapToGrid w:val="0"/>
          <w:color w:val="auto"/>
          <w:kern w:val="28"/>
          <w:sz w:val="24"/>
          <w:szCs w:val="20"/>
        </w:rPr>
        <w:t>投标函…………………………………………………………………………（页码）</w:t>
      </w:r>
    </w:p>
    <w:p w14:paraId="719CD97D">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（2）授权委托书</w:t>
      </w:r>
      <w:r>
        <w:rPr>
          <w:rFonts w:hint="eastAsia" w:ascii="宋体" w:hAnsi="宋体" w:eastAsia="宋体" w:cs="宋体"/>
          <w:snapToGrid w:val="0"/>
          <w:color w:val="auto"/>
          <w:kern w:val="28"/>
          <w:sz w:val="24"/>
          <w:szCs w:val="20"/>
          <w:lang w:val="en-US" w:eastAsia="zh-CN"/>
        </w:rPr>
        <w:t>或</w:t>
      </w:r>
      <w:r>
        <w:rPr>
          <w:rFonts w:hint="eastAsia" w:ascii="宋体" w:hAnsi="宋体" w:eastAsia="宋体" w:cs="宋体"/>
          <w:snapToGrid w:val="0"/>
          <w:color w:val="auto"/>
          <w:kern w:val="28"/>
          <w:sz w:val="24"/>
          <w:szCs w:val="20"/>
        </w:rPr>
        <w:t>法定代表人（单位负责人、自然人本人）身份证明………（页码）</w:t>
      </w:r>
    </w:p>
    <w:p w14:paraId="7F9479E6">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（3）</w:t>
      </w:r>
      <w:r>
        <w:rPr>
          <w:rFonts w:hint="eastAsia" w:ascii="宋体" w:hAnsi="宋体" w:eastAsia="宋体" w:cs="宋体"/>
          <w:snapToGrid w:val="0"/>
          <w:color w:val="auto"/>
          <w:kern w:val="28"/>
          <w:sz w:val="24"/>
          <w:szCs w:val="20"/>
          <w:lang w:val="en-US" w:eastAsia="zh-CN"/>
        </w:rPr>
        <w:t>响应保证金</w:t>
      </w:r>
      <w:r>
        <w:rPr>
          <w:rFonts w:hint="eastAsia" w:ascii="宋体" w:hAnsi="宋体" w:eastAsia="宋体" w:cs="宋体"/>
          <w:snapToGrid w:val="0"/>
          <w:color w:val="auto"/>
          <w:kern w:val="28"/>
          <w:sz w:val="24"/>
          <w:szCs w:val="20"/>
        </w:rPr>
        <w:t>……………………………………………………………………（页码）</w:t>
      </w:r>
    </w:p>
    <w:p w14:paraId="53BA2D85">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（4）投标</w:t>
      </w:r>
      <w:r>
        <w:rPr>
          <w:rFonts w:hint="eastAsia" w:ascii="宋体" w:hAnsi="宋体" w:cs="宋体"/>
          <w:snapToGrid w:val="0"/>
          <w:color w:val="auto"/>
          <w:kern w:val="28"/>
          <w:sz w:val="24"/>
          <w:szCs w:val="20"/>
          <w:lang w:val="en-US" w:eastAsia="zh-CN"/>
        </w:rPr>
        <w:t>服务</w:t>
      </w:r>
      <w:r>
        <w:rPr>
          <w:rFonts w:hint="eastAsia" w:ascii="宋体" w:hAnsi="宋体" w:eastAsia="宋体" w:cs="宋体"/>
          <w:snapToGrid w:val="0"/>
          <w:color w:val="auto"/>
          <w:kern w:val="28"/>
          <w:sz w:val="24"/>
          <w:szCs w:val="20"/>
          <w:lang w:val="en-US" w:eastAsia="zh-CN"/>
        </w:rPr>
        <w:t>配置</w:t>
      </w:r>
      <w:r>
        <w:rPr>
          <w:rFonts w:hint="eastAsia" w:ascii="宋体" w:hAnsi="宋体" w:eastAsia="宋体" w:cs="宋体"/>
          <w:snapToGrid w:val="0"/>
          <w:color w:val="auto"/>
          <w:kern w:val="28"/>
          <w:sz w:val="24"/>
          <w:szCs w:val="20"/>
        </w:rPr>
        <w:t>清单……………………………………………………………（页码）</w:t>
      </w:r>
    </w:p>
    <w:p w14:paraId="64891275">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5</w:t>
      </w:r>
      <w:r>
        <w:rPr>
          <w:rFonts w:hint="eastAsia" w:ascii="宋体" w:hAnsi="宋体" w:eastAsia="宋体" w:cs="宋体"/>
          <w:snapToGrid w:val="0"/>
          <w:color w:val="auto"/>
          <w:kern w:val="28"/>
          <w:sz w:val="24"/>
          <w:szCs w:val="20"/>
        </w:rPr>
        <w:t>）商务技术偏离表………………………………………………………………（页码）</w:t>
      </w:r>
    </w:p>
    <w:p w14:paraId="500C1B3A">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rPr>
        <w:t>（</w:t>
      </w:r>
      <w:r>
        <w:rPr>
          <w:rFonts w:hint="eastAsia" w:ascii="宋体" w:hAnsi="宋体" w:eastAsia="宋体" w:cs="宋体"/>
          <w:snapToGrid w:val="0"/>
          <w:color w:val="auto"/>
          <w:kern w:val="28"/>
          <w:sz w:val="24"/>
          <w:szCs w:val="20"/>
          <w:lang w:val="en-US" w:eastAsia="zh-CN"/>
        </w:rPr>
        <w:t>6</w:t>
      </w:r>
      <w:r>
        <w:rPr>
          <w:rFonts w:hint="eastAsia" w:ascii="宋体" w:hAnsi="宋体" w:eastAsia="宋体" w:cs="宋体"/>
          <w:snapToGrid w:val="0"/>
          <w:color w:val="auto"/>
          <w:kern w:val="28"/>
          <w:sz w:val="24"/>
          <w:szCs w:val="20"/>
        </w:rPr>
        <w:t>）</w:t>
      </w:r>
      <w:r>
        <w:rPr>
          <w:rFonts w:hint="eastAsia" w:ascii="宋体" w:hAnsi="宋体" w:cs="宋体"/>
          <w:snapToGrid w:val="0"/>
          <w:color w:val="auto"/>
          <w:kern w:val="28"/>
          <w:sz w:val="24"/>
          <w:szCs w:val="20"/>
          <w:lang w:val="en-US" w:eastAsia="zh-CN"/>
        </w:rPr>
        <w:t>服务</w:t>
      </w: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响应</w:t>
      </w:r>
      <w:r>
        <w:rPr>
          <w:rFonts w:hint="eastAsia" w:ascii="宋体" w:hAnsi="宋体" w:eastAsia="宋体" w:cs="宋体"/>
          <w:snapToGrid w:val="0"/>
          <w:color w:val="auto"/>
          <w:kern w:val="28"/>
          <w:sz w:val="24"/>
          <w:szCs w:val="20"/>
          <w:lang w:val="zh-CN"/>
        </w:rPr>
        <w:t>）</w:t>
      </w:r>
      <w:r>
        <w:rPr>
          <w:rFonts w:hint="eastAsia" w:ascii="宋体" w:hAnsi="宋体" w:cs="宋体"/>
          <w:snapToGrid w:val="0"/>
          <w:color w:val="auto"/>
          <w:kern w:val="28"/>
          <w:sz w:val="24"/>
          <w:szCs w:val="20"/>
          <w:lang w:val="en-US" w:eastAsia="zh-CN"/>
        </w:rPr>
        <w:t>方案</w:t>
      </w:r>
      <w:r>
        <w:rPr>
          <w:rFonts w:hint="eastAsia" w:ascii="宋体" w:hAnsi="宋体" w:eastAsia="宋体" w:cs="宋体"/>
          <w:snapToGrid w:val="0"/>
          <w:color w:val="auto"/>
          <w:kern w:val="28"/>
          <w:sz w:val="24"/>
          <w:szCs w:val="20"/>
        </w:rPr>
        <w:t>……………………………………………………………（页码）</w:t>
      </w:r>
    </w:p>
    <w:p w14:paraId="7A07F5D4">
      <w:pPr>
        <w:snapToGrid w:val="0"/>
        <w:spacing w:line="360" w:lineRule="auto"/>
        <w:rPr>
          <w:rFonts w:hint="eastAsia" w:ascii="宋体" w:hAnsi="宋体" w:eastAsia="宋体" w:cs="宋体"/>
          <w:snapToGrid w:val="0"/>
          <w:color w:val="auto"/>
          <w:kern w:val="28"/>
          <w:sz w:val="24"/>
          <w:szCs w:val="20"/>
        </w:rPr>
      </w:pP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7</w:t>
      </w:r>
      <w:r>
        <w:rPr>
          <w:rFonts w:hint="eastAsia" w:ascii="宋体" w:hAnsi="宋体" w:eastAsia="宋体" w:cs="宋体"/>
          <w:snapToGrid w:val="0"/>
          <w:color w:val="auto"/>
          <w:kern w:val="28"/>
          <w:sz w:val="24"/>
          <w:szCs w:val="20"/>
          <w:lang w:val="zh-CN"/>
        </w:rPr>
        <w:t>）</w:t>
      </w:r>
      <w:r>
        <w:rPr>
          <w:rFonts w:hint="eastAsia" w:ascii="宋体" w:hAnsi="宋体" w:eastAsia="宋体" w:cs="宋体"/>
          <w:snapToGrid w:val="0"/>
          <w:color w:val="auto"/>
          <w:kern w:val="28"/>
          <w:sz w:val="24"/>
          <w:szCs w:val="20"/>
          <w:lang w:val="en-US" w:eastAsia="zh-CN"/>
        </w:rPr>
        <w:t>其他资料</w:t>
      </w:r>
      <w:r>
        <w:rPr>
          <w:rFonts w:hint="eastAsia" w:ascii="宋体" w:hAnsi="宋体" w:eastAsia="宋体" w:cs="宋体"/>
          <w:snapToGrid w:val="0"/>
          <w:color w:val="auto"/>
          <w:kern w:val="28"/>
          <w:sz w:val="24"/>
          <w:szCs w:val="20"/>
        </w:rPr>
        <w:t>………………………………………………………………………（页码）</w:t>
      </w:r>
    </w:p>
    <w:p w14:paraId="48E08B9E">
      <w:pPr>
        <w:snapToGrid w:val="0"/>
        <w:spacing w:line="360" w:lineRule="auto"/>
        <w:rPr>
          <w:rFonts w:hint="eastAsia" w:ascii="宋体" w:hAnsi="宋体" w:eastAsia="宋体" w:cs="宋体"/>
          <w:snapToGrid w:val="0"/>
          <w:color w:val="auto"/>
          <w:kern w:val="28"/>
          <w:sz w:val="24"/>
          <w:szCs w:val="20"/>
        </w:rPr>
      </w:pPr>
    </w:p>
    <w:p w14:paraId="0A7648BA">
      <w:pPr>
        <w:rPr>
          <w:rFonts w:hint="eastAsia" w:ascii="宋体" w:hAnsi="宋体" w:eastAsia="宋体" w:cs="宋体"/>
          <w:color w:val="auto"/>
        </w:rPr>
      </w:pPr>
    </w:p>
    <w:p w14:paraId="46B7B907">
      <w:pPr>
        <w:rPr>
          <w:rFonts w:hint="eastAsia" w:ascii="宋体" w:hAnsi="宋体" w:eastAsia="宋体" w:cs="宋体"/>
          <w:color w:val="auto"/>
        </w:rPr>
      </w:pPr>
    </w:p>
    <w:p w14:paraId="74F79525">
      <w:pPr>
        <w:rPr>
          <w:rFonts w:hint="eastAsia" w:ascii="宋体" w:hAnsi="宋体" w:eastAsia="宋体" w:cs="宋体"/>
          <w:color w:val="auto"/>
        </w:rPr>
      </w:pPr>
    </w:p>
    <w:p w14:paraId="59ED531C">
      <w:pPr>
        <w:rPr>
          <w:rFonts w:hint="eastAsia" w:ascii="宋体" w:hAnsi="宋体" w:eastAsia="宋体" w:cs="宋体"/>
          <w:color w:val="auto"/>
        </w:rPr>
      </w:pPr>
    </w:p>
    <w:p w14:paraId="0180F958">
      <w:pPr>
        <w:rPr>
          <w:rFonts w:hint="eastAsia" w:ascii="宋体" w:hAnsi="宋体" w:eastAsia="宋体" w:cs="宋体"/>
          <w:color w:val="auto"/>
        </w:rPr>
      </w:pPr>
    </w:p>
    <w:p w14:paraId="31249F1E">
      <w:pPr>
        <w:rPr>
          <w:rFonts w:hint="eastAsia" w:ascii="宋体" w:hAnsi="宋体" w:eastAsia="宋体" w:cs="宋体"/>
          <w:color w:val="auto"/>
        </w:rPr>
      </w:pPr>
    </w:p>
    <w:p w14:paraId="0F022176">
      <w:pPr>
        <w:rPr>
          <w:rFonts w:hint="eastAsia" w:ascii="宋体" w:hAnsi="宋体" w:eastAsia="宋体" w:cs="宋体"/>
          <w:color w:val="auto"/>
        </w:rPr>
      </w:pPr>
    </w:p>
    <w:p w14:paraId="563984F1">
      <w:pPr>
        <w:rPr>
          <w:rFonts w:hint="eastAsia" w:ascii="宋体" w:hAnsi="宋体" w:eastAsia="宋体" w:cs="宋体"/>
          <w:color w:val="auto"/>
        </w:rPr>
      </w:pPr>
    </w:p>
    <w:p w14:paraId="3568B165">
      <w:pPr>
        <w:rPr>
          <w:rFonts w:hint="eastAsia" w:ascii="宋体" w:hAnsi="宋体" w:eastAsia="宋体" w:cs="宋体"/>
          <w:color w:val="auto"/>
        </w:rPr>
      </w:pPr>
    </w:p>
    <w:p w14:paraId="070B34D0">
      <w:pPr>
        <w:rPr>
          <w:rFonts w:hint="eastAsia" w:ascii="宋体" w:hAnsi="宋体" w:eastAsia="宋体" w:cs="宋体"/>
          <w:color w:val="auto"/>
        </w:rPr>
      </w:pPr>
    </w:p>
    <w:p w14:paraId="105F1530">
      <w:pPr>
        <w:rPr>
          <w:rFonts w:hint="eastAsia" w:ascii="宋体" w:hAnsi="宋体" w:eastAsia="宋体" w:cs="宋体"/>
          <w:color w:val="auto"/>
        </w:rPr>
      </w:pPr>
    </w:p>
    <w:p w14:paraId="371C55D7">
      <w:pPr>
        <w:rPr>
          <w:rFonts w:hint="eastAsia" w:ascii="宋体" w:hAnsi="宋体" w:eastAsia="宋体" w:cs="宋体"/>
          <w:color w:val="auto"/>
        </w:rPr>
      </w:pPr>
    </w:p>
    <w:p w14:paraId="703CD2A4">
      <w:pPr>
        <w:rPr>
          <w:rFonts w:hint="eastAsia" w:ascii="宋体" w:hAnsi="宋体" w:eastAsia="宋体" w:cs="宋体"/>
          <w:color w:val="auto"/>
        </w:rPr>
      </w:pPr>
    </w:p>
    <w:p w14:paraId="0298BF10">
      <w:pPr>
        <w:rPr>
          <w:rFonts w:hint="eastAsia" w:ascii="宋体" w:hAnsi="宋体" w:eastAsia="宋体" w:cs="宋体"/>
          <w:color w:val="auto"/>
        </w:rPr>
      </w:pPr>
    </w:p>
    <w:p w14:paraId="06B6CFFC">
      <w:pPr>
        <w:rPr>
          <w:rFonts w:hint="eastAsia" w:ascii="宋体" w:hAnsi="宋体" w:eastAsia="宋体" w:cs="宋体"/>
          <w:color w:val="auto"/>
        </w:rPr>
      </w:pPr>
    </w:p>
    <w:p w14:paraId="5281A837">
      <w:pPr>
        <w:rPr>
          <w:rFonts w:hint="eastAsia" w:ascii="宋体" w:hAnsi="宋体" w:eastAsia="宋体" w:cs="宋体"/>
          <w:color w:val="auto"/>
        </w:rPr>
      </w:pPr>
    </w:p>
    <w:p w14:paraId="24E8AFDE">
      <w:pPr>
        <w:rPr>
          <w:rFonts w:hint="eastAsia" w:ascii="宋体" w:hAnsi="宋体" w:eastAsia="宋体" w:cs="宋体"/>
          <w:color w:val="auto"/>
        </w:rPr>
      </w:pPr>
    </w:p>
    <w:p w14:paraId="6E474453">
      <w:pPr>
        <w:rPr>
          <w:rFonts w:hint="eastAsia" w:ascii="宋体" w:hAnsi="宋体" w:eastAsia="宋体" w:cs="宋体"/>
          <w:color w:val="auto"/>
        </w:rPr>
      </w:pPr>
    </w:p>
    <w:p w14:paraId="0162E0A1">
      <w:pPr>
        <w:rPr>
          <w:rFonts w:hint="eastAsia" w:ascii="宋体" w:hAnsi="宋体" w:eastAsia="宋体" w:cs="宋体"/>
          <w:color w:val="auto"/>
        </w:rPr>
      </w:pPr>
    </w:p>
    <w:p w14:paraId="31EAA9A4">
      <w:pPr>
        <w:rPr>
          <w:rFonts w:hint="eastAsia" w:ascii="宋体" w:hAnsi="宋体" w:eastAsia="宋体" w:cs="宋体"/>
          <w:color w:val="auto"/>
        </w:rPr>
      </w:pPr>
    </w:p>
    <w:p w14:paraId="72EDD0B7">
      <w:pPr>
        <w:rPr>
          <w:rFonts w:hint="eastAsia" w:ascii="宋体" w:hAnsi="宋体" w:eastAsia="宋体" w:cs="宋体"/>
          <w:color w:val="auto"/>
        </w:rPr>
      </w:pPr>
    </w:p>
    <w:p w14:paraId="3CFFE2C6">
      <w:pPr>
        <w:rPr>
          <w:rFonts w:hint="eastAsia" w:ascii="宋体" w:hAnsi="宋体" w:eastAsia="宋体" w:cs="宋体"/>
          <w:color w:val="auto"/>
        </w:rPr>
      </w:pPr>
    </w:p>
    <w:p w14:paraId="4ADA7EC7">
      <w:pPr>
        <w:rPr>
          <w:rFonts w:hint="eastAsia" w:ascii="宋体" w:hAnsi="宋体" w:eastAsia="宋体" w:cs="宋体"/>
          <w:color w:val="auto"/>
        </w:rPr>
      </w:pPr>
    </w:p>
    <w:p w14:paraId="04907C9B">
      <w:pPr>
        <w:pStyle w:val="15"/>
        <w:rPr>
          <w:rFonts w:hint="eastAsia" w:ascii="宋体" w:hAnsi="宋体" w:eastAsia="宋体" w:cs="宋体"/>
          <w:color w:val="auto"/>
        </w:rPr>
      </w:pPr>
    </w:p>
    <w:p w14:paraId="1D4B6733">
      <w:pPr>
        <w:rPr>
          <w:rFonts w:hint="eastAsia" w:ascii="宋体" w:hAnsi="宋体" w:eastAsia="宋体" w:cs="宋体"/>
          <w:color w:val="auto"/>
        </w:rPr>
      </w:pPr>
    </w:p>
    <w:p w14:paraId="6E885D37">
      <w:pPr>
        <w:pStyle w:val="15"/>
        <w:rPr>
          <w:rFonts w:hint="eastAsia"/>
        </w:rPr>
      </w:pPr>
    </w:p>
    <w:p w14:paraId="1DB81BB6">
      <w:pPr>
        <w:rPr>
          <w:rFonts w:hint="eastAsia" w:ascii="宋体" w:hAnsi="宋体" w:eastAsia="宋体" w:cs="宋体"/>
          <w:color w:val="auto"/>
        </w:rPr>
      </w:pPr>
    </w:p>
    <w:p w14:paraId="0B0ED1E7">
      <w:pPr>
        <w:rPr>
          <w:rFonts w:hint="eastAsia" w:ascii="宋体" w:hAnsi="宋体" w:eastAsia="宋体" w:cs="宋体"/>
          <w:color w:val="auto"/>
        </w:rPr>
      </w:pPr>
    </w:p>
    <w:p w14:paraId="4C1F538D">
      <w:pPr>
        <w:rPr>
          <w:rFonts w:hint="eastAsia" w:ascii="宋体" w:hAnsi="宋体" w:eastAsia="宋体" w:cs="宋体"/>
          <w:color w:val="auto"/>
        </w:rPr>
      </w:pPr>
    </w:p>
    <w:p w14:paraId="677DBAA5">
      <w:pPr>
        <w:rPr>
          <w:rFonts w:hint="eastAsia" w:ascii="宋体" w:hAnsi="宋体" w:eastAsia="宋体" w:cs="宋体"/>
          <w:color w:val="auto"/>
        </w:rPr>
      </w:pPr>
    </w:p>
    <w:p w14:paraId="5F7B11BD">
      <w:pPr>
        <w:rPr>
          <w:rFonts w:hint="eastAsia" w:ascii="宋体" w:hAnsi="宋体" w:eastAsia="宋体" w:cs="宋体"/>
          <w:color w:val="auto"/>
        </w:rPr>
      </w:pPr>
    </w:p>
    <w:p w14:paraId="674EE1CB">
      <w:pPr>
        <w:pStyle w:val="4"/>
        <w:numPr>
          <w:ilvl w:val="2"/>
          <w:numId w:val="0"/>
        </w:numPr>
        <w:spacing w:before="145" w:beforeLines="50" w:after="145" w:afterLines="50" w:line="300" w:lineRule="auto"/>
        <w:ind w:left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一、投标函</w:t>
      </w:r>
    </w:p>
    <w:p w14:paraId="08F2F27F">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4"/>
          <w:u w:val="single"/>
        </w:rPr>
      </w:pPr>
      <w:r>
        <w:rPr>
          <w:rFonts w:hint="eastAsia" w:ascii="宋体" w:hAnsi="宋体" w:eastAsia="宋体" w:cs="宋体"/>
          <w:color w:val="auto"/>
          <w:sz w:val="24"/>
          <w:u w:val="single"/>
        </w:rPr>
        <w:t>（采购人）、（采购代理机构）：</w:t>
      </w:r>
    </w:p>
    <w:p w14:paraId="4CBFD18C">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我方参加你方组织的</w:t>
      </w:r>
      <w:r>
        <w:rPr>
          <w:rFonts w:hint="eastAsia" w:ascii="宋体" w:hAnsi="宋体" w:eastAsia="宋体" w:cs="宋体"/>
          <w:color w:val="auto"/>
          <w:sz w:val="24"/>
          <w:u w:val="single"/>
        </w:rPr>
        <w:t>（项目名称）（</w:t>
      </w:r>
      <w:r>
        <w:rPr>
          <w:rFonts w:hint="eastAsia" w:ascii="宋体" w:hAnsi="宋体" w:eastAsia="宋体" w:cs="宋体"/>
          <w:color w:val="auto"/>
          <w:sz w:val="24"/>
          <w:u w:val="single"/>
          <w:lang w:val="en-US" w:eastAsia="zh-CN"/>
        </w:rPr>
        <w:t>项目</w:t>
      </w:r>
      <w:r>
        <w:rPr>
          <w:rFonts w:hint="eastAsia" w:ascii="宋体" w:hAnsi="宋体" w:eastAsia="宋体" w:cs="宋体"/>
          <w:color w:val="auto"/>
          <w:sz w:val="24"/>
          <w:u w:val="single"/>
        </w:rPr>
        <w:t>编号）</w:t>
      </w:r>
      <w:r>
        <w:rPr>
          <w:rFonts w:hint="eastAsia" w:ascii="宋体" w:hAnsi="宋体" w:eastAsia="宋体" w:cs="宋体"/>
          <w:color w:val="auto"/>
          <w:sz w:val="24"/>
        </w:rPr>
        <w:t>招标的有关活动，并对此项目进行投标。为此：</w:t>
      </w:r>
    </w:p>
    <w:p w14:paraId="72103046">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1、我方承诺投标有效期从</w:t>
      </w:r>
      <w:r>
        <w:rPr>
          <w:rFonts w:hint="eastAsia" w:ascii="宋体" w:hAnsi="宋体" w:eastAsia="宋体" w:cs="宋体"/>
          <w:color w:val="auto"/>
          <w:sz w:val="24"/>
          <w:lang w:val="en-US" w:eastAsia="zh-CN"/>
        </w:rPr>
        <w:t>递交响应</w:t>
      </w:r>
      <w:r>
        <w:rPr>
          <w:rFonts w:hint="eastAsia" w:ascii="宋体" w:hAnsi="宋体" w:eastAsia="宋体" w:cs="宋体"/>
          <w:color w:val="auto"/>
          <w:sz w:val="24"/>
        </w:rPr>
        <w:t>文件的截止之日起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天，本</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文件在投标有效期满之前均具有约束力。</w:t>
      </w:r>
    </w:p>
    <w:p w14:paraId="59F62922">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2、我方的</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文件包括以下内容：</w:t>
      </w:r>
    </w:p>
    <w:p w14:paraId="574D9A22">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2.1资格文件：</w:t>
      </w:r>
    </w:p>
    <w:p w14:paraId="50B3E27F">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2.1.1满足《中华人民共和国政府采购法》第二十二条规定的资格要求；</w:t>
      </w:r>
    </w:p>
    <w:p w14:paraId="4006C6CB">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落实政府采购政策需满足的资格要求；</w:t>
      </w:r>
    </w:p>
    <w:p w14:paraId="0ACAB68D">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snapToGrid w:val="0"/>
          <w:color w:val="auto"/>
          <w:kern w:val="28"/>
          <w:sz w:val="24"/>
          <w:szCs w:val="20"/>
          <w:lang w:eastAsia="zh-CN"/>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w:t>
      </w:r>
      <w:r>
        <w:rPr>
          <w:rFonts w:hint="eastAsia" w:ascii="宋体" w:hAnsi="宋体" w:eastAsia="宋体" w:cs="宋体"/>
          <w:snapToGrid w:val="0"/>
          <w:color w:val="auto"/>
          <w:kern w:val="28"/>
          <w:sz w:val="24"/>
          <w:szCs w:val="20"/>
          <w:lang w:eastAsia="zh-CN"/>
        </w:rPr>
        <w:t>；</w:t>
      </w:r>
    </w:p>
    <w:p w14:paraId="235BA8DE">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snapToGrid w:val="0"/>
          <w:color w:val="auto"/>
          <w:kern w:val="28"/>
          <w:sz w:val="24"/>
          <w:szCs w:val="20"/>
          <w:lang w:val="en-US" w:eastAsia="zh-CN"/>
        </w:rPr>
        <w:t>2.1.4其他资格要求</w:t>
      </w:r>
      <w:r>
        <w:rPr>
          <w:rFonts w:hint="eastAsia" w:ascii="宋体" w:hAnsi="宋体" w:eastAsia="宋体" w:cs="宋体"/>
          <w:color w:val="auto"/>
          <w:sz w:val="24"/>
        </w:rPr>
        <w:t>。</w:t>
      </w:r>
    </w:p>
    <w:p w14:paraId="5C1E7635">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p>
    <w:p w14:paraId="555097BC">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2.2.1投标函；</w:t>
      </w:r>
      <w:r>
        <w:rPr>
          <w:rFonts w:hint="eastAsia" w:ascii="宋体" w:hAnsi="宋体" w:eastAsia="宋体" w:cs="宋体"/>
          <w:color w:val="auto"/>
          <w:sz w:val="24"/>
          <w:lang w:val="zh-CN"/>
        </w:rPr>
        <w:t xml:space="preserve"> </w:t>
      </w:r>
    </w:p>
    <w:p w14:paraId="6ADDBBA8">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2.2.2授权委托书或法定代表人（单位负责人）身份证明；</w:t>
      </w:r>
    </w:p>
    <w:p w14:paraId="319F5946">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2.2.3</w:t>
      </w:r>
      <w:r>
        <w:rPr>
          <w:rFonts w:hint="eastAsia" w:ascii="宋体" w:hAnsi="宋体" w:eastAsia="宋体" w:cs="宋体"/>
          <w:color w:val="auto"/>
          <w:sz w:val="24"/>
          <w:lang w:val="en-US" w:eastAsia="zh-CN"/>
        </w:rPr>
        <w:t>响应保证金</w:t>
      </w:r>
      <w:r>
        <w:rPr>
          <w:rFonts w:hint="eastAsia" w:ascii="宋体" w:hAnsi="宋体" w:eastAsia="宋体" w:cs="宋体"/>
          <w:color w:val="auto"/>
          <w:sz w:val="24"/>
        </w:rPr>
        <w:t>；</w:t>
      </w:r>
    </w:p>
    <w:p w14:paraId="270C301E">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2.2.4投标</w:t>
      </w:r>
      <w:r>
        <w:rPr>
          <w:rFonts w:hint="eastAsia" w:ascii="宋体" w:hAnsi="宋体" w:cs="宋体"/>
          <w:color w:val="auto"/>
          <w:sz w:val="24"/>
          <w:lang w:val="en-US" w:eastAsia="zh-CN"/>
        </w:rPr>
        <w:t>服务</w:t>
      </w:r>
      <w:r>
        <w:rPr>
          <w:rFonts w:hint="eastAsia" w:ascii="宋体" w:hAnsi="宋体" w:eastAsia="宋体" w:cs="宋体"/>
          <w:color w:val="auto"/>
          <w:sz w:val="24"/>
          <w:lang w:val="en-US" w:eastAsia="zh-CN"/>
        </w:rPr>
        <w:t>配置</w:t>
      </w:r>
      <w:r>
        <w:rPr>
          <w:rFonts w:hint="eastAsia" w:ascii="宋体" w:hAnsi="宋体" w:eastAsia="宋体" w:cs="宋体"/>
          <w:color w:val="auto"/>
          <w:sz w:val="24"/>
        </w:rPr>
        <w:t>清单；</w:t>
      </w:r>
    </w:p>
    <w:p w14:paraId="7F0A952D">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5</w:t>
      </w:r>
      <w:r>
        <w:rPr>
          <w:rFonts w:hint="eastAsia" w:ascii="宋体" w:hAnsi="宋体" w:eastAsia="宋体" w:cs="宋体"/>
          <w:color w:val="auto"/>
          <w:sz w:val="24"/>
        </w:rPr>
        <w:t>商务技术偏离表；</w:t>
      </w:r>
    </w:p>
    <w:p w14:paraId="3C59A51D">
      <w:pPr>
        <w:keepNext w:val="0"/>
        <w:keepLines w:val="0"/>
        <w:pageBreakBefore w:val="0"/>
        <w:widowControl w:val="0"/>
        <w:kinsoku/>
        <w:wordWrap/>
        <w:overflowPunct/>
        <w:topLinePunct w:val="0"/>
        <w:autoSpaceDE/>
        <w:autoSpaceDN/>
        <w:bidi w:val="0"/>
        <w:adjustRightInd/>
        <w:snapToGrid w:val="0"/>
        <w:spacing w:line="380" w:lineRule="exact"/>
        <w:ind w:left="210" w:leftChars="100" w:firstLine="720" w:firstLineChars="3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服务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响应</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方案</w:t>
      </w:r>
      <w:r>
        <w:rPr>
          <w:rFonts w:hint="eastAsia" w:ascii="宋体" w:hAnsi="宋体" w:eastAsia="宋体" w:cs="宋体"/>
          <w:color w:val="auto"/>
          <w:sz w:val="24"/>
          <w:lang w:val="zh-CN"/>
        </w:rPr>
        <w:t>；</w:t>
      </w:r>
    </w:p>
    <w:p w14:paraId="1872E00C">
      <w:pPr>
        <w:keepNext w:val="0"/>
        <w:keepLines w:val="0"/>
        <w:pageBreakBefore w:val="0"/>
        <w:widowControl w:val="0"/>
        <w:kinsoku/>
        <w:wordWrap/>
        <w:overflowPunct/>
        <w:topLinePunct w:val="0"/>
        <w:autoSpaceDE/>
        <w:autoSpaceDN/>
        <w:bidi w:val="0"/>
        <w:adjustRightInd/>
        <w:snapToGrid w:val="0"/>
        <w:spacing w:line="380" w:lineRule="exact"/>
        <w:ind w:left="210" w:leftChars="100" w:firstLine="720" w:firstLineChars="3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2.2.7其他资料。</w:t>
      </w:r>
    </w:p>
    <w:p w14:paraId="1396DBAA">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30D0B588">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2.3.1开标一览表；</w:t>
      </w:r>
    </w:p>
    <w:p w14:paraId="4F1717EC">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w:t>
      </w:r>
      <w:r>
        <w:rPr>
          <w:rFonts w:hint="eastAsia" w:ascii="宋体" w:hAnsi="宋体" w:eastAsia="宋体" w:cs="宋体"/>
          <w:color w:val="auto"/>
          <w:sz w:val="24"/>
          <w:lang w:val="en-US" w:eastAsia="zh-CN"/>
        </w:rPr>
        <w:t>2报价明细</w:t>
      </w:r>
      <w:r>
        <w:rPr>
          <w:rFonts w:hint="eastAsia" w:ascii="宋体" w:hAnsi="宋体" w:eastAsia="宋体" w:cs="宋体"/>
          <w:color w:val="auto"/>
          <w:sz w:val="24"/>
        </w:rPr>
        <w:t>表。</w:t>
      </w:r>
    </w:p>
    <w:p w14:paraId="2305E292">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3、我方承诺除商务技术偏离表列出的偏离外，我方响应</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文件的全部要求。</w:t>
      </w:r>
    </w:p>
    <w:p w14:paraId="670A2C2E">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4、如我方中标，我方承诺：</w:t>
      </w:r>
    </w:p>
    <w:p w14:paraId="3ECC3FB6">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4.1在收到中标通知书后，在中标通知书规定的期限内与你方签订合同； </w:t>
      </w:r>
    </w:p>
    <w:p w14:paraId="2CB16A29">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4.2在签订合同时不向你方提出附加条件； </w:t>
      </w:r>
    </w:p>
    <w:p w14:paraId="6F23BE5C">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4.3按照</w:t>
      </w:r>
      <w:r>
        <w:rPr>
          <w:rFonts w:hint="eastAsia" w:ascii="宋体" w:hAnsi="宋体" w:eastAsia="宋体" w:cs="宋体"/>
          <w:color w:val="auto"/>
          <w:sz w:val="24"/>
          <w:lang w:val="en-US" w:eastAsia="zh-CN"/>
        </w:rPr>
        <w:t>磋商</w:t>
      </w:r>
      <w:r>
        <w:rPr>
          <w:rFonts w:hint="eastAsia" w:ascii="宋体" w:hAnsi="宋体" w:eastAsia="宋体" w:cs="宋体"/>
          <w:color w:val="auto"/>
          <w:sz w:val="24"/>
        </w:rPr>
        <w:t xml:space="preserve">文件要求提交履约保证金； </w:t>
      </w:r>
    </w:p>
    <w:p w14:paraId="03232679">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4.4在合同约定的期限内完成合同规定的全部义务。 </w:t>
      </w:r>
    </w:p>
    <w:p w14:paraId="6B5FF655">
      <w:pPr>
        <w:keepNext w:val="0"/>
        <w:keepLines w:val="0"/>
        <w:pageBreakBefore w:val="0"/>
        <w:widowControl w:val="0"/>
        <w:kinsoku/>
        <w:wordWrap/>
        <w:overflowPunct/>
        <w:topLinePunct w:val="0"/>
        <w:autoSpaceDE/>
        <w:autoSpaceDN/>
        <w:bidi w:val="0"/>
        <w:adjustRightInd/>
        <w:snapToGrid w:val="0"/>
        <w:spacing w:line="380" w:lineRule="exact"/>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5、其他补充说明:</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B1869D4">
      <w:pPr>
        <w:keepNext w:val="0"/>
        <w:keepLines w:val="0"/>
        <w:pageBreakBefore w:val="0"/>
        <w:widowControl w:val="0"/>
        <w:kinsoku/>
        <w:wordWrap/>
        <w:overflowPunct/>
        <w:topLinePunct w:val="0"/>
        <w:autoSpaceDE/>
        <w:autoSpaceDN/>
        <w:bidi w:val="0"/>
        <w:adjustRightInd/>
        <w:spacing w:line="380" w:lineRule="exact"/>
        <w:ind w:firstLine="3600" w:firstLineChars="1500"/>
        <w:textAlignment w:val="auto"/>
        <w:rPr>
          <w:rFonts w:hint="eastAsia" w:ascii="宋体" w:hAnsi="宋体" w:eastAsia="宋体" w:cs="宋体"/>
          <w:color w:val="auto"/>
          <w:sz w:val="24"/>
        </w:rPr>
      </w:pPr>
    </w:p>
    <w:p w14:paraId="30699A46">
      <w:pPr>
        <w:keepNext w:val="0"/>
        <w:keepLines w:val="0"/>
        <w:pageBreakBefore w:val="0"/>
        <w:widowControl w:val="0"/>
        <w:kinsoku/>
        <w:wordWrap/>
        <w:overflowPunct/>
        <w:topLinePunct w:val="0"/>
        <w:autoSpaceDE/>
        <w:autoSpaceDN/>
        <w:bidi w:val="0"/>
        <w:adjustRightInd/>
        <w:spacing w:line="380" w:lineRule="exact"/>
        <w:ind w:firstLine="5280" w:firstLineChars="2200"/>
        <w:textAlignment w:val="auto"/>
        <w:rPr>
          <w:rFonts w:hint="eastAsia" w:ascii="宋体" w:hAnsi="宋体" w:eastAsia="宋体" w:cs="宋体"/>
          <w:color w:val="auto"/>
          <w:sz w:val="24"/>
        </w:rPr>
      </w:pPr>
      <w:r>
        <w:rPr>
          <w:rFonts w:hint="eastAsia" w:ascii="宋体" w:hAnsi="宋体" w:cs="宋体"/>
          <w:color w:val="auto"/>
          <w:sz w:val="24"/>
          <w:lang w:eastAsia="zh-CN"/>
        </w:rPr>
        <w:t>供应商</w:t>
      </w:r>
      <w:r>
        <w:rPr>
          <w:rFonts w:hint="eastAsia" w:ascii="宋体" w:hAnsi="宋体" w:eastAsia="宋体" w:cs="宋体"/>
          <w:color w:val="auto"/>
          <w:sz w:val="24"/>
        </w:rPr>
        <w:t xml:space="preserve">名称（电子签名）：                          </w:t>
      </w:r>
    </w:p>
    <w:p w14:paraId="3258813B">
      <w:pPr>
        <w:keepNext w:val="0"/>
        <w:keepLines w:val="0"/>
        <w:pageBreakBefore w:val="0"/>
        <w:widowControl w:val="0"/>
        <w:kinsoku/>
        <w:wordWrap/>
        <w:overflowPunct/>
        <w:topLinePunct w:val="0"/>
        <w:autoSpaceDE/>
        <w:autoSpaceDN/>
        <w:bidi w:val="0"/>
        <w:adjustRightInd/>
        <w:spacing w:line="380" w:lineRule="exact"/>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3C80F92B">
      <w:pPr>
        <w:keepNext w:val="0"/>
        <w:keepLines w:val="0"/>
        <w:pageBreakBefore w:val="0"/>
        <w:widowControl w:val="0"/>
        <w:kinsoku/>
        <w:wordWrap/>
        <w:overflowPunct/>
        <w:topLinePunct w:val="0"/>
        <w:autoSpaceDE/>
        <w:autoSpaceDN/>
        <w:bidi w:val="0"/>
        <w:adjustRightInd/>
        <w:snapToGrid w:val="0"/>
        <w:spacing w:line="380" w:lineRule="exact"/>
        <w:ind w:left="420" w:leftChars="200" w:firstLine="4200" w:firstLineChars="1750"/>
        <w:textAlignment w:val="auto"/>
        <w:rPr>
          <w:rFonts w:hint="eastAsia" w:ascii="宋体" w:hAnsi="宋体" w:eastAsia="宋体" w:cs="宋体"/>
          <w:color w:val="auto"/>
          <w:kern w:val="0"/>
          <w:sz w:val="24"/>
          <w:u w:val="single"/>
        </w:rPr>
      </w:pPr>
    </w:p>
    <w:p w14:paraId="579AD44B">
      <w:pPr>
        <w:keepNext w:val="0"/>
        <w:keepLines w:val="0"/>
        <w:pageBreakBefore w:val="0"/>
        <w:widowControl w:val="0"/>
        <w:kinsoku/>
        <w:wordWrap/>
        <w:overflowPunct/>
        <w:topLinePunct w:val="0"/>
        <w:autoSpaceDE/>
        <w:autoSpaceDN/>
        <w:bidi w:val="0"/>
        <w:adjustRightInd/>
        <w:spacing w:line="380" w:lineRule="exact"/>
        <w:ind w:right="420"/>
        <w:textAlignment w:val="auto"/>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19F192F2">
      <w:pPr>
        <w:pStyle w:val="32"/>
        <w:ind w:left="0" w:leftChars="0" w:firstLine="0" w:firstLineChars="0"/>
        <w:rPr>
          <w:rFonts w:hint="eastAsia" w:ascii="宋体" w:hAnsi="宋体" w:eastAsia="宋体" w:cs="宋体"/>
          <w:bCs/>
          <w:color w:val="auto"/>
          <w:sz w:val="24"/>
          <w:lang w:eastAsia="zh-CN"/>
        </w:rPr>
      </w:pPr>
    </w:p>
    <w:p w14:paraId="1674C75B">
      <w:pPr>
        <w:pStyle w:val="4"/>
        <w:numPr>
          <w:ilvl w:val="2"/>
          <w:numId w:val="0"/>
        </w:numPr>
        <w:spacing w:before="145" w:beforeLines="50" w:after="145" w:afterLines="50" w:line="300" w:lineRule="auto"/>
        <w:ind w:leftChars="0"/>
        <w:jc w:val="center"/>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en-US" w:eastAsia="zh-CN"/>
        </w:rPr>
        <w:t>二、</w:t>
      </w:r>
      <w:r>
        <w:rPr>
          <w:rFonts w:hint="eastAsia" w:ascii="宋体" w:hAnsi="宋体" w:eastAsia="宋体" w:cs="宋体"/>
          <w:b/>
          <w:bCs/>
          <w:color w:val="auto"/>
          <w:sz w:val="24"/>
          <w:szCs w:val="24"/>
          <w:lang w:val="zh-CN" w:eastAsia="zh-CN"/>
        </w:rPr>
        <w:t>授权委托书或法定代表人（单位负责人、自然人本人）身份证明</w:t>
      </w:r>
    </w:p>
    <w:p w14:paraId="35B18E9A">
      <w:pPr>
        <w:spacing w:line="360" w:lineRule="auto"/>
        <w:ind w:right="420"/>
        <w:jc w:val="center"/>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法定代表人（单位负责人）身份证明</w:t>
      </w:r>
    </w:p>
    <w:p w14:paraId="4D34A3E6">
      <w:pPr>
        <w:spacing w:line="360" w:lineRule="auto"/>
        <w:ind w:right="42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（适用于法定代表人、单位负责人或者自然人本人代表</w:t>
      </w:r>
      <w:r>
        <w:rPr>
          <w:rFonts w:hint="eastAsia" w:ascii="宋体" w:hAnsi="宋体" w:cs="宋体"/>
          <w:color w:val="auto"/>
          <w:sz w:val="24"/>
          <w:lang w:val="en-US" w:eastAsia="zh-CN"/>
        </w:rPr>
        <w:t>供应商</w:t>
      </w:r>
      <w:r>
        <w:rPr>
          <w:rFonts w:hint="eastAsia" w:ascii="宋体" w:hAnsi="宋体" w:eastAsia="宋体" w:cs="宋体"/>
          <w:color w:val="auto"/>
          <w:sz w:val="24"/>
          <w:lang w:val="en-US" w:eastAsia="zh-CN"/>
        </w:rPr>
        <w:t>参加投标）</w:t>
      </w:r>
    </w:p>
    <w:p w14:paraId="5CF571EF">
      <w:pPr>
        <w:pStyle w:val="94"/>
        <w:spacing w:line="360" w:lineRule="auto"/>
        <w:rPr>
          <w:rFonts w:hint="eastAsia" w:ascii="宋体" w:hAnsi="宋体" w:eastAsia="宋体" w:cs="宋体"/>
          <w:bCs/>
          <w:color w:val="auto"/>
          <w:sz w:val="24"/>
        </w:rPr>
      </w:pPr>
      <w:r>
        <w:rPr>
          <w:rFonts w:hint="eastAsia" w:ascii="宋体" w:hAnsi="宋体" w:eastAsia="宋体" w:cs="宋体"/>
          <w:bCs/>
          <w:color w:val="auto"/>
          <w:sz w:val="24"/>
        </w:rPr>
        <w:t>身份证件扫描件：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1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noWrap w:val="0"/>
            <w:vAlign w:val="top"/>
          </w:tcPr>
          <w:p w14:paraId="35CD6B65">
            <w:pPr>
              <w:pStyle w:val="94"/>
              <w:adjustRightIn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正面：                                 反面：</w:t>
            </w:r>
          </w:p>
          <w:p w14:paraId="710D5757">
            <w:pPr>
              <w:pStyle w:val="94"/>
              <w:adjustRightInd w:val="0"/>
              <w:spacing w:line="360" w:lineRule="auto"/>
              <w:rPr>
                <w:rFonts w:hint="eastAsia" w:ascii="宋体" w:hAnsi="宋体" w:eastAsia="宋体" w:cs="宋体"/>
                <w:bCs/>
                <w:color w:val="auto"/>
                <w:sz w:val="24"/>
              </w:rPr>
            </w:pPr>
          </w:p>
        </w:tc>
      </w:tr>
    </w:tbl>
    <w:p w14:paraId="790419CA">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p>
    <w:p w14:paraId="1D8E7E98">
      <w:pPr>
        <w:snapToGrid w:val="0"/>
        <w:spacing w:line="360" w:lineRule="auto"/>
        <w:ind w:firstLine="576"/>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 xml:space="preserve">名称(电子签名)：                              </w:t>
      </w:r>
    </w:p>
    <w:p w14:paraId="21FC4768">
      <w:pPr>
        <w:spacing w:line="360" w:lineRule="auto"/>
        <w:jc w:val="center"/>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63B589BA">
      <w:pPr>
        <w:rPr>
          <w:rFonts w:hint="eastAsia" w:ascii="宋体" w:hAnsi="宋体" w:eastAsia="宋体" w:cs="宋体"/>
          <w:color w:val="auto"/>
          <w:lang w:val="en-US" w:eastAsia="zh-CN"/>
        </w:rPr>
      </w:pPr>
      <w:bookmarkStart w:id="278" w:name="_Toc1893"/>
    </w:p>
    <w:p w14:paraId="735F79BD">
      <w:pPr>
        <w:rPr>
          <w:rFonts w:hint="eastAsia" w:ascii="宋体" w:hAnsi="宋体" w:eastAsia="宋体" w:cs="宋体"/>
          <w:b/>
          <w:bCs/>
          <w:color w:val="auto"/>
          <w:sz w:val="24"/>
          <w:szCs w:val="24"/>
          <w:lang w:val="en-US" w:eastAsia="zh-CN"/>
        </w:rPr>
      </w:pPr>
    </w:p>
    <w:p w14:paraId="3BF57E8C">
      <w:pPr>
        <w:pStyle w:val="31"/>
        <w:rPr>
          <w:rFonts w:hint="eastAsia" w:ascii="宋体" w:hAnsi="宋体" w:eastAsia="宋体" w:cs="宋体"/>
          <w:b/>
          <w:bCs/>
          <w:color w:val="auto"/>
          <w:sz w:val="24"/>
          <w:szCs w:val="24"/>
          <w:lang w:val="en-US" w:eastAsia="zh-CN"/>
        </w:rPr>
      </w:pPr>
    </w:p>
    <w:p w14:paraId="10A578E9">
      <w:pPr>
        <w:pStyle w:val="15"/>
        <w:rPr>
          <w:rFonts w:hint="eastAsia" w:ascii="宋体" w:hAnsi="宋体" w:eastAsia="宋体" w:cs="宋体"/>
          <w:b/>
          <w:bCs/>
          <w:color w:val="auto"/>
          <w:sz w:val="24"/>
          <w:szCs w:val="24"/>
          <w:lang w:val="en-US" w:eastAsia="zh-CN"/>
        </w:rPr>
      </w:pPr>
    </w:p>
    <w:p w14:paraId="18AAEAC4">
      <w:pPr>
        <w:pStyle w:val="15"/>
        <w:rPr>
          <w:rFonts w:hint="eastAsia" w:ascii="宋体" w:hAnsi="宋体" w:eastAsia="宋体" w:cs="宋体"/>
          <w:b/>
          <w:bCs/>
          <w:color w:val="auto"/>
          <w:sz w:val="24"/>
          <w:szCs w:val="24"/>
          <w:lang w:val="en-US" w:eastAsia="zh-CN"/>
        </w:rPr>
      </w:pPr>
    </w:p>
    <w:p w14:paraId="23D8C1F9">
      <w:pPr>
        <w:pStyle w:val="15"/>
        <w:rPr>
          <w:rFonts w:hint="eastAsia" w:ascii="宋体" w:hAnsi="宋体" w:eastAsia="宋体" w:cs="宋体"/>
          <w:b/>
          <w:bCs/>
          <w:color w:val="auto"/>
          <w:sz w:val="24"/>
          <w:szCs w:val="24"/>
          <w:lang w:val="en-US" w:eastAsia="zh-CN"/>
        </w:rPr>
      </w:pPr>
    </w:p>
    <w:p w14:paraId="2BA95E69">
      <w:pPr>
        <w:pStyle w:val="15"/>
        <w:rPr>
          <w:rFonts w:hint="eastAsia" w:ascii="宋体" w:hAnsi="宋体" w:eastAsia="宋体" w:cs="宋体"/>
          <w:b/>
          <w:bCs/>
          <w:color w:val="auto"/>
          <w:sz w:val="24"/>
          <w:szCs w:val="24"/>
          <w:lang w:val="en-US" w:eastAsia="zh-CN"/>
        </w:rPr>
      </w:pPr>
    </w:p>
    <w:p w14:paraId="28BA8208">
      <w:pPr>
        <w:pStyle w:val="15"/>
        <w:rPr>
          <w:rFonts w:hint="eastAsia" w:ascii="宋体" w:hAnsi="宋体" w:eastAsia="宋体" w:cs="宋体"/>
          <w:b/>
          <w:bCs/>
          <w:color w:val="auto"/>
          <w:sz w:val="24"/>
          <w:szCs w:val="24"/>
          <w:lang w:val="en-US" w:eastAsia="zh-CN"/>
        </w:rPr>
      </w:pPr>
    </w:p>
    <w:p w14:paraId="62F8FA0B">
      <w:pPr>
        <w:pStyle w:val="15"/>
        <w:rPr>
          <w:rFonts w:hint="eastAsia" w:ascii="宋体" w:hAnsi="宋体" w:eastAsia="宋体" w:cs="宋体"/>
          <w:b/>
          <w:bCs/>
          <w:color w:val="auto"/>
          <w:sz w:val="24"/>
          <w:szCs w:val="24"/>
          <w:lang w:val="en-US" w:eastAsia="zh-CN"/>
        </w:rPr>
      </w:pPr>
    </w:p>
    <w:p w14:paraId="1F98F235">
      <w:pPr>
        <w:pStyle w:val="15"/>
        <w:rPr>
          <w:rFonts w:hint="eastAsia" w:ascii="宋体" w:hAnsi="宋体" w:eastAsia="宋体" w:cs="宋体"/>
          <w:b/>
          <w:bCs/>
          <w:color w:val="auto"/>
          <w:sz w:val="24"/>
          <w:szCs w:val="24"/>
          <w:lang w:val="en-US" w:eastAsia="zh-CN"/>
        </w:rPr>
      </w:pPr>
    </w:p>
    <w:p w14:paraId="16C46BFD">
      <w:pPr>
        <w:pStyle w:val="15"/>
        <w:rPr>
          <w:rFonts w:hint="eastAsia" w:ascii="宋体" w:hAnsi="宋体" w:eastAsia="宋体" w:cs="宋体"/>
          <w:b/>
          <w:bCs/>
          <w:color w:val="auto"/>
          <w:sz w:val="24"/>
          <w:szCs w:val="24"/>
          <w:lang w:val="en-US" w:eastAsia="zh-CN"/>
        </w:rPr>
      </w:pPr>
    </w:p>
    <w:p w14:paraId="6BC37DB8">
      <w:pPr>
        <w:pStyle w:val="15"/>
        <w:rPr>
          <w:rFonts w:hint="eastAsia" w:ascii="宋体" w:hAnsi="宋体" w:eastAsia="宋体" w:cs="宋体"/>
          <w:b/>
          <w:bCs/>
          <w:color w:val="auto"/>
          <w:sz w:val="24"/>
          <w:szCs w:val="24"/>
          <w:lang w:val="en-US" w:eastAsia="zh-CN"/>
        </w:rPr>
      </w:pPr>
    </w:p>
    <w:p w14:paraId="60E21CF1">
      <w:pPr>
        <w:snapToGrid w:val="0"/>
        <w:spacing w:line="360" w:lineRule="auto"/>
        <w:jc w:val="both"/>
        <w:rPr>
          <w:rFonts w:hint="eastAsia" w:ascii="宋体" w:hAnsi="宋体" w:eastAsia="宋体" w:cs="宋体"/>
          <w:b/>
          <w:bCs/>
          <w:color w:val="auto"/>
          <w:kern w:val="0"/>
          <w:sz w:val="24"/>
          <w:szCs w:val="24"/>
          <w:lang w:val="zh-CN" w:eastAsia="zh-CN" w:bidi="ar-SA"/>
        </w:rPr>
      </w:pPr>
    </w:p>
    <w:p w14:paraId="76A644B3">
      <w:pPr>
        <w:snapToGrid w:val="0"/>
        <w:spacing w:line="360" w:lineRule="auto"/>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bCs/>
          <w:color w:val="auto"/>
          <w:kern w:val="0"/>
          <w:sz w:val="24"/>
          <w:szCs w:val="24"/>
          <w:lang w:val="zh-CN" w:eastAsia="zh-CN" w:bidi="ar-SA"/>
        </w:rPr>
        <w:t>授权委托书（适用于非联合体投标）</w:t>
      </w:r>
    </w:p>
    <w:p w14:paraId="3289270B">
      <w:pPr>
        <w:rPr>
          <w:rFonts w:hint="eastAsia" w:ascii="宋体" w:hAnsi="宋体" w:eastAsia="宋体" w:cs="宋体"/>
          <w:color w:val="auto"/>
        </w:rPr>
      </w:pPr>
    </w:p>
    <w:p w14:paraId="5AA0D69E">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31D2E15B">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6D4BE045">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192E4CEC">
      <w:pPr>
        <w:snapToGrid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特此告知。</w:t>
      </w:r>
    </w:p>
    <w:p w14:paraId="7B457B3A">
      <w:pPr>
        <w:snapToGrid w:val="0"/>
        <w:spacing w:line="360"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附：</w:t>
      </w:r>
      <w:r>
        <w:rPr>
          <w:rFonts w:hint="eastAsia" w:ascii="宋体" w:hAnsi="宋体" w:eastAsia="宋体" w:cs="宋体"/>
          <w:color w:val="auto"/>
          <w:kern w:val="0"/>
          <w:sz w:val="24"/>
          <w:lang w:val="zh-CN"/>
        </w:rPr>
        <w:t>代理人</w:t>
      </w:r>
      <w:r>
        <w:rPr>
          <w:rFonts w:hint="eastAsia" w:ascii="宋体" w:hAnsi="宋体" w:eastAsia="宋体" w:cs="宋体"/>
          <w:color w:val="auto"/>
          <w:kern w:val="0"/>
          <w:sz w:val="24"/>
          <w:lang w:val="en-US" w:eastAsia="zh-CN"/>
        </w:rPr>
        <w:t>身份证正反面扫描件。</w:t>
      </w:r>
    </w:p>
    <w:p w14:paraId="780E1B3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lang w:val="zh-CN"/>
        </w:rPr>
        <w:t xml:space="preserve">                                                 </w:t>
      </w: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p>
    <w:p w14:paraId="3BE4C34E">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签发日期：  年  月   日</w:t>
      </w:r>
    </w:p>
    <w:p w14:paraId="553B386A">
      <w:pPr>
        <w:snapToGrid w:val="0"/>
        <w:spacing w:line="360" w:lineRule="auto"/>
        <w:rPr>
          <w:rFonts w:hint="eastAsia" w:ascii="宋体" w:hAnsi="宋体" w:eastAsia="宋体" w:cs="宋体"/>
          <w:color w:val="auto"/>
          <w:sz w:val="24"/>
        </w:rPr>
      </w:pPr>
    </w:p>
    <w:p w14:paraId="0BC54FE8">
      <w:pPr>
        <w:snapToGrid w:val="0"/>
        <w:spacing w:line="360" w:lineRule="auto"/>
        <w:rPr>
          <w:rFonts w:hint="eastAsia" w:ascii="宋体" w:hAnsi="宋体" w:eastAsia="宋体" w:cs="宋体"/>
          <w:color w:val="auto"/>
          <w:sz w:val="24"/>
        </w:rPr>
      </w:pPr>
    </w:p>
    <w:p w14:paraId="3815BA16">
      <w:pPr>
        <w:snapToGrid w:val="0"/>
        <w:spacing w:line="360" w:lineRule="auto"/>
        <w:rPr>
          <w:rFonts w:hint="eastAsia" w:ascii="宋体" w:hAnsi="宋体" w:eastAsia="宋体" w:cs="宋体"/>
          <w:color w:val="auto"/>
          <w:sz w:val="24"/>
        </w:rPr>
      </w:pPr>
    </w:p>
    <w:p w14:paraId="16B1237A">
      <w:pPr>
        <w:jc w:val="center"/>
        <w:rPr>
          <w:rFonts w:hint="eastAsia" w:ascii="宋体" w:hAnsi="宋体" w:eastAsia="宋体" w:cs="宋体"/>
          <w:b/>
          <w:bCs/>
          <w:color w:val="auto"/>
          <w:kern w:val="0"/>
          <w:sz w:val="24"/>
          <w:szCs w:val="24"/>
          <w:lang w:val="zh-CN" w:eastAsia="zh-CN" w:bidi="ar-SA"/>
        </w:rPr>
      </w:pPr>
      <w:r>
        <w:rPr>
          <w:rFonts w:hint="eastAsia" w:ascii="宋体" w:hAnsi="宋体" w:eastAsia="宋体" w:cs="宋体"/>
          <w:b/>
          <w:color w:val="auto"/>
          <w:kern w:val="0"/>
          <w:sz w:val="32"/>
          <w:szCs w:val="32"/>
          <w:lang w:val="zh-CN"/>
        </w:rPr>
        <w:t xml:space="preserve">      </w:t>
      </w:r>
      <w:r>
        <w:rPr>
          <w:rFonts w:hint="eastAsia" w:ascii="宋体" w:hAnsi="宋体" w:eastAsia="宋体" w:cs="宋体"/>
          <w:b/>
          <w:bCs/>
          <w:color w:val="auto"/>
          <w:kern w:val="0"/>
          <w:sz w:val="24"/>
          <w:szCs w:val="24"/>
          <w:lang w:val="zh-CN" w:eastAsia="zh-CN" w:bidi="ar-SA"/>
        </w:rPr>
        <w:t xml:space="preserve"> 授权委托书（适用于联合体投标）</w:t>
      </w:r>
    </w:p>
    <w:p w14:paraId="5D21F341">
      <w:pPr>
        <w:rPr>
          <w:rFonts w:hint="eastAsia" w:ascii="宋体" w:hAnsi="宋体" w:eastAsia="宋体" w:cs="宋体"/>
          <w:color w:val="auto"/>
          <w:lang w:val="zh-CN" w:eastAsia="zh-CN"/>
        </w:rPr>
      </w:pPr>
    </w:p>
    <w:p w14:paraId="6895F549">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5F60A6A5">
      <w:pPr>
        <w:snapToGrid w:val="0"/>
        <w:spacing w:line="360" w:lineRule="auto"/>
        <w:ind w:firstLine="576"/>
        <w:rPr>
          <w:rFonts w:hint="eastAsia"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6CA6AF5B">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521F69E1">
      <w:pPr>
        <w:snapToGrid w:val="0"/>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73445568">
      <w:pPr>
        <w:snapToGrid w:val="0"/>
        <w:spacing w:line="360" w:lineRule="auto"/>
        <w:ind w:firstLine="480"/>
        <w:rPr>
          <w:rFonts w:hint="eastAsia" w:ascii="宋体" w:hAnsi="宋体" w:eastAsia="宋体" w:cs="宋体"/>
          <w:color w:val="auto"/>
          <w:kern w:val="0"/>
          <w:sz w:val="24"/>
          <w:lang w:val="zh-CN"/>
        </w:rPr>
      </w:pPr>
      <w:r>
        <w:rPr>
          <w:rFonts w:hint="eastAsia" w:ascii="宋体" w:hAnsi="宋体" w:eastAsia="宋体" w:cs="宋体"/>
          <w:color w:val="auto"/>
          <w:kern w:val="0"/>
          <w:sz w:val="24"/>
          <w:lang w:val="en-US" w:eastAsia="zh-CN"/>
        </w:rPr>
        <w:t>附：</w:t>
      </w:r>
      <w:r>
        <w:rPr>
          <w:rFonts w:hint="eastAsia" w:ascii="宋体" w:hAnsi="宋体" w:eastAsia="宋体" w:cs="宋体"/>
          <w:color w:val="auto"/>
          <w:kern w:val="0"/>
          <w:sz w:val="24"/>
          <w:lang w:val="zh-CN"/>
        </w:rPr>
        <w:t>代理人</w:t>
      </w:r>
      <w:r>
        <w:rPr>
          <w:rFonts w:hint="eastAsia" w:ascii="宋体" w:hAnsi="宋体" w:eastAsia="宋体" w:cs="宋体"/>
          <w:color w:val="auto"/>
          <w:kern w:val="0"/>
          <w:sz w:val="24"/>
          <w:lang w:val="en-US" w:eastAsia="zh-CN"/>
        </w:rPr>
        <w:t>身份证正反面扫描件。</w:t>
      </w:r>
    </w:p>
    <w:p w14:paraId="31FBBEA7">
      <w:pPr>
        <w:snapToGrid w:val="0"/>
        <w:spacing w:line="360" w:lineRule="auto"/>
        <w:ind w:firstLine="5040" w:firstLineChars="2100"/>
        <w:rPr>
          <w:rFonts w:hint="eastAsia" w:ascii="宋体" w:hAnsi="宋体" w:eastAsia="宋体" w:cs="宋体"/>
          <w:color w:val="auto"/>
          <w:kern w:val="0"/>
          <w:sz w:val="24"/>
          <w:lang w:val="zh-CN"/>
        </w:rPr>
      </w:pPr>
    </w:p>
    <w:p w14:paraId="6D0B8682">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262A11CD">
      <w:pPr>
        <w:snapToGrid w:val="0"/>
        <w:spacing w:line="360" w:lineRule="auto"/>
        <w:ind w:firstLine="5040" w:firstLineChars="2100"/>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45FC8326">
      <w:pPr>
        <w:snapToGrid w:val="0"/>
        <w:spacing w:line="360" w:lineRule="auto"/>
        <w:ind w:firstLine="5760" w:firstLineChars="2400"/>
        <w:rPr>
          <w:rFonts w:hint="eastAsia" w:ascii="宋体" w:hAnsi="宋体" w:eastAsia="宋体" w:cs="宋体"/>
          <w:color w:val="auto"/>
        </w:rPr>
      </w:pPr>
      <w:r>
        <w:rPr>
          <w:rFonts w:hint="eastAsia" w:ascii="宋体" w:hAnsi="宋体" w:eastAsia="宋体" w:cs="宋体"/>
          <w:color w:val="auto"/>
          <w:kern w:val="0"/>
          <w:sz w:val="24"/>
          <w:lang w:val="zh-CN"/>
        </w:rPr>
        <w:t>……</w:t>
      </w:r>
    </w:p>
    <w:p w14:paraId="74E52C1D">
      <w:pPr>
        <w:snapToGrid w:val="0"/>
        <w:spacing w:line="360" w:lineRule="auto"/>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71D145BE">
      <w:pPr>
        <w:pStyle w:val="31"/>
        <w:rPr>
          <w:rFonts w:hint="eastAsia" w:ascii="宋体" w:hAnsi="宋体" w:eastAsia="宋体" w:cs="宋体"/>
          <w:color w:val="auto"/>
          <w:lang w:val="zh-CN"/>
        </w:rPr>
      </w:pPr>
    </w:p>
    <w:p w14:paraId="584AD06F">
      <w:pPr>
        <w:pStyle w:val="15"/>
        <w:rPr>
          <w:rFonts w:hint="eastAsia"/>
          <w:lang w:val="zh-CN"/>
        </w:rPr>
      </w:pPr>
    </w:p>
    <w:bookmarkEnd w:id="278"/>
    <w:p w14:paraId="67E35783">
      <w:pPr>
        <w:pStyle w:val="4"/>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bookmarkStart w:id="279" w:name="_Toc5716"/>
      <w:r>
        <w:rPr>
          <w:rFonts w:hint="eastAsia" w:ascii="宋体" w:hAnsi="宋体" w:eastAsia="宋体" w:cs="宋体"/>
          <w:b/>
          <w:bCs/>
          <w:color w:val="auto"/>
          <w:sz w:val="30"/>
          <w:szCs w:val="30"/>
          <w:lang w:val="en-US" w:eastAsia="zh-CN"/>
        </w:rPr>
        <w:t>三、响应保证金</w:t>
      </w:r>
      <w:bookmarkEnd w:id="279"/>
    </w:p>
    <w:p w14:paraId="21CC768F">
      <w:pPr>
        <w:pStyle w:val="32"/>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本项目不要求</w:t>
      </w:r>
    </w:p>
    <w:p w14:paraId="074E0875">
      <w:pPr>
        <w:pStyle w:val="32"/>
        <w:rPr>
          <w:rFonts w:hint="eastAsia" w:ascii="宋体" w:hAnsi="宋体" w:eastAsia="宋体" w:cs="宋体"/>
          <w:color w:val="auto"/>
          <w:sz w:val="24"/>
          <w:szCs w:val="24"/>
        </w:rPr>
      </w:pPr>
    </w:p>
    <w:p w14:paraId="482BB456">
      <w:pPr>
        <w:pStyle w:val="32"/>
        <w:rPr>
          <w:rFonts w:hint="eastAsia" w:ascii="宋体" w:hAnsi="宋体" w:eastAsia="宋体" w:cs="宋体"/>
          <w:color w:val="auto"/>
          <w:sz w:val="24"/>
          <w:szCs w:val="24"/>
        </w:rPr>
      </w:pPr>
    </w:p>
    <w:p w14:paraId="32AEC256">
      <w:pPr>
        <w:pStyle w:val="32"/>
        <w:rPr>
          <w:rFonts w:hint="eastAsia" w:ascii="宋体" w:hAnsi="宋体" w:eastAsia="宋体" w:cs="宋体"/>
          <w:color w:val="auto"/>
          <w:sz w:val="24"/>
          <w:szCs w:val="24"/>
        </w:rPr>
      </w:pPr>
    </w:p>
    <w:p w14:paraId="55224FAC">
      <w:pPr>
        <w:pStyle w:val="32"/>
        <w:rPr>
          <w:rFonts w:hint="eastAsia" w:ascii="宋体" w:hAnsi="宋体" w:eastAsia="宋体" w:cs="宋体"/>
          <w:color w:val="auto"/>
          <w:sz w:val="24"/>
          <w:szCs w:val="24"/>
        </w:rPr>
      </w:pPr>
    </w:p>
    <w:p w14:paraId="5771F612">
      <w:pPr>
        <w:pStyle w:val="32"/>
        <w:rPr>
          <w:rFonts w:hint="eastAsia" w:ascii="宋体" w:hAnsi="宋体" w:eastAsia="宋体" w:cs="宋体"/>
          <w:color w:val="auto"/>
          <w:sz w:val="24"/>
          <w:szCs w:val="24"/>
        </w:rPr>
      </w:pPr>
    </w:p>
    <w:p w14:paraId="6FFD84CC">
      <w:pPr>
        <w:pStyle w:val="32"/>
        <w:rPr>
          <w:rFonts w:hint="eastAsia" w:ascii="宋体" w:hAnsi="宋体" w:eastAsia="宋体" w:cs="宋体"/>
          <w:color w:val="auto"/>
          <w:sz w:val="24"/>
          <w:szCs w:val="24"/>
        </w:rPr>
      </w:pPr>
    </w:p>
    <w:p w14:paraId="21B40EEB">
      <w:pPr>
        <w:pStyle w:val="32"/>
        <w:rPr>
          <w:rFonts w:hint="eastAsia" w:ascii="宋体" w:hAnsi="宋体" w:eastAsia="宋体" w:cs="宋体"/>
          <w:color w:val="auto"/>
          <w:sz w:val="24"/>
          <w:szCs w:val="24"/>
        </w:rPr>
      </w:pPr>
    </w:p>
    <w:p w14:paraId="0EE64E4F">
      <w:pPr>
        <w:pStyle w:val="32"/>
        <w:rPr>
          <w:rFonts w:hint="eastAsia" w:ascii="宋体" w:hAnsi="宋体" w:eastAsia="宋体" w:cs="宋体"/>
          <w:color w:val="auto"/>
          <w:sz w:val="24"/>
          <w:szCs w:val="24"/>
        </w:rPr>
      </w:pPr>
    </w:p>
    <w:p w14:paraId="34FB0B94">
      <w:pPr>
        <w:pStyle w:val="32"/>
        <w:rPr>
          <w:rFonts w:hint="eastAsia" w:ascii="宋体" w:hAnsi="宋体" w:eastAsia="宋体" w:cs="宋体"/>
          <w:color w:val="auto"/>
          <w:sz w:val="24"/>
          <w:szCs w:val="24"/>
        </w:rPr>
      </w:pPr>
    </w:p>
    <w:p w14:paraId="073F5DCA">
      <w:pPr>
        <w:pStyle w:val="32"/>
        <w:rPr>
          <w:rFonts w:hint="eastAsia" w:ascii="宋体" w:hAnsi="宋体" w:eastAsia="宋体" w:cs="宋体"/>
          <w:color w:val="auto"/>
          <w:sz w:val="24"/>
          <w:szCs w:val="24"/>
        </w:rPr>
      </w:pPr>
    </w:p>
    <w:p w14:paraId="3452EBCF">
      <w:pPr>
        <w:pStyle w:val="32"/>
        <w:rPr>
          <w:rFonts w:hint="eastAsia" w:ascii="宋体" w:hAnsi="宋体" w:eastAsia="宋体" w:cs="宋体"/>
          <w:color w:val="auto"/>
          <w:sz w:val="24"/>
          <w:szCs w:val="24"/>
        </w:rPr>
      </w:pPr>
    </w:p>
    <w:p w14:paraId="726B3DA4">
      <w:pPr>
        <w:pStyle w:val="32"/>
        <w:rPr>
          <w:rFonts w:hint="eastAsia" w:ascii="宋体" w:hAnsi="宋体" w:eastAsia="宋体" w:cs="宋体"/>
          <w:color w:val="auto"/>
          <w:sz w:val="24"/>
          <w:szCs w:val="24"/>
        </w:rPr>
      </w:pPr>
    </w:p>
    <w:p w14:paraId="32ABD951">
      <w:pPr>
        <w:pStyle w:val="32"/>
        <w:rPr>
          <w:rFonts w:hint="eastAsia" w:ascii="宋体" w:hAnsi="宋体" w:eastAsia="宋体" w:cs="宋体"/>
          <w:color w:val="auto"/>
          <w:sz w:val="24"/>
          <w:szCs w:val="24"/>
        </w:rPr>
      </w:pPr>
    </w:p>
    <w:p w14:paraId="73E94123">
      <w:pPr>
        <w:pStyle w:val="32"/>
        <w:rPr>
          <w:rFonts w:hint="eastAsia" w:ascii="宋体" w:hAnsi="宋体" w:eastAsia="宋体" w:cs="宋体"/>
          <w:color w:val="auto"/>
          <w:sz w:val="24"/>
          <w:szCs w:val="24"/>
        </w:rPr>
      </w:pPr>
    </w:p>
    <w:p w14:paraId="3D455F92">
      <w:pPr>
        <w:pStyle w:val="32"/>
        <w:rPr>
          <w:rFonts w:hint="eastAsia" w:ascii="宋体" w:hAnsi="宋体" w:eastAsia="宋体" w:cs="宋体"/>
          <w:color w:val="auto"/>
          <w:sz w:val="24"/>
          <w:szCs w:val="24"/>
        </w:rPr>
      </w:pPr>
    </w:p>
    <w:p w14:paraId="481122A5">
      <w:pPr>
        <w:pStyle w:val="32"/>
        <w:rPr>
          <w:rFonts w:hint="eastAsia" w:ascii="宋体" w:hAnsi="宋体" w:eastAsia="宋体" w:cs="宋体"/>
          <w:color w:val="auto"/>
          <w:sz w:val="24"/>
          <w:szCs w:val="24"/>
        </w:rPr>
      </w:pPr>
    </w:p>
    <w:p w14:paraId="149156DF">
      <w:pPr>
        <w:pStyle w:val="32"/>
        <w:rPr>
          <w:rFonts w:hint="eastAsia" w:ascii="宋体" w:hAnsi="宋体" w:eastAsia="宋体" w:cs="宋体"/>
          <w:color w:val="auto"/>
          <w:sz w:val="24"/>
          <w:szCs w:val="24"/>
        </w:rPr>
      </w:pPr>
    </w:p>
    <w:p w14:paraId="1324F961">
      <w:pPr>
        <w:pStyle w:val="32"/>
        <w:rPr>
          <w:rFonts w:hint="eastAsia" w:ascii="宋体" w:hAnsi="宋体" w:eastAsia="宋体" w:cs="宋体"/>
          <w:color w:val="auto"/>
          <w:sz w:val="24"/>
          <w:szCs w:val="24"/>
        </w:rPr>
      </w:pPr>
    </w:p>
    <w:p w14:paraId="4F9543B3">
      <w:pPr>
        <w:pStyle w:val="32"/>
        <w:rPr>
          <w:rFonts w:hint="eastAsia" w:ascii="宋体" w:hAnsi="宋体" w:eastAsia="宋体" w:cs="宋体"/>
          <w:color w:val="auto"/>
          <w:sz w:val="24"/>
          <w:szCs w:val="24"/>
        </w:rPr>
      </w:pPr>
    </w:p>
    <w:p w14:paraId="3E0ED992">
      <w:pPr>
        <w:pStyle w:val="32"/>
        <w:rPr>
          <w:rFonts w:hint="eastAsia" w:ascii="宋体" w:hAnsi="宋体" w:eastAsia="宋体" w:cs="宋体"/>
          <w:color w:val="auto"/>
          <w:sz w:val="24"/>
          <w:szCs w:val="24"/>
        </w:rPr>
      </w:pPr>
    </w:p>
    <w:p w14:paraId="08534ABF">
      <w:pPr>
        <w:pStyle w:val="32"/>
        <w:rPr>
          <w:rFonts w:hint="eastAsia" w:ascii="宋体" w:hAnsi="宋体" w:eastAsia="宋体" w:cs="宋体"/>
          <w:color w:val="auto"/>
          <w:sz w:val="24"/>
          <w:szCs w:val="24"/>
        </w:rPr>
      </w:pPr>
    </w:p>
    <w:p w14:paraId="6A27520F">
      <w:pPr>
        <w:pStyle w:val="32"/>
        <w:rPr>
          <w:rFonts w:hint="eastAsia" w:ascii="宋体" w:hAnsi="宋体" w:eastAsia="宋体" w:cs="宋体"/>
          <w:color w:val="auto"/>
          <w:sz w:val="24"/>
          <w:szCs w:val="24"/>
        </w:rPr>
      </w:pPr>
    </w:p>
    <w:p w14:paraId="421DC6B8">
      <w:pPr>
        <w:pStyle w:val="32"/>
        <w:rPr>
          <w:rFonts w:hint="eastAsia" w:ascii="宋体" w:hAnsi="宋体" w:eastAsia="宋体" w:cs="宋体"/>
          <w:color w:val="auto"/>
          <w:sz w:val="24"/>
          <w:szCs w:val="24"/>
        </w:rPr>
      </w:pPr>
    </w:p>
    <w:p w14:paraId="4209E6FD">
      <w:pPr>
        <w:pStyle w:val="32"/>
        <w:rPr>
          <w:rFonts w:hint="eastAsia" w:ascii="宋体" w:hAnsi="宋体" w:eastAsia="宋体" w:cs="宋体"/>
          <w:color w:val="auto"/>
          <w:sz w:val="24"/>
          <w:szCs w:val="24"/>
        </w:rPr>
      </w:pPr>
    </w:p>
    <w:p w14:paraId="470D5178">
      <w:pPr>
        <w:pStyle w:val="32"/>
        <w:rPr>
          <w:rFonts w:hint="eastAsia" w:ascii="宋体" w:hAnsi="宋体" w:eastAsia="宋体" w:cs="宋体"/>
          <w:color w:val="auto"/>
          <w:sz w:val="24"/>
          <w:szCs w:val="24"/>
        </w:rPr>
      </w:pPr>
    </w:p>
    <w:p w14:paraId="7EA46F82">
      <w:pPr>
        <w:pStyle w:val="32"/>
        <w:rPr>
          <w:rFonts w:hint="eastAsia" w:ascii="宋体" w:hAnsi="宋体" w:eastAsia="宋体" w:cs="宋体"/>
          <w:color w:val="auto"/>
          <w:sz w:val="24"/>
          <w:szCs w:val="24"/>
        </w:rPr>
      </w:pPr>
    </w:p>
    <w:p w14:paraId="3AD97F9B">
      <w:pPr>
        <w:pStyle w:val="32"/>
        <w:rPr>
          <w:rFonts w:hint="eastAsia" w:ascii="宋体" w:hAnsi="宋体" w:eastAsia="宋体" w:cs="宋体"/>
          <w:color w:val="auto"/>
          <w:sz w:val="24"/>
          <w:szCs w:val="24"/>
        </w:rPr>
      </w:pPr>
    </w:p>
    <w:p w14:paraId="3B6BEB2C">
      <w:pPr>
        <w:pStyle w:val="32"/>
        <w:rPr>
          <w:rFonts w:hint="eastAsia" w:ascii="宋体" w:hAnsi="宋体" w:eastAsia="宋体" w:cs="宋体"/>
          <w:color w:val="auto"/>
          <w:sz w:val="24"/>
          <w:szCs w:val="24"/>
        </w:rPr>
      </w:pPr>
    </w:p>
    <w:p w14:paraId="2D967820">
      <w:pPr>
        <w:pStyle w:val="32"/>
        <w:rPr>
          <w:rFonts w:hint="eastAsia" w:ascii="宋体" w:hAnsi="宋体" w:eastAsia="宋体" w:cs="宋体"/>
          <w:color w:val="auto"/>
          <w:sz w:val="24"/>
          <w:szCs w:val="24"/>
        </w:rPr>
      </w:pPr>
    </w:p>
    <w:p w14:paraId="5F40C49B">
      <w:pPr>
        <w:pStyle w:val="32"/>
        <w:rPr>
          <w:rFonts w:hint="eastAsia" w:ascii="宋体" w:hAnsi="宋体" w:eastAsia="宋体" w:cs="宋体"/>
          <w:color w:val="auto"/>
          <w:sz w:val="24"/>
          <w:szCs w:val="24"/>
        </w:rPr>
      </w:pPr>
    </w:p>
    <w:p w14:paraId="2056A181">
      <w:pPr>
        <w:pStyle w:val="32"/>
        <w:rPr>
          <w:rFonts w:hint="eastAsia" w:ascii="宋体" w:hAnsi="宋体" w:eastAsia="宋体" w:cs="宋体"/>
          <w:color w:val="auto"/>
          <w:sz w:val="24"/>
          <w:szCs w:val="24"/>
        </w:rPr>
      </w:pPr>
    </w:p>
    <w:p w14:paraId="0C3BF3A1">
      <w:pPr>
        <w:pStyle w:val="32"/>
        <w:rPr>
          <w:rFonts w:hint="eastAsia" w:ascii="宋体" w:hAnsi="宋体" w:eastAsia="宋体" w:cs="宋体"/>
          <w:color w:val="auto"/>
          <w:sz w:val="24"/>
          <w:szCs w:val="24"/>
        </w:rPr>
      </w:pPr>
    </w:p>
    <w:p w14:paraId="4671F112">
      <w:pPr>
        <w:pStyle w:val="32"/>
        <w:rPr>
          <w:rFonts w:hint="eastAsia" w:ascii="宋体" w:hAnsi="宋体" w:eastAsia="宋体" w:cs="宋体"/>
          <w:color w:val="auto"/>
          <w:sz w:val="24"/>
          <w:szCs w:val="24"/>
        </w:rPr>
      </w:pPr>
    </w:p>
    <w:p w14:paraId="6EF9CF96">
      <w:pPr>
        <w:pStyle w:val="32"/>
        <w:rPr>
          <w:rFonts w:hint="eastAsia" w:ascii="宋体" w:hAnsi="宋体" w:eastAsia="宋体" w:cs="宋体"/>
          <w:color w:val="auto"/>
          <w:sz w:val="24"/>
          <w:szCs w:val="24"/>
        </w:rPr>
      </w:pPr>
    </w:p>
    <w:p w14:paraId="2AEC2FFA">
      <w:pPr>
        <w:pStyle w:val="32"/>
        <w:rPr>
          <w:rFonts w:hint="eastAsia" w:ascii="宋体" w:hAnsi="宋体" w:eastAsia="宋体" w:cs="宋体"/>
          <w:color w:val="auto"/>
          <w:sz w:val="24"/>
          <w:szCs w:val="24"/>
        </w:rPr>
      </w:pPr>
    </w:p>
    <w:p w14:paraId="1EC7F828">
      <w:pPr>
        <w:pStyle w:val="32"/>
        <w:rPr>
          <w:rFonts w:hint="eastAsia" w:ascii="宋体" w:hAnsi="宋体" w:eastAsia="宋体" w:cs="宋体"/>
          <w:color w:val="auto"/>
          <w:sz w:val="24"/>
          <w:szCs w:val="24"/>
        </w:rPr>
      </w:pPr>
    </w:p>
    <w:p w14:paraId="505BD55D">
      <w:pPr>
        <w:pStyle w:val="32"/>
        <w:rPr>
          <w:rFonts w:hint="eastAsia" w:ascii="宋体" w:hAnsi="宋体" w:eastAsia="宋体" w:cs="宋体"/>
          <w:color w:val="auto"/>
          <w:sz w:val="24"/>
          <w:szCs w:val="24"/>
        </w:rPr>
      </w:pPr>
    </w:p>
    <w:p w14:paraId="1282B679">
      <w:pPr>
        <w:pStyle w:val="32"/>
        <w:rPr>
          <w:rFonts w:hint="eastAsia" w:ascii="宋体" w:hAnsi="宋体" w:eastAsia="宋体" w:cs="宋体"/>
          <w:color w:val="auto"/>
          <w:sz w:val="24"/>
          <w:szCs w:val="24"/>
        </w:rPr>
      </w:pPr>
    </w:p>
    <w:p w14:paraId="0114E42A">
      <w:pPr>
        <w:pStyle w:val="32"/>
        <w:rPr>
          <w:rFonts w:hint="eastAsia" w:ascii="宋体" w:hAnsi="宋体" w:eastAsia="宋体" w:cs="宋体"/>
          <w:color w:val="auto"/>
          <w:sz w:val="24"/>
          <w:szCs w:val="24"/>
        </w:rPr>
      </w:pPr>
    </w:p>
    <w:p w14:paraId="1DB961BE">
      <w:pPr>
        <w:pStyle w:val="32"/>
        <w:rPr>
          <w:rFonts w:hint="eastAsia" w:ascii="宋体" w:hAnsi="宋体" w:eastAsia="宋体" w:cs="宋体"/>
          <w:color w:val="auto"/>
          <w:sz w:val="24"/>
          <w:szCs w:val="24"/>
        </w:rPr>
      </w:pPr>
    </w:p>
    <w:p w14:paraId="7DA69EEC">
      <w:pPr>
        <w:pStyle w:val="32"/>
        <w:rPr>
          <w:rFonts w:hint="eastAsia" w:ascii="宋体" w:hAnsi="宋体" w:eastAsia="宋体" w:cs="宋体"/>
          <w:color w:val="auto"/>
          <w:sz w:val="24"/>
          <w:szCs w:val="24"/>
        </w:rPr>
      </w:pPr>
    </w:p>
    <w:p w14:paraId="7275B260">
      <w:pPr>
        <w:pStyle w:val="32"/>
        <w:rPr>
          <w:rFonts w:hint="eastAsia" w:ascii="宋体" w:hAnsi="宋体" w:eastAsia="宋体" w:cs="宋体"/>
          <w:color w:val="auto"/>
          <w:sz w:val="24"/>
          <w:szCs w:val="24"/>
        </w:rPr>
      </w:pPr>
    </w:p>
    <w:p w14:paraId="4B7C5CDC">
      <w:pPr>
        <w:pStyle w:val="4"/>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四、投标</w:t>
      </w:r>
      <w:r>
        <w:rPr>
          <w:rFonts w:hint="eastAsia" w:ascii="宋体" w:eastAsia="宋体" w:cs="宋体"/>
          <w:b/>
          <w:bCs/>
          <w:color w:val="auto"/>
          <w:sz w:val="30"/>
          <w:szCs w:val="30"/>
          <w:lang w:val="en-US" w:eastAsia="zh-CN"/>
        </w:rPr>
        <w:t>服务</w:t>
      </w:r>
      <w:r>
        <w:rPr>
          <w:rFonts w:hint="eastAsia" w:ascii="宋体" w:hAnsi="宋体" w:eastAsia="宋体" w:cs="宋体"/>
          <w:b/>
          <w:bCs/>
          <w:color w:val="auto"/>
          <w:sz w:val="30"/>
          <w:szCs w:val="30"/>
          <w:lang w:val="en-US" w:eastAsia="zh-CN"/>
        </w:rPr>
        <w:t>配置清单</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993"/>
        <w:gridCol w:w="3774"/>
        <w:gridCol w:w="1805"/>
      </w:tblGrid>
      <w:tr w14:paraId="4A2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1E0CB63A">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18E95BD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服务</w:t>
            </w:r>
            <w:r>
              <w:rPr>
                <w:rFonts w:hint="eastAsia" w:ascii="宋体" w:hAnsi="宋体" w:eastAsia="宋体" w:cs="宋体"/>
                <w:b/>
                <w:color w:val="auto"/>
                <w:sz w:val="24"/>
              </w:rPr>
              <w:t>名称</w:t>
            </w:r>
          </w:p>
        </w:tc>
        <w:tc>
          <w:tcPr>
            <w:tcW w:w="1894" w:type="pct"/>
            <w:tcBorders>
              <w:top w:val="single" w:color="auto" w:sz="4" w:space="0"/>
              <w:left w:val="single" w:color="auto" w:sz="4" w:space="0"/>
              <w:bottom w:val="single" w:color="auto" w:sz="4" w:space="0"/>
              <w:right w:val="single" w:color="auto" w:sz="4" w:space="0"/>
            </w:tcBorders>
            <w:noWrap w:val="0"/>
            <w:vAlign w:val="center"/>
          </w:tcPr>
          <w:p w14:paraId="228473BD">
            <w:pPr>
              <w:spacing w:line="360" w:lineRule="auto"/>
              <w:jc w:val="center"/>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服务内容</w:t>
            </w:r>
          </w:p>
        </w:tc>
        <w:tc>
          <w:tcPr>
            <w:tcW w:w="906" w:type="pct"/>
            <w:tcBorders>
              <w:top w:val="single" w:color="auto" w:sz="4" w:space="0"/>
              <w:left w:val="single" w:color="auto" w:sz="4" w:space="0"/>
              <w:bottom w:val="single" w:color="auto" w:sz="4" w:space="0"/>
              <w:right w:val="single" w:color="auto" w:sz="4" w:space="0"/>
            </w:tcBorders>
            <w:noWrap w:val="0"/>
            <w:vAlign w:val="center"/>
          </w:tcPr>
          <w:p w14:paraId="43B1FE74">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129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3198E2B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7B5DC32D">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1A6CB732">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56DAF05D">
            <w:pPr>
              <w:spacing w:line="360" w:lineRule="auto"/>
              <w:jc w:val="center"/>
              <w:rPr>
                <w:rFonts w:hint="eastAsia" w:ascii="宋体" w:hAnsi="宋体" w:eastAsia="宋体" w:cs="宋体"/>
                <w:color w:val="auto"/>
                <w:sz w:val="24"/>
              </w:rPr>
            </w:pPr>
          </w:p>
        </w:tc>
      </w:tr>
      <w:tr w14:paraId="0C77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1B555DC9">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7E839393">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1F6ABC86">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4A90AB25">
            <w:pPr>
              <w:spacing w:line="360" w:lineRule="auto"/>
              <w:jc w:val="center"/>
              <w:rPr>
                <w:rFonts w:hint="eastAsia" w:ascii="宋体" w:hAnsi="宋体" w:eastAsia="宋体" w:cs="宋体"/>
                <w:color w:val="auto"/>
                <w:sz w:val="24"/>
              </w:rPr>
            </w:pPr>
          </w:p>
        </w:tc>
      </w:tr>
      <w:tr w14:paraId="2919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14:paraId="54E6E66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02" w:type="pct"/>
            <w:tcBorders>
              <w:top w:val="single" w:color="auto" w:sz="4" w:space="0"/>
              <w:left w:val="single" w:color="auto" w:sz="4" w:space="0"/>
              <w:bottom w:val="single" w:color="auto" w:sz="4" w:space="0"/>
              <w:right w:val="single" w:color="auto" w:sz="4" w:space="0"/>
            </w:tcBorders>
            <w:noWrap w:val="0"/>
            <w:vAlign w:val="center"/>
          </w:tcPr>
          <w:p w14:paraId="208D4872">
            <w:pPr>
              <w:snapToGrid w:val="0"/>
              <w:spacing w:line="360" w:lineRule="auto"/>
              <w:jc w:val="center"/>
              <w:rPr>
                <w:rFonts w:hint="eastAsia" w:ascii="宋体" w:hAnsi="宋体" w:eastAsia="宋体" w:cs="宋体"/>
                <w:color w:val="auto"/>
                <w:sz w:val="24"/>
              </w:rPr>
            </w:pPr>
          </w:p>
        </w:tc>
        <w:tc>
          <w:tcPr>
            <w:tcW w:w="1894" w:type="pct"/>
            <w:tcBorders>
              <w:top w:val="single" w:color="auto" w:sz="4" w:space="0"/>
              <w:left w:val="single" w:color="auto" w:sz="4" w:space="0"/>
              <w:bottom w:val="single" w:color="auto" w:sz="4" w:space="0"/>
              <w:right w:val="single" w:color="auto" w:sz="4" w:space="0"/>
            </w:tcBorders>
            <w:noWrap w:val="0"/>
            <w:vAlign w:val="center"/>
          </w:tcPr>
          <w:p w14:paraId="3AC5EA10">
            <w:pPr>
              <w:snapToGrid w:val="0"/>
              <w:spacing w:line="360" w:lineRule="auto"/>
              <w:jc w:val="center"/>
              <w:rPr>
                <w:rFonts w:hint="eastAsia" w:ascii="宋体" w:hAnsi="宋体" w:eastAsia="宋体" w:cs="宋体"/>
                <w:color w:val="auto"/>
                <w:sz w:val="24"/>
              </w:rPr>
            </w:pPr>
          </w:p>
        </w:tc>
        <w:tc>
          <w:tcPr>
            <w:tcW w:w="906" w:type="pct"/>
            <w:tcBorders>
              <w:top w:val="single" w:color="auto" w:sz="4" w:space="0"/>
              <w:left w:val="single" w:color="auto" w:sz="4" w:space="0"/>
              <w:bottom w:val="single" w:color="auto" w:sz="4" w:space="0"/>
              <w:right w:val="single" w:color="auto" w:sz="4" w:space="0"/>
            </w:tcBorders>
            <w:noWrap w:val="0"/>
            <w:vAlign w:val="center"/>
          </w:tcPr>
          <w:p w14:paraId="0592F749">
            <w:pPr>
              <w:spacing w:line="360" w:lineRule="auto"/>
              <w:jc w:val="center"/>
              <w:rPr>
                <w:rFonts w:hint="eastAsia" w:ascii="宋体" w:hAnsi="宋体" w:eastAsia="宋体" w:cs="宋体"/>
                <w:color w:val="auto"/>
                <w:sz w:val="24"/>
              </w:rPr>
            </w:pPr>
          </w:p>
        </w:tc>
      </w:tr>
      <w:bookmarkEnd w:id="267"/>
      <w:bookmarkEnd w:id="268"/>
      <w:bookmarkEnd w:id="269"/>
    </w:tbl>
    <w:p w14:paraId="116E53F0">
      <w:pPr>
        <w:pStyle w:val="82"/>
        <w:tabs>
          <w:tab w:val="left" w:pos="750"/>
        </w:tabs>
        <w:adjustRightInd w:val="0"/>
        <w:snapToGrid w:val="0"/>
        <w:spacing w:line="500" w:lineRule="exact"/>
        <w:jc w:val="center"/>
        <w:rPr>
          <w:rFonts w:hint="eastAsia" w:ascii="宋体" w:hAnsi="宋体" w:cs="宋体"/>
          <w:color w:val="auto"/>
          <w:kern w:val="0"/>
          <w:sz w:val="24"/>
          <w:lang w:val="zh-CN"/>
        </w:rPr>
      </w:pPr>
    </w:p>
    <w:p w14:paraId="6B97656E">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34694C3">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E6DDEB9">
      <w:pPr>
        <w:pStyle w:val="88"/>
        <w:spacing w:line="360" w:lineRule="auto"/>
        <w:ind w:right="480"/>
        <w:jc w:val="both"/>
        <w:rPr>
          <w:rFonts w:hint="eastAsia" w:ascii="宋体" w:hAnsi="宋体" w:eastAsia="宋体" w:cs="宋体"/>
          <w:color w:val="auto"/>
          <w:sz w:val="24"/>
        </w:rPr>
      </w:pPr>
    </w:p>
    <w:p w14:paraId="2293DF6B">
      <w:pPr>
        <w:pStyle w:val="88"/>
        <w:spacing w:line="360" w:lineRule="auto"/>
        <w:ind w:right="480"/>
        <w:jc w:val="both"/>
        <w:rPr>
          <w:rFonts w:hint="eastAsia" w:ascii="宋体" w:hAnsi="宋体" w:eastAsia="宋体" w:cs="宋体"/>
          <w:color w:val="auto"/>
          <w:sz w:val="24"/>
        </w:rPr>
      </w:pPr>
    </w:p>
    <w:p w14:paraId="229B9195">
      <w:pPr>
        <w:pStyle w:val="88"/>
        <w:spacing w:line="360" w:lineRule="auto"/>
        <w:ind w:right="480"/>
        <w:jc w:val="both"/>
        <w:rPr>
          <w:rFonts w:hint="eastAsia" w:ascii="宋体" w:hAnsi="宋体" w:eastAsia="宋体" w:cs="宋体"/>
          <w:color w:val="auto"/>
          <w:sz w:val="24"/>
        </w:rPr>
      </w:pPr>
    </w:p>
    <w:p w14:paraId="0F0BB387">
      <w:pPr>
        <w:pStyle w:val="4"/>
        <w:numPr>
          <w:ilvl w:val="2"/>
          <w:numId w:val="0"/>
        </w:numPr>
        <w:spacing w:before="145" w:beforeLines="50" w:after="145" w:afterLines="50" w:line="300" w:lineRule="auto"/>
        <w:ind w:leftChars="0"/>
        <w:jc w:val="center"/>
        <w:rPr>
          <w:rFonts w:hint="eastAsia" w:ascii="宋体" w:hAnsi="宋体" w:eastAsia="宋体" w:cs="宋体"/>
          <w:b/>
          <w:bCs/>
          <w:color w:val="auto"/>
          <w:sz w:val="30"/>
          <w:szCs w:val="30"/>
          <w:lang w:val="en-US" w:eastAsia="zh-CN"/>
        </w:rPr>
      </w:pPr>
      <w:bookmarkStart w:id="280" w:name="_Toc7397"/>
      <w:r>
        <w:rPr>
          <w:rFonts w:hint="eastAsia" w:ascii="宋体" w:hAnsi="宋体" w:eastAsia="宋体" w:cs="宋体"/>
          <w:b/>
          <w:bCs/>
          <w:color w:val="auto"/>
          <w:sz w:val="30"/>
          <w:szCs w:val="30"/>
          <w:lang w:val="en-US" w:eastAsia="zh-CN"/>
        </w:rPr>
        <w:t>五、商务和技术偏差表</w:t>
      </w:r>
      <w:bookmarkEnd w:id="280"/>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264"/>
        <w:gridCol w:w="3608"/>
        <w:gridCol w:w="1966"/>
      </w:tblGrid>
      <w:tr w14:paraId="0E5D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7BD5552B">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序号</w:t>
            </w:r>
          </w:p>
        </w:tc>
        <w:tc>
          <w:tcPr>
            <w:tcW w:w="1638" w:type="pct"/>
            <w:noWrap w:val="0"/>
            <w:vAlign w:val="bottom"/>
          </w:tcPr>
          <w:p w14:paraId="14D25C6A">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磋商</w:t>
            </w:r>
            <w:r>
              <w:rPr>
                <w:rFonts w:hint="eastAsia" w:ascii="宋体" w:hAnsi="宋体" w:eastAsia="宋体" w:cs="宋体"/>
                <w:b w:val="0"/>
                <w:bCs/>
                <w:color w:val="auto"/>
                <w:kern w:val="0"/>
                <w:sz w:val="24"/>
                <w:szCs w:val="24"/>
              </w:rPr>
              <w:t>文件章节及条款号</w:t>
            </w:r>
          </w:p>
        </w:tc>
        <w:tc>
          <w:tcPr>
            <w:tcW w:w="1811" w:type="pct"/>
            <w:noWrap w:val="0"/>
            <w:vAlign w:val="bottom"/>
          </w:tcPr>
          <w:p w14:paraId="14A3447F">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响应</w:t>
            </w:r>
            <w:r>
              <w:rPr>
                <w:rFonts w:hint="eastAsia" w:ascii="宋体" w:hAnsi="宋体" w:eastAsia="宋体" w:cs="宋体"/>
                <w:b w:val="0"/>
                <w:bCs/>
                <w:color w:val="auto"/>
                <w:kern w:val="0"/>
                <w:sz w:val="24"/>
                <w:szCs w:val="24"/>
              </w:rPr>
              <w:t>文件章节及条款号</w:t>
            </w:r>
          </w:p>
        </w:tc>
        <w:tc>
          <w:tcPr>
            <w:tcW w:w="987" w:type="pct"/>
            <w:noWrap w:val="0"/>
            <w:vAlign w:val="bottom"/>
          </w:tcPr>
          <w:p w14:paraId="7D45D36E">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偏差说明</w:t>
            </w:r>
          </w:p>
        </w:tc>
      </w:tr>
      <w:tr w14:paraId="57EA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09DE525F">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w:t>
            </w:r>
          </w:p>
        </w:tc>
        <w:tc>
          <w:tcPr>
            <w:tcW w:w="1638" w:type="pct"/>
            <w:noWrap w:val="0"/>
            <w:vAlign w:val="bottom"/>
          </w:tcPr>
          <w:p w14:paraId="1F6F5881">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4FA2EB13">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022FCB31">
            <w:pPr>
              <w:widowControl/>
              <w:snapToGrid w:val="0"/>
              <w:jc w:val="center"/>
              <w:rPr>
                <w:rFonts w:hint="eastAsia" w:ascii="宋体" w:hAnsi="宋体" w:eastAsia="宋体" w:cs="宋体"/>
                <w:b w:val="0"/>
                <w:bCs/>
                <w:color w:val="auto"/>
                <w:kern w:val="0"/>
                <w:sz w:val="24"/>
                <w:szCs w:val="24"/>
              </w:rPr>
            </w:pPr>
          </w:p>
        </w:tc>
      </w:tr>
      <w:tr w14:paraId="50EA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700A26A0">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w:t>
            </w:r>
          </w:p>
        </w:tc>
        <w:tc>
          <w:tcPr>
            <w:tcW w:w="1638" w:type="pct"/>
            <w:noWrap w:val="0"/>
            <w:vAlign w:val="bottom"/>
          </w:tcPr>
          <w:p w14:paraId="1A43B8B9">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7DD02620">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21B9A3AA">
            <w:pPr>
              <w:widowControl/>
              <w:snapToGrid w:val="0"/>
              <w:jc w:val="center"/>
              <w:rPr>
                <w:rFonts w:hint="eastAsia" w:ascii="宋体" w:hAnsi="宋体" w:eastAsia="宋体" w:cs="宋体"/>
                <w:b w:val="0"/>
                <w:bCs/>
                <w:color w:val="auto"/>
                <w:kern w:val="0"/>
                <w:sz w:val="24"/>
                <w:szCs w:val="24"/>
              </w:rPr>
            </w:pPr>
          </w:p>
        </w:tc>
      </w:tr>
      <w:tr w14:paraId="0728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10B0EF9B">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w:t>
            </w:r>
          </w:p>
        </w:tc>
        <w:tc>
          <w:tcPr>
            <w:tcW w:w="1638" w:type="pct"/>
            <w:noWrap w:val="0"/>
            <w:vAlign w:val="bottom"/>
          </w:tcPr>
          <w:p w14:paraId="7D58E379">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487C327A">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5B2A4C0E">
            <w:pPr>
              <w:widowControl/>
              <w:snapToGrid w:val="0"/>
              <w:jc w:val="center"/>
              <w:rPr>
                <w:rFonts w:hint="eastAsia" w:ascii="宋体" w:hAnsi="宋体" w:eastAsia="宋体" w:cs="宋体"/>
                <w:b w:val="0"/>
                <w:bCs/>
                <w:color w:val="auto"/>
                <w:kern w:val="0"/>
                <w:sz w:val="24"/>
                <w:szCs w:val="24"/>
              </w:rPr>
            </w:pPr>
          </w:p>
        </w:tc>
      </w:tr>
      <w:tr w14:paraId="4826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69CC124B">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w:t>
            </w:r>
          </w:p>
        </w:tc>
        <w:tc>
          <w:tcPr>
            <w:tcW w:w="1638" w:type="pct"/>
            <w:noWrap w:val="0"/>
            <w:vAlign w:val="bottom"/>
          </w:tcPr>
          <w:p w14:paraId="1605D49D">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1A51726D">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4180DD79">
            <w:pPr>
              <w:widowControl/>
              <w:snapToGrid w:val="0"/>
              <w:jc w:val="center"/>
              <w:rPr>
                <w:rFonts w:hint="eastAsia" w:ascii="宋体" w:hAnsi="宋体" w:eastAsia="宋体" w:cs="宋体"/>
                <w:b w:val="0"/>
                <w:bCs/>
                <w:color w:val="auto"/>
                <w:kern w:val="0"/>
                <w:sz w:val="24"/>
                <w:szCs w:val="24"/>
              </w:rPr>
            </w:pPr>
          </w:p>
        </w:tc>
      </w:tr>
      <w:tr w14:paraId="5388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565D5BB7">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w:t>
            </w:r>
          </w:p>
        </w:tc>
        <w:tc>
          <w:tcPr>
            <w:tcW w:w="1638" w:type="pct"/>
            <w:noWrap w:val="0"/>
            <w:vAlign w:val="bottom"/>
          </w:tcPr>
          <w:p w14:paraId="0C4B2921">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3D3DF94E">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18ACD732">
            <w:pPr>
              <w:widowControl/>
              <w:snapToGrid w:val="0"/>
              <w:jc w:val="center"/>
              <w:rPr>
                <w:rFonts w:hint="eastAsia" w:ascii="宋体" w:hAnsi="宋体" w:eastAsia="宋体" w:cs="宋体"/>
                <w:b w:val="0"/>
                <w:bCs/>
                <w:color w:val="auto"/>
                <w:kern w:val="0"/>
                <w:sz w:val="24"/>
                <w:szCs w:val="24"/>
              </w:rPr>
            </w:pPr>
          </w:p>
        </w:tc>
      </w:tr>
      <w:tr w14:paraId="6535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62" w:type="pct"/>
            <w:noWrap w:val="0"/>
            <w:vAlign w:val="bottom"/>
          </w:tcPr>
          <w:p w14:paraId="5B8ABBD7">
            <w:pPr>
              <w:widowControl/>
              <w:snapToGrid w:val="0"/>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w:t>
            </w:r>
          </w:p>
        </w:tc>
        <w:tc>
          <w:tcPr>
            <w:tcW w:w="1638" w:type="pct"/>
            <w:noWrap w:val="0"/>
            <w:vAlign w:val="bottom"/>
          </w:tcPr>
          <w:p w14:paraId="41B21E0D">
            <w:pPr>
              <w:widowControl/>
              <w:snapToGrid w:val="0"/>
              <w:jc w:val="center"/>
              <w:rPr>
                <w:rFonts w:hint="eastAsia" w:ascii="宋体" w:hAnsi="宋体" w:eastAsia="宋体" w:cs="宋体"/>
                <w:b w:val="0"/>
                <w:bCs/>
                <w:color w:val="auto"/>
                <w:kern w:val="0"/>
                <w:sz w:val="24"/>
                <w:szCs w:val="24"/>
              </w:rPr>
            </w:pPr>
          </w:p>
        </w:tc>
        <w:tc>
          <w:tcPr>
            <w:tcW w:w="1811" w:type="pct"/>
            <w:noWrap w:val="0"/>
            <w:vAlign w:val="bottom"/>
          </w:tcPr>
          <w:p w14:paraId="1914A581">
            <w:pPr>
              <w:widowControl/>
              <w:snapToGrid w:val="0"/>
              <w:jc w:val="center"/>
              <w:rPr>
                <w:rFonts w:hint="eastAsia" w:ascii="宋体" w:hAnsi="宋体" w:eastAsia="宋体" w:cs="宋体"/>
                <w:b w:val="0"/>
                <w:bCs/>
                <w:color w:val="auto"/>
                <w:kern w:val="0"/>
                <w:sz w:val="24"/>
                <w:szCs w:val="24"/>
              </w:rPr>
            </w:pPr>
          </w:p>
        </w:tc>
        <w:tc>
          <w:tcPr>
            <w:tcW w:w="987" w:type="pct"/>
            <w:noWrap w:val="0"/>
            <w:vAlign w:val="bottom"/>
          </w:tcPr>
          <w:p w14:paraId="0F793878">
            <w:pPr>
              <w:widowControl/>
              <w:snapToGrid w:val="0"/>
              <w:jc w:val="center"/>
              <w:rPr>
                <w:rFonts w:hint="eastAsia" w:ascii="宋体" w:hAnsi="宋体" w:eastAsia="宋体" w:cs="宋体"/>
                <w:b w:val="0"/>
                <w:bCs/>
                <w:color w:val="auto"/>
                <w:kern w:val="0"/>
                <w:sz w:val="24"/>
                <w:szCs w:val="24"/>
              </w:rPr>
            </w:pPr>
          </w:p>
        </w:tc>
      </w:tr>
    </w:tbl>
    <w:p w14:paraId="319E0FC3">
      <w:pPr>
        <w:spacing w:line="4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供应商</w:t>
      </w:r>
      <w:r>
        <w:rPr>
          <w:rFonts w:hint="eastAsia" w:ascii="宋体" w:hAnsi="宋体" w:eastAsia="宋体" w:cs="宋体"/>
          <w:color w:val="auto"/>
          <w:szCs w:val="21"/>
        </w:rPr>
        <w:t>保证：除</w:t>
      </w:r>
      <w:r>
        <w:rPr>
          <w:rFonts w:hint="eastAsia" w:ascii="宋体" w:hAnsi="宋体" w:eastAsia="宋体" w:cs="宋体"/>
          <w:color w:val="auto"/>
          <w:szCs w:val="21"/>
          <w:lang w:eastAsia="zh-CN"/>
        </w:rPr>
        <w:t>上商务和技术偏差表</w:t>
      </w:r>
      <w:r>
        <w:rPr>
          <w:rFonts w:hint="eastAsia" w:ascii="宋体" w:hAnsi="宋体" w:eastAsia="宋体" w:cs="宋体"/>
          <w:color w:val="auto"/>
          <w:szCs w:val="21"/>
        </w:rPr>
        <w:t>列出的偏差外，</w:t>
      </w:r>
      <w:r>
        <w:rPr>
          <w:rFonts w:hint="eastAsia" w:ascii="宋体" w:hAnsi="宋体" w:eastAsia="宋体" w:cs="宋体"/>
          <w:color w:val="auto"/>
          <w:szCs w:val="21"/>
          <w:lang w:eastAsia="zh-CN"/>
        </w:rPr>
        <w:t>供应商</w:t>
      </w:r>
      <w:r>
        <w:rPr>
          <w:rFonts w:hint="eastAsia" w:ascii="宋体" w:hAnsi="宋体" w:eastAsia="宋体" w:cs="宋体"/>
          <w:color w:val="auto"/>
          <w:szCs w:val="21"/>
        </w:rPr>
        <w:t>响应</w:t>
      </w: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文件的全部要求。</w:t>
      </w:r>
    </w:p>
    <w:p w14:paraId="22FC9E29">
      <w:pPr>
        <w:pStyle w:val="32"/>
        <w:rPr>
          <w:rFonts w:hint="eastAsia" w:ascii="宋体" w:hAnsi="宋体" w:eastAsia="宋体" w:cs="宋体"/>
          <w:color w:val="auto"/>
          <w:sz w:val="24"/>
          <w:szCs w:val="24"/>
        </w:rPr>
      </w:pPr>
      <w:r>
        <w:rPr>
          <w:rFonts w:hint="eastAsia" w:ascii="宋体" w:hAnsi="宋体" w:eastAsia="宋体" w:cs="宋体"/>
          <w:color w:val="auto"/>
          <w:sz w:val="24"/>
          <w:szCs w:val="24"/>
        </w:rPr>
        <w:t>注：按本格式和要求提供。</w:t>
      </w:r>
    </w:p>
    <w:p w14:paraId="1B2073C9">
      <w:pPr>
        <w:pStyle w:val="32"/>
        <w:rPr>
          <w:rFonts w:hint="eastAsia" w:ascii="宋体" w:hAnsi="宋体" w:eastAsia="宋体" w:cs="宋体"/>
          <w:color w:val="auto"/>
          <w:sz w:val="24"/>
          <w:szCs w:val="24"/>
        </w:rPr>
      </w:pPr>
    </w:p>
    <w:p w14:paraId="0E56E6FD">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5746CCDB">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1192F2B">
      <w:pPr>
        <w:pStyle w:val="88"/>
        <w:spacing w:line="360" w:lineRule="auto"/>
        <w:ind w:right="480"/>
        <w:jc w:val="both"/>
        <w:rPr>
          <w:rFonts w:hint="eastAsia" w:ascii="宋体" w:hAnsi="宋体" w:eastAsia="宋体" w:cs="宋体"/>
          <w:color w:val="auto"/>
          <w:sz w:val="24"/>
        </w:rPr>
      </w:pPr>
    </w:p>
    <w:p w14:paraId="72838CC3">
      <w:pPr>
        <w:pStyle w:val="88"/>
        <w:spacing w:line="360" w:lineRule="auto"/>
        <w:ind w:right="480"/>
        <w:jc w:val="both"/>
        <w:rPr>
          <w:rFonts w:hint="eastAsia" w:ascii="宋体" w:hAnsi="宋体" w:eastAsia="宋体" w:cs="宋体"/>
          <w:color w:val="auto"/>
          <w:sz w:val="24"/>
        </w:rPr>
      </w:pPr>
    </w:p>
    <w:p w14:paraId="687EB94A">
      <w:pPr>
        <w:pStyle w:val="88"/>
        <w:spacing w:line="360" w:lineRule="auto"/>
        <w:ind w:right="480"/>
        <w:jc w:val="both"/>
        <w:rPr>
          <w:rFonts w:hint="eastAsia" w:ascii="宋体" w:hAnsi="宋体" w:eastAsia="宋体" w:cs="宋体"/>
          <w:color w:val="auto"/>
          <w:sz w:val="24"/>
        </w:rPr>
      </w:pPr>
    </w:p>
    <w:p w14:paraId="75549B22">
      <w:pPr>
        <w:pStyle w:val="4"/>
        <w:numPr>
          <w:ilvl w:val="2"/>
          <w:numId w:val="0"/>
        </w:numPr>
        <w:spacing w:before="145" w:beforeLines="50" w:after="145" w:afterLines="50" w:line="300" w:lineRule="auto"/>
        <w:ind w:left="288" w:leftChars="0"/>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六、</w:t>
      </w:r>
      <w:r>
        <w:rPr>
          <w:rFonts w:hint="eastAsia" w:ascii="宋体" w:eastAsia="宋体" w:cs="宋体"/>
          <w:b/>
          <w:bCs/>
          <w:color w:val="auto"/>
          <w:sz w:val="30"/>
          <w:szCs w:val="30"/>
          <w:highlight w:val="none"/>
          <w:lang w:val="en-US" w:eastAsia="zh-CN"/>
        </w:rPr>
        <w:t>服务</w:t>
      </w:r>
      <w:r>
        <w:rPr>
          <w:rFonts w:hint="eastAsia" w:ascii="宋体" w:hAnsi="宋体" w:eastAsia="宋体" w:cs="宋体"/>
          <w:b/>
          <w:bCs/>
          <w:color w:val="auto"/>
          <w:sz w:val="30"/>
          <w:szCs w:val="30"/>
          <w:highlight w:val="none"/>
          <w:lang w:val="en-US" w:eastAsia="zh-CN"/>
        </w:rPr>
        <w:t>（响应）方案</w:t>
      </w:r>
    </w:p>
    <w:p w14:paraId="3BC9D8FF">
      <w:pPr>
        <w:pStyle w:val="88"/>
        <w:spacing w:line="360" w:lineRule="auto"/>
        <w:ind w:right="480" w:firstLine="480" w:firstLineChars="200"/>
        <w:jc w:val="both"/>
        <w:rPr>
          <w:rFonts w:hint="default" w:ascii="宋体" w:hAnsi="宋体" w:eastAsia="宋体" w:cs="宋体"/>
          <w:color w:val="auto"/>
          <w:sz w:val="24"/>
          <w:lang w:val="en-US" w:eastAsia="zh-CN"/>
        </w:rPr>
      </w:pPr>
      <w:r>
        <w:rPr>
          <w:rFonts w:hint="eastAsia" w:ascii="宋体" w:hAnsi="宋体" w:cs="宋体"/>
          <w:color w:val="auto"/>
          <w:sz w:val="24"/>
          <w:lang w:val="en-US" w:eastAsia="zh-CN"/>
        </w:rPr>
        <w:t>供应商根据项目情况、采购需求及商务技术评审内容编制。</w:t>
      </w:r>
    </w:p>
    <w:p w14:paraId="72765BB9">
      <w:pPr>
        <w:pStyle w:val="88"/>
        <w:spacing w:line="360" w:lineRule="auto"/>
        <w:ind w:right="480" w:firstLine="480" w:firstLineChars="20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格式自拟。</w:t>
      </w:r>
    </w:p>
    <w:p w14:paraId="1381D6D4">
      <w:pPr>
        <w:pStyle w:val="88"/>
        <w:spacing w:line="360" w:lineRule="auto"/>
        <w:ind w:right="480" w:firstLine="480" w:firstLineChars="200"/>
        <w:jc w:val="both"/>
        <w:rPr>
          <w:rFonts w:hint="eastAsia" w:ascii="宋体" w:hAnsi="宋体" w:eastAsia="宋体" w:cs="宋体"/>
          <w:color w:val="auto"/>
          <w:sz w:val="24"/>
          <w:lang w:val="en-US" w:eastAsia="zh-CN"/>
        </w:rPr>
      </w:pPr>
    </w:p>
    <w:p w14:paraId="0B88C3F8">
      <w:pPr>
        <w:pStyle w:val="88"/>
        <w:spacing w:line="360" w:lineRule="auto"/>
        <w:ind w:right="480" w:firstLine="480" w:firstLineChars="200"/>
        <w:jc w:val="both"/>
        <w:rPr>
          <w:rFonts w:hint="eastAsia" w:ascii="宋体" w:hAnsi="宋体" w:eastAsia="宋体" w:cs="宋体"/>
          <w:color w:val="auto"/>
          <w:sz w:val="24"/>
          <w:lang w:val="en-US" w:eastAsia="zh-CN"/>
        </w:rPr>
      </w:pPr>
    </w:p>
    <w:p w14:paraId="68867FA4">
      <w:pPr>
        <w:pStyle w:val="4"/>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bookmarkStart w:id="281" w:name="_Toc8165"/>
      <w:r>
        <w:rPr>
          <w:rFonts w:hint="eastAsia" w:ascii="宋体" w:hAnsi="宋体" w:eastAsia="宋体" w:cs="宋体"/>
          <w:b/>
          <w:bCs/>
          <w:color w:val="auto"/>
          <w:sz w:val="30"/>
          <w:szCs w:val="30"/>
          <w:lang w:val="en-US" w:eastAsia="zh-CN"/>
        </w:rPr>
        <w:t>七、其他资料</w:t>
      </w:r>
      <w:bookmarkEnd w:id="281"/>
    </w:p>
    <w:p w14:paraId="351F5EF4">
      <w:pPr>
        <w:pStyle w:val="88"/>
        <w:spacing w:line="360" w:lineRule="auto"/>
        <w:ind w:right="480" w:firstLine="480" w:firstLineChars="200"/>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供应商需提交的其他资料。</w:t>
      </w:r>
    </w:p>
    <w:p w14:paraId="3262F1C7">
      <w:pPr>
        <w:pStyle w:val="88"/>
        <w:spacing w:line="360" w:lineRule="auto"/>
        <w:ind w:right="480"/>
        <w:rPr>
          <w:rFonts w:hint="eastAsia" w:ascii="宋体" w:hAnsi="宋体" w:eastAsia="宋体" w:cs="宋体"/>
          <w:color w:val="auto"/>
          <w:sz w:val="24"/>
          <w:lang w:eastAsia="zh-CN"/>
        </w:rPr>
      </w:pPr>
    </w:p>
    <w:p w14:paraId="5215DE55">
      <w:pPr>
        <w:pStyle w:val="88"/>
        <w:spacing w:line="360" w:lineRule="auto"/>
        <w:ind w:right="480" w:firstLine="480" w:firstLineChars="200"/>
        <w:jc w:val="both"/>
        <w:rPr>
          <w:rFonts w:hint="eastAsia" w:ascii="宋体" w:hAnsi="宋体" w:eastAsia="宋体" w:cs="宋体"/>
          <w:color w:val="auto"/>
          <w:sz w:val="24"/>
          <w:lang w:eastAsia="zh-CN"/>
        </w:rPr>
      </w:pPr>
    </w:p>
    <w:p w14:paraId="0254F697">
      <w:pPr>
        <w:pStyle w:val="88"/>
        <w:spacing w:line="360" w:lineRule="auto"/>
        <w:ind w:right="480" w:firstLine="480" w:firstLineChars="200"/>
        <w:jc w:val="both"/>
        <w:rPr>
          <w:rFonts w:hint="eastAsia" w:ascii="宋体" w:hAnsi="宋体" w:eastAsia="宋体" w:cs="宋体"/>
          <w:color w:val="auto"/>
          <w:sz w:val="24"/>
          <w:lang w:eastAsia="zh-CN"/>
        </w:rPr>
      </w:pPr>
    </w:p>
    <w:p w14:paraId="18767113">
      <w:pPr>
        <w:pStyle w:val="88"/>
        <w:spacing w:line="360" w:lineRule="auto"/>
        <w:ind w:right="480" w:firstLine="480" w:firstLineChars="200"/>
        <w:jc w:val="both"/>
        <w:rPr>
          <w:rFonts w:hint="eastAsia" w:ascii="宋体" w:hAnsi="宋体" w:eastAsia="宋体" w:cs="宋体"/>
          <w:color w:val="auto"/>
          <w:sz w:val="24"/>
          <w:lang w:eastAsia="zh-CN"/>
        </w:rPr>
      </w:pPr>
    </w:p>
    <w:p w14:paraId="23B79F06">
      <w:pPr>
        <w:pStyle w:val="88"/>
        <w:spacing w:line="360" w:lineRule="auto"/>
        <w:ind w:right="480" w:firstLine="480" w:firstLineChars="200"/>
        <w:jc w:val="both"/>
        <w:rPr>
          <w:rFonts w:hint="eastAsia" w:ascii="宋体" w:hAnsi="宋体" w:eastAsia="宋体" w:cs="宋体"/>
          <w:color w:val="auto"/>
          <w:sz w:val="24"/>
          <w:lang w:eastAsia="zh-CN"/>
        </w:rPr>
      </w:pPr>
    </w:p>
    <w:p w14:paraId="524D386E">
      <w:pPr>
        <w:pStyle w:val="88"/>
        <w:spacing w:line="360" w:lineRule="auto"/>
        <w:ind w:right="480" w:firstLine="480" w:firstLineChars="200"/>
        <w:jc w:val="both"/>
        <w:rPr>
          <w:rFonts w:hint="eastAsia" w:ascii="宋体" w:hAnsi="宋体" w:eastAsia="宋体" w:cs="宋体"/>
          <w:color w:val="auto"/>
          <w:sz w:val="24"/>
          <w:lang w:eastAsia="zh-CN"/>
        </w:rPr>
      </w:pPr>
    </w:p>
    <w:p w14:paraId="0AEF1E96">
      <w:pPr>
        <w:pStyle w:val="88"/>
        <w:spacing w:line="360" w:lineRule="auto"/>
        <w:ind w:right="480" w:firstLine="480" w:firstLineChars="200"/>
        <w:jc w:val="both"/>
        <w:rPr>
          <w:rFonts w:hint="eastAsia" w:ascii="宋体" w:hAnsi="宋体" w:eastAsia="宋体" w:cs="宋体"/>
          <w:color w:val="auto"/>
          <w:sz w:val="24"/>
          <w:lang w:eastAsia="zh-CN"/>
        </w:rPr>
      </w:pPr>
    </w:p>
    <w:p w14:paraId="3A257A3E">
      <w:pPr>
        <w:pStyle w:val="88"/>
        <w:spacing w:line="360" w:lineRule="auto"/>
        <w:ind w:right="480" w:firstLine="480" w:firstLineChars="200"/>
        <w:jc w:val="both"/>
        <w:rPr>
          <w:rFonts w:hint="eastAsia" w:ascii="宋体" w:hAnsi="宋体" w:eastAsia="宋体" w:cs="宋体"/>
          <w:color w:val="auto"/>
          <w:sz w:val="24"/>
          <w:lang w:eastAsia="zh-CN"/>
        </w:rPr>
      </w:pPr>
    </w:p>
    <w:p w14:paraId="75370570">
      <w:pPr>
        <w:pStyle w:val="88"/>
        <w:spacing w:line="360" w:lineRule="auto"/>
        <w:ind w:right="480" w:firstLine="480" w:firstLineChars="200"/>
        <w:jc w:val="both"/>
        <w:rPr>
          <w:rFonts w:hint="eastAsia" w:ascii="宋体" w:hAnsi="宋体" w:eastAsia="宋体" w:cs="宋体"/>
          <w:color w:val="auto"/>
          <w:sz w:val="24"/>
          <w:lang w:eastAsia="zh-CN"/>
        </w:rPr>
      </w:pPr>
    </w:p>
    <w:p w14:paraId="757F9303">
      <w:pPr>
        <w:pStyle w:val="88"/>
        <w:spacing w:line="360" w:lineRule="auto"/>
        <w:ind w:right="480" w:firstLine="480" w:firstLineChars="200"/>
        <w:jc w:val="both"/>
        <w:rPr>
          <w:rFonts w:hint="eastAsia" w:ascii="宋体" w:hAnsi="宋体" w:eastAsia="宋体" w:cs="宋体"/>
          <w:color w:val="auto"/>
          <w:sz w:val="24"/>
          <w:lang w:eastAsia="zh-CN"/>
        </w:rPr>
      </w:pPr>
    </w:p>
    <w:p w14:paraId="1158EFC6">
      <w:pPr>
        <w:pStyle w:val="88"/>
        <w:spacing w:line="360" w:lineRule="auto"/>
        <w:ind w:right="480" w:firstLine="480" w:firstLineChars="200"/>
        <w:jc w:val="both"/>
        <w:rPr>
          <w:rFonts w:hint="eastAsia" w:ascii="宋体" w:hAnsi="宋体" w:eastAsia="宋体" w:cs="宋体"/>
          <w:color w:val="auto"/>
          <w:sz w:val="24"/>
          <w:lang w:eastAsia="zh-CN"/>
        </w:rPr>
      </w:pPr>
    </w:p>
    <w:p w14:paraId="5544B340">
      <w:pPr>
        <w:pStyle w:val="88"/>
        <w:spacing w:line="360" w:lineRule="auto"/>
        <w:ind w:right="480" w:firstLine="480" w:firstLineChars="200"/>
        <w:jc w:val="both"/>
        <w:rPr>
          <w:rFonts w:hint="eastAsia" w:ascii="宋体" w:hAnsi="宋体" w:eastAsia="宋体" w:cs="宋体"/>
          <w:color w:val="auto"/>
          <w:sz w:val="24"/>
          <w:lang w:eastAsia="zh-CN"/>
        </w:rPr>
      </w:pPr>
    </w:p>
    <w:p w14:paraId="4BB23610">
      <w:pPr>
        <w:pStyle w:val="88"/>
        <w:spacing w:line="360" w:lineRule="auto"/>
        <w:ind w:right="480" w:firstLine="480" w:firstLineChars="200"/>
        <w:jc w:val="both"/>
        <w:rPr>
          <w:rFonts w:hint="eastAsia" w:ascii="宋体" w:hAnsi="宋体" w:eastAsia="宋体" w:cs="宋体"/>
          <w:color w:val="auto"/>
          <w:sz w:val="24"/>
          <w:lang w:eastAsia="zh-CN"/>
        </w:rPr>
      </w:pPr>
    </w:p>
    <w:p w14:paraId="7EC6A897">
      <w:pPr>
        <w:pStyle w:val="88"/>
        <w:spacing w:line="360" w:lineRule="auto"/>
        <w:ind w:right="480" w:firstLine="480" w:firstLineChars="200"/>
        <w:jc w:val="both"/>
        <w:rPr>
          <w:rFonts w:hint="eastAsia" w:ascii="宋体" w:hAnsi="宋体" w:eastAsia="宋体" w:cs="宋体"/>
          <w:color w:val="auto"/>
          <w:sz w:val="24"/>
          <w:lang w:eastAsia="zh-CN"/>
        </w:rPr>
      </w:pPr>
    </w:p>
    <w:p w14:paraId="252DADAA">
      <w:pPr>
        <w:pStyle w:val="88"/>
        <w:spacing w:line="360" w:lineRule="auto"/>
        <w:ind w:right="480" w:firstLine="480" w:firstLineChars="200"/>
        <w:jc w:val="both"/>
        <w:rPr>
          <w:rFonts w:hint="eastAsia" w:ascii="宋体" w:hAnsi="宋体" w:eastAsia="宋体" w:cs="宋体"/>
          <w:color w:val="auto"/>
          <w:sz w:val="24"/>
          <w:lang w:eastAsia="zh-CN"/>
        </w:rPr>
      </w:pPr>
    </w:p>
    <w:p w14:paraId="6588B15A">
      <w:pPr>
        <w:pStyle w:val="88"/>
        <w:spacing w:line="360" w:lineRule="auto"/>
        <w:ind w:right="480" w:firstLine="480" w:firstLineChars="200"/>
        <w:jc w:val="both"/>
        <w:rPr>
          <w:rFonts w:hint="eastAsia" w:ascii="宋体" w:hAnsi="宋体" w:eastAsia="宋体" w:cs="宋体"/>
          <w:color w:val="auto"/>
          <w:sz w:val="24"/>
          <w:lang w:eastAsia="zh-CN"/>
        </w:rPr>
      </w:pPr>
    </w:p>
    <w:p w14:paraId="58826F11">
      <w:pPr>
        <w:pStyle w:val="88"/>
        <w:spacing w:line="360" w:lineRule="auto"/>
        <w:ind w:right="480" w:firstLine="480" w:firstLineChars="200"/>
        <w:jc w:val="both"/>
        <w:rPr>
          <w:rFonts w:hint="eastAsia" w:ascii="宋体" w:hAnsi="宋体" w:eastAsia="宋体" w:cs="宋体"/>
          <w:color w:val="auto"/>
          <w:sz w:val="24"/>
          <w:lang w:eastAsia="zh-CN"/>
        </w:rPr>
      </w:pPr>
    </w:p>
    <w:p w14:paraId="6735F297">
      <w:pPr>
        <w:pStyle w:val="88"/>
        <w:spacing w:line="360" w:lineRule="auto"/>
        <w:ind w:right="480" w:firstLine="480" w:firstLineChars="200"/>
        <w:jc w:val="both"/>
        <w:rPr>
          <w:rFonts w:hint="eastAsia" w:ascii="宋体" w:hAnsi="宋体" w:eastAsia="宋体" w:cs="宋体"/>
          <w:color w:val="auto"/>
          <w:sz w:val="24"/>
          <w:lang w:eastAsia="zh-CN"/>
        </w:rPr>
      </w:pPr>
    </w:p>
    <w:p w14:paraId="57AC6E55">
      <w:pPr>
        <w:pStyle w:val="88"/>
        <w:spacing w:line="360" w:lineRule="auto"/>
        <w:ind w:right="480" w:firstLine="480" w:firstLineChars="200"/>
        <w:jc w:val="both"/>
        <w:rPr>
          <w:rFonts w:hint="eastAsia" w:ascii="宋体" w:hAnsi="宋体" w:eastAsia="宋体" w:cs="宋体"/>
          <w:color w:val="auto"/>
          <w:sz w:val="24"/>
          <w:lang w:eastAsia="zh-CN"/>
        </w:rPr>
      </w:pPr>
    </w:p>
    <w:p w14:paraId="760F748D">
      <w:pPr>
        <w:pStyle w:val="88"/>
        <w:spacing w:line="360" w:lineRule="auto"/>
        <w:ind w:right="480" w:firstLine="480" w:firstLineChars="200"/>
        <w:jc w:val="both"/>
        <w:rPr>
          <w:rFonts w:hint="eastAsia" w:ascii="宋体" w:hAnsi="宋体" w:eastAsia="宋体" w:cs="宋体"/>
          <w:color w:val="auto"/>
          <w:sz w:val="24"/>
          <w:lang w:eastAsia="zh-CN"/>
        </w:rPr>
      </w:pPr>
    </w:p>
    <w:p w14:paraId="080FAF23">
      <w:pPr>
        <w:pStyle w:val="88"/>
        <w:spacing w:line="360" w:lineRule="auto"/>
        <w:ind w:right="480" w:firstLine="480" w:firstLineChars="200"/>
        <w:jc w:val="both"/>
        <w:rPr>
          <w:rFonts w:hint="eastAsia" w:ascii="宋体" w:hAnsi="宋体" w:eastAsia="宋体" w:cs="宋体"/>
          <w:color w:val="auto"/>
          <w:sz w:val="24"/>
          <w:lang w:eastAsia="zh-CN"/>
        </w:rPr>
      </w:pPr>
    </w:p>
    <w:p w14:paraId="090F0628">
      <w:pPr>
        <w:pStyle w:val="88"/>
        <w:spacing w:line="360" w:lineRule="auto"/>
        <w:ind w:right="480" w:firstLine="480" w:firstLineChars="200"/>
        <w:jc w:val="both"/>
        <w:rPr>
          <w:rFonts w:hint="eastAsia" w:ascii="宋体" w:hAnsi="宋体" w:eastAsia="宋体" w:cs="宋体"/>
          <w:color w:val="auto"/>
          <w:sz w:val="24"/>
          <w:lang w:eastAsia="zh-CN"/>
        </w:rPr>
      </w:pPr>
    </w:p>
    <w:p w14:paraId="4AB0B740">
      <w:pPr>
        <w:pageBreakBefore w:val="0"/>
        <w:widowControl w:val="0"/>
        <w:kinsoku/>
        <w:wordWrap/>
        <w:overflowPunct/>
        <w:topLinePunct w:val="0"/>
        <w:autoSpaceDE/>
        <w:autoSpaceDN/>
        <w:bidi w:val="0"/>
        <w:snapToGrid/>
        <w:spacing w:line="400" w:lineRule="exact"/>
        <w:jc w:val="center"/>
        <w:outlineLvl w:val="1"/>
        <w:rPr>
          <w:rFonts w:hint="eastAsia" w:ascii="宋体" w:hAnsi="宋体" w:eastAsia="宋体" w:cs="宋体"/>
          <w:b/>
          <w:color w:val="auto"/>
          <w:sz w:val="28"/>
          <w:szCs w:val="28"/>
          <w:lang w:val="en-US" w:eastAsia="zh-CN"/>
        </w:rPr>
      </w:pPr>
      <w:bookmarkStart w:id="282" w:name="_Toc19716"/>
      <w:r>
        <w:rPr>
          <w:rFonts w:hint="eastAsia" w:ascii="宋体" w:hAnsi="宋体" w:eastAsia="宋体" w:cs="宋体"/>
          <w:b/>
          <w:color w:val="auto"/>
          <w:sz w:val="28"/>
          <w:szCs w:val="28"/>
          <w:lang w:val="en-US" w:eastAsia="zh-CN"/>
        </w:rPr>
        <w:t>报价文件部分</w:t>
      </w:r>
      <w:bookmarkEnd w:id="282"/>
    </w:p>
    <w:p w14:paraId="05176E43">
      <w:pPr>
        <w:jc w:val="center"/>
        <w:rPr>
          <w:rFonts w:hint="eastAsia" w:ascii="宋体" w:hAnsi="宋体" w:eastAsia="宋体" w:cs="宋体"/>
          <w:b/>
          <w:bCs/>
          <w:color w:val="auto"/>
          <w:kern w:val="2"/>
          <w:sz w:val="24"/>
          <w:szCs w:val="22"/>
          <w:u w:val="none"/>
          <w:lang w:val="en-US" w:eastAsia="zh-CN" w:bidi="ar-SA"/>
        </w:rPr>
      </w:pPr>
    </w:p>
    <w:p w14:paraId="219DEC0B">
      <w:pPr>
        <w:jc w:val="center"/>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目录</w:t>
      </w:r>
    </w:p>
    <w:p w14:paraId="7CEACAA9">
      <w:pPr>
        <w:rPr>
          <w:rFonts w:hint="eastAsia" w:ascii="宋体" w:hAnsi="宋体" w:eastAsia="宋体" w:cs="宋体"/>
          <w:color w:val="auto"/>
        </w:rPr>
      </w:pPr>
    </w:p>
    <w:p w14:paraId="6461DA4A">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（1）开标一览表……………………………………………………………………（页码）</w:t>
      </w:r>
    </w:p>
    <w:p w14:paraId="68179F15">
      <w:pPr>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（2）报价</w:t>
      </w:r>
      <w:r>
        <w:rPr>
          <w:rFonts w:hint="eastAsia" w:ascii="宋体" w:hAnsi="宋体" w:eastAsia="宋体" w:cs="宋体"/>
          <w:color w:val="auto"/>
          <w:sz w:val="24"/>
          <w:lang w:val="en-US" w:eastAsia="zh-CN"/>
        </w:rPr>
        <w:t>明细</w:t>
      </w:r>
      <w:r>
        <w:rPr>
          <w:rFonts w:hint="eastAsia" w:ascii="宋体" w:hAnsi="宋体" w:eastAsia="宋体" w:cs="宋体"/>
          <w:color w:val="auto"/>
          <w:sz w:val="24"/>
        </w:rPr>
        <w:t>表……………………………………………………………………（页码）</w:t>
      </w:r>
    </w:p>
    <w:p w14:paraId="2BE61BF9">
      <w:pPr>
        <w:pStyle w:val="88"/>
        <w:spacing w:line="360" w:lineRule="auto"/>
        <w:ind w:right="480" w:firstLine="480" w:firstLineChars="200"/>
        <w:jc w:val="both"/>
        <w:rPr>
          <w:rFonts w:hint="eastAsia" w:ascii="宋体" w:hAnsi="宋体" w:eastAsia="宋体" w:cs="宋体"/>
          <w:color w:val="auto"/>
          <w:sz w:val="24"/>
          <w:lang w:eastAsia="zh-CN"/>
        </w:rPr>
      </w:pPr>
    </w:p>
    <w:p w14:paraId="336C643E">
      <w:pPr>
        <w:pStyle w:val="88"/>
        <w:spacing w:line="360" w:lineRule="auto"/>
        <w:ind w:right="480" w:firstLine="480" w:firstLineChars="200"/>
        <w:jc w:val="both"/>
        <w:rPr>
          <w:rFonts w:hint="eastAsia" w:ascii="宋体" w:hAnsi="宋体" w:eastAsia="宋体" w:cs="宋体"/>
          <w:color w:val="auto"/>
          <w:sz w:val="24"/>
          <w:lang w:eastAsia="zh-CN"/>
        </w:rPr>
      </w:pPr>
    </w:p>
    <w:p w14:paraId="03C1DFDB">
      <w:pPr>
        <w:pStyle w:val="88"/>
        <w:spacing w:line="360" w:lineRule="auto"/>
        <w:ind w:right="480" w:firstLine="480" w:firstLineChars="200"/>
        <w:jc w:val="both"/>
        <w:rPr>
          <w:rFonts w:hint="eastAsia" w:ascii="宋体" w:hAnsi="宋体" w:eastAsia="宋体" w:cs="宋体"/>
          <w:color w:val="auto"/>
          <w:sz w:val="24"/>
          <w:lang w:eastAsia="zh-CN"/>
        </w:rPr>
      </w:pPr>
    </w:p>
    <w:p w14:paraId="301F8373">
      <w:pPr>
        <w:pStyle w:val="88"/>
        <w:spacing w:line="360" w:lineRule="auto"/>
        <w:ind w:right="480" w:firstLine="480" w:firstLineChars="200"/>
        <w:jc w:val="both"/>
        <w:rPr>
          <w:rFonts w:hint="eastAsia" w:ascii="宋体" w:hAnsi="宋体" w:eastAsia="宋体" w:cs="宋体"/>
          <w:color w:val="auto"/>
          <w:sz w:val="24"/>
          <w:lang w:eastAsia="zh-CN"/>
        </w:rPr>
      </w:pPr>
    </w:p>
    <w:p w14:paraId="31B3501B">
      <w:pPr>
        <w:pStyle w:val="88"/>
        <w:spacing w:line="360" w:lineRule="auto"/>
        <w:ind w:right="480" w:firstLine="480" w:firstLineChars="200"/>
        <w:jc w:val="both"/>
        <w:rPr>
          <w:rFonts w:hint="eastAsia" w:ascii="宋体" w:hAnsi="宋体" w:eastAsia="宋体" w:cs="宋体"/>
          <w:color w:val="auto"/>
          <w:sz w:val="24"/>
          <w:lang w:eastAsia="zh-CN"/>
        </w:rPr>
      </w:pPr>
    </w:p>
    <w:p w14:paraId="341A9D62">
      <w:pPr>
        <w:pStyle w:val="88"/>
        <w:spacing w:line="360" w:lineRule="auto"/>
        <w:ind w:right="480" w:firstLine="480" w:firstLineChars="200"/>
        <w:jc w:val="both"/>
        <w:rPr>
          <w:rFonts w:hint="eastAsia" w:ascii="宋体" w:hAnsi="宋体" w:eastAsia="宋体" w:cs="宋体"/>
          <w:color w:val="auto"/>
          <w:sz w:val="24"/>
          <w:lang w:eastAsia="zh-CN"/>
        </w:rPr>
      </w:pPr>
    </w:p>
    <w:p w14:paraId="6593C304">
      <w:pPr>
        <w:pStyle w:val="88"/>
        <w:spacing w:line="360" w:lineRule="auto"/>
        <w:ind w:right="480" w:firstLine="480" w:firstLineChars="200"/>
        <w:jc w:val="both"/>
        <w:rPr>
          <w:rFonts w:hint="eastAsia" w:ascii="宋体" w:hAnsi="宋体" w:eastAsia="宋体" w:cs="宋体"/>
          <w:color w:val="auto"/>
          <w:sz w:val="24"/>
          <w:lang w:eastAsia="zh-CN"/>
        </w:rPr>
      </w:pPr>
    </w:p>
    <w:p w14:paraId="47F9F79A">
      <w:pPr>
        <w:pStyle w:val="88"/>
        <w:spacing w:line="360" w:lineRule="auto"/>
        <w:ind w:right="480" w:firstLine="480" w:firstLineChars="200"/>
        <w:jc w:val="both"/>
        <w:rPr>
          <w:rFonts w:hint="eastAsia" w:ascii="宋体" w:hAnsi="宋体" w:eastAsia="宋体" w:cs="宋体"/>
          <w:color w:val="auto"/>
          <w:sz w:val="24"/>
          <w:lang w:eastAsia="zh-CN"/>
        </w:rPr>
      </w:pPr>
    </w:p>
    <w:p w14:paraId="4AC24449">
      <w:pPr>
        <w:pStyle w:val="88"/>
        <w:spacing w:line="360" w:lineRule="auto"/>
        <w:ind w:right="480" w:firstLine="480" w:firstLineChars="200"/>
        <w:jc w:val="both"/>
        <w:rPr>
          <w:rFonts w:hint="eastAsia" w:ascii="宋体" w:hAnsi="宋体" w:eastAsia="宋体" w:cs="宋体"/>
          <w:color w:val="auto"/>
          <w:sz w:val="24"/>
          <w:lang w:eastAsia="zh-CN"/>
        </w:rPr>
      </w:pPr>
    </w:p>
    <w:p w14:paraId="05C002D3">
      <w:pPr>
        <w:pStyle w:val="88"/>
        <w:spacing w:line="360" w:lineRule="auto"/>
        <w:ind w:right="480" w:firstLine="480" w:firstLineChars="200"/>
        <w:jc w:val="both"/>
        <w:rPr>
          <w:rFonts w:hint="eastAsia" w:ascii="宋体" w:hAnsi="宋体" w:eastAsia="宋体" w:cs="宋体"/>
          <w:color w:val="auto"/>
          <w:sz w:val="24"/>
          <w:lang w:eastAsia="zh-CN"/>
        </w:rPr>
      </w:pPr>
    </w:p>
    <w:p w14:paraId="7CB78545">
      <w:pPr>
        <w:pStyle w:val="88"/>
        <w:spacing w:line="360" w:lineRule="auto"/>
        <w:ind w:right="480" w:firstLine="480" w:firstLineChars="200"/>
        <w:jc w:val="both"/>
        <w:rPr>
          <w:rFonts w:hint="eastAsia" w:ascii="宋体" w:hAnsi="宋体" w:eastAsia="宋体" w:cs="宋体"/>
          <w:color w:val="auto"/>
          <w:sz w:val="24"/>
          <w:lang w:eastAsia="zh-CN"/>
        </w:rPr>
      </w:pPr>
    </w:p>
    <w:p w14:paraId="6402632C">
      <w:pPr>
        <w:pStyle w:val="88"/>
        <w:spacing w:line="360" w:lineRule="auto"/>
        <w:ind w:right="480" w:firstLine="480" w:firstLineChars="200"/>
        <w:jc w:val="both"/>
        <w:rPr>
          <w:rFonts w:hint="eastAsia" w:ascii="宋体" w:hAnsi="宋体" w:eastAsia="宋体" w:cs="宋体"/>
          <w:color w:val="auto"/>
          <w:sz w:val="24"/>
          <w:lang w:eastAsia="zh-CN"/>
        </w:rPr>
      </w:pPr>
    </w:p>
    <w:p w14:paraId="5BB0FCAA">
      <w:pPr>
        <w:pStyle w:val="88"/>
        <w:spacing w:line="360" w:lineRule="auto"/>
        <w:ind w:right="480" w:firstLine="480" w:firstLineChars="200"/>
        <w:jc w:val="both"/>
        <w:rPr>
          <w:rFonts w:hint="eastAsia" w:ascii="宋体" w:hAnsi="宋体" w:eastAsia="宋体" w:cs="宋体"/>
          <w:color w:val="auto"/>
          <w:sz w:val="24"/>
          <w:lang w:eastAsia="zh-CN"/>
        </w:rPr>
      </w:pPr>
    </w:p>
    <w:p w14:paraId="2B6C2807">
      <w:pPr>
        <w:pStyle w:val="88"/>
        <w:spacing w:line="360" w:lineRule="auto"/>
        <w:ind w:right="480" w:firstLine="480" w:firstLineChars="200"/>
        <w:jc w:val="both"/>
        <w:rPr>
          <w:rFonts w:hint="eastAsia" w:ascii="宋体" w:hAnsi="宋体" w:eastAsia="宋体" w:cs="宋体"/>
          <w:color w:val="auto"/>
          <w:sz w:val="24"/>
          <w:lang w:eastAsia="zh-CN"/>
        </w:rPr>
      </w:pPr>
    </w:p>
    <w:p w14:paraId="40FD700F">
      <w:pPr>
        <w:pStyle w:val="88"/>
        <w:spacing w:line="360" w:lineRule="auto"/>
        <w:ind w:right="480" w:firstLine="480" w:firstLineChars="200"/>
        <w:jc w:val="both"/>
        <w:rPr>
          <w:rFonts w:hint="eastAsia" w:ascii="宋体" w:hAnsi="宋体" w:eastAsia="宋体" w:cs="宋体"/>
          <w:color w:val="auto"/>
          <w:sz w:val="24"/>
          <w:lang w:eastAsia="zh-CN"/>
        </w:rPr>
      </w:pPr>
    </w:p>
    <w:p w14:paraId="70D3DE68">
      <w:pPr>
        <w:pStyle w:val="88"/>
        <w:spacing w:line="360" w:lineRule="auto"/>
        <w:ind w:right="480" w:firstLine="480" w:firstLineChars="200"/>
        <w:jc w:val="both"/>
        <w:rPr>
          <w:rFonts w:hint="eastAsia" w:ascii="宋体" w:hAnsi="宋体" w:eastAsia="宋体" w:cs="宋体"/>
          <w:color w:val="auto"/>
          <w:sz w:val="24"/>
          <w:lang w:eastAsia="zh-CN"/>
        </w:rPr>
      </w:pPr>
    </w:p>
    <w:p w14:paraId="4AF83476">
      <w:pPr>
        <w:pStyle w:val="88"/>
        <w:spacing w:line="360" w:lineRule="auto"/>
        <w:ind w:right="480" w:firstLine="480" w:firstLineChars="200"/>
        <w:jc w:val="both"/>
        <w:rPr>
          <w:rFonts w:hint="eastAsia" w:ascii="宋体" w:hAnsi="宋体" w:eastAsia="宋体" w:cs="宋体"/>
          <w:color w:val="auto"/>
          <w:sz w:val="24"/>
          <w:lang w:eastAsia="zh-CN"/>
        </w:rPr>
      </w:pPr>
    </w:p>
    <w:p w14:paraId="7E287DB1">
      <w:pPr>
        <w:pStyle w:val="88"/>
        <w:spacing w:line="360" w:lineRule="auto"/>
        <w:ind w:right="480" w:firstLine="480" w:firstLineChars="200"/>
        <w:jc w:val="both"/>
        <w:rPr>
          <w:rFonts w:hint="eastAsia" w:ascii="宋体" w:hAnsi="宋体" w:eastAsia="宋体" w:cs="宋体"/>
          <w:color w:val="auto"/>
          <w:sz w:val="24"/>
          <w:lang w:eastAsia="zh-CN"/>
        </w:rPr>
      </w:pPr>
    </w:p>
    <w:p w14:paraId="1047F096">
      <w:pPr>
        <w:pStyle w:val="88"/>
        <w:spacing w:line="360" w:lineRule="auto"/>
        <w:ind w:right="480" w:firstLine="480" w:firstLineChars="200"/>
        <w:jc w:val="both"/>
        <w:rPr>
          <w:rFonts w:hint="eastAsia" w:ascii="宋体" w:hAnsi="宋体" w:eastAsia="宋体" w:cs="宋体"/>
          <w:color w:val="auto"/>
          <w:sz w:val="24"/>
          <w:lang w:eastAsia="zh-CN"/>
        </w:rPr>
      </w:pPr>
    </w:p>
    <w:p w14:paraId="35CC3D50">
      <w:pPr>
        <w:pStyle w:val="88"/>
        <w:spacing w:line="360" w:lineRule="auto"/>
        <w:ind w:right="480" w:firstLine="480" w:firstLineChars="200"/>
        <w:jc w:val="both"/>
        <w:rPr>
          <w:rFonts w:hint="eastAsia" w:ascii="宋体" w:hAnsi="宋体" w:eastAsia="宋体" w:cs="宋体"/>
          <w:color w:val="auto"/>
          <w:sz w:val="24"/>
          <w:lang w:eastAsia="zh-CN"/>
        </w:rPr>
      </w:pPr>
    </w:p>
    <w:p w14:paraId="32280273">
      <w:pPr>
        <w:pStyle w:val="88"/>
        <w:spacing w:line="360" w:lineRule="auto"/>
        <w:ind w:right="480" w:firstLine="480" w:firstLineChars="200"/>
        <w:jc w:val="both"/>
        <w:rPr>
          <w:rFonts w:hint="eastAsia" w:ascii="宋体" w:hAnsi="宋体" w:eastAsia="宋体" w:cs="宋体"/>
          <w:color w:val="auto"/>
          <w:sz w:val="24"/>
          <w:lang w:eastAsia="zh-CN"/>
        </w:rPr>
      </w:pPr>
    </w:p>
    <w:p w14:paraId="577C2819">
      <w:pPr>
        <w:pStyle w:val="88"/>
        <w:spacing w:line="360" w:lineRule="auto"/>
        <w:ind w:right="480" w:firstLine="480" w:firstLineChars="200"/>
        <w:jc w:val="both"/>
        <w:rPr>
          <w:rFonts w:hint="eastAsia" w:ascii="宋体" w:hAnsi="宋体" w:eastAsia="宋体" w:cs="宋体"/>
          <w:color w:val="auto"/>
          <w:sz w:val="24"/>
          <w:lang w:eastAsia="zh-CN"/>
        </w:rPr>
      </w:pPr>
    </w:p>
    <w:p w14:paraId="63DB5B69">
      <w:pPr>
        <w:pStyle w:val="88"/>
        <w:spacing w:line="360" w:lineRule="auto"/>
        <w:ind w:right="480" w:firstLine="480" w:firstLineChars="200"/>
        <w:jc w:val="both"/>
        <w:rPr>
          <w:rFonts w:hint="eastAsia" w:ascii="宋体" w:hAnsi="宋体" w:eastAsia="宋体" w:cs="宋体"/>
          <w:color w:val="auto"/>
          <w:sz w:val="24"/>
          <w:lang w:eastAsia="zh-CN"/>
        </w:rPr>
      </w:pPr>
    </w:p>
    <w:p w14:paraId="3920465A">
      <w:pPr>
        <w:pStyle w:val="88"/>
        <w:spacing w:line="360" w:lineRule="auto"/>
        <w:ind w:right="480" w:firstLine="480" w:firstLineChars="200"/>
        <w:jc w:val="both"/>
        <w:rPr>
          <w:rFonts w:hint="eastAsia" w:ascii="宋体" w:hAnsi="宋体" w:eastAsia="宋体" w:cs="宋体"/>
          <w:color w:val="auto"/>
          <w:sz w:val="24"/>
          <w:lang w:eastAsia="zh-CN"/>
        </w:rPr>
      </w:pPr>
    </w:p>
    <w:p w14:paraId="49F7CA76">
      <w:pPr>
        <w:pStyle w:val="88"/>
        <w:spacing w:line="360" w:lineRule="auto"/>
        <w:ind w:right="480" w:firstLine="480" w:firstLineChars="200"/>
        <w:jc w:val="both"/>
        <w:rPr>
          <w:rFonts w:hint="eastAsia" w:ascii="宋体" w:hAnsi="宋体" w:eastAsia="宋体" w:cs="宋体"/>
          <w:color w:val="auto"/>
          <w:sz w:val="24"/>
          <w:lang w:eastAsia="zh-CN"/>
        </w:rPr>
      </w:pPr>
    </w:p>
    <w:p w14:paraId="06B620CC">
      <w:pPr>
        <w:pStyle w:val="4"/>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一、开标一览表</w:t>
      </w:r>
    </w:p>
    <w:p w14:paraId="7C7F9040">
      <w:pPr>
        <w:pStyle w:val="85"/>
        <w:spacing w:line="360" w:lineRule="auto"/>
        <w:ind w:left="0" w:leftChars="0" w:firstLine="0" w:firstLineChars="0"/>
        <w:jc w:val="right"/>
        <w:rPr>
          <w:rFonts w:hint="eastAsia" w:ascii="宋体" w:hAnsi="宋体" w:eastAsia="宋体" w:cs="宋体"/>
          <w:color w:val="auto"/>
        </w:rPr>
      </w:pPr>
      <w:r>
        <w:rPr>
          <w:rFonts w:hint="eastAsia" w:ascii="宋体" w:hAnsi="宋体" w:eastAsia="宋体" w:cs="宋体"/>
          <w:color w:val="auto"/>
        </w:rPr>
        <w:t>价格单位：元</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7346"/>
      </w:tblGrid>
      <w:tr w14:paraId="5C1C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0FBE19CE">
            <w:pPr>
              <w:pStyle w:val="86"/>
              <w:tabs>
                <w:tab w:val="left" w:pos="1337"/>
              </w:tabs>
              <w:spacing w:line="360" w:lineRule="auto"/>
              <w:jc w:val="center"/>
              <w:rPr>
                <w:rFonts w:hint="eastAsia" w:ascii="宋体" w:hAnsi="宋体" w:eastAsia="宋体" w:cs="宋体"/>
                <w:color w:val="auto"/>
                <w:sz w:val="24"/>
              </w:rPr>
            </w:pPr>
            <w:r>
              <w:rPr>
                <w:rFonts w:hint="eastAsia" w:ascii="宋体" w:hAnsi="宋体" w:eastAsia="宋体" w:cs="宋体"/>
                <w:bCs/>
                <w:color w:val="auto"/>
                <w:sz w:val="24"/>
                <w:lang w:eastAsia="zh-CN"/>
              </w:rPr>
              <w:t>项目</w:t>
            </w:r>
            <w:r>
              <w:rPr>
                <w:rFonts w:hint="eastAsia" w:ascii="宋体" w:hAnsi="宋体" w:eastAsia="宋体" w:cs="宋体"/>
                <w:bCs/>
                <w:color w:val="auto"/>
                <w:sz w:val="24"/>
              </w:rPr>
              <w:t>名称</w:t>
            </w:r>
          </w:p>
        </w:tc>
        <w:tc>
          <w:tcPr>
            <w:tcW w:w="3687" w:type="pct"/>
            <w:tcBorders>
              <w:bottom w:val="single" w:color="auto" w:sz="4" w:space="0"/>
            </w:tcBorders>
            <w:noWrap w:val="0"/>
            <w:vAlign w:val="center"/>
          </w:tcPr>
          <w:p w14:paraId="1643FC6E">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color w:val="auto"/>
                <w:u w:val="none"/>
              </w:rPr>
              <w:t xml:space="preserve">                                </w:t>
            </w:r>
          </w:p>
        </w:tc>
      </w:tr>
      <w:tr w14:paraId="6152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noWrap w:val="0"/>
            <w:vAlign w:val="center"/>
          </w:tcPr>
          <w:p w14:paraId="3D0BFC83">
            <w:pPr>
              <w:pStyle w:val="86"/>
              <w:tabs>
                <w:tab w:val="left" w:pos="1337"/>
              </w:tabs>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项目编号</w:t>
            </w:r>
          </w:p>
        </w:tc>
        <w:tc>
          <w:tcPr>
            <w:tcW w:w="3687" w:type="pct"/>
            <w:tcBorders>
              <w:bottom w:val="single" w:color="auto" w:sz="4" w:space="0"/>
            </w:tcBorders>
            <w:noWrap w:val="0"/>
            <w:vAlign w:val="center"/>
          </w:tcPr>
          <w:p w14:paraId="3DEBC104">
            <w:pPr>
              <w:pStyle w:val="86"/>
              <w:tabs>
                <w:tab w:val="left" w:pos="1337"/>
              </w:tabs>
              <w:spacing w:line="360" w:lineRule="auto"/>
              <w:rPr>
                <w:rFonts w:hint="eastAsia" w:ascii="宋体" w:hAnsi="宋体" w:eastAsia="宋体" w:cs="宋体"/>
                <w:color w:val="auto"/>
                <w:u w:val="single"/>
              </w:rPr>
            </w:pPr>
          </w:p>
        </w:tc>
      </w:tr>
      <w:tr w14:paraId="631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12" w:type="pct"/>
            <w:noWrap w:val="0"/>
            <w:vAlign w:val="center"/>
          </w:tcPr>
          <w:p w14:paraId="51214A50">
            <w:pPr>
              <w:pStyle w:val="86"/>
              <w:tabs>
                <w:tab w:val="left" w:pos="1337"/>
              </w:tabs>
              <w:spacing w:line="360" w:lineRule="auto"/>
              <w:jc w:val="center"/>
              <w:rPr>
                <w:rFonts w:hint="eastAsia" w:ascii="宋体" w:hAnsi="宋体" w:eastAsia="宋体" w:cs="宋体"/>
                <w:color w:val="auto"/>
                <w:sz w:val="24"/>
              </w:rPr>
            </w:pPr>
            <w:r>
              <w:rPr>
                <w:rFonts w:hint="eastAsia" w:ascii="宋体" w:hAnsi="宋体" w:eastAsia="宋体" w:cs="宋体"/>
                <w:bCs/>
                <w:color w:val="auto"/>
                <w:sz w:val="24"/>
              </w:rPr>
              <w:t>投 标 总 价</w:t>
            </w:r>
          </w:p>
        </w:tc>
        <w:tc>
          <w:tcPr>
            <w:tcW w:w="3687" w:type="pct"/>
            <w:noWrap w:val="0"/>
            <w:vAlign w:val="top"/>
          </w:tcPr>
          <w:p w14:paraId="536D4756">
            <w:pPr>
              <w:pStyle w:val="86"/>
              <w:tabs>
                <w:tab w:val="left" w:pos="1337"/>
              </w:tabs>
              <w:spacing w:line="360" w:lineRule="auto"/>
              <w:rPr>
                <w:rFonts w:hint="eastAsia" w:ascii="宋体" w:hAnsi="宋体" w:eastAsia="宋体" w:cs="宋体"/>
                <w:bCs/>
                <w:color w:val="auto"/>
                <w:sz w:val="24"/>
              </w:rPr>
            </w:pPr>
          </w:p>
          <w:p w14:paraId="20052C7E">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小写：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w:t>
            </w:r>
          </w:p>
          <w:p w14:paraId="61C779F5">
            <w:pPr>
              <w:pStyle w:val="86"/>
              <w:tabs>
                <w:tab w:val="left" w:pos="1337"/>
              </w:tabs>
              <w:spacing w:line="360" w:lineRule="auto"/>
              <w:rPr>
                <w:rFonts w:hint="eastAsia" w:ascii="宋体" w:hAnsi="宋体" w:eastAsia="宋体" w:cs="宋体"/>
                <w:bCs/>
                <w:color w:val="auto"/>
                <w:sz w:val="24"/>
              </w:rPr>
            </w:pPr>
          </w:p>
          <w:p w14:paraId="2159AF8F">
            <w:pPr>
              <w:pStyle w:val="86"/>
              <w:tabs>
                <w:tab w:val="left" w:pos="1337"/>
              </w:tabs>
              <w:spacing w:line="360" w:lineRule="auto"/>
              <w:rPr>
                <w:rFonts w:hint="eastAsia" w:ascii="宋体" w:hAnsi="宋体" w:eastAsia="宋体" w:cs="宋体"/>
                <w:bCs/>
                <w:color w:val="auto"/>
                <w:sz w:val="24"/>
              </w:rPr>
            </w:pPr>
            <w:r>
              <w:rPr>
                <w:rFonts w:hint="eastAsia" w:ascii="宋体" w:hAnsi="宋体" w:eastAsia="宋体" w:cs="宋体"/>
                <w:bCs/>
                <w:color w:val="auto"/>
                <w:sz w:val="24"/>
              </w:rPr>
              <w:t>大写：</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元</w:t>
            </w:r>
          </w:p>
          <w:p w14:paraId="5CF78B6A">
            <w:pPr>
              <w:pStyle w:val="86"/>
              <w:tabs>
                <w:tab w:val="left" w:pos="1337"/>
              </w:tabs>
              <w:spacing w:line="360" w:lineRule="auto"/>
              <w:rPr>
                <w:rFonts w:hint="eastAsia" w:ascii="宋体" w:hAnsi="宋体" w:eastAsia="宋体" w:cs="宋体"/>
                <w:color w:val="auto"/>
                <w:sz w:val="24"/>
              </w:rPr>
            </w:pPr>
          </w:p>
        </w:tc>
      </w:tr>
      <w:tr w14:paraId="121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noWrap w:val="0"/>
            <w:vAlign w:val="top"/>
          </w:tcPr>
          <w:p w14:paraId="5C46798D">
            <w:pPr>
              <w:pStyle w:val="86"/>
              <w:tabs>
                <w:tab w:val="left" w:pos="1337"/>
              </w:tabs>
              <w:spacing w:line="360" w:lineRule="auto"/>
              <w:jc w:val="center"/>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合同履约期限</w:t>
            </w:r>
          </w:p>
        </w:tc>
        <w:tc>
          <w:tcPr>
            <w:tcW w:w="3687" w:type="pct"/>
            <w:noWrap w:val="0"/>
            <w:vAlign w:val="top"/>
          </w:tcPr>
          <w:p w14:paraId="1D0E8B55">
            <w:pPr>
              <w:pStyle w:val="86"/>
              <w:tabs>
                <w:tab w:val="left" w:pos="1337"/>
              </w:tabs>
              <w:spacing w:line="360" w:lineRule="auto"/>
              <w:rPr>
                <w:rFonts w:hint="eastAsia" w:ascii="宋体" w:hAnsi="宋体" w:eastAsia="宋体" w:cs="宋体"/>
                <w:color w:val="auto"/>
                <w:sz w:val="24"/>
              </w:rPr>
            </w:pPr>
            <w:r>
              <w:rPr>
                <w:rFonts w:hint="eastAsia" w:ascii="宋体" w:hAnsi="宋体" w:eastAsia="宋体" w:cs="宋体"/>
                <w:color w:val="auto"/>
                <w:u w:val="none"/>
              </w:rPr>
              <w:t xml:space="preserve">                       </w:t>
            </w:r>
          </w:p>
        </w:tc>
      </w:tr>
      <w:tr w14:paraId="6380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3FCA82C4">
            <w:pPr>
              <w:pStyle w:val="86"/>
              <w:tabs>
                <w:tab w:val="left" w:pos="1337"/>
              </w:tabs>
              <w:spacing w:line="360" w:lineRule="auto"/>
              <w:rPr>
                <w:rFonts w:hint="eastAsia" w:ascii="宋体" w:hAnsi="宋体" w:eastAsia="宋体" w:cs="宋体"/>
                <w:color w:val="auto"/>
                <w:sz w:val="24"/>
              </w:rPr>
            </w:pPr>
            <w:r>
              <w:rPr>
                <w:rFonts w:hint="eastAsia" w:ascii="宋体" w:hAnsi="宋体" w:eastAsia="宋体" w:cs="宋体"/>
                <w:bCs/>
                <w:color w:val="auto"/>
                <w:sz w:val="24"/>
              </w:rPr>
              <w:t>备注：</w:t>
            </w:r>
            <w:r>
              <w:rPr>
                <w:rFonts w:hint="eastAsia" w:ascii="宋体" w:hAnsi="宋体" w:eastAsia="宋体" w:cs="宋体"/>
                <w:color w:val="auto"/>
              </w:rPr>
              <w:t xml:space="preserve"> </w:t>
            </w:r>
          </w:p>
        </w:tc>
      </w:tr>
    </w:tbl>
    <w:p w14:paraId="0C985AB8">
      <w:pPr>
        <w:spacing w:line="360" w:lineRule="auto"/>
        <w:ind w:firstLine="480" w:firstLineChars="200"/>
        <w:rPr>
          <w:rFonts w:hint="eastAsia" w:ascii="宋体" w:hAnsi="宋体" w:eastAsia="宋体" w:cs="宋体"/>
          <w:color w:val="auto"/>
          <w:kern w:val="0"/>
          <w:sz w:val="24"/>
          <w:lang w:val="zh-CN"/>
        </w:rPr>
      </w:pPr>
    </w:p>
    <w:p w14:paraId="56E020D4">
      <w:pPr>
        <w:pStyle w:val="32"/>
        <w:rPr>
          <w:rFonts w:hint="eastAsia" w:ascii="宋体" w:hAnsi="宋体" w:eastAsia="宋体" w:cs="宋体"/>
          <w:color w:val="auto"/>
        </w:rPr>
      </w:pPr>
    </w:p>
    <w:p w14:paraId="003F68D8">
      <w:pPr>
        <w:spacing w:line="360" w:lineRule="auto"/>
        <w:rPr>
          <w:rFonts w:hint="eastAsia" w:ascii="宋体" w:hAnsi="宋体" w:eastAsia="宋体" w:cs="宋体"/>
          <w:color w:val="auto"/>
          <w:sz w:val="28"/>
        </w:rPr>
      </w:pPr>
      <w:bookmarkStart w:id="283" w:name="_Toc485895993"/>
    </w:p>
    <w:p w14:paraId="083AC15E">
      <w:pPr>
        <w:spacing w:line="360" w:lineRule="auto"/>
        <w:rPr>
          <w:rFonts w:hint="eastAsia" w:ascii="宋体" w:hAnsi="宋体" w:eastAsia="宋体" w:cs="宋体"/>
          <w:color w:val="auto"/>
          <w:sz w:val="22"/>
          <w:szCs w:val="20"/>
        </w:rPr>
      </w:pPr>
      <w:r>
        <w:rPr>
          <w:rFonts w:hint="eastAsia" w:ascii="宋体" w:hAnsi="宋体" w:eastAsia="宋体" w:cs="宋体"/>
          <w:color w:val="auto"/>
          <w:sz w:val="22"/>
          <w:szCs w:val="20"/>
        </w:rPr>
        <w:t>说明：1、</w:t>
      </w:r>
      <w:r>
        <w:rPr>
          <w:rFonts w:hint="eastAsia" w:ascii="宋体" w:hAnsi="宋体" w:cs="宋体"/>
          <w:color w:val="auto"/>
          <w:sz w:val="22"/>
          <w:szCs w:val="20"/>
          <w:lang w:eastAsia="zh-CN"/>
        </w:rPr>
        <w:t>供应商</w:t>
      </w:r>
      <w:r>
        <w:rPr>
          <w:rFonts w:hint="eastAsia" w:ascii="宋体" w:hAnsi="宋体" w:eastAsia="宋体" w:cs="宋体"/>
          <w:color w:val="auto"/>
          <w:sz w:val="22"/>
          <w:szCs w:val="20"/>
        </w:rPr>
        <w:t>严格按照规定的格式填写。 2、任何有选择或有条件的投标报价或表中某一包填写多个报价，均将导致投标被拒绝。</w:t>
      </w:r>
    </w:p>
    <w:p w14:paraId="78D53F8E">
      <w:pPr>
        <w:spacing w:line="360" w:lineRule="auto"/>
        <w:ind w:firstLine="560" w:firstLineChars="200"/>
        <w:rPr>
          <w:rFonts w:hint="eastAsia" w:ascii="宋体" w:hAnsi="宋体" w:eastAsia="宋体" w:cs="宋体"/>
          <w:color w:val="auto"/>
          <w:sz w:val="28"/>
        </w:rPr>
      </w:pPr>
    </w:p>
    <w:p w14:paraId="280B750A">
      <w:pPr>
        <w:spacing w:line="360" w:lineRule="auto"/>
        <w:ind w:firstLine="560" w:firstLineChars="200"/>
        <w:rPr>
          <w:rFonts w:hint="eastAsia" w:ascii="宋体" w:hAnsi="宋体" w:eastAsia="宋体" w:cs="宋体"/>
          <w:color w:val="auto"/>
          <w:sz w:val="28"/>
          <w:u w:val="single"/>
        </w:rPr>
      </w:pPr>
    </w:p>
    <w:p w14:paraId="1BCE6278">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10913904">
      <w:pPr>
        <w:adjustRightInd w:val="0"/>
        <w:snapToGrid w:val="0"/>
        <w:spacing w:line="500" w:lineRule="exact"/>
        <w:ind w:left="-88" w:leftChars="-42"/>
        <w:jc w:val="right"/>
        <w:rPr>
          <w:rFonts w:hint="eastAsia" w:ascii="宋体" w:hAnsi="宋体" w:eastAsia="宋体" w:cs="宋体"/>
          <w:color w:val="auto"/>
          <w:sz w:val="28"/>
          <w:szCs w:val="28"/>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9963072">
      <w:pPr>
        <w:spacing w:line="360" w:lineRule="auto"/>
        <w:rPr>
          <w:rFonts w:hint="eastAsia" w:ascii="宋体" w:hAnsi="宋体" w:eastAsia="宋体" w:cs="宋体"/>
          <w:color w:val="auto"/>
          <w:sz w:val="28"/>
        </w:rPr>
      </w:pPr>
    </w:p>
    <w:p w14:paraId="3BF44CA1">
      <w:pPr>
        <w:rPr>
          <w:rFonts w:hint="eastAsia" w:ascii="宋体" w:hAnsi="宋体" w:eastAsia="宋体" w:cs="宋体"/>
          <w:color w:val="auto"/>
        </w:rPr>
      </w:pPr>
    </w:p>
    <w:p w14:paraId="4D335475">
      <w:pPr>
        <w:rPr>
          <w:rFonts w:hint="eastAsia" w:ascii="宋体" w:hAnsi="宋体" w:eastAsia="宋体" w:cs="宋体"/>
          <w:color w:val="auto"/>
        </w:rPr>
      </w:pPr>
    </w:p>
    <w:p w14:paraId="52BB8075">
      <w:pPr>
        <w:rPr>
          <w:rFonts w:hint="eastAsia" w:ascii="宋体" w:hAnsi="宋体" w:eastAsia="宋体" w:cs="宋体"/>
          <w:color w:val="auto"/>
        </w:rPr>
      </w:pPr>
    </w:p>
    <w:p w14:paraId="50557DFB">
      <w:pPr>
        <w:rPr>
          <w:rFonts w:hint="eastAsia" w:ascii="宋体" w:hAnsi="宋体" w:eastAsia="宋体" w:cs="宋体"/>
          <w:color w:val="auto"/>
        </w:rPr>
      </w:pPr>
    </w:p>
    <w:p w14:paraId="5318E2DF">
      <w:pPr>
        <w:pStyle w:val="15"/>
        <w:rPr>
          <w:rFonts w:hint="eastAsia" w:ascii="宋体" w:hAnsi="宋体" w:eastAsia="宋体" w:cs="宋体"/>
          <w:color w:val="auto"/>
        </w:rPr>
      </w:pPr>
    </w:p>
    <w:p w14:paraId="6A60FEB3">
      <w:pPr>
        <w:rPr>
          <w:rFonts w:hint="eastAsia"/>
        </w:rPr>
      </w:pPr>
    </w:p>
    <w:p w14:paraId="24FC6B2F">
      <w:pPr>
        <w:rPr>
          <w:rFonts w:hint="eastAsia" w:ascii="宋体" w:hAnsi="宋体" w:eastAsia="宋体" w:cs="宋体"/>
          <w:color w:val="auto"/>
        </w:rPr>
      </w:pPr>
    </w:p>
    <w:p w14:paraId="6F48D49A">
      <w:pPr>
        <w:pStyle w:val="15"/>
        <w:rPr>
          <w:rFonts w:hint="eastAsia"/>
        </w:rPr>
      </w:pPr>
    </w:p>
    <w:p w14:paraId="36A39386">
      <w:pPr>
        <w:rPr>
          <w:rFonts w:hint="eastAsia" w:ascii="宋体" w:hAnsi="宋体" w:eastAsia="宋体" w:cs="宋体"/>
          <w:color w:val="auto"/>
        </w:rPr>
      </w:pPr>
    </w:p>
    <w:p w14:paraId="1D904CE3">
      <w:pPr>
        <w:pStyle w:val="4"/>
        <w:numPr>
          <w:ilvl w:val="2"/>
          <w:numId w:val="0"/>
        </w:numPr>
        <w:spacing w:before="145" w:beforeLines="50" w:after="145" w:afterLines="50" w:line="300" w:lineRule="auto"/>
        <w:ind w:left="288" w:leftChars="0"/>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二、报价明细表</w:t>
      </w:r>
      <w:r>
        <w:rPr>
          <w:rFonts w:hint="eastAsia" w:ascii="宋体" w:eastAsia="宋体" w:cs="宋体"/>
          <w:b/>
          <w:bCs/>
          <w:color w:val="auto"/>
          <w:sz w:val="30"/>
          <w:szCs w:val="30"/>
          <w:lang w:val="en-US" w:eastAsia="zh-CN"/>
        </w:rPr>
        <w:t>（如有）</w:t>
      </w:r>
    </w:p>
    <w:bookmarkEnd w:id="283"/>
    <w:p w14:paraId="5AAC3659">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u w:val="single"/>
          <w:lang w:val="en-US" w:eastAsia="zh-CN"/>
        </w:rPr>
      </w:pPr>
      <w:r>
        <w:rPr>
          <w:rFonts w:hint="eastAsia" w:ascii="宋体" w:hAnsi="宋体" w:eastAsia="宋体" w:cs="宋体"/>
          <w:color w:val="auto"/>
          <w:lang w:eastAsia="zh-CN"/>
        </w:rPr>
        <w:t>项目名称：</w:t>
      </w:r>
      <w:r>
        <w:rPr>
          <w:rFonts w:hint="eastAsia" w:ascii="宋体" w:hAnsi="宋体" w:eastAsia="宋体" w:cs="宋体"/>
          <w:color w:val="auto"/>
          <w:u w:val="single"/>
          <w:lang w:val="en-US" w:eastAsia="zh-CN"/>
        </w:rPr>
        <w:t xml:space="preserve">                     </w:t>
      </w:r>
    </w:p>
    <w:p w14:paraId="1DC629B5">
      <w:pPr>
        <w:pStyle w:val="8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xml:space="preserve">                     </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rPr>
        <w:t>价格单位：元</w:t>
      </w:r>
    </w:p>
    <w:tbl>
      <w:tblPr>
        <w:tblStyle w:val="3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427"/>
        <w:gridCol w:w="999"/>
        <w:gridCol w:w="1587"/>
        <w:gridCol w:w="2021"/>
        <w:gridCol w:w="3231"/>
      </w:tblGrid>
      <w:tr w14:paraId="205C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45" w:type="pct"/>
            <w:noWrap w:val="0"/>
            <w:vAlign w:val="center"/>
          </w:tcPr>
          <w:p w14:paraId="2820A405">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717" w:type="pct"/>
            <w:noWrap w:val="0"/>
            <w:vAlign w:val="center"/>
          </w:tcPr>
          <w:p w14:paraId="551DCF17">
            <w:pPr>
              <w:spacing w:line="360" w:lineRule="auto"/>
              <w:jc w:val="center"/>
              <w:rPr>
                <w:rFonts w:hint="eastAsia" w:ascii="宋体" w:hAnsi="宋体" w:eastAsia="宋体" w:cs="宋体"/>
                <w:b/>
                <w:color w:val="auto"/>
                <w:sz w:val="24"/>
              </w:rPr>
            </w:pPr>
            <w:r>
              <w:rPr>
                <w:rFonts w:hint="eastAsia" w:ascii="宋体" w:hAnsi="宋体" w:cs="宋体"/>
                <w:b/>
                <w:color w:val="auto"/>
                <w:sz w:val="24"/>
                <w:lang w:val="en-US" w:eastAsia="zh-CN"/>
              </w:rPr>
              <w:t>服务</w:t>
            </w:r>
            <w:r>
              <w:rPr>
                <w:rFonts w:hint="eastAsia" w:ascii="宋体" w:hAnsi="宋体" w:eastAsia="宋体" w:cs="宋体"/>
                <w:b/>
                <w:color w:val="auto"/>
                <w:sz w:val="24"/>
              </w:rPr>
              <w:t>名称</w:t>
            </w:r>
          </w:p>
        </w:tc>
        <w:tc>
          <w:tcPr>
            <w:tcW w:w="502" w:type="pct"/>
            <w:noWrap w:val="0"/>
            <w:vAlign w:val="center"/>
          </w:tcPr>
          <w:p w14:paraId="03CB18AC">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796" w:type="pct"/>
            <w:noWrap w:val="0"/>
            <w:vAlign w:val="center"/>
          </w:tcPr>
          <w:p w14:paraId="0C2B54F3">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015" w:type="pct"/>
            <w:noWrap w:val="0"/>
            <w:vAlign w:val="center"/>
          </w:tcPr>
          <w:p w14:paraId="2EABC28C">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合计</w:t>
            </w:r>
          </w:p>
        </w:tc>
        <w:tc>
          <w:tcPr>
            <w:tcW w:w="1623" w:type="pct"/>
            <w:noWrap w:val="0"/>
            <w:vAlign w:val="center"/>
          </w:tcPr>
          <w:p w14:paraId="7FB59A54">
            <w:pPr>
              <w:spacing w:line="360" w:lineRule="auto"/>
              <w:jc w:val="center"/>
              <w:rPr>
                <w:rFonts w:hint="eastAsia" w:ascii="宋体" w:hAnsi="宋体" w:eastAsia="宋体" w:cs="宋体"/>
                <w:b/>
                <w:color w:val="auto"/>
                <w:sz w:val="24"/>
              </w:rPr>
            </w:pPr>
          </w:p>
          <w:p w14:paraId="4E358D6B">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备注</w:t>
            </w:r>
          </w:p>
          <w:p w14:paraId="729540F3">
            <w:pPr>
              <w:spacing w:line="360" w:lineRule="auto"/>
              <w:jc w:val="center"/>
              <w:rPr>
                <w:rFonts w:hint="eastAsia" w:ascii="宋体" w:hAnsi="宋体" w:eastAsia="宋体" w:cs="宋体"/>
                <w:b/>
                <w:color w:val="auto"/>
                <w:sz w:val="24"/>
              </w:rPr>
            </w:pPr>
          </w:p>
        </w:tc>
      </w:tr>
      <w:tr w14:paraId="46F8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45" w:type="pct"/>
            <w:noWrap w:val="0"/>
            <w:vAlign w:val="center"/>
          </w:tcPr>
          <w:p w14:paraId="7C1833A4">
            <w:pPr>
              <w:spacing w:line="360" w:lineRule="auto"/>
              <w:jc w:val="center"/>
              <w:rPr>
                <w:rFonts w:hint="eastAsia" w:ascii="宋体" w:hAnsi="宋体" w:eastAsia="宋体" w:cs="宋体"/>
                <w:color w:val="auto"/>
                <w:sz w:val="24"/>
              </w:rPr>
            </w:pPr>
          </w:p>
        </w:tc>
        <w:tc>
          <w:tcPr>
            <w:tcW w:w="717" w:type="pct"/>
            <w:noWrap w:val="0"/>
            <w:vAlign w:val="center"/>
          </w:tcPr>
          <w:p w14:paraId="5007FCD6">
            <w:pPr>
              <w:snapToGrid w:val="0"/>
              <w:spacing w:line="360" w:lineRule="auto"/>
              <w:jc w:val="center"/>
              <w:rPr>
                <w:rFonts w:hint="eastAsia" w:ascii="宋体" w:hAnsi="宋体" w:eastAsia="宋体" w:cs="宋体"/>
                <w:color w:val="auto"/>
                <w:sz w:val="24"/>
              </w:rPr>
            </w:pPr>
          </w:p>
        </w:tc>
        <w:tc>
          <w:tcPr>
            <w:tcW w:w="502" w:type="pct"/>
            <w:noWrap w:val="0"/>
            <w:vAlign w:val="center"/>
          </w:tcPr>
          <w:p w14:paraId="577EACB1">
            <w:pPr>
              <w:snapToGrid w:val="0"/>
              <w:spacing w:line="360" w:lineRule="auto"/>
              <w:jc w:val="center"/>
              <w:rPr>
                <w:rFonts w:hint="eastAsia" w:ascii="宋体" w:hAnsi="宋体" w:eastAsia="宋体" w:cs="宋体"/>
                <w:color w:val="auto"/>
                <w:sz w:val="24"/>
              </w:rPr>
            </w:pPr>
          </w:p>
        </w:tc>
        <w:tc>
          <w:tcPr>
            <w:tcW w:w="796" w:type="pct"/>
            <w:noWrap w:val="0"/>
            <w:vAlign w:val="center"/>
          </w:tcPr>
          <w:p w14:paraId="5870C25D">
            <w:pPr>
              <w:spacing w:line="360" w:lineRule="auto"/>
              <w:jc w:val="center"/>
              <w:rPr>
                <w:rFonts w:hint="eastAsia" w:ascii="宋体" w:hAnsi="宋体" w:eastAsia="宋体" w:cs="宋体"/>
                <w:color w:val="auto"/>
                <w:sz w:val="24"/>
              </w:rPr>
            </w:pPr>
          </w:p>
        </w:tc>
        <w:tc>
          <w:tcPr>
            <w:tcW w:w="1015" w:type="pct"/>
            <w:noWrap w:val="0"/>
            <w:vAlign w:val="center"/>
          </w:tcPr>
          <w:p w14:paraId="1F6E0EE4">
            <w:pPr>
              <w:spacing w:line="360" w:lineRule="auto"/>
              <w:jc w:val="center"/>
              <w:rPr>
                <w:rFonts w:hint="eastAsia" w:ascii="宋体" w:hAnsi="宋体" w:eastAsia="宋体" w:cs="宋体"/>
                <w:color w:val="auto"/>
                <w:sz w:val="24"/>
              </w:rPr>
            </w:pPr>
          </w:p>
        </w:tc>
        <w:tc>
          <w:tcPr>
            <w:tcW w:w="1623" w:type="pct"/>
            <w:noWrap w:val="0"/>
            <w:vAlign w:val="center"/>
          </w:tcPr>
          <w:p w14:paraId="74306D4D">
            <w:pPr>
              <w:spacing w:line="360" w:lineRule="auto"/>
              <w:jc w:val="center"/>
              <w:rPr>
                <w:rFonts w:hint="eastAsia" w:ascii="宋体" w:hAnsi="宋体" w:eastAsia="宋体" w:cs="宋体"/>
                <w:color w:val="auto"/>
                <w:sz w:val="24"/>
              </w:rPr>
            </w:pPr>
          </w:p>
        </w:tc>
      </w:tr>
      <w:tr w14:paraId="63A3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28F6746C">
            <w:pPr>
              <w:spacing w:line="360" w:lineRule="auto"/>
              <w:jc w:val="center"/>
              <w:rPr>
                <w:rFonts w:hint="eastAsia" w:ascii="宋体" w:hAnsi="宋体" w:eastAsia="宋体" w:cs="宋体"/>
                <w:color w:val="auto"/>
                <w:sz w:val="24"/>
              </w:rPr>
            </w:pPr>
          </w:p>
        </w:tc>
        <w:tc>
          <w:tcPr>
            <w:tcW w:w="717" w:type="pct"/>
            <w:noWrap w:val="0"/>
            <w:vAlign w:val="center"/>
          </w:tcPr>
          <w:p w14:paraId="7FE5DE5C">
            <w:pPr>
              <w:snapToGrid w:val="0"/>
              <w:spacing w:line="360" w:lineRule="auto"/>
              <w:jc w:val="center"/>
              <w:rPr>
                <w:rFonts w:hint="eastAsia" w:ascii="宋体" w:hAnsi="宋体" w:eastAsia="宋体" w:cs="宋体"/>
                <w:color w:val="auto"/>
                <w:sz w:val="24"/>
              </w:rPr>
            </w:pPr>
          </w:p>
        </w:tc>
        <w:tc>
          <w:tcPr>
            <w:tcW w:w="502" w:type="pct"/>
            <w:noWrap w:val="0"/>
            <w:vAlign w:val="center"/>
          </w:tcPr>
          <w:p w14:paraId="5D6B1FA0">
            <w:pPr>
              <w:snapToGrid w:val="0"/>
              <w:spacing w:line="360" w:lineRule="auto"/>
              <w:jc w:val="center"/>
              <w:rPr>
                <w:rFonts w:hint="eastAsia" w:ascii="宋体" w:hAnsi="宋体" w:eastAsia="宋体" w:cs="宋体"/>
                <w:color w:val="auto"/>
                <w:sz w:val="24"/>
              </w:rPr>
            </w:pPr>
          </w:p>
        </w:tc>
        <w:tc>
          <w:tcPr>
            <w:tcW w:w="796" w:type="pct"/>
            <w:noWrap w:val="0"/>
            <w:vAlign w:val="center"/>
          </w:tcPr>
          <w:p w14:paraId="3F1590E1">
            <w:pPr>
              <w:spacing w:line="360" w:lineRule="auto"/>
              <w:jc w:val="center"/>
              <w:rPr>
                <w:rFonts w:hint="eastAsia" w:ascii="宋体" w:hAnsi="宋体" w:eastAsia="宋体" w:cs="宋体"/>
                <w:color w:val="auto"/>
                <w:sz w:val="24"/>
              </w:rPr>
            </w:pPr>
          </w:p>
        </w:tc>
        <w:tc>
          <w:tcPr>
            <w:tcW w:w="1015" w:type="pct"/>
            <w:noWrap w:val="0"/>
            <w:vAlign w:val="center"/>
          </w:tcPr>
          <w:p w14:paraId="26BE1173">
            <w:pPr>
              <w:spacing w:line="360" w:lineRule="auto"/>
              <w:jc w:val="center"/>
              <w:rPr>
                <w:rFonts w:hint="eastAsia" w:ascii="宋体" w:hAnsi="宋体" w:eastAsia="宋体" w:cs="宋体"/>
                <w:color w:val="auto"/>
                <w:sz w:val="24"/>
              </w:rPr>
            </w:pPr>
          </w:p>
        </w:tc>
        <w:tc>
          <w:tcPr>
            <w:tcW w:w="1623" w:type="pct"/>
            <w:noWrap w:val="0"/>
            <w:vAlign w:val="center"/>
          </w:tcPr>
          <w:p w14:paraId="5C35156D">
            <w:pPr>
              <w:spacing w:line="360" w:lineRule="auto"/>
              <w:jc w:val="center"/>
              <w:rPr>
                <w:rFonts w:hint="eastAsia" w:ascii="宋体" w:hAnsi="宋体" w:eastAsia="宋体" w:cs="宋体"/>
                <w:color w:val="auto"/>
                <w:sz w:val="24"/>
              </w:rPr>
            </w:pPr>
          </w:p>
        </w:tc>
      </w:tr>
      <w:tr w14:paraId="7B07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7CB46EC6">
            <w:pPr>
              <w:spacing w:line="360" w:lineRule="auto"/>
              <w:jc w:val="center"/>
              <w:rPr>
                <w:rFonts w:hint="eastAsia" w:ascii="宋体" w:hAnsi="宋体" w:eastAsia="宋体" w:cs="宋体"/>
                <w:color w:val="auto"/>
                <w:sz w:val="24"/>
              </w:rPr>
            </w:pPr>
          </w:p>
        </w:tc>
        <w:tc>
          <w:tcPr>
            <w:tcW w:w="717" w:type="pct"/>
            <w:noWrap w:val="0"/>
            <w:vAlign w:val="center"/>
          </w:tcPr>
          <w:p w14:paraId="5C316B78">
            <w:pPr>
              <w:snapToGrid w:val="0"/>
              <w:spacing w:line="360" w:lineRule="auto"/>
              <w:jc w:val="center"/>
              <w:rPr>
                <w:rFonts w:hint="eastAsia" w:ascii="宋体" w:hAnsi="宋体" w:eastAsia="宋体" w:cs="宋体"/>
                <w:color w:val="auto"/>
                <w:sz w:val="24"/>
              </w:rPr>
            </w:pPr>
          </w:p>
        </w:tc>
        <w:tc>
          <w:tcPr>
            <w:tcW w:w="502" w:type="pct"/>
            <w:noWrap w:val="0"/>
            <w:vAlign w:val="center"/>
          </w:tcPr>
          <w:p w14:paraId="18207A60">
            <w:pPr>
              <w:snapToGrid w:val="0"/>
              <w:spacing w:line="360" w:lineRule="auto"/>
              <w:jc w:val="center"/>
              <w:rPr>
                <w:rFonts w:hint="eastAsia" w:ascii="宋体" w:hAnsi="宋体" w:eastAsia="宋体" w:cs="宋体"/>
                <w:color w:val="auto"/>
                <w:sz w:val="24"/>
              </w:rPr>
            </w:pPr>
          </w:p>
        </w:tc>
        <w:tc>
          <w:tcPr>
            <w:tcW w:w="796" w:type="pct"/>
            <w:noWrap w:val="0"/>
            <w:vAlign w:val="center"/>
          </w:tcPr>
          <w:p w14:paraId="610CE548">
            <w:pPr>
              <w:spacing w:line="360" w:lineRule="auto"/>
              <w:jc w:val="center"/>
              <w:rPr>
                <w:rFonts w:hint="eastAsia" w:ascii="宋体" w:hAnsi="宋体" w:eastAsia="宋体" w:cs="宋体"/>
                <w:color w:val="auto"/>
                <w:sz w:val="24"/>
              </w:rPr>
            </w:pPr>
          </w:p>
        </w:tc>
        <w:tc>
          <w:tcPr>
            <w:tcW w:w="1015" w:type="pct"/>
            <w:noWrap w:val="0"/>
            <w:vAlign w:val="center"/>
          </w:tcPr>
          <w:p w14:paraId="0A5EB7F0">
            <w:pPr>
              <w:spacing w:line="360" w:lineRule="auto"/>
              <w:jc w:val="center"/>
              <w:rPr>
                <w:rFonts w:hint="eastAsia" w:ascii="宋体" w:hAnsi="宋体" w:eastAsia="宋体" w:cs="宋体"/>
                <w:color w:val="auto"/>
                <w:sz w:val="24"/>
              </w:rPr>
            </w:pPr>
          </w:p>
        </w:tc>
        <w:tc>
          <w:tcPr>
            <w:tcW w:w="1623" w:type="pct"/>
            <w:noWrap w:val="0"/>
            <w:vAlign w:val="center"/>
          </w:tcPr>
          <w:p w14:paraId="4D8E0FB7">
            <w:pPr>
              <w:spacing w:line="360" w:lineRule="auto"/>
              <w:jc w:val="center"/>
              <w:rPr>
                <w:rFonts w:hint="eastAsia" w:ascii="宋体" w:hAnsi="宋体" w:eastAsia="宋体" w:cs="宋体"/>
                <w:color w:val="auto"/>
                <w:sz w:val="24"/>
              </w:rPr>
            </w:pPr>
          </w:p>
        </w:tc>
      </w:tr>
      <w:tr w14:paraId="4614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13957C7B">
            <w:pPr>
              <w:spacing w:line="360" w:lineRule="auto"/>
              <w:jc w:val="center"/>
              <w:rPr>
                <w:rFonts w:hint="eastAsia" w:ascii="宋体" w:hAnsi="宋体" w:eastAsia="宋体" w:cs="宋体"/>
                <w:color w:val="auto"/>
                <w:sz w:val="24"/>
              </w:rPr>
            </w:pPr>
          </w:p>
        </w:tc>
        <w:tc>
          <w:tcPr>
            <w:tcW w:w="717" w:type="pct"/>
            <w:noWrap w:val="0"/>
            <w:vAlign w:val="center"/>
          </w:tcPr>
          <w:p w14:paraId="38EC45EB">
            <w:pPr>
              <w:snapToGrid w:val="0"/>
              <w:spacing w:line="360" w:lineRule="auto"/>
              <w:jc w:val="center"/>
              <w:rPr>
                <w:rFonts w:hint="eastAsia" w:ascii="宋体" w:hAnsi="宋体" w:eastAsia="宋体" w:cs="宋体"/>
                <w:color w:val="auto"/>
                <w:sz w:val="24"/>
              </w:rPr>
            </w:pPr>
          </w:p>
        </w:tc>
        <w:tc>
          <w:tcPr>
            <w:tcW w:w="502" w:type="pct"/>
            <w:noWrap w:val="0"/>
            <w:vAlign w:val="center"/>
          </w:tcPr>
          <w:p w14:paraId="1A9381C1">
            <w:pPr>
              <w:snapToGrid w:val="0"/>
              <w:spacing w:line="360" w:lineRule="auto"/>
              <w:jc w:val="center"/>
              <w:rPr>
                <w:rFonts w:hint="eastAsia" w:ascii="宋体" w:hAnsi="宋体" w:eastAsia="宋体" w:cs="宋体"/>
                <w:color w:val="auto"/>
                <w:sz w:val="24"/>
              </w:rPr>
            </w:pPr>
          </w:p>
        </w:tc>
        <w:tc>
          <w:tcPr>
            <w:tcW w:w="796" w:type="pct"/>
            <w:noWrap w:val="0"/>
            <w:vAlign w:val="center"/>
          </w:tcPr>
          <w:p w14:paraId="3E0BEC4D">
            <w:pPr>
              <w:spacing w:line="360" w:lineRule="auto"/>
              <w:jc w:val="center"/>
              <w:rPr>
                <w:rFonts w:hint="eastAsia" w:ascii="宋体" w:hAnsi="宋体" w:eastAsia="宋体" w:cs="宋体"/>
                <w:color w:val="auto"/>
                <w:sz w:val="24"/>
              </w:rPr>
            </w:pPr>
          </w:p>
        </w:tc>
        <w:tc>
          <w:tcPr>
            <w:tcW w:w="1015" w:type="pct"/>
            <w:noWrap w:val="0"/>
            <w:vAlign w:val="center"/>
          </w:tcPr>
          <w:p w14:paraId="1553D855">
            <w:pPr>
              <w:spacing w:line="360" w:lineRule="auto"/>
              <w:jc w:val="center"/>
              <w:rPr>
                <w:rFonts w:hint="eastAsia" w:ascii="宋体" w:hAnsi="宋体" w:eastAsia="宋体" w:cs="宋体"/>
                <w:color w:val="auto"/>
                <w:sz w:val="24"/>
              </w:rPr>
            </w:pPr>
          </w:p>
        </w:tc>
        <w:tc>
          <w:tcPr>
            <w:tcW w:w="1623" w:type="pct"/>
            <w:noWrap w:val="0"/>
            <w:vAlign w:val="center"/>
          </w:tcPr>
          <w:p w14:paraId="5C2D55DF">
            <w:pPr>
              <w:spacing w:line="360" w:lineRule="auto"/>
              <w:jc w:val="center"/>
              <w:rPr>
                <w:rFonts w:hint="eastAsia" w:ascii="宋体" w:hAnsi="宋体" w:eastAsia="宋体" w:cs="宋体"/>
                <w:color w:val="auto"/>
                <w:sz w:val="24"/>
              </w:rPr>
            </w:pPr>
          </w:p>
        </w:tc>
      </w:tr>
      <w:tr w14:paraId="0669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45" w:type="pct"/>
            <w:noWrap w:val="0"/>
            <w:vAlign w:val="center"/>
          </w:tcPr>
          <w:p w14:paraId="2956C0A4">
            <w:pPr>
              <w:spacing w:line="360" w:lineRule="auto"/>
              <w:jc w:val="center"/>
              <w:rPr>
                <w:rFonts w:hint="eastAsia" w:ascii="宋体" w:hAnsi="宋体" w:eastAsia="宋体" w:cs="宋体"/>
                <w:color w:val="auto"/>
                <w:sz w:val="24"/>
              </w:rPr>
            </w:pPr>
          </w:p>
        </w:tc>
        <w:tc>
          <w:tcPr>
            <w:tcW w:w="717" w:type="pct"/>
            <w:noWrap w:val="0"/>
            <w:vAlign w:val="center"/>
          </w:tcPr>
          <w:p w14:paraId="5A1953DE">
            <w:pPr>
              <w:snapToGrid w:val="0"/>
              <w:spacing w:line="360" w:lineRule="auto"/>
              <w:jc w:val="center"/>
              <w:rPr>
                <w:rFonts w:hint="eastAsia" w:ascii="宋体" w:hAnsi="宋体" w:eastAsia="宋体" w:cs="宋体"/>
                <w:color w:val="auto"/>
                <w:sz w:val="24"/>
              </w:rPr>
            </w:pPr>
          </w:p>
        </w:tc>
        <w:tc>
          <w:tcPr>
            <w:tcW w:w="502" w:type="pct"/>
            <w:noWrap w:val="0"/>
            <w:vAlign w:val="center"/>
          </w:tcPr>
          <w:p w14:paraId="7A75B944">
            <w:pPr>
              <w:snapToGrid w:val="0"/>
              <w:spacing w:line="360" w:lineRule="auto"/>
              <w:jc w:val="center"/>
              <w:rPr>
                <w:rFonts w:hint="eastAsia" w:ascii="宋体" w:hAnsi="宋体" w:eastAsia="宋体" w:cs="宋体"/>
                <w:color w:val="auto"/>
                <w:sz w:val="24"/>
              </w:rPr>
            </w:pPr>
          </w:p>
        </w:tc>
        <w:tc>
          <w:tcPr>
            <w:tcW w:w="796" w:type="pct"/>
            <w:noWrap w:val="0"/>
            <w:vAlign w:val="center"/>
          </w:tcPr>
          <w:p w14:paraId="2D08538B">
            <w:pPr>
              <w:spacing w:line="360" w:lineRule="auto"/>
              <w:jc w:val="center"/>
              <w:rPr>
                <w:rFonts w:hint="eastAsia" w:ascii="宋体" w:hAnsi="宋体" w:eastAsia="宋体" w:cs="宋体"/>
                <w:color w:val="auto"/>
                <w:sz w:val="24"/>
              </w:rPr>
            </w:pPr>
          </w:p>
        </w:tc>
        <w:tc>
          <w:tcPr>
            <w:tcW w:w="1015" w:type="pct"/>
            <w:noWrap w:val="0"/>
            <w:vAlign w:val="center"/>
          </w:tcPr>
          <w:p w14:paraId="29CD3DAB">
            <w:pPr>
              <w:spacing w:line="360" w:lineRule="auto"/>
              <w:jc w:val="center"/>
              <w:rPr>
                <w:rFonts w:hint="eastAsia" w:ascii="宋体" w:hAnsi="宋体" w:eastAsia="宋体" w:cs="宋体"/>
                <w:color w:val="auto"/>
                <w:sz w:val="24"/>
              </w:rPr>
            </w:pPr>
          </w:p>
        </w:tc>
        <w:tc>
          <w:tcPr>
            <w:tcW w:w="1623" w:type="pct"/>
            <w:noWrap w:val="0"/>
            <w:vAlign w:val="center"/>
          </w:tcPr>
          <w:p w14:paraId="5CE843DC">
            <w:pPr>
              <w:spacing w:line="360" w:lineRule="auto"/>
              <w:jc w:val="center"/>
              <w:rPr>
                <w:rFonts w:hint="eastAsia" w:ascii="宋体" w:hAnsi="宋体" w:eastAsia="宋体" w:cs="宋体"/>
                <w:color w:val="auto"/>
                <w:sz w:val="24"/>
              </w:rPr>
            </w:pPr>
          </w:p>
        </w:tc>
      </w:tr>
      <w:tr w14:paraId="78AF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61" w:type="pct"/>
            <w:gridSpan w:val="4"/>
            <w:noWrap w:val="0"/>
            <w:vAlign w:val="center"/>
          </w:tcPr>
          <w:p w14:paraId="1CCDA91A">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投标报价（小写）</w:t>
            </w:r>
          </w:p>
        </w:tc>
        <w:tc>
          <w:tcPr>
            <w:tcW w:w="2638" w:type="pct"/>
            <w:gridSpan w:val="2"/>
            <w:noWrap w:val="0"/>
            <w:vAlign w:val="center"/>
          </w:tcPr>
          <w:p w14:paraId="01BAEA90">
            <w:pPr>
              <w:spacing w:line="360" w:lineRule="auto"/>
              <w:jc w:val="center"/>
              <w:rPr>
                <w:rFonts w:hint="eastAsia" w:ascii="宋体" w:hAnsi="宋体" w:eastAsia="宋体" w:cs="宋体"/>
                <w:color w:val="auto"/>
                <w:sz w:val="24"/>
              </w:rPr>
            </w:pPr>
          </w:p>
        </w:tc>
      </w:tr>
      <w:tr w14:paraId="1600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361" w:type="pct"/>
            <w:gridSpan w:val="4"/>
            <w:noWrap w:val="0"/>
            <w:vAlign w:val="center"/>
          </w:tcPr>
          <w:p w14:paraId="45848F37">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投标报价（大写）</w:t>
            </w:r>
          </w:p>
        </w:tc>
        <w:tc>
          <w:tcPr>
            <w:tcW w:w="2638" w:type="pct"/>
            <w:gridSpan w:val="2"/>
            <w:noWrap w:val="0"/>
            <w:vAlign w:val="center"/>
          </w:tcPr>
          <w:p w14:paraId="11609FA9">
            <w:pPr>
              <w:spacing w:line="360" w:lineRule="auto"/>
              <w:jc w:val="center"/>
              <w:rPr>
                <w:rFonts w:hint="eastAsia" w:ascii="宋体" w:hAnsi="宋体" w:eastAsia="宋体" w:cs="宋体"/>
                <w:color w:val="auto"/>
                <w:sz w:val="24"/>
              </w:rPr>
            </w:pPr>
          </w:p>
        </w:tc>
      </w:tr>
    </w:tbl>
    <w:p w14:paraId="02374DE4">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说明：</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、有关本项目实施所涉及的一切费用均计入报价。采购人将以合同形式有偿取得货物或服务，不接受</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给予的赠品、回扣或者与采购无关的其他商品、服务，不得出现“0元”“免费赠送”等形式的无偿报价，否则视为</w:t>
      </w:r>
      <w:r>
        <w:rPr>
          <w:rFonts w:hint="eastAsia" w:ascii="宋体" w:hAnsi="宋体" w:cs="宋体"/>
          <w:color w:val="auto"/>
          <w:sz w:val="21"/>
          <w:szCs w:val="21"/>
          <w:lang w:eastAsia="zh-CN"/>
        </w:rPr>
        <w:t>响应文件</w:t>
      </w:r>
      <w:r>
        <w:rPr>
          <w:rFonts w:hint="eastAsia" w:ascii="宋体" w:hAnsi="宋体" w:eastAsia="宋体" w:cs="宋体"/>
          <w:color w:val="auto"/>
          <w:sz w:val="21"/>
          <w:szCs w:val="21"/>
        </w:rPr>
        <w:t>含有采购人不能接受的附加条件，投标无效；采购内容未包含在《报价</w:t>
      </w:r>
      <w:r>
        <w:rPr>
          <w:rFonts w:hint="eastAsia" w:ascii="宋体" w:hAnsi="宋体" w:eastAsia="宋体" w:cs="宋体"/>
          <w:color w:val="auto"/>
          <w:sz w:val="21"/>
          <w:szCs w:val="21"/>
          <w:lang w:val="en-US" w:eastAsia="zh-CN"/>
        </w:rPr>
        <w:t>明细</w:t>
      </w:r>
      <w:r>
        <w:rPr>
          <w:rFonts w:hint="eastAsia" w:ascii="宋体" w:hAnsi="宋体" w:eastAsia="宋体" w:cs="宋体"/>
          <w:color w:val="auto"/>
          <w:sz w:val="21"/>
          <w:szCs w:val="21"/>
        </w:rPr>
        <w:t>表》名称栏中，</w:t>
      </w:r>
      <w:r>
        <w:rPr>
          <w:rFonts w:hint="eastAsia" w:ascii="宋体" w:hAnsi="宋体" w:cs="宋体"/>
          <w:color w:val="auto"/>
          <w:sz w:val="21"/>
          <w:szCs w:val="21"/>
          <w:lang w:eastAsia="zh-CN"/>
        </w:rPr>
        <w:t>供应商</w:t>
      </w:r>
      <w:r>
        <w:rPr>
          <w:rFonts w:hint="eastAsia" w:ascii="宋体" w:hAnsi="宋体" w:eastAsia="宋体" w:cs="宋体"/>
          <w:color w:val="auto"/>
          <w:sz w:val="21"/>
          <w:szCs w:val="21"/>
        </w:rPr>
        <w:t>不能作出合理解释的，视为</w:t>
      </w:r>
      <w:r>
        <w:rPr>
          <w:rFonts w:hint="eastAsia" w:ascii="宋体" w:hAnsi="宋体" w:cs="宋体"/>
          <w:color w:val="auto"/>
          <w:sz w:val="21"/>
          <w:szCs w:val="21"/>
          <w:lang w:eastAsia="zh-CN"/>
        </w:rPr>
        <w:t>响应文件</w:t>
      </w:r>
      <w:r>
        <w:rPr>
          <w:rFonts w:hint="eastAsia" w:ascii="宋体" w:hAnsi="宋体" w:eastAsia="宋体" w:cs="宋体"/>
          <w:color w:val="auto"/>
          <w:sz w:val="21"/>
          <w:szCs w:val="21"/>
        </w:rPr>
        <w:t>含有采购人不能接受的附加条件的，投标无效。</w:t>
      </w:r>
    </w:p>
    <w:p w14:paraId="1A82BB3B">
      <w:pPr>
        <w:pStyle w:val="88"/>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特别提示：采购代理机构将对项目名称和项目编号，中标供应商名称、地址和中标金额，主要中标标的名称</w:t>
      </w:r>
      <w:r>
        <w:rPr>
          <w:rFonts w:hint="eastAsia" w:ascii="宋体" w:hAnsi="宋体" w:cs="宋体"/>
          <w:color w:val="auto"/>
          <w:sz w:val="21"/>
          <w:szCs w:val="21"/>
          <w:lang w:eastAsia="zh-CN"/>
        </w:rPr>
        <w:t>、</w:t>
      </w:r>
      <w:r>
        <w:rPr>
          <w:rFonts w:hint="eastAsia" w:ascii="宋体" w:hAnsi="宋体" w:eastAsia="宋体" w:cs="宋体"/>
          <w:color w:val="auto"/>
          <w:sz w:val="21"/>
          <w:szCs w:val="21"/>
        </w:rPr>
        <w:t>数量、单价等予以公示。</w:t>
      </w:r>
    </w:p>
    <w:p w14:paraId="13D57333">
      <w:pPr>
        <w:pStyle w:val="8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报价明细表</w:t>
      </w:r>
      <w:r>
        <w:rPr>
          <w:rFonts w:hint="eastAsia" w:ascii="宋体" w:hAnsi="宋体" w:eastAsia="宋体" w:cs="宋体"/>
          <w:bCs/>
          <w:color w:val="auto"/>
          <w:sz w:val="21"/>
          <w:szCs w:val="21"/>
          <w:lang w:eastAsia="zh-CN"/>
        </w:rPr>
        <w:t>合</w:t>
      </w:r>
      <w:r>
        <w:rPr>
          <w:rFonts w:hint="eastAsia" w:ascii="宋体" w:hAnsi="宋体" w:eastAsia="宋体" w:cs="宋体"/>
          <w:bCs/>
          <w:color w:val="auto"/>
          <w:sz w:val="21"/>
          <w:szCs w:val="21"/>
        </w:rPr>
        <w:t>计价格必须与《</w:t>
      </w:r>
      <w:r>
        <w:rPr>
          <w:rFonts w:hint="eastAsia" w:ascii="宋体" w:hAnsi="宋体" w:eastAsia="宋体" w:cs="宋体"/>
          <w:bCs/>
          <w:color w:val="auto"/>
          <w:sz w:val="21"/>
          <w:szCs w:val="21"/>
          <w:lang w:val="en-US" w:eastAsia="zh-CN"/>
        </w:rPr>
        <w:t>开标</w:t>
      </w:r>
      <w:r>
        <w:rPr>
          <w:rFonts w:hint="eastAsia" w:ascii="宋体" w:hAnsi="宋体" w:eastAsia="宋体" w:cs="宋体"/>
          <w:bCs/>
          <w:color w:val="auto"/>
          <w:sz w:val="21"/>
          <w:szCs w:val="21"/>
          <w:lang w:eastAsia="zh-CN"/>
        </w:rPr>
        <w:t>一览表</w:t>
      </w:r>
      <w:r>
        <w:rPr>
          <w:rFonts w:hint="eastAsia" w:ascii="宋体" w:hAnsi="宋体" w:eastAsia="宋体" w:cs="宋体"/>
          <w:bCs/>
          <w:color w:val="auto"/>
          <w:sz w:val="21"/>
          <w:szCs w:val="21"/>
        </w:rPr>
        <w:t>》报价一致</w:t>
      </w:r>
      <w:r>
        <w:rPr>
          <w:rFonts w:hint="eastAsia" w:ascii="宋体" w:hAnsi="宋体" w:eastAsia="宋体" w:cs="宋体"/>
          <w:bCs/>
          <w:color w:val="auto"/>
          <w:sz w:val="21"/>
          <w:szCs w:val="21"/>
          <w:lang w:eastAsia="zh-CN"/>
        </w:rPr>
        <w:t>，以上表格形式只作为参考。</w:t>
      </w:r>
    </w:p>
    <w:p w14:paraId="261144B8">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0F6BB110">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17B934DD">
      <w:pPr>
        <w:pStyle w:val="8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lang w:eastAsia="zh-CN"/>
        </w:rPr>
      </w:pPr>
    </w:p>
    <w:p w14:paraId="657ED064">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cs="宋体"/>
          <w:color w:val="auto"/>
          <w:kern w:val="0"/>
          <w:sz w:val="24"/>
          <w:lang w:val="zh-CN"/>
        </w:rPr>
        <w:t>供应商</w:t>
      </w:r>
      <w:r>
        <w:rPr>
          <w:rFonts w:hint="eastAsia" w:ascii="宋体" w:hAnsi="宋体" w:eastAsia="宋体" w:cs="宋体"/>
          <w:color w:val="auto"/>
          <w:kern w:val="0"/>
          <w:sz w:val="24"/>
          <w:lang w:val="zh-CN"/>
        </w:rPr>
        <w:t>名称(电子签名)：</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155058E">
      <w:pPr>
        <w:adjustRightInd w:val="0"/>
        <w:snapToGrid w:val="0"/>
        <w:spacing w:line="500" w:lineRule="exact"/>
        <w:ind w:left="-88" w:leftChars="-42"/>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D2391FD">
      <w:pPr>
        <w:pStyle w:val="32"/>
        <w:ind w:left="0" w:leftChars="0" w:firstLine="0" w:firstLineChars="0"/>
        <w:rPr>
          <w:rFonts w:hint="eastAsia" w:ascii="宋体" w:hAnsi="宋体" w:eastAsia="宋体" w:cs="宋体"/>
          <w:color w:val="auto"/>
          <w:sz w:val="24"/>
          <w:szCs w:val="24"/>
        </w:rPr>
      </w:pPr>
    </w:p>
    <w:p w14:paraId="3D1CA678">
      <w:pPr>
        <w:pStyle w:val="88"/>
        <w:spacing w:line="360" w:lineRule="auto"/>
        <w:ind w:right="480"/>
        <w:jc w:val="both"/>
        <w:rPr>
          <w:rFonts w:hint="eastAsia" w:ascii="宋体" w:hAnsi="宋体" w:eastAsia="宋体" w:cs="宋体"/>
          <w:b/>
          <w:color w:val="auto"/>
          <w:sz w:val="24"/>
        </w:rPr>
      </w:pPr>
    </w:p>
    <w:p w14:paraId="78CB23C5">
      <w:pPr>
        <w:pStyle w:val="88"/>
        <w:spacing w:line="360" w:lineRule="auto"/>
        <w:ind w:right="480"/>
        <w:jc w:val="both"/>
        <w:rPr>
          <w:rFonts w:hint="eastAsia" w:ascii="宋体" w:hAnsi="宋体" w:eastAsia="宋体" w:cs="宋体"/>
          <w:b/>
          <w:color w:val="auto"/>
          <w:sz w:val="24"/>
          <w:lang w:eastAsia="zh-CN"/>
        </w:rPr>
      </w:pPr>
    </w:p>
    <w:p w14:paraId="10E758C6">
      <w:pPr>
        <w:pStyle w:val="15"/>
        <w:rPr>
          <w:rFonts w:hint="eastAsia" w:ascii="宋体" w:hAnsi="宋体" w:eastAsia="宋体" w:cs="宋体"/>
          <w:color w:val="auto"/>
        </w:rPr>
      </w:pPr>
    </w:p>
    <w:sectPr>
      <w:headerReference r:id="rId5" w:type="default"/>
      <w:footerReference r:id="rId6" w:type="default"/>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9B22">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41FCB">
                          <w:pPr>
                            <w:pStyle w:val="2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241FCB">
                    <w:pPr>
                      <w:pStyle w:val="2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340F">
    <w:pPr>
      <w:spacing w:before="81" w:line="177"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82F7C">
                          <w:pPr>
                            <w:pStyle w:val="2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682F7C">
                    <w:pPr>
                      <w:pStyle w:val="2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54A0">
    <w:pPr>
      <w:spacing w:before="81" w:line="177"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5A87D">
                          <w:pPr>
                            <w:pStyle w:val="2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735A87D">
                    <w:pPr>
                      <w:pStyle w:val="2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BE79">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2360A"/>
    <w:multiLevelType w:val="singleLevel"/>
    <w:tmpl w:val="89B2360A"/>
    <w:lvl w:ilvl="0" w:tentative="0">
      <w:start w:val="3"/>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abstractNum w:abstractNumId="2">
    <w:nsid w:val="0B6779C6"/>
    <w:multiLevelType w:val="singleLevel"/>
    <w:tmpl w:val="0B6779C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Y1MjBkMGI0OGNmYzkwYWZkYWIxYTEyY2Y1MDQ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6855"/>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47B"/>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621A8C"/>
    <w:rsid w:val="017B2F92"/>
    <w:rsid w:val="019C6288"/>
    <w:rsid w:val="01B624BD"/>
    <w:rsid w:val="01B64983"/>
    <w:rsid w:val="01F3521E"/>
    <w:rsid w:val="02331ABF"/>
    <w:rsid w:val="027D5085"/>
    <w:rsid w:val="029017B5"/>
    <w:rsid w:val="03064AB8"/>
    <w:rsid w:val="034169E5"/>
    <w:rsid w:val="036F4EF8"/>
    <w:rsid w:val="03F93A73"/>
    <w:rsid w:val="040B01DF"/>
    <w:rsid w:val="042046F5"/>
    <w:rsid w:val="04657662"/>
    <w:rsid w:val="04C16888"/>
    <w:rsid w:val="05D06B8E"/>
    <w:rsid w:val="05FF746E"/>
    <w:rsid w:val="06087B94"/>
    <w:rsid w:val="06285188"/>
    <w:rsid w:val="06442CCC"/>
    <w:rsid w:val="06587D46"/>
    <w:rsid w:val="068679BC"/>
    <w:rsid w:val="0698114A"/>
    <w:rsid w:val="06CD5FA3"/>
    <w:rsid w:val="07917CAC"/>
    <w:rsid w:val="07E147B8"/>
    <w:rsid w:val="08066F25"/>
    <w:rsid w:val="082A052A"/>
    <w:rsid w:val="08712537"/>
    <w:rsid w:val="08BA132A"/>
    <w:rsid w:val="08E04023"/>
    <w:rsid w:val="08FF094D"/>
    <w:rsid w:val="09045D6D"/>
    <w:rsid w:val="09151F1E"/>
    <w:rsid w:val="096961A1"/>
    <w:rsid w:val="096C7AFB"/>
    <w:rsid w:val="09D25006"/>
    <w:rsid w:val="09EB4E01"/>
    <w:rsid w:val="09F340E8"/>
    <w:rsid w:val="09FA3BB6"/>
    <w:rsid w:val="09FE5D89"/>
    <w:rsid w:val="0A053D41"/>
    <w:rsid w:val="0A732D15"/>
    <w:rsid w:val="0A757553"/>
    <w:rsid w:val="0AA95014"/>
    <w:rsid w:val="0AAE6D74"/>
    <w:rsid w:val="0B405F3F"/>
    <w:rsid w:val="0B9E6FCA"/>
    <w:rsid w:val="0BB7550F"/>
    <w:rsid w:val="0BD766C7"/>
    <w:rsid w:val="0C2E7EE2"/>
    <w:rsid w:val="0C4C65F8"/>
    <w:rsid w:val="0C564236"/>
    <w:rsid w:val="0C6057CE"/>
    <w:rsid w:val="0CC311CB"/>
    <w:rsid w:val="0D1C451A"/>
    <w:rsid w:val="0D314E84"/>
    <w:rsid w:val="0D817CDD"/>
    <w:rsid w:val="0D952E82"/>
    <w:rsid w:val="0DCB2EC9"/>
    <w:rsid w:val="0DDB5519"/>
    <w:rsid w:val="0E060087"/>
    <w:rsid w:val="0E230984"/>
    <w:rsid w:val="0E3B1D2A"/>
    <w:rsid w:val="0E697B64"/>
    <w:rsid w:val="0F722F35"/>
    <w:rsid w:val="10462740"/>
    <w:rsid w:val="10B97C29"/>
    <w:rsid w:val="10CD3604"/>
    <w:rsid w:val="110342FF"/>
    <w:rsid w:val="113B48D5"/>
    <w:rsid w:val="11AB3045"/>
    <w:rsid w:val="11CA5F72"/>
    <w:rsid w:val="121D6EB6"/>
    <w:rsid w:val="12391C5B"/>
    <w:rsid w:val="123E541D"/>
    <w:rsid w:val="127D2F5A"/>
    <w:rsid w:val="127F669D"/>
    <w:rsid w:val="12843C37"/>
    <w:rsid w:val="129774B3"/>
    <w:rsid w:val="12BA7692"/>
    <w:rsid w:val="13053CD0"/>
    <w:rsid w:val="13183D3E"/>
    <w:rsid w:val="13336E3E"/>
    <w:rsid w:val="1394593A"/>
    <w:rsid w:val="13BA3963"/>
    <w:rsid w:val="13E75FD4"/>
    <w:rsid w:val="13EB044B"/>
    <w:rsid w:val="1433594E"/>
    <w:rsid w:val="14B2213C"/>
    <w:rsid w:val="15520056"/>
    <w:rsid w:val="16461EA9"/>
    <w:rsid w:val="165C6DCA"/>
    <w:rsid w:val="1715758D"/>
    <w:rsid w:val="17362443"/>
    <w:rsid w:val="177E44BC"/>
    <w:rsid w:val="17FF0D10"/>
    <w:rsid w:val="18055854"/>
    <w:rsid w:val="196215F5"/>
    <w:rsid w:val="196B4C32"/>
    <w:rsid w:val="196C3B96"/>
    <w:rsid w:val="19992B0B"/>
    <w:rsid w:val="19CD7761"/>
    <w:rsid w:val="19F66993"/>
    <w:rsid w:val="1A561A0E"/>
    <w:rsid w:val="1A6C1C47"/>
    <w:rsid w:val="1A7075C0"/>
    <w:rsid w:val="1AE46F67"/>
    <w:rsid w:val="1B1A33C4"/>
    <w:rsid w:val="1B2B711A"/>
    <w:rsid w:val="1B352404"/>
    <w:rsid w:val="1B583A4F"/>
    <w:rsid w:val="1B610FF3"/>
    <w:rsid w:val="1BB66B0E"/>
    <w:rsid w:val="1C0A3439"/>
    <w:rsid w:val="1C1134DD"/>
    <w:rsid w:val="1C5B0E96"/>
    <w:rsid w:val="1C5E26D8"/>
    <w:rsid w:val="1CB6536F"/>
    <w:rsid w:val="1CBF7BEB"/>
    <w:rsid w:val="1CFF6D7B"/>
    <w:rsid w:val="1D052C82"/>
    <w:rsid w:val="1D0D3CA0"/>
    <w:rsid w:val="1D3C38E1"/>
    <w:rsid w:val="1D4A5240"/>
    <w:rsid w:val="1D4C4673"/>
    <w:rsid w:val="1DF664AE"/>
    <w:rsid w:val="1E1D56A5"/>
    <w:rsid w:val="1E8C5DEB"/>
    <w:rsid w:val="1E8D61D7"/>
    <w:rsid w:val="1E9E7BAF"/>
    <w:rsid w:val="1FB049ED"/>
    <w:rsid w:val="1FE52064"/>
    <w:rsid w:val="2007660D"/>
    <w:rsid w:val="203931EC"/>
    <w:rsid w:val="20592BE1"/>
    <w:rsid w:val="205A4041"/>
    <w:rsid w:val="20B117BA"/>
    <w:rsid w:val="210F67FD"/>
    <w:rsid w:val="212D6EE2"/>
    <w:rsid w:val="21FA7BC8"/>
    <w:rsid w:val="224F4AB9"/>
    <w:rsid w:val="22BC3C5C"/>
    <w:rsid w:val="22E12559"/>
    <w:rsid w:val="231F1167"/>
    <w:rsid w:val="235C2BD4"/>
    <w:rsid w:val="23627251"/>
    <w:rsid w:val="23E66539"/>
    <w:rsid w:val="23FF4341"/>
    <w:rsid w:val="24123B02"/>
    <w:rsid w:val="2428259D"/>
    <w:rsid w:val="244543CA"/>
    <w:rsid w:val="244D0366"/>
    <w:rsid w:val="247D6439"/>
    <w:rsid w:val="24A27B89"/>
    <w:rsid w:val="24C15397"/>
    <w:rsid w:val="24D40A88"/>
    <w:rsid w:val="24F003DC"/>
    <w:rsid w:val="24F74EAA"/>
    <w:rsid w:val="252223C6"/>
    <w:rsid w:val="253446AE"/>
    <w:rsid w:val="2581038F"/>
    <w:rsid w:val="258F024C"/>
    <w:rsid w:val="25B11518"/>
    <w:rsid w:val="25B86563"/>
    <w:rsid w:val="25D04265"/>
    <w:rsid w:val="264C3693"/>
    <w:rsid w:val="26557B46"/>
    <w:rsid w:val="267C13D7"/>
    <w:rsid w:val="26EA4430"/>
    <w:rsid w:val="28197C97"/>
    <w:rsid w:val="281A4A03"/>
    <w:rsid w:val="283A060F"/>
    <w:rsid w:val="285D6A9E"/>
    <w:rsid w:val="288B3B53"/>
    <w:rsid w:val="28AF6CCC"/>
    <w:rsid w:val="28C227F8"/>
    <w:rsid w:val="28F03549"/>
    <w:rsid w:val="2938027B"/>
    <w:rsid w:val="29453CC8"/>
    <w:rsid w:val="29B82D89"/>
    <w:rsid w:val="29E259F5"/>
    <w:rsid w:val="29F10FDB"/>
    <w:rsid w:val="29FF0A24"/>
    <w:rsid w:val="2A0C06D1"/>
    <w:rsid w:val="2A175CBC"/>
    <w:rsid w:val="2A3168AA"/>
    <w:rsid w:val="2A3B2E0C"/>
    <w:rsid w:val="2A3D0E7D"/>
    <w:rsid w:val="2A495030"/>
    <w:rsid w:val="2A676E5E"/>
    <w:rsid w:val="2A677CA8"/>
    <w:rsid w:val="2B4002A8"/>
    <w:rsid w:val="2B997798"/>
    <w:rsid w:val="2BED359A"/>
    <w:rsid w:val="2C165AE7"/>
    <w:rsid w:val="2C6A2E46"/>
    <w:rsid w:val="2CA31F00"/>
    <w:rsid w:val="2CC20FAE"/>
    <w:rsid w:val="2CF47464"/>
    <w:rsid w:val="2D5207E6"/>
    <w:rsid w:val="2D796F17"/>
    <w:rsid w:val="2DCA2DA2"/>
    <w:rsid w:val="2DDD7711"/>
    <w:rsid w:val="2E65783E"/>
    <w:rsid w:val="2EE53B12"/>
    <w:rsid w:val="2F2C5253"/>
    <w:rsid w:val="2F5527C5"/>
    <w:rsid w:val="2F6C11C1"/>
    <w:rsid w:val="2FBB4416"/>
    <w:rsid w:val="2FDB37C9"/>
    <w:rsid w:val="30443293"/>
    <w:rsid w:val="309A25C0"/>
    <w:rsid w:val="30B40A84"/>
    <w:rsid w:val="30BE3DCE"/>
    <w:rsid w:val="30C44045"/>
    <w:rsid w:val="31124831"/>
    <w:rsid w:val="3123676D"/>
    <w:rsid w:val="315C24E2"/>
    <w:rsid w:val="31822DF7"/>
    <w:rsid w:val="31A072B4"/>
    <w:rsid w:val="31E06CBE"/>
    <w:rsid w:val="32676E8E"/>
    <w:rsid w:val="328559A0"/>
    <w:rsid w:val="32FB322A"/>
    <w:rsid w:val="33244F35"/>
    <w:rsid w:val="33456856"/>
    <w:rsid w:val="33743B62"/>
    <w:rsid w:val="33FE28A3"/>
    <w:rsid w:val="34476B80"/>
    <w:rsid w:val="344B01BC"/>
    <w:rsid w:val="34580F33"/>
    <w:rsid w:val="34B41D3C"/>
    <w:rsid w:val="34C86083"/>
    <w:rsid w:val="35114999"/>
    <w:rsid w:val="35315E89"/>
    <w:rsid w:val="353A77E0"/>
    <w:rsid w:val="356814A4"/>
    <w:rsid w:val="35687FC5"/>
    <w:rsid w:val="35736214"/>
    <w:rsid w:val="359E1A84"/>
    <w:rsid w:val="35C07358"/>
    <w:rsid w:val="36345EE6"/>
    <w:rsid w:val="369B1D40"/>
    <w:rsid w:val="36E91C86"/>
    <w:rsid w:val="37586120"/>
    <w:rsid w:val="37647A49"/>
    <w:rsid w:val="37BC2078"/>
    <w:rsid w:val="37DD582B"/>
    <w:rsid w:val="386C58FB"/>
    <w:rsid w:val="386D15ED"/>
    <w:rsid w:val="386E74A0"/>
    <w:rsid w:val="389F7463"/>
    <w:rsid w:val="38B467AE"/>
    <w:rsid w:val="38F17A02"/>
    <w:rsid w:val="38F83A90"/>
    <w:rsid w:val="398B39B3"/>
    <w:rsid w:val="3A035364"/>
    <w:rsid w:val="3A281E72"/>
    <w:rsid w:val="3A5B5BB7"/>
    <w:rsid w:val="3A5F79DB"/>
    <w:rsid w:val="3A7D77A0"/>
    <w:rsid w:val="3AB11BDC"/>
    <w:rsid w:val="3B6650C4"/>
    <w:rsid w:val="3B9F72A2"/>
    <w:rsid w:val="3BD66CA2"/>
    <w:rsid w:val="3C247E8C"/>
    <w:rsid w:val="3C3C4223"/>
    <w:rsid w:val="3C543BB0"/>
    <w:rsid w:val="3C7324DC"/>
    <w:rsid w:val="3C737A5D"/>
    <w:rsid w:val="3D811C0D"/>
    <w:rsid w:val="3DB833E8"/>
    <w:rsid w:val="3DB94BF6"/>
    <w:rsid w:val="3DC07279"/>
    <w:rsid w:val="3E5661DC"/>
    <w:rsid w:val="3E95498C"/>
    <w:rsid w:val="3EDC25BB"/>
    <w:rsid w:val="3EE071AB"/>
    <w:rsid w:val="3EFC193A"/>
    <w:rsid w:val="3EFF2568"/>
    <w:rsid w:val="3F071EED"/>
    <w:rsid w:val="3F147640"/>
    <w:rsid w:val="3F200698"/>
    <w:rsid w:val="3F5442E6"/>
    <w:rsid w:val="3F82769A"/>
    <w:rsid w:val="3F920E9D"/>
    <w:rsid w:val="3F9D5017"/>
    <w:rsid w:val="3FCC5A47"/>
    <w:rsid w:val="3FDF2308"/>
    <w:rsid w:val="40B10B2E"/>
    <w:rsid w:val="40C304AF"/>
    <w:rsid w:val="41562A7E"/>
    <w:rsid w:val="41904692"/>
    <w:rsid w:val="420C6277"/>
    <w:rsid w:val="42407B26"/>
    <w:rsid w:val="43140575"/>
    <w:rsid w:val="434754A7"/>
    <w:rsid w:val="437A5995"/>
    <w:rsid w:val="43A52AB5"/>
    <w:rsid w:val="43D10BA3"/>
    <w:rsid w:val="442B297B"/>
    <w:rsid w:val="447C7807"/>
    <w:rsid w:val="44BC3620"/>
    <w:rsid w:val="453E2BF0"/>
    <w:rsid w:val="453E7647"/>
    <w:rsid w:val="45C41F63"/>
    <w:rsid w:val="45F14B9E"/>
    <w:rsid w:val="46526FBB"/>
    <w:rsid w:val="46576713"/>
    <w:rsid w:val="467F70E2"/>
    <w:rsid w:val="468D2996"/>
    <w:rsid w:val="46963DE3"/>
    <w:rsid w:val="47451645"/>
    <w:rsid w:val="475F6CDE"/>
    <w:rsid w:val="47C52FFF"/>
    <w:rsid w:val="47DE4EA2"/>
    <w:rsid w:val="47EA62B9"/>
    <w:rsid w:val="47F765F5"/>
    <w:rsid w:val="47FA2BB3"/>
    <w:rsid w:val="48284861"/>
    <w:rsid w:val="484265D9"/>
    <w:rsid w:val="484B0402"/>
    <w:rsid w:val="496833C9"/>
    <w:rsid w:val="49F84FFA"/>
    <w:rsid w:val="4A012E2B"/>
    <w:rsid w:val="4A340100"/>
    <w:rsid w:val="4A51180D"/>
    <w:rsid w:val="4A915202"/>
    <w:rsid w:val="4AC675F7"/>
    <w:rsid w:val="4B3B2161"/>
    <w:rsid w:val="4B871665"/>
    <w:rsid w:val="4BB3139E"/>
    <w:rsid w:val="4BF6036F"/>
    <w:rsid w:val="4D963478"/>
    <w:rsid w:val="4DEC6CD7"/>
    <w:rsid w:val="4E233D83"/>
    <w:rsid w:val="4E3C3076"/>
    <w:rsid w:val="4FDD44A2"/>
    <w:rsid w:val="503A01F0"/>
    <w:rsid w:val="50926EFD"/>
    <w:rsid w:val="50990FF7"/>
    <w:rsid w:val="51082263"/>
    <w:rsid w:val="514740F9"/>
    <w:rsid w:val="514B43A1"/>
    <w:rsid w:val="51592402"/>
    <w:rsid w:val="515B1181"/>
    <w:rsid w:val="51874ED7"/>
    <w:rsid w:val="5198572E"/>
    <w:rsid w:val="51A60847"/>
    <w:rsid w:val="51AB1AB9"/>
    <w:rsid w:val="51F21EDF"/>
    <w:rsid w:val="523955FA"/>
    <w:rsid w:val="5251613E"/>
    <w:rsid w:val="52666914"/>
    <w:rsid w:val="52916EB9"/>
    <w:rsid w:val="52A707CD"/>
    <w:rsid w:val="53533F47"/>
    <w:rsid w:val="53574187"/>
    <w:rsid w:val="538E0D2A"/>
    <w:rsid w:val="539F4C8A"/>
    <w:rsid w:val="542B2131"/>
    <w:rsid w:val="544E0F5E"/>
    <w:rsid w:val="545460E1"/>
    <w:rsid w:val="54651927"/>
    <w:rsid w:val="54AF3253"/>
    <w:rsid w:val="54F00716"/>
    <w:rsid w:val="54F71AA5"/>
    <w:rsid w:val="55307659"/>
    <w:rsid w:val="55383F64"/>
    <w:rsid w:val="554876B4"/>
    <w:rsid w:val="55BC6160"/>
    <w:rsid w:val="55DD34AB"/>
    <w:rsid w:val="55E0339D"/>
    <w:rsid w:val="56701600"/>
    <w:rsid w:val="572405D5"/>
    <w:rsid w:val="577C3E09"/>
    <w:rsid w:val="58424AB5"/>
    <w:rsid w:val="584D2239"/>
    <w:rsid w:val="58D05A14"/>
    <w:rsid w:val="59536181"/>
    <w:rsid w:val="595455B5"/>
    <w:rsid w:val="598B7205"/>
    <w:rsid w:val="59F22154"/>
    <w:rsid w:val="5A074490"/>
    <w:rsid w:val="5A0C7744"/>
    <w:rsid w:val="5A2A0FF2"/>
    <w:rsid w:val="5A3317D1"/>
    <w:rsid w:val="5AAA7C12"/>
    <w:rsid w:val="5ABC37A3"/>
    <w:rsid w:val="5B0E4FB1"/>
    <w:rsid w:val="5B32486D"/>
    <w:rsid w:val="5B5E7E0F"/>
    <w:rsid w:val="5BBA517C"/>
    <w:rsid w:val="5BC02519"/>
    <w:rsid w:val="5CC0147B"/>
    <w:rsid w:val="5D011713"/>
    <w:rsid w:val="5D0C62CC"/>
    <w:rsid w:val="5D500115"/>
    <w:rsid w:val="5D7642E8"/>
    <w:rsid w:val="5D7C6FEB"/>
    <w:rsid w:val="5DA87E7C"/>
    <w:rsid w:val="5DBB6E18"/>
    <w:rsid w:val="5DD9443E"/>
    <w:rsid w:val="5DE15411"/>
    <w:rsid w:val="5DF14806"/>
    <w:rsid w:val="5E32584C"/>
    <w:rsid w:val="5E36037E"/>
    <w:rsid w:val="5E834211"/>
    <w:rsid w:val="5EFB35C8"/>
    <w:rsid w:val="5F274809"/>
    <w:rsid w:val="5F2A7A3E"/>
    <w:rsid w:val="5F3D3DA3"/>
    <w:rsid w:val="5F3E0E69"/>
    <w:rsid w:val="5F9C1BC7"/>
    <w:rsid w:val="5F9F32CB"/>
    <w:rsid w:val="600F415A"/>
    <w:rsid w:val="60314372"/>
    <w:rsid w:val="60645DF8"/>
    <w:rsid w:val="60D333C6"/>
    <w:rsid w:val="60DB671F"/>
    <w:rsid w:val="60E2003E"/>
    <w:rsid w:val="612D7683"/>
    <w:rsid w:val="61477D3C"/>
    <w:rsid w:val="616D400D"/>
    <w:rsid w:val="618172C6"/>
    <w:rsid w:val="6189157B"/>
    <w:rsid w:val="619E3376"/>
    <w:rsid w:val="61A11716"/>
    <w:rsid w:val="61F34A45"/>
    <w:rsid w:val="620422EE"/>
    <w:rsid w:val="632E1A6C"/>
    <w:rsid w:val="632E6733"/>
    <w:rsid w:val="6386201F"/>
    <w:rsid w:val="63A31AEE"/>
    <w:rsid w:val="63A43996"/>
    <w:rsid w:val="64055F8C"/>
    <w:rsid w:val="642B7D42"/>
    <w:rsid w:val="644545DB"/>
    <w:rsid w:val="646265C8"/>
    <w:rsid w:val="647D4DF6"/>
    <w:rsid w:val="64B31FF1"/>
    <w:rsid w:val="64CE04C8"/>
    <w:rsid w:val="64DE058B"/>
    <w:rsid w:val="64E57C14"/>
    <w:rsid w:val="653E0CAA"/>
    <w:rsid w:val="65E924E0"/>
    <w:rsid w:val="65EF297B"/>
    <w:rsid w:val="65F02C14"/>
    <w:rsid w:val="66011CD4"/>
    <w:rsid w:val="66077DEC"/>
    <w:rsid w:val="663A25AC"/>
    <w:rsid w:val="663A71E2"/>
    <w:rsid w:val="66B71094"/>
    <w:rsid w:val="670467BA"/>
    <w:rsid w:val="67185FD7"/>
    <w:rsid w:val="672E1041"/>
    <w:rsid w:val="677043B9"/>
    <w:rsid w:val="677F5DB7"/>
    <w:rsid w:val="67D00E1E"/>
    <w:rsid w:val="67E17376"/>
    <w:rsid w:val="685956FA"/>
    <w:rsid w:val="685C3960"/>
    <w:rsid w:val="68E7419B"/>
    <w:rsid w:val="68E975ED"/>
    <w:rsid w:val="691C67FD"/>
    <w:rsid w:val="69765CCC"/>
    <w:rsid w:val="69D038DA"/>
    <w:rsid w:val="6A5C18FD"/>
    <w:rsid w:val="6A6B167A"/>
    <w:rsid w:val="6A6F2F58"/>
    <w:rsid w:val="6A800F11"/>
    <w:rsid w:val="6A9F7173"/>
    <w:rsid w:val="6AA51FD0"/>
    <w:rsid w:val="6AD90BFC"/>
    <w:rsid w:val="6AF04982"/>
    <w:rsid w:val="6B8A2ABB"/>
    <w:rsid w:val="6BD3071E"/>
    <w:rsid w:val="6C4051F9"/>
    <w:rsid w:val="6CAE4CE7"/>
    <w:rsid w:val="6CDD2EBE"/>
    <w:rsid w:val="6D2E6A4B"/>
    <w:rsid w:val="6D7101EF"/>
    <w:rsid w:val="6D7E0B5E"/>
    <w:rsid w:val="6D8E7684"/>
    <w:rsid w:val="6DD13669"/>
    <w:rsid w:val="6DE04C70"/>
    <w:rsid w:val="6DE873A9"/>
    <w:rsid w:val="6DEF4BA4"/>
    <w:rsid w:val="6E111DBB"/>
    <w:rsid w:val="6E3E721D"/>
    <w:rsid w:val="6EBD7464"/>
    <w:rsid w:val="6ECC26EA"/>
    <w:rsid w:val="6ECC34DB"/>
    <w:rsid w:val="6F3829E8"/>
    <w:rsid w:val="6F4D6A39"/>
    <w:rsid w:val="70525A21"/>
    <w:rsid w:val="708F3534"/>
    <w:rsid w:val="70A94143"/>
    <w:rsid w:val="70B30C61"/>
    <w:rsid w:val="70DF7B65"/>
    <w:rsid w:val="7100570E"/>
    <w:rsid w:val="722F7768"/>
    <w:rsid w:val="7235211D"/>
    <w:rsid w:val="72617AC2"/>
    <w:rsid w:val="72900308"/>
    <w:rsid w:val="72D75763"/>
    <w:rsid w:val="73040E95"/>
    <w:rsid w:val="73373EE4"/>
    <w:rsid w:val="735C324C"/>
    <w:rsid w:val="737F2F3A"/>
    <w:rsid w:val="742B1FE0"/>
    <w:rsid w:val="750744E5"/>
    <w:rsid w:val="751678CE"/>
    <w:rsid w:val="753161AE"/>
    <w:rsid w:val="758C793B"/>
    <w:rsid w:val="759B75AD"/>
    <w:rsid w:val="75B753B8"/>
    <w:rsid w:val="75BC0B5C"/>
    <w:rsid w:val="76217F91"/>
    <w:rsid w:val="763C5D0A"/>
    <w:rsid w:val="7647602A"/>
    <w:rsid w:val="76866EE9"/>
    <w:rsid w:val="76D80CE3"/>
    <w:rsid w:val="77027A18"/>
    <w:rsid w:val="773D0465"/>
    <w:rsid w:val="777C610E"/>
    <w:rsid w:val="78546429"/>
    <w:rsid w:val="786B2585"/>
    <w:rsid w:val="7885743D"/>
    <w:rsid w:val="78AB2210"/>
    <w:rsid w:val="78F2573D"/>
    <w:rsid w:val="79006E37"/>
    <w:rsid w:val="791118EB"/>
    <w:rsid w:val="792C7838"/>
    <w:rsid w:val="795C76D3"/>
    <w:rsid w:val="79625280"/>
    <w:rsid w:val="79671759"/>
    <w:rsid w:val="797075DA"/>
    <w:rsid w:val="799048F5"/>
    <w:rsid w:val="7A1B3C8B"/>
    <w:rsid w:val="7A2B3F13"/>
    <w:rsid w:val="7A5760C7"/>
    <w:rsid w:val="7B814440"/>
    <w:rsid w:val="7BB41C3D"/>
    <w:rsid w:val="7BDC50A2"/>
    <w:rsid w:val="7BF13E9C"/>
    <w:rsid w:val="7C532359"/>
    <w:rsid w:val="7C580A07"/>
    <w:rsid w:val="7C5D563A"/>
    <w:rsid w:val="7C917DCB"/>
    <w:rsid w:val="7D0B0461"/>
    <w:rsid w:val="7D282903"/>
    <w:rsid w:val="7D3D3A33"/>
    <w:rsid w:val="7D401A7F"/>
    <w:rsid w:val="7D40765C"/>
    <w:rsid w:val="7D6513F2"/>
    <w:rsid w:val="7DD31879"/>
    <w:rsid w:val="7DE268AB"/>
    <w:rsid w:val="7E015867"/>
    <w:rsid w:val="7E2D1F10"/>
    <w:rsid w:val="7E690DFA"/>
    <w:rsid w:val="7E753116"/>
    <w:rsid w:val="7F0528DF"/>
    <w:rsid w:val="7F4D23F2"/>
    <w:rsid w:val="7F827326"/>
    <w:rsid w:val="7F8E48CA"/>
    <w:rsid w:val="7FAB18EF"/>
    <w:rsid w:val="7FDC4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5"/>
    <w:autoRedefine/>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48"/>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link w:val="46"/>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4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7">
    <w:name w:val="heading 6"/>
    <w:basedOn w:val="6"/>
    <w:next w:val="1"/>
    <w:link w:val="5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1"/>
    <w:autoRedefine/>
    <w:qFormat/>
    <w:uiPriority w:val="0"/>
    <w:pPr>
      <w:tabs>
        <w:tab w:val="left" w:pos="1800"/>
        <w:tab w:val="clear" w:pos="1440"/>
      </w:tabs>
      <w:ind w:left="1276" w:hanging="1276"/>
      <w:outlineLvl w:val="6"/>
    </w:pPr>
  </w:style>
  <w:style w:type="paragraph" w:styleId="9">
    <w:name w:val="heading 8"/>
    <w:basedOn w:val="8"/>
    <w:next w:val="1"/>
    <w:link w:val="52"/>
    <w:autoRedefine/>
    <w:qFormat/>
    <w:uiPriority w:val="0"/>
    <w:pPr>
      <w:ind w:left="1418" w:hanging="1418"/>
      <w:outlineLvl w:val="7"/>
    </w:pPr>
  </w:style>
  <w:style w:type="paragraph" w:styleId="10">
    <w:name w:val="heading 9"/>
    <w:basedOn w:val="9"/>
    <w:next w:val="1"/>
    <w:link w:val="53"/>
    <w:autoRedefine/>
    <w:qFormat/>
    <w:uiPriority w:val="0"/>
    <w:pPr>
      <w:tabs>
        <w:tab w:val="left" w:pos="2160"/>
        <w:tab w:val="clear" w:pos="1800"/>
      </w:tabs>
      <w:ind w:left="1559" w:hanging="1559"/>
      <w:outlineLvl w:val="8"/>
    </w:pPr>
  </w:style>
  <w:style w:type="character" w:default="1" w:styleId="35">
    <w:name w:val="Default Paragraph Font"/>
    <w:link w:val="36"/>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0"/>
    <w:autoRedefine/>
    <w:unhideWhenUsed/>
    <w:qFormat/>
    <w:uiPriority w:val="0"/>
    <w:pPr>
      <w:ind w:firstLine="420" w:firstLineChars="200"/>
    </w:pPr>
  </w:style>
  <w:style w:type="paragraph" w:styleId="12">
    <w:name w:val="Document Map"/>
    <w:basedOn w:val="1"/>
    <w:link w:val="65"/>
    <w:autoRedefine/>
    <w:qFormat/>
    <w:uiPriority w:val="0"/>
    <w:rPr>
      <w:rFonts w:ascii="宋体"/>
      <w:sz w:val="18"/>
      <w:szCs w:val="18"/>
    </w:rPr>
  </w:style>
  <w:style w:type="paragraph" w:styleId="13">
    <w:name w:val="toa heading"/>
    <w:basedOn w:val="1"/>
    <w:next w:val="1"/>
    <w:autoRedefine/>
    <w:qFormat/>
    <w:uiPriority w:val="99"/>
    <w:pPr>
      <w:spacing w:before="120"/>
    </w:pPr>
    <w:rPr>
      <w:rFonts w:ascii="Arial" w:hAnsi="Arial" w:eastAsia="仿宋"/>
      <w:sz w:val="24"/>
      <w:szCs w:val="20"/>
    </w:rPr>
  </w:style>
  <w:style w:type="paragraph" w:styleId="14">
    <w:name w:val="annotation text"/>
    <w:basedOn w:val="1"/>
    <w:link w:val="63"/>
    <w:autoRedefine/>
    <w:qFormat/>
    <w:uiPriority w:val="0"/>
    <w:pPr>
      <w:jc w:val="left"/>
    </w:pPr>
  </w:style>
  <w:style w:type="paragraph" w:styleId="15">
    <w:name w:val="Body Text"/>
    <w:basedOn w:val="1"/>
    <w:autoRedefine/>
    <w:semiHidden/>
    <w:unhideWhenUsed/>
    <w:qFormat/>
    <w:uiPriority w:val="0"/>
    <w:pPr>
      <w:spacing w:after="120"/>
    </w:pPr>
  </w:style>
  <w:style w:type="paragraph" w:styleId="16">
    <w:name w:val="Body Text Indent"/>
    <w:basedOn w:val="1"/>
    <w:next w:val="17"/>
    <w:autoRedefine/>
    <w:qFormat/>
    <w:uiPriority w:val="0"/>
    <w:pPr>
      <w:ind w:firstLine="830" w:firstLineChars="352"/>
    </w:pPr>
    <w:rPr>
      <w:rFonts w:ascii="仿宋_GB2312" w:eastAsia="仿宋_GB2312"/>
      <w:sz w:val="32"/>
      <w:szCs w:val="20"/>
    </w:rPr>
  </w:style>
  <w:style w:type="paragraph" w:styleId="17">
    <w:name w:val="envelope return"/>
    <w:basedOn w:val="1"/>
    <w:qFormat/>
    <w:uiPriority w:val="0"/>
  </w:style>
  <w:style w:type="paragraph" w:styleId="18">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autoRedefine/>
    <w:unhideWhenUsed/>
    <w:qFormat/>
    <w:uiPriority w:val="39"/>
    <w:pPr>
      <w:ind w:left="840" w:leftChars="400"/>
    </w:pPr>
  </w:style>
  <w:style w:type="paragraph" w:styleId="20">
    <w:name w:val="Plain Text"/>
    <w:basedOn w:val="1"/>
    <w:link w:val="57"/>
    <w:autoRedefine/>
    <w:qFormat/>
    <w:uiPriority w:val="0"/>
    <w:rPr>
      <w:rFonts w:ascii="宋体" w:hAnsi="Courier New"/>
      <w:szCs w:val="21"/>
    </w:rPr>
  </w:style>
  <w:style w:type="paragraph" w:styleId="21">
    <w:name w:val="Date"/>
    <w:basedOn w:val="1"/>
    <w:next w:val="1"/>
    <w:autoRedefine/>
    <w:qFormat/>
    <w:uiPriority w:val="0"/>
    <w:pPr>
      <w:ind w:left="100" w:leftChars="2500"/>
    </w:pPr>
    <w:rPr>
      <w:rFonts w:ascii="宋体" w:hAnsi="Courier New" w:cs="Courier New"/>
      <w:szCs w:val="21"/>
    </w:rPr>
  </w:style>
  <w:style w:type="paragraph" w:styleId="22">
    <w:name w:val="Balloon Text"/>
    <w:basedOn w:val="1"/>
    <w:autoRedefine/>
    <w:semiHidden/>
    <w:qFormat/>
    <w:uiPriority w:val="0"/>
    <w:rPr>
      <w:sz w:val="18"/>
      <w:szCs w:val="1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222"/>
      </w:tabs>
      <w:spacing w:line="440" w:lineRule="exact"/>
      <w:ind w:right="231" w:rightChars="110"/>
    </w:pPr>
    <w:rPr>
      <w:sz w:val="28"/>
    </w:rPr>
  </w:style>
  <w:style w:type="paragraph" w:styleId="26">
    <w:name w:val="Body Text Indent 3"/>
    <w:basedOn w:val="1"/>
    <w:link w:val="73"/>
    <w:autoRedefine/>
    <w:semiHidden/>
    <w:unhideWhenUsed/>
    <w:qFormat/>
    <w:uiPriority w:val="0"/>
    <w:pPr>
      <w:spacing w:after="120"/>
      <w:ind w:left="420" w:leftChars="200"/>
    </w:pPr>
    <w:rPr>
      <w:sz w:val="16"/>
      <w:szCs w:val="16"/>
    </w:rPr>
  </w:style>
  <w:style w:type="paragraph" w:styleId="27">
    <w:name w:val="toc 2"/>
    <w:basedOn w:val="1"/>
    <w:next w:val="1"/>
    <w:autoRedefine/>
    <w:qFormat/>
    <w:uiPriority w:val="39"/>
    <w:pPr>
      <w:tabs>
        <w:tab w:val="right" w:leader="dot" w:pos="8222"/>
      </w:tabs>
      <w:ind w:left="420" w:leftChars="200"/>
      <w:jc w:val="left"/>
    </w:pPr>
    <w:rPr>
      <w:sz w:val="28"/>
    </w:rPr>
  </w:style>
  <w:style w:type="paragraph" w:styleId="2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9">
    <w:name w:val="Title"/>
    <w:basedOn w:val="3"/>
    <w:next w:val="1"/>
    <w:link w:val="44"/>
    <w:autoRedefine/>
    <w:qFormat/>
    <w:uiPriority w:val="0"/>
    <w:pPr>
      <w:jc w:val="both"/>
    </w:pPr>
    <w:rPr>
      <w:rFonts w:ascii="宋体"/>
      <w:sz w:val="44"/>
    </w:rPr>
  </w:style>
  <w:style w:type="paragraph" w:styleId="30">
    <w:name w:val="annotation subject"/>
    <w:basedOn w:val="14"/>
    <w:next w:val="14"/>
    <w:link w:val="62"/>
    <w:autoRedefine/>
    <w:qFormat/>
    <w:uiPriority w:val="99"/>
    <w:rPr>
      <w:rFonts w:ascii="Times New Roman" w:hAnsi="Times New Roman"/>
      <w:b/>
      <w:sz w:val="28"/>
      <w:szCs w:val="20"/>
    </w:rPr>
  </w:style>
  <w:style w:type="paragraph" w:styleId="31">
    <w:name w:val="Body Text First Indent"/>
    <w:basedOn w:val="15"/>
    <w:next w:val="1"/>
    <w:autoRedefine/>
    <w:qFormat/>
    <w:uiPriority w:val="0"/>
    <w:pPr>
      <w:spacing w:line="360" w:lineRule="auto"/>
      <w:ind w:firstLine="200" w:firstLineChars="200"/>
    </w:pPr>
    <w:rPr>
      <w:rFonts w:ascii="仿宋_GB2312" w:eastAsia="仿宋_GB2312"/>
      <w:sz w:val="30"/>
      <w:szCs w:val="30"/>
    </w:rPr>
  </w:style>
  <w:style w:type="paragraph" w:styleId="32">
    <w:name w:val="Body Text First Indent 2"/>
    <w:basedOn w:val="16"/>
    <w:next w:val="1"/>
    <w:autoRedefine/>
    <w:qFormat/>
    <w:uiPriority w:val="0"/>
    <w:pPr>
      <w:ind w:left="0" w:leftChars="0" w:firstLine="210"/>
    </w:pPr>
    <w:rPr>
      <w:szCs w:val="20"/>
    </w:rPr>
  </w:style>
  <w:style w:type="table" w:styleId="34">
    <w:name w:val="Table Grid"/>
    <w:basedOn w:val="3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autoRedefine/>
    <w:qFormat/>
    <w:uiPriority w:val="0"/>
    <w:pPr>
      <w:tabs>
        <w:tab w:val="left" w:pos="432"/>
      </w:tabs>
      <w:spacing w:before="156" w:beforeLines="50" w:after="156" w:afterLines="50"/>
      <w:ind w:left="432" w:hanging="432"/>
    </w:pPr>
  </w:style>
  <w:style w:type="character" w:styleId="37">
    <w:name w:val="Strong"/>
    <w:basedOn w:val="35"/>
    <w:autoRedefine/>
    <w:qFormat/>
    <w:uiPriority w:val="0"/>
    <w:rPr>
      <w:b/>
      <w:bCs/>
    </w:rPr>
  </w:style>
  <w:style w:type="character" w:styleId="38">
    <w:name w:val="page number"/>
    <w:basedOn w:val="35"/>
    <w:autoRedefine/>
    <w:qFormat/>
    <w:uiPriority w:val="0"/>
  </w:style>
  <w:style w:type="character" w:styleId="39">
    <w:name w:val="Hyperlink"/>
    <w:autoRedefine/>
    <w:qFormat/>
    <w:uiPriority w:val="99"/>
    <w:rPr>
      <w:color w:val="0000FF"/>
      <w:u w:val="single"/>
    </w:rPr>
  </w:style>
  <w:style w:type="character" w:styleId="40">
    <w:name w:val="annotation reference"/>
    <w:basedOn w:val="35"/>
    <w:autoRedefine/>
    <w:unhideWhenUsed/>
    <w:qFormat/>
    <w:uiPriority w:val="0"/>
    <w:rPr>
      <w:sz w:val="21"/>
      <w:szCs w:val="21"/>
    </w:rPr>
  </w:style>
  <w:style w:type="character" w:styleId="41">
    <w:name w:val="HTML Sample"/>
    <w:basedOn w:val="35"/>
    <w:autoRedefine/>
    <w:qFormat/>
    <w:uiPriority w:val="0"/>
    <w:rPr>
      <w:rFonts w:ascii="Courier New" w:hAnsi="Courier New"/>
    </w:rPr>
  </w:style>
  <w:style w:type="paragraph" w:customStyle="1" w:styleId="4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autoRedefine/>
    <w:qFormat/>
    <w:uiPriority w:val="0"/>
    <w:rPr>
      <w:rFonts w:hint="default"/>
      <w:spacing w:val="390"/>
      <w:sz w:val="21"/>
      <w:szCs w:val="21"/>
    </w:rPr>
  </w:style>
  <w:style w:type="character" w:customStyle="1" w:styleId="44">
    <w:name w:val="标题 Char"/>
    <w:link w:val="29"/>
    <w:autoRedefine/>
    <w:qFormat/>
    <w:uiPriority w:val="0"/>
    <w:rPr>
      <w:rFonts w:ascii="宋体" w:hAnsiTheme="majorEastAsia" w:eastAsiaTheme="majorEastAsia"/>
      <w:b/>
      <w:kern w:val="2"/>
      <w:sz w:val="44"/>
      <w:szCs w:val="28"/>
    </w:rPr>
  </w:style>
  <w:style w:type="character" w:customStyle="1" w:styleId="45">
    <w:name w:val="标题 1 Char"/>
    <w:link w:val="2"/>
    <w:autoRedefine/>
    <w:qFormat/>
    <w:uiPriority w:val="9"/>
    <w:rPr>
      <w:rFonts w:ascii="Calibri" w:hAnsi="Calibri"/>
      <w:b/>
      <w:bCs/>
      <w:kern w:val="44"/>
      <w:sz w:val="44"/>
      <w:szCs w:val="44"/>
    </w:rPr>
  </w:style>
  <w:style w:type="character" w:customStyle="1" w:styleId="46">
    <w:name w:val="标题 3 Char"/>
    <w:link w:val="4"/>
    <w:autoRedefine/>
    <w:qFormat/>
    <w:uiPriority w:val="0"/>
    <w:rPr>
      <w:rFonts w:ascii="仿宋_GB2312" w:hAnsi="宋体" w:eastAsiaTheme="minorEastAsia"/>
      <w:b/>
      <w:kern w:val="2"/>
      <w:sz w:val="32"/>
      <w:szCs w:val="32"/>
    </w:rPr>
  </w:style>
  <w:style w:type="character" w:customStyle="1" w:styleId="47">
    <w:name w:val="标题 5 Char"/>
    <w:link w:val="6"/>
    <w:autoRedefine/>
    <w:qFormat/>
    <w:uiPriority w:val="0"/>
    <w:rPr>
      <w:rFonts w:ascii="Calibri" w:hAnsi="Calibri"/>
      <w:b/>
      <w:bCs/>
      <w:kern w:val="2"/>
      <w:sz w:val="28"/>
      <w:szCs w:val="28"/>
    </w:rPr>
  </w:style>
  <w:style w:type="character" w:customStyle="1" w:styleId="48">
    <w:name w:val="标题 2 Char"/>
    <w:link w:val="3"/>
    <w:autoRedefine/>
    <w:qFormat/>
    <w:uiPriority w:val="0"/>
    <w:rPr>
      <w:rFonts w:asciiTheme="majorEastAsia" w:hAnsiTheme="majorEastAsia" w:eastAsiaTheme="majorEastAsia"/>
      <w:b/>
      <w:kern w:val="2"/>
      <w:sz w:val="32"/>
      <w:szCs w:val="28"/>
    </w:rPr>
  </w:style>
  <w:style w:type="character" w:customStyle="1" w:styleId="49">
    <w:name w:val="标题 4 Char"/>
    <w:link w:val="5"/>
    <w:autoRedefine/>
    <w:qFormat/>
    <w:uiPriority w:val="0"/>
    <w:rPr>
      <w:rFonts w:ascii="Arial" w:hAnsi="Arial" w:eastAsia="黑体"/>
      <w:b/>
      <w:bCs/>
      <w:kern w:val="2"/>
      <w:sz w:val="28"/>
      <w:szCs w:val="28"/>
    </w:rPr>
  </w:style>
  <w:style w:type="character" w:customStyle="1" w:styleId="50">
    <w:name w:val="标题 6 Char"/>
    <w:link w:val="7"/>
    <w:autoRedefine/>
    <w:qFormat/>
    <w:uiPriority w:val="0"/>
    <w:rPr>
      <w:b/>
      <w:bCs/>
      <w:kern w:val="2"/>
      <w:sz w:val="30"/>
      <w:szCs w:val="18"/>
    </w:rPr>
  </w:style>
  <w:style w:type="character" w:customStyle="1" w:styleId="51">
    <w:name w:val="标题 7 Char"/>
    <w:link w:val="8"/>
    <w:autoRedefine/>
    <w:qFormat/>
    <w:uiPriority w:val="0"/>
    <w:rPr>
      <w:b/>
      <w:bCs/>
      <w:kern w:val="2"/>
      <w:sz w:val="30"/>
      <w:szCs w:val="18"/>
    </w:rPr>
  </w:style>
  <w:style w:type="character" w:customStyle="1" w:styleId="52">
    <w:name w:val="标题 8 Char"/>
    <w:link w:val="9"/>
    <w:autoRedefine/>
    <w:qFormat/>
    <w:uiPriority w:val="0"/>
    <w:rPr>
      <w:b/>
      <w:bCs/>
      <w:kern w:val="2"/>
      <w:sz w:val="30"/>
      <w:szCs w:val="18"/>
    </w:rPr>
  </w:style>
  <w:style w:type="character" w:customStyle="1" w:styleId="53">
    <w:name w:val="标题 9 Char"/>
    <w:link w:val="10"/>
    <w:autoRedefine/>
    <w:qFormat/>
    <w:uiPriority w:val="0"/>
    <w:rPr>
      <w:b/>
      <w:bCs/>
      <w:kern w:val="2"/>
      <w:sz w:val="30"/>
      <w:szCs w:val="18"/>
    </w:rPr>
  </w:style>
  <w:style w:type="paragraph" w:customStyle="1" w:styleId="54">
    <w:name w:val="列出段落1"/>
    <w:basedOn w:val="1"/>
    <w:autoRedefine/>
    <w:qFormat/>
    <w:uiPriority w:val="34"/>
    <w:pPr>
      <w:ind w:firstLine="420" w:firstLineChars="200"/>
    </w:pPr>
  </w:style>
  <w:style w:type="paragraph" w:customStyle="1" w:styleId="5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4"/>
    <w:autoRedefine/>
    <w:qFormat/>
    <w:uiPriority w:val="99"/>
    <w:rPr>
      <w:rFonts w:ascii="Calibri" w:hAnsi="Calibri" w:eastAsia="宋体" w:cs="Times New Roman"/>
      <w:kern w:val="2"/>
      <w:sz w:val="18"/>
      <w:szCs w:val="18"/>
    </w:rPr>
  </w:style>
  <w:style w:type="character" w:customStyle="1" w:styleId="57">
    <w:name w:val="纯文本 Char"/>
    <w:link w:val="20"/>
    <w:autoRedefine/>
    <w:qFormat/>
    <w:locked/>
    <w:uiPriority w:val="0"/>
    <w:rPr>
      <w:rFonts w:ascii="宋体" w:hAnsi="Courier New" w:eastAsia="宋体" w:cs="Courier New"/>
      <w:kern w:val="2"/>
      <w:sz w:val="21"/>
      <w:szCs w:val="21"/>
    </w:rPr>
  </w:style>
  <w:style w:type="paragraph" w:customStyle="1" w:styleId="58">
    <w:name w:val="需求样式"/>
    <w:basedOn w:val="2"/>
    <w:link w:val="59"/>
    <w:autoRedefine/>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autoRedefine/>
    <w:qFormat/>
    <w:uiPriority w:val="0"/>
    <w:rPr>
      <w:b/>
      <w:bCs/>
      <w:kern w:val="44"/>
      <w:sz w:val="32"/>
      <w:szCs w:val="28"/>
    </w:rPr>
  </w:style>
  <w:style w:type="character" w:customStyle="1" w:styleId="60">
    <w:name w:val="正文缩进 Char"/>
    <w:link w:val="11"/>
    <w:autoRedefine/>
    <w:qFormat/>
    <w:uiPriority w:val="0"/>
    <w:rPr>
      <w:rFonts w:ascii="Calibri" w:hAnsi="Calibri" w:eastAsia="宋体"/>
      <w:kern w:val="2"/>
      <w:sz w:val="21"/>
      <w:szCs w:val="22"/>
      <w:lang w:val="en-US" w:eastAsia="zh-CN" w:bidi="ar-SA"/>
    </w:rPr>
  </w:style>
  <w:style w:type="character" w:customStyle="1" w:styleId="61">
    <w:name w:val="普通文字 Char Char2"/>
    <w:autoRedefine/>
    <w:qFormat/>
    <w:uiPriority w:val="0"/>
    <w:rPr>
      <w:rFonts w:ascii="宋体" w:hAnsi="Courier New" w:cs="Courier New"/>
      <w:kern w:val="2"/>
      <w:sz w:val="21"/>
      <w:szCs w:val="21"/>
    </w:rPr>
  </w:style>
  <w:style w:type="character" w:customStyle="1" w:styleId="62">
    <w:name w:val="批注主题 Char"/>
    <w:link w:val="30"/>
    <w:autoRedefine/>
    <w:qFormat/>
    <w:uiPriority w:val="99"/>
    <w:rPr>
      <w:b/>
      <w:kern w:val="2"/>
      <w:sz w:val="28"/>
    </w:rPr>
  </w:style>
  <w:style w:type="character" w:customStyle="1" w:styleId="63">
    <w:name w:val="批注文字 Char"/>
    <w:basedOn w:val="35"/>
    <w:link w:val="14"/>
    <w:autoRedefine/>
    <w:qFormat/>
    <w:uiPriority w:val="0"/>
    <w:rPr>
      <w:rFonts w:ascii="Calibri" w:hAnsi="Calibri"/>
      <w:kern w:val="2"/>
      <w:sz w:val="21"/>
      <w:szCs w:val="22"/>
    </w:rPr>
  </w:style>
  <w:style w:type="character" w:customStyle="1" w:styleId="64">
    <w:name w:val="批注主题 Char1"/>
    <w:basedOn w:val="63"/>
    <w:autoRedefine/>
    <w:qFormat/>
    <w:uiPriority w:val="0"/>
    <w:rPr>
      <w:rFonts w:ascii="Calibri" w:hAnsi="Calibri"/>
      <w:b/>
      <w:bCs/>
      <w:kern w:val="2"/>
      <w:sz w:val="21"/>
      <w:szCs w:val="22"/>
    </w:rPr>
  </w:style>
  <w:style w:type="character" w:customStyle="1" w:styleId="65">
    <w:name w:val="文档结构图 Char"/>
    <w:basedOn w:val="35"/>
    <w:link w:val="12"/>
    <w:autoRedefine/>
    <w:qFormat/>
    <w:uiPriority w:val="0"/>
    <w:rPr>
      <w:rFonts w:ascii="宋体" w:hAnsi="Calibri"/>
      <w:kern w:val="2"/>
      <w:sz w:val="18"/>
      <w:szCs w:val="18"/>
    </w:rPr>
  </w:style>
  <w:style w:type="paragraph" w:customStyle="1" w:styleId="6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autoRedefine/>
    <w:qFormat/>
    <w:uiPriority w:val="0"/>
    <w:rPr>
      <w:rFonts w:ascii="Arial" w:hAnsi="Arial" w:eastAsia="黑体"/>
      <w:kern w:val="2"/>
      <w:sz w:val="30"/>
    </w:rPr>
  </w:style>
  <w:style w:type="paragraph" w:customStyle="1" w:styleId="69">
    <w:name w:val="2册标题2"/>
    <w:basedOn w:val="1"/>
    <w:next w:val="1"/>
    <w:link w:val="68"/>
    <w:autoRedefine/>
    <w:qFormat/>
    <w:uiPriority w:val="0"/>
    <w:pPr>
      <w:spacing w:beforeLines="50" w:afterLines="50" w:line="300" w:lineRule="auto"/>
      <w:outlineLvl w:val="1"/>
    </w:pPr>
    <w:rPr>
      <w:rFonts w:ascii="Arial" w:hAnsi="Arial" w:eastAsia="黑体"/>
      <w:sz w:val="30"/>
      <w:szCs w:val="20"/>
    </w:rPr>
  </w:style>
  <w:style w:type="paragraph" w:customStyle="1" w:styleId="7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1">
    <w:name w:val="List Paragraph"/>
    <w:basedOn w:val="1"/>
    <w:autoRedefine/>
    <w:unhideWhenUsed/>
    <w:qFormat/>
    <w:uiPriority w:val="99"/>
    <w:pPr>
      <w:ind w:firstLine="420" w:firstLineChars="200"/>
    </w:pPr>
  </w:style>
  <w:style w:type="paragraph" w:customStyle="1" w:styleId="7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3">
    <w:name w:val="正文文本缩进 3 Char"/>
    <w:basedOn w:val="35"/>
    <w:link w:val="26"/>
    <w:autoRedefine/>
    <w:semiHidden/>
    <w:qFormat/>
    <w:uiPriority w:val="0"/>
    <w:rPr>
      <w:rFonts w:ascii="Calibri" w:hAnsi="Calibri"/>
      <w:kern w:val="2"/>
      <w:sz w:val="16"/>
      <w:szCs w:val="16"/>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autoRedefine/>
    <w:qFormat/>
    <w:uiPriority w:val="0"/>
    <w:rPr>
      <w:rFonts w:ascii="Arial" w:hAnsi="Arial" w:cs="Arial"/>
      <w:color w:val="FF0000"/>
      <w:sz w:val="20"/>
      <w:szCs w:val="20"/>
      <w:u w:val="none"/>
    </w:rPr>
  </w:style>
  <w:style w:type="character" w:customStyle="1" w:styleId="77">
    <w:name w:val="font31"/>
    <w:autoRedefine/>
    <w:qFormat/>
    <w:uiPriority w:val="0"/>
    <w:rPr>
      <w:rFonts w:hint="eastAsia" w:ascii="宋体" w:hAnsi="宋体" w:eastAsia="宋体" w:cs="宋体"/>
      <w:color w:val="FF0000"/>
      <w:sz w:val="20"/>
      <w:szCs w:val="20"/>
      <w:u w:val="none"/>
    </w:rPr>
  </w:style>
  <w:style w:type="character" w:customStyle="1" w:styleId="78">
    <w:name w:val="font01"/>
    <w:autoRedefine/>
    <w:qFormat/>
    <w:uiPriority w:val="0"/>
    <w:rPr>
      <w:rFonts w:hint="eastAsia" w:ascii="宋体" w:hAnsi="宋体" w:eastAsia="宋体" w:cs="宋体"/>
      <w:color w:val="FF0000"/>
      <w:sz w:val="20"/>
      <w:szCs w:val="20"/>
      <w:u w:val="single"/>
    </w:rPr>
  </w:style>
  <w:style w:type="character" w:customStyle="1" w:styleId="79">
    <w:name w:val="font11"/>
    <w:autoRedefine/>
    <w:qFormat/>
    <w:uiPriority w:val="0"/>
    <w:rPr>
      <w:rFonts w:hint="default" w:ascii="Arial" w:hAnsi="Arial" w:cs="Arial"/>
      <w:color w:val="FF0000"/>
      <w:sz w:val="20"/>
      <w:szCs w:val="20"/>
      <w:u w:val="single"/>
    </w:rPr>
  </w:style>
  <w:style w:type="paragraph" w:styleId="80">
    <w:name w:val="No Spacing"/>
    <w:basedOn w:val="1"/>
    <w:autoRedefine/>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autoRedefine/>
    <w:qFormat/>
    <w:uiPriority w:val="0"/>
    <w:pPr>
      <w:widowControl/>
      <w:spacing w:before="60" w:after="120" w:line="440" w:lineRule="atLeast"/>
      <w:ind w:firstLine="480"/>
    </w:pPr>
    <w:rPr>
      <w:rFonts w:hint="eastAsia"/>
      <w:sz w:val="24"/>
    </w:rPr>
  </w:style>
  <w:style w:type="paragraph" w:customStyle="1" w:styleId="82">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autoRedefine/>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autoRedefine/>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autoRedefine/>
    <w:qFormat/>
    <w:uiPriority w:val="0"/>
    <w:pPr>
      <w:spacing w:line="500" w:lineRule="exact"/>
      <w:ind w:left="1588" w:leftChars="832" w:firstLine="433" w:firstLineChars="196"/>
    </w:pPr>
    <w:rPr>
      <w:kern w:val="0"/>
      <w:sz w:val="24"/>
    </w:rPr>
  </w:style>
  <w:style w:type="paragraph" w:customStyle="1" w:styleId="86">
    <w:name w:val="正文_7"/>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autoRedefine/>
    <w:qFormat/>
    <w:uiPriority w:val="0"/>
    <w:pPr>
      <w:spacing w:line="500" w:lineRule="exact"/>
      <w:ind w:left="1588" w:leftChars="832" w:firstLine="433" w:firstLineChars="196"/>
    </w:pPr>
    <w:rPr>
      <w:kern w:val="0"/>
      <w:sz w:val="24"/>
    </w:rPr>
  </w:style>
  <w:style w:type="paragraph" w:customStyle="1" w:styleId="88">
    <w:name w:val="正文_8"/>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autoRedefine/>
    <w:qFormat/>
    <w:uiPriority w:val="0"/>
    <w:rPr>
      <w:rFonts w:ascii="黑体" w:hAnsi="黑体" w:eastAsia="黑体" w:cs="Times New Roman"/>
      <w:b/>
      <w:sz w:val="32"/>
      <w:szCs w:val="24"/>
      <w:lang w:bidi="ar-SA"/>
    </w:rPr>
  </w:style>
  <w:style w:type="paragraph" w:customStyle="1" w:styleId="90">
    <w:name w:val="正文文本_1"/>
    <w:basedOn w:val="91"/>
    <w:autoRedefine/>
    <w:qFormat/>
    <w:uiPriority w:val="0"/>
    <w:pPr>
      <w:spacing w:after="120"/>
    </w:pPr>
    <w:rPr>
      <w:kern w:val="0"/>
      <w:sz w:val="20"/>
    </w:rPr>
  </w:style>
  <w:style w:type="paragraph" w:customStyle="1" w:styleId="91">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autoRedefine/>
    <w:qFormat/>
    <w:uiPriority w:val="0"/>
    <w:rPr>
      <w:rFonts w:ascii="宋体" w:hAnsi="Courier New" w:eastAsia="宋体" w:cs="Times New Roman"/>
      <w:szCs w:val="22"/>
    </w:rPr>
  </w:style>
  <w:style w:type="character" w:customStyle="1" w:styleId="93">
    <w:name w:val="font61"/>
    <w:basedOn w:val="35"/>
    <w:autoRedefine/>
    <w:qFormat/>
    <w:uiPriority w:val="0"/>
    <w:rPr>
      <w:rFonts w:hint="eastAsia" w:ascii="仿宋" w:hAnsi="仿宋" w:eastAsia="仿宋" w:cs="仿宋"/>
      <w:color w:val="000000"/>
      <w:sz w:val="16"/>
      <w:szCs w:val="16"/>
      <w:u w:val="none"/>
    </w:rPr>
  </w:style>
  <w:style w:type="paragraph" w:customStyle="1" w:styleId="94">
    <w:name w:val="纯文本_0_0"/>
    <w:basedOn w:val="84"/>
    <w:autoRedefine/>
    <w:qFormat/>
    <w:uiPriority w:val="0"/>
    <w:rPr>
      <w:rFonts w:ascii="宋体" w:hAnsi="Courier New"/>
      <w:szCs w:val="21"/>
    </w:rPr>
  </w:style>
  <w:style w:type="paragraph" w:customStyle="1" w:styleId="95">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96">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97">
    <w:name w:val="Table Paragraph"/>
    <w:basedOn w:val="1"/>
    <w:autoRedefine/>
    <w:qFormat/>
    <w:uiPriority w:val="1"/>
    <w:rPr>
      <w:rFonts w:ascii="仿宋" w:hAnsi="仿宋" w:eastAsia="仿宋" w:cs="仿宋"/>
      <w:lang w:val="zh-CN" w:eastAsia="zh-CN" w:bidi="zh-CN"/>
    </w:rPr>
  </w:style>
  <w:style w:type="paragraph" w:customStyle="1" w:styleId="98">
    <w:name w:val="Table Text"/>
    <w:basedOn w:val="1"/>
    <w:semiHidden/>
    <w:qFormat/>
    <w:uiPriority w:val="0"/>
    <w:rPr>
      <w:rFonts w:ascii="仿宋" w:hAnsi="仿宋" w:eastAsia="仿宋" w:cs="仿宋"/>
      <w:sz w:val="20"/>
      <w:szCs w:val="20"/>
      <w:lang w:val="en-US" w:eastAsia="en-US" w:bidi="ar-SA"/>
    </w:rPr>
  </w:style>
  <w:style w:type="table" w:customStyle="1" w:styleId="9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78</Pages>
  <Words>8742</Words>
  <Characters>9404</Characters>
  <Lines>189</Lines>
  <Paragraphs>53</Paragraphs>
  <TotalTime>16</TotalTime>
  <ScaleCrop>false</ScaleCrop>
  <LinksUpToDate>false</LinksUpToDate>
  <CharactersWithSpaces>9774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星光灿烂</cp:lastModifiedBy>
  <cp:lastPrinted>2018-11-20T03:43:00Z</cp:lastPrinted>
  <dcterms:modified xsi:type="dcterms:W3CDTF">2026-05-23T12:50:03Z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F6B9AD67CD5F46BD8E98619F96912A71_13</vt:lpwstr>
  </property>
  <property fmtid="{D5CDD505-2E9C-101B-9397-08002B2CF9AE}" pid="4" name="KSOTemplateDocerSaveRecord">
    <vt:lpwstr>eyJoZGlkIjoiMDgwNWEyOTZiZGZiMzcxMGM0MmIxMWZmMmE0OTY3MTMiLCJ1c2VySWQiOiI0Mzk3NzE5ODAifQ==</vt:lpwstr>
  </property>
</Properties>
</file>