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A174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 </w:t>
      </w:r>
    </w:p>
    <w:p w14:paraId="47568352">
      <w:pPr>
        <w:adjustRightInd/>
        <w:spacing w:line="360" w:lineRule="auto"/>
        <w:jc w:val="center"/>
        <w:rPr>
          <w:rFonts w:ascii="宋体" w:hAnsi="宋体" w:cs="宋体"/>
          <w:b/>
          <w:color w:val="auto"/>
          <w:sz w:val="44"/>
          <w:szCs w:val="44"/>
          <w:highlight w:val="none"/>
        </w:rPr>
      </w:pPr>
    </w:p>
    <w:p w14:paraId="1D1D6170">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杭州市</w:t>
      </w:r>
      <w:r>
        <w:rPr>
          <w:rFonts w:hint="eastAsia" w:ascii="宋体" w:hAnsi="宋体" w:cs="宋体"/>
          <w:b/>
          <w:color w:val="auto"/>
          <w:sz w:val="44"/>
          <w:szCs w:val="44"/>
          <w:highlight w:val="none"/>
          <w:lang w:val="en-US" w:eastAsia="zh-CN"/>
        </w:rPr>
        <w:t>钱塘区</w:t>
      </w:r>
      <w:r>
        <w:rPr>
          <w:rFonts w:hint="eastAsia" w:ascii="宋体" w:hAnsi="宋体" w:cs="宋体"/>
          <w:b/>
          <w:color w:val="auto"/>
          <w:sz w:val="44"/>
          <w:szCs w:val="44"/>
          <w:highlight w:val="none"/>
        </w:rPr>
        <w:t>20</w:t>
      </w:r>
      <w:r>
        <w:rPr>
          <w:rFonts w:hint="eastAsia" w:ascii="宋体" w:hAnsi="宋体" w:cs="宋体"/>
          <w:b/>
          <w:color w:val="auto"/>
          <w:sz w:val="44"/>
          <w:szCs w:val="44"/>
          <w:highlight w:val="none"/>
          <w:lang w:val="en-US" w:eastAsia="zh-CN"/>
        </w:rPr>
        <w:t>26</w:t>
      </w:r>
      <w:r>
        <w:rPr>
          <w:rFonts w:hint="eastAsia" w:ascii="宋体" w:hAnsi="宋体" w:cs="宋体"/>
          <w:b/>
          <w:color w:val="auto"/>
          <w:sz w:val="44"/>
          <w:szCs w:val="44"/>
          <w:highlight w:val="none"/>
        </w:rPr>
        <w:t>-20</w:t>
      </w:r>
      <w:r>
        <w:rPr>
          <w:rFonts w:hint="eastAsia" w:ascii="宋体" w:hAnsi="宋体" w:cs="宋体"/>
          <w:b/>
          <w:color w:val="auto"/>
          <w:sz w:val="44"/>
          <w:szCs w:val="44"/>
          <w:highlight w:val="none"/>
          <w:lang w:val="en-US" w:eastAsia="zh-CN"/>
        </w:rPr>
        <w:t>28</w:t>
      </w:r>
      <w:r>
        <w:rPr>
          <w:rFonts w:hint="eastAsia" w:ascii="宋体" w:hAnsi="宋体" w:cs="宋体"/>
          <w:b/>
          <w:color w:val="auto"/>
          <w:sz w:val="44"/>
          <w:szCs w:val="44"/>
          <w:highlight w:val="none"/>
        </w:rPr>
        <w:t>年政府投资项目工程造价咨询服务采购项目</w:t>
      </w:r>
    </w:p>
    <w:p w14:paraId="5DA471A4">
      <w:pPr>
        <w:adjustRightInd/>
        <w:spacing w:line="360" w:lineRule="auto"/>
        <w:jc w:val="center"/>
        <w:rPr>
          <w:rFonts w:ascii="宋体" w:hAnsi="宋体" w:cs="宋体"/>
          <w:b/>
          <w:color w:val="auto"/>
          <w:sz w:val="44"/>
          <w:szCs w:val="44"/>
          <w:highlight w:val="none"/>
        </w:rPr>
      </w:pPr>
    </w:p>
    <w:p w14:paraId="7392CAEA">
      <w:pPr>
        <w:jc w:val="center"/>
        <w:rPr>
          <w:rFonts w:ascii="宋体" w:hAnsi="宋体" w:cs="宋体"/>
          <w:b/>
          <w:color w:val="auto"/>
          <w:sz w:val="72"/>
          <w:szCs w:val="72"/>
          <w:highlight w:val="none"/>
        </w:rPr>
      </w:pPr>
    </w:p>
    <w:p w14:paraId="76EAD95F">
      <w:pPr>
        <w:pStyle w:val="3"/>
        <w:rPr>
          <w:rFonts w:ascii="宋体" w:hAnsi="宋体" w:eastAsia="宋体" w:cs="宋体"/>
          <w:color w:val="auto"/>
          <w:highlight w:val="none"/>
        </w:rPr>
      </w:pPr>
    </w:p>
    <w:p w14:paraId="49B92C3D">
      <w:pPr>
        <w:jc w:val="center"/>
        <w:rPr>
          <w:rFonts w:ascii="宋体" w:hAnsi="宋体" w:cs="宋体"/>
          <w:b/>
          <w:color w:val="auto"/>
          <w:sz w:val="84"/>
          <w:szCs w:val="84"/>
          <w:highlight w:val="none"/>
        </w:rPr>
      </w:pPr>
      <w:r>
        <w:rPr>
          <w:rFonts w:hint="eastAsia" w:ascii="宋体" w:hAnsi="宋体" w:cs="宋体"/>
          <w:b/>
          <w:color w:val="auto"/>
          <w:sz w:val="84"/>
          <w:szCs w:val="84"/>
          <w:highlight w:val="none"/>
        </w:rPr>
        <w:t>公开征集文件</w:t>
      </w:r>
    </w:p>
    <w:p w14:paraId="59DFD14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(电子交易)</w:t>
      </w:r>
    </w:p>
    <w:p w14:paraId="55DA1C44">
      <w:pPr>
        <w:snapToGrid w:val="0"/>
        <w:spacing w:line="360" w:lineRule="auto"/>
        <w:jc w:val="center"/>
        <w:rPr>
          <w:rFonts w:ascii="宋体" w:hAnsi="宋体" w:cs="宋体"/>
          <w:color w:val="auto"/>
          <w:sz w:val="30"/>
          <w:szCs w:val="30"/>
          <w:highlight w:val="none"/>
        </w:rPr>
      </w:pPr>
    </w:p>
    <w:p w14:paraId="79AC7422">
      <w:pPr>
        <w:snapToGrid w:val="0"/>
        <w:spacing w:line="360" w:lineRule="auto"/>
        <w:jc w:val="center"/>
        <w:rPr>
          <w:rFonts w:ascii="宋体" w:hAnsi="宋体" w:cs="宋体"/>
          <w:color w:val="auto"/>
          <w:sz w:val="30"/>
          <w:szCs w:val="30"/>
          <w:highlight w:val="none"/>
        </w:rPr>
      </w:pPr>
      <w:r>
        <w:rPr>
          <w:rFonts w:hint="eastAsia" w:ascii="宋体" w:hAnsi="宋体" w:cs="宋体"/>
          <w:color w:val="auto"/>
          <w:sz w:val="30"/>
          <w:szCs w:val="30"/>
          <w:highlight w:val="none"/>
        </w:rPr>
        <w:t>项目编号:QTCG-KJ-2026-002</w:t>
      </w:r>
      <w:r>
        <w:rPr>
          <w:rFonts w:hint="eastAsia" w:ascii="宋体" w:hAnsi="宋体" w:cs="宋体"/>
          <w:color w:val="auto"/>
          <w:highlight w:val="none"/>
        </w:rPr>
        <w:t xml:space="preserve"> </w:t>
      </w:r>
    </w:p>
    <w:p w14:paraId="30CE0EA2">
      <w:pPr>
        <w:rPr>
          <w:rFonts w:ascii="宋体" w:hAnsi="宋体" w:cs="宋体"/>
          <w:color w:val="auto"/>
          <w:highlight w:val="none"/>
        </w:rPr>
      </w:pPr>
    </w:p>
    <w:p w14:paraId="351C5FB1">
      <w:pPr>
        <w:rPr>
          <w:rFonts w:ascii="宋体" w:hAnsi="宋体" w:cs="宋体"/>
          <w:color w:val="auto"/>
          <w:highlight w:val="none"/>
        </w:rPr>
      </w:pPr>
    </w:p>
    <w:p w14:paraId="01EAD58E">
      <w:pPr>
        <w:rPr>
          <w:rFonts w:ascii="宋体" w:hAnsi="宋体" w:cs="宋体"/>
          <w:color w:val="auto"/>
          <w:highlight w:val="none"/>
        </w:rPr>
      </w:pPr>
    </w:p>
    <w:p w14:paraId="3A9184F8">
      <w:pPr>
        <w:adjustRightInd/>
        <w:spacing w:line="360" w:lineRule="auto"/>
        <w:jc w:val="center"/>
        <w:rPr>
          <w:rFonts w:ascii="宋体" w:hAnsi="宋体" w:cs="宋体"/>
          <w:bCs/>
          <w:color w:val="auto"/>
          <w:sz w:val="32"/>
          <w:szCs w:val="32"/>
          <w:highlight w:val="none"/>
        </w:rPr>
      </w:pPr>
    </w:p>
    <w:p w14:paraId="0DABCF8A">
      <w:pPr>
        <w:snapToGrid w:val="0"/>
        <w:spacing w:line="360" w:lineRule="auto"/>
        <w:ind w:firstLine="1684" w:firstLineChars="559"/>
        <w:textAlignment w:val="bottom"/>
        <w:rPr>
          <w:rFonts w:hint="eastAsia" w:ascii="宋体" w:hAnsi="宋体" w:cs="宋体"/>
          <w:b/>
          <w:bCs/>
          <w:color w:val="auto"/>
          <w:sz w:val="30"/>
          <w:szCs w:val="30"/>
          <w:highlight w:val="none"/>
        </w:rPr>
      </w:pPr>
    </w:p>
    <w:p w14:paraId="5864B3D9">
      <w:pPr>
        <w:snapToGrid w:val="0"/>
        <w:spacing w:line="360" w:lineRule="auto"/>
        <w:ind w:firstLine="1684" w:firstLineChars="559"/>
        <w:textAlignment w:val="bottom"/>
        <w:rPr>
          <w:rFonts w:hint="eastAsia" w:ascii="宋体" w:hAnsi="宋体" w:cs="宋体"/>
          <w:b/>
          <w:bCs/>
          <w:color w:val="auto"/>
          <w:sz w:val="30"/>
          <w:szCs w:val="30"/>
          <w:highlight w:val="none"/>
        </w:rPr>
      </w:pPr>
    </w:p>
    <w:p w14:paraId="64BF4854">
      <w:pPr>
        <w:snapToGrid w:val="0"/>
        <w:spacing w:line="360" w:lineRule="auto"/>
        <w:jc w:val="center"/>
        <w:textAlignment w:val="bottom"/>
        <w:rPr>
          <w:rFonts w:hint="eastAsia" w:ascii="宋体" w:hAnsi="宋体" w:cs="宋体"/>
          <w:b/>
          <w:bCs/>
          <w:color w:val="auto"/>
          <w:sz w:val="30"/>
          <w:szCs w:val="30"/>
          <w:highlight w:val="none"/>
          <w:lang w:eastAsia="zh-CN"/>
        </w:rPr>
      </w:pPr>
      <w:r>
        <w:rPr>
          <w:rFonts w:hint="eastAsia" w:ascii="宋体" w:hAnsi="宋体" w:cs="宋体"/>
          <w:b/>
          <w:bCs/>
          <w:color w:val="auto"/>
          <w:sz w:val="30"/>
          <w:szCs w:val="30"/>
          <w:highlight w:val="none"/>
          <w:lang w:val="en-US" w:eastAsia="zh-CN"/>
        </w:rPr>
        <w:t xml:space="preserve">  </w:t>
      </w:r>
      <w:r>
        <w:rPr>
          <w:rFonts w:hint="eastAsia" w:ascii="宋体" w:hAnsi="宋体" w:cs="宋体"/>
          <w:b/>
          <w:bCs/>
          <w:color w:val="auto"/>
          <w:sz w:val="30"/>
          <w:szCs w:val="30"/>
          <w:highlight w:val="none"/>
        </w:rPr>
        <w:t>征集人：杭州市</w:t>
      </w:r>
      <w:r>
        <w:rPr>
          <w:rFonts w:hint="eastAsia" w:ascii="宋体" w:hAnsi="宋体" w:cs="宋体"/>
          <w:b/>
          <w:bCs/>
          <w:color w:val="auto"/>
          <w:sz w:val="30"/>
          <w:szCs w:val="30"/>
          <w:highlight w:val="none"/>
          <w:lang w:eastAsia="zh-CN"/>
        </w:rPr>
        <w:t>钱塘区政府投资项目评审服务中心</w:t>
      </w:r>
    </w:p>
    <w:p w14:paraId="06D3015A">
      <w:pPr>
        <w:snapToGrid w:val="0"/>
        <w:spacing w:line="360" w:lineRule="auto"/>
        <w:jc w:val="center"/>
        <w:textAlignment w:val="bottom"/>
        <w:rPr>
          <w:rFonts w:hint="default" w:ascii="宋体" w:hAnsi="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采购代理机构：浙江省房地产管理咨询有限公司</w:t>
      </w:r>
    </w:p>
    <w:p w14:paraId="650B68BC">
      <w:pPr>
        <w:snapToGrid w:val="0"/>
        <w:spacing w:line="360" w:lineRule="auto"/>
        <w:ind w:firstLine="426"/>
        <w:jc w:val="center"/>
        <w:textAlignment w:val="bottom"/>
        <w:rPr>
          <w:rFonts w:ascii="宋体" w:hAnsi="宋体" w:cs="宋体"/>
          <w:b/>
          <w:bCs/>
          <w:color w:val="auto"/>
          <w:sz w:val="30"/>
          <w:szCs w:val="30"/>
          <w:highlight w:val="none"/>
        </w:rPr>
      </w:pPr>
      <w:r>
        <w:rPr>
          <w:rFonts w:hint="eastAsia" w:ascii="宋体" w:hAnsi="宋体" w:cs="宋体"/>
          <w:b/>
          <w:bCs/>
          <w:color w:val="auto"/>
          <w:sz w:val="30"/>
          <w:szCs w:val="30"/>
          <w:highlight w:val="none"/>
        </w:rPr>
        <w:t>202</w:t>
      </w:r>
      <w:r>
        <w:rPr>
          <w:rFonts w:hint="eastAsia" w:ascii="宋体" w:hAnsi="宋体" w:cs="宋体"/>
          <w:b/>
          <w:bCs/>
          <w:color w:val="auto"/>
          <w:sz w:val="30"/>
          <w:szCs w:val="30"/>
          <w:highlight w:val="none"/>
          <w:lang w:val="en-US" w:eastAsia="zh-CN"/>
        </w:rPr>
        <w:t>6</w:t>
      </w:r>
      <w:r>
        <w:rPr>
          <w:rFonts w:hint="eastAsia" w:ascii="宋体" w:hAnsi="宋体" w:cs="宋体"/>
          <w:b/>
          <w:bCs/>
          <w:color w:val="auto"/>
          <w:sz w:val="30"/>
          <w:szCs w:val="30"/>
          <w:highlight w:val="none"/>
        </w:rPr>
        <w:t>年</w:t>
      </w:r>
      <w:r>
        <w:rPr>
          <w:rFonts w:hint="eastAsia" w:ascii="宋体" w:hAnsi="宋体" w:cs="宋体"/>
          <w:b/>
          <w:bCs/>
          <w:color w:val="auto"/>
          <w:sz w:val="30"/>
          <w:szCs w:val="30"/>
          <w:highlight w:val="none"/>
          <w:lang w:val="en-US" w:eastAsia="zh-CN"/>
        </w:rPr>
        <w:t>5</w:t>
      </w:r>
      <w:r>
        <w:rPr>
          <w:rFonts w:hint="eastAsia" w:ascii="宋体" w:hAnsi="宋体" w:cs="宋体"/>
          <w:b/>
          <w:bCs/>
          <w:color w:val="auto"/>
          <w:sz w:val="30"/>
          <w:szCs w:val="30"/>
          <w:highlight w:val="none"/>
        </w:rPr>
        <w:t>月</w:t>
      </w:r>
    </w:p>
    <w:p w14:paraId="4DA07573">
      <w:pPr>
        <w:snapToGrid w:val="0"/>
        <w:spacing w:line="360" w:lineRule="auto"/>
        <w:jc w:val="center"/>
        <w:rPr>
          <w:rFonts w:ascii="宋体" w:hAnsi="宋体" w:cs="宋体"/>
          <w:color w:val="auto"/>
          <w:sz w:val="30"/>
          <w:szCs w:val="30"/>
          <w:highlight w:val="none"/>
        </w:rPr>
      </w:pPr>
    </w:p>
    <w:p w14:paraId="49B68D68">
      <w:pPr>
        <w:pStyle w:val="3"/>
        <w:rPr>
          <w:rFonts w:ascii="宋体" w:hAnsi="宋体" w:cs="宋体"/>
          <w:color w:val="auto"/>
          <w:sz w:val="30"/>
          <w:szCs w:val="30"/>
          <w:highlight w:val="none"/>
        </w:rPr>
      </w:pPr>
    </w:p>
    <w:p w14:paraId="0160C555">
      <w:pPr>
        <w:rPr>
          <w:rFonts w:ascii="宋体" w:hAnsi="宋体" w:cs="宋体"/>
          <w:color w:val="auto"/>
          <w:sz w:val="30"/>
          <w:szCs w:val="30"/>
          <w:highlight w:val="none"/>
        </w:rPr>
      </w:pPr>
    </w:p>
    <w:p w14:paraId="3465DD05">
      <w:pPr>
        <w:pStyle w:val="3"/>
        <w:rPr>
          <w:color w:val="auto"/>
          <w:highlight w:val="none"/>
        </w:rPr>
      </w:pPr>
    </w:p>
    <w:p w14:paraId="72F67B4F">
      <w:pPr>
        <w:spacing w:line="360" w:lineRule="auto"/>
        <w:jc w:val="both"/>
        <w:rPr>
          <w:rFonts w:ascii="宋体" w:hAnsi="宋体" w:cs="宋体"/>
          <w:color w:val="auto"/>
          <w:sz w:val="24"/>
          <w:highlight w:val="none"/>
        </w:rPr>
      </w:pPr>
    </w:p>
    <w:p w14:paraId="15090966">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7AD91A80">
      <w:pPr>
        <w:spacing w:line="360" w:lineRule="auto"/>
        <w:rPr>
          <w:rFonts w:ascii="宋体" w:hAnsi="宋体" w:cs="宋体"/>
          <w:color w:val="auto"/>
          <w:sz w:val="32"/>
          <w:szCs w:val="32"/>
          <w:highlight w:val="none"/>
        </w:rPr>
      </w:pPr>
    </w:p>
    <w:p w14:paraId="73408C83">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征集公告</w:t>
      </w:r>
    </w:p>
    <w:p w14:paraId="5FC8529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供应商须知</w:t>
      </w:r>
    </w:p>
    <w:p w14:paraId="725CC1F7">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AD55FD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评标方法</w:t>
      </w:r>
    </w:p>
    <w:p w14:paraId="4BF57CB3">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5D34D14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33224705">
      <w:pPr>
        <w:spacing w:line="360" w:lineRule="auto"/>
        <w:ind w:firstLine="549" w:firstLineChars="229"/>
        <w:rPr>
          <w:rFonts w:ascii="宋体" w:hAnsi="宋体" w:cs="宋体"/>
          <w:color w:val="auto"/>
          <w:sz w:val="24"/>
          <w:highlight w:val="none"/>
        </w:rPr>
      </w:pPr>
      <w:bookmarkStart w:id="0" w:name="_Hlt91233176"/>
      <w:bookmarkEnd w:id="0"/>
      <w:bookmarkStart w:id="1" w:name="_Toc91899869"/>
    </w:p>
    <w:p w14:paraId="0950922B">
      <w:pPr>
        <w:spacing w:line="360" w:lineRule="auto"/>
        <w:ind w:firstLine="549" w:firstLineChars="229"/>
        <w:rPr>
          <w:rFonts w:ascii="宋体" w:hAnsi="宋体" w:cs="宋体"/>
          <w:color w:val="auto"/>
          <w:sz w:val="24"/>
          <w:highlight w:val="none"/>
        </w:rPr>
      </w:pPr>
    </w:p>
    <w:p w14:paraId="7BA27354">
      <w:pPr>
        <w:spacing w:line="360" w:lineRule="auto"/>
        <w:ind w:firstLine="549" w:firstLineChars="229"/>
        <w:rPr>
          <w:rFonts w:ascii="宋体" w:hAnsi="宋体" w:cs="宋体"/>
          <w:color w:val="auto"/>
          <w:sz w:val="24"/>
          <w:highlight w:val="none"/>
        </w:rPr>
      </w:pPr>
    </w:p>
    <w:p w14:paraId="07C3FC34">
      <w:pPr>
        <w:spacing w:line="360" w:lineRule="auto"/>
        <w:ind w:firstLine="549" w:firstLineChars="229"/>
        <w:rPr>
          <w:rFonts w:ascii="宋体" w:hAnsi="宋体" w:cs="宋体"/>
          <w:color w:val="auto"/>
          <w:sz w:val="24"/>
          <w:highlight w:val="none"/>
        </w:rPr>
      </w:pPr>
    </w:p>
    <w:p w14:paraId="64F3FA29">
      <w:pPr>
        <w:spacing w:line="360" w:lineRule="auto"/>
        <w:ind w:firstLine="549" w:firstLineChars="229"/>
        <w:rPr>
          <w:rFonts w:ascii="宋体" w:hAnsi="宋体" w:cs="宋体"/>
          <w:color w:val="auto"/>
          <w:sz w:val="24"/>
          <w:highlight w:val="none"/>
        </w:rPr>
      </w:pPr>
    </w:p>
    <w:p w14:paraId="2101E171">
      <w:pPr>
        <w:spacing w:line="360" w:lineRule="auto"/>
        <w:ind w:firstLine="549" w:firstLineChars="229"/>
        <w:rPr>
          <w:rFonts w:ascii="宋体" w:hAnsi="宋体" w:cs="宋体"/>
          <w:color w:val="auto"/>
          <w:sz w:val="24"/>
          <w:highlight w:val="none"/>
        </w:rPr>
      </w:pPr>
    </w:p>
    <w:p w14:paraId="3A1ECD44">
      <w:pPr>
        <w:spacing w:line="360" w:lineRule="auto"/>
        <w:ind w:firstLine="549" w:firstLineChars="229"/>
        <w:rPr>
          <w:rFonts w:ascii="宋体" w:hAnsi="宋体" w:cs="宋体"/>
          <w:color w:val="auto"/>
          <w:sz w:val="24"/>
          <w:highlight w:val="none"/>
        </w:rPr>
      </w:pPr>
    </w:p>
    <w:p w14:paraId="0FEF2269">
      <w:pPr>
        <w:spacing w:line="360" w:lineRule="auto"/>
        <w:ind w:firstLine="549" w:firstLineChars="229"/>
        <w:rPr>
          <w:rFonts w:ascii="宋体" w:hAnsi="宋体" w:cs="宋体"/>
          <w:color w:val="auto"/>
          <w:sz w:val="24"/>
          <w:highlight w:val="none"/>
        </w:rPr>
      </w:pPr>
    </w:p>
    <w:p w14:paraId="6CEE1ABD">
      <w:pPr>
        <w:spacing w:line="360" w:lineRule="auto"/>
        <w:ind w:firstLine="549" w:firstLineChars="229"/>
        <w:rPr>
          <w:rFonts w:ascii="宋体" w:hAnsi="宋体" w:cs="宋体"/>
          <w:color w:val="auto"/>
          <w:sz w:val="24"/>
          <w:highlight w:val="none"/>
        </w:rPr>
      </w:pPr>
    </w:p>
    <w:p w14:paraId="78BC7DB7">
      <w:pPr>
        <w:spacing w:line="360" w:lineRule="auto"/>
        <w:ind w:firstLine="549" w:firstLineChars="229"/>
        <w:rPr>
          <w:rFonts w:ascii="宋体" w:hAnsi="宋体" w:cs="宋体"/>
          <w:color w:val="auto"/>
          <w:sz w:val="24"/>
          <w:highlight w:val="none"/>
        </w:rPr>
      </w:pPr>
    </w:p>
    <w:p w14:paraId="5BD9B1A7">
      <w:pPr>
        <w:spacing w:line="360" w:lineRule="auto"/>
        <w:ind w:firstLine="549" w:firstLineChars="229"/>
        <w:rPr>
          <w:rFonts w:ascii="宋体" w:hAnsi="宋体" w:cs="宋体"/>
          <w:color w:val="auto"/>
          <w:sz w:val="24"/>
          <w:highlight w:val="none"/>
        </w:rPr>
      </w:pPr>
    </w:p>
    <w:p w14:paraId="1EC73237">
      <w:pPr>
        <w:spacing w:line="360" w:lineRule="auto"/>
        <w:ind w:firstLine="549" w:firstLineChars="229"/>
        <w:rPr>
          <w:rFonts w:ascii="宋体" w:hAnsi="宋体" w:cs="宋体"/>
          <w:color w:val="auto"/>
          <w:sz w:val="24"/>
          <w:highlight w:val="none"/>
        </w:rPr>
      </w:pPr>
    </w:p>
    <w:p w14:paraId="1E590A92">
      <w:pPr>
        <w:spacing w:line="360" w:lineRule="auto"/>
        <w:ind w:firstLine="549" w:firstLineChars="229"/>
        <w:rPr>
          <w:rFonts w:ascii="宋体" w:hAnsi="宋体" w:cs="宋体"/>
          <w:color w:val="auto"/>
          <w:sz w:val="24"/>
          <w:highlight w:val="none"/>
        </w:rPr>
      </w:pPr>
    </w:p>
    <w:p w14:paraId="4A63B186">
      <w:pPr>
        <w:spacing w:line="360" w:lineRule="auto"/>
        <w:rPr>
          <w:rFonts w:ascii="宋体" w:hAnsi="宋体" w:cs="宋体"/>
          <w:color w:val="auto"/>
          <w:sz w:val="24"/>
          <w:highlight w:val="none"/>
        </w:rPr>
      </w:pPr>
    </w:p>
    <w:p w14:paraId="18DA6D5B">
      <w:pPr>
        <w:adjustRightInd/>
        <w:spacing w:line="360" w:lineRule="auto"/>
        <w:jc w:val="center"/>
        <w:outlineLvl w:val="0"/>
        <w:rPr>
          <w:rFonts w:ascii="宋体" w:hAnsi="宋体" w:cs="宋体"/>
          <w:b/>
          <w:color w:val="auto"/>
          <w:sz w:val="36"/>
          <w:szCs w:val="20"/>
          <w:highlight w:val="none"/>
        </w:rPr>
      </w:pPr>
      <w:bookmarkStart w:id="2" w:name="第一部分"/>
      <w:r>
        <w:rPr>
          <w:rFonts w:hint="eastAsia" w:ascii="宋体" w:hAnsi="宋体" w:cs="宋体"/>
          <w:b/>
          <w:color w:val="auto"/>
          <w:sz w:val="36"/>
          <w:szCs w:val="36"/>
          <w:highlight w:val="none"/>
        </w:rPr>
        <w:br w:type="page"/>
      </w:r>
      <w:bookmarkEnd w:id="1"/>
      <w:bookmarkEnd w:id="2"/>
      <w:bookmarkStart w:id="3" w:name="_Hlt74729822"/>
      <w:bookmarkEnd w:id="3"/>
      <w:bookmarkStart w:id="4" w:name="_Hlt74728647"/>
      <w:bookmarkEnd w:id="4"/>
      <w:bookmarkStart w:id="5" w:name="_Hlt74707423"/>
      <w:bookmarkEnd w:id="5"/>
      <w:bookmarkStart w:id="6" w:name="_Hlt74649545"/>
      <w:bookmarkEnd w:id="6"/>
      <w:bookmarkStart w:id="7" w:name="第二部分"/>
      <w:bookmarkStart w:id="8" w:name="_Toc91899870"/>
      <w:bookmarkStart w:id="9" w:name="_Toc91899871"/>
      <w:r>
        <w:rPr>
          <w:rFonts w:hint="eastAsia" w:ascii="宋体" w:hAnsi="宋体" w:cs="宋体"/>
          <w:b/>
          <w:color w:val="auto"/>
          <w:sz w:val="36"/>
          <w:szCs w:val="20"/>
          <w:highlight w:val="none"/>
        </w:rPr>
        <w:t>第一部分征集公告</w:t>
      </w:r>
    </w:p>
    <w:p w14:paraId="6D8B36D0">
      <w:pPr>
        <w:pStyle w:val="48"/>
        <w:spacing w:before="0" w:beforeAutospacing="0" w:after="0" w:afterAutospacing="0" w:line="360" w:lineRule="auto"/>
        <w:rPr>
          <w:rFonts w:cs="宋体"/>
          <w:b/>
          <w:bCs/>
          <w:color w:val="auto"/>
          <w:highlight w:val="none"/>
        </w:rPr>
      </w:pPr>
      <w:r>
        <w:rPr>
          <w:rFonts w:hint="eastAsia" w:cs="宋体"/>
          <w:b/>
          <w:bCs/>
          <w:color w:val="auto"/>
          <w:highlight w:val="none"/>
        </w:rPr>
        <w:t>项目概况</w:t>
      </w:r>
    </w:p>
    <w:p w14:paraId="24B9855B">
      <w:pPr>
        <w:adjustRightInd/>
        <w:spacing w:line="360" w:lineRule="auto"/>
        <w:ind w:firstLine="480" w:firstLineChars="200"/>
        <w:jc w:val="both"/>
        <w:rPr>
          <w:rFonts w:cs="宋体"/>
          <w:color w:val="auto"/>
          <w:highlight w:val="none"/>
        </w:rPr>
      </w:pPr>
      <w:r>
        <w:rPr>
          <w:rFonts w:hint="eastAsia" w:ascii="宋体" w:hAnsi="宋体" w:cs="宋体"/>
          <w:color w:val="auto"/>
          <w:kern w:val="0"/>
          <w:sz w:val="24"/>
          <w:szCs w:val="24"/>
          <w:highlight w:val="none"/>
          <w:lang w:val="en-US" w:eastAsia="zh-CN" w:bidi="ar-SA"/>
        </w:rPr>
        <w:t>杭州市钱塘区2026-2028年政府投资项目</w:t>
      </w:r>
      <w:r>
        <w:rPr>
          <w:rFonts w:hint="eastAsia" w:ascii="宋体" w:hAnsi="宋体" w:eastAsia="宋体" w:cs="宋体"/>
          <w:color w:val="auto"/>
          <w:kern w:val="0"/>
          <w:sz w:val="24"/>
          <w:szCs w:val="24"/>
          <w:highlight w:val="none"/>
          <w:lang w:val="en-US" w:eastAsia="zh-CN" w:bidi="ar-SA"/>
        </w:rPr>
        <w:t>工程造价咨询服务采购项目的潜在供应商应在浙江政府采购网（https://zfcg.czt.zj.gov.cn/）获取（下载）征集文件，并于202</w:t>
      </w:r>
      <w:r>
        <w:rPr>
          <w:rFonts w:hint="eastAsia" w:ascii="宋体" w:hAnsi="宋体" w:cs="宋体"/>
          <w:color w:val="auto"/>
          <w:kern w:val="0"/>
          <w:sz w:val="24"/>
          <w:szCs w:val="24"/>
          <w:highlight w:val="none"/>
          <w:lang w:val="en-US" w:eastAsia="zh-CN" w:bidi="ar-SA"/>
        </w:rPr>
        <w:t>6</w:t>
      </w:r>
      <w:r>
        <w:rPr>
          <w:rFonts w:hint="eastAsia" w:ascii="宋体" w:hAnsi="宋体" w:eastAsia="宋体" w:cs="宋体"/>
          <w:color w:val="auto"/>
          <w:kern w:val="0"/>
          <w:sz w:val="24"/>
          <w:szCs w:val="24"/>
          <w:highlight w:val="none"/>
          <w:lang w:val="en-US" w:eastAsia="zh-CN" w:bidi="ar-SA"/>
        </w:rPr>
        <w:t>年05月</w:t>
      </w:r>
      <w:r>
        <w:rPr>
          <w:rFonts w:hint="eastAsia" w:ascii="宋体" w:hAnsi="宋体" w:cs="宋体"/>
          <w:color w:val="auto"/>
          <w:kern w:val="0"/>
          <w:sz w:val="24"/>
          <w:szCs w:val="24"/>
          <w:highlight w:val="none"/>
          <w:lang w:val="en-US" w:eastAsia="zh-CN" w:bidi="ar-SA"/>
        </w:rPr>
        <w:t>27</w:t>
      </w:r>
      <w:r>
        <w:rPr>
          <w:rFonts w:hint="eastAsia" w:ascii="宋体" w:hAnsi="宋体" w:eastAsia="宋体" w:cs="宋体"/>
          <w:color w:val="auto"/>
          <w:kern w:val="0"/>
          <w:sz w:val="24"/>
          <w:szCs w:val="24"/>
          <w:highlight w:val="none"/>
          <w:lang w:val="en-US" w:eastAsia="zh-CN" w:bidi="ar-SA"/>
        </w:rPr>
        <w:t>日</w:t>
      </w:r>
      <w:r>
        <w:rPr>
          <w:rFonts w:hint="eastAsia" w:ascii="宋体" w:hAnsi="宋体" w:cs="宋体"/>
          <w:color w:val="auto"/>
          <w:kern w:val="0"/>
          <w:sz w:val="24"/>
          <w:szCs w:val="24"/>
          <w:highlight w:val="none"/>
          <w:lang w:val="en-US" w:eastAsia="zh-CN" w:bidi="ar-SA"/>
        </w:rPr>
        <w:t>9</w:t>
      </w:r>
      <w:r>
        <w:rPr>
          <w:rFonts w:hint="eastAsia" w:ascii="宋体" w:hAnsi="宋体" w:eastAsia="宋体" w:cs="宋体"/>
          <w:color w:val="auto"/>
          <w:kern w:val="0"/>
          <w:sz w:val="24"/>
          <w:szCs w:val="24"/>
          <w:highlight w:val="none"/>
          <w:lang w:val="en-US" w:eastAsia="zh-CN" w:bidi="ar-SA"/>
        </w:rPr>
        <w:t>时</w:t>
      </w:r>
      <w:r>
        <w:rPr>
          <w:rFonts w:hint="eastAsia" w:ascii="宋体" w:hAnsi="宋体" w:cs="宋体"/>
          <w:color w:val="auto"/>
          <w:kern w:val="0"/>
          <w:sz w:val="24"/>
          <w:szCs w:val="24"/>
          <w:highlight w:val="none"/>
          <w:lang w:val="en-US" w:eastAsia="zh-CN" w:bidi="ar-SA"/>
        </w:rPr>
        <w:t>3</w:t>
      </w:r>
      <w:r>
        <w:rPr>
          <w:rFonts w:hint="eastAsia" w:ascii="宋体" w:hAnsi="宋体" w:eastAsia="宋体" w:cs="宋体"/>
          <w:color w:val="auto"/>
          <w:kern w:val="0"/>
          <w:sz w:val="24"/>
          <w:szCs w:val="24"/>
          <w:highlight w:val="none"/>
          <w:lang w:val="en-US" w:eastAsia="zh-CN" w:bidi="ar-SA"/>
        </w:rPr>
        <w:t>0分（北京时间）前递交（上传）响应文件。</w:t>
      </w:r>
    </w:p>
    <w:p w14:paraId="63D742E8">
      <w:pPr>
        <w:pStyle w:val="48"/>
        <w:spacing w:before="0" w:beforeAutospacing="0" w:after="0" w:afterAutospacing="0" w:line="360" w:lineRule="auto"/>
        <w:rPr>
          <w:rFonts w:cs="宋体"/>
          <w:b/>
          <w:bCs/>
          <w:color w:val="auto"/>
          <w:highlight w:val="none"/>
        </w:rPr>
      </w:pPr>
      <w:r>
        <w:rPr>
          <w:rFonts w:hint="eastAsia" w:cs="宋体"/>
          <w:b/>
          <w:bCs/>
          <w:color w:val="auto"/>
          <w:highlight w:val="none"/>
        </w:rPr>
        <w:t>一、项目基本情况</w:t>
      </w:r>
    </w:p>
    <w:p w14:paraId="1F3B9764">
      <w:pPr>
        <w:pStyle w:val="48"/>
        <w:spacing w:before="0" w:beforeAutospacing="0" w:after="0" w:afterAutospacing="0" w:line="360" w:lineRule="auto"/>
        <w:ind w:firstLine="420"/>
        <w:rPr>
          <w:rFonts w:cs="宋体"/>
          <w:color w:val="auto"/>
          <w:highlight w:val="none"/>
        </w:rPr>
      </w:pPr>
      <w:r>
        <w:rPr>
          <w:rFonts w:hint="eastAsia" w:cs="宋体"/>
          <w:color w:val="auto"/>
          <w:highlight w:val="none"/>
        </w:rPr>
        <w:t>项目编号：QTCG-KJ-2026-002</w:t>
      </w:r>
    </w:p>
    <w:p w14:paraId="2045C167">
      <w:pPr>
        <w:pStyle w:val="48"/>
        <w:spacing w:before="0" w:beforeAutospacing="0" w:after="0" w:afterAutospacing="0" w:line="360" w:lineRule="auto"/>
        <w:ind w:firstLine="420"/>
        <w:rPr>
          <w:rFonts w:cs="宋体"/>
          <w:color w:val="auto"/>
          <w:highlight w:val="none"/>
        </w:rPr>
      </w:pPr>
      <w:r>
        <w:rPr>
          <w:rFonts w:hint="eastAsia" w:cs="宋体"/>
          <w:color w:val="auto"/>
          <w:highlight w:val="none"/>
        </w:rPr>
        <w:t>项目名称：</w:t>
      </w:r>
      <w:r>
        <w:rPr>
          <w:rFonts w:hint="eastAsia" w:cs="宋体"/>
          <w:color w:val="auto"/>
          <w:kern w:val="0"/>
          <w:sz w:val="24"/>
          <w:szCs w:val="24"/>
          <w:highlight w:val="none"/>
          <w:lang w:val="en-US" w:eastAsia="zh-CN" w:bidi="ar-SA"/>
        </w:rPr>
        <w:t>杭州市钱塘区2026-2028年政府投资项目</w:t>
      </w:r>
      <w:r>
        <w:rPr>
          <w:rFonts w:hint="eastAsia" w:ascii="宋体" w:hAnsi="宋体" w:eastAsia="宋体" w:cs="宋体"/>
          <w:color w:val="auto"/>
          <w:kern w:val="0"/>
          <w:sz w:val="24"/>
          <w:szCs w:val="24"/>
          <w:highlight w:val="none"/>
          <w:lang w:val="en-US" w:eastAsia="zh-CN" w:bidi="ar-SA"/>
        </w:rPr>
        <w:t>工程造价咨询服务采购项目</w:t>
      </w:r>
    </w:p>
    <w:p w14:paraId="79C08298">
      <w:pPr>
        <w:pStyle w:val="48"/>
        <w:spacing w:before="0" w:beforeAutospacing="0" w:after="0" w:afterAutospacing="0" w:line="360" w:lineRule="auto"/>
        <w:ind w:firstLine="420"/>
        <w:rPr>
          <w:rFonts w:cs="宋体"/>
          <w:color w:val="auto"/>
          <w:highlight w:val="none"/>
        </w:rPr>
      </w:pPr>
      <w:r>
        <w:rPr>
          <w:rFonts w:hint="eastAsia" w:cs="宋体"/>
          <w:color w:val="auto"/>
          <w:highlight w:val="none"/>
        </w:rPr>
        <w:t>采购方式：框架协议采购</w:t>
      </w:r>
    </w:p>
    <w:p w14:paraId="39796C68">
      <w:pPr>
        <w:pStyle w:val="48"/>
        <w:spacing w:before="0" w:beforeAutospacing="0" w:after="0" w:afterAutospacing="0" w:line="360" w:lineRule="auto"/>
        <w:ind w:firstLine="420"/>
        <w:rPr>
          <w:rFonts w:cs="宋体"/>
          <w:color w:val="auto"/>
          <w:highlight w:val="none"/>
        </w:rPr>
      </w:pPr>
      <w:r>
        <w:rPr>
          <w:rFonts w:hint="eastAsia" w:cs="宋体"/>
          <w:color w:val="auto"/>
          <w:highlight w:val="none"/>
        </w:rPr>
        <w:t>预算金额（元/年）：/</w:t>
      </w:r>
    </w:p>
    <w:p w14:paraId="07283A34">
      <w:pPr>
        <w:pStyle w:val="48"/>
        <w:spacing w:before="0" w:beforeAutospacing="0" w:after="0" w:afterAutospacing="0" w:line="360" w:lineRule="auto"/>
        <w:ind w:firstLine="420"/>
        <w:rPr>
          <w:rFonts w:cs="宋体"/>
          <w:color w:val="auto"/>
          <w:highlight w:val="none"/>
        </w:rPr>
      </w:pPr>
      <w:r>
        <w:rPr>
          <w:rFonts w:hint="eastAsia" w:cs="宋体"/>
          <w:color w:val="auto"/>
          <w:highlight w:val="none"/>
        </w:rPr>
        <w:t>最高限制单价（元）：/</w:t>
      </w:r>
    </w:p>
    <w:p w14:paraId="3BE0F5FF">
      <w:pPr>
        <w:pStyle w:val="48"/>
        <w:spacing w:before="0" w:beforeAutospacing="0" w:after="0" w:afterAutospacing="0" w:line="360" w:lineRule="auto"/>
        <w:ind w:firstLine="420"/>
        <w:rPr>
          <w:rFonts w:cs="宋体"/>
          <w:color w:val="auto"/>
          <w:highlight w:val="none"/>
        </w:rPr>
      </w:pPr>
      <w:r>
        <w:rPr>
          <w:rFonts w:hint="eastAsia" w:cs="宋体"/>
          <w:color w:val="auto"/>
          <w:highlight w:val="none"/>
        </w:rPr>
        <w:t>采购需求：</w:t>
      </w:r>
    </w:p>
    <w:tbl>
      <w:tblPr>
        <w:tblStyle w:val="51"/>
        <w:tblW w:w="4996" w:type="pct"/>
        <w:tblInd w:w="0" w:type="dxa"/>
        <w:tblLayout w:type="autofit"/>
        <w:tblCellMar>
          <w:top w:w="0" w:type="dxa"/>
          <w:left w:w="0" w:type="dxa"/>
          <w:bottom w:w="0" w:type="dxa"/>
          <w:right w:w="0" w:type="dxa"/>
        </w:tblCellMar>
      </w:tblPr>
      <w:tblGrid>
        <w:gridCol w:w="526"/>
        <w:gridCol w:w="2119"/>
        <w:gridCol w:w="974"/>
        <w:gridCol w:w="718"/>
        <w:gridCol w:w="1737"/>
        <w:gridCol w:w="3199"/>
      </w:tblGrid>
      <w:tr w14:paraId="6E19362A">
        <w:tblPrEx>
          <w:tblCellMar>
            <w:top w:w="0" w:type="dxa"/>
            <w:left w:w="0" w:type="dxa"/>
            <w:bottom w:w="0" w:type="dxa"/>
            <w:right w:w="0" w:type="dxa"/>
          </w:tblCellMar>
        </w:tblPrEx>
        <w:trPr>
          <w:trHeight w:val="450" w:hRule="atLeast"/>
        </w:trPr>
        <w:tc>
          <w:tcPr>
            <w:tcW w:w="284"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1DD52706">
            <w:pPr>
              <w:pStyle w:val="48"/>
              <w:spacing w:beforeAutospacing="0" w:afterAutospacing="0" w:line="360" w:lineRule="auto"/>
              <w:jc w:val="center"/>
              <w:rPr>
                <w:rFonts w:cs="宋体"/>
                <w:color w:val="auto"/>
                <w:highlight w:val="none"/>
              </w:rPr>
            </w:pPr>
            <w:r>
              <w:rPr>
                <w:rFonts w:hint="eastAsia" w:cs="宋体"/>
                <w:color w:val="auto"/>
                <w:highlight w:val="none"/>
              </w:rPr>
              <w:t>序号</w:t>
            </w:r>
          </w:p>
        </w:tc>
        <w:tc>
          <w:tcPr>
            <w:tcW w:w="1142" w:type="pct"/>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0DEBBEDF">
            <w:pPr>
              <w:pStyle w:val="48"/>
              <w:spacing w:beforeAutospacing="0" w:afterAutospacing="0" w:line="360" w:lineRule="auto"/>
              <w:jc w:val="center"/>
              <w:rPr>
                <w:rFonts w:cs="宋体"/>
                <w:color w:val="auto"/>
                <w:highlight w:val="none"/>
              </w:rPr>
            </w:pPr>
            <w:r>
              <w:rPr>
                <w:rFonts w:hint="eastAsia" w:cs="宋体"/>
                <w:color w:val="auto"/>
                <w:highlight w:val="none"/>
              </w:rPr>
              <w:t>标项名称</w:t>
            </w:r>
          </w:p>
        </w:tc>
        <w:tc>
          <w:tcPr>
            <w:tcW w:w="525" w:type="pct"/>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2528815C">
            <w:pPr>
              <w:pStyle w:val="48"/>
              <w:spacing w:beforeAutospacing="0" w:afterAutospacing="0" w:line="360" w:lineRule="auto"/>
              <w:jc w:val="center"/>
              <w:rPr>
                <w:rFonts w:cs="宋体"/>
                <w:color w:val="auto"/>
                <w:highlight w:val="none"/>
              </w:rPr>
            </w:pPr>
            <w:r>
              <w:rPr>
                <w:rFonts w:hint="eastAsia" w:cs="宋体"/>
                <w:color w:val="auto"/>
                <w:highlight w:val="none"/>
              </w:rPr>
              <w:t>预估采购数量</w:t>
            </w:r>
          </w:p>
        </w:tc>
        <w:tc>
          <w:tcPr>
            <w:tcW w:w="387" w:type="pct"/>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68DBE5C4">
            <w:pPr>
              <w:pStyle w:val="48"/>
              <w:spacing w:beforeAutospacing="0" w:afterAutospacing="0" w:line="360" w:lineRule="auto"/>
              <w:jc w:val="center"/>
              <w:rPr>
                <w:rFonts w:cs="宋体"/>
                <w:color w:val="auto"/>
                <w:highlight w:val="none"/>
              </w:rPr>
            </w:pPr>
            <w:r>
              <w:rPr>
                <w:rFonts w:hint="eastAsia" w:cs="宋体"/>
                <w:color w:val="auto"/>
                <w:highlight w:val="none"/>
              </w:rPr>
              <w:t>单位</w:t>
            </w:r>
          </w:p>
        </w:tc>
        <w:tc>
          <w:tcPr>
            <w:tcW w:w="936" w:type="pct"/>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01A1C1A5">
            <w:pPr>
              <w:pStyle w:val="48"/>
              <w:spacing w:beforeAutospacing="0" w:afterAutospacing="0" w:line="360" w:lineRule="auto"/>
              <w:jc w:val="center"/>
              <w:rPr>
                <w:rFonts w:cs="宋体"/>
                <w:color w:val="auto"/>
                <w:highlight w:val="none"/>
              </w:rPr>
            </w:pPr>
            <w:r>
              <w:rPr>
                <w:rFonts w:hint="eastAsia" w:cs="宋体"/>
                <w:color w:val="auto"/>
                <w:highlight w:val="none"/>
              </w:rPr>
              <w:t>简要技术要求</w:t>
            </w:r>
          </w:p>
        </w:tc>
        <w:tc>
          <w:tcPr>
            <w:tcW w:w="1724" w:type="pct"/>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6F9E8F50">
            <w:pPr>
              <w:pStyle w:val="48"/>
              <w:spacing w:beforeAutospacing="0" w:afterAutospacing="0" w:line="360" w:lineRule="auto"/>
              <w:jc w:val="center"/>
              <w:rPr>
                <w:rFonts w:cs="宋体"/>
                <w:color w:val="auto"/>
                <w:highlight w:val="none"/>
              </w:rPr>
            </w:pPr>
            <w:r>
              <w:rPr>
                <w:rFonts w:hint="eastAsia" w:cs="宋体"/>
                <w:color w:val="auto"/>
                <w:highlight w:val="none"/>
              </w:rPr>
              <w:t>备注</w:t>
            </w:r>
          </w:p>
        </w:tc>
      </w:tr>
      <w:tr w14:paraId="2CCCC612">
        <w:tblPrEx>
          <w:tblCellMar>
            <w:top w:w="0" w:type="dxa"/>
            <w:left w:w="0" w:type="dxa"/>
            <w:bottom w:w="0" w:type="dxa"/>
            <w:right w:w="0" w:type="dxa"/>
          </w:tblCellMar>
        </w:tblPrEx>
        <w:trPr>
          <w:trHeight w:val="450" w:hRule="atLeast"/>
        </w:trPr>
        <w:tc>
          <w:tcPr>
            <w:tcW w:w="284"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2B75FDFC">
            <w:pPr>
              <w:pStyle w:val="48"/>
              <w:spacing w:beforeAutospacing="0" w:afterAutospacing="0" w:line="360" w:lineRule="auto"/>
              <w:jc w:val="center"/>
              <w:rPr>
                <w:rFonts w:cs="宋体"/>
                <w:color w:val="auto"/>
                <w:highlight w:val="none"/>
              </w:rPr>
            </w:pPr>
            <w:r>
              <w:rPr>
                <w:rFonts w:hint="eastAsia" w:cs="宋体"/>
                <w:color w:val="auto"/>
                <w:highlight w:val="none"/>
              </w:rPr>
              <w:t>1</w:t>
            </w:r>
          </w:p>
        </w:tc>
        <w:tc>
          <w:tcPr>
            <w:tcW w:w="1142"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289DB1EC">
            <w:pPr>
              <w:pStyle w:val="48"/>
              <w:spacing w:beforeAutospacing="0" w:afterAutospacing="0" w:line="360" w:lineRule="auto"/>
              <w:jc w:val="center"/>
              <w:textAlignment w:val="center"/>
              <w:rPr>
                <w:rFonts w:eastAsia="仿宋_GB2312" w:cs="宋体"/>
                <w:b/>
                <w:color w:val="auto"/>
                <w:highlight w:val="none"/>
              </w:rPr>
            </w:pPr>
            <w:r>
              <w:rPr>
                <w:rFonts w:hint="eastAsia" w:cs="宋体"/>
                <w:color w:val="auto"/>
                <w:highlight w:val="none"/>
              </w:rPr>
              <w:t>政府投资项目概算复核、结算复核、结算全面复核及其他类型的造价咨询服务</w:t>
            </w:r>
          </w:p>
        </w:tc>
        <w:tc>
          <w:tcPr>
            <w:tcW w:w="525"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0D6B1C3E">
            <w:pPr>
              <w:pStyle w:val="48"/>
              <w:spacing w:beforeAutospacing="0" w:afterAutospacing="0" w:line="360" w:lineRule="auto"/>
              <w:jc w:val="center"/>
              <w:rPr>
                <w:rFonts w:hint="eastAsia" w:asciiTheme="minorEastAsia" w:hAnsiTheme="minorEastAsia" w:eastAsiaTheme="minorEastAsia" w:cstheme="minorEastAsia"/>
                <w:b/>
                <w:color w:val="auto"/>
                <w:highlight w:val="none"/>
                <w:lang w:eastAsia="zh-CN"/>
              </w:rPr>
            </w:pPr>
            <w:r>
              <w:rPr>
                <w:rFonts w:hint="eastAsia" w:asciiTheme="minorEastAsia" w:hAnsiTheme="minorEastAsia" w:eastAsiaTheme="minorEastAsia" w:cstheme="minorEastAsia"/>
                <w:color w:val="auto"/>
                <w:highlight w:val="none"/>
                <w:lang w:val="en-US" w:eastAsia="zh-CN"/>
              </w:rPr>
              <w:t>8</w:t>
            </w:r>
          </w:p>
        </w:tc>
        <w:tc>
          <w:tcPr>
            <w:tcW w:w="387"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20F330BF">
            <w:pPr>
              <w:pStyle w:val="48"/>
              <w:spacing w:beforeAutospacing="0" w:afterAutospacing="0" w:line="360" w:lineRule="auto"/>
              <w:jc w:val="center"/>
              <w:rPr>
                <w:rFonts w:hint="eastAsia" w:asciiTheme="minorEastAsia" w:hAnsiTheme="minorEastAsia" w:eastAsiaTheme="minorEastAsia" w:cstheme="minorEastAsia"/>
                <w:b/>
                <w:color w:val="auto"/>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bidi="ar-SA"/>
              </w:rPr>
              <w:t>家</w:t>
            </w:r>
          </w:p>
        </w:tc>
        <w:tc>
          <w:tcPr>
            <w:tcW w:w="936"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3CEB1DBB">
            <w:pPr>
              <w:pStyle w:val="48"/>
              <w:spacing w:beforeAutospacing="0" w:afterAutospacing="0" w:line="360" w:lineRule="auto"/>
              <w:rPr>
                <w:rFonts w:eastAsia="仿宋_GB2312" w:cs="宋体"/>
                <w:b/>
                <w:color w:val="auto"/>
                <w:highlight w:val="none"/>
              </w:rPr>
            </w:pPr>
            <w:r>
              <w:rPr>
                <w:rFonts w:hint="eastAsia" w:cs="宋体"/>
                <w:color w:val="auto"/>
                <w:highlight w:val="none"/>
              </w:rPr>
              <w:t>政府投资项目工程造价咨询服务，具体内容详见征集文件。</w:t>
            </w:r>
          </w:p>
        </w:tc>
        <w:tc>
          <w:tcPr>
            <w:tcW w:w="1724"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23A75781">
            <w:pPr>
              <w:pStyle w:val="48"/>
              <w:spacing w:before="0" w:beforeAutospacing="0" w:after="0" w:afterAutospacing="0" w:line="360" w:lineRule="auto"/>
              <w:rPr>
                <w:rFonts w:eastAsia="仿宋_GB2312" w:cs="宋体"/>
                <w:b/>
                <w:color w:val="auto"/>
                <w:highlight w:val="none"/>
              </w:rPr>
            </w:pPr>
            <w:r>
              <w:rPr>
                <w:rFonts w:hint="eastAsia" w:ascii="宋体" w:hAnsi="宋体" w:eastAsia="宋体" w:cs="宋体"/>
                <w:color w:val="auto"/>
                <w:highlight w:val="none"/>
                <w:lang w:val="en-US" w:eastAsia="zh-CN"/>
              </w:rPr>
              <w:t>基本审价费的投标最高限价为《基准收费标准》（附表1）设定价格的100%</w:t>
            </w:r>
            <w:r>
              <w:rPr>
                <w:rFonts w:hint="eastAsia" w:cs="宋体"/>
                <w:color w:val="auto"/>
                <w:highlight w:val="none"/>
                <w:lang w:val="en-US" w:eastAsia="zh-CN"/>
              </w:rPr>
              <w:t>（即最低优惠率为0%）</w:t>
            </w:r>
            <w:r>
              <w:rPr>
                <w:rFonts w:hint="eastAsia" w:ascii="宋体" w:hAnsi="宋体" w:eastAsia="宋体" w:cs="宋体"/>
                <w:color w:val="auto"/>
                <w:highlight w:val="none"/>
                <w:lang w:val="en-US" w:eastAsia="zh-CN"/>
              </w:rPr>
              <w:t>。单个项目</w:t>
            </w:r>
            <w:r>
              <w:rPr>
                <w:rFonts w:hint="eastAsia" w:cs="宋体"/>
                <w:color w:val="auto"/>
                <w:highlight w:val="none"/>
                <w:lang w:val="en-US" w:eastAsia="zh-CN"/>
              </w:rPr>
              <w:t>基本审价费</w:t>
            </w:r>
            <w:r>
              <w:rPr>
                <w:rFonts w:hint="eastAsia" w:ascii="宋体" w:hAnsi="宋体" w:eastAsia="宋体" w:cs="宋体"/>
                <w:color w:val="auto"/>
                <w:highlight w:val="none"/>
                <w:lang w:val="en-US" w:eastAsia="zh-CN"/>
              </w:rPr>
              <w:t>高于等于49.99万元则按49.99万元计取。</w:t>
            </w:r>
          </w:p>
        </w:tc>
      </w:tr>
      <w:tr w14:paraId="353DDB41">
        <w:tblPrEx>
          <w:tblCellMar>
            <w:top w:w="0" w:type="dxa"/>
            <w:left w:w="0" w:type="dxa"/>
            <w:bottom w:w="0" w:type="dxa"/>
            <w:right w:w="0" w:type="dxa"/>
          </w:tblCellMar>
        </w:tblPrEx>
        <w:trPr>
          <w:trHeight w:val="450" w:hRule="atLeast"/>
        </w:trPr>
        <w:tc>
          <w:tcPr>
            <w:tcW w:w="284"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0C1F2AC3">
            <w:pPr>
              <w:pStyle w:val="48"/>
              <w:spacing w:beforeAutospacing="0" w:afterAutospacing="0" w:line="360" w:lineRule="auto"/>
              <w:jc w:val="center"/>
              <w:rPr>
                <w:rFonts w:hint="eastAsia" w:eastAsia="宋体" w:cs="宋体"/>
                <w:color w:val="auto"/>
                <w:highlight w:val="none"/>
                <w:lang w:val="en-US" w:eastAsia="zh-CN"/>
              </w:rPr>
            </w:pPr>
            <w:r>
              <w:rPr>
                <w:rFonts w:hint="eastAsia" w:cs="宋体"/>
                <w:color w:val="auto"/>
                <w:highlight w:val="none"/>
                <w:lang w:val="en-US" w:eastAsia="zh-CN"/>
              </w:rPr>
              <w:t>2</w:t>
            </w:r>
          </w:p>
        </w:tc>
        <w:tc>
          <w:tcPr>
            <w:tcW w:w="1142"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00EE65CF">
            <w:pPr>
              <w:pStyle w:val="48"/>
              <w:spacing w:beforeAutospacing="0" w:afterAutospacing="0" w:line="360" w:lineRule="auto"/>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政府投资项目概算复核、结算初核及其他类型的造价咨询服务</w:t>
            </w:r>
          </w:p>
        </w:tc>
        <w:tc>
          <w:tcPr>
            <w:tcW w:w="525"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18915758">
            <w:pPr>
              <w:pStyle w:val="48"/>
              <w:spacing w:beforeAutospacing="0" w:afterAutospacing="0" w:line="360" w:lineRule="auto"/>
              <w:ind w:firstLine="480" w:firstLineChars="200"/>
              <w:jc w:val="both"/>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8</w:t>
            </w:r>
          </w:p>
        </w:tc>
        <w:tc>
          <w:tcPr>
            <w:tcW w:w="387"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4D172325">
            <w:pPr>
              <w:pStyle w:val="48"/>
              <w:spacing w:beforeAutospacing="0" w:afterAutospacing="0" w:line="360" w:lineRule="auto"/>
              <w:jc w:val="center"/>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家</w:t>
            </w:r>
          </w:p>
        </w:tc>
        <w:tc>
          <w:tcPr>
            <w:tcW w:w="936"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1308AFBC">
            <w:pPr>
              <w:pStyle w:val="48"/>
              <w:spacing w:beforeAutospacing="0" w:afterAutospacing="0" w:line="360" w:lineRule="auto"/>
              <w:rPr>
                <w:rFonts w:hint="eastAsia" w:ascii="宋体" w:hAnsi="宋体" w:eastAsia="仿宋_GB2312" w:cs="宋体"/>
                <w:b/>
                <w:color w:val="auto"/>
                <w:kern w:val="0"/>
                <w:sz w:val="24"/>
                <w:szCs w:val="24"/>
                <w:highlight w:val="none"/>
                <w:lang w:val="en-US" w:eastAsia="zh-CN" w:bidi="ar-SA"/>
              </w:rPr>
            </w:pPr>
            <w:r>
              <w:rPr>
                <w:rFonts w:hint="eastAsia" w:cs="宋体"/>
                <w:color w:val="auto"/>
                <w:highlight w:val="none"/>
              </w:rPr>
              <w:t>政府投资项目工程造价咨询服务，具体内容详见征集文件。</w:t>
            </w:r>
          </w:p>
        </w:tc>
        <w:tc>
          <w:tcPr>
            <w:tcW w:w="1724" w:type="pct"/>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476D0F32">
            <w:pPr>
              <w:pStyle w:val="48"/>
              <w:spacing w:before="0" w:beforeAutospacing="0" w:after="0" w:afterAutospacing="0" w:line="360" w:lineRule="auto"/>
              <w:rPr>
                <w:rFonts w:hint="eastAsia" w:ascii="宋体" w:hAnsi="宋体" w:eastAsia="仿宋_GB2312" w:cs="宋体"/>
                <w:b/>
                <w:color w:val="auto"/>
                <w:kern w:val="0"/>
                <w:sz w:val="24"/>
                <w:szCs w:val="24"/>
                <w:highlight w:val="none"/>
                <w:lang w:val="en-US" w:eastAsia="zh-CN" w:bidi="ar-SA"/>
              </w:rPr>
            </w:pPr>
            <w:r>
              <w:rPr>
                <w:rFonts w:hint="eastAsia" w:ascii="宋体" w:hAnsi="宋体" w:eastAsia="宋体" w:cs="宋体"/>
                <w:color w:val="auto"/>
                <w:highlight w:val="none"/>
                <w:lang w:val="en-US" w:eastAsia="zh-CN"/>
              </w:rPr>
              <w:t>基本审价费的投标最高限价为《基准收费标准》（附表1）设</w:t>
            </w:r>
            <w:r>
              <w:rPr>
                <w:rFonts w:hint="eastAsia" w:cs="宋体"/>
                <w:color w:val="auto"/>
                <w:highlight w:val="none"/>
                <w:lang w:val="en-US" w:eastAsia="zh-CN"/>
              </w:rPr>
              <w:t>定价格的100%（即最低优惠率为0%）</w:t>
            </w:r>
            <w:r>
              <w:rPr>
                <w:rFonts w:hint="eastAsia" w:ascii="宋体" w:hAnsi="宋体" w:eastAsia="宋体" w:cs="宋体"/>
                <w:color w:val="auto"/>
                <w:highlight w:val="none"/>
                <w:lang w:val="en-US" w:eastAsia="zh-CN"/>
              </w:rPr>
              <w:t>。单个项目</w:t>
            </w:r>
            <w:r>
              <w:rPr>
                <w:rFonts w:hint="eastAsia" w:cs="宋体"/>
                <w:color w:val="auto"/>
                <w:highlight w:val="none"/>
                <w:lang w:val="en-US" w:eastAsia="zh-CN"/>
              </w:rPr>
              <w:t>基本审价费</w:t>
            </w:r>
            <w:r>
              <w:rPr>
                <w:rFonts w:hint="eastAsia" w:ascii="宋体" w:hAnsi="宋体" w:eastAsia="宋体" w:cs="宋体"/>
                <w:color w:val="auto"/>
                <w:highlight w:val="none"/>
                <w:lang w:val="en-US" w:eastAsia="zh-CN"/>
              </w:rPr>
              <w:t>高于等于49.99万元则按49.99万元计取。</w:t>
            </w:r>
          </w:p>
        </w:tc>
      </w:tr>
    </w:tbl>
    <w:p w14:paraId="1F6A8026">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框架协议期限：按征集文件规定</w:t>
      </w:r>
    </w:p>
    <w:p w14:paraId="2AB7D987">
      <w:pPr>
        <w:snapToGrid w:val="0"/>
        <w:spacing w:line="360" w:lineRule="auto"/>
        <w:ind w:firstLine="480" w:firstLineChars="200"/>
        <w:textAlignment w:val="bottom"/>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sz w:val="24"/>
          <w:highlight w:val="none"/>
        </w:rPr>
        <w:t>适用框架协议的采购人：</w:t>
      </w:r>
      <w:r>
        <w:rPr>
          <w:rFonts w:hint="eastAsia" w:ascii="宋体" w:hAnsi="宋体" w:eastAsia="宋体" w:cs="宋体"/>
          <w:color w:val="auto"/>
          <w:kern w:val="0"/>
          <w:sz w:val="24"/>
          <w:szCs w:val="24"/>
          <w:highlight w:val="none"/>
          <w:lang w:val="en-US" w:eastAsia="zh-CN" w:bidi="ar-SA"/>
        </w:rPr>
        <w:t>杭州市钱塘区政府投资项目评审服务中心</w:t>
      </w:r>
    </w:p>
    <w:p w14:paraId="454B3B44">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本项目</w:t>
      </w:r>
      <w:r>
        <w:rPr>
          <w:rFonts w:hint="eastAsia" w:cs="宋体"/>
          <w:color w:val="auto"/>
          <w:highlight w:val="none"/>
          <w:lang w:eastAsia="zh-CN"/>
        </w:rPr>
        <w:t>不</w:t>
      </w:r>
      <w:r>
        <w:rPr>
          <w:rFonts w:hint="eastAsia" w:cs="宋体"/>
          <w:color w:val="auto"/>
          <w:highlight w:val="none"/>
        </w:rPr>
        <w:t>接受联合体。（本项目服务内容为工程造价咨询服务，对投入团队的专业性、职业规范要求较高。联合体投标意味着多个独立法人共同承担项目责任，存在项目执行过程中执行标准不统一，沟通协调管理难度增加，一旦出现问题容易产生纠纷，影响项目服务进度，故本项目不接受联合体投标。）</w:t>
      </w:r>
    </w:p>
    <w:p w14:paraId="669479AC">
      <w:pPr>
        <w:pStyle w:val="48"/>
        <w:spacing w:before="0" w:beforeAutospacing="0" w:after="0" w:afterAutospacing="0" w:line="360" w:lineRule="auto"/>
        <w:rPr>
          <w:rFonts w:cs="宋体"/>
          <w:b/>
          <w:bCs/>
          <w:color w:val="auto"/>
          <w:highlight w:val="none"/>
        </w:rPr>
      </w:pPr>
      <w:r>
        <w:rPr>
          <w:rFonts w:hint="eastAsia" w:cs="宋体"/>
          <w:b/>
          <w:bCs/>
          <w:color w:val="auto"/>
          <w:highlight w:val="none"/>
        </w:rPr>
        <w:t>二、申请人的资格要求</w:t>
      </w:r>
    </w:p>
    <w:p w14:paraId="5C0CC5E7">
      <w:pPr>
        <w:pStyle w:val="48"/>
        <w:spacing w:before="0" w:beforeAutospacing="0" w:after="0" w:afterAutospacing="0" w:line="360" w:lineRule="auto"/>
        <w:ind w:firstLine="422" w:firstLineChars="175"/>
        <w:rPr>
          <w:rFonts w:cs="宋体"/>
          <w:color w:val="auto"/>
          <w:highlight w:val="none"/>
        </w:rPr>
      </w:pPr>
      <w:r>
        <w:rPr>
          <w:rStyle w:val="54"/>
          <w:rFonts w:hint="eastAsia" w:cs="宋体"/>
          <w:color w:val="auto"/>
          <w:highlight w:val="none"/>
        </w:rPr>
        <w:t>1.基本资格要求：</w:t>
      </w:r>
      <w:r>
        <w:rPr>
          <w:rFonts w:hint="eastAsia" w:cs="宋体"/>
          <w:color w:val="auto"/>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14:paraId="39A99926">
      <w:pPr>
        <w:pStyle w:val="48"/>
        <w:spacing w:before="0" w:beforeAutospacing="0" w:after="0" w:afterAutospacing="0" w:line="360" w:lineRule="auto"/>
        <w:ind w:firstLine="422" w:firstLineChars="175"/>
        <w:rPr>
          <w:rFonts w:cs="宋体"/>
          <w:color w:val="auto"/>
          <w:highlight w:val="none"/>
        </w:rPr>
      </w:pPr>
      <w:r>
        <w:rPr>
          <w:rStyle w:val="54"/>
          <w:rFonts w:hint="eastAsia" w:cs="宋体"/>
          <w:color w:val="auto"/>
          <w:highlight w:val="none"/>
        </w:rPr>
        <w:t>2.落实政府采购政策需满足的资格要求：</w:t>
      </w:r>
      <w:r>
        <w:rPr>
          <w:rFonts w:hint="eastAsia" w:cs="宋体"/>
          <w:color w:val="auto"/>
          <w:highlight w:val="none"/>
        </w:rPr>
        <w:t>无。</w:t>
      </w:r>
    </w:p>
    <w:p w14:paraId="7AD7F4DB">
      <w:pPr>
        <w:pStyle w:val="48"/>
        <w:spacing w:before="0" w:beforeAutospacing="0" w:after="0" w:afterAutospacing="0" w:line="360" w:lineRule="auto"/>
        <w:ind w:firstLine="422" w:firstLineChars="175"/>
        <w:rPr>
          <w:rFonts w:cs="宋体"/>
          <w:color w:val="auto"/>
          <w:highlight w:val="none"/>
        </w:rPr>
      </w:pPr>
      <w:r>
        <w:rPr>
          <w:rStyle w:val="54"/>
          <w:rFonts w:hint="eastAsia" w:cs="宋体"/>
          <w:color w:val="auto"/>
          <w:highlight w:val="none"/>
        </w:rPr>
        <w:t>3.特定资格要求：无。</w:t>
      </w:r>
    </w:p>
    <w:p w14:paraId="57461488">
      <w:pPr>
        <w:pStyle w:val="48"/>
        <w:spacing w:before="0" w:beforeAutospacing="0" w:after="0" w:afterAutospacing="0" w:line="360" w:lineRule="auto"/>
        <w:rPr>
          <w:rFonts w:cs="宋体"/>
          <w:b/>
          <w:bCs/>
          <w:color w:val="auto"/>
          <w:highlight w:val="none"/>
        </w:rPr>
      </w:pPr>
      <w:r>
        <w:rPr>
          <w:rFonts w:hint="eastAsia" w:cs="宋体"/>
          <w:b/>
          <w:bCs/>
          <w:color w:val="auto"/>
          <w:highlight w:val="none"/>
        </w:rPr>
        <w:t>三、获取征集文件</w:t>
      </w:r>
    </w:p>
    <w:p w14:paraId="20639374">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时间：征集公告发布之日起至提交响应文件截止时间前；</w:t>
      </w:r>
    </w:p>
    <w:p w14:paraId="13873EFD">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地点：浙江政府采购网（http</w:t>
      </w:r>
      <w:r>
        <w:rPr>
          <w:rFonts w:hint="eastAsia" w:cs="宋体"/>
          <w:color w:val="auto"/>
          <w:highlight w:val="none"/>
          <w:lang w:val="en-US" w:eastAsia="zh-CN"/>
        </w:rPr>
        <w:t>s</w:t>
      </w:r>
      <w:r>
        <w:rPr>
          <w:rFonts w:hint="eastAsia" w:cs="宋体"/>
          <w:color w:val="auto"/>
          <w:highlight w:val="none"/>
        </w:rPr>
        <w:t>://zfcg.czt.zj.gov.cn/）；</w:t>
      </w:r>
    </w:p>
    <w:p w14:paraId="763101F1">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方式：供应商通过“浙江政府采购网”在线获取（征集公告下方选取“潜在供应商”处“获取采购文件”），不提供纸制版征集文件；供应商只有在“浙江政府采购网”完成获取征集文件申请并下载了征集文件后才视作依法获取征集文件；</w:t>
      </w:r>
    </w:p>
    <w:p w14:paraId="07488644">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售价（元）：0。</w:t>
      </w:r>
    </w:p>
    <w:p w14:paraId="77008650">
      <w:pPr>
        <w:pStyle w:val="48"/>
        <w:spacing w:before="0" w:beforeAutospacing="0" w:after="0" w:afterAutospacing="0" w:line="360" w:lineRule="auto"/>
        <w:rPr>
          <w:rFonts w:cs="宋体"/>
          <w:b/>
          <w:bCs/>
          <w:color w:val="auto"/>
          <w:highlight w:val="none"/>
        </w:rPr>
      </w:pPr>
      <w:r>
        <w:rPr>
          <w:rFonts w:hint="eastAsia" w:cs="宋体"/>
          <w:b/>
          <w:bCs/>
          <w:color w:val="auto"/>
          <w:highlight w:val="none"/>
        </w:rPr>
        <w:t>四、提交响应文件截止时间和地点、开标时间和地点</w:t>
      </w:r>
    </w:p>
    <w:p w14:paraId="1469444A">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提交响应文件截止时间：202</w:t>
      </w:r>
      <w:r>
        <w:rPr>
          <w:rFonts w:hint="eastAsia" w:cs="宋体"/>
          <w:color w:val="auto"/>
          <w:highlight w:val="none"/>
          <w:lang w:val="en-US" w:eastAsia="zh-CN"/>
        </w:rPr>
        <w:t>6</w:t>
      </w:r>
      <w:r>
        <w:rPr>
          <w:rFonts w:hint="eastAsia" w:cs="宋体"/>
          <w:color w:val="auto"/>
          <w:highlight w:val="none"/>
        </w:rPr>
        <w:t>年</w:t>
      </w:r>
      <w:r>
        <w:rPr>
          <w:rFonts w:hint="eastAsia" w:cs="宋体"/>
          <w:color w:val="auto"/>
          <w:highlight w:val="none"/>
          <w:lang w:eastAsia="zh-CN"/>
        </w:rPr>
        <w:t>0</w:t>
      </w:r>
      <w:r>
        <w:rPr>
          <w:rFonts w:hint="eastAsia" w:cs="宋体"/>
          <w:color w:val="auto"/>
          <w:highlight w:val="none"/>
          <w:lang w:val="en-US" w:eastAsia="zh-CN"/>
        </w:rPr>
        <w:t>5</w:t>
      </w:r>
      <w:r>
        <w:rPr>
          <w:rFonts w:hint="eastAsia" w:cs="宋体"/>
          <w:color w:val="auto"/>
          <w:highlight w:val="none"/>
          <w:lang w:eastAsia="zh-CN"/>
        </w:rPr>
        <w:t>月</w:t>
      </w:r>
      <w:r>
        <w:rPr>
          <w:rFonts w:hint="eastAsia" w:cs="宋体"/>
          <w:color w:val="auto"/>
          <w:highlight w:val="none"/>
          <w:lang w:val="en-US" w:eastAsia="zh-CN"/>
        </w:rPr>
        <w:t>27</w:t>
      </w:r>
      <w:r>
        <w:rPr>
          <w:rFonts w:hint="eastAsia" w:cs="宋体"/>
          <w:color w:val="auto"/>
          <w:highlight w:val="none"/>
          <w:lang w:eastAsia="zh-CN"/>
        </w:rPr>
        <w:t>日</w:t>
      </w:r>
      <w:r>
        <w:rPr>
          <w:rFonts w:hint="eastAsia" w:cs="宋体"/>
          <w:color w:val="auto"/>
          <w:highlight w:val="none"/>
          <w:lang w:val="en-US" w:eastAsia="zh-CN"/>
        </w:rPr>
        <w:t>9</w:t>
      </w:r>
      <w:r>
        <w:rPr>
          <w:rFonts w:hint="eastAsia" w:cs="宋体"/>
          <w:color w:val="auto"/>
          <w:highlight w:val="none"/>
          <w:lang w:eastAsia="zh-CN"/>
        </w:rPr>
        <w:t>时</w:t>
      </w:r>
      <w:r>
        <w:rPr>
          <w:rFonts w:hint="eastAsia" w:cs="宋体"/>
          <w:color w:val="auto"/>
          <w:highlight w:val="none"/>
          <w:lang w:val="en-US" w:eastAsia="zh-CN"/>
        </w:rPr>
        <w:t>3</w:t>
      </w:r>
      <w:r>
        <w:rPr>
          <w:rFonts w:hint="eastAsia" w:cs="宋体"/>
          <w:color w:val="auto"/>
          <w:highlight w:val="none"/>
          <w:lang w:eastAsia="zh-CN"/>
        </w:rPr>
        <w:t>0分</w:t>
      </w:r>
      <w:r>
        <w:rPr>
          <w:rFonts w:hint="eastAsia" w:cs="宋体"/>
          <w:color w:val="auto"/>
          <w:highlight w:val="none"/>
        </w:rPr>
        <w:t>（北京时间）；</w:t>
      </w:r>
    </w:p>
    <w:p w14:paraId="4E67D0ED">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提交响应文件地点（网址）：政府采购云平台（https://www.zcygov.cn）；</w:t>
      </w:r>
    </w:p>
    <w:p w14:paraId="69B26FD8">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开标时间：202</w:t>
      </w:r>
      <w:r>
        <w:rPr>
          <w:rFonts w:hint="eastAsia" w:cs="宋体"/>
          <w:color w:val="auto"/>
          <w:highlight w:val="none"/>
          <w:lang w:val="en-US" w:eastAsia="zh-CN"/>
        </w:rPr>
        <w:t>6</w:t>
      </w:r>
      <w:r>
        <w:rPr>
          <w:rFonts w:hint="eastAsia" w:cs="宋体"/>
          <w:color w:val="auto"/>
          <w:highlight w:val="none"/>
        </w:rPr>
        <w:t>年</w:t>
      </w:r>
      <w:r>
        <w:rPr>
          <w:rFonts w:hint="eastAsia" w:cs="宋体"/>
          <w:color w:val="auto"/>
          <w:highlight w:val="none"/>
          <w:lang w:eastAsia="zh-CN"/>
        </w:rPr>
        <w:t>0</w:t>
      </w:r>
      <w:r>
        <w:rPr>
          <w:rFonts w:hint="eastAsia" w:cs="宋体"/>
          <w:color w:val="auto"/>
          <w:highlight w:val="none"/>
          <w:lang w:val="en-US" w:eastAsia="zh-CN"/>
        </w:rPr>
        <w:t>5</w:t>
      </w:r>
      <w:r>
        <w:rPr>
          <w:rFonts w:hint="eastAsia" w:cs="宋体"/>
          <w:color w:val="auto"/>
          <w:highlight w:val="none"/>
          <w:lang w:eastAsia="zh-CN"/>
        </w:rPr>
        <w:t>月</w:t>
      </w:r>
      <w:r>
        <w:rPr>
          <w:rFonts w:hint="eastAsia" w:cs="宋体"/>
          <w:color w:val="auto"/>
          <w:highlight w:val="none"/>
          <w:lang w:val="en-US" w:eastAsia="zh-CN"/>
        </w:rPr>
        <w:t>27</w:t>
      </w:r>
      <w:r>
        <w:rPr>
          <w:rFonts w:hint="eastAsia" w:cs="宋体"/>
          <w:color w:val="auto"/>
          <w:highlight w:val="none"/>
          <w:lang w:eastAsia="zh-CN"/>
        </w:rPr>
        <w:t>日</w:t>
      </w:r>
      <w:r>
        <w:rPr>
          <w:rFonts w:hint="eastAsia" w:cs="宋体"/>
          <w:color w:val="auto"/>
          <w:highlight w:val="none"/>
          <w:lang w:val="en-US" w:eastAsia="zh-CN"/>
        </w:rPr>
        <w:t>9</w:t>
      </w:r>
      <w:r>
        <w:rPr>
          <w:rFonts w:hint="eastAsia" w:cs="宋体"/>
          <w:color w:val="auto"/>
          <w:highlight w:val="none"/>
          <w:lang w:eastAsia="zh-CN"/>
        </w:rPr>
        <w:t>时</w:t>
      </w:r>
      <w:r>
        <w:rPr>
          <w:rFonts w:hint="eastAsia" w:cs="宋体"/>
          <w:color w:val="auto"/>
          <w:highlight w:val="none"/>
          <w:lang w:val="en-US" w:eastAsia="zh-CN"/>
        </w:rPr>
        <w:t>3</w:t>
      </w:r>
      <w:r>
        <w:rPr>
          <w:rFonts w:hint="eastAsia" w:cs="宋体"/>
          <w:color w:val="auto"/>
          <w:highlight w:val="none"/>
          <w:lang w:eastAsia="zh-CN"/>
        </w:rPr>
        <w:t>0分</w:t>
      </w:r>
      <w:r>
        <w:rPr>
          <w:rFonts w:hint="eastAsia" w:cs="宋体"/>
          <w:color w:val="auto"/>
          <w:highlight w:val="none"/>
        </w:rPr>
        <w:t>；</w:t>
      </w:r>
    </w:p>
    <w:p w14:paraId="5E02F334">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开标地点（网址）：在政府采购云平台（https://www.zcygov.cn）上开启响应文件；</w:t>
      </w:r>
    </w:p>
    <w:p w14:paraId="6CDED4A1">
      <w:pPr>
        <w:pStyle w:val="48"/>
        <w:spacing w:before="0" w:beforeAutospacing="0" w:after="0" w:afterAutospacing="0" w:line="360" w:lineRule="auto"/>
        <w:rPr>
          <w:rFonts w:cs="宋体"/>
          <w:b/>
          <w:bCs/>
          <w:color w:val="auto"/>
          <w:highlight w:val="none"/>
        </w:rPr>
      </w:pPr>
      <w:r>
        <w:rPr>
          <w:rFonts w:hint="eastAsia" w:cs="宋体"/>
          <w:b/>
          <w:bCs/>
          <w:color w:val="auto"/>
          <w:highlight w:val="none"/>
        </w:rPr>
        <w:t>五、公告期限</w:t>
      </w:r>
    </w:p>
    <w:p w14:paraId="1DFDBFDF">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自本公告发布之日起5个工作日。</w:t>
      </w:r>
    </w:p>
    <w:p w14:paraId="4416063B">
      <w:pPr>
        <w:pStyle w:val="48"/>
        <w:spacing w:before="0" w:beforeAutospacing="0" w:after="0" w:afterAutospacing="0" w:line="360" w:lineRule="auto"/>
        <w:rPr>
          <w:rFonts w:cs="宋体"/>
          <w:b/>
          <w:bCs/>
          <w:color w:val="auto"/>
          <w:highlight w:val="none"/>
        </w:rPr>
      </w:pPr>
      <w:r>
        <w:rPr>
          <w:rFonts w:hint="eastAsia" w:cs="宋体"/>
          <w:b/>
          <w:bCs/>
          <w:color w:val="auto"/>
          <w:highlight w:val="none"/>
        </w:rPr>
        <w:t>六、其他补充事宜</w:t>
      </w:r>
    </w:p>
    <w:p w14:paraId="597440B1">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350D8E4F">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8A4D88E">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3.供应商认为征集文件使自己的权益受到损害的，可以自获取征集文件之日或者征集公告期限届满之日（公告期限届满后获取征集文件的，以公告期限届满之日为准）起7个工作日内，对征集文件需求的以书面形式向征集人提出质疑，对其他内容的以书面形式向征集人和采购代理机构提出质疑。质疑供应商对征集人、采购代理机构的答复不满意或者征集人、采购代理机构未在规定的时间内作出答复的，可以在答复期满后十五个工作日内向同级政府采购监督管理部门投诉。质疑函范本、投诉书范本请到浙江政府采购网下载专区下载。</w:t>
      </w:r>
    </w:p>
    <w:p w14:paraId="29732491">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4.其他事项</w:t>
      </w:r>
    </w:p>
    <w:p w14:paraId="02BF6E0E">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4.1采购项目需要落实的政府采购政策：</w:t>
      </w:r>
    </w:p>
    <w:p w14:paraId="510E6B19">
      <w:pPr>
        <w:pStyle w:val="48"/>
        <w:numPr>
          <w:ilvl w:val="0"/>
          <w:numId w:val="2"/>
        </w:numPr>
        <w:spacing w:before="0" w:beforeAutospacing="0" w:after="0" w:afterAutospacing="0" w:line="360" w:lineRule="auto"/>
        <w:ind w:firstLine="420" w:firstLineChars="175"/>
        <w:rPr>
          <w:rFonts w:cs="宋体"/>
          <w:color w:val="auto"/>
          <w:highlight w:val="none"/>
        </w:rPr>
      </w:pPr>
      <w:r>
        <w:rPr>
          <w:rFonts w:hint="eastAsia" w:cs="宋体"/>
          <w:color w:val="auto"/>
          <w:highlight w:val="none"/>
        </w:rPr>
        <w:t>经征集人确定，本项目不属于预留采购份额专门面向中小企业采购项目。</w:t>
      </w:r>
    </w:p>
    <w:p w14:paraId="6A9A0019">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4.2采购信息发布媒介：浙江政府采购网（http://zfcg.czt.zj.gov.cn/）。</w:t>
      </w:r>
    </w:p>
    <w:p w14:paraId="62ABCB30">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4.3未按征集公告规定获取征集文件的潜在供应商不得对征集文件提出质疑，其响应文件将被拒绝；通过本公告下方“游客，浏览采购文件”下载的征集文件仅供浏览，不视作依法获取征集文件。</w:t>
      </w:r>
    </w:p>
    <w:p w14:paraId="482A2F46">
      <w:pPr>
        <w:pStyle w:val="48"/>
        <w:wordWrap w:val="0"/>
        <w:snapToGrid w:val="0"/>
        <w:spacing w:before="0" w:beforeAutospacing="0" w:after="0" w:afterAutospacing="0" w:line="360" w:lineRule="auto"/>
        <w:ind w:firstLine="480" w:firstLineChars="200"/>
        <w:rPr>
          <w:rFonts w:cs="宋体"/>
          <w:color w:val="auto"/>
          <w:highlight w:val="none"/>
        </w:rPr>
      </w:pPr>
      <w:r>
        <w:rPr>
          <w:rFonts w:hint="eastAsia" w:cs="宋体"/>
          <w:color w:val="auto"/>
          <w:highlight w:val="none"/>
        </w:rPr>
        <w:t>4.4在线投标响应（电子投标）说明：</w:t>
      </w:r>
    </w:p>
    <w:p w14:paraId="410785AE">
      <w:pPr>
        <w:wordWrap w:val="0"/>
        <w:snapToGrid w:val="0"/>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1</w:t>
      </w:r>
      <w:r>
        <w:rPr>
          <w:rFonts w:hint="eastAsia" w:asciiTheme="minorEastAsia" w:hAnsiTheme="minorEastAsia" w:eastAsiaTheme="minorEastAsia" w:cstheme="minorEastAsia"/>
          <w:b/>
          <w:color w:val="auto"/>
          <w:sz w:val="24"/>
          <w:szCs w:val="24"/>
          <w:highlight w:val="none"/>
        </w:rPr>
        <w:t>）本项目采用“电子交易/不见面开评</w:t>
      </w:r>
      <w:r>
        <w:rPr>
          <w:rFonts w:hint="eastAsia" w:asciiTheme="minorEastAsia" w:hAnsiTheme="minorEastAsia" w:eastAsiaTheme="minorEastAsia" w:cstheme="minorEastAsia"/>
          <w:b/>
          <w:color w:val="auto"/>
          <w:sz w:val="24"/>
          <w:szCs w:val="24"/>
          <w:highlight w:val="none"/>
          <w:lang w:val="en-US" w:eastAsia="zh-CN"/>
        </w:rPr>
        <w:t>审</w:t>
      </w:r>
      <w:r>
        <w:rPr>
          <w:rFonts w:hint="eastAsia" w:asciiTheme="minorEastAsia" w:hAnsiTheme="minorEastAsia" w:eastAsiaTheme="minorEastAsia" w:cstheme="minorEastAsia"/>
          <w:b/>
          <w:color w:val="auto"/>
          <w:sz w:val="24"/>
          <w:szCs w:val="24"/>
          <w:highlight w:val="none"/>
        </w:rPr>
        <w:t>”，供应商可进入电子卖场服务中心采云学院（https://edu.zcygov.cn/live?utm=a0018.2ef5001f.0.0.1939d340e5db11ea867fb57c149ddb61）自行提前学习</w:t>
      </w:r>
      <w:r>
        <w:rPr>
          <w:rFonts w:hint="eastAsia" w:asciiTheme="minorEastAsia" w:hAnsiTheme="minorEastAsia" w:eastAsiaTheme="minorEastAsia" w:cstheme="minorEastAsia"/>
          <w:color w:val="auto"/>
          <w:sz w:val="24"/>
          <w:szCs w:val="24"/>
          <w:highlight w:val="none"/>
        </w:rPr>
        <w:t>。</w:t>
      </w:r>
    </w:p>
    <w:p w14:paraId="2282F811">
      <w:pPr>
        <w:pStyle w:val="48"/>
        <w:wordWrap w:val="0"/>
        <w:snapToGrid w:val="0"/>
        <w:spacing w:before="0" w:beforeAutospacing="0" w:after="0" w:afterAutospacing="0" w:line="360" w:lineRule="auto"/>
        <w:ind w:firstLine="482" w:firstLineChars="200"/>
        <w:rPr>
          <w:rFonts w:cs="宋体"/>
          <w:color w:val="auto"/>
          <w:highlight w:val="none"/>
        </w:rPr>
      </w:pP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2</w:t>
      </w:r>
      <w:r>
        <w:rPr>
          <w:rFonts w:hint="eastAsia" w:asciiTheme="minorEastAsia" w:hAnsiTheme="minorEastAsia" w:eastAsiaTheme="minorEastAsia" w:cstheme="minorEastAsia"/>
          <w:b/>
          <w:color w:val="auto"/>
          <w:sz w:val="24"/>
          <w:szCs w:val="24"/>
          <w:highlight w:val="none"/>
        </w:rPr>
        <w:t>）框架协议模块相关操作，供应商可进入（https://helpcenter.zcygov.cn/document/#/document/detail?siteCode=beijing&amp;manualId=251&amp;topicId=1447）学习。</w:t>
      </w:r>
    </w:p>
    <w:p w14:paraId="4E0898C2">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w:t>
      </w:r>
      <w:r>
        <w:rPr>
          <w:rFonts w:hint="eastAsia" w:cs="宋体"/>
          <w:color w:val="auto"/>
          <w:highlight w:val="none"/>
          <w:lang w:val="en-US" w:eastAsia="zh-CN"/>
        </w:rPr>
        <w:t>3</w:t>
      </w:r>
      <w:r>
        <w:rPr>
          <w:rFonts w:hint="eastAsia" w:cs="宋体"/>
          <w:color w:val="auto"/>
          <w:highlight w:val="none"/>
        </w:rPr>
        <w:t>）如有疑问，可致电政府采购云平台技术支持热线咨询，联系方式：95763</w:t>
      </w:r>
    </w:p>
    <w:p w14:paraId="5B4B2BDC">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4.5开标时间后30分钟内，供应商须登录政府采购云平台，用“项目采购-开标评标”功能解密响应文件（线上）。</w:t>
      </w:r>
    </w:p>
    <w:p w14:paraId="3689402F">
      <w:pPr>
        <w:pStyle w:val="48"/>
        <w:spacing w:before="0" w:beforeAutospacing="0" w:after="0" w:afterAutospacing="0" w:line="360" w:lineRule="auto"/>
        <w:ind w:firstLine="420" w:firstLineChars="175"/>
        <w:rPr>
          <w:rFonts w:cs="宋体"/>
          <w:color w:val="auto"/>
          <w:highlight w:val="none"/>
        </w:rPr>
      </w:pPr>
      <w:r>
        <w:rPr>
          <w:rFonts w:hint="eastAsia" w:cs="宋体"/>
          <w:color w:val="auto"/>
          <w:highlight w:val="none"/>
        </w:rPr>
        <w:t>4.6入围供应商应在框架协议签订前完成政府采购云平台（https://www.zcygov.cn/）全部注册步骤并成为正式注册入库供应商，否则将导致合同款无法正常支付，责任由入围供应商承担。请供应商尽早完成注册。https://www.zcygov.cn/luban/ruzhu/sjzc（供应商注册页面）。</w:t>
      </w:r>
    </w:p>
    <w:p w14:paraId="5EE521E2">
      <w:pPr>
        <w:pStyle w:val="48"/>
        <w:spacing w:before="0" w:beforeAutospacing="0" w:after="0" w:afterAutospacing="0" w:line="360" w:lineRule="auto"/>
        <w:rPr>
          <w:rFonts w:cs="宋体"/>
          <w:b/>
          <w:bCs/>
          <w:color w:val="auto"/>
          <w:highlight w:val="none"/>
        </w:rPr>
      </w:pPr>
      <w:r>
        <w:rPr>
          <w:rFonts w:hint="eastAsia" w:cs="宋体"/>
          <w:b/>
          <w:bCs/>
          <w:color w:val="auto"/>
          <w:highlight w:val="none"/>
        </w:rPr>
        <w:t>七、对本次采购提出询问、质疑、投诉，请按以下方式联系</w:t>
      </w:r>
    </w:p>
    <w:p w14:paraId="53694BF7">
      <w:pPr>
        <w:pStyle w:val="48"/>
        <w:snapToGrid w:val="0"/>
        <w:spacing w:before="0" w:beforeAutospacing="0" w:after="0" w:afterAutospacing="0"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1.征集人信息</w:t>
      </w:r>
    </w:p>
    <w:p w14:paraId="7BFAFB86">
      <w:pPr>
        <w:snapToGrid w:val="0"/>
        <w:spacing w:line="360" w:lineRule="auto"/>
        <w:ind w:firstLine="480" w:firstLineChars="200"/>
        <w:textAlignment w:val="bottom"/>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szCs w:val="24"/>
          <w:highlight w:val="none"/>
          <w:lang w:val="en-US" w:eastAsia="zh-CN" w:bidi="ar-SA"/>
        </w:rPr>
        <w:t>名称：杭州市钱塘区政府投资项目评审服务中心</w:t>
      </w:r>
    </w:p>
    <w:p w14:paraId="79F79194">
      <w:pPr>
        <w:pStyle w:val="48"/>
        <w:snapToGrid w:val="0"/>
        <w:spacing w:before="0" w:beforeAutospacing="0" w:after="0" w:afterAutospacing="0"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地址：杭州市</w:t>
      </w:r>
      <w:r>
        <w:rPr>
          <w:rFonts w:hint="eastAsia" w:asciiTheme="minorEastAsia" w:hAnsiTheme="minorEastAsia" w:eastAsiaTheme="minorEastAsia" w:cstheme="minorEastAsia"/>
          <w:color w:val="auto"/>
          <w:highlight w:val="none"/>
          <w:lang w:eastAsia="zh-CN"/>
        </w:rPr>
        <w:t>钱塘区青六北路</w:t>
      </w:r>
      <w:r>
        <w:rPr>
          <w:rFonts w:hint="eastAsia" w:asciiTheme="minorEastAsia" w:hAnsiTheme="minorEastAsia" w:eastAsiaTheme="minorEastAsia" w:cstheme="minorEastAsia"/>
          <w:color w:val="auto"/>
          <w:highlight w:val="none"/>
          <w:lang w:val="en-US" w:eastAsia="zh-CN"/>
        </w:rPr>
        <w:t>499号1号楼</w:t>
      </w:r>
    </w:p>
    <w:p w14:paraId="0CB76DBF">
      <w:pPr>
        <w:pStyle w:val="48"/>
        <w:snapToGrid w:val="0"/>
        <w:spacing w:before="0" w:beforeAutospacing="0" w:after="0" w:afterAutospacing="0"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项目联系人（询问）：</w:t>
      </w:r>
      <w:r>
        <w:rPr>
          <w:rFonts w:hint="eastAsia" w:asciiTheme="minorEastAsia" w:hAnsiTheme="minorEastAsia" w:eastAsiaTheme="minorEastAsia" w:cstheme="minorEastAsia"/>
          <w:color w:val="auto"/>
          <w:highlight w:val="none"/>
          <w:lang w:eastAsia="zh-CN"/>
        </w:rPr>
        <w:t>叶</w:t>
      </w:r>
      <w:r>
        <w:rPr>
          <w:rFonts w:hint="eastAsia" w:asciiTheme="minorEastAsia" w:hAnsiTheme="minorEastAsia" w:eastAsiaTheme="minorEastAsia" w:cstheme="minorEastAsia"/>
          <w:color w:val="auto"/>
          <w:highlight w:val="none"/>
        </w:rPr>
        <w:t>老师</w:t>
      </w:r>
    </w:p>
    <w:p w14:paraId="3CCE90E9">
      <w:pPr>
        <w:pStyle w:val="48"/>
        <w:snapToGrid w:val="0"/>
        <w:spacing w:before="0" w:beforeAutospacing="0" w:after="0" w:afterAutospacing="0" w:line="360" w:lineRule="auto"/>
        <w:ind w:firstLine="480" w:firstLineChars="200"/>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rPr>
        <w:t>联系电话（询问）：0571-895</w:t>
      </w:r>
      <w:r>
        <w:rPr>
          <w:rFonts w:hint="eastAsia" w:asciiTheme="minorEastAsia" w:hAnsiTheme="minorEastAsia" w:eastAsiaTheme="minorEastAsia" w:cstheme="minorEastAsia"/>
          <w:color w:val="auto"/>
          <w:highlight w:val="none"/>
          <w:lang w:val="en-US" w:eastAsia="zh-CN"/>
        </w:rPr>
        <w:t>35707</w:t>
      </w:r>
    </w:p>
    <w:p w14:paraId="2D3AE979">
      <w:pPr>
        <w:pStyle w:val="48"/>
        <w:snapToGrid w:val="0"/>
        <w:spacing w:before="0" w:beforeAutospacing="0" w:after="0" w:afterAutospacing="0" w:line="360" w:lineRule="auto"/>
        <w:ind w:left="0" w:leftChars="0"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质疑联系人：周</w:t>
      </w:r>
      <w:r>
        <w:rPr>
          <w:rFonts w:hint="eastAsia" w:asciiTheme="minorEastAsia" w:hAnsiTheme="minorEastAsia" w:eastAsiaTheme="minorEastAsia" w:cstheme="minorEastAsia"/>
          <w:color w:val="auto"/>
          <w:highlight w:val="none"/>
        </w:rPr>
        <w:t>老师</w:t>
      </w:r>
    </w:p>
    <w:p w14:paraId="54D9FDBB">
      <w:pPr>
        <w:pStyle w:val="48"/>
        <w:snapToGrid w:val="0"/>
        <w:spacing w:before="0" w:beforeAutospacing="0" w:after="0" w:afterAutospacing="0" w:line="360" w:lineRule="auto"/>
        <w:ind w:left="0" w:leftChars="0" w:firstLine="480" w:firstLineChars="200"/>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联系电话：</w:t>
      </w:r>
      <w:r>
        <w:rPr>
          <w:rFonts w:hint="eastAsia" w:asciiTheme="minorEastAsia" w:hAnsiTheme="minorEastAsia" w:eastAsiaTheme="minorEastAsia" w:cstheme="minorEastAsia"/>
          <w:color w:val="auto"/>
          <w:highlight w:val="none"/>
        </w:rPr>
        <w:t>0571-895</w:t>
      </w:r>
      <w:r>
        <w:rPr>
          <w:rFonts w:hint="eastAsia" w:asciiTheme="minorEastAsia" w:hAnsiTheme="minorEastAsia" w:eastAsiaTheme="minorEastAsia" w:cstheme="minorEastAsia"/>
          <w:color w:val="auto"/>
          <w:highlight w:val="none"/>
          <w:lang w:val="en-US" w:eastAsia="zh-CN"/>
        </w:rPr>
        <w:t>35706</w:t>
      </w:r>
    </w:p>
    <w:p w14:paraId="1BB341F8">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2.采购代理机构信息            </w:t>
      </w:r>
    </w:p>
    <w:p w14:paraId="52AF28A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名    称：</w:t>
      </w:r>
      <w:r>
        <w:rPr>
          <w:rFonts w:hint="eastAsia" w:ascii="宋体" w:hAnsi="宋体" w:cs="宋体"/>
          <w:color w:val="auto"/>
          <w:sz w:val="24"/>
          <w:highlight w:val="none"/>
          <w:lang w:eastAsia="zh-CN"/>
        </w:rPr>
        <w:t>浙江省房地产管理咨询有限公司</w:t>
      </w:r>
    </w:p>
    <w:p w14:paraId="5F234DA1">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cs="宋体"/>
          <w:color w:val="auto"/>
          <w:sz w:val="24"/>
          <w:highlight w:val="none"/>
        </w:rPr>
        <w:t xml:space="preserve">杭州市拱墅区绍兴路538号三立时代广场1206室 </w:t>
      </w:r>
      <w:r>
        <w:rPr>
          <w:rFonts w:hint="eastAsia" w:ascii="宋体" w:hAnsi="宋体" w:cs="宋体"/>
          <w:color w:val="auto"/>
          <w:sz w:val="24"/>
          <w:highlight w:val="none"/>
          <w:lang w:val="en-US" w:eastAsia="zh-CN"/>
        </w:rPr>
        <w:t xml:space="preserve"> </w:t>
      </w:r>
    </w:p>
    <w:p w14:paraId="71CC7BA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传    真：/            </w:t>
      </w:r>
    </w:p>
    <w:p w14:paraId="02AA205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项目联系人（询问）：</w:t>
      </w:r>
      <w:r>
        <w:rPr>
          <w:rFonts w:hint="eastAsia" w:ascii="宋体" w:hAnsi="宋体" w:cs="宋体"/>
          <w:color w:val="auto"/>
          <w:sz w:val="24"/>
          <w:highlight w:val="none"/>
        </w:rPr>
        <w:t>伍红仙</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 xml:space="preserve">          </w:t>
      </w:r>
    </w:p>
    <w:p w14:paraId="0FB85AE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w:t>
      </w:r>
      <w:r>
        <w:rPr>
          <w:rFonts w:hint="eastAsia" w:ascii="宋体" w:hAnsi="宋体" w:cs="宋体"/>
          <w:color w:val="auto"/>
          <w:sz w:val="24"/>
          <w:highlight w:val="none"/>
        </w:rPr>
        <w:t>13357106093</w:t>
      </w:r>
      <w:r>
        <w:rPr>
          <w:rFonts w:hint="eastAsia" w:ascii="宋体" w:hAnsi="宋体" w:cs="宋体"/>
          <w:color w:val="auto"/>
          <w:sz w:val="24"/>
          <w:highlight w:val="none"/>
          <w:lang w:val="en-US" w:eastAsia="zh-CN"/>
        </w:rPr>
        <w:t xml:space="preserve"> </w:t>
      </w:r>
    </w:p>
    <w:p w14:paraId="6DBF3D9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质疑联系人：</w:t>
      </w:r>
      <w:r>
        <w:rPr>
          <w:rFonts w:hint="eastAsia" w:ascii="宋体" w:hAnsi="宋体" w:cs="宋体"/>
          <w:color w:val="auto"/>
          <w:sz w:val="24"/>
          <w:highlight w:val="none"/>
        </w:rPr>
        <w:t>赵红梅</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 xml:space="preserve">              </w:t>
      </w:r>
    </w:p>
    <w:p w14:paraId="1B56D65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w:t>
      </w:r>
      <w:r>
        <w:rPr>
          <w:rFonts w:hint="eastAsia" w:ascii="宋体" w:hAnsi="宋体" w:cs="宋体"/>
          <w:color w:val="auto"/>
          <w:sz w:val="24"/>
          <w:highlight w:val="none"/>
        </w:rPr>
        <w:t>13757196173</w:t>
      </w:r>
    </w:p>
    <w:p w14:paraId="5CE93B85">
      <w:pPr>
        <w:pStyle w:val="48"/>
        <w:snapToGrid w:val="0"/>
        <w:spacing w:before="0" w:beforeAutospacing="0" w:after="0" w:afterAutospacing="0" w:line="360" w:lineRule="auto"/>
        <w:ind w:left="0" w:leftChars="0"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3.同级政府采购监督管理部门</w:t>
      </w:r>
    </w:p>
    <w:p w14:paraId="6870B2B3">
      <w:pPr>
        <w:pStyle w:val="48"/>
        <w:snapToGrid w:val="0"/>
        <w:spacing w:before="0" w:beforeAutospacing="0" w:after="0" w:afterAutospacing="0" w:line="360" w:lineRule="auto"/>
        <w:ind w:left="0" w:leftChars="0"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 xml:space="preserve">名称：杭州市钱塘区财政局、浙江省政府采购行政裁决服务中心(杭州) </w:t>
      </w:r>
    </w:p>
    <w:p w14:paraId="437428D5">
      <w:pPr>
        <w:pStyle w:val="48"/>
        <w:snapToGrid w:val="0"/>
        <w:spacing w:before="0" w:beforeAutospacing="0" w:after="0" w:afterAutospacing="0" w:line="360" w:lineRule="auto"/>
        <w:ind w:left="479" w:leftChars="228" w:firstLine="0" w:firstLineChars="0"/>
        <w:rPr>
          <w:rFonts w:hint="default" w:eastAsia="宋体" w:cs="宋体"/>
          <w:color w:val="auto"/>
          <w:highlight w:val="none"/>
          <w:lang w:val="en-US" w:eastAsia="zh-CN"/>
        </w:rPr>
      </w:pPr>
      <w:r>
        <w:rPr>
          <w:rFonts w:hint="eastAsia" w:ascii="宋体" w:hAnsi="宋体" w:eastAsia="宋体" w:cs="宋体"/>
          <w:color w:val="auto"/>
          <w:kern w:val="0"/>
          <w:sz w:val="24"/>
          <w:szCs w:val="24"/>
          <w:highlight w:val="none"/>
          <w:lang w:val="en-US" w:eastAsia="zh-CN" w:bidi="ar-SA"/>
        </w:rPr>
        <w:t>地址：杭州市上城区清泰街549号城建综合大楼11楼（快递仅限ems或顺丰）</w:t>
      </w:r>
      <w:r>
        <w:rPr>
          <w:rFonts w:hint="eastAsia" w:ascii="宋体" w:hAnsi="宋体" w:eastAsia="宋体" w:cs="宋体"/>
          <w:color w:val="auto"/>
          <w:kern w:val="0"/>
          <w:sz w:val="24"/>
          <w:szCs w:val="24"/>
          <w:highlight w:val="none"/>
          <w:lang w:val="en-US" w:eastAsia="zh-CN" w:bidi="ar-SA"/>
        </w:rPr>
        <w:br w:type="textWrapping"/>
      </w:r>
      <w:r>
        <w:rPr>
          <w:rFonts w:hint="eastAsia" w:ascii="宋体" w:hAnsi="宋体" w:eastAsia="宋体" w:cs="宋体"/>
          <w:color w:val="auto"/>
          <w:kern w:val="0"/>
          <w:sz w:val="24"/>
          <w:szCs w:val="24"/>
          <w:highlight w:val="none"/>
          <w:lang w:val="en-US" w:eastAsia="zh-CN" w:bidi="ar-SA"/>
        </w:rPr>
        <w:t>联系人：匡老师</w:t>
      </w:r>
      <w:r>
        <w:rPr>
          <w:rFonts w:hint="eastAsia" w:ascii="宋体" w:hAnsi="宋体" w:eastAsia="宋体" w:cs="宋体"/>
          <w:color w:val="auto"/>
          <w:kern w:val="0"/>
          <w:sz w:val="24"/>
          <w:szCs w:val="24"/>
          <w:highlight w:val="none"/>
          <w:lang w:val="en-US" w:eastAsia="zh-CN" w:bidi="ar-SA"/>
        </w:rPr>
        <w:br w:type="textWrapping"/>
      </w:r>
      <w:r>
        <w:rPr>
          <w:rFonts w:hint="eastAsia" w:ascii="宋体" w:hAnsi="宋体" w:eastAsia="宋体" w:cs="宋体"/>
          <w:color w:val="auto"/>
          <w:kern w:val="0"/>
          <w:sz w:val="24"/>
          <w:szCs w:val="24"/>
          <w:highlight w:val="none"/>
          <w:lang w:val="en-US" w:eastAsia="zh-CN" w:bidi="ar-SA"/>
        </w:rPr>
        <w:t>监督投诉电话：0571-87807798</w:t>
      </w:r>
    </w:p>
    <w:p w14:paraId="7F1D2049">
      <w:pPr>
        <w:spacing w:line="360" w:lineRule="auto"/>
        <w:ind w:firstLine="480" w:firstLineChars="200"/>
        <w:rPr>
          <w:rFonts w:ascii="宋体" w:hAnsi="宋体" w:cs="宋体"/>
          <w:color w:val="auto"/>
          <w:sz w:val="24"/>
          <w:highlight w:val="none"/>
        </w:rPr>
      </w:pPr>
    </w:p>
    <w:p w14:paraId="7FB8A5B5">
      <w:pPr>
        <w:pStyle w:val="48"/>
        <w:spacing w:before="0" w:beforeAutospacing="0" w:after="0" w:afterAutospacing="0" w:line="360" w:lineRule="auto"/>
        <w:ind w:firstLine="420"/>
        <w:rPr>
          <w:rFonts w:cs="宋体"/>
          <w:color w:val="auto"/>
          <w:highlight w:val="none"/>
        </w:rPr>
      </w:pPr>
      <w:r>
        <w:rPr>
          <w:rFonts w:hint="eastAsia" w:cs="宋体"/>
          <w:color w:val="auto"/>
          <w:highlight w:val="none"/>
        </w:rPr>
        <w:t>若对项目采购电子交易系统操作有疑问，可登录政采云（https://www.zcygov.cn/），点击右侧咨询小采，获取采小蜜智能服务管家帮助，或拨打政采云服务热线95763获取热线服务帮助。</w:t>
      </w:r>
    </w:p>
    <w:p w14:paraId="78F0F2EE">
      <w:pPr>
        <w:pStyle w:val="48"/>
        <w:spacing w:before="0" w:beforeAutospacing="0" w:after="0" w:afterAutospacing="0" w:line="360" w:lineRule="auto"/>
        <w:ind w:firstLine="420"/>
        <w:rPr>
          <w:rFonts w:ascii="宋体" w:hAnsi="宋体" w:eastAsia="宋体" w:cs="宋体"/>
          <w:color w:val="auto"/>
          <w:highlight w:val="none"/>
        </w:rPr>
      </w:pPr>
      <w:r>
        <w:rPr>
          <w:rFonts w:hint="eastAsia" w:cs="宋体"/>
          <w:color w:val="auto"/>
          <w:highlight w:val="none"/>
        </w:rPr>
        <w:t>CA问题联系电话（人工）：汇信CA 400-888-4636；天谷CA 400-087-819</w:t>
      </w:r>
      <w:r>
        <w:rPr>
          <w:rFonts w:ascii="宋体" w:hAnsi="宋体" w:eastAsia="宋体" w:cs="宋体"/>
          <w:color w:val="auto"/>
          <w:highlight w:val="none"/>
          <w:lang w:bidi="ar"/>
        </w:rPr>
        <w:t>8。</w:t>
      </w:r>
    </w:p>
    <w:p w14:paraId="182466E7">
      <w:pPr>
        <w:pStyle w:val="48"/>
        <w:rPr>
          <w:color w:val="auto"/>
          <w:highlight w:val="none"/>
        </w:rPr>
      </w:pPr>
    </w:p>
    <w:p w14:paraId="1EBBD9E9">
      <w:pPr>
        <w:pStyle w:val="29"/>
        <w:spacing w:line="360" w:lineRule="auto"/>
        <w:ind w:firstLine="420"/>
        <w:jc w:val="center"/>
        <w:outlineLvl w:val="0"/>
        <w:rPr>
          <w:rFonts w:hAnsi="宋体" w:eastAsia="宋体" w:cs="宋体"/>
          <w:b/>
          <w:color w:val="auto"/>
          <w:sz w:val="36"/>
          <w:szCs w:val="20"/>
          <w:highlight w:val="none"/>
        </w:rPr>
      </w:pPr>
      <w:r>
        <w:rPr>
          <w:rFonts w:hint="eastAsia" w:hAnsi="宋体" w:eastAsia="宋体" w:cs="宋体"/>
          <w:color w:val="auto"/>
          <w:sz w:val="24"/>
          <w:szCs w:val="24"/>
          <w:highlight w:val="none"/>
        </w:rPr>
        <w:br w:type="page"/>
      </w:r>
      <w:r>
        <w:rPr>
          <w:rFonts w:hint="eastAsia" w:hAnsi="宋体" w:eastAsia="宋体" w:cs="宋体"/>
          <w:b/>
          <w:color w:val="auto"/>
          <w:sz w:val="36"/>
          <w:szCs w:val="20"/>
          <w:highlight w:val="none"/>
        </w:rPr>
        <w:t>第二部分</w:t>
      </w:r>
      <w:bookmarkEnd w:id="7"/>
      <w:r>
        <w:rPr>
          <w:rFonts w:hint="eastAsia" w:hAnsi="宋体" w:eastAsia="宋体" w:cs="宋体"/>
          <w:b/>
          <w:color w:val="auto"/>
          <w:sz w:val="36"/>
          <w:szCs w:val="20"/>
          <w:highlight w:val="none"/>
        </w:rPr>
        <w:t>供应商须知</w:t>
      </w:r>
      <w:bookmarkEnd w:id="8"/>
    </w:p>
    <w:p w14:paraId="1D90FD88">
      <w:pPr>
        <w:snapToGrid w:val="0"/>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51"/>
        <w:tblW w:w="91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71"/>
        <w:gridCol w:w="1968"/>
        <w:gridCol w:w="6487"/>
      </w:tblGrid>
      <w:tr w14:paraId="71A6C2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71" w:type="dxa"/>
            <w:tcBorders>
              <w:top w:val="single" w:color="auto" w:sz="4" w:space="0"/>
              <w:left w:val="single" w:color="auto" w:sz="4" w:space="0"/>
              <w:bottom w:val="single" w:color="auto" w:sz="4" w:space="0"/>
              <w:right w:val="single" w:color="auto" w:sz="4" w:space="0"/>
            </w:tcBorders>
          </w:tcPr>
          <w:p w14:paraId="0A60DF9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968" w:type="dxa"/>
            <w:tcBorders>
              <w:top w:val="single" w:color="000000" w:sz="8" w:space="0"/>
              <w:left w:val="single" w:color="auto" w:sz="4" w:space="0"/>
              <w:bottom w:val="single" w:color="000000" w:sz="8" w:space="0"/>
              <w:right w:val="single" w:color="000000" w:sz="8" w:space="0"/>
            </w:tcBorders>
            <w:vAlign w:val="center"/>
          </w:tcPr>
          <w:p w14:paraId="6ED7D78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487" w:type="dxa"/>
            <w:tcBorders>
              <w:top w:val="single" w:color="000000" w:sz="8" w:space="0"/>
              <w:left w:val="single" w:color="000000" w:sz="2" w:space="0"/>
              <w:bottom w:val="single" w:color="000000" w:sz="8" w:space="0"/>
              <w:right w:val="single" w:color="000000" w:sz="8" w:space="0"/>
            </w:tcBorders>
            <w:vAlign w:val="center"/>
          </w:tcPr>
          <w:p w14:paraId="5C9963B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2C9B46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99"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01B80C5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1</w:t>
            </w:r>
          </w:p>
        </w:tc>
        <w:tc>
          <w:tcPr>
            <w:tcW w:w="1968" w:type="dxa"/>
            <w:tcBorders>
              <w:top w:val="single" w:color="000000" w:sz="8" w:space="0"/>
              <w:left w:val="single" w:color="auto" w:sz="4" w:space="0"/>
              <w:bottom w:val="single" w:color="000000" w:sz="8" w:space="0"/>
              <w:right w:val="single" w:color="000000" w:sz="8" w:space="0"/>
            </w:tcBorders>
            <w:vAlign w:val="center"/>
          </w:tcPr>
          <w:p w14:paraId="70CCBB5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487" w:type="dxa"/>
            <w:tcBorders>
              <w:top w:val="single" w:color="000000" w:sz="8" w:space="0"/>
              <w:left w:val="single" w:color="000000" w:sz="2" w:space="0"/>
              <w:bottom w:val="single" w:color="000000" w:sz="8" w:space="0"/>
              <w:right w:val="single" w:color="000000" w:sz="8" w:space="0"/>
            </w:tcBorders>
            <w:vAlign w:val="center"/>
          </w:tcPr>
          <w:p w14:paraId="669774CD">
            <w:pPr>
              <w:pStyle w:val="3"/>
              <w:tabs>
                <w:tab w:val="left" w:pos="0"/>
                <w:tab w:val="clear" w:pos="432"/>
              </w:tabs>
              <w:ind w:left="12" w:hanging="12"/>
              <w:rPr>
                <w:rFonts w:ascii="宋体" w:hAnsi="宋体" w:eastAsia="宋体" w:cs="宋体"/>
                <w:b w:val="0"/>
                <w:color w:val="auto"/>
                <w:kern w:val="0"/>
                <w:sz w:val="24"/>
                <w:szCs w:val="24"/>
                <w:highlight w:val="none"/>
                <w:lang w:val="en-US"/>
              </w:rPr>
            </w:pPr>
            <w:r>
              <w:rPr>
                <w:rFonts w:hint="eastAsia" w:ascii="宋体" w:hAnsi="宋体" w:eastAsia="宋体" w:cs="宋体"/>
                <w:b w:val="0"/>
                <w:color w:val="auto"/>
                <w:kern w:val="0"/>
                <w:sz w:val="24"/>
                <w:szCs w:val="24"/>
                <w:highlight w:val="none"/>
                <w:lang w:val="en-US"/>
              </w:rPr>
              <w:t>供应商</w:t>
            </w:r>
            <w:r>
              <w:rPr>
                <w:rFonts w:hint="eastAsia" w:ascii="宋体" w:hAnsi="宋体" w:eastAsia="宋体" w:cs="宋体"/>
                <w:b w:val="0"/>
                <w:color w:val="auto"/>
                <w:kern w:val="0"/>
                <w:sz w:val="24"/>
                <w:szCs w:val="24"/>
                <w:highlight w:val="none"/>
                <w:lang w:val="en-US" w:eastAsia="zh-CN"/>
              </w:rPr>
              <w:t>根据第三部分采购需求进行</w:t>
            </w:r>
            <w:r>
              <w:rPr>
                <w:rFonts w:hint="eastAsia" w:ascii="宋体" w:hAnsi="宋体" w:eastAsia="宋体" w:cs="宋体"/>
                <w:b w:val="0"/>
                <w:color w:val="auto"/>
                <w:kern w:val="0"/>
                <w:sz w:val="24"/>
                <w:szCs w:val="24"/>
                <w:highlight w:val="none"/>
                <w:lang w:val="en-US"/>
              </w:rPr>
              <w:t>报价</w:t>
            </w:r>
            <w:r>
              <w:rPr>
                <w:rFonts w:hint="eastAsia" w:ascii="宋体" w:hAnsi="宋体" w:eastAsia="宋体" w:cs="宋体"/>
                <w:b w:val="0"/>
                <w:color w:val="auto"/>
                <w:kern w:val="0"/>
                <w:sz w:val="24"/>
                <w:szCs w:val="24"/>
                <w:highlight w:val="none"/>
                <w:lang w:val="en-US" w:eastAsia="zh-CN"/>
              </w:rPr>
              <w:t>，</w:t>
            </w:r>
            <w:r>
              <w:rPr>
                <w:rFonts w:hint="eastAsia" w:ascii="宋体" w:hAnsi="宋体" w:eastAsia="宋体" w:cs="宋体"/>
                <w:b w:val="0"/>
                <w:color w:val="auto"/>
                <w:kern w:val="0"/>
                <w:sz w:val="24"/>
                <w:szCs w:val="24"/>
                <w:highlight w:val="none"/>
                <w:lang w:val="en-US"/>
              </w:rPr>
              <w:t>基准收费标准见第三部分采购需求中附表所列收费文件。报价方式为费率报价（即按照招标文件规定收费标准的百分比计费）。</w:t>
            </w:r>
          </w:p>
          <w:p w14:paraId="01A8CC08">
            <w:pPr>
              <w:pStyle w:val="3"/>
              <w:rPr>
                <w:rFonts w:ascii="宋体" w:hAnsi="宋体" w:eastAsia="宋体" w:cs="宋体"/>
                <w:b w:val="0"/>
                <w:color w:val="auto"/>
                <w:kern w:val="0"/>
                <w:sz w:val="24"/>
                <w:szCs w:val="24"/>
                <w:highlight w:val="none"/>
                <w:lang w:val="en-US"/>
              </w:rPr>
            </w:pPr>
            <w:r>
              <w:rPr>
                <w:rFonts w:hint="eastAsia" w:ascii="宋体" w:hAnsi="宋体" w:eastAsia="宋体" w:cs="宋体"/>
                <w:b w:val="0"/>
                <w:color w:val="auto"/>
                <w:kern w:val="0"/>
                <w:sz w:val="24"/>
                <w:szCs w:val="24"/>
                <w:highlight w:val="none"/>
                <w:lang w:val="en-US"/>
              </w:rPr>
              <w:t>投标报价出现下列情形的，投标无效：</w:t>
            </w:r>
          </w:p>
          <w:p w14:paraId="15795CC6">
            <w:pPr>
              <w:pStyle w:val="3"/>
              <w:rPr>
                <w:rFonts w:ascii="宋体" w:hAnsi="宋体" w:eastAsia="宋体" w:cs="宋体"/>
                <w:bCs w:val="0"/>
                <w:color w:val="auto"/>
                <w:kern w:val="0"/>
                <w:sz w:val="24"/>
                <w:szCs w:val="24"/>
                <w:highlight w:val="none"/>
                <w:lang w:val="en-US"/>
              </w:rPr>
            </w:pPr>
            <w:r>
              <w:rPr>
                <w:rFonts w:hint="eastAsia" w:ascii="宋体" w:hAnsi="宋体" w:eastAsia="宋体" w:cs="宋体"/>
                <w:bCs w:val="0"/>
                <w:color w:val="auto"/>
                <w:kern w:val="0"/>
                <w:sz w:val="24"/>
                <w:szCs w:val="24"/>
                <w:highlight w:val="none"/>
                <w:lang w:val="en-US"/>
              </w:rPr>
              <w:t>▲投标文件出现不是唯一的、有选择性投标报价的；</w:t>
            </w:r>
          </w:p>
          <w:p w14:paraId="562AEF8E">
            <w:pPr>
              <w:pStyle w:val="3"/>
              <w:jc w:val="both"/>
              <w:rPr>
                <w:rFonts w:hint="eastAsia" w:ascii="宋体" w:hAnsi="宋体" w:eastAsia="宋体" w:cs="宋体"/>
                <w:bCs w:val="0"/>
                <w:color w:val="auto"/>
                <w:kern w:val="0"/>
                <w:sz w:val="24"/>
                <w:szCs w:val="24"/>
                <w:highlight w:val="none"/>
                <w:lang w:val="en-US"/>
              </w:rPr>
            </w:pPr>
            <w:r>
              <w:rPr>
                <w:rFonts w:hint="eastAsia" w:ascii="宋体" w:hAnsi="宋体" w:eastAsia="宋体" w:cs="宋体"/>
                <w:bCs w:val="0"/>
                <w:color w:val="auto"/>
                <w:kern w:val="0"/>
                <w:sz w:val="24"/>
                <w:szCs w:val="24"/>
                <w:highlight w:val="none"/>
                <w:lang w:val="en-US"/>
              </w:rPr>
              <w:t>▲投标报价超过</w:t>
            </w:r>
            <w:r>
              <w:rPr>
                <w:rFonts w:hint="eastAsia" w:ascii="宋体" w:hAnsi="宋体" w:eastAsia="宋体" w:cs="宋体"/>
                <w:bCs w:val="0"/>
                <w:color w:val="auto"/>
                <w:kern w:val="0"/>
                <w:sz w:val="24"/>
                <w:szCs w:val="24"/>
                <w:highlight w:val="none"/>
                <w:lang w:val="en-US" w:eastAsia="zh-CN"/>
              </w:rPr>
              <w:t>征集文件</w:t>
            </w:r>
            <w:r>
              <w:rPr>
                <w:rFonts w:hint="eastAsia" w:ascii="宋体" w:hAnsi="宋体" w:eastAsia="宋体" w:cs="宋体"/>
                <w:bCs w:val="0"/>
                <w:color w:val="auto"/>
                <w:kern w:val="0"/>
                <w:sz w:val="24"/>
                <w:szCs w:val="24"/>
                <w:highlight w:val="none"/>
                <w:lang w:val="en-US"/>
              </w:rPr>
              <w:t>中规定的预算金额或者最高限价</w:t>
            </w:r>
          </w:p>
          <w:p w14:paraId="141231DD">
            <w:pPr>
              <w:pStyle w:val="3"/>
              <w:adjustRightInd w:val="0"/>
              <w:snapToGrid w:val="0"/>
              <w:ind w:left="0" w:firstLine="0"/>
              <w:jc w:val="both"/>
              <w:rPr>
                <w:rFonts w:ascii="宋体" w:hAnsi="宋体" w:eastAsia="宋体" w:cs="宋体"/>
                <w:bCs w:val="0"/>
                <w:color w:val="auto"/>
                <w:kern w:val="0"/>
                <w:sz w:val="24"/>
                <w:szCs w:val="24"/>
                <w:highlight w:val="none"/>
                <w:lang w:val="en-US"/>
              </w:rPr>
            </w:pPr>
            <w:r>
              <w:rPr>
                <w:rFonts w:hint="eastAsia" w:ascii="宋体" w:hAnsi="宋体" w:eastAsia="宋体" w:cs="宋体"/>
                <w:bCs w:val="0"/>
                <w:color w:val="auto"/>
                <w:kern w:val="0"/>
                <w:sz w:val="24"/>
                <w:szCs w:val="24"/>
                <w:highlight w:val="none"/>
                <w:lang w:val="en-US"/>
              </w:rPr>
              <w:t>（</w:t>
            </w:r>
            <w:r>
              <w:rPr>
                <w:rFonts w:hint="eastAsia" w:ascii="宋体" w:hAnsi="宋体" w:eastAsia="宋体" w:cs="宋体"/>
                <w:bCs w:val="0"/>
                <w:color w:val="auto"/>
                <w:kern w:val="0"/>
                <w:sz w:val="24"/>
                <w:szCs w:val="24"/>
                <w:highlight w:val="none"/>
                <w:lang w:val="en-US" w:eastAsia="zh-CN"/>
              </w:rPr>
              <w:t>基本审价费的投标最高限价为《基准收费标准》（附表1）设定价格的100%（即最低优惠率为0%）。单个项目基本审价费高于等于49.99万元则按49.99万元计取。</w:t>
            </w:r>
            <w:r>
              <w:rPr>
                <w:rFonts w:hint="eastAsia" w:ascii="宋体" w:hAnsi="宋体" w:eastAsia="宋体" w:cs="宋体"/>
                <w:bCs w:val="0"/>
                <w:color w:val="auto"/>
                <w:kern w:val="0"/>
                <w:sz w:val="24"/>
                <w:szCs w:val="24"/>
                <w:highlight w:val="none"/>
                <w:lang w:val="en-US"/>
              </w:rPr>
              <w:t>）</w:t>
            </w:r>
          </w:p>
          <w:p w14:paraId="0B69AA69">
            <w:pPr>
              <w:pStyle w:val="3"/>
              <w:rPr>
                <w:rFonts w:ascii="宋体" w:hAnsi="宋体" w:eastAsia="宋体" w:cs="宋体"/>
                <w:bCs w:val="0"/>
                <w:color w:val="auto"/>
                <w:kern w:val="0"/>
                <w:sz w:val="24"/>
                <w:szCs w:val="24"/>
                <w:highlight w:val="none"/>
                <w:lang w:val="en-US"/>
              </w:rPr>
            </w:pPr>
            <w:r>
              <w:rPr>
                <w:rFonts w:hint="eastAsia" w:ascii="宋体" w:hAnsi="宋体" w:eastAsia="宋体" w:cs="宋体"/>
                <w:bCs w:val="0"/>
                <w:color w:val="auto"/>
                <w:kern w:val="0"/>
                <w:sz w:val="24"/>
                <w:szCs w:val="24"/>
                <w:highlight w:val="none"/>
                <w:lang w:val="en-US"/>
              </w:rPr>
              <w:t>▲《开标一览表》填写不完整或字迹不能辨认或有漏项的；</w:t>
            </w:r>
          </w:p>
          <w:p w14:paraId="3DECEA00">
            <w:pPr>
              <w:pStyle w:val="3"/>
              <w:rPr>
                <w:rFonts w:ascii="宋体" w:hAnsi="宋体" w:eastAsia="宋体" w:cs="宋体"/>
                <w:bCs w:val="0"/>
                <w:color w:val="auto"/>
                <w:kern w:val="0"/>
                <w:sz w:val="24"/>
                <w:szCs w:val="24"/>
                <w:highlight w:val="none"/>
                <w:lang w:val="en-US"/>
              </w:rPr>
            </w:pPr>
            <w:r>
              <w:rPr>
                <w:rFonts w:hint="eastAsia" w:ascii="宋体" w:hAnsi="宋体" w:eastAsia="宋体" w:cs="宋体"/>
                <w:bCs w:val="0"/>
                <w:color w:val="auto"/>
                <w:kern w:val="0"/>
                <w:sz w:val="24"/>
                <w:szCs w:val="24"/>
                <w:highlight w:val="none"/>
                <w:lang w:val="en-US"/>
              </w:rPr>
              <w:t>▲供应商对根据修正原则修正后的报价不确认的。</w:t>
            </w:r>
          </w:p>
          <w:p w14:paraId="7DDDE813">
            <w:pPr>
              <w:pStyle w:val="3"/>
              <w:rPr>
                <w:rFonts w:ascii="宋体" w:hAnsi="宋体" w:eastAsia="宋体" w:cs="宋体"/>
                <w:color w:val="auto"/>
                <w:highlight w:val="none"/>
                <w:lang w:val="en-US"/>
              </w:rPr>
            </w:pPr>
            <w:r>
              <w:rPr>
                <w:rFonts w:hint="eastAsia" w:ascii="宋体" w:hAnsi="宋体" w:eastAsia="宋体" w:cs="宋体"/>
                <w:b w:val="0"/>
                <w:color w:val="auto"/>
                <w:kern w:val="0"/>
                <w:sz w:val="24"/>
                <w:szCs w:val="24"/>
                <w:highlight w:val="none"/>
                <w:lang w:val="en-US"/>
              </w:rPr>
              <w:t>协议单位接受委托，根据每个项目分别计算服务费。</w:t>
            </w:r>
          </w:p>
        </w:tc>
      </w:tr>
      <w:tr w14:paraId="1F3BE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93"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5F9A580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2</w:t>
            </w:r>
          </w:p>
        </w:tc>
        <w:tc>
          <w:tcPr>
            <w:tcW w:w="1968" w:type="dxa"/>
            <w:tcBorders>
              <w:top w:val="single" w:color="000000" w:sz="8" w:space="0"/>
              <w:left w:val="single" w:color="auto" w:sz="4" w:space="0"/>
              <w:bottom w:val="single" w:color="000000" w:sz="8" w:space="0"/>
              <w:right w:val="single" w:color="000000" w:sz="8" w:space="0"/>
            </w:tcBorders>
            <w:vAlign w:val="center"/>
          </w:tcPr>
          <w:p w14:paraId="67E1A17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采购方式</w:t>
            </w:r>
          </w:p>
        </w:tc>
        <w:tc>
          <w:tcPr>
            <w:tcW w:w="6487" w:type="dxa"/>
            <w:tcBorders>
              <w:top w:val="single" w:color="000000" w:sz="8" w:space="0"/>
              <w:left w:val="single" w:color="000000" w:sz="2" w:space="0"/>
              <w:bottom w:val="single" w:color="000000" w:sz="8" w:space="0"/>
              <w:right w:val="single" w:color="000000" w:sz="8" w:space="0"/>
            </w:tcBorders>
            <w:vAlign w:val="center"/>
          </w:tcPr>
          <w:p w14:paraId="181A8E39">
            <w:pPr>
              <w:snapToGrid w:val="0"/>
              <w:spacing w:line="360" w:lineRule="auto"/>
              <w:jc w:val="left"/>
              <w:rPr>
                <w:rFonts w:ascii="宋体" w:hAnsi="宋体" w:cs="宋体"/>
                <w:color w:val="auto"/>
                <w:sz w:val="24"/>
                <w:highlight w:val="none"/>
              </w:rPr>
            </w:pPr>
            <w:r>
              <w:rPr>
                <w:rFonts w:hint="eastAsia" w:ascii="宋体" w:hAnsi="宋体" w:cs="宋体"/>
                <w:bCs/>
                <w:color w:val="auto"/>
                <w:sz w:val="24"/>
                <w:highlight w:val="none"/>
              </w:rPr>
              <w:t>封闭式框架协议采购</w:t>
            </w:r>
          </w:p>
        </w:tc>
      </w:tr>
      <w:tr w14:paraId="355B2B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63D9D29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3</w:t>
            </w:r>
          </w:p>
        </w:tc>
        <w:tc>
          <w:tcPr>
            <w:tcW w:w="1968" w:type="dxa"/>
            <w:tcBorders>
              <w:top w:val="single" w:color="000000" w:sz="8" w:space="0"/>
              <w:left w:val="single" w:color="auto" w:sz="4" w:space="0"/>
              <w:bottom w:val="single" w:color="000000" w:sz="8" w:space="0"/>
              <w:right w:val="single" w:color="000000" w:sz="8" w:space="0"/>
            </w:tcBorders>
            <w:vAlign w:val="center"/>
          </w:tcPr>
          <w:p w14:paraId="2274403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入围方式</w:t>
            </w:r>
          </w:p>
        </w:tc>
        <w:tc>
          <w:tcPr>
            <w:tcW w:w="6487" w:type="dxa"/>
            <w:tcBorders>
              <w:top w:val="single" w:color="000000" w:sz="8" w:space="0"/>
              <w:left w:val="single" w:color="000000" w:sz="2" w:space="0"/>
              <w:bottom w:val="single" w:color="000000" w:sz="8" w:space="0"/>
              <w:right w:val="single" w:color="000000" w:sz="8" w:space="0"/>
            </w:tcBorders>
            <w:vAlign w:val="center"/>
          </w:tcPr>
          <w:p w14:paraId="39375F95">
            <w:pPr>
              <w:spacing w:line="360" w:lineRule="auto"/>
              <w:rPr>
                <w:rFonts w:ascii="宋体" w:hAnsi="宋体" w:cs="宋体"/>
                <w:color w:val="auto"/>
                <w:sz w:val="24"/>
                <w:highlight w:val="none"/>
              </w:rPr>
            </w:pPr>
            <w:r>
              <w:rPr>
                <w:rFonts w:hint="eastAsia" w:ascii="宋体" w:hAnsi="宋体" w:cs="宋体"/>
                <w:color w:val="auto"/>
                <w:sz w:val="24"/>
                <w:highlight w:val="none"/>
              </w:rPr>
              <w:t>1、根据中华人民共和国财政部令第 110 号《政府采购框架协议采购方式管理暂行办法》，确定第一阶段入围供应商的评审方法为</w:t>
            </w:r>
            <w:r>
              <w:rPr>
                <w:rFonts w:hint="eastAsia" w:ascii="宋体" w:hAnsi="宋体" w:cs="宋体"/>
                <w:b/>
                <w:color w:val="auto"/>
                <w:sz w:val="24"/>
                <w:highlight w:val="none"/>
                <w:u w:val="single"/>
              </w:rPr>
              <w:t>质量优先法</w:t>
            </w:r>
            <w:r>
              <w:rPr>
                <w:rFonts w:hint="eastAsia" w:ascii="宋体" w:hAnsi="宋体" w:cs="宋体"/>
                <w:color w:val="auto"/>
                <w:sz w:val="24"/>
                <w:highlight w:val="none"/>
                <w:u w:val="single"/>
              </w:rPr>
              <w:t>，</w:t>
            </w:r>
            <w:r>
              <w:rPr>
                <w:rFonts w:hint="eastAsia" w:ascii="宋体" w:hAnsi="宋体" w:cs="宋体"/>
                <w:color w:val="auto"/>
                <w:sz w:val="24"/>
                <w:highlight w:val="none"/>
              </w:rPr>
              <w:t>确定第二阶段成交供应商的方式为</w:t>
            </w:r>
            <w:r>
              <w:rPr>
                <w:rFonts w:hint="eastAsia" w:ascii="宋体" w:hAnsi="宋体" w:cs="宋体"/>
                <w:b/>
                <w:color w:val="auto"/>
                <w:sz w:val="24"/>
                <w:highlight w:val="none"/>
                <w:u w:val="single"/>
              </w:rPr>
              <w:t>直接选定。</w:t>
            </w:r>
          </w:p>
          <w:p w14:paraId="01FCFEE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质量优先法是指对满足采购需求且响应报价不超过最高限制单价的货物、服务进行质量综合评分，按照质量评分从高到低排序，根据征集文件规定的淘汰率或者入围供应商数量上限，确定入围供应商的评审方法。 </w:t>
            </w:r>
          </w:p>
          <w:p w14:paraId="3CFD9DDA">
            <w:pPr>
              <w:spacing w:line="360" w:lineRule="auto"/>
              <w:rPr>
                <w:rFonts w:ascii="宋体" w:hAnsi="宋体" w:cs="宋体"/>
                <w:b/>
                <w:color w:val="auto"/>
                <w:sz w:val="24"/>
                <w:highlight w:val="none"/>
              </w:rPr>
            </w:pPr>
            <w:r>
              <w:rPr>
                <w:rFonts w:hint="eastAsia" w:ascii="宋体" w:hAnsi="宋体" w:cs="宋体"/>
                <w:b/>
                <w:color w:val="auto"/>
                <w:sz w:val="24"/>
                <w:highlight w:val="none"/>
              </w:rPr>
              <w:t>直接选定是指确定第二阶段成交供应商应当由征集人或者服务对象依据各单位内部管理规定，综合考虑入围服务价格、质量以及服务便利性、用户评价等因素，从第一阶段入围供应商中直接选定。</w:t>
            </w:r>
            <w:r>
              <w:rPr>
                <w:rFonts w:hint="eastAsia" w:ascii="宋体" w:hAnsi="宋体" w:eastAsia="宋体" w:cs="宋体"/>
                <w:b/>
                <w:color w:val="auto"/>
                <w:sz w:val="24"/>
                <w:highlight w:val="none"/>
                <w:lang w:val="en-US" w:eastAsia="zh-CN"/>
              </w:rPr>
              <w:t>对于概算送审额25亿元及以上的、结算送审额29亿元及以上的或送审额5亿元及以上功能复杂的标志性建筑进行二次选定。</w:t>
            </w:r>
          </w:p>
          <w:p w14:paraId="0BB6AA23">
            <w:pPr>
              <w:pStyle w:val="22"/>
              <w:keepNext w:val="0"/>
              <w:keepLines w:val="0"/>
              <w:pageBreakBefore w:val="0"/>
              <w:numPr>
                <w:ilvl w:val="0"/>
                <w:numId w:val="3"/>
              </w:numPr>
              <w:kinsoku/>
              <w:wordWrap/>
              <w:overflowPunct/>
              <w:topLinePunct w:val="0"/>
              <w:autoSpaceDE/>
              <w:autoSpaceDN/>
              <w:bidi w:val="0"/>
              <w:adjustRightInd w:val="0"/>
              <w:spacing w:line="50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本项目淘汰率为不低于进入排序单位的20%，向上取整数。</w:t>
            </w:r>
            <w:r>
              <w:rPr>
                <w:rFonts w:hint="eastAsia" w:ascii="宋体" w:hAnsi="宋体" w:eastAsia="宋体" w:cs="宋体"/>
                <w:color w:val="auto"/>
                <w:kern w:val="2"/>
                <w:sz w:val="24"/>
                <w:szCs w:val="24"/>
                <w:highlight w:val="none"/>
                <w:lang w:val="en-US" w:eastAsia="zh-CN" w:bidi="ar-SA"/>
              </w:rPr>
              <w:t>例如：16*20%=3.2，淘汰4家；19*20%=3.8，淘汰4家。推荐上限分别为：标项一</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家入围供应商、标项二</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家入围供应商。即：评标委员会根据综合得分高到低排序从后往前按淘汰率淘汰单位，淘汰后剩余单位标项一多于</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家、标项二多于</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家的，按照综合得分从高到低分别选择</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家单位；淘汰后剩余单位标项一小于等于</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家、标项二小于等于</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家的，全部入围。</w:t>
            </w:r>
          </w:p>
          <w:p w14:paraId="0BA770BF">
            <w:pPr>
              <w:pStyle w:val="22"/>
              <w:keepNext w:val="0"/>
              <w:keepLines w:val="0"/>
              <w:pageBreakBefore w:val="0"/>
              <w:numPr>
                <w:ilvl w:val="0"/>
                <w:numId w:val="3"/>
              </w:numPr>
              <w:kinsoku/>
              <w:wordWrap/>
              <w:overflowPunct/>
              <w:topLinePunct w:val="0"/>
              <w:autoSpaceDE/>
              <w:autoSpaceDN/>
              <w:bidi w:val="0"/>
              <w:adjustRightInd w:val="0"/>
              <w:spacing w:line="500" w:lineRule="exact"/>
              <w:jc w:val="both"/>
              <w:textAlignment w:val="auto"/>
              <w:rPr>
                <w:rFonts w:ascii="宋体" w:hAnsi="宋体" w:cs="宋体"/>
                <w:color w:val="auto"/>
                <w:sz w:val="24"/>
                <w:highlight w:val="none"/>
              </w:rPr>
            </w:pPr>
            <w:r>
              <w:rPr>
                <w:rFonts w:hint="eastAsia" w:ascii="宋体" w:hAnsi="宋体" w:eastAsia="宋体" w:cs="宋体"/>
                <w:color w:val="auto"/>
                <w:kern w:val="2"/>
                <w:sz w:val="24"/>
                <w:szCs w:val="24"/>
                <w:highlight w:val="none"/>
                <w:lang w:val="en-US" w:eastAsia="zh-CN" w:bidi="ar-SA"/>
              </w:rPr>
              <w:t>评标委员会根据得分高到低排序，综合评分得分相同时，按照客观分由高到低排序；综合评分得分、客观分得分均相同的，</w:t>
            </w:r>
            <w:r>
              <w:rPr>
                <w:rFonts w:hint="eastAsia" w:cs="宋体"/>
                <w:color w:val="auto"/>
                <w:kern w:val="2"/>
                <w:sz w:val="24"/>
                <w:szCs w:val="24"/>
                <w:highlight w:val="none"/>
                <w:lang w:val="en-US" w:eastAsia="zh-CN" w:bidi="ar-SA"/>
              </w:rPr>
              <w:t>以投标优惠率由高到低</w:t>
            </w:r>
            <w:r>
              <w:rPr>
                <w:rFonts w:hint="eastAsia" w:ascii="宋体" w:hAnsi="宋体" w:eastAsia="宋体" w:cs="宋体"/>
                <w:color w:val="auto"/>
                <w:kern w:val="2"/>
                <w:sz w:val="24"/>
                <w:szCs w:val="24"/>
                <w:highlight w:val="none"/>
                <w:lang w:val="en-US" w:eastAsia="zh-CN" w:bidi="ar-SA"/>
              </w:rPr>
              <w:t>确定排序。</w:t>
            </w:r>
          </w:p>
        </w:tc>
      </w:tr>
      <w:tr w14:paraId="76750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2"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125A672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4</w:t>
            </w:r>
          </w:p>
        </w:tc>
        <w:tc>
          <w:tcPr>
            <w:tcW w:w="1968" w:type="dxa"/>
            <w:tcBorders>
              <w:top w:val="single" w:color="000000" w:sz="8" w:space="0"/>
              <w:left w:val="single" w:color="auto" w:sz="4" w:space="0"/>
              <w:bottom w:val="single" w:color="000000" w:sz="8" w:space="0"/>
              <w:right w:val="single" w:color="000000" w:sz="8" w:space="0"/>
            </w:tcBorders>
            <w:vAlign w:val="center"/>
          </w:tcPr>
          <w:p w14:paraId="591006F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分包</w:t>
            </w:r>
          </w:p>
        </w:tc>
        <w:tc>
          <w:tcPr>
            <w:tcW w:w="6487" w:type="dxa"/>
            <w:tcBorders>
              <w:top w:val="single" w:color="000000" w:sz="8" w:space="0"/>
              <w:left w:val="single" w:color="000000" w:sz="2" w:space="0"/>
              <w:bottom w:val="single" w:color="000000" w:sz="8" w:space="0"/>
              <w:right w:val="single" w:color="000000" w:sz="8" w:space="0"/>
            </w:tcBorders>
            <w:vAlign w:val="center"/>
          </w:tcPr>
          <w:p w14:paraId="3BF824C6">
            <w:pPr>
              <w:spacing w:line="360" w:lineRule="auto"/>
              <w:rPr>
                <w:rFonts w:ascii="宋体" w:hAnsi="宋体" w:cs="宋体"/>
                <w:color w:val="auto"/>
                <w:sz w:val="24"/>
                <w:highlight w:val="none"/>
              </w:rPr>
            </w:pPr>
            <w:sdt>
              <w:sdtPr>
                <w:rPr>
                  <w:rFonts w:hint="eastAsia" w:ascii="宋体" w:hAnsi="宋体" w:cs="宋体"/>
                  <w:color w:val="auto"/>
                  <w:kern w:val="0"/>
                  <w:sz w:val="24"/>
                  <w:szCs w:val="21"/>
                  <w:highlight w:val="none"/>
                </w:rPr>
                <w:id w:val="11632142"/>
              </w:sdtPr>
              <w:sdtEndPr>
                <w:rPr>
                  <w:rFonts w:hint="eastAsia" w:ascii="宋体" w:hAnsi="宋体" w:cs="宋体"/>
                  <w:b/>
                  <w:bCs/>
                  <w:color w:val="auto"/>
                  <w:kern w:val="0"/>
                  <w:sz w:val="24"/>
                  <w:szCs w:val="21"/>
                  <w:highlight w:val="none"/>
                </w:rPr>
              </w:sdtEndPr>
              <w:sdtContent>
                <w:sdt>
                  <w:sdtPr>
                    <w:rPr>
                      <w:rFonts w:hint="eastAsia" w:ascii="宋体" w:hAnsi="宋体" w:cs="宋体"/>
                      <w:color w:val="auto"/>
                      <w:kern w:val="0"/>
                      <w:sz w:val="24"/>
                      <w:highlight w:val="none"/>
                    </w:rPr>
                    <w:id w:val="26556475"/>
                  </w:sdtPr>
                  <w:sdtEndPr>
                    <w:rPr>
                      <w:rFonts w:hint="eastAsia" w:ascii="宋体" w:hAnsi="宋体" w:cs="宋体"/>
                      <w:b/>
                      <w:bCs/>
                      <w:color w:val="auto"/>
                      <w:kern w:val="0"/>
                      <w:sz w:val="24"/>
                      <w:highlight w:val="none"/>
                    </w:rPr>
                  </w:sdtEndPr>
                  <w:sdtContent>
                    <w:sdt>
                      <w:sdtPr>
                        <w:rPr>
                          <w:rFonts w:hint="eastAsia" w:ascii="宋体" w:hAnsi="宋体" w:cs="宋体"/>
                          <w:color w:val="auto"/>
                          <w:kern w:val="0"/>
                          <w:sz w:val="24"/>
                          <w:szCs w:val="21"/>
                          <w:highlight w:val="none"/>
                        </w:rPr>
                        <w:id w:val="26556474"/>
                      </w:sdtPr>
                      <w:sdtEndPr>
                        <w:rPr>
                          <w:rFonts w:hint="eastAsia" w:ascii="宋体" w:hAnsi="宋体" w:cs="宋体"/>
                          <w:b/>
                          <w:bCs/>
                          <w:color w:val="auto"/>
                          <w:kern w:val="0"/>
                          <w:sz w:val="24"/>
                          <w:szCs w:val="21"/>
                          <w:highlight w:val="none"/>
                        </w:rPr>
                      </w:sdtEndPr>
                      <w:sdtContent>
                        <w:r>
                          <w:rPr>
                            <w:rFonts w:hint="eastAsia" w:ascii="宋体" w:hAnsi="宋体" w:cs="宋体"/>
                            <w:color w:val="auto"/>
                            <w:kern w:val="0"/>
                            <w:sz w:val="24"/>
                            <w:szCs w:val="21"/>
                            <w:highlight w:val="none"/>
                          </w:rPr>
                          <w:sym w:font="Wingdings 2" w:char="00A3"/>
                        </w:r>
                      </w:sdtContent>
                    </w:sdt>
                  </w:sdtContent>
                </w:sdt>
              </w:sdtContent>
            </w:sdt>
            <w:r>
              <w:rPr>
                <w:rFonts w:hint="eastAsia" w:ascii="宋体" w:hAnsi="宋体" w:cs="宋体"/>
                <w:b/>
                <w:bCs/>
                <w:color w:val="auto"/>
                <w:kern w:val="0"/>
                <w:sz w:val="24"/>
                <w:highlight w:val="none"/>
              </w:rPr>
              <w:t xml:space="preserve"> </w:t>
            </w:r>
            <w:r>
              <w:rPr>
                <w:rFonts w:hint="eastAsia" w:ascii="宋体" w:hAnsi="宋体" w:cs="宋体"/>
                <w:b w:val="0"/>
                <w:bCs w:val="0"/>
                <w:color w:val="auto"/>
                <w:sz w:val="24"/>
                <w:highlight w:val="none"/>
                <w:u w:val="none"/>
              </w:rPr>
              <w:t>同意将非主体、非关键性的工作分包，但造价咨询服务为本项目关键性工作，</w:t>
            </w:r>
            <w:r>
              <w:rPr>
                <w:rFonts w:hint="eastAsia" w:ascii="宋体" w:hAnsi="宋体" w:cs="宋体"/>
                <w:b w:val="0"/>
                <w:bCs w:val="0"/>
                <w:color w:val="auto"/>
                <w:kern w:val="0"/>
                <w:sz w:val="24"/>
                <w:highlight w:val="none"/>
                <w:u w:val="none"/>
              </w:rPr>
              <w:t>不得分包</w:t>
            </w:r>
            <w:r>
              <w:rPr>
                <w:rFonts w:hint="eastAsia" w:ascii="宋体" w:hAnsi="宋体" w:cs="宋体"/>
                <w:b w:val="0"/>
                <w:bCs w:val="0"/>
                <w:color w:val="auto"/>
                <w:sz w:val="24"/>
                <w:highlight w:val="none"/>
                <w:u w:val="none"/>
              </w:rPr>
              <w:t>；</w:t>
            </w:r>
          </w:p>
          <w:p w14:paraId="54F07219">
            <w:pPr>
              <w:spacing w:line="360" w:lineRule="auto"/>
              <w:rPr>
                <w:rFonts w:ascii="宋体" w:hAnsi="宋体" w:cs="宋体"/>
                <w:color w:val="auto"/>
                <w:sz w:val="24"/>
                <w:highlight w:val="none"/>
              </w:rPr>
            </w:pPr>
            <w:sdt>
              <w:sdtPr>
                <w:rPr>
                  <w:rFonts w:hint="eastAsia" w:ascii="宋体" w:hAnsi="宋体" w:cs="宋体"/>
                  <w:color w:val="auto"/>
                  <w:kern w:val="0"/>
                  <w:sz w:val="24"/>
                  <w:szCs w:val="21"/>
                  <w:highlight w:val="none"/>
                </w:rPr>
                <w:id w:val="-1624386536"/>
              </w:sdtPr>
              <w:sdtEndPr>
                <w:rPr>
                  <w:rFonts w:hint="eastAsia" w:ascii="宋体" w:hAnsi="宋体" w:cs="宋体"/>
                  <w:b/>
                  <w:bCs/>
                  <w:color w:val="auto"/>
                  <w:kern w:val="0"/>
                  <w:sz w:val="24"/>
                  <w:szCs w:val="21"/>
                  <w:highlight w:val="none"/>
                </w:rPr>
              </w:sdtEndPr>
              <w:sdtContent>
                <w:sdt>
                  <w:sdtPr>
                    <w:rPr>
                      <w:rFonts w:hint="eastAsia" w:ascii="宋体" w:hAnsi="宋体" w:cs="宋体"/>
                      <w:color w:val="auto"/>
                      <w:kern w:val="0"/>
                      <w:sz w:val="24"/>
                      <w:szCs w:val="21"/>
                      <w:highlight w:val="none"/>
                    </w:rPr>
                    <w:id w:val="147472732"/>
                  </w:sdtPr>
                  <w:sdtEndPr>
                    <w:rPr>
                      <w:rFonts w:hint="eastAsia" w:ascii="宋体" w:hAnsi="宋体" w:cs="宋体"/>
                      <w:b/>
                      <w:bCs/>
                      <w:color w:val="auto"/>
                      <w:kern w:val="0"/>
                      <w:sz w:val="24"/>
                      <w:szCs w:val="21"/>
                      <w:highlight w:val="none"/>
                    </w:rPr>
                  </w:sdtEndPr>
                  <w:sdtContent>
                    <w:r>
                      <w:rPr>
                        <w:rFonts w:hint="eastAsia" w:ascii="宋体" w:hAnsi="宋体" w:cs="宋体"/>
                        <w:b/>
                        <w:bCs/>
                        <w:color w:val="auto"/>
                        <w:kern w:val="0"/>
                        <w:sz w:val="24"/>
                        <w:szCs w:val="21"/>
                        <w:highlight w:val="none"/>
                      </w:rPr>
                      <w:sym w:font="Wingdings 2" w:char="0052"/>
                    </w:r>
                  </w:sdtContent>
                </w:sdt>
              </w:sdtContent>
            </w:sdt>
            <w:r>
              <w:rPr>
                <w:rFonts w:hint="eastAsia" w:ascii="宋体" w:hAnsi="宋体" w:cs="宋体"/>
                <w:b/>
                <w:bCs/>
                <w:color w:val="auto"/>
                <w:kern w:val="0"/>
                <w:sz w:val="24"/>
                <w:highlight w:val="none"/>
              </w:rPr>
              <w:t xml:space="preserve"> </w:t>
            </w:r>
            <w:r>
              <w:rPr>
                <w:rFonts w:hint="eastAsia" w:ascii="宋体" w:hAnsi="宋体" w:cs="宋体"/>
                <w:b/>
                <w:bCs/>
                <w:color w:val="auto"/>
                <w:sz w:val="24"/>
                <w:highlight w:val="none"/>
              </w:rPr>
              <w:t>不同意分包。（本项目服务内容为工程造价咨询服务，对投入团队的专业性、职业规范要求较高。分包意味着多个独立法人共同承担项目责任，存在项目执行过程中执行标准不统一，沟通协调管理难度增加，一旦出现问题容易产生纠纷，影响项目服务进度，故本项目不同意分包。）</w:t>
            </w:r>
          </w:p>
        </w:tc>
      </w:tr>
      <w:tr w14:paraId="00089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7" w:hRule="atLeast"/>
          <w:tblHeader/>
        </w:trPr>
        <w:tc>
          <w:tcPr>
            <w:tcW w:w="671" w:type="dxa"/>
            <w:vMerge w:val="restart"/>
            <w:tcBorders>
              <w:top w:val="single" w:color="auto" w:sz="4" w:space="0"/>
              <w:left w:val="single" w:color="auto" w:sz="4" w:space="0"/>
              <w:right w:val="single" w:color="auto" w:sz="4" w:space="0"/>
            </w:tcBorders>
            <w:vAlign w:val="center"/>
          </w:tcPr>
          <w:p w14:paraId="36BDC12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5</w:t>
            </w:r>
          </w:p>
        </w:tc>
        <w:tc>
          <w:tcPr>
            <w:tcW w:w="1968" w:type="dxa"/>
            <w:vMerge w:val="restart"/>
            <w:tcBorders>
              <w:top w:val="single" w:color="000000" w:sz="8" w:space="0"/>
              <w:left w:val="single" w:color="auto" w:sz="4" w:space="0"/>
              <w:right w:val="single" w:color="000000" w:sz="8" w:space="0"/>
            </w:tcBorders>
            <w:vAlign w:val="center"/>
          </w:tcPr>
          <w:p w14:paraId="398C48B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供应商应当提供的资格、资信证明文件</w:t>
            </w:r>
          </w:p>
        </w:tc>
        <w:tc>
          <w:tcPr>
            <w:tcW w:w="6487" w:type="dxa"/>
            <w:tcBorders>
              <w:top w:val="single" w:color="000000" w:sz="8" w:space="0"/>
              <w:left w:val="single" w:color="000000" w:sz="2" w:space="0"/>
              <w:bottom w:val="single" w:color="000000" w:sz="8" w:space="0"/>
              <w:right w:val="single" w:color="000000" w:sz="8" w:space="0"/>
            </w:tcBorders>
            <w:vAlign w:val="center"/>
          </w:tcPr>
          <w:p w14:paraId="29812B03">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（1）资格证明文件：见征集文件第二部分11.1。</w:t>
            </w:r>
          </w:p>
          <w:p w14:paraId="0BEF2700">
            <w:pPr>
              <w:spacing w:line="360" w:lineRule="auto"/>
              <w:rPr>
                <w:rFonts w:ascii="宋体" w:hAnsi="宋体" w:cs="宋体"/>
                <w:color w:val="auto"/>
                <w:kern w:val="0"/>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供应商未提供有效的资格证明文件的，视为供应商不具备征集文件中规定的资格要求，响应无效。</w:t>
            </w:r>
          </w:p>
        </w:tc>
      </w:tr>
      <w:tr w14:paraId="385F4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77" w:hRule="atLeast"/>
          <w:tblHeader/>
        </w:trPr>
        <w:tc>
          <w:tcPr>
            <w:tcW w:w="671" w:type="dxa"/>
            <w:vMerge w:val="continue"/>
            <w:tcBorders>
              <w:left w:val="single" w:color="auto" w:sz="4" w:space="0"/>
              <w:bottom w:val="single" w:color="auto" w:sz="4" w:space="0"/>
              <w:right w:val="single" w:color="auto" w:sz="4" w:space="0"/>
            </w:tcBorders>
            <w:vAlign w:val="center"/>
          </w:tcPr>
          <w:p w14:paraId="4193F4DF">
            <w:pPr>
              <w:snapToGrid w:val="0"/>
              <w:spacing w:line="360" w:lineRule="auto"/>
              <w:jc w:val="center"/>
              <w:rPr>
                <w:rFonts w:ascii="宋体" w:hAnsi="宋体" w:cs="宋体"/>
                <w:color w:val="auto"/>
                <w:sz w:val="24"/>
                <w:highlight w:val="none"/>
              </w:rPr>
            </w:pPr>
          </w:p>
        </w:tc>
        <w:tc>
          <w:tcPr>
            <w:tcW w:w="1968" w:type="dxa"/>
            <w:vMerge w:val="continue"/>
            <w:tcBorders>
              <w:left w:val="single" w:color="auto" w:sz="4" w:space="0"/>
              <w:bottom w:val="single" w:color="000000" w:sz="8" w:space="0"/>
              <w:right w:val="single" w:color="000000" w:sz="8" w:space="0"/>
            </w:tcBorders>
            <w:vAlign w:val="center"/>
          </w:tcPr>
          <w:p w14:paraId="479D9811">
            <w:pPr>
              <w:snapToGrid w:val="0"/>
              <w:spacing w:line="360" w:lineRule="auto"/>
              <w:jc w:val="center"/>
              <w:rPr>
                <w:rFonts w:ascii="宋体" w:hAnsi="宋体" w:cs="宋体"/>
                <w:b/>
                <w:color w:val="auto"/>
                <w:sz w:val="24"/>
                <w:highlight w:val="none"/>
              </w:rPr>
            </w:pPr>
          </w:p>
        </w:tc>
        <w:tc>
          <w:tcPr>
            <w:tcW w:w="6487" w:type="dxa"/>
            <w:tcBorders>
              <w:top w:val="single" w:color="000000" w:sz="8" w:space="0"/>
              <w:left w:val="single" w:color="000000" w:sz="2" w:space="0"/>
              <w:bottom w:val="single" w:color="000000" w:sz="8" w:space="0"/>
              <w:right w:val="single" w:color="000000" w:sz="8" w:space="0"/>
            </w:tcBorders>
            <w:vAlign w:val="center"/>
          </w:tcPr>
          <w:p w14:paraId="1040BEE4">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（2）资信证明文件：根据征集文件第四部分具体评标标准提供。</w:t>
            </w:r>
          </w:p>
        </w:tc>
      </w:tr>
      <w:tr w14:paraId="2718A7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22A29D86">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6</w:t>
            </w:r>
          </w:p>
        </w:tc>
        <w:tc>
          <w:tcPr>
            <w:tcW w:w="1968" w:type="dxa"/>
            <w:tcBorders>
              <w:top w:val="single" w:color="000000" w:sz="8" w:space="0"/>
              <w:left w:val="single" w:color="auto" w:sz="4" w:space="0"/>
              <w:bottom w:val="single" w:color="000000" w:sz="8" w:space="0"/>
              <w:right w:val="single" w:color="000000" w:sz="8" w:space="0"/>
            </w:tcBorders>
            <w:vAlign w:val="center"/>
          </w:tcPr>
          <w:p w14:paraId="1BB9775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487" w:type="dxa"/>
            <w:tcBorders>
              <w:top w:val="single" w:color="000000" w:sz="8" w:space="0"/>
              <w:left w:val="single" w:color="000000" w:sz="2" w:space="0"/>
              <w:bottom w:val="single" w:color="000000" w:sz="8" w:space="0"/>
              <w:right w:val="single" w:color="000000" w:sz="8" w:space="0"/>
            </w:tcBorders>
            <w:vAlign w:val="center"/>
          </w:tcPr>
          <w:p w14:paraId="467AD3A4">
            <w:pPr>
              <w:spacing w:line="360" w:lineRule="auto"/>
              <w:rPr>
                <w:rFonts w:ascii="宋体" w:hAnsi="宋体" w:cs="宋体"/>
                <w:color w:val="auto"/>
                <w:sz w:val="24"/>
                <w:highlight w:val="none"/>
              </w:rPr>
            </w:pPr>
            <w:sdt>
              <w:sdtPr>
                <w:rPr>
                  <w:rFonts w:hint="eastAsia" w:ascii="宋体" w:hAnsi="宋体" w:cs="宋体"/>
                  <w:color w:val="auto"/>
                  <w:kern w:val="0"/>
                  <w:sz w:val="24"/>
                  <w:szCs w:val="21"/>
                  <w:highlight w:val="none"/>
                </w:rPr>
                <w:id w:val="11632144"/>
              </w:sdtPr>
              <w:sdtEndPr>
                <w:rPr>
                  <w:rFonts w:hint="eastAsia" w:ascii="宋体" w:hAnsi="宋体" w:cs="宋体"/>
                  <w:color w:val="auto"/>
                  <w:kern w:val="0"/>
                  <w:sz w:val="24"/>
                  <w:szCs w:val="21"/>
                  <w:highlight w:val="none"/>
                </w:rPr>
              </w:sdtEndPr>
              <w:sdtContent>
                <w:sdt>
                  <w:sdtPr>
                    <w:rPr>
                      <w:rFonts w:hint="eastAsia" w:ascii="宋体" w:hAnsi="宋体" w:cs="宋体"/>
                      <w:color w:val="auto"/>
                      <w:kern w:val="0"/>
                      <w:sz w:val="24"/>
                      <w:highlight w:val="none"/>
                    </w:rPr>
                    <w:id w:val="4552815"/>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highlight w:val="none"/>
                        </w:rPr>
                        <w:id w:val="2822843"/>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szCs w:val="21"/>
                              <w:highlight w:val="none"/>
                            </w:rPr>
                            <w:id w:val="1423224521"/>
                          </w:sdtPr>
                          <w:sdtEndPr>
                            <w:rPr>
                              <w:rFonts w:hint="eastAsia" w:ascii="宋体" w:hAnsi="宋体" w:cs="宋体"/>
                              <w:color w:val="auto"/>
                              <w:kern w:val="0"/>
                              <w:sz w:val="24"/>
                              <w:szCs w:val="21"/>
                              <w:highlight w:val="none"/>
                            </w:rPr>
                          </w:sdtEndPr>
                          <w:sdtContent>
                            <w:sdt>
                              <w:sdtPr>
                                <w:rPr>
                                  <w:rFonts w:hint="eastAsia" w:ascii="宋体" w:hAnsi="宋体" w:cs="宋体"/>
                                  <w:color w:val="auto"/>
                                  <w:kern w:val="0"/>
                                  <w:sz w:val="24"/>
                                  <w:szCs w:val="21"/>
                                  <w:highlight w:val="none"/>
                                </w:rPr>
                                <w:id w:val="147481985"/>
                              </w:sdtPr>
                              <w:sdtEndPr>
                                <w:rPr>
                                  <w:rFonts w:hint="eastAsia" w:ascii="宋体" w:hAnsi="宋体" w:cs="宋体"/>
                                  <w:b/>
                                  <w:bCs/>
                                  <w:color w:val="auto"/>
                                  <w:kern w:val="0"/>
                                  <w:sz w:val="24"/>
                                  <w:szCs w:val="21"/>
                                  <w:highlight w:val="none"/>
                                </w:rPr>
                              </w:sdtEndPr>
                              <w:sdtContent>
                                <w:r>
                                  <w:rPr>
                                    <w:rFonts w:hint="eastAsia" w:ascii="宋体" w:hAnsi="宋体" w:cs="宋体"/>
                                    <w:b/>
                                    <w:bCs/>
                                    <w:color w:val="auto"/>
                                    <w:kern w:val="0"/>
                                    <w:sz w:val="24"/>
                                    <w:szCs w:val="21"/>
                                    <w:highlight w:val="none"/>
                                  </w:rPr>
                                  <w:sym w:font="Wingdings 2" w:char="0052"/>
                                </w:r>
                              </w:sdtContent>
                            </w:sdt>
                            <w:r>
                              <w:rPr>
                                <w:rFonts w:hint="eastAsia" w:ascii="宋体" w:hAnsi="宋体" w:cs="宋体"/>
                                <w:b/>
                                <w:bCs/>
                                <w:color w:val="auto"/>
                                <w:kern w:val="0"/>
                                <w:sz w:val="24"/>
                                <w:highlight w:val="none"/>
                              </w:rPr>
                              <w:t xml:space="preserve"> </w:t>
                            </w:r>
                          </w:sdtContent>
                        </w:sdt>
                      </w:sdtContent>
                    </w:sdt>
                  </w:sdtContent>
                </w:sdt>
              </w:sdtContent>
            </w:sdt>
            <w:r>
              <w:rPr>
                <w:rFonts w:hint="eastAsia" w:ascii="宋体" w:hAnsi="宋体" w:cs="宋体"/>
                <w:color w:val="auto"/>
                <w:kern w:val="0"/>
                <w:sz w:val="24"/>
                <w:szCs w:val="21"/>
                <w:highlight w:val="none"/>
              </w:rPr>
              <w:t xml:space="preserve"> </w:t>
            </w:r>
            <w:r>
              <w:rPr>
                <w:rFonts w:hint="eastAsia" w:ascii="宋体" w:hAnsi="宋体" w:cs="宋体"/>
                <w:color w:val="auto"/>
                <w:sz w:val="24"/>
                <w:highlight w:val="none"/>
              </w:rPr>
              <w:t>不组织。</w:t>
            </w:r>
          </w:p>
          <w:p w14:paraId="3AA1C91D">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1632145"/>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 xml:space="preserve">  组织，</w:t>
            </w:r>
            <w:r>
              <w:rPr>
                <w:rFonts w:hint="eastAsia" w:ascii="宋体" w:hAnsi="宋体" w:cs="宋体"/>
                <w:color w:val="auto"/>
                <w:sz w:val="24"/>
                <w:highlight w:val="none"/>
              </w:rPr>
              <w:t>时间：,地点：，联系人：，联系方式：。</w:t>
            </w:r>
          </w:p>
        </w:tc>
      </w:tr>
      <w:tr w14:paraId="283BB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57" w:hRule="atLeast"/>
          <w:tblHeader/>
        </w:trPr>
        <w:tc>
          <w:tcPr>
            <w:tcW w:w="671" w:type="dxa"/>
            <w:tcBorders>
              <w:top w:val="single" w:color="auto" w:sz="4" w:space="0"/>
              <w:left w:val="single" w:color="auto" w:sz="4" w:space="0"/>
              <w:right w:val="single" w:color="auto" w:sz="4" w:space="0"/>
            </w:tcBorders>
            <w:vAlign w:val="center"/>
          </w:tcPr>
          <w:p w14:paraId="5B0C5D6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7</w:t>
            </w:r>
          </w:p>
        </w:tc>
        <w:tc>
          <w:tcPr>
            <w:tcW w:w="1968" w:type="dxa"/>
            <w:tcBorders>
              <w:top w:val="single" w:color="000000" w:sz="8" w:space="0"/>
              <w:left w:val="single" w:color="auto" w:sz="4" w:space="0"/>
              <w:right w:val="single" w:color="000000" w:sz="8" w:space="0"/>
            </w:tcBorders>
            <w:vAlign w:val="center"/>
          </w:tcPr>
          <w:p w14:paraId="2B5AA2E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487" w:type="dxa"/>
            <w:tcBorders>
              <w:top w:val="single" w:color="000000" w:sz="8" w:space="0"/>
              <w:left w:val="single" w:color="000000" w:sz="2" w:space="0"/>
              <w:right w:val="single" w:color="000000" w:sz="8" w:space="0"/>
            </w:tcBorders>
            <w:vAlign w:val="center"/>
          </w:tcPr>
          <w:p w14:paraId="1E9EDA85">
            <w:pPr>
              <w:spacing w:line="360" w:lineRule="auto"/>
              <w:rPr>
                <w:rFonts w:ascii="宋体" w:hAnsi="宋体" w:cs="宋体"/>
                <w:color w:val="auto"/>
                <w:sz w:val="24"/>
                <w:highlight w:val="none"/>
              </w:rPr>
            </w:pPr>
            <w:sdt>
              <w:sdtPr>
                <w:rPr>
                  <w:rFonts w:hint="eastAsia" w:ascii="宋体" w:hAnsi="宋体" w:cs="宋体"/>
                  <w:color w:val="auto"/>
                  <w:kern w:val="0"/>
                  <w:sz w:val="24"/>
                  <w:szCs w:val="21"/>
                  <w:highlight w:val="none"/>
                </w:rPr>
                <w:id w:val="11632146"/>
              </w:sdtPr>
              <w:sdtEndPr>
                <w:rPr>
                  <w:rFonts w:hint="eastAsia" w:ascii="宋体" w:hAnsi="宋体" w:cs="宋体"/>
                  <w:color w:val="auto"/>
                  <w:kern w:val="0"/>
                  <w:sz w:val="24"/>
                  <w:szCs w:val="21"/>
                  <w:highlight w:val="none"/>
                </w:rPr>
              </w:sdtEndPr>
              <w:sdtContent>
                <w:sdt>
                  <w:sdtPr>
                    <w:rPr>
                      <w:rFonts w:hint="eastAsia" w:ascii="宋体" w:hAnsi="宋体" w:cs="宋体"/>
                      <w:color w:val="auto"/>
                      <w:kern w:val="0"/>
                      <w:sz w:val="24"/>
                      <w:highlight w:val="none"/>
                    </w:rPr>
                    <w:id w:val="4552816"/>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szCs w:val="21"/>
                          <w:highlight w:val="none"/>
                        </w:rPr>
                        <w:id w:val="-957790481"/>
                      </w:sdtPr>
                      <w:sdtEndPr>
                        <w:rPr>
                          <w:rFonts w:hint="eastAsia" w:ascii="宋体" w:hAnsi="宋体" w:cs="宋体"/>
                          <w:color w:val="auto"/>
                          <w:kern w:val="0"/>
                          <w:sz w:val="24"/>
                          <w:szCs w:val="21"/>
                          <w:highlight w:val="none"/>
                        </w:rPr>
                      </w:sdtEndPr>
                      <w:sdtContent>
                        <w:sdt>
                          <w:sdtPr>
                            <w:rPr>
                              <w:rFonts w:hint="eastAsia" w:ascii="宋体" w:hAnsi="宋体" w:cs="宋体"/>
                              <w:color w:val="auto"/>
                              <w:kern w:val="0"/>
                              <w:sz w:val="24"/>
                              <w:szCs w:val="21"/>
                              <w:highlight w:val="none"/>
                            </w:rPr>
                            <w:id w:val="147482899"/>
                          </w:sdtPr>
                          <w:sdtEndPr>
                            <w:rPr>
                              <w:rFonts w:hint="eastAsia" w:ascii="宋体" w:hAnsi="宋体" w:cs="宋体"/>
                              <w:b/>
                              <w:bCs/>
                              <w:color w:val="auto"/>
                              <w:kern w:val="0"/>
                              <w:sz w:val="24"/>
                              <w:szCs w:val="21"/>
                              <w:highlight w:val="none"/>
                            </w:rPr>
                          </w:sdtEndPr>
                          <w:sdtContent>
                            <w:r>
                              <w:rPr>
                                <w:rFonts w:hint="eastAsia" w:ascii="宋体" w:hAnsi="宋体" w:cs="宋体"/>
                                <w:b/>
                                <w:bCs/>
                                <w:color w:val="auto"/>
                                <w:kern w:val="0"/>
                                <w:sz w:val="24"/>
                                <w:szCs w:val="21"/>
                                <w:highlight w:val="none"/>
                              </w:rPr>
                              <w:sym w:font="Wingdings 2" w:char="0052"/>
                            </w:r>
                          </w:sdtContent>
                        </w:sdt>
                        <w:r>
                          <w:rPr>
                            <w:rFonts w:hint="eastAsia" w:ascii="宋体" w:hAnsi="宋体" w:cs="宋体"/>
                            <w:b/>
                            <w:bCs/>
                            <w:color w:val="auto"/>
                            <w:kern w:val="0"/>
                            <w:sz w:val="24"/>
                            <w:highlight w:val="none"/>
                          </w:rPr>
                          <w:t xml:space="preserve"> </w:t>
                        </w:r>
                      </w:sdtContent>
                    </w:sdt>
                  </w:sdtContent>
                </w:sdt>
              </w:sdtContent>
            </w:sdt>
            <w:r>
              <w:rPr>
                <w:rFonts w:hint="eastAsia" w:ascii="宋体" w:hAnsi="宋体" w:cs="宋体"/>
                <w:color w:val="auto"/>
                <w:kern w:val="0"/>
                <w:sz w:val="24"/>
                <w:szCs w:val="21"/>
                <w:highlight w:val="none"/>
              </w:rPr>
              <w:t xml:space="preserve"> </w:t>
            </w:r>
            <w:r>
              <w:rPr>
                <w:rFonts w:hint="eastAsia" w:ascii="宋体" w:hAnsi="宋体" w:cs="宋体"/>
                <w:color w:val="auto"/>
                <w:sz w:val="24"/>
                <w:highlight w:val="none"/>
              </w:rPr>
              <w:t>不要求提供。</w:t>
            </w:r>
          </w:p>
          <w:p w14:paraId="0B281879">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2822846"/>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sdt>
              <w:sdtPr>
                <w:rPr>
                  <w:rFonts w:hint="eastAsia" w:ascii="宋体" w:hAnsi="宋体" w:cs="宋体"/>
                  <w:color w:val="auto"/>
                  <w:kern w:val="0"/>
                  <w:sz w:val="24"/>
                  <w:highlight w:val="none"/>
                </w:rPr>
                <w:id w:val="1026831988"/>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highlight w:val="none"/>
                    </w:rPr>
                    <w:id w:val="5283195"/>
                  </w:sdtPr>
                  <w:sdtEndPr>
                    <w:rPr>
                      <w:rFonts w:hint="eastAsia" w:ascii="宋体" w:hAnsi="宋体" w:cs="宋体"/>
                      <w:color w:val="auto"/>
                      <w:kern w:val="0"/>
                      <w:sz w:val="24"/>
                      <w:highlight w:val="none"/>
                    </w:rPr>
                  </w:sdtEndPr>
                  <w:sdtContent/>
                </w:sdt>
              </w:sdtContent>
            </w:sdt>
            <w:r>
              <w:rPr>
                <w:rFonts w:hint="eastAsia" w:ascii="宋体" w:hAnsi="宋体" w:cs="宋体"/>
                <w:color w:val="auto"/>
                <w:kern w:val="0"/>
                <w:sz w:val="24"/>
                <w:highlight w:val="none"/>
              </w:rPr>
              <w:t xml:space="preserve">  要求提供。</w:t>
            </w:r>
          </w:p>
        </w:tc>
      </w:tr>
      <w:tr w14:paraId="25BADE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blHeader/>
        </w:trPr>
        <w:tc>
          <w:tcPr>
            <w:tcW w:w="671" w:type="dxa"/>
            <w:tcBorders>
              <w:top w:val="single" w:color="auto" w:sz="4" w:space="0"/>
              <w:left w:val="single" w:color="000000" w:sz="8" w:space="0"/>
              <w:bottom w:val="single" w:color="auto" w:sz="4" w:space="0"/>
              <w:right w:val="single" w:color="000000" w:sz="2" w:space="0"/>
            </w:tcBorders>
            <w:vAlign w:val="center"/>
          </w:tcPr>
          <w:p w14:paraId="43C0E88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8</w:t>
            </w:r>
          </w:p>
        </w:tc>
        <w:tc>
          <w:tcPr>
            <w:tcW w:w="1968" w:type="dxa"/>
            <w:tcBorders>
              <w:top w:val="single" w:color="000000" w:sz="8" w:space="0"/>
              <w:left w:val="single" w:color="000000" w:sz="2" w:space="0"/>
              <w:bottom w:val="single" w:color="000000" w:sz="8" w:space="0"/>
              <w:right w:val="single" w:color="000000" w:sz="8" w:space="0"/>
            </w:tcBorders>
            <w:vAlign w:val="center"/>
          </w:tcPr>
          <w:p w14:paraId="1056BEAE">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487" w:type="dxa"/>
            <w:tcBorders>
              <w:top w:val="single" w:color="000000" w:sz="8" w:space="0"/>
              <w:left w:val="single" w:color="000000" w:sz="2" w:space="0"/>
              <w:bottom w:val="single" w:color="000000" w:sz="8" w:space="0"/>
              <w:right w:val="single" w:color="000000" w:sz="8" w:space="0"/>
            </w:tcBorders>
            <w:vAlign w:val="center"/>
          </w:tcPr>
          <w:p w14:paraId="276AA8DA">
            <w:pPr>
              <w:spacing w:line="360" w:lineRule="auto"/>
              <w:rPr>
                <w:rFonts w:ascii="宋体" w:hAnsi="宋体" w:cs="宋体"/>
                <w:color w:val="auto"/>
                <w:sz w:val="24"/>
                <w:highlight w:val="none"/>
              </w:rPr>
            </w:pPr>
            <w:sdt>
              <w:sdtPr>
                <w:rPr>
                  <w:rFonts w:hint="eastAsia" w:ascii="宋体" w:hAnsi="宋体" w:cs="宋体"/>
                  <w:color w:val="auto"/>
                  <w:kern w:val="0"/>
                  <w:sz w:val="24"/>
                  <w:szCs w:val="21"/>
                  <w:highlight w:val="none"/>
                </w:rPr>
                <w:id w:val="11632147"/>
              </w:sdtPr>
              <w:sdtEndPr>
                <w:rPr>
                  <w:rFonts w:hint="eastAsia" w:ascii="宋体" w:hAnsi="宋体" w:cs="宋体"/>
                  <w:color w:val="auto"/>
                  <w:kern w:val="0"/>
                  <w:sz w:val="24"/>
                  <w:szCs w:val="21"/>
                  <w:highlight w:val="none"/>
                </w:rPr>
              </w:sdtEndPr>
              <w:sdtContent>
                <w:sdt>
                  <w:sdtPr>
                    <w:rPr>
                      <w:rFonts w:hint="eastAsia" w:ascii="宋体" w:hAnsi="宋体" w:cs="宋体"/>
                      <w:color w:val="auto"/>
                      <w:kern w:val="0"/>
                      <w:sz w:val="24"/>
                      <w:szCs w:val="21"/>
                      <w:highlight w:val="none"/>
                    </w:rPr>
                    <w:id w:val="4552817"/>
                  </w:sdtPr>
                  <w:sdtEndPr>
                    <w:rPr>
                      <w:rFonts w:hint="eastAsia" w:ascii="宋体" w:hAnsi="宋体" w:cs="宋体"/>
                      <w:color w:val="auto"/>
                      <w:kern w:val="0"/>
                      <w:sz w:val="24"/>
                      <w:szCs w:val="21"/>
                      <w:highlight w:val="none"/>
                    </w:rPr>
                  </w:sdtEndPr>
                  <w:sdtContent>
                    <w:sdt>
                      <w:sdtPr>
                        <w:rPr>
                          <w:rFonts w:hint="eastAsia" w:ascii="宋体" w:hAnsi="宋体" w:cs="宋体"/>
                          <w:color w:val="auto"/>
                          <w:kern w:val="0"/>
                          <w:sz w:val="24"/>
                          <w:highlight w:val="none"/>
                        </w:rPr>
                        <w:id w:val="25188266"/>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szCs w:val="21"/>
                              <w:highlight w:val="none"/>
                            </w:rPr>
                            <w:id w:val="-1616743613"/>
                          </w:sdtPr>
                          <w:sdtEndPr>
                            <w:rPr>
                              <w:rFonts w:hint="eastAsia" w:ascii="宋体" w:hAnsi="宋体" w:cs="宋体"/>
                              <w:color w:val="auto"/>
                              <w:kern w:val="0"/>
                              <w:sz w:val="24"/>
                              <w:szCs w:val="21"/>
                              <w:highlight w:val="none"/>
                            </w:rPr>
                          </w:sdtEndPr>
                          <w:sdtContent>
                            <w:sdt>
                              <w:sdtPr>
                                <w:rPr>
                                  <w:rFonts w:hint="eastAsia" w:ascii="宋体" w:hAnsi="宋体" w:cs="宋体"/>
                                  <w:color w:val="auto"/>
                                  <w:kern w:val="0"/>
                                  <w:sz w:val="24"/>
                                  <w:szCs w:val="21"/>
                                  <w:highlight w:val="none"/>
                                </w:rPr>
                                <w:id w:val="147459691"/>
                              </w:sdtPr>
                              <w:sdtEndPr>
                                <w:rPr>
                                  <w:rFonts w:hint="eastAsia" w:ascii="宋体" w:hAnsi="宋体" w:cs="宋体"/>
                                  <w:b/>
                                  <w:bCs/>
                                  <w:color w:val="auto"/>
                                  <w:kern w:val="0"/>
                                  <w:sz w:val="24"/>
                                  <w:szCs w:val="21"/>
                                  <w:highlight w:val="none"/>
                                </w:rPr>
                              </w:sdtEndPr>
                              <w:sdtContent>
                                <w:r>
                                  <w:rPr>
                                    <w:rFonts w:hint="eastAsia" w:ascii="宋体" w:hAnsi="宋体" w:cs="宋体"/>
                                    <w:b/>
                                    <w:bCs/>
                                    <w:color w:val="auto"/>
                                    <w:kern w:val="0"/>
                                    <w:sz w:val="24"/>
                                    <w:szCs w:val="21"/>
                                    <w:highlight w:val="none"/>
                                  </w:rPr>
                                  <w:sym w:font="Wingdings 2" w:char="0052"/>
                                </w:r>
                              </w:sdtContent>
                            </w:sdt>
                            <w:r>
                              <w:rPr>
                                <w:rFonts w:hint="eastAsia" w:ascii="宋体" w:hAnsi="宋体" w:cs="宋体"/>
                                <w:b/>
                                <w:bCs/>
                                <w:color w:val="auto"/>
                                <w:kern w:val="0"/>
                                <w:sz w:val="24"/>
                                <w:highlight w:val="none"/>
                              </w:rPr>
                              <w:t xml:space="preserve"> </w:t>
                            </w:r>
                          </w:sdtContent>
                        </w:sdt>
                      </w:sdtContent>
                    </w:sdt>
                  </w:sdtContent>
                </w:sdt>
              </w:sdtContent>
            </w:sdt>
            <w:r>
              <w:rPr>
                <w:rFonts w:hint="eastAsia" w:ascii="宋体" w:hAnsi="宋体" w:cs="宋体"/>
                <w:color w:val="auto"/>
                <w:kern w:val="0"/>
                <w:sz w:val="24"/>
                <w:szCs w:val="21"/>
                <w:highlight w:val="none"/>
              </w:rPr>
              <w:t xml:space="preserve"> </w:t>
            </w:r>
            <w:r>
              <w:rPr>
                <w:rFonts w:hint="eastAsia" w:ascii="宋体" w:hAnsi="宋体" w:cs="宋体"/>
                <w:color w:val="auto"/>
                <w:sz w:val="24"/>
                <w:highlight w:val="none"/>
              </w:rPr>
              <w:t>不组织。</w:t>
            </w:r>
          </w:p>
          <w:p w14:paraId="7CFE4315">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highlight w:val="none"/>
                    </w:rPr>
                    <w:id w:val="11632148"/>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highlight w:val="none"/>
                        </w:rPr>
                        <w:id w:val="2822848"/>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sdtContent>
                </w:sdt>
              </w:sdtContent>
            </w:sdt>
            <w:r>
              <w:rPr>
                <w:rFonts w:hint="eastAsia" w:ascii="宋体" w:hAnsi="宋体" w:cs="宋体"/>
                <w:color w:val="auto"/>
                <w:kern w:val="0"/>
                <w:sz w:val="24"/>
                <w:highlight w:val="none"/>
              </w:rPr>
              <w:t xml:space="preserve">  组织。</w:t>
            </w:r>
          </w:p>
        </w:tc>
      </w:tr>
      <w:tr w14:paraId="21E68C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6" w:hRule="atLeast"/>
          <w:tblHeader/>
        </w:trPr>
        <w:tc>
          <w:tcPr>
            <w:tcW w:w="671" w:type="dxa"/>
            <w:tcBorders>
              <w:top w:val="single" w:color="auto" w:sz="4" w:space="0"/>
              <w:left w:val="single" w:color="000000" w:sz="8" w:space="0"/>
              <w:bottom w:val="single" w:color="auto" w:sz="4" w:space="0"/>
              <w:right w:val="single" w:color="000000" w:sz="2" w:space="0"/>
            </w:tcBorders>
            <w:vAlign w:val="center"/>
          </w:tcPr>
          <w:p w14:paraId="71E2654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9</w:t>
            </w:r>
          </w:p>
        </w:tc>
        <w:tc>
          <w:tcPr>
            <w:tcW w:w="1968" w:type="dxa"/>
            <w:tcBorders>
              <w:top w:val="single" w:color="000000" w:sz="8" w:space="0"/>
              <w:left w:val="single" w:color="000000" w:sz="2" w:space="0"/>
              <w:bottom w:val="single" w:color="000000" w:sz="8" w:space="0"/>
              <w:right w:val="single" w:color="000000" w:sz="8" w:space="0"/>
            </w:tcBorders>
            <w:vAlign w:val="center"/>
          </w:tcPr>
          <w:p w14:paraId="156E22E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487" w:type="dxa"/>
            <w:tcBorders>
              <w:top w:val="single" w:color="000000" w:sz="8" w:space="0"/>
              <w:left w:val="single" w:color="000000" w:sz="2" w:space="0"/>
              <w:bottom w:val="single" w:color="000000" w:sz="8" w:space="0"/>
              <w:right w:val="single" w:color="000000" w:sz="8" w:space="0"/>
            </w:tcBorders>
            <w:vAlign w:val="center"/>
          </w:tcPr>
          <w:p w14:paraId="0A56A1B5">
            <w:pPr>
              <w:spacing w:line="360" w:lineRule="auto"/>
              <w:rPr>
                <w:rFonts w:ascii="宋体" w:hAnsi="宋体" w:cs="宋体"/>
                <w:color w:val="auto"/>
                <w:kern w:val="0"/>
                <w:sz w:val="24"/>
                <w:highlight w:val="none"/>
              </w:rPr>
            </w:pPr>
            <w:sdt>
              <w:sdtPr>
                <w:rPr>
                  <w:rFonts w:hint="eastAsia" w:ascii="宋体" w:hAnsi="宋体" w:cs="宋体"/>
                  <w:color w:val="auto"/>
                  <w:kern w:val="0"/>
                  <w:sz w:val="24"/>
                  <w:szCs w:val="21"/>
                  <w:highlight w:val="none"/>
                </w:rPr>
                <w:id w:val="11632149"/>
              </w:sdtPr>
              <w:sdtEndPr>
                <w:rPr>
                  <w:rFonts w:hint="eastAsia" w:ascii="宋体" w:hAnsi="宋体" w:cs="宋体"/>
                  <w:color w:val="auto"/>
                  <w:kern w:val="0"/>
                  <w:sz w:val="24"/>
                  <w:szCs w:val="21"/>
                  <w:highlight w:val="none"/>
                </w:rPr>
              </w:sdtEndPr>
              <w:sdtContent>
                <w:sdt>
                  <w:sdtPr>
                    <w:rPr>
                      <w:rFonts w:hint="eastAsia" w:ascii="宋体" w:hAnsi="宋体" w:cs="宋体"/>
                      <w:color w:val="auto"/>
                      <w:kern w:val="0"/>
                      <w:sz w:val="24"/>
                      <w:highlight w:val="none"/>
                    </w:rPr>
                    <w:id w:val="2822850"/>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highlight w:val="none"/>
                        </w:rPr>
                        <w:id w:val="25188267"/>
                      </w:sdtPr>
                      <w:sdtEndPr>
                        <w:rPr>
                          <w:rFonts w:hint="eastAsia" w:ascii="宋体" w:hAnsi="宋体" w:cs="宋体"/>
                          <w:color w:val="auto"/>
                          <w:kern w:val="0"/>
                          <w:sz w:val="24"/>
                          <w:highlight w:val="none"/>
                        </w:rPr>
                      </w:sdtEndPr>
                      <w:sdtContent>
                        <w:sdt>
                          <w:sdtPr>
                            <w:rPr>
                              <w:rFonts w:hint="eastAsia" w:ascii="宋体" w:hAnsi="宋体" w:cs="宋体"/>
                              <w:color w:val="auto"/>
                              <w:kern w:val="0"/>
                              <w:sz w:val="24"/>
                              <w:szCs w:val="21"/>
                              <w:highlight w:val="none"/>
                            </w:rPr>
                            <w:id w:val="147475980"/>
                          </w:sdtPr>
                          <w:sdtEndPr>
                            <w:rPr>
                              <w:rFonts w:hint="eastAsia" w:ascii="宋体" w:hAnsi="宋体" w:cs="宋体"/>
                              <w:b/>
                              <w:bCs/>
                              <w:color w:val="auto"/>
                              <w:kern w:val="0"/>
                              <w:sz w:val="24"/>
                              <w:szCs w:val="21"/>
                              <w:highlight w:val="none"/>
                            </w:rPr>
                          </w:sdtEndPr>
                          <w:sdtContent>
                            <w:r>
                              <w:rPr>
                                <w:rFonts w:hint="eastAsia" w:ascii="宋体" w:hAnsi="宋体" w:cs="宋体"/>
                                <w:b/>
                                <w:bCs/>
                                <w:color w:val="auto"/>
                                <w:kern w:val="0"/>
                                <w:sz w:val="24"/>
                                <w:szCs w:val="21"/>
                                <w:highlight w:val="none"/>
                              </w:rPr>
                              <w:sym w:font="Wingdings 2" w:char="0052"/>
                            </w:r>
                          </w:sdtContent>
                        </w:sdt>
                        <w:r>
                          <w:rPr>
                            <w:rFonts w:hint="eastAsia" w:ascii="宋体" w:hAnsi="宋体" w:cs="宋体"/>
                            <w:b/>
                            <w:bCs/>
                            <w:color w:val="auto"/>
                            <w:kern w:val="0"/>
                            <w:sz w:val="24"/>
                            <w:highlight w:val="none"/>
                          </w:rPr>
                          <w:t xml:space="preserve"> </w:t>
                        </w:r>
                      </w:sdtContent>
                    </w:sdt>
                  </w:sdtContent>
                </w:sdt>
              </w:sdtContent>
            </w:sdt>
            <w:r>
              <w:rPr>
                <w:rFonts w:hint="eastAsia" w:ascii="宋体" w:hAnsi="宋体" w:cs="宋体"/>
                <w:color w:val="auto"/>
                <w:kern w:val="0"/>
                <w:sz w:val="24"/>
                <w:highlight w:val="none"/>
              </w:rPr>
              <w:t>本项目不允许采购进口产品。</w:t>
            </w:r>
          </w:p>
          <w:p w14:paraId="757B7679">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1632150"/>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 xml:space="preserve">☐ </w:t>
                </w:r>
              </w:sdtContent>
            </w:sdt>
            <w:r>
              <w:rPr>
                <w:rFonts w:hint="eastAsia" w:ascii="宋体" w:hAnsi="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794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9" w:hRule="atLeast"/>
          <w:tblHeader/>
        </w:trPr>
        <w:tc>
          <w:tcPr>
            <w:tcW w:w="671" w:type="dxa"/>
            <w:tcBorders>
              <w:top w:val="single" w:color="auto" w:sz="4" w:space="0"/>
              <w:left w:val="single" w:color="000000" w:sz="8" w:space="0"/>
              <w:bottom w:val="single" w:color="auto" w:sz="4" w:space="0"/>
              <w:right w:val="single" w:color="000000" w:sz="2" w:space="0"/>
            </w:tcBorders>
            <w:vAlign w:val="center"/>
          </w:tcPr>
          <w:p w14:paraId="1C64A5E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10</w:t>
            </w:r>
          </w:p>
        </w:tc>
        <w:tc>
          <w:tcPr>
            <w:tcW w:w="1968" w:type="dxa"/>
            <w:tcBorders>
              <w:top w:val="single" w:color="000000" w:sz="8" w:space="0"/>
              <w:left w:val="single" w:color="000000" w:sz="2" w:space="0"/>
              <w:bottom w:val="single" w:color="000000" w:sz="8" w:space="0"/>
              <w:right w:val="single" w:color="000000" w:sz="8" w:space="0"/>
            </w:tcBorders>
            <w:vAlign w:val="center"/>
          </w:tcPr>
          <w:p w14:paraId="1EE07FC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6487" w:type="dxa"/>
            <w:tcBorders>
              <w:top w:val="single" w:color="000000" w:sz="8" w:space="0"/>
              <w:left w:val="single" w:color="000000" w:sz="2" w:space="0"/>
              <w:bottom w:val="single" w:color="000000" w:sz="8" w:space="0"/>
              <w:right w:val="single" w:color="000000" w:sz="8" w:space="0"/>
            </w:tcBorders>
            <w:vAlign w:val="center"/>
          </w:tcPr>
          <w:p w14:paraId="4A6BD32B">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18727868"/>
                <w:showingPlcHdr/>
              </w:sdtPr>
              <w:sdtEndPr>
                <w:rPr>
                  <w:rFonts w:hint="eastAsia" w:ascii="宋体" w:hAnsi="宋体" w:cs="宋体"/>
                  <w:color w:val="auto"/>
                  <w:kern w:val="0"/>
                  <w:sz w:val="24"/>
                  <w:highlight w:val="none"/>
                </w:rPr>
              </w:sdtEndPr>
              <w:sdtContent/>
            </w:sdt>
            <w:r>
              <w:rPr>
                <w:rFonts w:hint="eastAsia" w:ascii="宋体" w:hAnsi="宋体" w:cs="宋体"/>
                <w:color w:val="auto"/>
                <w:sz w:val="24"/>
                <w:highlight w:val="none"/>
              </w:rPr>
              <w:t>服务类。</w:t>
            </w:r>
          </w:p>
        </w:tc>
      </w:tr>
      <w:tr w14:paraId="0C1A96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9" w:hRule="atLeast"/>
          <w:tblHeader/>
        </w:trPr>
        <w:tc>
          <w:tcPr>
            <w:tcW w:w="671" w:type="dxa"/>
            <w:tcBorders>
              <w:top w:val="single" w:color="auto" w:sz="4" w:space="0"/>
              <w:left w:val="single" w:color="000000" w:sz="8" w:space="0"/>
              <w:bottom w:val="single" w:color="auto" w:sz="4" w:space="0"/>
              <w:right w:val="single" w:color="000000" w:sz="2" w:space="0"/>
            </w:tcBorders>
            <w:vAlign w:val="center"/>
          </w:tcPr>
          <w:p w14:paraId="0B3C865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11</w:t>
            </w:r>
          </w:p>
        </w:tc>
        <w:tc>
          <w:tcPr>
            <w:tcW w:w="1968" w:type="dxa"/>
            <w:tcBorders>
              <w:top w:val="single" w:color="000000" w:sz="8" w:space="0"/>
              <w:left w:val="single" w:color="000000" w:sz="2" w:space="0"/>
              <w:bottom w:val="single" w:color="000000" w:sz="8" w:space="0"/>
              <w:right w:val="single" w:color="000000" w:sz="8" w:space="0"/>
            </w:tcBorders>
            <w:vAlign w:val="center"/>
          </w:tcPr>
          <w:p w14:paraId="389BCAC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中小企业划分标准所属行业</w:t>
            </w:r>
          </w:p>
        </w:tc>
        <w:tc>
          <w:tcPr>
            <w:tcW w:w="6487" w:type="dxa"/>
            <w:tcBorders>
              <w:top w:val="single" w:color="000000" w:sz="8" w:space="0"/>
              <w:left w:val="single" w:color="000000" w:sz="2" w:space="0"/>
              <w:bottom w:val="single" w:color="000000" w:sz="8" w:space="0"/>
              <w:right w:val="single" w:color="000000" w:sz="8" w:space="0"/>
            </w:tcBorders>
            <w:vAlign w:val="center"/>
          </w:tcPr>
          <w:p w14:paraId="211AB20F">
            <w:pPr>
              <w:snapToGrid w:val="0"/>
              <w:spacing w:line="360" w:lineRule="auto"/>
              <w:rPr>
                <w:rFonts w:ascii="宋体" w:hAnsi="宋体" w:cs="宋体"/>
                <w:b/>
                <w:bCs/>
                <w:color w:val="auto"/>
                <w:kern w:val="0"/>
                <w:sz w:val="24"/>
                <w:highlight w:val="none"/>
                <w:u w:val="single"/>
              </w:rPr>
            </w:pPr>
            <w:r>
              <w:rPr>
                <w:rFonts w:hint="eastAsia" w:ascii="宋体" w:hAnsi="宋体" w:cs="宋体"/>
                <w:b/>
                <w:bCs/>
                <w:color w:val="auto"/>
                <w:kern w:val="0"/>
                <w:sz w:val="24"/>
                <w:highlight w:val="none"/>
              </w:rPr>
              <w:t>标的：</w:t>
            </w:r>
            <w:r>
              <w:rPr>
                <w:rFonts w:hint="eastAsia" w:ascii="宋体" w:hAnsi="宋体" w:cs="宋体"/>
                <w:b/>
                <w:bCs/>
                <w:color w:val="auto"/>
                <w:kern w:val="0"/>
                <w:sz w:val="24"/>
                <w:szCs w:val="24"/>
                <w:highlight w:val="none"/>
                <w:u w:val="single"/>
                <w:lang w:val="en-US" w:eastAsia="zh-CN" w:bidi="ar-SA"/>
              </w:rPr>
              <w:t>杭州市钱塘区2026-2028年政府投资项目</w:t>
            </w:r>
            <w:r>
              <w:rPr>
                <w:rFonts w:hint="eastAsia" w:ascii="宋体" w:hAnsi="宋体" w:eastAsia="宋体" w:cs="宋体"/>
                <w:b/>
                <w:bCs/>
                <w:color w:val="auto"/>
                <w:kern w:val="0"/>
                <w:sz w:val="24"/>
                <w:szCs w:val="24"/>
                <w:highlight w:val="none"/>
                <w:u w:val="single"/>
                <w:lang w:val="en-US" w:eastAsia="zh-CN" w:bidi="ar-SA"/>
              </w:rPr>
              <w:t>工程造价咨询服务采购项目</w:t>
            </w:r>
            <w:r>
              <w:rPr>
                <w:rFonts w:hint="eastAsia" w:ascii="宋体" w:hAnsi="宋体" w:cs="宋体"/>
                <w:b/>
                <w:bCs/>
                <w:color w:val="auto"/>
                <w:kern w:val="0"/>
                <w:sz w:val="24"/>
                <w:highlight w:val="none"/>
              </w:rPr>
              <w:t>，属于</w:t>
            </w:r>
            <w:r>
              <w:rPr>
                <w:rFonts w:hint="eastAsia" w:ascii="宋体" w:hAnsi="宋体" w:cs="宋体"/>
                <w:b/>
                <w:bCs/>
                <w:color w:val="auto"/>
                <w:kern w:val="0"/>
                <w:sz w:val="24"/>
                <w:highlight w:val="none"/>
                <w:u w:val="single"/>
              </w:rPr>
              <w:t>其他未列明行业。</w:t>
            </w:r>
          </w:p>
          <w:p w14:paraId="69C3D2A9">
            <w:pPr>
              <w:snapToGrid w:val="0"/>
              <w:spacing w:line="360" w:lineRule="auto"/>
              <w:rPr>
                <w:rFonts w:ascii="宋体" w:hAnsi="宋体" w:cs="宋体"/>
                <w:color w:val="auto"/>
                <w:sz w:val="24"/>
                <w:highlight w:val="none"/>
              </w:rPr>
            </w:pPr>
            <w:r>
              <w:rPr>
                <w:rFonts w:hint="eastAsia" w:ascii="宋体" w:hAnsi="宋体" w:cs="宋体"/>
                <w:b/>
                <w:bCs/>
                <w:color w:val="auto"/>
                <w:sz w:val="24"/>
                <w:highlight w:val="none"/>
              </w:rPr>
              <w:t>其他未列明行业中小企业划型标准：</w:t>
            </w:r>
            <w:r>
              <w:rPr>
                <w:rFonts w:hint="eastAsia" w:ascii="宋体" w:hAnsi="宋体" w:cs="宋体"/>
                <w:b/>
                <w:bCs/>
                <w:color w:val="auto"/>
                <w:sz w:val="24"/>
                <w:highlight w:val="none"/>
                <w:u w:val="single"/>
              </w:rPr>
              <w:t>从业人员300人以下的为中小微型企业。其中，从业人员100人及以上的为中型企业；从业人员10人及以上的为小型企业；从业人员10人以下的为微型企业。</w:t>
            </w:r>
          </w:p>
        </w:tc>
      </w:tr>
      <w:tr w14:paraId="645E1A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10"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3C33C2C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12</w:t>
            </w:r>
          </w:p>
          <w:p w14:paraId="637E643D">
            <w:pPr>
              <w:snapToGrid w:val="0"/>
              <w:spacing w:line="360" w:lineRule="auto"/>
              <w:jc w:val="center"/>
              <w:rPr>
                <w:rFonts w:ascii="宋体" w:hAnsi="宋体" w:cs="宋体"/>
                <w:b/>
                <w:color w:val="auto"/>
                <w:sz w:val="24"/>
                <w:highlight w:val="none"/>
              </w:rPr>
            </w:pPr>
          </w:p>
        </w:tc>
        <w:tc>
          <w:tcPr>
            <w:tcW w:w="1968" w:type="dxa"/>
            <w:tcBorders>
              <w:top w:val="single" w:color="auto" w:sz="4" w:space="0"/>
              <w:left w:val="single" w:color="auto" w:sz="4" w:space="0"/>
              <w:bottom w:val="single" w:color="auto" w:sz="4" w:space="0"/>
              <w:right w:val="single" w:color="auto" w:sz="4" w:space="0"/>
            </w:tcBorders>
            <w:vAlign w:val="center"/>
          </w:tcPr>
          <w:p w14:paraId="23B3C64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487" w:type="dxa"/>
            <w:tcBorders>
              <w:top w:val="single" w:color="000000" w:sz="8" w:space="0"/>
              <w:left w:val="single" w:color="auto" w:sz="4" w:space="0"/>
              <w:bottom w:val="single" w:color="000000" w:sz="8" w:space="0"/>
              <w:right w:val="single" w:color="000000" w:sz="8" w:space="0"/>
            </w:tcBorders>
            <w:vAlign w:val="center"/>
          </w:tcPr>
          <w:p w14:paraId="04D7D4A7">
            <w:pPr>
              <w:wordWrap w:val="0"/>
              <w:spacing w:line="360" w:lineRule="auto"/>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宋体" w:hAnsi="宋体" w:cs="宋体"/>
                <w:color w:val="auto"/>
                <w:kern w:val="0"/>
                <w:sz w:val="24"/>
                <w:highlight w:val="none"/>
                <w:lang w:eastAsia="zh-CN"/>
              </w:rPr>
              <w:t>（本项目不适用）</w:t>
            </w:r>
          </w:p>
        </w:tc>
      </w:tr>
      <w:tr w14:paraId="0DD54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671" w:type="dxa"/>
            <w:vMerge w:val="restart"/>
            <w:tcBorders>
              <w:top w:val="single" w:color="auto" w:sz="4" w:space="0"/>
              <w:left w:val="single" w:color="auto" w:sz="4" w:space="0"/>
              <w:right w:val="single" w:color="auto" w:sz="4" w:space="0"/>
            </w:tcBorders>
            <w:vAlign w:val="center"/>
          </w:tcPr>
          <w:p w14:paraId="7B6B06DB">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13</w:t>
            </w:r>
          </w:p>
          <w:p w14:paraId="6BAF6D26">
            <w:pPr>
              <w:snapToGrid w:val="0"/>
              <w:spacing w:line="360" w:lineRule="auto"/>
              <w:jc w:val="center"/>
              <w:rPr>
                <w:rFonts w:ascii="宋体" w:hAnsi="宋体" w:cs="宋体"/>
                <w:b/>
                <w:color w:val="auto"/>
                <w:sz w:val="24"/>
                <w:highlight w:val="none"/>
              </w:rPr>
            </w:pPr>
          </w:p>
        </w:tc>
        <w:tc>
          <w:tcPr>
            <w:tcW w:w="1968" w:type="dxa"/>
            <w:vMerge w:val="restart"/>
            <w:tcBorders>
              <w:top w:val="single" w:color="auto" w:sz="4" w:space="0"/>
              <w:left w:val="single" w:color="auto" w:sz="4" w:space="0"/>
              <w:right w:val="single" w:color="auto" w:sz="4" w:space="0"/>
            </w:tcBorders>
            <w:vAlign w:val="center"/>
          </w:tcPr>
          <w:p w14:paraId="471F9C6C">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487" w:type="dxa"/>
            <w:tcBorders>
              <w:top w:val="single" w:color="000000" w:sz="8" w:space="0"/>
              <w:left w:val="single" w:color="auto" w:sz="4" w:space="0"/>
              <w:bottom w:val="single" w:color="000000" w:sz="8" w:space="0"/>
              <w:right w:val="single" w:color="000000" w:sz="8" w:space="0"/>
            </w:tcBorders>
            <w:vAlign w:val="center"/>
          </w:tcPr>
          <w:p w14:paraId="630A13C4">
            <w:pPr>
              <w:wordWrap w:val="0"/>
              <w:spacing w:line="360" w:lineRule="auto"/>
              <w:rPr>
                <w:rFonts w:ascii="宋体" w:hAnsi="宋体" w:cs="宋体"/>
                <w:color w:val="auto"/>
                <w:sz w:val="24"/>
                <w:highlight w:val="none"/>
              </w:rPr>
            </w:pPr>
            <w:r>
              <w:rPr>
                <w:rFonts w:hint="eastAsia" w:ascii="宋体" w:hAnsi="宋体" w:eastAsia="宋体" w:cs="宋体"/>
                <w:snapToGrid w:val="0"/>
                <w:color w:val="auto"/>
                <w:kern w:val="28"/>
                <w:sz w:val="24"/>
                <w:szCs w:val="24"/>
                <w:highlight w:val="none"/>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14:paraId="64C688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671" w:type="dxa"/>
            <w:vMerge w:val="continue"/>
            <w:tcBorders>
              <w:left w:val="single" w:color="auto" w:sz="4" w:space="0"/>
              <w:bottom w:val="single" w:color="auto" w:sz="4" w:space="0"/>
              <w:right w:val="single" w:color="auto" w:sz="4" w:space="0"/>
            </w:tcBorders>
            <w:vAlign w:val="center"/>
          </w:tcPr>
          <w:p w14:paraId="69E479CF">
            <w:pPr>
              <w:snapToGrid w:val="0"/>
              <w:spacing w:line="360" w:lineRule="auto"/>
              <w:jc w:val="center"/>
              <w:rPr>
                <w:rFonts w:ascii="宋体" w:hAnsi="宋体" w:cs="宋体"/>
                <w:b/>
                <w:color w:val="auto"/>
                <w:sz w:val="24"/>
                <w:highlight w:val="none"/>
              </w:rPr>
            </w:pPr>
          </w:p>
        </w:tc>
        <w:tc>
          <w:tcPr>
            <w:tcW w:w="1968" w:type="dxa"/>
            <w:vMerge w:val="continue"/>
            <w:tcBorders>
              <w:left w:val="single" w:color="auto" w:sz="4" w:space="0"/>
              <w:bottom w:val="single" w:color="auto" w:sz="4" w:space="0"/>
              <w:right w:val="single" w:color="auto" w:sz="4" w:space="0"/>
            </w:tcBorders>
            <w:vAlign w:val="center"/>
          </w:tcPr>
          <w:p w14:paraId="7A39E709">
            <w:pPr>
              <w:snapToGrid w:val="0"/>
              <w:spacing w:line="360" w:lineRule="auto"/>
              <w:jc w:val="center"/>
              <w:rPr>
                <w:rFonts w:ascii="宋体" w:hAnsi="宋体" w:cs="宋体"/>
                <w:b/>
                <w:color w:val="auto"/>
                <w:sz w:val="24"/>
                <w:highlight w:val="none"/>
              </w:rPr>
            </w:pPr>
          </w:p>
        </w:tc>
        <w:tc>
          <w:tcPr>
            <w:tcW w:w="6487" w:type="dxa"/>
            <w:tcBorders>
              <w:top w:val="single" w:color="000000" w:sz="8" w:space="0"/>
              <w:left w:val="single" w:color="auto" w:sz="4" w:space="0"/>
              <w:bottom w:val="single" w:color="000000" w:sz="8" w:space="0"/>
              <w:right w:val="single" w:color="000000" w:sz="8" w:space="0"/>
            </w:tcBorders>
            <w:vAlign w:val="center"/>
          </w:tcPr>
          <w:p w14:paraId="5364D1C7">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入围后也可在“政采云”平台申请政采贷：操作路径：登录政采云平台-金融服务中心-【融资服务】，可在热门申请中选择产品直接申请，也可点击云智贷匹配适合产品进行申请，或者在可申请项目中根据该项目进行申请。</w:t>
            </w:r>
          </w:p>
        </w:tc>
      </w:tr>
      <w:tr w14:paraId="5AC7A7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671" w:type="dxa"/>
            <w:tcBorders>
              <w:left w:val="single" w:color="auto" w:sz="4" w:space="0"/>
              <w:bottom w:val="single" w:color="auto" w:sz="4" w:space="0"/>
              <w:right w:val="single" w:color="auto" w:sz="4" w:space="0"/>
            </w:tcBorders>
            <w:vAlign w:val="center"/>
          </w:tcPr>
          <w:p w14:paraId="2C4329D9">
            <w:pPr>
              <w:snapToGrid w:val="0"/>
              <w:spacing w:line="360" w:lineRule="auto"/>
              <w:jc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14</w:t>
            </w:r>
          </w:p>
        </w:tc>
        <w:tc>
          <w:tcPr>
            <w:tcW w:w="1968" w:type="dxa"/>
            <w:tcBorders>
              <w:left w:val="single" w:color="auto" w:sz="4" w:space="0"/>
              <w:bottom w:val="single" w:color="auto" w:sz="4" w:space="0"/>
              <w:right w:val="single" w:color="auto" w:sz="4" w:space="0"/>
            </w:tcBorders>
            <w:vAlign w:val="center"/>
          </w:tcPr>
          <w:p w14:paraId="6A249F61">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宋体" w:hAnsi="宋体" w:cs="宋体"/>
                <w:b/>
                <w:color w:val="auto"/>
                <w:sz w:val="24"/>
                <w:highlight w:val="none"/>
              </w:rPr>
            </w:pPr>
            <w:r>
              <w:rPr>
                <w:rFonts w:hint="eastAsia" w:ascii="宋体" w:hAnsi="宋体" w:eastAsia="宋体" w:cs="宋体"/>
                <w:b/>
                <w:color w:val="auto"/>
                <w:sz w:val="24"/>
                <w:highlight w:val="none"/>
              </w:rPr>
              <w:t>备份</w:t>
            </w:r>
            <w:r>
              <w:rPr>
                <w:rFonts w:hint="eastAsia" w:ascii="宋体" w:hAnsi="宋体" w:eastAsia="宋体" w:cs="宋体"/>
                <w:b/>
                <w:color w:val="auto"/>
                <w:sz w:val="24"/>
                <w:highlight w:val="none"/>
                <w:lang w:eastAsia="zh-CN"/>
              </w:rPr>
              <w:t>响应文件</w:t>
            </w:r>
            <w:r>
              <w:rPr>
                <w:rFonts w:hint="eastAsia" w:ascii="宋体" w:hAnsi="宋体" w:eastAsia="宋体" w:cs="宋体"/>
                <w:b/>
                <w:color w:val="auto"/>
                <w:sz w:val="24"/>
                <w:highlight w:val="none"/>
              </w:rPr>
              <w:t xml:space="preserve">送达地点和签收人员 </w:t>
            </w:r>
          </w:p>
        </w:tc>
        <w:tc>
          <w:tcPr>
            <w:tcW w:w="6487" w:type="dxa"/>
            <w:tcBorders>
              <w:top w:val="single" w:color="000000" w:sz="8" w:space="0"/>
              <w:left w:val="single" w:color="auto" w:sz="4" w:space="0"/>
              <w:bottom w:val="single" w:color="000000" w:sz="8" w:space="0"/>
              <w:right w:val="single" w:color="000000" w:sz="8" w:space="0"/>
            </w:tcBorders>
            <w:vAlign w:val="center"/>
          </w:tcPr>
          <w:p w14:paraId="1D96107F">
            <w:pPr>
              <w:pStyle w:val="29"/>
              <w:snapToGrid w:val="0"/>
              <w:spacing w:line="400" w:lineRule="exact"/>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备份响应文件送达地点：</w:t>
            </w:r>
            <w:r>
              <w:rPr>
                <w:rFonts w:hint="eastAsia" w:ascii="宋体" w:hAnsi="宋体" w:eastAsia="宋体" w:cs="宋体"/>
                <w:snapToGrid w:val="0"/>
                <w:color w:val="auto"/>
                <w:kern w:val="28"/>
                <w:sz w:val="24"/>
                <w:szCs w:val="24"/>
                <w:highlight w:val="none"/>
                <w:u w:val="single"/>
                <w:lang w:val="en-US" w:eastAsia="zh-CN" w:bidi="ar-SA"/>
              </w:rPr>
              <w:t>杭州市拱墅区绍兴路538号三立时代广场A座1206室</w:t>
            </w:r>
            <w:r>
              <w:rPr>
                <w:rFonts w:hint="eastAsia" w:ascii="宋体" w:hAnsi="宋体" w:eastAsia="宋体" w:cs="宋体"/>
                <w:snapToGrid w:val="0"/>
                <w:color w:val="auto"/>
                <w:kern w:val="28"/>
                <w:sz w:val="24"/>
                <w:szCs w:val="24"/>
                <w:highlight w:val="none"/>
                <w:lang w:val="en-US" w:eastAsia="zh-CN" w:bidi="ar-SA"/>
              </w:rPr>
              <w:t>（注：由于开标</w:t>
            </w:r>
            <w:bookmarkStart w:id="54" w:name="_GoBack"/>
            <w:bookmarkEnd w:id="54"/>
            <w:r>
              <w:rPr>
                <w:rFonts w:hint="eastAsia" w:ascii="宋体" w:hAnsi="宋体" w:eastAsia="宋体" w:cs="宋体"/>
                <w:snapToGrid w:val="0"/>
                <w:color w:val="auto"/>
                <w:kern w:val="28"/>
                <w:sz w:val="24"/>
                <w:szCs w:val="24"/>
                <w:highlight w:val="none"/>
                <w:lang w:val="en-US" w:eastAsia="zh-CN" w:bidi="ar-SA"/>
              </w:rPr>
              <w:t>地点与代理机构办公地点不同，供应商务必在响应截止日期的前一天送达）；或在响应截止时间前（开标当天）送至浙江省杭州市钱塘区下沙街道金沙大道600号东楼6楼</w:t>
            </w:r>
            <w:r>
              <w:rPr>
                <w:rFonts w:hint="eastAsia" w:hAnsi="宋体" w:eastAsia="宋体" w:cs="宋体"/>
                <w:snapToGrid w:val="0"/>
                <w:color w:val="auto"/>
                <w:kern w:val="28"/>
                <w:sz w:val="24"/>
                <w:szCs w:val="24"/>
                <w:highlight w:val="none"/>
                <w:u w:val="single"/>
                <w:shd w:val="clear" w:color="auto" w:fill="auto"/>
                <w:lang w:val="en-US" w:eastAsia="zh-CN" w:bidi="ar-SA"/>
              </w:rPr>
              <w:t>5</w:t>
            </w:r>
            <w:r>
              <w:rPr>
                <w:rFonts w:hint="eastAsia" w:ascii="宋体" w:hAnsi="宋体" w:eastAsia="宋体" w:cs="宋体"/>
                <w:snapToGrid w:val="0"/>
                <w:color w:val="auto"/>
                <w:kern w:val="28"/>
                <w:sz w:val="24"/>
                <w:szCs w:val="24"/>
                <w:highlight w:val="none"/>
                <w:lang w:val="en-US" w:eastAsia="zh-CN" w:bidi="ar-SA"/>
              </w:rPr>
              <w:t>号开标室；</w:t>
            </w:r>
          </w:p>
          <w:p w14:paraId="6198F27C">
            <w:pPr>
              <w:pStyle w:val="29"/>
              <w:snapToGrid w:val="0"/>
              <w:spacing w:line="400" w:lineRule="exact"/>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备份响应文件签收联系人：伍红仙；联系电话：13357106093。</w:t>
            </w:r>
          </w:p>
          <w:p w14:paraId="1BD56BCC">
            <w:pPr>
              <w:pStyle w:val="29"/>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宋体" w:hAnsi="宋体" w:cs="宋体"/>
                <w:snapToGrid w:val="0"/>
                <w:color w:val="auto"/>
                <w:kern w:val="28"/>
                <w:sz w:val="24"/>
                <w:highlight w:val="none"/>
              </w:rPr>
            </w:pPr>
            <w:r>
              <w:rPr>
                <w:rFonts w:hint="eastAsia" w:ascii="宋体" w:hAnsi="宋体" w:eastAsia="宋体" w:cs="宋体"/>
                <w:b/>
                <w:bCs/>
                <w:snapToGrid w:val="0"/>
                <w:color w:val="auto"/>
                <w:kern w:val="28"/>
                <w:sz w:val="24"/>
                <w:szCs w:val="24"/>
                <w:highlight w:val="none"/>
                <w:lang w:val="en-US" w:eastAsia="zh-CN" w:bidi="ar-SA"/>
              </w:rPr>
              <w:t>征集人、采购代理机构不强制或变相强制供应商提交备份响应文件。</w:t>
            </w:r>
          </w:p>
        </w:tc>
      </w:tr>
      <w:tr w14:paraId="3E1DB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671" w:type="dxa"/>
            <w:tcBorders>
              <w:top w:val="single" w:color="auto" w:sz="4" w:space="0"/>
              <w:left w:val="single" w:color="auto" w:sz="4" w:space="0"/>
              <w:bottom w:val="single" w:color="auto" w:sz="4" w:space="0"/>
              <w:right w:val="single" w:color="auto" w:sz="4" w:space="0"/>
            </w:tcBorders>
            <w:vAlign w:val="center"/>
          </w:tcPr>
          <w:p w14:paraId="73FE98CD">
            <w:pPr>
              <w:snapToGrid w:val="0"/>
              <w:spacing w:line="360" w:lineRule="auto"/>
              <w:jc w:val="center"/>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rPr>
              <w:t>1</w:t>
            </w:r>
            <w:r>
              <w:rPr>
                <w:rFonts w:hint="eastAsia" w:ascii="宋体" w:hAnsi="宋体" w:cs="宋体"/>
                <w:b/>
                <w:color w:val="auto"/>
                <w:sz w:val="24"/>
                <w:highlight w:val="none"/>
                <w:lang w:val="en-US" w:eastAsia="zh-CN"/>
              </w:rPr>
              <w:t>5</w:t>
            </w:r>
          </w:p>
        </w:tc>
        <w:tc>
          <w:tcPr>
            <w:tcW w:w="1968" w:type="dxa"/>
            <w:tcBorders>
              <w:top w:val="single" w:color="auto" w:sz="4" w:space="0"/>
              <w:left w:val="single" w:color="auto" w:sz="4" w:space="0"/>
              <w:bottom w:val="single" w:color="auto" w:sz="4" w:space="0"/>
              <w:right w:val="single" w:color="auto" w:sz="4" w:space="0"/>
            </w:tcBorders>
            <w:vAlign w:val="center"/>
          </w:tcPr>
          <w:p w14:paraId="6FB9535B">
            <w:pPr>
              <w:snapToGrid w:val="0"/>
              <w:jc w:val="center"/>
              <w:rPr>
                <w:rFonts w:ascii="宋体" w:hAnsi="宋体" w:cs="宋体"/>
                <w:b/>
                <w:color w:val="auto"/>
                <w:sz w:val="24"/>
                <w:highlight w:val="none"/>
              </w:rPr>
            </w:pPr>
            <w:r>
              <w:rPr>
                <w:rFonts w:hint="eastAsia" w:ascii="宋体" w:hAnsi="宋体" w:cs="宋体"/>
                <w:snapToGrid w:val="0"/>
                <w:color w:val="auto"/>
                <w:kern w:val="0"/>
                <w:sz w:val="24"/>
                <w:highlight w:val="none"/>
              </w:rPr>
              <w:t>其他</w:t>
            </w:r>
          </w:p>
        </w:tc>
        <w:tc>
          <w:tcPr>
            <w:tcW w:w="6487" w:type="dxa"/>
            <w:tcBorders>
              <w:top w:val="single" w:color="000000" w:sz="8" w:space="0"/>
              <w:left w:val="single" w:color="auto" w:sz="4" w:space="0"/>
              <w:bottom w:val="single" w:color="000000" w:sz="8" w:space="0"/>
              <w:right w:val="single" w:color="000000" w:sz="8" w:space="0"/>
            </w:tcBorders>
            <w:vAlign w:val="center"/>
          </w:tcPr>
          <w:p w14:paraId="522A8014">
            <w:pPr>
              <w:snapToGrid w:val="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1.征集文件中凡标注“▲”的条款均为实质性要求，不响应的投标文件将作无效标处理。</w:t>
            </w:r>
          </w:p>
          <w:p w14:paraId="1FB7AABC">
            <w:pPr>
              <w:snapToGrid w:val="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rPr>
              <w:t>2.供应商未上传电子加密投标文件，其投标无效。</w:t>
            </w:r>
          </w:p>
          <w:p w14:paraId="556C51CE">
            <w:pPr>
              <w:snapToGrid w:val="0"/>
              <w:jc w:val="left"/>
              <w:rPr>
                <w:rFonts w:ascii="宋体" w:hAnsi="宋体" w:cs="宋体"/>
                <w:snapToGrid w:val="0"/>
                <w:color w:val="auto"/>
                <w:kern w:val="0"/>
                <w:sz w:val="24"/>
                <w:highlight w:val="none"/>
              </w:rPr>
            </w:pPr>
            <w:r>
              <w:rPr>
                <w:rFonts w:hint="eastAsia" w:ascii="宋体" w:hAnsi="宋体" w:cs="宋体"/>
                <w:snapToGrid w:val="0"/>
                <w:color w:val="auto"/>
                <w:kern w:val="0"/>
                <w:sz w:val="24"/>
                <w:highlight w:val="none"/>
                <w:lang w:val="en-US" w:eastAsia="zh-CN"/>
              </w:rPr>
              <w:t>3</w:t>
            </w:r>
            <w:r>
              <w:rPr>
                <w:rFonts w:hint="eastAsia" w:ascii="宋体" w:hAnsi="宋体" w:cs="宋体"/>
                <w:snapToGrid w:val="0"/>
                <w:color w:val="auto"/>
                <w:kern w:val="0"/>
                <w:sz w:val="24"/>
                <w:highlight w:val="none"/>
              </w:rPr>
              <w:t>.各供应商自行在浙江政府采购网下载或查阅采购文件和相关更正公告等，不另行通知，如有遗漏征集人、采购代理机构概不负责。</w:t>
            </w:r>
          </w:p>
          <w:p w14:paraId="07D2F3D3">
            <w:pPr>
              <w:snapToGrid w:val="0"/>
              <w:jc w:val="left"/>
              <w:rPr>
                <w:rFonts w:hint="eastAsia" w:ascii="宋体" w:hAnsi="宋体" w:eastAsia="宋体" w:cs="宋体"/>
                <w:snapToGrid w:val="0"/>
                <w:color w:val="auto"/>
                <w:kern w:val="0"/>
                <w:sz w:val="24"/>
                <w:highlight w:val="none"/>
              </w:rPr>
            </w:pPr>
            <w:r>
              <w:rPr>
                <w:rFonts w:hint="eastAsia" w:ascii="宋体" w:hAnsi="宋体" w:cs="宋体"/>
                <w:snapToGrid w:val="0"/>
                <w:color w:val="auto"/>
                <w:kern w:val="0"/>
                <w:sz w:val="24"/>
                <w:highlight w:val="none"/>
                <w:lang w:val="en-US" w:eastAsia="zh-CN"/>
              </w:rPr>
              <w:t>4</w:t>
            </w:r>
            <w:r>
              <w:rPr>
                <w:rFonts w:hint="eastAsia" w:ascii="宋体" w:hAnsi="宋体" w:cs="宋体"/>
                <w:snapToGrid w:val="0"/>
                <w:color w:val="auto"/>
                <w:kern w:val="0"/>
                <w:sz w:val="24"/>
                <w:highlight w:val="none"/>
              </w:rPr>
              <w:t>.两</w:t>
            </w:r>
            <w:r>
              <w:rPr>
                <w:rFonts w:hint="eastAsia" w:ascii="宋体" w:hAnsi="宋体" w:eastAsia="宋体" w:cs="宋体"/>
                <w:snapToGrid w:val="0"/>
                <w:color w:val="auto"/>
                <w:kern w:val="0"/>
                <w:sz w:val="24"/>
                <w:highlight w:val="none"/>
              </w:rPr>
              <w:t>家或两家以上供应商提供的投标文件出自同一终端设备的，或在相同Internet主机分配地址（相同IP地址）报名或网上投标的，后果由供应商自行承担。</w:t>
            </w:r>
          </w:p>
          <w:p w14:paraId="6642DFDD">
            <w:pPr>
              <w:snapToGrid w:val="0"/>
              <w:jc w:val="left"/>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5.采购代理服务费：由每家入围供应商支付2000元。入围供应商在代理机构发出入围通知书后 7 个工作日内一次性支付给代理机构。</w:t>
            </w:r>
          </w:p>
          <w:p w14:paraId="3A9523B0">
            <w:pPr>
              <w:snapToGrid w:val="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采购代理服务费的交纳方式：以</w:t>
            </w:r>
            <w:r>
              <w:rPr>
                <w:rFonts w:hint="eastAsia" w:ascii="宋体" w:hAnsi="宋体" w:eastAsia="宋体" w:cs="宋体"/>
                <w:snapToGrid w:val="0"/>
                <w:color w:val="auto"/>
                <w:kern w:val="0"/>
                <w:sz w:val="24"/>
                <w:highlight w:val="none"/>
                <w:lang w:val="en-US" w:eastAsia="zh-CN"/>
              </w:rPr>
              <w:t>转账</w:t>
            </w:r>
            <w:r>
              <w:rPr>
                <w:rFonts w:hint="eastAsia" w:ascii="宋体" w:hAnsi="宋体" w:eastAsia="宋体" w:cs="宋体"/>
                <w:snapToGrid w:val="0"/>
                <w:color w:val="auto"/>
                <w:kern w:val="0"/>
                <w:sz w:val="24"/>
                <w:highlight w:val="none"/>
              </w:rPr>
              <w:t>形式支付</w:t>
            </w:r>
          </w:p>
          <w:p w14:paraId="6B788635">
            <w:pPr>
              <w:snapToGrid w:val="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开户名：</w:t>
            </w:r>
            <w:r>
              <w:rPr>
                <w:rFonts w:hint="eastAsia" w:ascii="宋体" w:hAnsi="宋体" w:eastAsia="宋体" w:cs="宋体"/>
                <w:snapToGrid w:val="0"/>
                <w:color w:val="auto"/>
                <w:kern w:val="0"/>
                <w:sz w:val="24"/>
                <w:highlight w:val="none"/>
                <w:lang w:eastAsia="zh-CN"/>
              </w:rPr>
              <w:t>浙江省房地产管理咨询有限公司</w:t>
            </w:r>
          </w:p>
          <w:p w14:paraId="22D35DBA">
            <w:pPr>
              <w:snapToGrid w:val="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开户行名称：</w:t>
            </w:r>
            <w:r>
              <w:rPr>
                <w:rFonts w:hint="eastAsia" w:ascii="宋体" w:hAnsi="宋体" w:eastAsia="宋体" w:cs="宋体"/>
                <w:snapToGrid w:val="0"/>
                <w:color w:val="auto"/>
                <w:kern w:val="0"/>
                <w:sz w:val="24"/>
                <w:highlight w:val="none"/>
                <w:lang w:eastAsia="zh-CN"/>
              </w:rPr>
              <w:t>杭州银行保俶支行</w:t>
            </w:r>
            <w:r>
              <w:rPr>
                <w:rFonts w:hint="eastAsia" w:ascii="宋体" w:hAnsi="宋体" w:eastAsia="宋体" w:cs="宋体"/>
                <w:snapToGrid w:val="0"/>
                <w:color w:val="auto"/>
                <w:kern w:val="0"/>
                <w:sz w:val="24"/>
                <w:highlight w:val="none"/>
              </w:rPr>
              <w:t xml:space="preserve"> </w:t>
            </w:r>
          </w:p>
          <w:p w14:paraId="2E5E6948">
            <w:pPr>
              <w:snapToGrid w:val="0"/>
              <w:jc w:val="left"/>
              <w:rPr>
                <w:rFonts w:hint="eastAsia" w:ascii="宋体" w:hAnsi="宋体" w:eastAsia="宋体" w:cs="宋体"/>
                <w:snapToGrid w:val="0"/>
                <w:color w:val="auto"/>
                <w:kern w:val="0"/>
                <w:sz w:val="24"/>
                <w:highlight w:val="none"/>
                <w:lang w:eastAsia="zh-CN"/>
              </w:rPr>
            </w:pPr>
            <w:r>
              <w:rPr>
                <w:rFonts w:hint="eastAsia" w:ascii="宋体" w:hAnsi="宋体" w:eastAsia="宋体" w:cs="宋体"/>
                <w:snapToGrid w:val="0"/>
                <w:color w:val="auto"/>
                <w:kern w:val="0"/>
                <w:sz w:val="24"/>
                <w:highlight w:val="none"/>
                <w:lang w:val="en-US" w:eastAsia="zh-CN"/>
              </w:rPr>
              <w:t>账</w:t>
            </w:r>
            <w:r>
              <w:rPr>
                <w:rFonts w:hint="eastAsia" w:ascii="宋体" w:hAnsi="宋体" w:eastAsia="宋体" w:cs="宋体"/>
                <w:snapToGrid w:val="0"/>
                <w:color w:val="auto"/>
                <w:kern w:val="0"/>
                <w:sz w:val="24"/>
                <w:highlight w:val="none"/>
              </w:rPr>
              <w:t>号：</w:t>
            </w:r>
            <w:r>
              <w:rPr>
                <w:rFonts w:hint="eastAsia" w:ascii="宋体" w:hAnsi="宋体" w:eastAsia="宋体" w:cs="宋体"/>
                <w:snapToGrid w:val="0"/>
                <w:color w:val="auto"/>
                <w:kern w:val="0"/>
                <w:sz w:val="24"/>
                <w:highlight w:val="none"/>
                <w:lang w:eastAsia="zh-CN"/>
              </w:rPr>
              <w:t>77508100150602</w:t>
            </w:r>
          </w:p>
          <w:p w14:paraId="404C9AFC">
            <w:pPr>
              <w:snapToGrid w:val="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val="en-US" w:eastAsia="zh-CN"/>
              </w:rPr>
              <w:t>6.</w:t>
            </w:r>
            <w:r>
              <w:rPr>
                <w:rFonts w:hint="eastAsia" w:ascii="宋体" w:hAnsi="宋体" w:eastAsia="宋体" w:cs="宋体"/>
                <w:snapToGrid w:val="0"/>
                <w:color w:val="auto"/>
                <w:kern w:val="0"/>
                <w:sz w:val="24"/>
                <w:highlight w:val="none"/>
              </w:rPr>
              <w:t>根据《浙江省财政厅关于进一步规范政府采购秩序促进公平竞争的通知》（浙财采监〔2025〕2号文）的要求，在评审结束后、合同签订前，采购人、采购代理机构将通过网站查询、原件核对等方式对中标（成交）供应商在投标（响应）文件中涉及客观分评审内容的业绩、检测报告、认证证书等资料的真实性进行复核，发现供应商提供虚假材料的，将书面报告本级财政部门。</w:t>
            </w:r>
          </w:p>
          <w:p w14:paraId="1A7F4092">
            <w:pPr>
              <w:snapToGrid w:val="0"/>
              <w:jc w:val="left"/>
              <w:rPr>
                <w:rFonts w:hint="default"/>
                <w:color w:val="auto"/>
                <w:highlight w:val="none"/>
                <w:lang w:val="en-US" w:eastAsia="zh-CN"/>
              </w:rPr>
            </w:pPr>
            <w:r>
              <w:rPr>
                <w:rFonts w:hint="eastAsia" w:ascii="宋体" w:hAnsi="宋体" w:eastAsia="宋体" w:cs="宋体"/>
                <w:snapToGrid w:val="0"/>
                <w:color w:val="auto"/>
                <w:kern w:val="0"/>
                <w:sz w:val="24"/>
                <w:highlight w:val="none"/>
              </w:rPr>
              <w:t>如发现供应商存在提供虚假材料谋取中标、成交的情形的，且征集人将把情况报政府采购监督管理部门，并按照《中华人民共和国政府采购法》第七十七条规定，中标、成交无效，并可能承担“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等法律责任。</w:t>
            </w:r>
          </w:p>
        </w:tc>
      </w:tr>
    </w:tbl>
    <w:p w14:paraId="01DE8C04">
      <w:pPr>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br w:type="page"/>
      </w:r>
      <w:bookmarkEnd w:id="9"/>
      <w:bookmarkStart w:id="10" w:name="_Toc164416483"/>
      <w:bookmarkStart w:id="11" w:name="第三部分"/>
      <w:r>
        <w:rPr>
          <w:rFonts w:hint="eastAsia" w:ascii="宋体" w:hAnsi="宋体" w:cs="宋体"/>
          <w:b/>
          <w:color w:val="auto"/>
          <w:sz w:val="32"/>
          <w:szCs w:val="20"/>
          <w:highlight w:val="none"/>
        </w:rPr>
        <w:t>一、总则</w:t>
      </w:r>
    </w:p>
    <w:p w14:paraId="3E72EF10">
      <w:pPr>
        <w:snapToGrid w:val="0"/>
        <w:spacing w:line="360" w:lineRule="auto"/>
        <w:jc w:val="left"/>
        <w:outlineLvl w:val="2"/>
        <w:rPr>
          <w:rFonts w:ascii="宋体" w:hAnsi="宋体" w:cs="宋体"/>
          <w:b/>
          <w:color w:val="auto"/>
          <w:sz w:val="24"/>
          <w:highlight w:val="none"/>
        </w:rPr>
      </w:pPr>
      <w:bookmarkStart w:id="12" w:name="_Hlt74714665"/>
      <w:bookmarkEnd w:id="12"/>
      <w:bookmarkStart w:id="13" w:name="_Hlt74730208"/>
      <w:bookmarkEnd w:id="13"/>
      <w:bookmarkStart w:id="14" w:name="_Hlt74730295"/>
      <w:bookmarkEnd w:id="14"/>
      <w:bookmarkStart w:id="15" w:name="_Toc91899872"/>
      <w:bookmarkEnd w:id="15"/>
      <w:bookmarkStart w:id="16" w:name="_Hlt74730112"/>
      <w:bookmarkEnd w:id="16"/>
      <w:r>
        <w:rPr>
          <w:rFonts w:hint="eastAsia" w:ascii="宋体" w:hAnsi="宋体" w:cs="宋体"/>
          <w:b/>
          <w:color w:val="auto"/>
          <w:sz w:val="24"/>
          <w:highlight w:val="none"/>
        </w:rPr>
        <w:t>1.适用范围</w:t>
      </w:r>
    </w:p>
    <w:p w14:paraId="02961753">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本征集文件适用于该项目的征集、响应、开标、资格审查及信用信息查询、评标、定标、合同、验收等行为（法律、法规另有规定的，从其规定）。</w:t>
      </w:r>
    </w:p>
    <w:p w14:paraId="5ABE4428">
      <w:pPr>
        <w:snapToGrid w:val="0"/>
        <w:spacing w:line="360" w:lineRule="auto"/>
        <w:jc w:val="left"/>
        <w:outlineLvl w:val="2"/>
        <w:rPr>
          <w:rFonts w:ascii="宋体" w:hAnsi="宋体" w:cs="宋体"/>
          <w:color w:val="auto"/>
          <w:sz w:val="24"/>
          <w:highlight w:val="none"/>
        </w:rPr>
      </w:pPr>
      <w:r>
        <w:rPr>
          <w:rFonts w:hint="eastAsia" w:ascii="宋体" w:hAnsi="宋体" w:cs="宋体"/>
          <w:b/>
          <w:color w:val="auto"/>
          <w:sz w:val="24"/>
          <w:highlight w:val="none"/>
        </w:rPr>
        <w:t>2.定义</w:t>
      </w:r>
    </w:p>
    <w:p w14:paraId="2F5024D3">
      <w:pPr>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2.1 “征集人”系指征集公告中载明的本项目的征集人。</w:t>
      </w:r>
    </w:p>
    <w:p w14:paraId="47586AD9">
      <w:pPr>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2.2“采购代理机构”系指征集公告中载明的本项目的采购代理机构。</w:t>
      </w:r>
    </w:p>
    <w:p w14:paraId="15D31CEE">
      <w:pPr>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2.3“供应商”系指是指响应征集、参加响应竞争的法人、其他组织或者自然人。</w:t>
      </w:r>
    </w:p>
    <w:p w14:paraId="4D38DACD">
      <w:pPr>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2.4“负责人”系指法人企业的法定负责人，或其他组织为法律、行政法规规定代表单位行使职权的主要负责人，或自然人本人。</w:t>
      </w:r>
    </w:p>
    <w:p w14:paraId="3D328444">
      <w:pPr>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w:t>
      </w:r>
    </w:p>
    <w:p w14:paraId="08949B4B">
      <w:pPr>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2.6“电子交易平台”是指本项目政府采购活动所依托的政府采购云平台（https://www.zcygov.cn/）。</w:t>
      </w:r>
    </w:p>
    <w:p w14:paraId="388AB19C">
      <w:pPr>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2.7“▲”系指实质性要求条款，“★”系项重要技术指标条款，“</w:t>
      </w:r>
      <w:sdt>
        <w:sdtPr>
          <w:rPr>
            <w:rFonts w:hint="eastAsia" w:ascii="宋体" w:hAnsi="宋体" w:cs="宋体"/>
            <w:color w:val="auto"/>
            <w:sz w:val="24"/>
            <w:highlight w:val="none"/>
          </w:rPr>
          <w:id w:val="22263650"/>
        </w:sdtPr>
        <w:sdtEndPr>
          <w:rPr>
            <w:rFonts w:hint="eastAsia" w:ascii="宋体" w:hAnsi="宋体" w:cs="宋体"/>
            <w:color w:val="auto"/>
            <w:sz w:val="24"/>
            <w:highlight w:val="none"/>
          </w:rPr>
        </w:sdtEndPr>
        <w:sdtContent>
          <w:sdt>
            <w:sdtPr>
              <w:rPr>
                <w:rFonts w:hint="eastAsia" w:ascii="宋体" w:hAnsi="宋体" w:cs="宋体"/>
                <w:color w:val="auto"/>
                <w:kern w:val="28"/>
                <w:sz w:val="24"/>
                <w:highlight w:val="none"/>
              </w:rPr>
              <w:id w:val="25188268"/>
            </w:sdtPr>
            <w:sdtEndPr>
              <w:rPr>
                <w:rFonts w:hint="eastAsia" w:ascii="宋体" w:hAnsi="宋体" w:cs="宋体"/>
                <w:color w:val="auto"/>
                <w:kern w:val="28"/>
                <w:sz w:val="24"/>
                <w:highlight w:val="none"/>
              </w:rPr>
            </w:sdtEndPr>
            <w:sdtContent>
              <w:sdt>
                <w:sdtPr>
                  <w:rPr>
                    <w:rFonts w:hint="eastAsia" w:ascii="宋体" w:hAnsi="宋体" w:cs="宋体"/>
                    <w:color w:val="auto"/>
                    <w:kern w:val="0"/>
                    <w:sz w:val="24"/>
                    <w:szCs w:val="21"/>
                    <w:highlight w:val="none"/>
                  </w:rPr>
                  <w:id w:val="147456196"/>
                </w:sdtPr>
                <w:sdtEndPr>
                  <w:rPr>
                    <w:rFonts w:hint="eastAsia" w:ascii="宋体" w:hAnsi="宋体" w:cs="宋体"/>
                    <w:b/>
                    <w:bCs/>
                    <w:color w:val="auto"/>
                    <w:kern w:val="0"/>
                    <w:sz w:val="24"/>
                    <w:szCs w:val="21"/>
                    <w:highlight w:val="none"/>
                  </w:rPr>
                </w:sdtEndPr>
                <w:sdtContent>
                  <w:r>
                    <w:rPr>
                      <w:rFonts w:hint="eastAsia" w:ascii="宋体" w:hAnsi="宋体" w:cs="宋体"/>
                      <w:b/>
                      <w:bCs/>
                      <w:color w:val="auto"/>
                      <w:kern w:val="0"/>
                      <w:sz w:val="24"/>
                      <w:szCs w:val="21"/>
                      <w:highlight w:val="none"/>
                    </w:rPr>
                    <w:sym w:font="Wingdings 2" w:char="0052"/>
                  </w:r>
                </w:sdtContent>
              </w:sdt>
              <w:r>
                <w:rPr>
                  <w:rFonts w:hint="eastAsia" w:ascii="宋体" w:hAnsi="宋体" w:cs="宋体"/>
                  <w:b/>
                  <w:bCs/>
                  <w:color w:val="auto"/>
                  <w:kern w:val="0"/>
                  <w:sz w:val="24"/>
                  <w:highlight w:val="none"/>
                </w:rPr>
                <w:t xml:space="preserve"> </w:t>
              </w:r>
            </w:sdtContent>
          </w:sdt>
        </w:sdtContent>
      </w:sdt>
      <w:r>
        <w:rPr>
          <w:rFonts w:hint="eastAsia" w:ascii="宋体" w:hAnsi="宋体" w:cs="宋体"/>
          <w:color w:val="auto"/>
          <w:sz w:val="24"/>
          <w:highlight w:val="none"/>
        </w:rPr>
        <w:t>”系指适用本项目的要求，“</w:t>
      </w:r>
      <w:sdt>
        <w:sdtPr>
          <w:rPr>
            <w:rFonts w:hint="eastAsia" w:ascii="宋体" w:hAnsi="宋体" w:cs="宋体"/>
            <w:color w:val="auto"/>
            <w:sz w:val="24"/>
            <w:highlight w:val="none"/>
          </w:rPr>
          <w:id w:val="404888855"/>
        </w:sdtPr>
        <w:sdtEndPr>
          <w:rPr>
            <w:rFonts w:hint="eastAsia" w:ascii="宋体" w:hAnsi="宋体" w:cs="宋体"/>
            <w:color w:val="auto"/>
            <w:sz w:val="24"/>
            <w:highlight w:val="none"/>
          </w:rPr>
        </w:sdtEndPr>
        <w:sdtContent>
          <w:r>
            <w:rPr>
              <w:rFonts w:hint="eastAsia" w:ascii="宋体" w:hAnsi="宋体" w:cs="宋体"/>
              <w:color w:val="auto"/>
              <w:sz w:val="24"/>
              <w:highlight w:val="none"/>
            </w:rPr>
            <w:t>☐</w:t>
          </w:r>
        </w:sdtContent>
      </w:sdt>
      <w:r>
        <w:rPr>
          <w:rFonts w:hint="eastAsia" w:ascii="宋体" w:hAnsi="宋体" w:cs="宋体"/>
          <w:color w:val="auto"/>
          <w:sz w:val="24"/>
          <w:highlight w:val="none"/>
        </w:rPr>
        <w:t>” 系指不适用本项目的要求。</w:t>
      </w:r>
    </w:p>
    <w:p w14:paraId="18A0264F">
      <w:pPr>
        <w:spacing w:line="360" w:lineRule="auto"/>
        <w:outlineLvl w:val="2"/>
        <w:rPr>
          <w:rFonts w:ascii="宋体" w:hAnsi="宋体" w:cs="宋体"/>
          <w:b/>
          <w:color w:val="auto"/>
          <w:sz w:val="24"/>
          <w:highlight w:val="none"/>
        </w:rPr>
      </w:pPr>
      <w:r>
        <w:rPr>
          <w:rFonts w:hint="eastAsia" w:ascii="宋体" w:hAnsi="宋体" w:cs="宋体"/>
          <w:b/>
          <w:color w:val="auto"/>
          <w:sz w:val="24"/>
          <w:highlight w:val="none"/>
        </w:rPr>
        <w:t>3.采购项目需要落实的政府采购政策</w:t>
      </w:r>
    </w:p>
    <w:p w14:paraId="4F13DFD6">
      <w:pPr>
        <w:spacing w:line="360" w:lineRule="auto"/>
        <w:ind w:firstLine="600" w:firstLineChars="25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w:t>
      </w:r>
      <w:r>
        <w:rPr>
          <w:rFonts w:hint="eastAsia" w:ascii="宋体" w:hAnsi="宋体" w:cs="宋体"/>
          <w:color w:val="auto"/>
          <w:sz w:val="24"/>
          <w:highlight w:val="none"/>
          <w:lang w:val="en-US" w:eastAsia="zh-CN"/>
        </w:rPr>
        <w:t>征集</w:t>
      </w:r>
      <w:r>
        <w:rPr>
          <w:rFonts w:hint="eastAsia" w:ascii="宋体" w:hAnsi="宋体" w:cs="宋体"/>
          <w:color w:val="auto"/>
          <w:sz w:val="24"/>
          <w:highlight w:val="none"/>
        </w:rPr>
        <w:t>人采购进口产品，已经在采购活动开始前向财政部门提出申请并获得财政部门审核同意，且在采购需求中明确规定可以采购进口产品（但如果因信息不对称等原因，仍有满足需求的国内产品要求参与采购竞争的，</w:t>
      </w:r>
      <w:r>
        <w:rPr>
          <w:rFonts w:hint="eastAsia" w:ascii="宋体" w:hAnsi="宋体" w:cs="宋体"/>
          <w:color w:val="auto"/>
          <w:sz w:val="24"/>
          <w:highlight w:val="none"/>
          <w:lang w:val="en-US" w:eastAsia="zh-CN"/>
        </w:rPr>
        <w:t>征集</w:t>
      </w:r>
      <w:r>
        <w:rPr>
          <w:rFonts w:hint="eastAsia" w:ascii="宋体" w:hAnsi="宋体" w:cs="宋体"/>
          <w:color w:val="auto"/>
          <w:sz w:val="24"/>
          <w:highlight w:val="none"/>
        </w:rPr>
        <w:t>人、采购机构不会对其加以限制，仍将按照公平竞争原则实施采购）；优先采购向我国企业转让技术、与我国企业签订消化吸收再创新方案的供应商的进口产品。</w:t>
      </w:r>
    </w:p>
    <w:p w14:paraId="32AE1E01">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3.2 支持绿色发展</w:t>
      </w:r>
      <w:r>
        <w:rPr>
          <w:rFonts w:hint="eastAsia" w:ascii="宋体" w:hAnsi="宋体" w:cs="宋体"/>
          <w:color w:val="auto"/>
          <w:sz w:val="24"/>
          <w:highlight w:val="none"/>
          <w:lang w:eastAsia="zh-CN"/>
        </w:rPr>
        <w:t>（本项目不适用）</w:t>
      </w:r>
    </w:p>
    <w:p w14:paraId="10FCD950">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征集人拟采购的产品属于品目清单范围的，征集人及其委托的采购代理机构将依据国家确定的认证机构出具的、处于有效期之内的节能产品、环境标志产品认证证书，对获得证书的产品实施政府优先采购或强制采购。供应商须按征集文件要求提供相关产品认证证书。▲</w:t>
      </w:r>
      <w:r>
        <w:rPr>
          <w:rFonts w:hint="eastAsia" w:ascii="宋体" w:hAnsi="宋体" w:cs="宋体"/>
          <w:b/>
          <w:color w:val="auto"/>
          <w:sz w:val="24"/>
          <w:highlight w:val="none"/>
        </w:rPr>
        <w:t>征集人拟采购的产品属于政府强制采购的节能产品品目清单范围的，供应商未按征集文件要求提供国家确定的认证机构出具的、处于有效期之内的节能产品认证证书的，响应无效。</w:t>
      </w:r>
    </w:p>
    <w:p w14:paraId="11C46FA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修缮、装修类项目采购建材的，征集人应将绿色建筑和绿色建材性能、指标等作为实质性条件纳入征集文件和合同。</w:t>
      </w:r>
    </w:p>
    <w:p w14:paraId="1887002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5507DB9">
      <w:pPr>
        <w:spacing w:line="360" w:lineRule="auto"/>
        <w:ind w:firstLine="480" w:firstLineChars="200"/>
        <w:rPr>
          <w:rFonts w:ascii="宋体" w:hAnsi="宋体" w:cs="宋体"/>
          <w:color w:val="auto"/>
          <w:sz w:val="24"/>
          <w:highlight w:val="none"/>
        </w:rPr>
      </w:pPr>
      <w:bookmarkStart w:id="17" w:name="_Hlk107568539"/>
      <w:r>
        <w:rPr>
          <w:rFonts w:hint="eastAsia" w:ascii="宋体" w:hAnsi="宋体" w:cs="宋体"/>
          <w:color w:val="auto"/>
          <w:sz w:val="24"/>
          <w:highlight w:val="none"/>
        </w:rPr>
        <w:t>优先采购绿色包装产品、绿色物流配送服务以及循环利用产品</w:t>
      </w:r>
      <w:bookmarkEnd w:id="17"/>
      <w:r>
        <w:rPr>
          <w:rFonts w:hint="eastAsia" w:ascii="宋体" w:hAnsi="宋体" w:cs="宋体"/>
          <w:color w:val="auto"/>
          <w:sz w:val="24"/>
          <w:highlight w:val="none"/>
        </w:rPr>
        <w:t>。</w:t>
      </w:r>
    </w:p>
    <w:p w14:paraId="50A6D04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3.3支持中小企业发展</w:t>
      </w:r>
      <w:r>
        <w:rPr>
          <w:rFonts w:hint="eastAsia" w:ascii="宋体" w:hAnsi="宋体" w:cs="宋体"/>
          <w:color w:val="auto"/>
          <w:sz w:val="24"/>
          <w:highlight w:val="none"/>
          <w:lang w:eastAsia="zh-CN"/>
        </w:rPr>
        <w:t>（本项目不适用）</w:t>
      </w:r>
    </w:p>
    <w:p w14:paraId="1E2C5DC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ADA00D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09EA58FF">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60BCE98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4F5007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rPr>
        <w:t>评标办法明确具体的扣除比例，未明确的，给予</w:t>
      </w:r>
      <w:r>
        <w:rPr>
          <w:rFonts w:ascii="宋体" w:hAnsi="宋体" w:cs="宋体"/>
          <w:color w:val="auto"/>
          <w:sz w:val="24"/>
          <w:highlight w:val="none"/>
        </w:rPr>
        <w:t>20</w:t>
      </w:r>
      <w:r>
        <w:rPr>
          <w:rFonts w:hint="eastAsia" w:ascii="宋体" w:hAnsi="宋体" w:cs="宋体"/>
          <w:color w:val="auto"/>
          <w:sz w:val="24"/>
          <w:highlight w:val="none"/>
        </w:rPr>
        <w:t>%的扣除）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rPr>
        <w:t>评标办法明确具体的扣除比例，未明确的，给予6%的扣除）的扣除，用扣除后的价格参加评审。组成联合体或者接受分包的小微企业与联合体内其他企业、分包企业之间存在直接控股、管理关系的，不享受价格扣除优惠政策。</w:t>
      </w:r>
    </w:p>
    <w:p w14:paraId="470252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20F63F9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FE5EB7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12CBC41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3EE7250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04DF39A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3.4.1 首台套、“制造精品”、“专精特新”等创新产品按规定享受政府采购支持政策。</w:t>
      </w:r>
    </w:p>
    <w:p w14:paraId="5A85C56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3.4.2 </w:t>
      </w:r>
      <w:r>
        <w:rPr>
          <w:rFonts w:hint="eastAsia" w:ascii="宋体" w:hAnsi="宋体" w:cs="宋体"/>
          <w:color w:val="auto"/>
          <w:sz w:val="24"/>
          <w:highlight w:val="none"/>
          <w:lang w:val="en-US" w:eastAsia="zh-CN"/>
        </w:rPr>
        <w:t>征集人</w:t>
      </w:r>
      <w:r>
        <w:rPr>
          <w:rFonts w:hint="eastAsia" w:ascii="宋体" w:hAnsi="宋体" w:cs="宋体"/>
          <w:color w:val="auto"/>
          <w:sz w:val="24"/>
          <w:highlight w:val="none"/>
        </w:rPr>
        <w:t>应当贯彻落实知识产权保护相关法律法规，应当采购使用正版软件。</w:t>
      </w:r>
    </w:p>
    <w:p w14:paraId="348F12BB">
      <w:pPr>
        <w:spacing w:line="360" w:lineRule="auto"/>
        <w:ind w:left="239" w:leftChars="114"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753464D1">
      <w:pPr>
        <w:spacing w:line="360" w:lineRule="auto"/>
        <w:ind w:firstLine="480" w:firstLineChars="200"/>
        <w:outlineLvl w:val="2"/>
        <w:rPr>
          <w:rFonts w:hint="eastAsia" w:ascii="宋体" w:hAnsi="宋体" w:eastAsia="宋体" w:cs="宋体"/>
          <w:color w:val="auto"/>
          <w:sz w:val="24"/>
          <w:highlight w:val="none"/>
        </w:rPr>
      </w:pPr>
      <w:r>
        <w:rPr>
          <w:rFonts w:hint="eastAsia" w:ascii="宋体" w:hAnsi="宋体" w:cs="宋体"/>
          <w:color w:val="auto"/>
          <w:sz w:val="24"/>
          <w:highlight w:val="none"/>
        </w:rPr>
        <w:t>平等对待内</w:t>
      </w:r>
      <w:r>
        <w:rPr>
          <w:rFonts w:hint="eastAsia" w:ascii="宋体" w:hAnsi="宋体" w:eastAsia="宋体" w:cs="宋体"/>
          <w:color w:val="auto"/>
          <w:sz w:val="24"/>
          <w:highlight w:val="none"/>
        </w:rPr>
        <w:t>外资企业和符合条件的破产重整企业，切实保障企业公平竞争，平等维护企业的合法利益。</w:t>
      </w:r>
    </w:p>
    <w:p w14:paraId="3090E341">
      <w:pPr>
        <w:spacing w:line="360" w:lineRule="auto"/>
        <w:outlineLvl w:val="2"/>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3.6 支持本国产品</w:t>
      </w:r>
      <w:r>
        <w:rPr>
          <w:rFonts w:hint="eastAsia" w:ascii="宋体" w:hAnsi="宋体" w:cs="宋体"/>
          <w:color w:val="auto"/>
          <w:sz w:val="24"/>
          <w:highlight w:val="none"/>
          <w:lang w:eastAsia="zh-CN"/>
        </w:rPr>
        <w:t>（本项目不适用）</w:t>
      </w:r>
    </w:p>
    <w:p w14:paraId="34770A37">
      <w:pPr>
        <w:spacing w:line="360" w:lineRule="auto"/>
        <w:ind w:firstLine="480" w:firstLineChars="200"/>
        <w:outlineLvl w:val="2"/>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3.6.1 </w:t>
      </w:r>
      <w:r>
        <w:rPr>
          <w:rFonts w:hint="eastAsia" w:ascii="宋体" w:hAnsi="宋体" w:eastAsia="宋体" w:cs="宋体"/>
          <w:color w:val="auto"/>
          <w:sz w:val="24"/>
          <w:highlight w:val="none"/>
        </w:rPr>
        <w:t>本国产品标准适用于货物，包括政府采购货物项目和服务项目中涉及的货物。</w:t>
      </w:r>
    </w:p>
    <w:p w14:paraId="1C63BA50">
      <w:pPr>
        <w:spacing w:line="360" w:lineRule="auto"/>
        <w:ind w:firstLine="480" w:firstLineChars="200"/>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3.6.2 本项目</w:t>
      </w:r>
      <w:r>
        <w:rPr>
          <w:rFonts w:hint="eastAsia" w:ascii="宋体" w:hAnsi="宋体" w:eastAsia="宋体" w:cs="宋体"/>
          <w:color w:val="auto"/>
          <w:sz w:val="24"/>
          <w:highlight w:val="none"/>
        </w:rPr>
        <w:t>既有本国产品又有非本国产品参与竞争的，对本国产品的报价给予20%的价格扣除，用扣除后的价格参与评审。</w:t>
      </w:r>
    </w:p>
    <w:p w14:paraId="1CAAC791">
      <w:pPr>
        <w:spacing w:line="360" w:lineRule="auto"/>
        <w:ind w:firstLine="480" w:firstLineChars="200"/>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 xml:space="preserve">3.6.3 </w:t>
      </w:r>
      <w:r>
        <w:rPr>
          <w:rFonts w:hint="eastAsia" w:ascii="宋体" w:hAnsi="宋体" w:eastAsia="宋体" w:cs="宋体"/>
          <w:color w:val="auto"/>
          <w:sz w:val="24"/>
          <w:highlight w:val="none"/>
        </w:rPr>
        <w:t>当采购项目或者采购</w:t>
      </w:r>
      <w:r>
        <w:rPr>
          <w:rFonts w:hint="eastAsia" w:ascii="宋体" w:hAnsi="宋体" w:eastAsia="宋体" w:cs="宋体"/>
          <w:color w:val="auto"/>
          <w:sz w:val="24"/>
          <w:highlight w:val="none"/>
          <w:lang w:val="en-US" w:eastAsia="zh-CN"/>
        </w:rPr>
        <w:t>标项</w:t>
      </w:r>
      <w:r>
        <w:rPr>
          <w:rFonts w:hint="eastAsia" w:ascii="宋体" w:hAnsi="宋体" w:eastAsia="宋体" w:cs="宋体"/>
          <w:color w:val="auto"/>
          <w:sz w:val="24"/>
          <w:highlight w:val="none"/>
        </w:rPr>
        <w:t>中含有多种产品，供应商为该采购项目或者采购</w:t>
      </w:r>
      <w:r>
        <w:rPr>
          <w:rFonts w:hint="eastAsia" w:ascii="宋体" w:hAnsi="宋体" w:eastAsia="宋体" w:cs="宋体"/>
          <w:color w:val="auto"/>
          <w:sz w:val="24"/>
          <w:highlight w:val="none"/>
          <w:lang w:val="en-US" w:eastAsia="zh-CN"/>
        </w:rPr>
        <w:t>标项</w:t>
      </w:r>
      <w:r>
        <w:rPr>
          <w:rFonts w:hint="eastAsia" w:ascii="宋体" w:hAnsi="宋体" w:eastAsia="宋体" w:cs="宋体"/>
          <w:color w:val="auto"/>
          <w:sz w:val="24"/>
          <w:highlight w:val="none"/>
        </w:rPr>
        <w:t>提供的符合本国产品标准的产品成本之和占该供应商提供的全部产品成本之和的比例达到80%以上时，对该供应商提供的全部产品的总报价给予20%的价格扣除，用扣除后的价格参与评审。</w:t>
      </w:r>
    </w:p>
    <w:p w14:paraId="4A2CF017">
      <w:pPr>
        <w:spacing w:line="360" w:lineRule="auto"/>
        <w:ind w:firstLine="480" w:firstLineChars="200"/>
        <w:outlineLvl w:val="2"/>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3.6.4 评审委员会</w:t>
      </w:r>
      <w:r>
        <w:rPr>
          <w:rFonts w:hint="eastAsia" w:ascii="宋体" w:hAnsi="宋体" w:eastAsia="宋体" w:cs="宋体"/>
          <w:color w:val="auto"/>
          <w:sz w:val="24"/>
          <w:highlight w:val="none"/>
          <w:lang w:val="en-US"/>
        </w:rPr>
        <w:t>应当在采购文件中明确对供应商所出具的《关于符合本国产品标准的声明函》的完整性、准确性进行审查，评审中发现《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w:t>
      </w:r>
      <w:r>
        <w:rPr>
          <w:rFonts w:hint="eastAsia" w:ascii="宋体" w:hAnsi="宋体" w:eastAsia="宋体" w:cs="宋体"/>
          <w:color w:val="auto"/>
          <w:sz w:val="24"/>
          <w:highlight w:val="none"/>
        </w:rPr>
        <w:t>国务院办公厅关于在政府采购中实施本国产品标准及相关政策的通知</w:t>
      </w:r>
      <w:r>
        <w:rPr>
          <w:rFonts w:hint="eastAsia" w:ascii="宋体" w:hAnsi="宋体" w:eastAsia="宋体" w:cs="宋体"/>
          <w:color w:val="auto"/>
          <w:sz w:val="24"/>
          <w:highlight w:val="none"/>
          <w:lang w:val="en-US"/>
        </w:rPr>
        <w:t>》规定要求的，供应商提供的相关产品视为不符合本国产品标准</w:t>
      </w:r>
      <w:r>
        <w:rPr>
          <w:rFonts w:hint="eastAsia" w:ascii="宋体" w:hAnsi="宋体" w:eastAsia="宋体" w:cs="宋体"/>
          <w:color w:val="auto"/>
          <w:sz w:val="24"/>
          <w:highlight w:val="none"/>
          <w:lang w:val="en-US" w:eastAsia="zh-CN"/>
        </w:rPr>
        <w:t>。</w:t>
      </w:r>
    </w:p>
    <w:p w14:paraId="16BB5476">
      <w:pPr>
        <w:spacing w:line="360" w:lineRule="auto"/>
        <w:outlineLvl w:val="2"/>
        <w:rPr>
          <w:rFonts w:ascii="宋体" w:hAnsi="宋体" w:cs="宋体"/>
          <w:color w:val="auto"/>
          <w:sz w:val="24"/>
          <w:highlight w:val="none"/>
        </w:rPr>
      </w:pPr>
      <w:r>
        <w:rPr>
          <w:rFonts w:hint="eastAsia" w:ascii="宋体" w:hAnsi="宋体" w:cs="宋体"/>
          <w:b/>
          <w:color w:val="auto"/>
          <w:sz w:val="24"/>
          <w:highlight w:val="none"/>
        </w:rPr>
        <w:t>4. 询问、质疑、投诉、补偿救济</w:t>
      </w:r>
    </w:p>
    <w:p w14:paraId="423445C7">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4.1供应商询问</w:t>
      </w:r>
    </w:p>
    <w:p w14:paraId="7D0EECB9">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征集人或者采购代理机构应当在3个工作日内对供应商依法提出的询问作出答复，但答复的内容不得涉及商业秘密。供应商提出的询问超出征集人对采购代理机构委托授权范围的，采购代理机构应当告知供应商向征集人提出。</w:t>
      </w:r>
    </w:p>
    <w:p w14:paraId="0C1E1BF3">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4.2供应商质疑</w:t>
      </w:r>
    </w:p>
    <w:p w14:paraId="0A9DB2B0">
      <w:pPr>
        <w:pStyle w:val="29"/>
        <w:spacing w:line="360" w:lineRule="auto"/>
        <w:ind w:firstLine="480" w:firstLineChars="200"/>
        <w:rPr>
          <w:rFonts w:hAnsi="宋体" w:eastAsia="宋体" w:cs="宋体"/>
          <w:color w:val="auto"/>
          <w:sz w:val="24"/>
          <w:szCs w:val="24"/>
          <w:highlight w:val="none"/>
        </w:rPr>
      </w:pPr>
      <w:r>
        <w:rPr>
          <w:rFonts w:hint="eastAsia" w:hAnsi="宋体" w:eastAsia="宋体" w:cs="宋体"/>
          <w:color w:val="auto"/>
          <w:kern w:val="0"/>
          <w:sz w:val="24"/>
          <w:szCs w:val="24"/>
          <w:highlight w:val="none"/>
          <w:lang w:val="zh-CN"/>
        </w:rPr>
        <w:t>4.2</w:t>
      </w:r>
      <w:r>
        <w:rPr>
          <w:rFonts w:hint="eastAsia" w:hAnsi="宋体" w:eastAsia="宋体" w:cs="宋体"/>
          <w:color w:val="auto"/>
          <w:sz w:val="24"/>
          <w:szCs w:val="24"/>
          <w:highlight w:val="none"/>
        </w:rPr>
        <w:t>.1提出质疑的供应商应当是参与所质疑项目采购活动的供应商。潜在供应商已依法获取其可质疑的征集文件的，可以对该文件提出质疑。</w:t>
      </w:r>
    </w:p>
    <w:p w14:paraId="78263BDA">
      <w:pPr>
        <w:pStyle w:val="29"/>
        <w:spacing w:line="360" w:lineRule="auto"/>
        <w:ind w:firstLine="480" w:firstLineChars="200"/>
        <w:rPr>
          <w:rFonts w:hAnsi="宋体" w:eastAsia="宋体" w:cs="宋体"/>
          <w:color w:val="auto"/>
          <w:sz w:val="24"/>
          <w:szCs w:val="24"/>
          <w:highlight w:val="none"/>
        </w:rPr>
      </w:pPr>
      <w:r>
        <w:rPr>
          <w:rFonts w:hint="eastAsia" w:hAnsi="宋体" w:eastAsia="宋体" w:cs="宋体"/>
          <w:color w:val="auto"/>
          <w:kern w:val="0"/>
          <w:sz w:val="24"/>
          <w:szCs w:val="24"/>
          <w:highlight w:val="none"/>
          <w:lang w:val="zh-CN"/>
        </w:rPr>
        <w:t>4.2</w:t>
      </w:r>
      <w:r>
        <w:rPr>
          <w:rFonts w:hint="eastAsia" w:hAnsi="宋体" w:eastAsia="宋体" w:cs="宋体"/>
          <w:color w:val="auto"/>
          <w:sz w:val="24"/>
          <w:szCs w:val="24"/>
          <w:highlight w:val="none"/>
        </w:rPr>
        <w:t>.2供应商认为征集文件、采购过程和入围结果使自己的权益受到损害的，可以在知道或者应知其权益受到损害之日起七个工作日内，以书面形式向征集人或者采购代理机构提出质疑，否则，征集人或者采购代理机构不予受理。</w:t>
      </w:r>
    </w:p>
    <w:p w14:paraId="26BDEF09">
      <w:pPr>
        <w:pStyle w:val="13"/>
        <w:spacing w:line="360" w:lineRule="auto"/>
        <w:rPr>
          <w:rFonts w:hAnsi="宋体" w:cs="宋体"/>
          <w:snapToGrid/>
          <w:color w:val="auto"/>
          <w:kern w:val="2"/>
          <w:sz w:val="24"/>
          <w:szCs w:val="24"/>
          <w:highlight w:val="none"/>
        </w:rPr>
      </w:pPr>
      <w:r>
        <w:rPr>
          <w:rFonts w:hint="eastAsia" w:hAnsi="宋体" w:cs="宋体"/>
          <w:snapToGrid/>
          <w:color w:val="auto"/>
          <w:kern w:val="2"/>
          <w:sz w:val="24"/>
          <w:szCs w:val="24"/>
          <w:highlight w:val="none"/>
        </w:rPr>
        <w:t>4.2.2.1对征集文件提出质疑的，质疑期限为供应商获得征集文件之日或者征集文件公告期限届满之日起计算。</w:t>
      </w:r>
    </w:p>
    <w:p w14:paraId="16EA2FF2">
      <w:pPr>
        <w:pStyle w:val="29"/>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4.2.2.2对采购过程提出质疑的，质疑期限为各采购程序环节结束之日起计算。对同一采购程序环节的质疑，供应商须一次性提出。</w:t>
      </w:r>
    </w:p>
    <w:p w14:paraId="1859006A">
      <w:pPr>
        <w:pStyle w:val="29"/>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4.2.2.3对采购结果提出质疑的，质疑期限自采购结果公告期限届满之日起计算。</w:t>
      </w:r>
    </w:p>
    <w:p w14:paraId="694E128C">
      <w:pPr>
        <w:pStyle w:val="29"/>
        <w:spacing w:line="360" w:lineRule="auto"/>
        <w:ind w:firstLine="480" w:firstLineChars="200"/>
        <w:rPr>
          <w:rFonts w:hAnsi="宋体" w:eastAsia="宋体" w:cs="宋体"/>
          <w:color w:val="auto"/>
          <w:kern w:val="0"/>
          <w:sz w:val="24"/>
          <w:szCs w:val="24"/>
          <w:highlight w:val="none"/>
          <w:lang w:val="zh-CN"/>
        </w:rPr>
      </w:pPr>
      <w:r>
        <w:rPr>
          <w:rFonts w:hint="eastAsia" w:hAnsi="宋体" w:eastAsia="宋体" w:cs="宋体"/>
          <w:color w:val="auto"/>
          <w:kern w:val="0"/>
          <w:sz w:val="24"/>
          <w:szCs w:val="24"/>
          <w:highlight w:val="none"/>
          <w:lang w:val="zh-CN"/>
        </w:rPr>
        <w:t>4.2.3</w:t>
      </w:r>
      <w:r>
        <w:rPr>
          <w:rFonts w:hint="eastAsia" w:hAnsi="宋体" w:eastAsia="宋体" w:cs="宋体"/>
          <w:color w:val="auto"/>
          <w:sz w:val="24"/>
          <w:szCs w:val="24"/>
          <w:highlight w:val="none"/>
        </w:rPr>
        <w:t>供应商提出质疑应当提交质疑函和必要的证明材料。质疑函应当包括下列内容：</w:t>
      </w:r>
    </w:p>
    <w:p w14:paraId="757B879A">
      <w:pPr>
        <w:pStyle w:val="29"/>
        <w:spacing w:line="360" w:lineRule="auto"/>
        <w:ind w:firstLine="480" w:firstLineChars="200"/>
        <w:rPr>
          <w:rFonts w:hAnsi="宋体" w:eastAsia="宋体" w:cs="宋体"/>
          <w:color w:val="auto"/>
          <w:kern w:val="0"/>
          <w:sz w:val="24"/>
          <w:szCs w:val="24"/>
          <w:highlight w:val="none"/>
          <w:lang w:val="zh-CN"/>
        </w:rPr>
      </w:pPr>
      <w:r>
        <w:rPr>
          <w:rFonts w:hint="eastAsia" w:hAnsi="宋体" w:eastAsia="宋体" w:cs="宋体"/>
          <w:color w:val="auto"/>
          <w:kern w:val="0"/>
          <w:sz w:val="24"/>
          <w:szCs w:val="24"/>
          <w:highlight w:val="none"/>
          <w:lang w:val="zh-CN"/>
        </w:rPr>
        <w:t>4.2.3.1供应商的姓名或者名称、地址、邮编、联系人及联系电话；</w:t>
      </w:r>
    </w:p>
    <w:p w14:paraId="12FFDFF3">
      <w:pPr>
        <w:pStyle w:val="29"/>
        <w:spacing w:line="360" w:lineRule="auto"/>
        <w:ind w:firstLine="480" w:firstLineChars="200"/>
        <w:rPr>
          <w:rFonts w:hAnsi="宋体" w:eastAsia="宋体" w:cs="宋体"/>
          <w:color w:val="auto"/>
          <w:kern w:val="0"/>
          <w:sz w:val="24"/>
          <w:szCs w:val="24"/>
          <w:highlight w:val="none"/>
          <w:lang w:val="zh-CN"/>
        </w:rPr>
      </w:pPr>
      <w:r>
        <w:rPr>
          <w:rFonts w:hint="eastAsia" w:hAnsi="宋体" w:eastAsia="宋体" w:cs="宋体"/>
          <w:color w:val="auto"/>
          <w:kern w:val="0"/>
          <w:sz w:val="24"/>
          <w:szCs w:val="24"/>
          <w:highlight w:val="none"/>
          <w:lang w:val="zh-CN"/>
        </w:rPr>
        <w:t>4.2.3.2质疑项目的名称、编号；</w:t>
      </w:r>
    </w:p>
    <w:p w14:paraId="5B49980E">
      <w:pPr>
        <w:pStyle w:val="29"/>
        <w:spacing w:line="360" w:lineRule="auto"/>
        <w:ind w:firstLine="480" w:firstLineChars="200"/>
        <w:rPr>
          <w:rFonts w:hAnsi="宋体" w:eastAsia="宋体" w:cs="宋体"/>
          <w:color w:val="auto"/>
          <w:kern w:val="0"/>
          <w:sz w:val="24"/>
          <w:szCs w:val="24"/>
          <w:highlight w:val="none"/>
          <w:lang w:val="zh-CN"/>
        </w:rPr>
      </w:pPr>
      <w:r>
        <w:rPr>
          <w:rFonts w:hint="eastAsia" w:hAnsi="宋体" w:eastAsia="宋体" w:cs="宋体"/>
          <w:color w:val="auto"/>
          <w:kern w:val="0"/>
          <w:sz w:val="24"/>
          <w:szCs w:val="24"/>
          <w:highlight w:val="none"/>
          <w:lang w:val="zh-CN"/>
        </w:rPr>
        <w:t>4.2.3.3具体、明确的质疑事项和与质疑事项相关的请求；</w:t>
      </w:r>
    </w:p>
    <w:p w14:paraId="053B3E23">
      <w:pPr>
        <w:pStyle w:val="29"/>
        <w:spacing w:line="360" w:lineRule="auto"/>
        <w:ind w:firstLine="480" w:firstLineChars="200"/>
        <w:rPr>
          <w:rFonts w:hAnsi="宋体" w:eastAsia="宋体" w:cs="宋体"/>
          <w:color w:val="auto"/>
          <w:kern w:val="0"/>
          <w:sz w:val="24"/>
          <w:szCs w:val="24"/>
          <w:highlight w:val="none"/>
          <w:lang w:val="zh-CN"/>
        </w:rPr>
      </w:pPr>
      <w:r>
        <w:rPr>
          <w:rFonts w:hint="eastAsia" w:hAnsi="宋体" w:eastAsia="宋体" w:cs="宋体"/>
          <w:color w:val="auto"/>
          <w:kern w:val="0"/>
          <w:sz w:val="24"/>
          <w:szCs w:val="24"/>
          <w:highlight w:val="none"/>
          <w:lang w:val="zh-CN"/>
        </w:rPr>
        <w:t>4.2.3.4事实依据；</w:t>
      </w:r>
    </w:p>
    <w:p w14:paraId="71B7A53C">
      <w:pPr>
        <w:pStyle w:val="29"/>
        <w:spacing w:line="360" w:lineRule="auto"/>
        <w:ind w:firstLine="480" w:firstLineChars="200"/>
        <w:rPr>
          <w:rFonts w:hAnsi="宋体" w:eastAsia="宋体" w:cs="宋体"/>
          <w:color w:val="auto"/>
          <w:kern w:val="0"/>
          <w:sz w:val="24"/>
          <w:szCs w:val="24"/>
          <w:highlight w:val="none"/>
          <w:lang w:val="zh-CN"/>
        </w:rPr>
      </w:pPr>
      <w:r>
        <w:rPr>
          <w:rFonts w:hint="eastAsia" w:hAnsi="宋体" w:eastAsia="宋体" w:cs="宋体"/>
          <w:color w:val="auto"/>
          <w:kern w:val="0"/>
          <w:sz w:val="24"/>
          <w:szCs w:val="24"/>
          <w:highlight w:val="none"/>
          <w:lang w:val="zh-CN"/>
        </w:rPr>
        <w:t>4.2.3.5必要的法律依据；</w:t>
      </w:r>
    </w:p>
    <w:p w14:paraId="3CC02112">
      <w:pPr>
        <w:pStyle w:val="29"/>
        <w:spacing w:line="360" w:lineRule="auto"/>
        <w:ind w:firstLine="480" w:firstLineChars="200"/>
        <w:rPr>
          <w:rFonts w:hAnsi="宋体" w:eastAsia="宋体" w:cs="宋体"/>
          <w:color w:val="auto"/>
          <w:kern w:val="0"/>
          <w:sz w:val="24"/>
          <w:szCs w:val="24"/>
          <w:highlight w:val="none"/>
          <w:lang w:val="zh-CN"/>
        </w:rPr>
      </w:pPr>
      <w:r>
        <w:rPr>
          <w:rFonts w:hint="eastAsia" w:hAnsi="宋体" w:eastAsia="宋体" w:cs="宋体"/>
          <w:color w:val="auto"/>
          <w:kern w:val="0"/>
          <w:sz w:val="24"/>
          <w:szCs w:val="24"/>
          <w:highlight w:val="none"/>
          <w:lang w:val="zh-CN"/>
        </w:rPr>
        <w:t>4.2.3.6提出质疑的日期。</w:t>
      </w:r>
    </w:p>
    <w:p w14:paraId="3B07A510">
      <w:pPr>
        <w:pStyle w:val="723"/>
        <w:snapToGrid w:val="0"/>
        <w:spacing w:before="0" w:beforeAutospacing="0" w:after="0" w:afterAutospacing="0" w:line="360" w:lineRule="auto"/>
        <w:ind w:firstLine="403"/>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34975F50">
      <w:pPr>
        <w:pStyle w:val="723"/>
        <w:snapToGrid w:val="0"/>
        <w:spacing w:beforeAutospacing="0" w:after="0" w:afterAutospacing="0" w:line="360" w:lineRule="auto"/>
        <w:ind w:firstLine="518" w:firstLineChars="216"/>
        <w:contextualSpacing/>
        <w:rPr>
          <w:color w:val="auto"/>
          <w:highlight w:val="none"/>
        </w:rPr>
      </w:pPr>
      <w:r>
        <w:rPr>
          <w:rFonts w:hint="eastAsia"/>
          <w:color w:val="auto"/>
          <w:highlight w:val="none"/>
        </w:rPr>
        <w:t>质疑函范本及制作说明详见附件</w:t>
      </w:r>
      <w:r>
        <w:rPr>
          <w:rFonts w:hint="eastAsia"/>
          <w:color w:val="auto"/>
          <w:highlight w:val="none"/>
          <w:lang w:val="en-US" w:eastAsia="zh-CN"/>
        </w:rPr>
        <w:t>1</w:t>
      </w:r>
      <w:r>
        <w:rPr>
          <w:rFonts w:hint="eastAsia"/>
          <w:color w:val="auto"/>
          <w:highlight w:val="none"/>
        </w:rPr>
        <w:t>。</w:t>
      </w:r>
    </w:p>
    <w:p w14:paraId="695A97FF">
      <w:pPr>
        <w:pStyle w:val="723"/>
        <w:snapToGrid w:val="0"/>
        <w:spacing w:beforeAutospacing="0" w:after="0" w:afterAutospacing="0" w:line="360" w:lineRule="auto"/>
        <w:ind w:firstLine="518" w:firstLineChars="216"/>
        <w:contextualSpacing/>
        <w:rPr>
          <w:color w:val="auto"/>
          <w:highlight w:val="none"/>
          <w:lang w:val="zh-CN"/>
        </w:rPr>
      </w:pPr>
      <w:r>
        <w:rPr>
          <w:rFonts w:hint="eastAsia"/>
          <w:color w:val="auto"/>
          <w:highlight w:val="none"/>
          <w:lang w:val="zh-CN"/>
        </w:rPr>
        <w:t>4.2.4对同一采购程序环节的质疑，供应商须在法定质疑期内一次性提出。</w:t>
      </w:r>
    </w:p>
    <w:p w14:paraId="519084E6">
      <w:pPr>
        <w:pStyle w:val="723"/>
        <w:snapToGrid w:val="0"/>
        <w:spacing w:beforeAutospacing="0" w:after="0" w:afterAutospacing="0" w:line="360" w:lineRule="auto"/>
        <w:ind w:firstLine="518" w:firstLineChars="216"/>
        <w:contextualSpacing/>
        <w:rPr>
          <w:color w:val="auto"/>
          <w:highlight w:val="none"/>
        </w:rPr>
      </w:pPr>
      <w:r>
        <w:rPr>
          <w:rFonts w:hint="eastAsia"/>
          <w:color w:val="auto"/>
          <w:highlight w:val="none"/>
          <w:lang w:val="zh-CN"/>
        </w:rPr>
        <w:t>4.2</w:t>
      </w:r>
      <w:r>
        <w:rPr>
          <w:rFonts w:hint="eastAsia"/>
          <w:color w:val="auto"/>
          <w:highlight w:val="none"/>
        </w:rPr>
        <w:t>.5征集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征集人或者采购代理机构在质疑回复后5个工作日内，在浙江政府采购网的“其他公告”栏目公开质疑答复，答复内容应当完整。质疑答复公告时，如对征集文件质疑的，不公布质疑单位名称。涉及国家秘密、个人隐私、商业秘密以及法律法规规定应予保密的信息不公开。质疑函作为附件上传。</w:t>
      </w:r>
    </w:p>
    <w:p w14:paraId="624E2F8F">
      <w:pPr>
        <w:pStyle w:val="723"/>
        <w:snapToGrid w:val="0"/>
        <w:spacing w:after="240" w:afterAutospacing="0" w:line="360" w:lineRule="auto"/>
        <w:ind w:firstLine="518" w:firstLineChars="216"/>
        <w:contextualSpacing/>
        <w:rPr>
          <w:color w:val="auto"/>
          <w:highlight w:val="none"/>
        </w:rPr>
      </w:pPr>
      <w:r>
        <w:rPr>
          <w:rFonts w:hint="eastAsia"/>
          <w:color w:val="auto"/>
          <w:highlight w:val="none"/>
          <w:lang w:val="zh-CN"/>
        </w:rPr>
        <w:t>4.2</w:t>
      </w:r>
      <w:r>
        <w:rPr>
          <w:rFonts w:hint="eastAsia"/>
          <w:color w:val="auto"/>
          <w:highlight w:val="none"/>
        </w:rPr>
        <w:t>.6询问或者质疑事项可能影响采购结果的，征集人应当暂停签订合同，已经签订合同的，应当中止履行合同。</w:t>
      </w:r>
    </w:p>
    <w:p w14:paraId="02AB8F44">
      <w:pPr>
        <w:pStyle w:val="723"/>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4.3供应商投诉</w:t>
      </w:r>
    </w:p>
    <w:p w14:paraId="2D4F7714">
      <w:pPr>
        <w:pStyle w:val="723"/>
        <w:snapToGrid w:val="0"/>
        <w:spacing w:after="240" w:afterAutospacing="0" w:line="360" w:lineRule="auto"/>
        <w:ind w:firstLine="518" w:firstLineChars="216"/>
        <w:contextualSpacing/>
        <w:rPr>
          <w:color w:val="auto"/>
          <w:highlight w:val="none"/>
        </w:rPr>
      </w:pPr>
      <w:r>
        <w:rPr>
          <w:rFonts w:hint="eastAsia"/>
          <w:color w:val="auto"/>
          <w:highlight w:val="none"/>
        </w:rPr>
        <w:t>4.3.1质疑供应商对征集人、采购代理机构的答复不满意或者征集人、采购代理机构未在规定的时间内作出答复的，可以在答复期满后十五个工作日内向同级政府采购监督管理部门提出投诉。</w:t>
      </w:r>
    </w:p>
    <w:p w14:paraId="5646A706">
      <w:pPr>
        <w:pStyle w:val="723"/>
        <w:snapToGrid w:val="0"/>
        <w:spacing w:after="240" w:afterAutospacing="0" w:line="360" w:lineRule="auto"/>
        <w:ind w:firstLine="518" w:firstLineChars="216"/>
        <w:contextualSpacing/>
        <w:rPr>
          <w:color w:val="auto"/>
          <w:highlight w:val="none"/>
        </w:rPr>
      </w:pPr>
      <w:r>
        <w:rPr>
          <w:rFonts w:hint="eastAsia"/>
          <w:color w:val="auto"/>
          <w:highlight w:val="none"/>
        </w:rPr>
        <w:t>4.3.</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66C75636">
      <w:pPr>
        <w:pStyle w:val="723"/>
        <w:snapToGrid w:val="0"/>
        <w:spacing w:after="240" w:afterAutospacing="0" w:line="360" w:lineRule="auto"/>
        <w:ind w:firstLine="518" w:firstLineChars="216"/>
        <w:contextualSpacing/>
        <w:rPr>
          <w:color w:val="auto"/>
          <w:highlight w:val="none"/>
        </w:rPr>
      </w:pPr>
      <w:r>
        <w:rPr>
          <w:rFonts w:hint="eastAsia"/>
          <w:color w:val="auto"/>
          <w:highlight w:val="none"/>
        </w:rPr>
        <w:t>4.3.3供应商投诉应当有明确的请求和必要的证明材料。</w:t>
      </w:r>
    </w:p>
    <w:p w14:paraId="4951CF81">
      <w:pPr>
        <w:pStyle w:val="723"/>
        <w:snapToGrid w:val="0"/>
        <w:spacing w:after="240" w:afterAutospacing="0" w:line="360" w:lineRule="auto"/>
        <w:ind w:firstLine="518" w:firstLineChars="216"/>
        <w:contextualSpacing/>
        <w:rPr>
          <w:color w:val="auto"/>
          <w:highlight w:val="none"/>
        </w:rPr>
      </w:pPr>
      <w:r>
        <w:rPr>
          <w:rFonts w:hint="eastAsia"/>
          <w:color w:val="auto"/>
          <w:highlight w:val="none"/>
        </w:rPr>
        <w:t>4.3.4以联合体形式参加政府采购活动的，其投诉应当由组成联合体的所有供应商共同提出。</w:t>
      </w:r>
    </w:p>
    <w:p w14:paraId="52E4D082">
      <w:pPr>
        <w:pStyle w:val="723"/>
        <w:snapToGrid w:val="0"/>
        <w:spacing w:after="240" w:afterAutospacing="0" w:line="360" w:lineRule="auto"/>
        <w:ind w:firstLine="518" w:firstLineChars="216"/>
        <w:contextualSpacing/>
        <w:rPr>
          <w:rFonts w:hint="eastAsia" w:ascii="宋体" w:hAnsi="宋体" w:eastAsia="宋体" w:cs="宋体"/>
          <w:color w:val="auto"/>
          <w:highlight w:val="none"/>
        </w:rPr>
      </w:pPr>
      <w:r>
        <w:rPr>
          <w:rFonts w:hint="eastAsia"/>
          <w:color w:val="auto"/>
          <w:highlight w:val="none"/>
        </w:rPr>
        <w:t>投诉书</w:t>
      </w:r>
      <w:r>
        <w:rPr>
          <w:rFonts w:hint="eastAsia" w:ascii="宋体" w:hAnsi="宋体" w:eastAsia="宋体" w:cs="宋体"/>
          <w:color w:val="auto"/>
          <w:highlight w:val="none"/>
        </w:rPr>
        <w:t>范本及制作说明详见附件</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w:t>
      </w:r>
    </w:p>
    <w:p w14:paraId="72AB2EEB">
      <w:pPr>
        <w:pStyle w:val="723"/>
        <w:snapToGrid w:val="0"/>
        <w:spacing w:after="240" w:afterAutospacing="0" w:line="360" w:lineRule="auto"/>
        <w:ind w:firstLine="518" w:firstLineChars="216"/>
        <w:contextualSpacing/>
        <w:rPr>
          <w:rFonts w:hint="eastAsia" w:ascii="宋体" w:hAnsi="宋体" w:eastAsia="宋体" w:cs="宋体"/>
          <w:color w:val="auto"/>
          <w:highlight w:val="none"/>
        </w:rPr>
      </w:pPr>
      <w:r>
        <w:rPr>
          <w:rFonts w:hint="eastAsia" w:ascii="宋体" w:hAnsi="宋体" w:eastAsia="宋体" w:cs="宋体"/>
          <w:color w:val="auto"/>
          <w:highlight w:val="none"/>
        </w:rPr>
        <w:t>4.4在线质疑、投诉。</w:t>
      </w:r>
    </w:p>
    <w:p w14:paraId="03468224">
      <w:pPr>
        <w:pStyle w:val="723"/>
        <w:snapToGrid w:val="0"/>
        <w:spacing w:after="240" w:afterAutospacing="0" w:line="360" w:lineRule="auto"/>
        <w:ind w:firstLine="518" w:firstLineChars="216"/>
        <w:contextualSpacing/>
        <w:rPr>
          <w:rFonts w:hint="eastAsia" w:ascii="宋体" w:hAnsi="宋体" w:eastAsia="宋体" w:cs="宋体"/>
          <w:color w:val="auto"/>
          <w:highlight w:val="none"/>
        </w:rPr>
      </w:pPr>
      <w:r>
        <w:rPr>
          <w:rFonts w:hint="eastAsia" w:ascii="宋体" w:hAnsi="宋体" w:eastAsia="宋体" w:cs="宋体"/>
          <w:color w:val="auto"/>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C5B6A1">
      <w:pPr>
        <w:pStyle w:val="723"/>
        <w:snapToGrid w:val="0"/>
        <w:spacing w:after="240" w:afterAutospacing="0" w:line="360" w:lineRule="auto"/>
        <w:ind w:firstLine="518" w:firstLineChars="216"/>
        <w:contextualSpacing/>
        <w:rPr>
          <w:rFonts w:hint="eastAsia" w:ascii="宋体" w:hAnsi="宋体" w:eastAsia="宋体" w:cs="宋体"/>
          <w:color w:val="auto"/>
          <w:highlight w:val="none"/>
        </w:rPr>
      </w:pPr>
      <w:r>
        <w:rPr>
          <w:rFonts w:hint="eastAsia" w:ascii="宋体" w:hAnsi="宋体" w:eastAsia="宋体" w:cs="宋体"/>
          <w:color w:val="auto"/>
          <w:highlight w:val="none"/>
        </w:rPr>
        <w:t>4.5 补偿救济</w:t>
      </w:r>
    </w:p>
    <w:p w14:paraId="605DEF79">
      <w:pPr>
        <w:pStyle w:val="723"/>
        <w:snapToGrid w:val="0"/>
        <w:spacing w:after="240" w:afterAutospacing="0" w:line="360" w:lineRule="auto"/>
        <w:ind w:firstLine="518" w:firstLineChars="216"/>
        <w:contextualSpacing/>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征集</w:t>
      </w:r>
      <w:r>
        <w:rPr>
          <w:rFonts w:hint="eastAsia" w:ascii="宋体" w:hAnsi="宋体" w:eastAsia="宋体" w:cs="宋体"/>
          <w:color w:val="auto"/>
          <w:highlight w:val="none"/>
        </w:rPr>
        <w:t>人因政策变化、规划调整而不履行政府采购合同的，供应商可依据《杭州市涉企补偿救济实施办法（试行）》向</w:t>
      </w:r>
      <w:r>
        <w:rPr>
          <w:rFonts w:hint="eastAsia" w:ascii="宋体" w:hAnsi="宋体" w:eastAsia="宋体" w:cs="宋体"/>
          <w:color w:val="auto"/>
          <w:highlight w:val="none"/>
          <w:lang w:val="en-US" w:eastAsia="zh-CN"/>
        </w:rPr>
        <w:t>征集</w:t>
      </w:r>
      <w:r>
        <w:rPr>
          <w:rFonts w:hint="eastAsia" w:ascii="宋体" w:hAnsi="宋体" w:eastAsia="宋体" w:cs="宋体"/>
          <w:color w:val="auto"/>
          <w:highlight w:val="none"/>
        </w:rPr>
        <w:t>人提起补偿申请。</w:t>
      </w:r>
    </w:p>
    <w:p w14:paraId="7F222D20">
      <w:pPr>
        <w:pStyle w:val="723"/>
        <w:snapToGrid w:val="0"/>
        <w:spacing w:after="240" w:afterAutospacing="0" w:line="360" w:lineRule="auto"/>
        <w:ind w:firstLine="518" w:firstLineChars="216"/>
        <w:contextualSpacing/>
        <w:rPr>
          <w:color w:val="auto"/>
          <w:highlight w:val="none"/>
        </w:rPr>
      </w:pPr>
    </w:p>
    <w:p w14:paraId="3EE54379">
      <w:pPr>
        <w:adjustRightInd/>
        <w:spacing w:line="360" w:lineRule="auto"/>
        <w:jc w:val="center"/>
        <w:outlineLvl w:val="1"/>
        <w:rPr>
          <w:rFonts w:ascii="宋体" w:hAnsi="宋体" w:cs="宋体"/>
          <w:b/>
          <w:color w:val="auto"/>
          <w:sz w:val="32"/>
          <w:szCs w:val="20"/>
          <w:highlight w:val="none"/>
        </w:rPr>
      </w:pPr>
      <w:bookmarkStart w:id="18" w:name="_Hlt74707468"/>
      <w:bookmarkEnd w:id="18"/>
      <w:bookmarkStart w:id="19" w:name="_Hlt74729768"/>
      <w:bookmarkEnd w:id="19"/>
      <w:bookmarkStart w:id="20" w:name="_Hlt68057669"/>
      <w:bookmarkEnd w:id="20"/>
      <w:bookmarkStart w:id="21" w:name="_Hlt75236290"/>
      <w:bookmarkEnd w:id="21"/>
      <w:bookmarkStart w:id="22" w:name="_Hlt68072990"/>
      <w:bookmarkEnd w:id="22"/>
      <w:bookmarkStart w:id="23" w:name="_Toc91899879"/>
      <w:r>
        <w:rPr>
          <w:rFonts w:hint="eastAsia" w:ascii="宋体" w:hAnsi="宋体" w:cs="宋体"/>
          <w:b/>
          <w:color w:val="auto"/>
          <w:sz w:val="32"/>
          <w:szCs w:val="20"/>
          <w:highlight w:val="none"/>
        </w:rPr>
        <w:t>二、征集文件</w:t>
      </w:r>
      <w:bookmarkEnd w:id="23"/>
      <w:r>
        <w:rPr>
          <w:rFonts w:hint="eastAsia" w:ascii="宋体" w:hAnsi="宋体" w:cs="宋体"/>
          <w:b/>
          <w:color w:val="auto"/>
          <w:sz w:val="32"/>
          <w:szCs w:val="20"/>
          <w:highlight w:val="none"/>
        </w:rPr>
        <w:t>的构成、澄清、修改</w:t>
      </w:r>
    </w:p>
    <w:p w14:paraId="4CE75530">
      <w:pPr>
        <w:pStyle w:val="29"/>
        <w:spacing w:line="360" w:lineRule="auto"/>
        <w:outlineLvl w:val="2"/>
        <w:rPr>
          <w:rFonts w:hAnsi="宋体" w:eastAsia="宋体" w:cs="宋体"/>
          <w:b/>
          <w:color w:val="auto"/>
          <w:sz w:val="24"/>
          <w:szCs w:val="24"/>
          <w:highlight w:val="none"/>
        </w:rPr>
      </w:pPr>
      <w:bookmarkStart w:id="24" w:name="_Toc91899880"/>
      <w:bookmarkStart w:id="25" w:name="_Hlt74730307"/>
      <w:r>
        <w:rPr>
          <w:rFonts w:hint="eastAsia" w:hAnsi="宋体" w:eastAsia="宋体" w:cs="宋体"/>
          <w:b/>
          <w:color w:val="auto"/>
          <w:sz w:val="24"/>
          <w:szCs w:val="24"/>
          <w:highlight w:val="none"/>
        </w:rPr>
        <w:t>5．征集文件的构成</w:t>
      </w:r>
      <w:bookmarkEnd w:id="24"/>
    </w:p>
    <w:bookmarkEnd w:id="25"/>
    <w:p w14:paraId="14D53411">
      <w:pPr>
        <w:pStyle w:val="29"/>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5.1 征集文件包括下列文件及附件</w:t>
      </w:r>
    </w:p>
    <w:p w14:paraId="3AAC2C08">
      <w:pPr>
        <w:pStyle w:val="29"/>
        <w:numPr>
          <w:ilvl w:val="0"/>
          <w:numId w:val="4"/>
        </w:numPr>
        <w:spacing w:line="360" w:lineRule="auto"/>
        <w:ind w:left="839"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第一部分征集公告</w:t>
      </w:r>
    </w:p>
    <w:p w14:paraId="4DFEC50D">
      <w:pPr>
        <w:pStyle w:val="29"/>
        <w:numPr>
          <w:ilvl w:val="0"/>
          <w:numId w:val="4"/>
        </w:numPr>
        <w:spacing w:line="360" w:lineRule="auto"/>
        <w:ind w:left="839"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第二部分供应商须知</w:t>
      </w:r>
    </w:p>
    <w:p w14:paraId="06668E6F">
      <w:pPr>
        <w:pStyle w:val="29"/>
        <w:numPr>
          <w:ilvl w:val="0"/>
          <w:numId w:val="4"/>
        </w:numPr>
        <w:spacing w:line="360" w:lineRule="auto"/>
        <w:ind w:left="839"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第三部分采购需求</w:t>
      </w:r>
    </w:p>
    <w:p w14:paraId="6BC6CDEF">
      <w:pPr>
        <w:pStyle w:val="29"/>
        <w:numPr>
          <w:ilvl w:val="0"/>
          <w:numId w:val="4"/>
        </w:numPr>
        <w:spacing w:line="360" w:lineRule="auto"/>
        <w:ind w:left="839"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第四部分评标方法</w:t>
      </w:r>
    </w:p>
    <w:p w14:paraId="0E8CEDCC">
      <w:pPr>
        <w:pStyle w:val="29"/>
        <w:numPr>
          <w:ilvl w:val="0"/>
          <w:numId w:val="4"/>
        </w:numPr>
        <w:spacing w:line="360" w:lineRule="auto"/>
        <w:ind w:left="839"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第五部分拟签订的合同文本</w:t>
      </w:r>
    </w:p>
    <w:p w14:paraId="06B5150B">
      <w:pPr>
        <w:pStyle w:val="29"/>
        <w:numPr>
          <w:ilvl w:val="0"/>
          <w:numId w:val="4"/>
        </w:numPr>
        <w:spacing w:line="360" w:lineRule="auto"/>
        <w:ind w:left="839"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第六部分应提交的有关格式范例</w:t>
      </w:r>
    </w:p>
    <w:p w14:paraId="36AA20E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澄清或者修改的内容为征集文件的组成部分</w:t>
      </w:r>
      <w:r>
        <w:rPr>
          <w:rFonts w:hint="eastAsia" w:ascii="宋体" w:hAnsi="宋体" w:cs="宋体"/>
          <w:color w:val="auto"/>
          <w:sz w:val="24"/>
          <w:highlight w:val="none"/>
        </w:rPr>
        <w:t>。</w:t>
      </w:r>
    </w:p>
    <w:p w14:paraId="11012F25">
      <w:pPr>
        <w:pStyle w:val="29"/>
        <w:spacing w:line="360" w:lineRule="auto"/>
        <w:outlineLvl w:val="2"/>
        <w:rPr>
          <w:rFonts w:hAnsi="宋体" w:eastAsia="宋体" w:cs="宋体"/>
          <w:b/>
          <w:color w:val="auto"/>
          <w:sz w:val="24"/>
          <w:szCs w:val="24"/>
          <w:highlight w:val="none"/>
        </w:rPr>
      </w:pPr>
      <w:r>
        <w:rPr>
          <w:rFonts w:hint="eastAsia" w:hAnsi="宋体" w:eastAsia="宋体" w:cs="宋体"/>
          <w:b/>
          <w:color w:val="auto"/>
          <w:sz w:val="24"/>
          <w:szCs w:val="24"/>
          <w:highlight w:val="none"/>
        </w:rPr>
        <w:t>6. 征集文件的澄清、修改</w:t>
      </w:r>
    </w:p>
    <w:p w14:paraId="0149DB40">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6.1已获取征集文件的潜在供应商，若有问题需要澄清，应于响应截止时间前，以书面形式向采购代理机构提出。</w:t>
      </w:r>
    </w:p>
    <w:p w14:paraId="28327652">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征集文件进行澄清或修改的，将同时通过电子交易平台通知已获取征集文件的潜在供应商。依法应当公告的，将按规定公告，同时视情况延长响应截止时间和开标时间。该澄清或者修改的内容为征集文件的组成部分。</w:t>
      </w:r>
    </w:p>
    <w:p w14:paraId="6DABA07A">
      <w:pPr>
        <w:adjustRightInd/>
        <w:spacing w:line="360" w:lineRule="auto"/>
        <w:jc w:val="center"/>
        <w:outlineLvl w:val="1"/>
        <w:rPr>
          <w:rFonts w:ascii="宋体" w:hAnsi="宋体" w:cs="宋体"/>
          <w:b/>
          <w:color w:val="auto"/>
          <w:sz w:val="32"/>
          <w:szCs w:val="32"/>
          <w:highlight w:val="none"/>
        </w:rPr>
      </w:pPr>
      <w:bookmarkStart w:id="26" w:name="_Hlt75236011"/>
      <w:bookmarkEnd w:id="26"/>
      <w:bookmarkStart w:id="27" w:name="_Toc91899884"/>
      <w:r>
        <w:rPr>
          <w:rFonts w:hint="eastAsia" w:ascii="宋体" w:hAnsi="宋体" w:cs="宋体"/>
          <w:b/>
          <w:color w:val="auto"/>
          <w:sz w:val="32"/>
          <w:szCs w:val="32"/>
          <w:highlight w:val="none"/>
        </w:rPr>
        <w:t>三、</w:t>
      </w:r>
      <w:bookmarkEnd w:id="27"/>
      <w:r>
        <w:rPr>
          <w:rFonts w:hint="eastAsia" w:ascii="宋体" w:hAnsi="宋体" w:cs="宋体"/>
          <w:b/>
          <w:color w:val="auto"/>
          <w:sz w:val="32"/>
          <w:szCs w:val="32"/>
          <w:highlight w:val="none"/>
        </w:rPr>
        <w:t>响应</w:t>
      </w:r>
    </w:p>
    <w:p w14:paraId="5D7943FE">
      <w:pPr>
        <w:pStyle w:val="29"/>
        <w:spacing w:line="360" w:lineRule="auto"/>
        <w:outlineLvl w:val="2"/>
        <w:rPr>
          <w:rFonts w:hAnsi="宋体" w:eastAsia="宋体" w:cs="宋体"/>
          <w:b/>
          <w:color w:val="auto"/>
          <w:sz w:val="24"/>
          <w:szCs w:val="24"/>
          <w:highlight w:val="none"/>
        </w:rPr>
      </w:pPr>
      <w:bookmarkStart w:id="28" w:name="_Toc91899892"/>
      <w:bookmarkStart w:id="29" w:name="_Toc86216991"/>
      <w:r>
        <w:rPr>
          <w:rFonts w:hint="eastAsia" w:hAnsi="宋体" w:eastAsia="宋体" w:cs="宋体"/>
          <w:b/>
          <w:color w:val="auto"/>
          <w:sz w:val="24"/>
          <w:szCs w:val="24"/>
          <w:highlight w:val="none"/>
        </w:rPr>
        <w:t>7. 征集文件的获取</w:t>
      </w:r>
    </w:p>
    <w:p w14:paraId="46A0B12B">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详见征集公告中获取征集文件的时间期限、地点、方式及征集文件售价。</w:t>
      </w:r>
    </w:p>
    <w:p w14:paraId="39B87C3C">
      <w:pPr>
        <w:pStyle w:val="29"/>
        <w:spacing w:line="360" w:lineRule="auto"/>
        <w:outlineLvl w:val="2"/>
        <w:rPr>
          <w:rFonts w:hAnsi="宋体" w:eastAsia="宋体" w:cs="宋体"/>
          <w:b/>
          <w:color w:val="auto"/>
          <w:sz w:val="24"/>
          <w:szCs w:val="24"/>
          <w:highlight w:val="none"/>
        </w:rPr>
      </w:pPr>
      <w:r>
        <w:rPr>
          <w:rFonts w:hint="eastAsia" w:hAnsi="宋体" w:eastAsia="宋体" w:cs="宋体"/>
          <w:b/>
          <w:color w:val="auto"/>
          <w:sz w:val="24"/>
          <w:szCs w:val="24"/>
          <w:highlight w:val="none"/>
        </w:rPr>
        <w:t>8.开标前答疑会或现场考察</w:t>
      </w:r>
    </w:p>
    <w:p w14:paraId="0F3A3552">
      <w:pPr>
        <w:pStyle w:val="29"/>
        <w:spacing w:line="360" w:lineRule="auto"/>
        <w:ind w:firstLine="480" w:firstLineChars="200"/>
        <w:rPr>
          <w:rFonts w:hAnsi="宋体" w:eastAsia="宋体" w:cs="宋体"/>
          <w:color w:val="auto"/>
          <w:sz w:val="24"/>
          <w:szCs w:val="24"/>
          <w:highlight w:val="none"/>
        </w:rPr>
      </w:pPr>
      <w:r>
        <w:rPr>
          <w:rFonts w:hint="eastAsia" w:hAnsi="宋体" w:eastAsia="宋体" w:cs="宋体"/>
          <w:color w:val="auto"/>
          <w:sz w:val="24"/>
          <w:szCs w:val="24"/>
          <w:highlight w:val="none"/>
        </w:rPr>
        <w:t>征集人组织潜在供应商现场考察或者召开开标前答疑会的，潜在供应商按前附表的规定参加现场考察或者开标前答疑会。</w:t>
      </w:r>
    </w:p>
    <w:p w14:paraId="197AEE86">
      <w:pPr>
        <w:pStyle w:val="29"/>
        <w:spacing w:line="360" w:lineRule="auto"/>
        <w:outlineLvl w:val="2"/>
        <w:rPr>
          <w:rFonts w:hAnsi="宋体" w:eastAsia="宋体" w:cs="宋体"/>
          <w:b/>
          <w:color w:val="auto"/>
          <w:szCs w:val="24"/>
          <w:highlight w:val="none"/>
        </w:rPr>
      </w:pPr>
      <w:r>
        <w:rPr>
          <w:rFonts w:hint="eastAsia" w:hAnsi="宋体" w:eastAsia="宋体" w:cs="宋体"/>
          <w:b/>
          <w:color w:val="auto"/>
          <w:kern w:val="28"/>
          <w:sz w:val="24"/>
          <w:szCs w:val="24"/>
          <w:highlight w:val="none"/>
        </w:rPr>
        <w:t>9.保证金</w:t>
      </w:r>
    </w:p>
    <w:p w14:paraId="2B990780">
      <w:pPr>
        <w:pStyle w:val="13"/>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本项目不需要交纳保证金。</w:t>
      </w:r>
    </w:p>
    <w:p w14:paraId="295A4ADE">
      <w:pPr>
        <w:pStyle w:val="29"/>
        <w:spacing w:line="360" w:lineRule="auto"/>
        <w:outlineLvl w:val="2"/>
        <w:rPr>
          <w:rFonts w:hAnsi="宋体" w:eastAsia="宋体" w:cs="宋体"/>
          <w:b/>
          <w:color w:val="auto"/>
          <w:sz w:val="24"/>
          <w:szCs w:val="24"/>
          <w:highlight w:val="none"/>
        </w:rPr>
      </w:pPr>
      <w:r>
        <w:rPr>
          <w:rFonts w:hint="eastAsia" w:hAnsi="宋体" w:eastAsia="宋体" w:cs="宋体"/>
          <w:b/>
          <w:color w:val="auto"/>
          <w:sz w:val="24"/>
          <w:szCs w:val="24"/>
          <w:highlight w:val="none"/>
        </w:rPr>
        <w:t>10. 响应文件的语言</w:t>
      </w:r>
    </w:p>
    <w:p w14:paraId="3B15A5BB">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响应文件及供应商与采购有关的来往通知、函件和文件均应使用中文。</w:t>
      </w:r>
    </w:p>
    <w:p w14:paraId="051B768A">
      <w:pPr>
        <w:pStyle w:val="29"/>
        <w:spacing w:line="360" w:lineRule="auto"/>
        <w:outlineLvl w:val="2"/>
        <w:rPr>
          <w:rFonts w:hAnsi="宋体" w:eastAsia="宋体" w:cs="宋体"/>
          <w:b/>
          <w:color w:val="auto"/>
          <w:sz w:val="24"/>
          <w:szCs w:val="24"/>
          <w:highlight w:val="none"/>
        </w:rPr>
      </w:pPr>
      <w:r>
        <w:rPr>
          <w:rFonts w:hint="eastAsia" w:hAnsi="宋体" w:eastAsia="宋体" w:cs="宋体"/>
          <w:b/>
          <w:color w:val="auto"/>
          <w:sz w:val="24"/>
          <w:szCs w:val="24"/>
          <w:highlight w:val="none"/>
        </w:rPr>
        <w:t>11. 响应文件的组成</w:t>
      </w:r>
    </w:p>
    <w:p w14:paraId="539FF795">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11.1资格文件：</w:t>
      </w:r>
    </w:p>
    <w:p w14:paraId="57D26C9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9991084">
      <w:pPr>
        <w:snapToGrid w:val="0"/>
        <w:spacing w:line="360" w:lineRule="auto"/>
        <w:ind w:firstLine="482" w:firstLineChars="200"/>
        <w:rPr>
          <w:rFonts w:ascii="宋体" w:hAnsi="宋体" w:cs="宋体"/>
          <w:b/>
          <w:color w:val="auto"/>
          <w:sz w:val="24"/>
          <w:highlight w:val="none"/>
          <w:lang w:val="zh-CN"/>
        </w:rPr>
      </w:pPr>
      <w:r>
        <w:rPr>
          <w:rFonts w:hint="eastAsia" w:ascii="宋体" w:hAnsi="宋体" w:cs="宋体"/>
          <w:b/>
          <w:color w:val="auto"/>
          <w:sz w:val="24"/>
          <w:highlight w:val="none"/>
          <w:lang w:val="zh-CN"/>
        </w:rPr>
        <w:t>11.</w:t>
      </w:r>
      <w:r>
        <w:rPr>
          <w:rFonts w:hint="eastAsia" w:ascii="宋体" w:hAnsi="宋体" w:cs="宋体"/>
          <w:b/>
          <w:color w:val="auto"/>
          <w:sz w:val="24"/>
          <w:highlight w:val="none"/>
        </w:rPr>
        <w:t>2商务技术</w:t>
      </w:r>
      <w:r>
        <w:rPr>
          <w:rFonts w:hint="eastAsia" w:ascii="宋体" w:hAnsi="宋体" w:cs="宋体"/>
          <w:b/>
          <w:color w:val="auto"/>
          <w:sz w:val="24"/>
          <w:highlight w:val="none"/>
          <w:lang w:val="zh-CN"/>
        </w:rPr>
        <w:t>文件：</w:t>
      </w:r>
    </w:p>
    <w:p w14:paraId="05B4254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11.2.1响应函；</w:t>
      </w:r>
    </w:p>
    <w:p w14:paraId="2CCD1CA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0737539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符合性审查资料；</w:t>
      </w:r>
    </w:p>
    <w:p w14:paraId="1FE3762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评标标准相应的商务技术资料；</w:t>
      </w:r>
    </w:p>
    <w:p w14:paraId="036481A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响应标的清单（如果有）；</w:t>
      </w:r>
    </w:p>
    <w:p w14:paraId="0C1087A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商务技术偏离表；</w:t>
      </w:r>
    </w:p>
    <w:p w14:paraId="4F588A2E">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lang w:val="zh-CN"/>
        </w:rPr>
        <w:t>政府采购供应商廉洁自律承诺书。</w:t>
      </w:r>
    </w:p>
    <w:p w14:paraId="7BCAD124">
      <w:pPr>
        <w:snapToGrid w:val="0"/>
        <w:spacing w:line="360" w:lineRule="auto"/>
        <w:ind w:firstLine="482" w:firstLineChars="200"/>
        <w:rPr>
          <w:rFonts w:ascii="宋体" w:hAnsi="宋体" w:cs="宋体"/>
          <w:b/>
          <w:color w:val="auto"/>
          <w:sz w:val="24"/>
          <w:highlight w:val="none"/>
          <w:u w:val="single"/>
          <w:lang w:val="zh-CN"/>
        </w:rPr>
      </w:pPr>
      <w:r>
        <w:rPr>
          <w:rFonts w:hint="eastAsia" w:ascii="宋体" w:hAnsi="宋体" w:cs="宋体"/>
          <w:b/>
          <w:color w:val="auto"/>
          <w:kern w:val="0"/>
          <w:sz w:val="24"/>
          <w:highlight w:val="none"/>
          <w:lang w:val="zh-CN"/>
        </w:rPr>
        <w:t>11.</w:t>
      </w:r>
      <w:r>
        <w:rPr>
          <w:rFonts w:hint="eastAsia" w:ascii="宋体" w:hAnsi="宋体" w:cs="宋体"/>
          <w:b/>
          <w:color w:val="auto"/>
          <w:kern w:val="0"/>
          <w:sz w:val="24"/>
          <w:highlight w:val="none"/>
        </w:rPr>
        <w:t>3</w:t>
      </w:r>
      <w:r>
        <w:rPr>
          <w:rFonts w:hint="eastAsia" w:ascii="宋体" w:hAnsi="宋体" w:cs="宋体"/>
          <w:b/>
          <w:color w:val="auto"/>
          <w:sz w:val="24"/>
          <w:highlight w:val="none"/>
        </w:rPr>
        <w:t>报价文件：</w:t>
      </w:r>
    </w:p>
    <w:p w14:paraId="5A1ECFC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w:t>
      </w:r>
      <w:r>
        <w:rPr>
          <w:rFonts w:hint="eastAsia" w:ascii="宋体" w:hAnsi="宋体" w:cs="宋体"/>
          <w:color w:val="auto"/>
          <w:sz w:val="24"/>
          <w:highlight w:val="none"/>
          <w:lang w:val="zh-CN"/>
        </w:rPr>
        <w:t>投标(开标)一览表</w:t>
      </w:r>
      <w:r>
        <w:rPr>
          <w:rFonts w:hint="eastAsia" w:ascii="宋体" w:hAnsi="宋体" w:cs="宋体"/>
          <w:color w:val="auto"/>
          <w:sz w:val="24"/>
          <w:highlight w:val="none"/>
        </w:rPr>
        <w:t>。</w:t>
      </w:r>
    </w:p>
    <w:p w14:paraId="5C53935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zh-CN"/>
        </w:rPr>
        <w:t>报价情况说明（如果有）</w:t>
      </w:r>
      <w:r>
        <w:rPr>
          <w:rFonts w:hint="eastAsia" w:ascii="宋体" w:hAnsi="宋体" w:cs="宋体"/>
          <w:color w:val="auto"/>
          <w:sz w:val="24"/>
          <w:highlight w:val="none"/>
        </w:rPr>
        <w:t>。</w:t>
      </w:r>
    </w:p>
    <w:p w14:paraId="38E1D61E">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响应文件含有征集人不能接受的附加条件的，响应无效；</w:t>
      </w:r>
    </w:p>
    <w:p w14:paraId="4D7C8A05">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供应商提供虚假材料响应的，响应无效。</w:t>
      </w:r>
    </w:p>
    <w:p w14:paraId="240D8A7B">
      <w:pPr>
        <w:pStyle w:val="100"/>
        <w:snapToGrid w:val="0"/>
        <w:spacing w:before="0"/>
        <w:ind w:firstLine="0" w:firstLineChars="0"/>
        <w:outlineLvl w:val="2"/>
        <w:rPr>
          <w:rFonts w:ascii="宋体" w:hAnsi="宋体" w:cs="宋体"/>
          <w:b/>
          <w:color w:val="auto"/>
          <w:szCs w:val="24"/>
          <w:highlight w:val="none"/>
        </w:rPr>
      </w:pPr>
      <w:bookmarkStart w:id="30" w:name="_Toc91899887"/>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w:t>
      </w:r>
      <w:r>
        <w:rPr>
          <w:rFonts w:hint="eastAsia" w:ascii="宋体" w:hAnsi="宋体" w:cs="宋体"/>
          <w:b/>
          <w:color w:val="auto"/>
          <w:szCs w:val="24"/>
          <w:highlight w:val="none"/>
        </w:rPr>
        <w:t>响应文件的编制</w:t>
      </w:r>
    </w:p>
    <w:p w14:paraId="1A3469B1">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响应文件分为资格文件、商务技术文件、报价文件三部分。各供应商在编制响应文件时请按照征集文件第六部分规定的格式进行，混乱的编排导致响应文件被误读或评标委员会查找不到有效文件是供应商的风险。</w:t>
      </w:r>
    </w:p>
    <w:p w14:paraId="616D69EE">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12.2供应商进行电子投标应安装客户端软件—“政采云电子交易客户端”，并按照征集文件和电子交易平台的要求编制并加密响应文件。供应商未按规定加密的响应文件，电子交易平台将拒收并提示。</w:t>
      </w:r>
    </w:p>
    <w:p w14:paraId="636D9276">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bookmarkEnd w:id="30"/>
    <w:p w14:paraId="10FE7107">
      <w:pPr>
        <w:snapToGrid w:val="0"/>
        <w:spacing w:line="360" w:lineRule="auto"/>
        <w:outlineLvl w:val="2"/>
        <w:rPr>
          <w:rFonts w:ascii="宋体" w:hAnsi="宋体" w:cs="宋体"/>
          <w:b/>
          <w:color w:val="auto"/>
          <w:sz w:val="24"/>
          <w:highlight w:val="none"/>
        </w:rPr>
      </w:pPr>
      <w:r>
        <w:rPr>
          <w:rFonts w:hint="eastAsia" w:ascii="宋体" w:hAnsi="宋体" w:cs="宋体"/>
          <w:b/>
          <w:color w:val="auto"/>
          <w:sz w:val="24"/>
          <w:highlight w:val="none"/>
        </w:rPr>
        <w:t>13.响应文件的签署、盖章</w:t>
      </w:r>
    </w:p>
    <w:p w14:paraId="05BD3878">
      <w:pPr>
        <w:pStyle w:val="100"/>
        <w:snapToGrid w:val="0"/>
        <w:spacing w:before="0"/>
        <w:ind w:firstLine="480"/>
        <w:rPr>
          <w:rFonts w:ascii="宋体" w:hAnsi="宋体" w:cs="宋体"/>
          <w:color w:val="auto"/>
          <w:highlight w:val="none"/>
        </w:rPr>
      </w:pPr>
      <w:r>
        <w:rPr>
          <w:rFonts w:hint="eastAsia" w:ascii="宋体" w:hAnsi="宋体" w:cs="宋体"/>
          <w:color w:val="auto"/>
          <w:szCs w:val="24"/>
          <w:highlight w:val="none"/>
        </w:rPr>
        <w:t>13.1响应文件按照征集文件第六部分格式要</w:t>
      </w:r>
      <w:r>
        <w:rPr>
          <w:rFonts w:hint="eastAsia" w:ascii="宋体" w:hAnsi="宋体" w:cs="宋体"/>
          <w:color w:val="auto"/>
          <w:highlight w:val="none"/>
        </w:rPr>
        <w:t>求进行签署、盖章。</w:t>
      </w:r>
    </w:p>
    <w:p w14:paraId="629FF099">
      <w:pPr>
        <w:pStyle w:val="100"/>
        <w:snapToGrid w:val="0"/>
        <w:spacing w:before="0"/>
        <w:ind w:firstLine="482"/>
        <w:rPr>
          <w:rFonts w:ascii="宋体" w:hAnsi="宋体" w:cs="宋体"/>
          <w:b/>
          <w:color w:val="auto"/>
          <w:highlight w:val="none"/>
        </w:rPr>
      </w:pPr>
      <w:r>
        <w:rPr>
          <w:rFonts w:hint="eastAsia" w:ascii="宋体" w:hAnsi="宋体" w:cs="宋体"/>
          <w:b/>
          <w:color w:val="auto"/>
          <w:highlight w:val="none"/>
        </w:rPr>
        <w:t>▲供应商的响应文件未按照征集文件要求签署、盖章的，其响应无效。</w:t>
      </w:r>
    </w:p>
    <w:p w14:paraId="67BD7891">
      <w:pPr>
        <w:pStyle w:val="100"/>
        <w:snapToGrid w:val="0"/>
        <w:spacing w:before="0"/>
        <w:ind w:firstLine="480"/>
        <w:rPr>
          <w:rFonts w:ascii="宋体" w:hAnsi="宋体" w:cs="宋体"/>
          <w:b/>
          <w:color w:val="auto"/>
          <w:highlight w:val="none"/>
        </w:rPr>
      </w:pPr>
      <w:r>
        <w:rPr>
          <w:rFonts w:hint="eastAsia" w:ascii="宋体" w:hAnsi="宋体" w:cs="宋体"/>
          <w:color w:val="auto"/>
          <w:highlight w:val="none"/>
        </w:rPr>
        <w:t>13.2为确保网上操作合法、有效和安全，供应商应当在响应截止时间前完成在“政府采购云平台”的身份认证，确保在电子响应过程中能够对相关数据电文进行加密和使用电子签名。</w:t>
      </w:r>
    </w:p>
    <w:p w14:paraId="215770A0">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13.3征集文件对响应文件签署、盖章的要求适用于电子签名。</w:t>
      </w:r>
    </w:p>
    <w:p w14:paraId="6890DA42">
      <w:pPr>
        <w:pStyle w:val="100"/>
        <w:spacing w:before="0"/>
        <w:ind w:firstLine="0" w:firstLineChars="0"/>
        <w:outlineLvl w:val="2"/>
        <w:rPr>
          <w:rFonts w:ascii="宋体" w:hAnsi="宋体" w:cs="宋体"/>
          <w:b/>
          <w:color w:val="auto"/>
          <w:szCs w:val="24"/>
          <w:highlight w:val="none"/>
        </w:rPr>
      </w:pPr>
      <w:r>
        <w:rPr>
          <w:rFonts w:hint="eastAsia" w:ascii="宋体" w:hAnsi="宋体" w:cs="宋体"/>
          <w:b/>
          <w:color w:val="auto"/>
          <w:szCs w:val="24"/>
          <w:highlight w:val="none"/>
        </w:rPr>
        <w:t>14.响应文件的提交、补充、修改、撤回</w:t>
      </w:r>
    </w:p>
    <w:p w14:paraId="29B63B42">
      <w:pPr>
        <w:pStyle w:val="100"/>
        <w:spacing w:before="0"/>
        <w:ind w:firstLine="480"/>
        <w:rPr>
          <w:rFonts w:ascii="宋体" w:hAnsi="宋体" w:cs="宋体"/>
          <w:color w:val="auto"/>
          <w:szCs w:val="24"/>
          <w:highlight w:val="none"/>
        </w:rPr>
      </w:pPr>
      <w:r>
        <w:rPr>
          <w:rFonts w:hint="eastAsia" w:ascii="宋体" w:hAnsi="宋体" w:cs="宋体"/>
          <w:color w:val="auto"/>
          <w:szCs w:val="24"/>
          <w:highlight w:val="none"/>
        </w:rPr>
        <w:t>14.1 供应商应当在</w:t>
      </w:r>
      <w:r>
        <w:rPr>
          <w:rFonts w:hint="eastAsia" w:ascii="宋体" w:hAnsi="宋体" w:cs="宋体"/>
          <w:color w:val="auto"/>
          <w:highlight w:val="none"/>
        </w:rPr>
        <w:t>响应</w:t>
      </w:r>
      <w:r>
        <w:rPr>
          <w:rFonts w:hint="eastAsia" w:ascii="宋体" w:hAnsi="宋体" w:cs="宋体"/>
          <w:color w:val="auto"/>
          <w:szCs w:val="24"/>
          <w:highlight w:val="none"/>
        </w:rPr>
        <w:t>截止时间前完成响应文件的传输递交，并可以补充、修改或者撤回响应文件。补充或者修改响应文件的，应当先行撤回原文件，补充、修改后重新传输递交。</w:t>
      </w:r>
      <w:r>
        <w:rPr>
          <w:rFonts w:hint="eastAsia" w:ascii="宋体" w:hAnsi="宋体" w:cs="宋体"/>
          <w:color w:val="auto"/>
          <w:highlight w:val="none"/>
        </w:rPr>
        <w:t>响应</w:t>
      </w:r>
      <w:r>
        <w:rPr>
          <w:rFonts w:hint="eastAsia" w:ascii="宋体" w:hAnsi="宋体" w:cs="宋体"/>
          <w:color w:val="auto"/>
          <w:szCs w:val="24"/>
          <w:highlight w:val="none"/>
        </w:rPr>
        <w:t>截止时间前未完成传输的，视为撤回响应文件。</w:t>
      </w:r>
      <w:r>
        <w:rPr>
          <w:rFonts w:hint="eastAsia" w:ascii="宋体" w:hAnsi="宋体" w:cs="宋体"/>
          <w:color w:val="auto"/>
          <w:highlight w:val="none"/>
        </w:rPr>
        <w:t>响应</w:t>
      </w:r>
      <w:r>
        <w:rPr>
          <w:rFonts w:hint="eastAsia" w:ascii="宋体" w:hAnsi="宋体" w:cs="宋体"/>
          <w:color w:val="auto"/>
          <w:szCs w:val="24"/>
          <w:highlight w:val="none"/>
        </w:rPr>
        <w:t>截止时间后递交的响应文件，电子交易平台将拒收。</w:t>
      </w:r>
    </w:p>
    <w:p w14:paraId="060B54A0">
      <w:pPr>
        <w:pStyle w:val="100"/>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14.2电子交易平台收到响应文件，将妥善保存并即时向供应商发出确认回执通知。在</w:t>
      </w:r>
      <w:r>
        <w:rPr>
          <w:rFonts w:hint="eastAsia" w:ascii="宋体" w:hAnsi="宋体" w:cs="宋体"/>
          <w:color w:val="auto"/>
          <w:highlight w:val="none"/>
        </w:rPr>
        <w:t>响应</w:t>
      </w:r>
      <w:r>
        <w:rPr>
          <w:rFonts w:hint="eastAsia" w:ascii="宋体" w:hAnsi="宋体" w:cs="宋体"/>
          <w:color w:val="auto"/>
          <w:szCs w:val="24"/>
          <w:highlight w:val="none"/>
        </w:rPr>
        <w:t>截止时间前，除供应商补充、修改或者撤回响应文件外，任何单位和个人不得解密或提取响应文件。</w:t>
      </w:r>
    </w:p>
    <w:p w14:paraId="664E455E">
      <w:pPr>
        <w:pStyle w:val="100"/>
        <w:spacing w:before="0"/>
        <w:ind w:firstLine="480"/>
        <w:rPr>
          <w:rFonts w:ascii="宋体" w:hAnsi="宋体" w:cs="宋体"/>
          <w:color w:val="auto"/>
          <w:szCs w:val="24"/>
          <w:highlight w:val="none"/>
        </w:rPr>
      </w:pPr>
      <w:r>
        <w:rPr>
          <w:rFonts w:hint="eastAsia" w:ascii="宋体" w:hAnsi="宋体" w:cs="宋体"/>
          <w:color w:val="auto"/>
          <w:szCs w:val="24"/>
          <w:highlight w:val="none"/>
        </w:rPr>
        <w:t>14.3采购代理机构可以视情况延长响应文件提交的截止时间。在上述情况下，采购代理机构与供应商以前在</w:t>
      </w:r>
      <w:r>
        <w:rPr>
          <w:rFonts w:hint="eastAsia" w:ascii="宋体" w:hAnsi="宋体" w:cs="宋体"/>
          <w:color w:val="auto"/>
          <w:highlight w:val="none"/>
        </w:rPr>
        <w:t>响应</w:t>
      </w:r>
      <w:r>
        <w:rPr>
          <w:rFonts w:hint="eastAsia" w:ascii="宋体" w:hAnsi="宋体" w:cs="宋体"/>
          <w:color w:val="auto"/>
          <w:szCs w:val="24"/>
          <w:highlight w:val="none"/>
        </w:rPr>
        <w:t>截止期方面的全部权利、责任和义务，将适用于延长至新的</w:t>
      </w:r>
      <w:r>
        <w:rPr>
          <w:rFonts w:hint="eastAsia" w:ascii="宋体" w:hAnsi="宋体" w:cs="宋体"/>
          <w:color w:val="auto"/>
          <w:highlight w:val="none"/>
        </w:rPr>
        <w:t>响应</w:t>
      </w:r>
      <w:r>
        <w:rPr>
          <w:rFonts w:hint="eastAsia" w:ascii="宋体" w:hAnsi="宋体" w:cs="宋体"/>
          <w:color w:val="auto"/>
          <w:szCs w:val="24"/>
          <w:highlight w:val="none"/>
        </w:rPr>
        <w:t>截止期。</w:t>
      </w:r>
    </w:p>
    <w:bookmarkEnd w:id="28"/>
    <w:bookmarkEnd w:id="29"/>
    <w:p w14:paraId="5BA614CF">
      <w:pPr>
        <w:pStyle w:val="29"/>
        <w:spacing w:line="360" w:lineRule="auto"/>
        <w:rPr>
          <w:rFonts w:hint="eastAsia" w:ascii="宋体" w:hAnsi="宋体" w:eastAsia="宋体" w:cs="宋体"/>
          <w:b/>
          <w:snapToGrid/>
          <w:color w:val="auto"/>
          <w:kern w:val="2"/>
          <w:sz w:val="24"/>
          <w:szCs w:val="24"/>
          <w:highlight w:val="none"/>
          <w:lang w:val="en-US" w:eastAsia="zh-CN" w:bidi="ar-SA"/>
        </w:rPr>
      </w:pPr>
      <w:bookmarkStart w:id="31" w:name="_Toc91899897"/>
      <w:r>
        <w:rPr>
          <w:rFonts w:hint="eastAsia" w:ascii="宋体" w:hAnsi="宋体" w:eastAsia="宋体" w:cs="宋体"/>
          <w:b/>
          <w:snapToGrid/>
          <w:color w:val="auto"/>
          <w:kern w:val="2"/>
          <w:sz w:val="24"/>
          <w:szCs w:val="24"/>
          <w:highlight w:val="none"/>
          <w:lang w:val="en-US" w:eastAsia="zh-CN" w:bidi="ar-SA"/>
        </w:rPr>
        <w:t>15.备份投标文件</w:t>
      </w:r>
    </w:p>
    <w:p w14:paraId="5C8A6AD4">
      <w:pPr>
        <w:pStyle w:val="29"/>
        <w:spacing w:line="360" w:lineRule="auto"/>
        <w:ind w:firstLine="360" w:firstLineChars="150"/>
        <w:rPr>
          <w:rFonts w:hint="eastAsia" w:ascii="宋体" w:hAnsi="宋体" w:eastAsia="宋体" w:cs="宋体"/>
          <w:snapToGrid/>
          <w:color w:val="auto"/>
          <w:kern w:val="2"/>
          <w:sz w:val="24"/>
          <w:szCs w:val="21"/>
          <w:highlight w:val="none"/>
          <w:lang w:val="en-US" w:eastAsia="zh-CN" w:bidi="ar-SA"/>
        </w:rPr>
      </w:pPr>
      <w:r>
        <w:rPr>
          <w:rFonts w:hint="eastAsia" w:ascii="宋体" w:hAnsi="宋体" w:eastAsia="宋体" w:cs="宋体"/>
          <w:snapToGrid/>
          <w:color w:val="auto"/>
          <w:kern w:val="2"/>
          <w:sz w:val="24"/>
          <w:szCs w:val="21"/>
          <w:highlight w:val="none"/>
          <w:lang w:val="en-US" w:eastAsia="zh-CN" w:bidi="ar-SA"/>
        </w:rPr>
        <w:t xml:space="preserve"> 15.1投标人在电子交易平台传输递交投标文件后，还可以在提交响应文件截止时间前直接提交或者以邮政快递方式递交备份投标文件1份，但征集人、采购机构不强制或变相强制投标人提交备份投标文件。</w:t>
      </w:r>
    </w:p>
    <w:p w14:paraId="6D2D7E5D">
      <w:pPr>
        <w:pStyle w:val="29"/>
        <w:spacing w:line="360" w:lineRule="auto"/>
        <w:ind w:firstLine="480" w:firstLineChars="200"/>
        <w:rPr>
          <w:rFonts w:hint="eastAsia" w:ascii="宋体" w:hAnsi="宋体" w:eastAsia="宋体" w:cs="宋体"/>
          <w:snapToGrid/>
          <w:color w:val="auto"/>
          <w:kern w:val="2"/>
          <w:sz w:val="24"/>
          <w:szCs w:val="21"/>
          <w:highlight w:val="none"/>
          <w:lang w:val="en-US" w:eastAsia="zh-CN" w:bidi="ar-SA"/>
        </w:rPr>
      </w:pPr>
      <w:r>
        <w:rPr>
          <w:rFonts w:hint="eastAsia" w:ascii="宋体" w:hAnsi="宋体" w:eastAsia="宋体" w:cs="宋体"/>
          <w:snapToGrid/>
          <w:color w:val="auto"/>
          <w:kern w:val="2"/>
          <w:sz w:val="24"/>
          <w:szCs w:val="21"/>
          <w:highlight w:val="none"/>
          <w:lang w:val="en-US" w:eastAsia="zh-CN" w:bidi="ar-SA"/>
        </w:rPr>
        <w:t>15.2备份投标文件须在“政采云投标客户端”制作生成，并储存在DVD光盘或U盘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14:paraId="012A426F">
      <w:pPr>
        <w:pStyle w:val="29"/>
        <w:spacing w:line="360" w:lineRule="auto"/>
        <w:ind w:firstLine="480" w:firstLineChars="200"/>
        <w:rPr>
          <w:rFonts w:hint="eastAsia" w:ascii="宋体" w:hAnsi="宋体" w:eastAsia="宋体" w:cs="宋体"/>
          <w:snapToGrid/>
          <w:color w:val="auto"/>
          <w:kern w:val="2"/>
          <w:sz w:val="24"/>
          <w:szCs w:val="21"/>
          <w:highlight w:val="none"/>
          <w:lang w:val="en-US" w:eastAsia="zh-CN" w:bidi="ar-SA"/>
        </w:rPr>
      </w:pPr>
      <w:r>
        <w:rPr>
          <w:rFonts w:hint="eastAsia" w:ascii="宋体" w:hAnsi="宋体" w:eastAsia="宋体" w:cs="宋体"/>
          <w:snapToGrid/>
          <w:color w:val="auto"/>
          <w:kern w:val="2"/>
          <w:sz w:val="24"/>
          <w:szCs w:val="21"/>
          <w:highlight w:val="none"/>
          <w:lang w:val="en-US" w:eastAsia="zh-CN" w:bidi="ar-SA"/>
        </w:rPr>
        <w:t>15.3直接提交备份投标文件的，投标人应于提交响应文件截止时间前在招标公告中载明的开标地点将备份投标文件提交给采购机构，采购机构将拒绝接受逾期送达的备份投标文件。</w:t>
      </w:r>
    </w:p>
    <w:p w14:paraId="4243F74B">
      <w:pPr>
        <w:pStyle w:val="29"/>
        <w:spacing w:line="360" w:lineRule="auto"/>
        <w:ind w:firstLine="480" w:firstLineChars="200"/>
        <w:rPr>
          <w:rFonts w:hint="eastAsia" w:ascii="宋体" w:hAnsi="宋体" w:eastAsia="宋体" w:cs="宋体"/>
          <w:snapToGrid/>
          <w:color w:val="auto"/>
          <w:kern w:val="2"/>
          <w:sz w:val="24"/>
          <w:szCs w:val="21"/>
          <w:highlight w:val="none"/>
          <w:lang w:val="en-US" w:eastAsia="zh-CN" w:bidi="ar-SA"/>
        </w:rPr>
      </w:pPr>
      <w:r>
        <w:rPr>
          <w:rFonts w:hint="eastAsia" w:ascii="宋体" w:hAnsi="宋体" w:eastAsia="宋体" w:cs="宋体"/>
          <w:snapToGrid/>
          <w:color w:val="auto"/>
          <w:kern w:val="2"/>
          <w:sz w:val="24"/>
          <w:szCs w:val="21"/>
          <w:highlight w:val="none"/>
          <w:lang w:val="en-US" w:eastAsia="zh-CN" w:bidi="ar-SA"/>
        </w:rPr>
        <w:t>15.4以邮政快递方式递交备份投标文件的，投标人应先将备份投标文件按要求密封和标记，再进行邮政快递包装后邮寄。备份投标文件须在提交响应文件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14:paraId="7EEEDE4C">
      <w:pPr>
        <w:pStyle w:val="29"/>
        <w:spacing w:line="360" w:lineRule="auto"/>
        <w:ind w:firstLine="477" w:firstLineChars="199"/>
        <w:rPr>
          <w:rFonts w:hint="eastAsia" w:ascii="宋体" w:hAnsi="宋体" w:eastAsia="宋体" w:cs="宋体"/>
          <w:snapToGrid/>
          <w:color w:val="auto"/>
          <w:kern w:val="2"/>
          <w:sz w:val="24"/>
          <w:szCs w:val="21"/>
          <w:highlight w:val="none"/>
          <w:lang w:val="en-US" w:eastAsia="zh-CN" w:bidi="ar-SA"/>
        </w:rPr>
      </w:pPr>
      <w:r>
        <w:rPr>
          <w:rFonts w:hint="eastAsia" w:ascii="宋体" w:hAnsi="宋体" w:eastAsia="宋体" w:cs="宋体"/>
          <w:snapToGrid/>
          <w:color w:val="auto"/>
          <w:kern w:val="2"/>
          <w:sz w:val="24"/>
          <w:szCs w:val="21"/>
          <w:highlight w:val="none"/>
          <w:lang w:val="en-US" w:eastAsia="zh-CN" w:bidi="ar-SA"/>
        </w:rPr>
        <w:t>15.5投标人仅提交备份投标文件，未在电子交易平台传输递交投标文件的，投标无效。</w:t>
      </w:r>
    </w:p>
    <w:p w14:paraId="14E58280">
      <w:pPr>
        <w:pStyle w:val="100"/>
        <w:spacing w:before="0"/>
        <w:ind w:firstLine="482"/>
        <w:rPr>
          <w:rFonts w:ascii="宋体" w:hAnsi="宋体" w:cs="宋体"/>
          <w:b/>
          <w:color w:val="auto"/>
          <w:szCs w:val="24"/>
          <w:highlight w:val="none"/>
        </w:rPr>
      </w:pPr>
      <w:r>
        <w:rPr>
          <w:rFonts w:hint="eastAsia" w:ascii="宋体" w:hAnsi="宋体" w:cs="宋体"/>
          <w:b/>
          <w:color w:val="auto"/>
          <w:szCs w:val="24"/>
          <w:highlight w:val="none"/>
        </w:rPr>
        <w:t>1</w:t>
      </w:r>
      <w:r>
        <w:rPr>
          <w:rFonts w:hint="eastAsia" w:ascii="宋体" w:hAnsi="宋体" w:cs="宋体"/>
          <w:b/>
          <w:color w:val="auto"/>
          <w:szCs w:val="24"/>
          <w:highlight w:val="none"/>
          <w:lang w:val="en-US" w:eastAsia="zh-CN"/>
        </w:rPr>
        <w:t>6</w:t>
      </w:r>
      <w:r>
        <w:rPr>
          <w:rFonts w:hint="eastAsia" w:ascii="宋体" w:hAnsi="宋体" w:cs="宋体"/>
          <w:b/>
          <w:color w:val="auto"/>
          <w:szCs w:val="24"/>
          <w:highlight w:val="none"/>
        </w:rPr>
        <w:t>.响应文件的无效处理</w:t>
      </w:r>
    </w:p>
    <w:p w14:paraId="5E01947E">
      <w:pPr>
        <w:pStyle w:val="22"/>
        <w:spacing w:line="360" w:lineRule="auto"/>
        <w:rPr>
          <w:rFonts w:cs="宋体"/>
          <w:color w:val="auto"/>
          <w:szCs w:val="21"/>
          <w:highlight w:val="none"/>
        </w:rPr>
      </w:pPr>
      <w:r>
        <w:rPr>
          <w:rFonts w:hint="eastAsia" w:cs="宋体"/>
          <w:color w:val="auto"/>
          <w:szCs w:val="21"/>
          <w:highlight w:val="none"/>
        </w:rPr>
        <w:t>有征集文件第四部分第</w:t>
      </w:r>
      <w:r>
        <w:rPr>
          <w:rFonts w:hint="eastAsia" w:cs="宋体"/>
          <w:color w:val="auto"/>
          <w:highlight w:val="none"/>
        </w:rPr>
        <w:t>4.2项规定</w:t>
      </w:r>
      <w:r>
        <w:rPr>
          <w:rFonts w:hint="eastAsia" w:cs="宋体"/>
          <w:color w:val="auto"/>
          <w:szCs w:val="21"/>
          <w:highlight w:val="none"/>
        </w:rPr>
        <w:t>的情形之一的，响应无效。</w:t>
      </w:r>
    </w:p>
    <w:p w14:paraId="2B18A185">
      <w:pPr>
        <w:pStyle w:val="100"/>
        <w:spacing w:before="0"/>
        <w:ind w:firstLine="482"/>
        <w:rPr>
          <w:rFonts w:ascii="宋体" w:hAnsi="宋体" w:cs="宋体"/>
          <w:b/>
          <w:color w:val="auto"/>
          <w:szCs w:val="24"/>
          <w:highlight w:val="none"/>
        </w:rPr>
      </w:pPr>
      <w:r>
        <w:rPr>
          <w:rFonts w:hint="eastAsia" w:ascii="宋体" w:hAnsi="宋体" w:cs="宋体"/>
          <w:b/>
          <w:color w:val="auto"/>
          <w:szCs w:val="24"/>
          <w:highlight w:val="none"/>
        </w:rPr>
        <w:t>1</w:t>
      </w:r>
      <w:r>
        <w:rPr>
          <w:rFonts w:hint="eastAsia" w:ascii="宋体" w:hAnsi="宋体" w:cs="宋体"/>
          <w:b/>
          <w:color w:val="auto"/>
          <w:szCs w:val="24"/>
          <w:highlight w:val="none"/>
          <w:lang w:val="en-US" w:eastAsia="zh-CN"/>
        </w:rPr>
        <w:t>7</w:t>
      </w:r>
      <w:r>
        <w:rPr>
          <w:rFonts w:hint="eastAsia" w:ascii="宋体" w:hAnsi="宋体" w:cs="宋体"/>
          <w:b/>
          <w:color w:val="auto"/>
          <w:szCs w:val="24"/>
          <w:highlight w:val="none"/>
        </w:rPr>
        <w:t>.响应有效期</w:t>
      </w:r>
    </w:p>
    <w:p w14:paraId="2C58EBA1">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w:t>
      </w:r>
      <w:r>
        <w:rPr>
          <w:rFonts w:hint="eastAsia" w:ascii="宋体" w:hAnsi="宋体" w:cs="宋体"/>
          <w:color w:val="auto"/>
          <w:sz w:val="24"/>
          <w:szCs w:val="20"/>
          <w:highlight w:val="none"/>
          <w:lang w:val="en-US" w:eastAsia="zh-CN"/>
        </w:rPr>
        <w:t>7</w:t>
      </w:r>
      <w:r>
        <w:rPr>
          <w:rFonts w:hint="eastAsia" w:ascii="宋体" w:hAnsi="宋体" w:cs="宋体"/>
          <w:color w:val="auto"/>
          <w:sz w:val="24"/>
          <w:szCs w:val="20"/>
          <w:highlight w:val="none"/>
        </w:rPr>
        <w:t>.1响应有效期为从提交响应文件的截止之日起90天。▲</w:t>
      </w:r>
      <w:r>
        <w:rPr>
          <w:rFonts w:hint="eastAsia" w:ascii="宋体" w:hAnsi="宋体" w:cs="宋体"/>
          <w:b/>
          <w:color w:val="auto"/>
          <w:sz w:val="24"/>
          <w:szCs w:val="20"/>
          <w:highlight w:val="none"/>
        </w:rPr>
        <w:t>供应商的响应文件中承</w:t>
      </w:r>
      <w:r>
        <w:rPr>
          <w:rFonts w:hint="eastAsia" w:ascii="宋体" w:hAnsi="宋体" w:cs="宋体"/>
          <w:b/>
          <w:color w:val="auto"/>
          <w:sz w:val="24"/>
          <w:szCs w:val="21"/>
          <w:highlight w:val="none"/>
        </w:rPr>
        <w:t>诺的响应有效期少于征集文件中载明的响应有效期的，响应无效。</w:t>
      </w:r>
    </w:p>
    <w:p w14:paraId="30EBEA54">
      <w:pPr>
        <w:pStyle w:val="100"/>
        <w:spacing w:before="0"/>
        <w:ind w:firstLine="48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7</w:t>
      </w:r>
      <w:r>
        <w:rPr>
          <w:rFonts w:hint="eastAsia" w:ascii="宋体" w:hAnsi="宋体" w:cs="宋体"/>
          <w:color w:val="auto"/>
          <w:highlight w:val="none"/>
        </w:rPr>
        <w:t>.2响应文件合格投递后，自响应截止日期起，在响应有效期内有效。</w:t>
      </w:r>
    </w:p>
    <w:p w14:paraId="48598113">
      <w:pPr>
        <w:pStyle w:val="100"/>
        <w:spacing w:before="0"/>
        <w:ind w:firstLine="480"/>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7</w:t>
      </w:r>
      <w:r>
        <w:rPr>
          <w:rFonts w:hint="eastAsia" w:ascii="宋体" w:hAnsi="宋体" w:cs="宋体"/>
          <w:color w:val="auto"/>
          <w:highlight w:val="none"/>
        </w:rPr>
        <w:t>.3在原定响应有效期满之前，如果出现特殊情况，采购代理机构可以以书面形式通知供应商延长响应有效期。供应商同意延长的，不得要求或被允许修改其响应文件，供应商拒绝延长的，其响应无效。</w:t>
      </w:r>
    </w:p>
    <w:p w14:paraId="2BEE880E">
      <w:pPr>
        <w:pStyle w:val="100"/>
        <w:spacing w:before="0"/>
        <w:ind w:firstLine="480"/>
        <w:rPr>
          <w:rFonts w:ascii="宋体" w:hAnsi="宋体" w:cs="宋体"/>
          <w:color w:val="auto"/>
          <w:highlight w:val="none"/>
        </w:rPr>
      </w:pPr>
      <w:r>
        <w:rPr>
          <w:rFonts w:hint="eastAsia" w:ascii="宋体" w:hAnsi="宋体" w:cs="宋体"/>
          <w:color w:val="auto"/>
          <w:highlight w:val="none"/>
        </w:rPr>
        <w:t>17.4在提交响应文件截止时间起至</w:t>
      </w:r>
      <w:r>
        <w:rPr>
          <w:rFonts w:hint="eastAsia" w:ascii="宋体" w:hAnsi="宋体" w:cs="宋体"/>
          <w:color w:val="auto"/>
          <w:sz w:val="24"/>
          <w:szCs w:val="20"/>
          <w:highlight w:val="none"/>
        </w:rPr>
        <w:t>响应</w:t>
      </w:r>
      <w:r>
        <w:rPr>
          <w:rFonts w:hint="eastAsia" w:ascii="宋体" w:hAnsi="宋体" w:cs="宋体"/>
          <w:color w:val="auto"/>
          <w:highlight w:val="none"/>
        </w:rPr>
        <w:t>有效期届满，供应商投标文件不可撤销。</w:t>
      </w:r>
    </w:p>
    <w:p w14:paraId="147EE9D1">
      <w:pPr>
        <w:pStyle w:val="100"/>
        <w:spacing w:before="0"/>
        <w:ind w:firstLine="480"/>
        <w:rPr>
          <w:rFonts w:ascii="宋体" w:hAnsi="宋体" w:cs="宋体"/>
          <w:color w:val="auto"/>
          <w:highlight w:val="none"/>
        </w:rPr>
      </w:pPr>
    </w:p>
    <w:p w14:paraId="037EBB04">
      <w:pPr>
        <w:pStyle w:val="100"/>
        <w:spacing w:before="0"/>
        <w:ind w:firstLine="1928" w:firstLineChars="600"/>
        <w:outlineLvl w:val="1"/>
        <w:rPr>
          <w:rFonts w:ascii="宋体" w:hAnsi="宋体" w:cs="宋体"/>
          <w:b/>
          <w:color w:val="auto"/>
          <w:sz w:val="32"/>
          <w:highlight w:val="none"/>
        </w:rPr>
      </w:pPr>
      <w:r>
        <w:rPr>
          <w:rFonts w:hint="eastAsia" w:ascii="宋体" w:hAnsi="宋体" w:cs="宋体"/>
          <w:b/>
          <w:color w:val="auto"/>
          <w:sz w:val="32"/>
          <w:highlight w:val="none"/>
        </w:rPr>
        <w:t>四、开标</w:t>
      </w:r>
      <w:bookmarkEnd w:id="31"/>
      <w:r>
        <w:rPr>
          <w:rFonts w:hint="eastAsia" w:ascii="宋体" w:hAnsi="宋体" w:cs="宋体"/>
          <w:b/>
          <w:color w:val="auto"/>
          <w:sz w:val="32"/>
          <w:highlight w:val="none"/>
        </w:rPr>
        <w:t>、资格审查与信用信息查询</w:t>
      </w:r>
    </w:p>
    <w:p w14:paraId="75CD1C45">
      <w:pPr>
        <w:pStyle w:val="485"/>
        <w:spacing w:before="0" w:line="360" w:lineRule="auto"/>
        <w:ind w:left="0" w:firstLine="422" w:firstLineChars="175"/>
        <w:contextualSpacing/>
        <w:outlineLvl w:val="2"/>
        <w:rPr>
          <w:rFonts w:ascii="宋体" w:hAnsi="宋体" w:cs="宋体"/>
          <w:color w:val="auto"/>
          <w:sz w:val="24"/>
          <w:highlight w:val="none"/>
        </w:rPr>
      </w:pPr>
      <w:r>
        <w:rPr>
          <w:rFonts w:hint="eastAsia" w:ascii="宋体" w:hAnsi="宋体" w:cs="宋体"/>
          <w:b/>
          <w:color w:val="auto"/>
          <w:sz w:val="24"/>
          <w:szCs w:val="24"/>
          <w:highlight w:val="none"/>
        </w:rPr>
        <w:t>1</w:t>
      </w:r>
      <w:r>
        <w:rPr>
          <w:rFonts w:hint="eastAsia" w:ascii="宋体" w:hAnsi="宋体" w:cs="宋体"/>
          <w:b/>
          <w:color w:val="auto"/>
          <w:sz w:val="24"/>
          <w:szCs w:val="24"/>
          <w:highlight w:val="none"/>
          <w:lang w:val="en-US" w:eastAsia="zh-CN"/>
        </w:rPr>
        <w:t>8</w:t>
      </w:r>
      <w:r>
        <w:rPr>
          <w:rFonts w:hint="eastAsia" w:ascii="宋体" w:hAnsi="宋体" w:cs="宋体"/>
          <w:b/>
          <w:color w:val="auto"/>
          <w:sz w:val="24"/>
          <w:szCs w:val="24"/>
          <w:highlight w:val="none"/>
        </w:rPr>
        <w:t>.开标</w:t>
      </w:r>
    </w:p>
    <w:p w14:paraId="3E6ABF8C">
      <w:pPr>
        <w:pStyle w:val="485"/>
        <w:spacing w:before="0" w:line="360" w:lineRule="auto"/>
        <w:ind w:left="0" w:firstLine="420" w:firstLineChars="175"/>
        <w:contextualSpacing/>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.1采购代理机构按照征集文件规定的时间通过电子交易平台组织开标，所有供应商均应当准时在线参加。供应商不足2家的，不得开标。</w:t>
      </w:r>
    </w:p>
    <w:p w14:paraId="4A5384AF">
      <w:pPr>
        <w:pStyle w:val="485"/>
        <w:spacing w:before="0" w:line="360" w:lineRule="auto"/>
        <w:ind w:left="0" w:firstLine="420" w:firstLineChars="175"/>
        <w:contextualSpacing/>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.2开标时，电子交易平台按开标时间自动提取所有响应文件。采购代理机构依托电子交易平台发起开始解密指令，供应商按照平台提示和征集文件的规定在半小时内完成在线解密。</w:t>
      </w:r>
    </w:p>
    <w:p w14:paraId="6F1B7A76">
      <w:pPr>
        <w:pStyle w:val="485"/>
        <w:spacing w:before="0" w:line="360" w:lineRule="auto"/>
        <w:ind w:left="0" w:firstLine="422" w:firstLineChars="175"/>
        <w:contextualSpacing/>
        <w:rPr>
          <w:rFonts w:ascii="宋体" w:hAnsi="宋体" w:cs="宋体"/>
          <w:b/>
          <w:color w:val="auto"/>
          <w:sz w:val="24"/>
          <w:highlight w:val="none"/>
        </w:rPr>
      </w:pPr>
      <w:r>
        <w:rPr>
          <w:rFonts w:hint="eastAsia" w:ascii="宋体" w:hAnsi="宋体" w:cs="宋体"/>
          <w:b/>
          <w:bCs/>
          <w:color w:val="auto"/>
          <w:sz w:val="24"/>
          <w:highlight w:val="none"/>
        </w:rPr>
        <w:t>1</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.3响应文件未按时解密，供应商提供了备份响应文件的，以备份响应文件作为依据，否则视为响应文件撤回。响应文件已按时解密的，备份响应文件自动失效。</w:t>
      </w:r>
    </w:p>
    <w:p w14:paraId="4B31F90D">
      <w:pPr>
        <w:pStyle w:val="485"/>
        <w:spacing w:before="0" w:line="360" w:lineRule="auto"/>
        <w:ind w:left="0" w:firstLine="422" w:firstLineChars="175"/>
        <w:contextualSpacing/>
        <w:outlineLvl w:val="2"/>
        <w:rPr>
          <w:rFonts w:ascii="宋体" w:hAnsi="宋体" w:cs="宋体"/>
          <w:b/>
          <w:color w:val="auto"/>
          <w:sz w:val="24"/>
          <w:szCs w:val="24"/>
          <w:highlight w:val="none"/>
        </w:rPr>
      </w:pPr>
      <w:r>
        <w:rPr>
          <w:rFonts w:hint="eastAsia" w:ascii="宋体" w:hAnsi="宋体" w:cs="宋体"/>
          <w:b/>
          <w:color w:val="auto"/>
          <w:sz w:val="24"/>
          <w:szCs w:val="24"/>
          <w:highlight w:val="none"/>
        </w:rPr>
        <w:t>1</w:t>
      </w:r>
      <w:r>
        <w:rPr>
          <w:rFonts w:hint="eastAsia" w:ascii="宋体" w:hAnsi="宋体" w:cs="宋体"/>
          <w:b/>
          <w:color w:val="auto"/>
          <w:sz w:val="24"/>
          <w:szCs w:val="24"/>
          <w:highlight w:val="none"/>
          <w:lang w:val="en-US" w:eastAsia="zh-CN"/>
        </w:rPr>
        <w:t>9</w:t>
      </w:r>
      <w:r>
        <w:rPr>
          <w:rFonts w:hint="eastAsia" w:ascii="宋体" w:hAnsi="宋体" w:cs="宋体"/>
          <w:b/>
          <w:color w:val="auto"/>
          <w:sz w:val="24"/>
          <w:szCs w:val="24"/>
          <w:highlight w:val="none"/>
        </w:rPr>
        <w:t>.资格审查</w:t>
      </w:r>
    </w:p>
    <w:p w14:paraId="05C72FBE">
      <w:pPr>
        <w:pStyle w:val="100"/>
        <w:spacing w:before="0"/>
        <w:ind w:firstLine="420" w:firstLineChars="175"/>
        <w:rPr>
          <w:rFonts w:ascii="宋体" w:hAnsi="宋体" w:cs="宋体"/>
          <w:color w:val="auto"/>
          <w:kern w:val="0"/>
          <w:szCs w:val="24"/>
          <w:highlight w:val="none"/>
        </w:rPr>
      </w:pPr>
      <w:r>
        <w:rPr>
          <w:rFonts w:hint="eastAsia" w:ascii="宋体" w:hAnsi="宋体" w:cs="宋体"/>
          <w:color w:val="auto"/>
          <w:kern w:val="0"/>
          <w:szCs w:val="24"/>
          <w:highlight w:val="none"/>
        </w:rPr>
        <w:t>1</w:t>
      </w:r>
      <w:r>
        <w:rPr>
          <w:rFonts w:hint="eastAsia" w:ascii="宋体" w:hAnsi="宋体" w:cs="宋体"/>
          <w:color w:val="auto"/>
          <w:kern w:val="0"/>
          <w:szCs w:val="24"/>
          <w:highlight w:val="none"/>
          <w:lang w:val="en-US" w:eastAsia="zh-CN"/>
        </w:rPr>
        <w:t>9</w:t>
      </w:r>
      <w:r>
        <w:rPr>
          <w:rFonts w:hint="eastAsia" w:ascii="宋体" w:hAnsi="宋体" w:cs="宋体"/>
          <w:color w:val="auto"/>
          <w:kern w:val="0"/>
          <w:szCs w:val="24"/>
          <w:highlight w:val="none"/>
        </w:rPr>
        <w:t>.1开标后，征集人将依法对供应商的资格进行审查。</w:t>
      </w:r>
    </w:p>
    <w:p w14:paraId="7D0F881A">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.2</w:t>
      </w:r>
      <w:r>
        <w:rPr>
          <w:rFonts w:hint="eastAsia" w:ascii="宋体" w:hAnsi="宋体" w:cs="宋体"/>
          <w:color w:val="auto"/>
          <w:sz w:val="24"/>
          <w:highlight w:val="none"/>
        </w:rPr>
        <w:t>征集人依据法律法规和征集文件的规定，对供应商的基本资格条件、特定资格条件进行审查。</w:t>
      </w:r>
    </w:p>
    <w:p w14:paraId="03EEF8DC">
      <w:pPr>
        <w:pStyle w:val="100"/>
        <w:spacing w:before="0"/>
        <w:ind w:firstLine="420" w:firstLineChars="175"/>
        <w:rPr>
          <w:rFonts w:ascii="宋体" w:hAnsi="宋体" w:cs="宋体"/>
          <w:color w:val="auto"/>
          <w:highlight w:val="none"/>
        </w:rPr>
      </w:pPr>
      <w:r>
        <w:rPr>
          <w:rFonts w:hint="eastAsia" w:ascii="宋体" w:hAnsi="宋体" w:cs="宋体"/>
          <w:color w:val="auto"/>
          <w:kern w:val="0"/>
          <w:szCs w:val="24"/>
          <w:highlight w:val="none"/>
        </w:rPr>
        <w:t>1</w:t>
      </w:r>
      <w:r>
        <w:rPr>
          <w:rFonts w:hint="eastAsia" w:ascii="宋体" w:hAnsi="宋体" w:cs="宋体"/>
          <w:color w:val="auto"/>
          <w:kern w:val="0"/>
          <w:szCs w:val="24"/>
          <w:highlight w:val="none"/>
          <w:lang w:val="en-US" w:eastAsia="zh-CN"/>
        </w:rPr>
        <w:t>9</w:t>
      </w:r>
      <w:r>
        <w:rPr>
          <w:rFonts w:hint="eastAsia" w:ascii="宋体" w:hAnsi="宋体" w:cs="宋体"/>
          <w:color w:val="auto"/>
          <w:kern w:val="0"/>
          <w:szCs w:val="24"/>
          <w:highlight w:val="none"/>
        </w:rPr>
        <w:t>.3供应商未按照征集文件要求提供与</w:t>
      </w:r>
      <w:r>
        <w:rPr>
          <w:rFonts w:hint="eastAsia" w:ascii="宋体" w:hAnsi="宋体" w:cs="宋体"/>
          <w:color w:val="auto"/>
          <w:highlight w:val="none"/>
        </w:rPr>
        <w:t>基本资格条件、特定资格条件相应的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供应商不具备征集文件中规定的资格要求，其响应无效。</w:t>
      </w:r>
    </w:p>
    <w:p w14:paraId="368B2695">
      <w:pPr>
        <w:pStyle w:val="100"/>
        <w:spacing w:before="0"/>
        <w:ind w:firstLine="420" w:firstLineChars="175"/>
        <w:rPr>
          <w:rFonts w:ascii="宋体" w:hAnsi="宋体" w:cs="宋体"/>
          <w:color w:val="auto"/>
          <w:highlight w:val="none"/>
        </w:rPr>
      </w:pPr>
      <w:r>
        <w:rPr>
          <w:rFonts w:hint="eastAsia" w:ascii="宋体" w:hAnsi="宋体" w:cs="宋体"/>
          <w:color w:val="auto"/>
          <w:kern w:val="0"/>
          <w:szCs w:val="24"/>
          <w:highlight w:val="none"/>
        </w:rPr>
        <w:t>1</w:t>
      </w:r>
      <w:r>
        <w:rPr>
          <w:rFonts w:hint="eastAsia" w:ascii="宋体" w:hAnsi="宋体" w:cs="宋体"/>
          <w:color w:val="auto"/>
          <w:kern w:val="0"/>
          <w:szCs w:val="24"/>
          <w:highlight w:val="none"/>
          <w:lang w:val="en-US" w:eastAsia="zh-CN"/>
        </w:rPr>
        <w:t>9</w:t>
      </w:r>
      <w:r>
        <w:rPr>
          <w:rFonts w:hint="eastAsia" w:ascii="宋体" w:hAnsi="宋体" w:cs="宋体"/>
          <w:color w:val="auto"/>
          <w:kern w:val="0"/>
          <w:szCs w:val="24"/>
          <w:highlight w:val="none"/>
        </w:rPr>
        <w:t>.</w:t>
      </w:r>
      <w:r>
        <w:rPr>
          <w:rFonts w:hint="eastAsia" w:ascii="宋体" w:hAnsi="宋体" w:cs="宋体"/>
          <w:color w:val="auto"/>
          <w:highlight w:val="none"/>
        </w:rPr>
        <w:t>4对未通过资格审查的供应商，征集人或采购代理机构告知其未通过的原因。</w:t>
      </w:r>
    </w:p>
    <w:p w14:paraId="3C6B322F">
      <w:pPr>
        <w:pStyle w:val="100"/>
        <w:spacing w:before="0"/>
        <w:ind w:firstLine="420" w:firstLineChars="175"/>
        <w:rPr>
          <w:rFonts w:ascii="宋体" w:hAnsi="宋体" w:cs="宋体"/>
          <w:color w:val="auto"/>
          <w:highlight w:val="none"/>
        </w:rPr>
      </w:pPr>
      <w:r>
        <w:rPr>
          <w:rFonts w:hint="eastAsia" w:ascii="宋体" w:hAnsi="宋体" w:cs="宋体"/>
          <w:color w:val="auto"/>
          <w:kern w:val="0"/>
          <w:szCs w:val="24"/>
          <w:highlight w:val="none"/>
        </w:rPr>
        <w:t>1</w:t>
      </w:r>
      <w:r>
        <w:rPr>
          <w:rFonts w:hint="eastAsia" w:ascii="宋体" w:hAnsi="宋体" w:cs="宋体"/>
          <w:color w:val="auto"/>
          <w:kern w:val="0"/>
          <w:szCs w:val="24"/>
          <w:highlight w:val="none"/>
          <w:lang w:val="en-US" w:eastAsia="zh-CN"/>
        </w:rPr>
        <w:t>9</w:t>
      </w:r>
      <w:r>
        <w:rPr>
          <w:rFonts w:hint="eastAsia" w:ascii="宋体" w:hAnsi="宋体" w:cs="宋体"/>
          <w:color w:val="auto"/>
          <w:kern w:val="0"/>
          <w:szCs w:val="24"/>
          <w:highlight w:val="none"/>
        </w:rPr>
        <w:t>.</w:t>
      </w:r>
      <w:r>
        <w:rPr>
          <w:rFonts w:hint="eastAsia" w:ascii="宋体" w:hAnsi="宋体" w:cs="宋体"/>
          <w:color w:val="auto"/>
          <w:highlight w:val="none"/>
        </w:rPr>
        <w:t>5合格供应商不足2家的，不再评标。</w:t>
      </w:r>
    </w:p>
    <w:p w14:paraId="089AFE58">
      <w:pPr>
        <w:pStyle w:val="485"/>
        <w:spacing w:before="0" w:line="360" w:lineRule="auto"/>
        <w:ind w:left="0" w:firstLine="422" w:firstLineChars="175"/>
        <w:contextualSpacing/>
        <w:outlineLvl w:val="2"/>
        <w:rPr>
          <w:rFonts w:ascii="宋体" w:hAnsi="宋体" w:cs="宋体"/>
          <w:b/>
          <w:color w:val="auto"/>
          <w:sz w:val="24"/>
          <w:szCs w:val="24"/>
          <w:highlight w:val="none"/>
        </w:rPr>
      </w:pPr>
      <w:r>
        <w:rPr>
          <w:rFonts w:hint="eastAsia" w:ascii="宋体" w:hAnsi="宋体" w:cs="宋体"/>
          <w:b/>
          <w:color w:val="auto"/>
          <w:sz w:val="24"/>
          <w:szCs w:val="24"/>
          <w:highlight w:val="none"/>
          <w:lang w:val="en-US" w:eastAsia="zh-CN"/>
        </w:rPr>
        <w:t>20</w:t>
      </w:r>
      <w:r>
        <w:rPr>
          <w:rFonts w:hint="eastAsia" w:ascii="宋体" w:hAnsi="宋体" w:cs="宋体"/>
          <w:b/>
          <w:color w:val="auto"/>
          <w:sz w:val="24"/>
          <w:szCs w:val="24"/>
          <w:highlight w:val="none"/>
        </w:rPr>
        <w:t>.信用信息查询</w:t>
      </w:r>
    </w:p>
    <w:p w14:paraId="155B1748">
      <w:pPr>
        <w:pStyle w:val="100"/>
        <w:spacing w:before="0"/>
        <w:ind w:firstLine="420" w:firstLineChars="175"/>
        <w:rPr>
          <w:rFonts w:ascii="宋体" w:hAnsi="宋体" w:cs="宋体"/>
          <w:color w:val="auto"/>
          <w:kern w:val="0"/>
          <w:szCs w:val="24"/>
          <w:highlight w:val="none"/>
        </w:rPr>
      </w:pPr>
      <w:r>
        <w:rPr>
          <w:rFonts w:hint="eastAsia" w:ascii="宋体" w:hAnsi="宋体" w:cs="宋体"/>
          <w:color w:val="auto"/>
          <w:kern w:val="0"/>
          <w:szCs w:val="24"/>
          <w:highlight w:val="none"/>
          <w:lang w:val="en-US" w:eastAsia="zh-CN"/>
        </w:rPr>
        <w:t>20</w:t>
      </w:r>
      <w:r>
        <w:rPr>
          <w:rFonts w:hint="eastAsia" w:ascii="宋体" w:hAnsi="宋体" w:cs="宋体"/>
          <w:color w:val="auto"/>
          <w:kern w:val="0"/>
          <w:szCs w:val="24"/>
          <w:highlight w:val="none"/>
        </w:rPr>
        <w:t>.1信用信息查询渠道及截止时间：采购代理机构将通过“信用中国”网站(www.creditchina.gov.cn)、中国政府采购网(www.ccgp.gov.cn)渠道查询供应商响应截止时间当天的信用记录。</w:t>
      </w:r>
    </w:p>
    <w:p w14:paraId="40CD365F">
      <w:pPr>
        <w:pStyle w:val="100"/>
        <w:spacing w:before="0"/>
        <w:ind w:firstLine="420" w:firstLineChars="175"/>
        <w:rPr>
          <w:rFonts w:ascii="宋体" w:hAnsi="宋体" w:cs="宋体"/>
          <w:color w:val="auto"/>
          <w:kern w:val="0"/>
          <w:szCs w:val="24"/>
          <w:highlight w:val="none"/>
        </w:rPr>
      </w:pPr>
      <w:r>
        <w:rPr>
          <w:rFonts w:hint="eastAsia" w:ascii="宋体" w:hAnsi="宋体" w:cs="宋体"/>
          <w:color w:val="auto"/>
          <w:kern w:val="0"/>
          <w:szCs w:val="24"/>
          <w:highlight w:val="none"/>
          <w:lang w:val="en-US" w:eastAsia="zh-CN"/>
        </w:rPr>
        <w:t>20</w:t>
      </w:r>
      <w:r>
        <w:rPr>
          <w:rFonts w:hint="eastAsia" w:ascii="宋体" w:hAnsi="宋体" w:cs="宋体"/>
          <w:color w:val="auto"/>
          <w:kern w:val="0"/>
          <w:szCs w:val="24"/>
          <w:highlight w:val="none"/>
        </w:rPr>
        <w:t>.2信用信息查询记录和证据留存的具体方式：现场查询的供应商的信用记录、查询结果经确认后将与征集文件一起存档。</w:t>
      </w:r>
    </w:p>
    <w:p w14:paraId="351FB3CC">
      <w:pPr>
        <w:pStyle w:val="100"/>
        <w:spacing w:before="0"/>
        <w:ind w:firstLine="420" w:firstLineChars="175"/>
        <w:rPr>
          <w:rFonts w:ascii="宋体" w:hAnsi="宋体" w:cs="宋体"/>
          <w:color w:val="auto"/>
          <w:kern w:val="0"/>
          <w:szCs w:val="24"/>
          <w:highlight w:val="none"/>
        </w:rPr>
      </w:pPr>
      <w:r>
        <w:rPr>
          <w:rFonts w:hint="eastAsia" w:ascii="宋体" w:hAnsi="宋体" w:cs="宋体"/>
          <w:color w:val="auto"/>
          <w:kern w:val="0"/>
          <w:szCs w:val="24"/>
          <w:highlight w:val="none"/>
          <w:lang w:val="en-US" w:eastAsia="zh-CN"/>
        </w:rPr>
        <w:t>20</w:t>
      </w:r>
      <w:r>
        <w:rPr>
          <w:rFonts w:hint="eastAsia" w:ascii="宋体" w:hAnsi="宋体" w:cs="宋体"/>
          <w:color w:val="auto"/>
          <w:kern w:val="0"/>
          <w:szCs w:val="24"/>
          <w:highlight w:val="none"/>
        </w:rPr>
        <w:t>.3信用信息的使用规则：经查询列入失信被执行人名单、重大税收违法案件当事人名单、政府采购严重违法失信行为记录名单的供应商将被拒绝参与政府采购活动。</w:t>
      </w:r>
    </w:p>
    <w:p w14:paraId="49F0367F">
      <w:pPr>
        <w:pStyle w:val="100"/>
        <w:spacing w:before="0"/>
        <w:ind w:firstLine="420" w:firstLineChars="175"/>
        <w:rPr>
          <w:rFonts w:ascii="宋体" w:hAnsi="宋体" w:cs="宋体"/>
          <w:color w:val="auto"/>
          <w:highlight w:val="none"/>
        </w:rPr>
      </w:pPr>
      <w:r>
        <w:rPr>
          <w:rFonts w:hint="eastAsia" w:ascii="宋体" w:hAnsi="宋体" w:cs="宋体"/>
          <w:color w:val="auto"/>
          <w:kern w:val="0"/>
          <w:szCs w:val="24"/>
          <w:highlight w:val="none"/>
          <w:lang w:val="en-US" w:eastAsia="zh-CN"/>
        </w:rPr>
        <w:t>20</w:t>
      </w:r>
      <w:r>
        <w:rPr>
          <w:rFonts w:hint="eastAsia" w:ascii="宋体" w:hAnsi="宋体" w:cs="宋体"/>
          <w:color w:val="auto"/>
          <w:kern w:val="0"/>
          <w:szCs w:val="24"/>
          <w:highlight w:val="none"/>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249E0665">
      <w:pPr>
        <w:snapToGrid w:val="0"/>
        <w:spacing w:line="360" w:lineRule="auto"/>
        <w:jc w:val="center"/>
        <w:outlineLvl w:val="1"/>
        <w:rPr>
          <w:rFonts w:ascii="宋体" w:hAnsi="宋体" w:cs="宋体"/>
          <w:b/>
          <w:color w:val="auto"/>
          <w:sz w:val="32"/>
          <w:szCs w:val="32"/>
          <w:highlight w:val="none"/>
        </w:rPr>
      </w:pPr>
      <w:bookmarkStart w:id="32" w:name="_Hlt75236101"/>
      <w:bookmarkEnd w:id="32"/>
      <w:bookmarkStart w:id="33" w:name="_Toc91899903"/>
      <w:r>
        <w:rPr>
          <w:rFonts w:hint="eastAsia" w:ascii="宋体" w:hAnsi="宋体" w:cs="宋体"/>
          <w:b/>
          <w:color w:val="auto"/>
          <w:sz w:val="32"/>
          <w:szCs w:val="32"/>
          <w:highlight w:val="none"/>
        </w:rPr>
        <w:t>五、评审</w:t>
      </w:r>
    </w:p>
    <w:p w14:paraId="74E81313">
      <w:pPr>
        <w:spacing w:line="360" w:lineRule="auto"/>
        <w:ind w:firstLine="420" w:firstLineChars="175"/>
        <w:rPr>
          <w:rFonts w:ascii="宋体" w:hAnsi="宋体" w:cs="宋体"/>
          <w:bCs/>
          <w:color w:val="auto"/>
          <w:sz w:val="24"/>
          <w:highlight w:val="none"/>
        </w:rPr>
      </w:pPr>
      <w:r>
        <w:rPr>
          <w:rFonts w:hint="eastAsia" w:ascii="宋体" w:hAnsi="宋体" w:cs="宋体"/>
          <w:bCs/>
          <w:color w:val="auto"/>
          <w:sz w:val="24"/>
          <w:highlight w:val="none"/>
        </w:rPr>
        <w:t>2</w:t>
      </w: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w:t>
      </w:r>
      <w:r>
        <w:rPr>
          <w:rFonts w:hint="eastAsia" w:ascii="宋体" w:hAnsi="宋体" w:cs="宋体"/>
          <w:color w:val="auto"/>
          <w:sz w:val="24"/>
          <w:highlight w:val="none"/>
        </w:rPr>
        <w:t>评审委员会将根据征集文件和有关规定，履行评审工作职责，并按照评审方法及评分标准，全面衡量各供应商对征集文件的响应情况。对实质上响应征集文件的供应商，按照评审因素的量化指标排出推荐入围的供应商的先后顺序，并按顺序提出授标建议。</w:t>
      </w:r>
    </w:p>
    <w:p w14:paraId="7682195B">
      <w:pPr>
        <w:spacing w:line="360" w:lineRule="auto"/>
        <w:ind w:firstLine="422" w:firstLineChars="175"/>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.评审淘汰机制</w:t>
      </w:r>
    </w:p>
    <w:p w14:paraId="4B334479">
      <w:pPr>
        <w:spacing w:line="360" w:lineRule="auto"/>
        <w:ind w:firstLine="420" w:firstLineChars="175"/>
        <w:rPr>
          <w:rFonts w:ascii="宋体" w:hAnsi="宋体" w:cs="宋体"/>
          <w:bCs/>
          <w:color w:val="auto"/>
          <w:sz w:val="24"/>
          <w:highlight w:val="none"/>
        </w:rPr>
      </w:pPr>
      <w:r>
        <w:rPr>
          <w:rFonts w:hint="eastAsia" w:ascii="宋体" w:hAnsi="宋体" w:cs="宋体"/>
          <w:bCs/>
          <w:color w:val="auto"/>
          <w:sz w:val="24"/>
          <w:highlight w:val="none"/>
        </w:rPr>
        <w:t>详见前附表。</w:t>
      </w:r>
    </w:p>
    <w:p w14:paraId="6BEB364E">
      <w:pPr>
        <w:snapToGrid w:val="0"/>
        <w:spacing w:line="360" w:lineRule="auto"/>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六、入围供应商确定</w:t>
      </w:r>
    </w:p>
    <w:p w14:paraId="50E01BDD">
      <w:pPr>
        <w:pStyle w:val="22"/>
        <w:spacing w:after="120" w:line="360" w:lineRule="auto"/>
        <w:ind w:firstLine="482"/>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3</w:t>
      </w:r>
      <w:r>
        <w:rPr>
          <w:rFonts w:hint="eastAsia" w:cs="宋体"/>
          <w:b/>
          <w:color w:val="auto"/>
          <w:highlight w:val="none"/>
        </w:rPr>
        <w:t>.确定入围供应商</w:t>
      </w:r>
    </w:p>
    <w:p w14:paraId="29FEFF98">
      <w:pPr>
        <w:pStyle w:val="100"/>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代理机构应当在评审结束后2个工作日内将评审报告送征集人。征集人自收到评审报告之日起2个工作日内确定入围供应商。</w:t>
      </w:r>
    </w:p>
    <w:p w14:paraId="1C0915DE">
      <w:pPr>
        <w:pStyle w:val="100"/>
        <w:snapToGrid w:val="0"/>
        <w:spacing w:before="0"/>
        <w:ind w:firstLine="482"/>
        <w:rPr>
          <w:rFonts w:ascii="宋体" w:hAnsi="宋体" w:cs="宋体"/>
          <w:b/>
          <w:color w:val="auto"/>
          <w:szCs w:val="24"/>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val="en-US" w:eastAsia="zh-CN"/>
        </w:rPr>
        <w:t>4</w:t>
      </w:r>
      <w:r>
        <w:rPr>
          <w:rFonts w:hint="eastAsia" w:ascii="宋体" w:hAnsi="宋体" w:cs="宋体"/>
          <w:b/>
          <w:color w:val="auto"/>
          <w:szCs w:val="24"/>
          <w:highlight w:val="none"/>
        </w:rPr>
        <w:t>.入围通知书与入围结果公告</w:t>
      </w:r>
    </w:p>
    <w:p w14:paraId="31A87481">
      <w:pPr>
        <w:widowControl/>
        <w:numPr>
          <w:ilvl w:val="255"/>
          <w:numId w:val="0"/>
        </w:num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.1自入围人确定之日起2个工作日内，采购代理机构通过电子交易平台向入围人发出入围通知书，同时编制发布采购结果公告。采购代理机构也可以以纸质形式进行入围通知。</w:t>
      </w:r>
    </w:p>
    <w:p w14:paraId="193AA9D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.2公告期限为1个工作日。</w:t>
      </w:r>
    </w:p>
    <w:p w14:paraId="4CCFD3CA">
      <w:pPr>
        <w:snapToGrid w:val="0"/>
        <w:spacing w:line="360" w:lineRule="auto"/>
        <w:ind w:left="120" w:leftChars="57" w:firstLine="482" w:firstLineChars="150"/>
        <w:jc w:val="center"/>
        <w:outlineLvl w:val="1"/>
        <w:rPr>
          <w:rFonts w:ascii="宋体" w:hAnsi="宋体" w:cs="宋体"/>
          <w:b/>
          <w:color w:val="auto"/>
          <w:sz w:val="32"/>
          <w:highlight w:val="none"/>
        </w:rPr>
      </w:pPr>
      <w:r>
        <w:rPr>
          <w:rFonts w:hint="eastAsia" w:ascii="宋体" w:hAnsi="宋体" w:cs="宋体"/>
          <w:b/>
          <w:color w:val="auto"/>
          <w:sz w:val="32"/>
          <w:highlight w:val="none"/>
        </w:rPr>
        <w:t>七、框架协议签订</w:t>
      </w:r>
    </w:p>
    <w:p w14:paraId="515F6A22">
      <w:pPr>
        <w:pStyle w:val="22"/>
        <w:spacing w:after="120" w:line="360" w:lineRule="auto"/>
        <w:ind w:firstLine="482"/>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5</w:t>
      </w:r>
      <w:r>
        <w:rPr>
          <w:rFonts w:hint="eastAsia" w:cs="宋体"/>
          <w:b/>
          <w:color w:val="auto"/>
          <w:highlight w:val="none"/>
        </w:rPr>
        <w:t>.框架协议的签订</w:t>
      </w:r>
    </w:p>
    <w:p w14:paraId="7E68DE0D">
      <w:pPr>
        <w:pStyle w:val="100"/>
        <w:snapToGrid w:val="0"/>
        <w:spacing w:before="0"/>
        <w:ind w:firstLine="420" w:firstLineChars="175"/>
        <w:rPr>
          <w:rFonts w:ascii="宋体" w:hAnsi="宋体" w:cs="宋体"/>
          <w:bCs/>
          <w:color w:val="auto"/>
          <w:szCs w:val="24"/>
          <w:highlight w:val="none"/>
        </w:rPr>
      </w:pPr>
      <w:r>
        <w:rPr>
          <w:rFonts w:hint="eastAsia" w:ascii="宋体" w:hAnsi="宋体" w:cs="宋体"/>
          <w:bCs/>
          <w:color w:val="auto"/>
          <w:szCs w:val="24"/>
          <w:highlight w:val="none"/>
        </w:rPr>
        <w:t>具体</w:t>
      </w:r>
      <w:r>
        <w:rPr>
          <w:rFonts w:hint="eastAsia" w:ascii="宋体" w:hAnsi="宋体" w:cs="宋体"/>
          <w:color w:val="auto"/>
          <w:highlight w:val="none"/>
        </w:rPr>
        <w:t>框架协议条款详见第五部分拟签订的框架协议文本。</w:t>
      </w:r>
    </w:p>
    <w:p w14:paraId="41B4F626">
      <w:pPr>
        <w:pStyle w:val="22"/>
        <w:spacing w:after="120" w:line="360" w:lineRule="auto"/>
        <w:ind w:firstLine="482"/>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6</w:t>
      </w:r>
      <w:r>
        <w:rPr>
          <w:rFonts w:hint="eastAsia" w:cs="宋体"/>
          <w:b/>
          <w:color w:val="auto"/>
          <w:highlight w:val="none"/>
        </w:rPr>
        <w:t>.入围信息公示</w:t>
      </w:r>
    </w:p>
    <w:p w14:paraId="66DF3F77">
      <w:pPr>
        <w:pStyle w:val="100"/>
        <w:snapToGrid w:val="0"/>
        <w:spacing w:before="0"/>
        <w:ind w:firstLine="480"/>
        <w:rPr>
          <w:rFonts w:ascii="宋体" w:hAnsi="宋体" w:cs="宋体"/>
          <w:bCs/>
          <w:color w:val="auto"/>
          <w:kern w:val="0"/>
          <w:highlight w:val="none"/>
          <w:lang w:val="zh-CN"/>
        </w:rPr>
      </w:pPr>
      <w:r>
        <w:rPr>
          <w:rFonts w:hint="eastAsia" w:ascii="宋体" w:hAnsi="宋体" w:cs="宋体"/>
          <w:bCs/>
          <w:color w:val="auto"/>
          <w:kern w:val="0"/>
          <w:highlight w:val="none"/>
          <w:lang w:val="zh-CN"/>
        </w:rPr>
        <w:t>征集人应当在框架协议签订后3个工作日内通过电子化采购系统将入围信息告知适用框架协议的所有采购人或者服务对象。</w:t>
      </w:r>
    </w:p>
    <w:p w14:paraId="4C9F7745">
      <w:pPr>
        <w:pStyle w:val="100"/>
        <w:snapToGrid w:val="0"/>
        <w:spacing w:before="0"/>
        <w:ind w:firstLine="480"/>
        <w:rPr>
          <w:rFonts w:ascii="宋体" w:hAnsi="宋体" w:cs="宋体"/>
          <w:bCs/>
          <w:color w:val="auto"/>
          <w:kern w:val="0"/>
          <w:highlight w:val="none"/>
          <w:lang w:val="zh-CN"/>
        </w:rPr>
      </w:pPr>
      <w:r>
        <w:rPr>
          <w:rFonts w:hint="eastAsia" w:ascii="宋体" w:hAnsi="宋体" w:cs="宋体"/>
          <w:bCs/>
          <w:color w:val="auto"/>
          <w:kern w:val="0"/>
          <w:highlight w:val="none"/>
          <w:lang w:val="zh-CN"/>
        </w:rPr>
        <w:t>入围信息应当包括所有入围供应商的名称、地址、联系方式、入围产品信息和协议价格等内容。入围产品信息应当详细列明技术规格或者服务内容、服务标准等能反映产品质量特点的内容。</w:t>
      </w:r>
    </w:p>
    <w:p w14:paraId="629C6E4C">
      <w:pPr>
        <w:snapToGrid w:val="0"/>
        <w:spacing w:line="360" w:lineRule="auto"/>
        <w:ind w:left="120" w:leftChars="57" w:firstLine="482" w:firstLineChars="150"/>
        <w:jc w:val="center"/>
        <w:outlineLvl w:val="1"/>
        <w:rPr>
          <w:rFonts w:ascii="宋体" w:hAnsi="宋体" w:cs="宋体"/>
          <w:b/>
          <w:color w:val="auto"/>
          <w:sz w:val="32"/>
          <w:highlight w:val="none"/>
        </w:rPr>
      </w:pPr>
      <w:r>
        <w:rPr>
          <w:rFonts w:hint="eastAsia" w:ascii="宋体" w:hAnsi="宋体" w:cs="宋体"/>
          <w:b/>
          <w:color w:val="auto"/>
          <w:sz w:val="32"/>
          <w:highlight w:val="none"/>
        </w:rPr>
        <w:t>八、采购合同授予</w:t>
      </w:r>
    </w:p>
    <w:p w14:paraId="5ECC22C9">
      <w:pPr>
        <w:pStyle w:val="100"/>
        <w:spacing w:before="0"/>
        <w:ind w:firstLine="482"/>
        <w:rPr>
          <w:rFonts w:ascii="宋体" w:hAnsi="宋体" w:cs="宋体"/>
          <w:b/>
          <w:bCs/>
          <w:color w:val="auto"/>
          <w:szCs w:val="24"/>
          <w:highlight w:val="none"/>
        </w:rPr>
      </w:pPr>
      <w:r>
        <w:rPr>
          <w:rFonts w:hint="eastAsia" w:ascii="宋体" w:hAnsi="宋体" w:cs="宋体"/>
          <w:b/>
          <w:bCs/>
          <w:color w:val="auto"/>
          <w:kern w:val="0"/>
          <w:highlight w:val="none"/>
        </w:rPr>
        <w:t>2</w:t>
      </w:r>
      <w:r>
        <w:rPr>
          <w:rFonts w:hint="eastAsia" w:ascii="宋体" w:hAnsi="宋体" w:cs="宋体"/>
          <w:b/>
          <w:bCs/>
          <w:color w:val="auto"/>
          <w:kern w:val="0"/>
          <w:highlight w:val="none"/>
          <w:lang w:val="en-US" w:eastAsia="zh-CN"/>
        </w:rPr>
        <w:t>7</w:t>
      </w:r>
      <w:r>
        <w:rPr>
          <w:rFonts w:hint="eastAsia" w:ascii="宋体" w:hAnsi="宋体" w:cs="宋体"/>
          <w:b/>
          <w:bCs/>
          <w:color w:val="auto"/>
          <w:kern w:val="0"/>
          <w:highlight w:val="none"/>
        </w:rPr>
        <w:t>.</w:t>
      </w:r>
      <w:r>
        <w:rPr>
          <w:rFonts w:hint="eastAsia" w:ascii="宋体" w:hAnsi="宋体" w:cs="宋体"/>
          <w:b/>
          <w:bCs/>
          <w:color w:val="auto"/>
          <w:szCs w:val="24"/>
          <w:highlight w:val="none"/>
        </w:rPr>
        <w:t>适用框架协议的采购人或服务对象</w:t>
      </w:r>
    </w:p>
    <w:p w14:paraId="5295FCD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杭州市钱塘区政府投资项目评审服务中心</w:t>
      </w:r>
      <w:r>
        <w:rPr>
          <w:rFonts w:hint="eastAsia" w:ascii="宋体" w:hAnsi="宋体" w:cs="宋体"/>
          <w:color w:val="auto"/>
          <w:sz w:val="24"/>
          <w:highlight w:val="none"/>
        </w:rPr>
        <w:t>。</w:t>
      </w:r>
    </w:p>
    <w:p w14:paraId="7A5D9C5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.第二阶段成交</w:t>
      </w:r>
    </w:p>
    <w:p w14:paraId="634A9CE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本项目确定第二阶段成交供应商的方式采用：</w:t>
      </w:r>
    </w:p>
    <w:p w14:paraId="79EC56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直接选定方式。由采购人或者服务对象依据入围产品价格、质量以及服务便利性、用户评价等因素，从第一阶段入围供应商中直接选定。</w:t>
      </w:r>
    </w:p>
    <w:p w14:paraId="51B37F79">
      <w:pPr>
        <w:spacing w:line="360" w:lineRule="auto"/>
        <w:ind w:firstLine="482" w:firstLineChars="200"/>
        <w:rPr>
          <w:rFonts w:ascii="宋体" w:hAnsi="宋体" w:cs="宋体"/>
          <w:b/>
          <w:bCs/>
          <w:color w:val="auto"/>
          <w:kern w:val="0"/>
          <w:sz w:val="24"/>
          <w:highlight w:val="none"/>
        </w:rPr>
      </w:pPr>
      <w:r>
        <w:rPr>
          <w:rFonts w:hint="eastAsia" w:ascii="宋体" w:hAnsi="宋体" w:cs="宋体"/>
          <w:b/>
          <w:bCs/>
          <w:color w:val="auto"/>
          <w:sz w:val="24"/>
          <w:highlight w:val="none"/>
        </w:rPr>
        <w:t>2</w:t>
      </w:r>
      <w:r>
        <w:rPr>
          <w:rFonts w:hint="eastAsia" w:ascii="宋体" w:hAnsi="宋体" w:cs="宋体"/>
          <w:b/>
          <w:bCs/>
          <w:color w:val="auto"/>
          <w:sz w:val="24"/>
          <w:highlight w:val="none"/>
          <w:lang w:val="en-US" w:eastAsia="zh-CN"/>
        </w:rPr>
        <w:t>9</w:t>
      </w:r>
      <w:r>
        <w:rPr>
          <w:rFonts w:hint="eastAsia" w:ascii="宋体" w:hAnsi="宋体" w:cs="宋体"/>
          <w:b/>
          <w:bCs/>
          <w:color w:val="auto"/>
          <w:sz w:val="24"/>
          <w:highlight w:val="none"/>
        </w:rPr>
        <w:t>.签订采购合同</w:t>
      </w:r>
    </w:p>
    <w:p w14:paraId="3DC4BD76">
      <w:pPr>
        <w:tabs>
          <w:tab w:val="left" w:pos="312"/>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.1合同条件详见征集文件中合同文本。</w:t>
      </w:r>
    </w:p>
    <w:p w14:paraId="06A06725">
      <w:pPr>
        <w:numPr>
          <w:ilvl w:val="255"/>
          <w:numId w:val="0"/>
        </w:num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w:t>
      </w: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rPr>
        <w:t>.2成交供应商按规定的日期、时间、地点，由法定代表人或其授权代表与采购人或服务对象代表签订合同。如成交供应商为联合体的，由联合体成员各方法定代表人或其授权代表与采购人或服务对象代表签订合同。</w:t>
      </w:r>
    </w:p>
    <w:p w14:paraId="47A72A44">
      <w:pPr>
        <w:numPr>
          <w:ilvl w:val="255"/>
          <w:numId w:val="0"/>
        </w:num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w:t>
      </w: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rPr>
        <w:t>.3如成交供应商</w:t>
      </w:r>
      <w:r>
        <w:rPr>
          <w:rFonts w:hint="eastAsia" w:ascii="宋体" w:hAnsi="宋体" w:cs="宋体"/>
          <w:color w:val="auto"/>
          <w:sz w:val="24"/>
          <w:highlight w:val="none"/>
          <w:shd w:val="clear" w:color="auto" w:fill="FFFFFF"/>
        </w:rPr>
        <w:t>无正当理由</w:t>
      </w:r>
      <w:r>
        <w:rPr>
          <w:rFonts w:hint="eastAsia" w:ascii="宋体" w:hAnsi="宋体" w:cs="宋体"/>
          <w:bCs/>
          <w:color w:val="auto"/>
          <w:sz w:val="24"/>
          <w:highlight w:val="none"/>
        </w:rPr>
        <w:t>拒绝签订合同的，解除框架协议，上报财政监管部门。如成交供应商签订合同并生效后，供应商</w:t>
      </w:r>
      <w:r>
        <w:rPr>
          <w:rFonts w:hint="eastAsia" w:ascii="宋体" w:hAnsi="宋体" w:cs="宋体"/>
          <w:color w:val="auto"/>
          <w:sz w:val="24"/>
          <w:highlight w:val="none"/>
          <w:shd w:val="clear" w:color="auto" w:fill="FFFFFF"/>
        </w:rPr>
        <w:t>无正当理由</w:t>
      </w:r>
      <w:r>
        <w:rPr>
          <w:rFonts w:hint="eastAsia" w:ascii="宋体" w:hAnsi="宋体" w:cs="宋体"/>
          <w:bCs/>
          <w:color w:val="auto"/>
          <w:sz w:val="24"/>
          <w:highlight w:val="none"/>
        </w:rPr>
        <w:t>拒绝或延期，除按照合同条款处理外，解除框架协议，上报财政监管部门。</w:t>
      </w:r>
    </w:p>
    <w:p w14:paraId="3851F783">
      <w:pPr>
        <w:numPr>
          <w:ilvl w:val="255"/>
          <w:numId w:val="0"/>
        </w:num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30</w:t>
      </w:r>
      <w:r>
        <w:rPr>
          <w:rFonts w:hint="eastAsia" w:ascii="宋体" w:hAnsi="宋体" w:cs="宋体"/>
          <w:b/>
          <w:color w:val="auto"/>
          <w:sz w:val="24"/>
          <w:highlight w:val="none"/>
        </w:rPr>
        <w:t>.履约保证金</w:t>
      </w:r>
    </w:p>
    <w:p w14:paraId="3B98ABA6">
      <w:pPr>
        <w:numPr>
          <w:ilvl w:val="255"/>
          <w:numId w:val="0"/>
        </w:num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本项目不缴纳履约保证金。</w:t>
      </w:r>
    </w:p>
    <w:p w14:paraId="43D5FF20">
      <w:pPr>
        <w:snapToGrid w:val="0"/>
        <w:spacing w:line="360" w:lineRule="auto"/>
        <w:ind w:firstLine="3357" w:firstLineChars="1045"/>
        <w:outlineLvl w:val="1"/>
        <w:rPr>
          <w:rFonts w:ascii="宋体" w:hAnsi="宋体" w:cs="宋体"/>
          <w:b/>
          <w:color w:val="auto"/>
          <w:sz w:val="24"/>
          <w:highlight w:val="none"/>
        </w:rPr>
      </w:pPr>
      <w:r>
        <w:rPr>
          <w:rFonts w:hint="eastAsia" w:ascii="宋体" w:hAnsi="宋体" w:cs="宋体"/>
          <w:b/>
          <w:color w:val="auto"/>
          <w:sz w:val="32"/>
          <w:highlight w:val="none"/>
          <w:lang w:val="en-US" w:eastAsia="zh-CN"/>
        </w:rPr>
        <w:t>九</w:t>
      </w:r>
      <w:r>
        <w:rPr>
          <w:rFonts w:hint="eastAsia" w:ascii="宋体" w:hAnsi="宋体" w:cs="宋体"/>
          <w:b/>
          <w:color w:val="auto"/>
          <w:sz w:val="32"/>
          <w:highlight w:val="none"/>
        </w:rPr>
        <w:t>、电子交易活动的中止</w:t>
      </w:r>
    </w:p>
    <w:p w14:paraId="7048998E">
      <w:pPr>
        <w:pStyle w:val="100"/>
        <w:snapToGrid w:val="0"/>
        <w:spacing w:before="0"/>
        <w:ind w:firstLine="0" w:firstLineChars="0"/>
        <w:rPr>
          <w:rFonts w:ascii="宋体" w:hAnsi="宋体" w:cs="宋体"/>
          <w:b/>
          <w:color w:val="auto"/>
          <w:szCs w:val="24"/>
          <w:highlight w:val="none"/>
        </w:rPr>
      </w:pPr>
      <w:r>
        <w:rPr>
          <w:rFonts w:hint="eastAsia" w:ascii="宋体" w:hAnsi="宋体" w:cs="宋体"/>
          <w:b/>
          <w:color w:val="auto"/>
          <w:highlight w:val="none"/>
        </w:rPr>
        <w:t>3</w:t>
      </w:r>
      <w:r>
        <w:rPr>
          <w:rFonts w:hint="eastAsia" w:ascii="宋体" w:hAnsi="宋体" w:cs="宋体"/>
          <w:b/>
          <w:color w:val="auto"/>
          <w:highlight w:val="none"/>
          <w:lang w:val="en-US" w:eastAsia="zh-CN"/>
        </w:rPr>
        <w:t>1</w:t>
      </w:r>
      <w:r>
        <w:rPr>
          <w:rFonts w:hint="eastAsia" w:ascii="宋体" w:hAnsi="宋体" w:cs="宋体"/>
          <w:b/>
          <w:color w:val="auto"/>
          <w:szCs w:val="24"/>
          <w:highlight w:val="none"/>
        </w:rPr>
        <w:t>. 电子交易活动的中止</w:t>
      </w:r>
    </w:p>
    <w:p w14:paraId="0426315B">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54397D73">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1</w:t>
      </w:r>
      <w:r>
        <w:rPr>
          <w:rFonts w:hint="eastAsia" w:ascii="宋体" w:hAnsi="宋体" w:cs="宋体"/>
          <w:color w:val="auto"/>
          <w:highlight w:val="none"/>
        </w:rPr>
        <w:t>.1电子交易平台发生故障而无法登录访问的；</w:t>
      </w:r>
    </w:p>
    <w:p w14:paraId="19E33684">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1</w:t>
      </w:r>
      <w:r>
        <w:rPr>
          <w:rFonts w:hint="eastAsia" w:ascii="宋体" w:hAnsi="宋体" w:cs="宋体"/>
          <w:color w:val="auto"/>
          <w:highlight w:val="none"/>
        </w:rPr>
        <w:t>.2电子交易平台应用或数据库出现错误，不能进行正常操作的；</w:t>
      </w:r>
    </w:p>
    <w:p w14:paraId="6192B413">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1</w:t>
      </w:r>
      <w:r>
        <w:rPr>
          <w:rFonts w:hint="eastAsia" w:ascii="宋体" w:hAnsi="宋体" w:cs="宋体"/>
          <w:color w:val="auto"/>
          <w:highlight w:val="none"/>
        </w:rPr>
        <w:t>.3电子交易平台发现严重安全漏洞，有潜在泄密危险的；</w:t>
      </w:r>
    </w:p>
    <w:p w14:paraId="4BFBF88D">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1</w:t>
      </w:r>
      <w:r>
        <w:rPr>
          <w:rFonts w:hint="eastAsia" w:ascii="宋体" w:hAnsi="宋体" w:cs="宋体"/>
          <w:color w:val="auto"/>
          <w:highlight w:val="none"/>
        </w:rPr>
        <w:t>.4病毒发作导致不能进行正常操作的；</w:t>
      </w:r>
    </w:p>
    <w:p w14:paraId="47DC1858">
      <w:pPr>
        <w:pStyle w:val="100"/>
        <w:snapToGrid w:val="0"/>
        <w:spacing w:before="0"/>
        <w:ind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1</w:t>
      </w:r>
      <w:r>
        <w:rPr>
          <w:rFonts w:hint="eastAsia" w:ascii="宋体" w:hAnsi="宋体" w:cs="宋体"/>
          <w:color w:val="auto"/>
          <w:highlight w:val="none"/>
        </w:rPr>
        <w:t>.5其他无法保证电子交易的公平、公正和安全的情况。</w:t>
      </w:r>
    </w:p>
    <w:p w14:paraId="3C2DBCAE">
      <w:pPr>
        <w:pStyle w:val="100"/>
        <w:snapToGrid w:val="0"/>
        <w:spacing w:before="0"/>
        <w:ind w:firstLine="0" w:firstLineChars="0"/>
        <w:rPr>
          <w:rFonts w:hint="eastAsia" w:ascii="宋体" w:hAnsi="宋体" w:cs="宋体"/>
          <w:color w:val="auto"/>
          <w:highlight w:val="none"/>
        </w:rPr>
      </w:pPr>
      <w:r>
        <w:rPr>
          <w:rFonts w:hint="eastAsia" w:ascii="宋体" w:hAnsi="宋体" w:cs="宋体"/>
          <w:b/>
          <w:color w:val="auto"/>
          <w:highlight w:val="none"/>
        </w:rPr>
        <w:t xml:space="preserve"> 3</w:t>
      </w:r>
      <w:r>
        <w:rPr>
          <w:rFonts w:hint="eastAsia" w:ascii="宋体" w:hAnsi="宋体" w:cs="宋体"/>
          <w:b/>
          <w:color w:val="auto"/>
          <w:highlight w:val="none"/>
          <w:lang w:val="en-US" w:eastAsia="zh-CN"/>
        </w:rPr>
        <w:t>2</w:t>
      </w:r>
      <w:r>
        <w:rPr>
          <w:rFonts w:hint="eastAsia" w:ascii="宋体" w:hAnsi="宋体" w:cs="宋体"/>
          <w:b/>
          <w:color w:val="auto"/>
          <w:highlight w:val="none"/>
        </w:rPr>
        <w:t>.</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704FCB42">
      <w:pPr>
        <w:pStyle w:val="100"/>
        <w:snapToGrid w:val="0"/>
        <w:spacing w:before="0"/>
        <w:ind w:firstLine="0" w:firstLineChars="0"/>
        <w:jc w:val="center"/>
        <w:rPr>
          <w:rFonts w:ascii="宋体" w:hAnsi="宋体" w:cs="宋体"/>
          <w:b/>
          <w:color w:val="auto"/>
          <w:sz w:val="32"/>
          <w:highlight w:val="none"/>
        </w:rPr>
      </w:pPr>
      <w:r>
        <w:rPr>
          <w:rFonts w:hint="eastAsia" w:ascii="宋体" w:hAnsi="宋体" w:cs="宋体"/>
          <w:b/>
          <w:color w:val="auto"/>
          <w:sz w:val="32"/>
          <w:highlight w:val="none"/>
          <w:lang w:val="en-US" w:eastAsia="zh-CN"/>
        </w:rPr>
        <w:t>十</w:t>
      </w:r>
      <w:r>
        <w:rPr>
          <w:rFonts w:hint="eastAsia" w:ascii="宋体" w:hAnsi="宋体" w:cs="宋体"/>
          <w:b/>
          <w:color w:val="auto"/>
          <w:sz w:val="32"/>
          <w:highlight w:val="none"/>
        </w:rPr>
        <w:t>、验收</w:t>
      </w:r>
    </w:p>
    <w:p w14:paraId="1CBFB291">
      <w:pPr>
        <w:pStyle w:val="22"/>
        <w:spacing w:line="360" w:lineRule="auto"/>
        <w:ind w:firstLine="0" w:firstLineChars="0"/>
        <w:rPr>
          <w:rFonts w:cs="宋体"/>
          <w:b/>
          <w:color w:val="auto"/>
          <w:highlight w:val="none"/>
        </w:rPr>
      </w:pPr>
      <w:r>
        <w:rPr>
          <w:rFonts w:hint="eastAsia" w:cs="宋体"/>
          <w:b/>
          <w:color w:val="auto"/>
          <w:highlight w:val="none"/>
        </w:rPr>
        <w:t>3</w:t>
      </w:r>
      <w:r>
        <w:rPr>
          <w:rFonts w:hint="eastAsia" w:cs="宋体"/>
          <w:b/>
          <w:color w:val="auto"/>
          <w:highlight w:val="none"/>
          <w:lang w:val="en-US" w:eastAsia="zh-CN"/>
        </w:rPr>
        <w:t>3</w:t>
      </w:r>
      <w:r>
        <w:rPr>
          <w:rFonts w:hint="eastAsia" w:cs="宋体"/>
          <w:b/>
          <w:color w:val="auto"/>
          <w:highlight w:val="none"/>
        </w:rPr>
        <w:t>.验收</w:t>
      </w:r>
    </w:p>
    <w:bookmarkEnd w:id="33"/>
    <w:p w14:paraId="27D5D296">
      <w:pPr>
        <w:tabs>
          <w:tab w:val="left" w:pos="0"/>
        </w:tabs>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各成交项目服务对象根据相关规定及要求组织对供应商履约的验收。</w:t>
      </w:r>
    </w:p>
    <w:p w14:paraId="0CDF8B92">
      <w:pPr>
        <w:tabs>
          <w:tab w:val="left" w:pos="0"/>
        </w:tabs>
        <w:spacing w:line="360" w:lineRule="auto"/>
        <w:rPr>
          <w:rFonts w:hint="eastAsia" w:ascii="宋体" w:hAnsi="宋体" w:cs="宋体"/>
          <w:color w:val="auto"/>
          <w:kern w:val="0"/>
          <w:sz w:val="24"/>
          <w:highlight w:val="none"/>
        </w:rPr>
      </w:pPr>
    </w:p>
    <w:p w14:paraId="7674E762">
      <w:pPr>
        <w:tabs>
          <w:tab w:val="left" w:pos="0"/>
        </w:tabs>
        <w:spacing w:line="360" w:lineRule="auto"/>
        <w:rPr>
          <w:rFonts w:hint="eastAsia" w:ascii="宋体" w:hAnsi="宋体" w:cs="宋体"/>
          <w:color w:val="auto"/>
          <w:kern w:val="0"/>
          <w:sz w:val="24"/>
          <w:highlight w:val="none"/>
        </w:rPr>
      </w:pPr>
    </w:p>
    <w:p w14:paraId="53EA5F2F">
      <w:pPr>
        <w:tabs>
          <w:tab w:val="left" w:pos="0"/>
        </w:tabs>
        <w:spacing w:line="360" w:lineRule="auto"/>
        <w:rPr>
          <w:rFonts w:hint="eastAsia" w:ascii="宋体" w:hAnsi="宋体" w:cs="宋体"/>
          <w:color w:val="auto"/>
          <w:kern w:val="0"/>
          <w:sz w:val="24"/>
          <w:highlight w:val="none"/>
        </w:rPr>
      </w:pPr>
    </w:p>
    <w:p w14:paraId="1A70876B">
      <w:pPr>
        <w:tabs>
          <w:tab w:val="left" w:pos="0"/>
        </w:tabs>
        <w:spacing w:line="360" w:lineRule="auto"/>
        <w:rPr>
          <w:rFonts w:hint="eastAsia" w:ascii="宋体" w:hAnsi="宋体" w:cs="宋体"/>
          <w:color w:val="auto"/>
          <w:kern w:val="0"/>
          <w:sz w:val="24"/>
          <w:highlight w:val="none"/>
        </w:rPr>
      </w:pPr>
    </w:p>
    <w:p w14:paraId="7C9D8E54">
      <w:pPr>
        <w:tabs>
          <w:tab w:val="left" w:pos="0"/>
        </w:tabs>
        <w:spacing w:line="360" w:lineRule="auto"/>
        <w:rPr>
          <w:rFonts w:hint="eastAsia" w:ascii="宋体" w:hAnsi="宋体" w:cs="宋体"/>
          <w:color w:val="auto"/>
          <w:kern w:val="0"/>
          <w:sz w:val="24"/>
          <w:highlight w:val="none"/>
        </w:rPr>
      </w:pPr>
    </w:p>
    <w:p w14:paraId="5E1EB2AC">
      <w:pPr>
        <w:tabs>
          <w:tab w:val="left" w:pos="0"/>
        </w:tabs>
        <w:spacing w:line="360" w:lineRule="auto"/>
        <w:rPr>
          <w:rFonts w:hint="eastAsia" w:ascii="宋体" w:hAnsi="宋体" w:cs="宋体"/>
          <w:color w:val="auto"/>
          <w:kern w:val="0"/>
          <w:sz w:val="24"/>
          <w:highlight w:val="none"/>
        </w:rPr>
      </w:pPr>
    </w:p>
    <w:p w14:paraId="01C04A7A">
      <w:pPr>
        <w:tabs>
          <w:tab w:val="left" w:pos="0"/>
        </w:tabs>
        <w:spacing w:line="360" w:lineRule="auto"/>
        <w:rPr>
          <w:rFonts w:hint="eastAsia" w:ascii="宋体" w:hAnsi="宋体" w:cs="宋体"/>
          <w:color w:val="auto"/>
          <w:kern w:val="0"/>
          <w:sz w:val="24"/>
          <w:highlight w:val="none"/>
        </w:rPr>
      </w:pPr>
    </w:p>
    <w:p w14:paraId="205798CD">
      <w:pPr>
        <w:tabs>
          <w:tab w:val="left" w:pos="0"/>
        </w:tabs>
        <w:spacing w:line="360" w:lineRule="auto"/>
        <w:rPr>
          <w:rFonts w:hint="eastAsia" w:ascii="宋体" w:hAnsi="宋体" w:cs="宋体"/>
          <w:color w:val="auto"/>
          <w:kern w:val="0"/>
          <w:sz w:val="24"/>
          <w:highlight w:val="none"/>
        </w:rPr>
      </w:pPr>
    </w:p>
    <w:p w14:paraId="4FCA3C0A">
      <w:pPr>
        <w:jc w:val="center"/>
        <w:rPr>
          <w:rFonts w:ascii="宋体" w:hAnsi="宋体" w:cs="宋体"/>
          <w:b/>
          <w:color w:val="auto"/>
          <w:sz w:val="36"/>
          <w:szCs w:val="36"/>
          <w:highlight w:val="none"/>
        </w:rPr>
      </w:pPr>
      <w:r>
        <w:rPr>
          <w:rFonts w:hint="eastAsia" w:ascii="宋体" w:hAnsi="宋体" w:cs="宋体"/>
          <w:b/>
          <w:color w:val="auto"/>
          <w:sz w:val="36"/>
          <w:szCs w:val="36"/>
          <w:highlight w:val="none"/>
        </w:rPr>
        <w:br w:type="page"/>
      </w:r>
      <w:r>
        <w:rPr>
          <w:rFonts w:hint="eastAsia" w:ascii="宋体" w:hAnsi="宋体" w:cs="宋体"/>
          <w:b/>
          <w:color w:val="auto"/>
          <w:sz w:val="36"/>
          <w:szCs w:val="36"/>
          <w:highlight w:val="none"/>
        </w:rPr>
        <w:t>第三部分采购需求</w:t>
      </w:r>
    </w:p>
    <w:bookmarkEnd w:id="10"/>
    <w:bookmarkEnd w:id="11"/>
    <w:p w14:paraId="43FF5D47">
      <w:pPr>
        <w:pStyle w:val="22"/>
        <w:spacing w:line="360" w:lineRule="auto"/>
        <w:ind w:firstLine="482"/>
        <w:rPr>
          <w:rFonts w:cs="宋体"/>
          <w:b/>
          <w:bCs/>
          <w:color w:val="auto"/>
          <w:highlight w:val="none"/>
        </w:rPr>
      </w:pPr>
      <w:bookmarkStart w:id="34" w:name="第四部分"/>
      <w:r>
        <w:rPr>
          <w:rFonts w:hint="eastAsia" w:cs="宋体"/>
          <w:b/>
          <w:bCs/>
          <w:color w:val="auto"/>
          <w:highlight w:val="none"/>
        </w:rPr>
        <w:t>一、服务期限</w:t>
      </w:r>
    </w:p>
    <w:p w14:paraId="59871B7E">
      <w:pPr>
        <w:pStyle w:val="22"/>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服务期限为自</w:t>
      </w:r>
      <w:r>
        <w:rPr>
          <w:rFonts w:hint="eastAsia" w:ascii="宋体" w:hAnsi="宋体" w:eastAsia="宋体" w:cs="宋体"/>
          <w:color w:val="auto"/>
          <w:highlight w:val="none"/>
          <w:lang w:val="en-US" w:eastAsia="zh-CN"/>
        </w:rPr>
        <w:t>框架协议签订</w:t>
      </w:r>
      <w:r>
        <w:rPr>
          <w:rFonts w:hint="eastAsia" w:ascii="宋体" w:hAnsi="宋体" w:eastAsia="宋体" w:cs="宋体"/>
          <w:color w:val="auto"/>
          <w:highlight w:val="none"/>
        </w:rPr>
        <w:t>之日起2年内至委托项目完成审核通过验收之日止。</w:t>
      </w:r>
    </w:p>
    <w:p w14:paraId="75B4A3B5">
      <w:pPr>
        <w:pStyle w:val="22"/>
        <w:spacing w:line="360" w:lineRule="auto"/>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二、采购</w:t>
      </w:r>
      <w:r>
        <w:rPr>
          <w:rFonts w:hint="eastAsia" w:ascii="宋体" w:hAnsi="宋体" w:eastAsia="宋体" w:cs="宋体"/>
          <w:b/>
          <w:bCs/>
          <w:color w:val="auto"/>
          <w:highlight w:val="none"/>
        </w:rPr>
        <w:t>内容</w:t>
      </w:r>
    </w:p>
    <w:tbl>
      <w:tblPr>
        <w:tblStyle w:val="52"/>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7403"/>
      </w:tblGrid>
      <w:tr w14:paraId="47A8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13" w:type="dxa"/>
            <w:noWrap w:val="0"/>
            <w:vAlign w:val="top"/>
          </w:tcPr>
          <w:p w14:paraId="2F48CB7E">
            <w:pPr>
              <w:keepNext w:val="0"/>
              <w:keepLines w:val="0"/>
              <w:pageBreakBefore w:val="0"/>
              <w:widowControl w:val="0"/>
              <w:kinsoku/>
              <w:wordWrap/>
              <w:overflowPunct/>
              <w:topLinePunct w:val="0"/>
              <w:autoSpaceDE/>
              <w:autoSpaceDN/>
              <w:bidi w:val="0"/>
              <w:adjustRightInd w:val="0"/>
              <w:snapToGrid/>
              <w:spacing w:line="500" w:lineRule="exact"/>
              <w:ind w:firstLine="240" w:firstLineChars="100"/>
              <w:jc w:val="both"/>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标项</w:t>
            </w:r>
          </w:p>
        </w:tc>
        <w:tc>
          <w:tcPr>
            <w:tcW w:w="7403" w:type="dxa"/>
            <w:noWrap w:val="0"/>
            <w:vAlign w:val="top"/>
          </w:tcPr>
          <w:p w14:paraId="7C92BDCA">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内容</w:t>
            </w:r>
          </w:p>
        </w:tc>
      </w:tr>
      <w:tr w14:paraId="1E5F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113" w:type="dxa"/>
            <w:noWrap w:val="0"/>
            <w:vAlign w:val="center"/>
          </w:tcPr>
          <w:p w14:paraId="08715D61">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标项一</w:t>
            </w:r>
          </w:p>
        </w:tc>
        <w:tc>
          <w:tcPr>
            <w:tcW w:w="7403" w:type="dxa"/>
            <w:noWrap w:val="0"/>
            <w:vAlign w:val="center"/>
          </w:tcPr>
          <w:p w14:paraId="49BA12A6">
            <w:pPr>
              <w:keepNext w:val="0"/>
              <w:keepLines w:val="0"/>
              <w:pageBreakBefore w:val="0"/>
              <w:widowControl w:val="0"/>
              <w:kinsoku/>
              <w:wordWrap/>
              <w:overflowPunct/>
              <w:topLinePunct w:val="0"/>
              <w:autoSpaceDE/>
              <w:autoSpaceDN/>
              <w:bidi w:val="0"/>
              <w:adjustRightInd w:val="0"/>
              <w:snapToGrid/>
              <w:spacing w:line="5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政府投资项目概算复核、结算复核、结算全面复核及其他类型的造价咨询服务</w:t>
            </w:r>
          </w:p>
        </w:tc>
      </w:tr>
      <w:tr w14:paraId="1503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113" w:type="dxa"/>
            <w:noWrap w:val="0"/>
            <w:vAlign w:val="center"/>
          </w:tcPr>
          <w:p w14:paraId="4DDEE787">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标项二</w:t>
            </w:r>
          </w:p>
        </w:tc>
        <w:tc>
          <w:tcPr>
            <w:tcW w:w="7403" w:type="dxa"/>
            <w:noWrap w:val="0"/>
            <w:vAlign w:val="center"/>
          </w:tcPr>
          <w:p w14:paraId="055F3EA8">
            <w:pPr>
              <w:keepNext w:val="0"/>
              <w:keepLines w:val="0"/>
              <w:pageBreakBefore w:val="0"/>
              <w:widowControl w:val="0"/>
              <w:kinsoku/>
              <w:wordWrap/>
              <w:overflowPunct/>
              <w:topLinePunct w:val="0"/>
              <w:autoSpaceDE/>
              <w:autoSpaceDN/>
              <w:bidi w:val="0"/>
              <w:adjustRightInd w:val="0"/>
              <w:snapToGrid/>
              <w:spacing w:line="500" w:lineRule="exact"/>
              <w:jc w:val="both"/>
              <w:textAlignment w:val="auto"/>
              <w:rPr>
                <w:rFonts w:hint="eastAsia"/>
                <w:color w:val="auto"/>
                <w:highlight w:val="none"/>
                <w:lang w:val="en-US" w:eastAsia="zh-CN"/>
              </w:rPr>
            </w:pPr>
            <w:r>
              <w:rPr>
                <w:rFonts w:hint="eastAsia" w:ascii="宋体" w:hAnsi="宋体" w:eastAsia="宋体" w:cs="宋体"/>
                <w:color w:val="auto"/>
                <w:kern w:val="2"/>
                <w:sz w:val="24"/>
                <w:szCs w:val="24"/>
                <w:highlight w:val="none"/>
                <w:lang w:val="en-US" w:eastAsia="zh-CN" w:bidi="ar-SA"/>
              </w:rPr>
              <w:t>政府投资项目概算复核、结算初核及其他类型的造价咨询服务</w:t>
            </w:r>
          </w:p>
        </w:tc>
      </w:tr>
    </w:tbl>
    <w:p w14:paraId="1ACD5FE1">
      <w:pPr>
        <w:pStyle w:val="22"/>
        <w:spacing w:line="360" w:lineRule="auto"/>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注：</w:t>
      </w:r>
      <w:r>
        <w:rPr>
          <w:rFonts w:hint="eastAsia" w:ascii="宋体" w:hAnsi="宋体" w:eastAsia="宋体" w:cs="宋体"/>
          <w:b/>
          <w:bCs/>
          <w:color w:val="auto"/>
          <w:highlight w:val="none"/>
          <w:lang w:eastAsia="zh-CN"/>
        </w:rPr>
        <w:t>各标项中的服务内容</w:t>
      </w:r>
      <w:r>
        <w:rPr>
          <w:rFonts w:hint="eastAsia" w:ascii="宋体" w:hAnsi="宋体" w:eastAsia="宋体" w:cs="宋体"/>
          <w:b/>
          <w:bCs/>
          <w:color w:val="auto"/>
          <w:highlight w:val="none"/>
          <w:lang w:val="en-US" w:eastAsia="zh-CN"/>
        </w:rPr>
        <w:t>及产值</w:t>
      </w:r>
      <w:r>
        <w:rPr>
          <w:rFonts w:hint="eastAsia" w:ascii="宋体" w:hAnsi="宋体" w:eastAsia="宋体" w:cs="宋体"/>
          <w:b/>
          <w:bCs/>
          <w:color w:val="auto"/>
          <w:highlight w:val="none"/>
          <w:lang w:eastAsia="zh-CN"/>
        </w:rPr>
        <w:t>以</w:t>
      </w:r>
      <w:r>
        <w:rPr>
          <w:rFonts w:hint="eastAsia" w:ascii="宋体" w:hAnsi="宋体" w:eastAsia="宋体" w:cs="宋体"/>
          <w:b/>
          <w:bCs/>
          <w:color w:val="auto"/>
          <w:highlight w:val="none"/>
          <w:lang w:val="en-US" w:eastAsia="zh-CN"/>
        </w:rPr>
        <w:t>征集人的委托</w:t>
      </w:r>
      <w:r>
        <w:rPr>
          <w:rFonts w:hint="eastAsia" w:ascii="宋体" w:hAnsi="宋体" w:eastAsia="宋体" w:cs="宋体"/>
          <w:b/>
          <w:bCs/>
          <w:color w:val="auto"/>
          <w:highlight w:val="none"/>
          <w:lang w:eastAsia="zh-CN"/>
        </w:rPr>
        <w:t>为准，供应商须承担无任务</w:t>
      </w:r>
      <w:r>
        <w:rPr>
          <w:rFonts w:hint="eastAsia" w:ascii="宋体" w:hAnsi="宋体" w:eastAsia="宋体" w:cs="宋体"/>
          <w:b/>
          <w:bCs/>
          <w:color w:val="auto"/>
          <w:highlight w:val="none"/>
          <w:lang w:val="en-US" w:eastAsia="zh-CN"/>
        </w:rPr>
        <w:t>委托</w:t>
      </w:r>
      <w:r>
        <w:rPr>
          <w:rFonts w:hint="eastAsia" w:ascii="宋体" w:hAnsi="宋体" w:eastAsia="宋体" w:cs="宋体"/>
          <w:b/>
          <w:bCs/>
          <w:color w:val="auto"/>
          <w:highlight w:val="none"/>
          <w:lang w:eastAsia="zh-CN"/>
        </w:rPr>
        <w:t>的风险</w:t>
      </w:r>
      <w:r>
        <w:rPr>
          <w:rFonts w:hint="default" w:cs="宋体"/>
          <w:b/>
          <w:bCs/>
          <w:color w:val="auto"/>
          <w:highlight w:val="none"/>
          <w:lang w:eastAsia="zh-CN"/>
          <w:woUserID w:val="1"/>
        </w:rPr>
        <w:t>；</w:t>
      </w:r>
      <w:r>
        <w:rPr>
          <w:rFonts w:hint="eastAsia" w:ascii="宋体" w:hAnsi="宋体" w:eastAsia="宋体" w:cs="宋体"/>
          <w:b/>
          <w:bCs/>
          <w:color w:val="auto"/>
          <w:highlight w:val="none"/>
          <w:lang w:val="en-US" w:eastAsia="zh-CN"/>
        </w:rPr>
        <w:t>考虑到区内造价评审方面政策在未来两年内将变动调整，因此标项二供应商须承担因政策调整导致的无结算初核业务委托的风险。</w:t>
      </w:r>
    </w:p>
    <w:p w14:paraId="5B9EED6D">
      <w:pPr>
        <w:pStyle w:val="22"/>
        <w:spacing w:line="360" w:lineRule="auto"/>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三、征集数量</w:t>
      </w:r>
    </w:p>
    <w:p w14:paraId="2E31EB41">
      <w:pPr>
        <w:pStyle w:val="22"/>
        <w:keepNext w:val="0"/>
        <w:keepLines w:val="0"/>
        <w:pageBreakBefore w:val="0"/>
        <w:kinsoku/>
        <w:wordWrap/>
        <w:overflowPunct/>
        <w:topLinePunct w:val="0"/>
        <w:autoSpaceDE/>
        <w:autoSpaceDN/>
        <w:bidi w:val="0"/>
        <w:adjustRightInd w:val="0"/>
        <w:spacing w:line="500" w:lineRule="exact"/>
        <w:jc w:val="both"/>
        <w:textAlignment w:val="auto"/>
        <w:rPr>
          <w:rFonts w:hint="eastAsia"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征集的供应商数量最多为1</w:t>
      </w:r>
      <w:r>
        <w:rPr>
          <w:rFonts w:hint="eastAsia" w:cs="宋体"/>
          <w:b/>
          <w:bCs/>
          <w:color w:val="auto"/>
          <w:kern w:val="2"/>
          <w:sz w:val="24"/>
          <w:szCs w:val="24"/>
          <w:highlight w:val="none"/>
          <w:lang w:val="en-US" w:eastAsia="zh-CN" w:bidi="ar-SA"/>
        </w:rPr>
        <w:t>6</w:t>
      </w:r>
      <w:r>
        <w:rPr>
          <w:rFonts w:hint="eastAsia" w:ascii="宋体" w:hAnsi="宋体" w:eastAsia="宋体" w:cs="宋体"/>
          <w:b/>
          <w:bCs/>
          <w:color w:val="auto"/>
          <w:kern w:val="2"/>
          <w:sz w:val="24"/>
          <w:szCs w:val="24"/>
          <w:highlight w:val="none"/>
          <w:lang w:val="en-US" w:eastAsia="zh-CN" w:bidi="ar-SA"/>
        </w:rPr>
        <w:t>家，其中：标项一</w:t>
      </w:r>
      <w:r>
        <w:rPr>
          <w:rFonts w:hint="eastAsia" w:cs="宋体"/>
          <w:b/>
          <w:bCs/>
          <w:color w:val="auto"/>
          <w:kern w:val="2"/>
          <w:sz w:val="24"/>
          <w:szCs w:val="24"/>
          <w:highlight w:val="none"/>
          <w:lang w:val="en-US" w:eastAsia="zh-CN" w:bidi="ar-SA"/>
        </w:rPr>
        <w:t>8</w:t>
      </w:r>
      <w:r>
        <w:rPr>
          <w:rFonts w:hint="eastAsia" w:ascii="宋体" w:hAnsi="宋体" w:eastAsia="宋体" w:cs="宋体"/>
          <w:b/>
          <w:bCs/>
          <w:color w:val="auto"/>
          <w:kern w:val="2"/>
          <w:sz w:val="24"/>
          <w:szCs w:val="24"/>
          <w:highlight w:val="none"/>
          <w:lang w:val="en-US" w:eastAsia="zh-CN" w:bidi="ar-SA"/>
        </w:rPr>
        <w:t>家、标项二</w:t>
      </w:r>
      <w:r>
        <w:rPr>
          <w:rFonts w:hint="eastAsia" w:cs="宋体"/>
          <w:b/>
          <w:bCs/>
          <w:color w:val="auto"/>
          <w:kern w:val="2"/>
          <w:sz w:val="24"/>
          <w:szCs w:val="24"/>
          <w:highlight w:val="none"/>
          <w:lang w:val="en-US" w:eastAsia="zh-CN" w:bidi="ar-SA"/>
        </w:rPr>
        <w:t>8</w:t>
      </w:r>
      <w:r>
        <w:rPr>
          <w:rFonts w:hint="eastAsia" w:ascii="宋体" w:hAnsi="宋体" w:eastAsia="宋体" w:cs="宋体"/>
          <w:b/>
          <w:bCs/>
          <w:color w:val="auto"/>
          <w:kern w:val="2"/>
          <w:sz w:val="24"/>
          <w:szCs w:val="24"/>
          <w:highlight w:val="none"/>
          <w:lang w:val="en-US" w:eastAsia="zh-CN" w:bidi="ar-SA"/>
        </w:rPr>
        <w:t>家。</w:t>
      </w:r>
      <w:r>
        <w:rPr>
          <w:rFonts w:hint="eastAsia" w:ascii="宋体" w:hAnsi="宋体" w:eastAsia="宋体" w:cs="宋体"/>
          <w:color w:val="auto"/>
          <w:kern w:val="2"/>
          <w:sz w:val="24"/>
          <w:szCs w:val="24"/>
          <w:highlight w:val="none"/>
          <w:lang w:val="en-US" w:eastAsia="zh-CN" w:bidi="ar-SA"/>
        </w:rPr>
        <w:t>若评审结束或在框架协议签署阶段，因供应商原因造成实际入围家数分别不足</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家的，按照实际入围家数确定本次征集的供应商数量。</w:t>
      </w:r>
    </w:p>
    <w:p w14:paraId="483865D4">
      <w:pPr>
        <w:pStyle w:val="22"/>
        <w:spacing w:line="360" w:lineRule="auto"/>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四、选取方式</w:t>
      </w:r>
    </w:p>
    <w:p w14:paraId="6B8E2DA1">
      <w:pPr>
        <w:pStyle w:val="22"/>
        <w:keepNext w:val="0"/>
        <w:keepLines w:val="0"/>
        <w:pageBreakBefore w:val="0"/>
        <w:kinsoku/>
        <w:wordWrap/>
        <w:overflowPunct/>
        <w:topLinePunct w:val="0"/>
        <w:autoSpaceDE/>
        <w:autoSpaceDN/>
        <w:bidi w:val="0"/>
        <w:adjustRightInd w:val="0"/>
        <w:spacing w:line="500" w:lineRule="exact"/>
        <w:jc w:val="both"/>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第一阶段 采用封闭式框架协议采购的方式确定入围供应商。</w:t>
      </w:r>
    </w:p>
    <w:p w14:paraId="3429B9EE">
      <w:pPr>
        <w:pStyle w:val="22"/>
        <w:keepNext w:val="0"/>
        <w:keepLines w:val="0"/>
        <w:pageBreakBefore w:val="0"/>
        <w:kinsoku/>
        <w:wordWrap/>
        <w:overflowPunct/>
        <w:topLinePunct w:val="0"/>
        <w:autoSpaceDE/>
        <w:autoSpaceDN/>
        <w:bidi w:val="0"/>
        <w:adjustRightInd w:val="0"/>
        <w:spacing w:line="500" w:lineRule="exact"/>
        <w:jc w:val="both"/>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第二阶段 采用“直接选定”的形式从入围供应商中选取实施单位，并订立采购合同。对于概算送审额25亿元及以上的、结算送审额29亿元及以上的或送审额5亿元及以上功能复杂的标志性建筑进行二次选定。</w:t>
      </w:r>
    </w:p>
    <w:p w14:paraId="4CC8DE9E">
      <w:pPr>
        <w:pStyle w:val="22"/>
        <w:keepNext w:val="0"/>
        <w:keepLines w:val="0"/>
        <w:pageBreakBefore w:val="0"/>
        <w:kinsoku/>
        <w:wordWrap/>
        <w:overflowPunct/>
        <w:topLinePunct w:val="0"/>
        <w:autoSpaceDE/>
        <w:autoSpaceDN/>
        <w:bidi w:val="0"/>
        <w:adjustRightInd w:val="0"/>
        <w:spacing w:line="500" w:lineRule="exact"/>
        <w:jc w:val="both"/>
        <w:textAlignment w:val="auto"/>
        <w:rPr>
          <w:rFonts w:hint="eastAsia" w:ascii="宋体" w:hAnsi="宋体" w:eastAsia="宋体" w:cs="宋体"/>
          <w:b/>
          <w:bCs/>
          <w:color w:val="auto"/>
          <w:kern w:val="2"/>
          <w:sz w:val="24"/>
          <w:szCs w:val="24"/>
          <w:highlight w:val="none"/>
          <w:u w:val="single"/>
          <w:lang w:val="en-US" w:eastAsia="zh-CN" w:bidi="ar-SA"/>
        </w:rPr>
      </w:pPr>
      <w:r>
        <w:rPr>
          <w:rFonts w:hint="eastAsia" w:ascii="宋体" w:hAnsi="宋体" w:eastAsia="宋体" w:cs="宋体"/>
          <w:b/>
          <w:bCs/>
          <w:color w:val="auto"/>
          <w:kern w:val="2"/>
          <w:sz w:val="24"/>
          <w:szCs w:val="24"/>
          <w:highlight w:val="none"/>
          <w:u w:val="single"/>
          <w:lang w:val="en-US" w:eastAsia="zh-CN" w:bidi="ar-SA"/>
        </w:rPr>
        <w:t>评标委员会按照标项顺序（按照招标公告中列明的标项顺序）依次进行评审，中标顺序根据评审顺序，已中标的供应商不再推荐为下一标项的中标候选人，且不参与下一标项的评审。</w:t>
      </w:r>
    </w:p>
    <w:p w14:paraId="7E92A7F4">
      <w:pPr>
        <w:pStyle w:val="22"/>
        <w:keepNext w:val="0"/>
        <w:keepLines w:val="0"/>
        <w:pageBreakBefore w:val="0"/>
        <w:kinsoku/>
        <w:wordWrap/>
        <w:overflowPunct/>
        <w:topLinePunct w:val="0"/>
        <w:autoSpaceDE/>
        <w:autoSpaceDN/>
        <w:bidi w:val="0"/>
        <w:adjustRightInd w:val="0"/>
        <w:spacing w:line="500" w:lineRule="exact"/>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本项目淘汰率为不低于进入排序单位的20%，向上取整数。</w:t>
      </w:r>
      <w:r>
        <w:rPr>
          <w:rFonts w:hint="eastAsia" w:ascii="宋体" w:hAnsi="宋体" w:eastAsia="宋体" w:cs="宋体"/>
          <w:color w:val="auto"/>
          <w:kern w:val="2"/>
          <w:sz w:val="24"/>
          <w:szCs w:val="24"/>
          <w:highlight w:val="none"/>
          <w:lang w:val="en-US" w:eastAsia="zh-CN" w:bidi="ar-SA"/>
        </w:rPr>
        <w:t>例如：16*20%=3.2，淘汰4家；19*20%=3.8，淘汰4家。推荐上限分别为：标项一</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家入围供应商、标项二</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家入围供应商。即：评标委员会根据综合得分高到低排序从后往前按淘汰率淘汰单位，淘汰后剩余单位标项一多于</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家、标项二多于</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家的，按照综合得分从高到低分别选择</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家单位；淘汰后剩余单位标项一小于等于</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家、标项二小于等于</w:t>
      </w:r>
      <w:r>
        <w:rPr>
          <w:rFonts w:hint="eastAsia"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家的，全部入围。评标委员会根据得分</w:t>
      </w:r>
      <w:r>
        <w:rPr>
          <w:rFonts w:hint="eastAsia" w:cs="宋体"/>
          <w:color w:val="auto"/>
          <w:kern w:val="2"/>
          <w:sz w:val="24"/>
          <w:szCs w:val="24"/>
          <w:highlight w:val="none"/>
          <w:lang w:val="en-US" w:eastAsia="zh-CN" w:bidi="ar-SA"/>
        </w:rPr>
        <w:t>从</w:t>
      </w:r>
      <w:r>
        <w:rPr>
          <w:rFonts w:hint="eastAsia" w:ascii="宋体" w:hAnsi="宋体" w:eastAsia="宋体" w:cs="宋体"/>
          <w:color w:val="auto"/>
          <w:kern w:val="2"/>
          <w:sz w:val="24"/>
          <w:szCs w:val="24"/>
          <w:highlight w:val="none"/>
          <w:lang w:val="en-US" w:eastAsia="zh-CN" w:bidi="ar-SA"/>
        </w:rPr>
        <w:t>高到低排序，综合评分得分相同时，按照客观分由高到低排序；综合评分得分、客观分得分均相同的，以投标优惠率由高到低确定排序。</w:t>
      </w:r>
    </w:p>
    <w:p w14:paraId="06EEBC7A">
      <w:pPr>
        <w:pStyle w:val="22"/>
        <w:spacing w:line="360" w:lineRule="auto"/>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五、最高限价</w:t>
      </w:r>
    </w:p>
    <w:p w14:paraId="1596B7BE">
      <w:pPr>
        <w:pStyle w:val="13"/>
        <w:keepNext w:val="0"/>
        <w:keepLines w:val="0"/>
        <w:pageBreakBefore w:val="0"/>
        <w:kinsoku/>
        <w:wordWrap/>
        <w:overflowPunct/>
        <w:topLinePunct w:val="0"/>
        <w:autoSpaceDE/>
        <w:autoSpaceDN/>
        <w:bidi w:val="0"/>
        <w:adjustRightInd w:val="0"/>
        <w:spacing w:line="500" w:lineRule="exact"/>
        <w:jc w:val="both"/>
        <w:textAlignment w:val="auto"/>
        <w:rPr>
          <w:rFonts w:hint="eastAsia" w:ascii="宋体" w:hAnsi="宋体" w:eastAsia="宋体" w:cs="宋体"/>
          <w:b/>
          <w:bCs/>
          <w:snapToGrid/>
          <w:color w:val="auto"/>
          <w:kern w:val="2"/>
          <w:sz w:val="24"/>
          <w:szCs w:val="24"/>
          <w:highlight w:val="none"/>
          <w:lang w:val="en-US" w:eastAsia="zh-CN" w:bidi="ar-SA"/>
        </w:rPr>
      </w:pPr>
      <w:r>
        <w:rPr>
          <w:rFonts w:hint="eastAsia" w:ascii="宋体" w:hAnsi="宋体" w:eastAsia="宋体" w:cs="宋体"/>
          <w:b/>
          <w:bCs/>
          <w:snapToGrid/>
          <w:color w:val="auto"/>
          <w:kern w:val="2"/>
          <w:sz w:val="24"/>
          <w:szCs w:val="24"/>
          <w:highlight w:val="none"/>
          <w:lang w:val="en-US" w:eastAsia="zh-CN" w:bidi="ar-SA"/>
        </w:rPr>
        <w:t>本项目标项一、标项二基本审价费的投标最高限价为《基准收费标准》（附表1）设</w:t>
      </w:r>
      <w:r>
        <w:rPr>
          <w:rFonts w:hint="eastAsia" w:hAnsi="宋体" w:cs="宋体"/>
          <w:b/>
          <w:bCs/>
          <w:snapToGrid/>
          <w:color w:val="auto"/>
          <w:kern w:val="2"/>
          <w:sz w:val="24"/>
          <w:szCs w:val="24"/>
          <w:highlight w:val="none"/>
          <w:lang w:val="en-US" w:eastAsia="zh-CN" w:bidi="ar-SA"/>
        </w:rPr>
        <w:t>定价格的100%（即最低优惠率为0%）</w:t>
      </w:r>
      <w:r>
        <w:rPr>
          <w:rFonts w:hint="eastAsia" w:ascii="宋体" w:hAnsi="宋体" w:eastAsia="宋体" w:cs="宋体"/>
          <w:b/>
          <w:bCs/>
          <w:snapToGrid/>
          <w:color w:val="auto"/>
          <w:kern w:val="2"/>
          <w:sz w:val="24"/>
          <w:szCs w:val="24"/>
          <w:highlight w:val="none"/>
          <w:lang w:val="en-US" w:eastAsia="zh-CN" w:bidi="ar-SA"/>
        </w:rPr>
        <w:t>。单个项目</w:t>
      </w:r>
      <w:r>
        <w:rPr>
          <w:rFonts w:hint="eastAsia" w:hAnsi="宋体" w:cs="宋体"/>
          <w:b/>
          <w:bCs/>
          <w:snapToGrid/>
          <w:color w:val="auto"/>
          <w:kern w:val="2"/>
          <w:sz w:val="24"/>
          <w:szCs w:val="24"/>
          <w:highlight w:val="none"/>
          <w:lang w:val="en-US" w:eastAsia="zh-CN" w:bidi="ar-SA"/>
        </w:rPr>
        <w:t>基本审价费</w:t>
      </w:r>
      <w:r>
        <w:rPr>
          <w:rFonts w:hint="eastAsia" w:ascii="宋体" w:hAnsi="宋体" w:eastAsia="宋体" w:cs="宋体"/>
          <w:b/>
          <w:bCs/>
          <w:snapToGrid/>
          <w:color w:val="auto"/>
          <w:kern w:val="2"/>
          <w:sz w:val="24"/>
          <w:szCs w:val="24"/>
          <w:highlight w:val="none"/>
          <w:lang w:val="en-US" w:eastAsia="zh-CN" w:bidi="ar-SA"/>
        </w:rPr>
        <w:t>高于等于 49.99 万元则按 49.99 万元计取。</w:t>
      </w:r>
    </w:p>
    <w:p w14:paraId="792BBECA">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both"/>
        <w:textAlignment w:val="auto"/>
        <w:rPr>
          <w:rFonts w:hint="default"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结算项目</w:t>
      </w:r>
      <w:r>
        <w:rPr>
          <w:rFonts w:hint="default" w:ascii="宋体" w:hAnsi="宋体" w:eastAsia="宋体" w:cs="宋体"/>
          <w:snapToGrid/>
          <w:color w:val="auto"/>
          <w:kern w:val="2"/>
          <w:sz w:val="24"/>
          <w:szCs w:val="24"/>
          <w:highlight w:val="none"/>
          <w:lang w:val="en-US" w:eastAsia="zh-CN" w:bidi="ar-SA"/>
        </w:rPr>
        <w:t>追加费不纳入投标报价</w:t>
      </w:r>
      <w:r>
        <w:rPr>
          <w:rFonts w:hint="eastAsia" w:ascii="宋体" w:hAnsi="宋体" w:eastAsia="宋体" w:cs="宋体"/>
          <w:snapToGrid/>
          <w:color w:val="auto"/>
          <w:kern w:val="2"/>
          <w:sz w:val="24"/>
          <w:szCs w:val="24"/>
          <w:highlight w:val="none"/>
          <w:lang w:val="en-US" w:eastAsia="zh-CN" w:bidi="ar-SA"/>
        </w:rPr>
        <w:t>，</w:t>
      </w:r>
      <w:r>
        <w:rPr>
          <w:rFonts w:hint="default" w:ascii="宋体" w:hAnsi="宋体" w:eastAsia="宋体" w:cs="宋体"/>
          <w:snapToGrid/>
          <w:color w:val="auto"/>
          <w:kern w:val="2"/>
          <w:sz w:val="24"/>
          <w:szCs w:val="24"/>
          <w:highlight w:val="none"/>
          <w:lang w:val="en-US" w:eastAsia="zh-CN" w:bidi="ar-SA"/>
        </w:rPr>
        <w:t>若初</w:t>
      </w:r>
      <w:r>
        <w:rPr>
          <w:rFonts w:hint="eastAsia" w:ascii="宋体" w:hAnsi="宋体" w:eastAsia="宋体" w:cs="宋体"/>
          <w:snapToGrid/>
          <w:color w:val="auto"/>
          <w:kern w:val="2"/>
          <w:sz w:val="24"/>
          <w:szCs w:val="24"/>
          <w:highlight w:val="none"/>
          <w:lang w:val="en-US" w:eastAsia="zh-CN" w:bidi="ar-SA"/>
        </w:rPr>
        <w:t>核</w:t>
      </w:r>
      <w:r>
        <w:rPr>
          <w:rFonts w:hint="default" w:ascii="宋体" w:hAnsi="宋体" w:eastAsia="宋体" w:cs="宋体"/>
          <w:snapToGrid/>
          <w:color w:val="auto"/>
          <w:kern w:val="2"/>
          <w:sz w:val="24"/>
          <w:szCs w:val="24"/>
          <w:highlight w:val="none"/>
          <w:lang w:val="en-US" w:eastAsia="zh-CN" w:bidi="ar-SA"/>
        </w:rPr>
        <w:t>、复核（或全面复核）的追加费总额超出项目追加费的，以项目追加费为上限，同时优先保障复核单位的追加费。</w:t>
      </w:r>
    </w:p>
    <w:p w14:paraId="230B0CF4">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both"/>
        <w:textAlignment w:val="auto"/>
        <w:rPr>
          <w:rFonts w:hint="default"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结算</w:t>
      </w:r>
      <w:r>
        <w:rPr>
          <w:rFonts w:hint="default" w:ascii="宋体" w:hAnsi="宋体" w:eastAsia="宋体" w:cs="宋体"/>
          <w:snapToGrid/>
          <w:color w:val="auto"/>
          <w:kern w:val="2"/>
          <w:sz w:val="24"/>
          <w:szCs w:val="24"/>
          <w:highlight w:val="none"/>
          <w:lang w:val="en-US" w:eastAsia="zh-CN" w:bidi="ar-SA"/>
        </w:rPr>
        <w:t xml:space="preserve">项目追加费=[(核减额-送审额*5%）]*5% +核增额*5% </w:t>
      </w:r>
    </w:p>
    <w:p w14:paraId="413D37C1">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both"/>
        <w:textAlignment w:val="auto"/>
        <w:rPr>
          <w:rFonts w:hint="default" w:ascii="宋体" w:hAnsi="宋体" w:eastAsia="宋体" w:cs="宋体"/>
          <w:snapToGrid/>
          <w:color w:val="auto"/>
          <w:kern w:val="2"/>
          <w:sz w:val="24"/>
          <w:szCs w:val="24"/>
          <w:highlight w:val="none"/>
          <w:lang w:val="en-US" w:eastAsia="zh-CN" w:bidi="ar-SA"/>
        </w:rPr>
      </w:pPr>
      <w:r>
        <w:rPr>
          <w:rFonts w:hint="default" w:ascii="宋体" w:hAnsi="宋体" w:eastAsia="宋体" w:cs="宋体"/>
          <w:snapToGrid/>
          <w:color w:val="auto"/>
          <w:kern w:val="2"/>
          <w:sz w:val="24"/>
          <w:szCs w:val="24"/>
          <w:highlight w:val="none"/>
          <w:lang w:val="en-US" w:eastAsia="zh-CN" w:bidi="ar-SA"/>
        </w:rPr>
        <w:t>若公式中核减额-送审额*5%≤0时，核减部分追加费按0计取，不与核增部分进行抵销。</w:t>
      </w:r>
    </w:p>
    <w:p w14:paraId="15037FC7">
      <w:pPr>
        <w:keepNext w:val="0"/>
        <w:keepLines w:val="0"/>
        <w:pageBreakBefore w:val="0"/>
        <w:widowControl w:val="0"/>
        <w:kinsoku/>
        <w:wordWrap/>
        <w:overflowPunct/>
        <w:topLinePunct w:val="0"/>
        <w:autoSpaceDE/>
        <w:autoSpaceDN/>
        <w:bidi w:val="0"/>
        <w:adjustRightInd w:val="0"/>
        <w:snapToGrid/>
        <w:spacing w:after="157" w:afterLines="50" w:line="500" w:lineRule="exact"/>
        <w:ind w:firstLine="480" w:firstLineChars="200"/>
        <w:jc w:val="both"/>
        <w:textAlignment w:val="auto"/>
        <w:rPr>
          <w:rFonts w:hint="default" w:ascii="宋体" w:hAnsi="宋体" w:eastAsia="宋体" w:cs="宋体"/>
          <w:snapToGrid/>
          <w:color w:val="auto"/>
          <w:kern w:val="2"/>
          <w:sz w:val="24"/>
          <w:szCs w:val="24"/>
          <w:highlight w:val="none"/>
          <w:lang w:val="en-US" w:eastAsia="zh-CN" w:bidi="ar-SA"/>
        </w:rPr>
      </w:pPr>
      <w:r>
        <w:rPr>
          <w:rFonts w:hint="default" w:ascii="宋体" w:hAnsi="宋体" w:eastAsia="宋体" w:cs="宋体"/>
          <w:snapToGrid/>
          <w:color w:val="auto"/>
          <w:kern w:val="2"/>
          <w:sz w:val="24"/>
          <w:szCs w:val="24"/>
          <w:highlight w:val="none"/>
          <w:lang w:val="en-US" w:eastAsia="zh-CN" w:bidi="ar-SA"/>
        </w:rPr>
        <w:t>结算审价费=基本审价费+追加费</w:t>
      </w:r>
    </w:p>
    <w:p w14:paraId="1EFCEED0">
      <w:pPr>
        <w:pStyle w:val="22"/>
        <w:spacing w:line="360" w:lineRule="auto"/>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六、支付形式</w:t>
      </w:r>
    </w:p>
    <w:p w14:paraId="2E304246">
      <w:pPr>
        <w:keepNext w:val="0"/>
        <w:keepLines w:val="0"/>
        <w:pageBreakBefore w:val="0"/>
        <w:widowControl w:val="0"/>
        <w:kinsoku/>
        <w:wordWrap/>
        <w:overflowPunct/>
        <w:topLinePunct w:val="0"/>
        <w:autoSpaceDE/>
        <w:autoSpaceDN/>
        <w:bidi w:val="0"/>
        <w:adjustRightInd w:val="0"/>
        <w:snapToGrid/>
        <w:spacing w:after="157" w:afterLines="50" w:line="500" w:lineRule="exact"/>
        <w:ind w:firstLine="480" w:firstLineChars="200"/>
        <w:jc w:val="both"/>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由征集人统一向供应商支付咨询服务费。支付方式为按季支付，具体付费时间按区财政局年度预算安排为准，其中代收代缴部分以实际上缴时间为准。供应商不得再向其他单位收取任何费用。</w:t>
      </w:r>
    </w:p>
    <w:p w14:paraId="7C3EE177">
      <w:pPr>
        <w:pStyle w:val="22"/>
        <w:spacing w:line="360" w:lineRule="auto"/>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七、服务要求</w:t>
      </w:r>
    </w:p>
    <w:p w14:paraId="21553AA0">
      <w:pPr>
        <w:pStyle w:val="22"/>
        <w:keepNext w:val="0"/>
        <w:keepLines w:val="0"/>
        <w:pageBreakBefore w:val="0"/>
        <w:kinsoku/>
        <w:wordWrap/>
        <w:overflowPunct/>
        <w:topLinePunct w:val="0"/>
        <w:autoSpaceDE/>
        <w:autoSpaceDN/>
        <w:bidi w:val="0"/>
        <w:adjustRightInd w:val="0"/>
        <w:spacing w:line="500" w:lineRule="exact"/>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1.服务质量要求</w:t>
      </w:r>
    </w:p>
    <w:p w14:paraId="2BE92F5F">
      <w:pPr>
        <w:pStyle w:val="22"/>
        <w:keepNext w:val="0"/>
        <w:keepLines w:val="0"/>
        <w:pageBreakBefore w:val="0"/>
        <w:kinsoku/>
        <w:wordWrap/>
        <w:overflowPunct/>
        <w:topLinePunct w:val="0"/>
        <w:autoSpaceDE/>
        <w:autoSpaceDN/>
        <w:bidi w:val="0"/>
        <w:adjustRightInd w:val="0"/>
        <w:spacing w:line="500" w:lineRule="exact"/>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1.1供应商应确保项目审核工作质量，按征集人时间要求完成审核工作。项目审核应当严格遵守国家有关法律、法规、制度及有关执业规范要求，供应商对审核意见的真实性、完整性、合法性、准确性负法律责任。</w:t>
      </w:r>
    </w:p>
    <w:p w14:paraId="58639E08">
      <w:pPr>
        <w:pStyle w:val="22"/>
        <w:keepNext w:val="0"/>
        <w:keepLines w:val="0"/>
        <w:pageBreakBefore w:val="0"/>
        <w:kinsoku/>
        <w:wordWrap/>
        <w:overflowPunct/>
        <w:topLinePunct w:val="0"/>
        <w:autoSpaceDE/>
        <w:autoSpaceDN/>
        <w:bidi w:val="0"/>
        <w:adjustRightInd w:val="0"/>
        <w:spacing w:line="500" w:lineRule="exact"/>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 xml:space="preserve">1.2供应商应建立三级复核制度,并在提交审核稿的同时提交内部复核流程意见单(需要三级签字盖章并签署明确复核意见)。 </w:t>
      </w:r>
    </w:p>
    <w:p w14:paraId="0F298084">
      <w:pPr>
        <w:pStyle w:val="22"/>
        <w:keepNext w:val="0"/>
        <w:keepLines w:val="0"/>
        <w:pageBreakBefore w:val="0"/>
        <w:kinsoku/>
        <w:wordWrap/>
        <w:overflowPunct/>
        <w:topLinePunct w:val="0"/>
        <w:autoSpaceDE/>
        <w:autoSpaceDN/>
        <w:bidi w:val="0"/>
        <w:adjustRightInd w:val="0"/>
        <w:spacing w:line="500" w:lineRule="exact"/>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 xml:space="preserve">1.3在完成项目审核时，供应商需出具审核报告，并按要求做好造价指标统计,并按照相关法律法规要求做好资料归档工作。 </w:t>
      </w:r>
    </w:p>
    <w:p w14:paraId="43B2015C">
      <w:pPr>
        <w:pStyle w:val="22"/>
        <w:keepNext w:val="0"/>
        <w:keepLines w:val="0"/>
        <w:pageBreakBefore w:val="0"/>
        <w:kinsoku/>
        <w:wordWrap/>
        <w:overflowPunct/>
        <w:topLinePunct w:val="0"/>
        <w:autoSpaceDE/>
        <w:autoSpaceDN/>
        <w:bidi w:val="0"/>
        <w:adjustRightInd w:val="0"/>
        <w:spacing w:line="500" w:lineRule="exact"/>
        <w:textAlignment w:val="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1.4供应商提交评审方案时确定审核人员名单，未经征集人同意不得随意更换审核人员。供应商对审核业务不得转包。</w:t>
      </w:r>
    </w:p>
    <w:p w14:paraId="16534307">
      <w:pPr>
        <w:pStyle w:val="23"/>
        <w:rPr>
          <w:rFonts w:hint="eastAsia"/>
          <w:color w:val="auto"/>
          <w:highlight w:val="none"/>
          <w:lang w:val="en-US" w:eastAsia="zh-CN"/>
        </w:rPr>
      </w:pPr>
    </w:p>
    <w:p w14:paraId="1C4E7198">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1.5考核按照《钱塘区限额以上政府投资项目委托评审管理细则》（钱评审发[202</w:t>
      </w:r>
      <w:r>
        <w:rPr>
          <w:rFonts w:hint="eastAsia" w:cs="宋体"/>
          <w:snapToGrid/>
          <w:color w:val="auto"/>
          <w:kern w:val="2"/>
          <w:sz w:val="24"/>
          <w:szCs w:val="24"/>
          <w:highlight w:val="none"/>
          <w:lang w:val="en-US" w:eastAsia="zh-CN" w:bidi="ar-SA"/>
        </w:rPr>
        <w:t>4</w:t>
      </w:r>
      <w:r>
        <w:rPr>
          <w:rFonts w:hint="eastAsia" w:ascii="宋体" w:hAnsi="宋体" w:eastAsia="宋体" w:cs="宋体"/>
          <w:snapToGrid/>
          <w:color w:val="auto"/>
          <w:kern w:val="2"/>
          <w:sz w:val="24"/>
          <w:szCs w:val="24"/>
          <w:highlight w:val="none"/>
          <w:lang w:val="en-US" w:eastAsia="zh-CN" w:bidi="ar-SA"/>
        </w:rPr>
        <w:t>]1号）执行。如钱塘区有新文件出台，按新文件执行。</w:t>
      </w:r>
    </w:p>
    <w:p w14:paraId="617D1E6E">
      <w:pPr>
        <w:pStyle w:val="22"/>
        <w:numPr>
          <w:ilvl w:val="0"/>
          <w:numId w:val="5"/>
        </w:numPr>
        <w:spacing w:line="360" w:lineRule="auto"/>
        <w:rPr>
          <w:rFonts w:hint="eastAsia" w:cs="宋体"/>
          <w:color w:val="auto"/>
          <w:highlight w:val="none"/>
        </w:rPr>
      </w:pPr>
      <w:r>
        <w:rPr>
          <w:rFonts w:hint="eastAsia" w:cs="宋体"/>
          <w:color w:val="auto"/>
          <w:highlight w:val="none"/>
        </w:rPr>
        <w:t>时限要求</w:t>
      </w:r>
    </w:p>
    <w:p w14:paraId="1FE8E096">
      <w:pPr>
        <w:pStyle w:val="2"/>
        <w:pageBreakBefore w:val="0"/>
        <w:widowControl w:val="0"/>
        <w:kinsoku/>
        <w:wordWrap/>
        <w:overflowPunct/>
        <w:topLinePunct w:val="0"/>
        <w:autoSpaceDE/>
        <w:autoSpaceDN/>
        <w:bidi w:val="0"/>
        <w:adjustRightInd w:val="0"/>
        <w:snapToGrid/>
        <w:spacing w:before="0" w:after="0" w:line="500" w:lineRule="exact"/>
        <w:ind w:left="0" w:leftChars="0" w:firstLine="0" w:firstLineChars="0"/>
        <w:jc w:val="center"/>
        <w:textAlignment w:val="auto"/>
        <w:rPr>
          <w:rFonts w:hint="default" w:ascii="宋体" w:hAnsi="宋体" w:eastAsia="宋体" w:cs="宋体"/>
          <w:b/>
          <w:bCs/>
          <w:snapToGrid/>
          <w:color w:val="auto"/>
          <w:kern w:val="2"/>
          <w:sz w:val="24"/>
          <w:szCs w:val="24"/>
          <w:highlight w:val="none"/>
          <w:lang w:val="en-US" w:eastAsia="zh-CN" w:bidi="ar-SA"/>
        </w:rPr>
      </w:pPr>
      <w:r>
        <w:rPr>
          <w:rFonts w:hint="eastAsia" w:ascii="宋体" w:hAnsi="宋体" w:eastAsia="宋体" w:cs="宋体"/>
          <w:b/>
          <w:bCs/>
          <w:snapToGrid/>
          <w:color w:val="auto"/>
          <w:kern w:val="2"/>
          <w:sz w:val="24"/>
          <w:szCs w:val="24"/>
          <w:highlight w:val="none"/>
          <w:lang w:val="en-US" w:eastAsia="zh-CN" w:bidi="ar-SA"/>
        </w:rPr>
        <w:t>项目审核时限</w:t>
      </w:r>
    </w:p>
    <w:p w14:paraId="306BFC43">
      <w:pPr>
        <w:pStyle w:val="23"/>
        <w:ind w:firstLine="6720" w:firstLineChars="2800"/>
        <w:rPr>
          <w:rFonts w:hint="eastAsia" w:ascii="宋体" w:hAnsi="宋体" w:eastAsia="宋体" w:cs="宋体"/>
          <w:b w:val="0"/>
          <w:bCs w:val="0"/>
          <w:snapToGrid/>
          <w:color w:val="auto"/>
          <w:kern w:val="2"/>
          <w:sz w:val="24"/>
          <w:szCs w:val="24"/>
          <w:highlight w:val="none"/>
          <w:lang w:val="en-US" w:eastAsia="zh-CN" w:bidi="ar-SA"/>
        </w:rPr>
      </w:pPr>
      <w:r>
        <w:rPr>
          <w:rFonts w:hint="eastAsia" w:ascii="宋体" w:hAnsi="宋体" w:eastAsia="宋体" w:cs="宋体"/>
          <w:b w:val="0"/>
          <w:bCs w:val="0"/>
          <w:snapToGrid/>
          <w:color w:val="auto"/>
          <w:kern w:val="2"/>
          <w:sz w:val="24"/>
          <w:szCs w:val="24"/>
          <w:highlight w:val="none"/>
          <w:lang w:val="en-US" w:eastAsia="zh-CN" w:bidi="ar-SA"/>
        </w:rPr>
        <w:t>单位：日历天</w:t>
      </w:r>
    </w:p>
    <w:tbl>
      <w:tblPr>
        <w:tblStyle w:val="5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346"/>
        <w:gridCol w:w="1706"/>
        <w:gridCol w:w="32"/>
        <w:gridCol w:w="1550"/>
        <w:gridCol w:w="1819"/>
        <w:gridCol w:w="1362"/>
      </w:tblGrid>
      <w:tr w14:paraId="07958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707" w:type="dxa"/>
            <w:noWrap w:val="0"/>
            <w:vAlign w:val="center"/>
          </w:tcPr>
          <w:p w14:paraId="76B666E1">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p>
          <w:p w14:paraId="50B56C78">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序号</w:t>
            </w:r>
          </w:p>
        </w:tc>
        <w:tc>
          <w:tcPr>
            <w:tcW w:w="1346" w:type="dxa"/>
            <w:tcBorders>
              <w:tl2br w:val="single" w:color="auto" w:sz="4" w:space="0"/>
            </w:tcBorders>
            <w:noWrap w:val="0"/>
            <w:vAlign w:val="center"/>
          </w:tcPr>
          <w:p w14:paraId="3B63B846">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送审额</w:t>
            </w:r>
          </w:p>
          <w:p w14:paraId="2EF5F426">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p>
          <w:p w14:paraId="55C85938">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p>
          <w:p w14:paraId="29BD0317">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p>
          <w:p w14:paraId="7F77998B">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项目类型</w:t>
            </w:r>
          </w:p>
        </w:tc>
        <w:tc>
          <w:tcPr>
            <w:tcW w:w="1706" w:type="dxa"/>
            <w:noWrap w:val="0"/>
            <w:vAlign w:val="center"/>
          </w:tcPr>
          <w:p w14:paraId="01B2C9E6">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p>
          <w:p w14:paraId="32A2DDA4">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1000万元-</w:t>
            </w:r>
            <w:r>
              <w:rPr>
                <w:rFonts w:hint="eastAsia" w:ascii="仿宋_GB2312" w:hAnsi="仿宋_GB2312" w:eastAsia="仿宋_GB2312" w:cs="仿宋_GB2312"/>
                <w:color w:val="auto"/>
                <w:kern w:val="0"/>
                <w:sz w:val="22"/>
                <w:szCs w:val="22"/>
                <w:highlight w:val="none"/>
                <w:lang w:val="en-US" w:eastAsia="zh-CN"/>
              </w:rPr>
              <w:t>5</w:t>
            </w:r>
            <w:r>
              <w:rPr>
                <w:rFonts w:hint="eastAsia" w:ascii="仿宋_GB2312" w:hAnsi="仿宋_GB2312" w:eastAsia="仿宋_GB2312" w:cs="仿宋_GB2312"/>
                <w:color w:val="auto"/>
                <w:kern w:val="0"/>
                <w:sz w:val="22"/>
                <w:szCs w:val="22"/>
                <w:highlight w:val="none"/>
              </w:rPr>
              <w:t>000万元（含）</w:t>
            </w:r>
          </w:p>
          <w:p w14:paraId="1773DDBA">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p>
        </w:tc>
        <w:tc>
          <w:tcPr>
            <w:tcW w:w="1582" w:type="dxa"/>
            <w:gridSpan w:val="2"/>
            <w:noWrap w:val="0"/>
            <w:vAlign w:val="center"/>
          </w:tcPr>
          <w:p w14:paraId="630F6D21">
            <w:pPr>
              <w:keepNext w:val="0"/>
              <w:keepLines w:val="0"/>
              <w:pageBreakBefore w:val="0"/>
              <w:tabs>
                <w:tab w:val="left" w:pos="0"/>
              </w:tabs>
              <w:kinsoku/>
              <w:wordWrap/>
              <w:overflowPunct/>
              <w:topLinePunct w:val="0"/>
              <w:autoSpaceDE/>
              <w:autoSpaceDN/>
              <w:bidi w:val="0"/>
              <w:adjustRightInd w:val="0"/>
              <w:snapToGrid/>
              <w:spacing w:line="300" w:lineRule="exact"/>
              <w:jc w:val="both"/>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5000万-10000万元（含）</w:t>
            </w:r>
          </w:p>
        </w:tc>
        <w:tc>
          <w:tcPr>
            <w:tcW w:w="1819" w:type="dxa"/>
            <w:noWrap w:val="0"/>
            <w:vAlign w:val="center"/>
          </w:tcPr>
          <w:p w14:paraId="76E7974B">
            <w:pPr>
              <w:keepNext w:val="0"/>
              <w:keepLines w:val="0"/>
              <w:pageBreakBefore w:val="0"/>
              <w:tabs>
                <w:tab w:val="left" w:pos="0"/>
              </w:tabs>
              <w:kinsoku/>
              <w:wordWrap/>
              <w:overflowPunct/>
              <w:topLinePunct w:val="0"/>
              <w:autoSpaceDE/>
              <w:autoSpaceDN/>
              <w:bidi w:val="0"/>
              <w:adjustRightInd w:val="0"/>
              <w:snapToGrid/>
              <w:spacing w:line="300" w:lineRule="exact"/>
              <w:jc w:val="left"/>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1000</w:t>
            </w:r>
            <w:r>
              <w:rPr>
                <w:rFonts w:hint="eastAsia" w:ascii="仿宋_GB2312" w:hAnsi="仿宋_GB2312" w:eastAsia="仿宋_GB2312" w:cs="仿宋_GB2312"/>
                <w:color w:val="auto"/>
                <w:kern w:val="0"/>
                <w:sz w:val="22"/>
                <w:szCs w:val="22"/>
                <w:highlight w:val="none"/>
                <w:lang w:val="en-US" w:eastAsia="zh-CN"/>
              </w:rPr>
              <w:t>0</w:t>
            </w:r>
            <w:r>
              <w:rPr>
                <w:rFonts w:hint="eastAsia" w:ascii="仿宋_GB2312" w:hAnsi="仿宋_GB2312" w:eastAsia="仿宋_GB2312" w:cs="仿宋_GB2312"/>
                <w:color w:val="auto"/>
                <w:kern w:val="0"/>
                <w:sz w:val="22"/>
                <w:szCs w:val="22"/>
                <w:highlight w:val="none"/>
              </w:rPr>
              <w:t>万元-</w:t>
            </w:r>
            <w:r>
              <w:rPr>
                <w:rFonts w:hint="eastAsia" w:ascii="仿宋_GB2312" w:hAnsi="仿宋_GB2312" w:eastAsia="仿宋_GB2312" w:cs="仿宋_GB2312"/>
                <w:color w:val="auto"/>
                <w:kern w:val="0"/>
                <w:sz w:val="22"/>
                <w:szCs w:val="22"/>
                <w:highlight w:val="none"/>
                <w:lang w:eastAsia="zh-CN"/>
              </w:rPr>
              <w:t>5</w:t>
            </w:r>
            <w:r>
              <w:rPr>
                <w:rFonts w:hint="eastAsia" w:ascii="仿宋_GB2312" w:hAnsi="仿宋_GB2312" w:eastAsia="仿宋_GB2312" w:cs="仿宋_GB2312"/>
                <w:color w:val="auto"/>
                <w:kern w:val="0"/>
                <w:sz w:val="22"/>
                <w:szCs w:val="22"/>
                <w:highlight w:val="none"/>
                <w:lang w:val="en-US" w:eastAsia="zh-CN"/>
              </w:rPr>
              <w:t>0</w:t>
            </w:r>
            <w:r>
              <w:rPr>
                <w:rFonts w:hint="eastAsia" w:ascii="仿宋_GB2312" w:hAnsi="仿宋_GB2312" w:eastAsia="仿宋_GB2312" w:cs="仿宋_GB2312"/>
                <w:color w:val="auto"/>
                <w:kern w:val="0"/>
                <w:sz w:val="22"/>
                <w:szCs w:val="22"/>
                <w:highlight w:val="none"/>
              </w:rPr>
              <w:t>000万元（含）</w:t>
            </w:r>
          </w:p>
        </w:tc>
        <w:tc>
          <w:tcPr>
            <w:tcW w:w="1362" w:type="dxa"/>
            <w:noWrap w:val="0"/>
            <w:vAlign w:val="center"/>
          </w:tcPr>
          <w:p w14:paraId="1647BA38">
            <w:pPr>
              <w:keepNext w:val="0"/>
              <w:keepLines w:val="0"/>
              <w:pageBreakBefore w:val="0"/>
              <w:tabs>
                <w:tab w:val="left" w:pos="0"/>
              </w:tabs>
              <w:kinsoku/>
              <w:wordWrap/>
              <w:overflowPunct/>
              <w:topLinePunct w:val="0"/>
              <w:autoSpaceDE/>
              <w:autoSpaceDN/>
              <w:bidi w:val="0"/>
              <w:adjustRightInd w:val="0"/>
              <w:snapToGrid/>
              <w:spacing w:line="300" w:lineRule="exact"/>
              <w:jc w:val="both"/>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eastAsia="zh-CN"/>
              </w:rPr>
              <w:t>5</w:t>
            </w:r>
            <w:r>
              <w:rPr>
                <w:rFonts w:hint="eastAsia" w:ascii="仿宋_GB2312" w:hAnsi="仿宋_GB2312" w:eastAsia="仿宋_GB2312" w:cs="仿宋_GB2312"/>
                <w:color w:val="auto"/>
                <w:kern w:val="0"/>
                <w:sz w:val="22"/>
                <w:szCs w:val="22"/>
                <w:highlight w:val="none"/>
                <w:lang w:val="en-US" w:eastAsia="zh-CN"/>
              </w:rPr>
              <w:t>0</w:t>
            </w:r>
            <w:r>
              <w:rPr>
                <w:rFonts w:hint="eastAsia" w:ascii="仿宋_GB2312" w:hAnsi="仿宋_GB2312" w:eastAsia="仿宋_GB2312" w:cs="仿宋_GB2312"/>
                <w:color w:val="auto"/>
                <w:kern w:val="0"/>
                <w:sz w:val="22"/>
                <w:szCs w:val="22"/>
                <w:highlight w:val="none"/>
              </w:rPr>
              <w:t>000万元以上</w:t>
            </w:r>
          </w:p>
        </w:tc>
      </w:tr>
      <w:tr w14:paraId="1CF3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707" w:type="dxa"/>
            <w:noWrap w:val="0"/>
            <w:vAlign w:val="center"/>
          </w:tcPr>
          <w:p w14:paraId="6DF5A3AE">
            <w:pPr>
              <w:keepNext w:val="0"/>
              <w:keepLines w:val="0"/>
              <w:pageBreakBefore w:val="0"/>
              <w:tabs>
                <w:tab w:val="left" w:pos="0"/>
              </w:tabs>
              <w:kinsoku/>
              <w:wordWrap/>
              <w:overflowPunct/>
              <w:topLinePunct w:val="0"/>
              <w:autoSpaceDE/>
              <w:autoSpaceDN/>
              <w:bidi w:val="0"/>
              <w:adjustRightInd w:val="0"/>
              <w:snapToGrid/>
              <w:spacing w:line="300" w:lineRule="exact"/>
              <w:ind w:firstLine="220" w:firstLineChars="100"/>
              <w:jc w:val="both"/>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w:t>
            </w:r>
          </w:p>
        </w:tc>
        <w:tc>
          <w:tcPr>
            <w:tcW w:w="1346" w:type="dxa"/>
            <w:noWrap w:val="0"/>
            <w:vAlign w:val="center"/>
          </w:tcPr>
          <w:p w14:paraId="75082590">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概算复核</w:t>
            </w:r>
          </w:p>
        </w:tc>
        <w:tc>
          <w:tcPr>
            <w:tcW w:w="6469" w:type="dxa"/>
            <w:gridSpan w:val="5"/>
            <w:noWrap w:val="0"/>
            <w:vAlign w:val="center"/>
          </w:tcPr>
          <w:p w14:paraId="1EE9749D">
            <w:pPr>
              <w:keepNext w:val="0"/>
              <w:keepLines w:val="0"/>
              <w:pageBreakBefore w:val="0"/>
              <w:tabs>
                <w:tab w:val="left" w:pos="0"/>
              </w:tabs>
              <w:kinsoku/>
              <w:wordWrap/>
              <w:overflowPunct/>
              <w:topLinePunct w:val="0"/>
              <w:autoSpaceDE/>
              <w:autoSpaceDN/>
              <w:bidi w:val="0"/>
              <w:adjustRightInd w:val="0"/>
              <w:snapToGrid/>
              <w:spacing w:line="300" w:lineRule="exact"/>
              <w:ind w:firstLine="2420" w:firstLineChars="1100"/>
              <w:jc w:val="both"/>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w:t>
            </w:r>
            <w:r>
              <w:rPr>
                <w:rFonts w:hint="eastAsia" w:ascii="仿宋_GB2312" w:hAnsi="仿宋_GB2312" w:eastAsia="仿宋_GB2312" w:cs="仿宋_GB2312"/>
                <w:color w:val="auto"/>
                <w:kern w:val="0"/>
                <w:sz w:val="22"/>
                <w:szCs w:val="22"/>
                <w:highlight w:val="none"/>
                <w:lang w:eastAsia="zh-CN"/>
              </w:rPr>
              <w:t>个工作日</w:t>
            </w:r>
          </w:p>
        </w:tc>
      </w:tr>
      <w:tr w14:paraId="1DFC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707" w:type="dxa"/>
            <w:noWrap w:val="0"/>
            <w:vAlign w:val="center"/>
          </w:tcPr>
          <w:p w14:paraId="11493216">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w:t>
            </w:r>
          </w:p>
        </w:tc>
        <w:tc>
          <w:tcPr>
            <w:tcW w:w="1346" w:type="dxa"/>
            <w:noWrap w:val="0"/>
            <w:vAlign w:val="center"/>
          </w:tcPr>
          <w:p w14:paraId="334D9745">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结算初核</w:t>
            </w:r>
          </w:p>
        </w:tc>
        <w:tc>
          <w:tcPr>
            <w:tcW w:w="1738" w:type="dxa"/>
            <w:gridSpan w:val="2"/>
            <w:noWrap w:val="0"/>
            <w:vAlign w:val="center"/>
          </w:tcPr>
          <w:p w14:paraId="440B37BE">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60</w:t>
            </w:r>
          </w:p>
        </w:tc>
        <w:tc>
          <w:tcPr>
            <w:tcW w:w="1550" w:type="dxa"/>
            <w:noWrap w:val="0"/>
            <w:vAlign w:val="center"/>
          </w:tcPr>
          <w:p w14:paraId="61CDCBD2">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9</w:t>
            </w:r>
            <w:r>
              <w:rPr>
                <w:rFonts w:hint="eastAsia" w:ascii="仿宋_GB2312" w:hAnsi="仿宋_GB2312" w:eastAsia="仿宋_GB2312" w:cs="仿宋_GB2312"/>
                <w:color w:val="auto"/>
                <w:kern w:val="0"/>
                <w:sz w:val="22"/>
                <w:szCs w:val="22"/>
                <w:highlight w:val="none"/>
              </w:rPr>
              <w:t>0</w:t>
            </w:r>
          </w:p>
        </w:tc>
        <w:tc>
          <w:tcPr>
            <w:tcW w:w="1819" w:type="dxa"/>
            <w:noWrap w:val="0"/>
            <w:vAlign w:val="center"/>
          </w:tcPr>
          <w:p w14:paraId="27A5D60E">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default"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eastAsia="zh-CN"/>
              </w:rPr>
              <w:t>1</w:t>
            </w:r>
            <w:r>
              <w:rPr>
                <w:rFonts w:hint="eastAsia" w:ascii="仿宋_GB2312" w:hAnsi="仿宋_GB2312" w:eastAsia="仿宋_GB2312" w:cs="仿宋_GB2312"/>
                <w:color w:val="auto"/>
                <w:kern w:val="0"/>
                <w:sz w:val="22"/>
                <w:szCs w:val="22"/>
                <w:highlight w:val="none"/>
                <w:lang w:val="en-US" w:eastAsia="zh-CN"/>
              </w:rPr>
              <w:t>20</w:t>
            </w:r>
          </w:p>
        </w:tc>
        <w:tc>
          <w:tcPr>
            <w:tcW w:w="1362" w:type="dxa"/>
            <w:noWrap w:val="0"/>
            <w:vAlign w:val="center"/>
          </w:tcPr>
          <w:p w14:paraId="59BB8484">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default"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eastAsia="zh-CN"/>
              </w:rPr>
              <w:t>1</w:t>
            </w:r>
            <w:r>
              <w:rPr>
                <w:rFonts w:hint="eastAsia" w:ascii="仿宋_GB2312" w:hAnsi="仿宋_GB2312" w:eastAsia="仿宋_GB2312" w:cs="仿宋_GB2312"/>
                <w:color w:val="auto"/>
                <w:kern w:val="0"/>
                <w:sz w:val="22"/>
                <w:szCs w:val="22"/>
                <w:highlight w:val="none"/>
                <w:lang w:val="en-US" w:eastAsia="zh-CN"/>
              </w:rPr>
              <w:t>50</w:t>
            </w:r>
          </w:p>
        </w:tc>
      </w:tr>
      <w:tr w14:paraId="6C5F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07" w:type="dxa"/>
            <w:noWrap w:val="0"/>
            <w:vAlign w:val="center"/>
          </w:tcPr>
          <w:p w14:paraId="24100742">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w:t>
            </w:r>
          </w:p>
        </w:tc>
        <w:tc>
          <w:tcPr>
            <w:tcW w:w="1346" w:type="dxa"/>
            <w:noWrap w:val="0"/>
            <w:vAlign w:val="center"/>
          </w:tcPr>
          <w:p w14:paraId="453E855E">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结算复核</w:t>
            </w:r>
          </w:p>
        </w:tc>
        <w:tc>
          <w:tcPr>
            <w:tcW w:w="1738" w:type="dxa"/>
            <w:gridSpan w:val="2"/>
            <w:noWrap w:val="0"/>
            <w:vAlign w:val="center"/>
          </w:tcPr>
          <w:p w14:paraId="5C632215">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12</w:t>
            </w:r>
          </w:p>
        </w:tc>
        <w:tc>
          <w:tcPr>
            <w:tcW w:w="1550" w:type="dxa"/>
            <w:noWrap w:val="0"/>
            <w:vAlign w:val="center"/>
          </w:tcPr>
          <w:p w14:paraId="7640E761">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18</w:t>
            </w:r>
          </w:p>
        </w:tc>
        <w:tc>
          <w:tcPr>
            <w:tcW w:w="1819" w:type="dxa"/>
            <w:noWrap w:val="0"/>
            <w:vAlign w:val="center"/>
          </w:tcPr>
          <w:p w14:paraId="2CE1155F">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24</w:t>
            </w:r>
          </w:p>
        </w:tc>
        <w:tc>
          <w:tcPr>
            <w:tcW w:w="1362" w:type="dxa"/>
            <w:noWrap w:val="0"/>
            <w:vAlign w:val="center"/>
          </w:tcPr>
          <w:p w14:paraId="31BEE790">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30</w:t>
            </w:r>
          </w:p>
        </w:tc>
      </w:tr>
      <w:tr w14:paraId="3B75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07" w:type="dxa"/>
            <w:noWrap w:val="0"/>
            <w:vAlign w:val="center"/>
          </w:tcPr>
          <w:p w14:paraId="55B32623">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w:t>
            </w:r>
          </w:p>
        </w:tc>
        <w:tc>
          <w:tcPr>
            <w:tcW w:w="1346" w:type="dxa"/>
            <w:noWrap w:val="0"/>
            <w:vAlign w:val="center"/>
          </w:tcPr>
          <w:p w14:paraId="7543BAA9">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结算全面复核</w:t>
            </w:r>
          </w:p>
        </w:tc>
        <w:tc>
          <w:tcPr>
            <w:tcW w:w="1738" w:type="dxa"/>
            <w:gridSpan w:val="2"/>
            <w:noWrap w:val="0"/>
            <w:vAlign w:val="center"/>
          </w:tcPr>
          <w:p w14:paraId="3DE3D49E">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36</w:t>
            </w:r>
          </w:p>
        </w:tc>
        <w:tc>
          <w:tcPr>
            <w:tcW w:w="1550" w:type="dxa"/>
            <w:noWrap w:val="0"/>
            <w:vAlign w:val="center"/>
          </w:tcPr>
          <w:p w14:paraId="509DFC38">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54</w:t>
            </w:r>
          </w:p>
        </w:tc>
        <w:tc>
          <w:tcPr>
            <w:tcW w:w="1819" w:type="dxa"/>
            <w:noWrap w:val="0"/>
            <w:vAlign w:val="center"/>
          </w:tcPr>
          <w:p w14:paraId="57C45E4E">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72</w:t>
            </w:r>
          </w:p>
        </w:tc>
        <w:tc>
          <w:tcPr>
            <w:tcW w:w="1362" w:type="dxa"/>
            <w:noWrap w:val="0"/>
            <w:vAlign w:val="center"/>
          </w:tcPr>
          <w:p w14:paraId="29373AD9">
            <w:pPr>
              <w:keepNext w:val="0"/>
              <w:keepLines w:val="0"/>
              <w:pageBreakBefore w:val="0"/>
              <w:tabs>
                <w:tab w:val="left" w:pos="0"/>
              </w:tabs>
              <w:kinsoku/>
              <w:wordWrap/>
              <w:overflowPunct/>
              <w:topLinePunct w:val="0"/>
              <w:autoSpaceDE/>
              <w:autoSpaceDN/>
              <w:bidi w:val="0"/>
              <w:adjustRightInd w:val="0"/>
              <w:snapToGrid/>
              <w:spacing w:line="300" w:lineRule="exact"/>
              <w:jc w:val="center"/>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lang w:val="en-US" w:eastAsia="zh-CN"/>
              </w:rPr>
              <w:t>90</w:t>
            </w:r>
          </w:p>
        </w:tc>
      </w:tr>
    </w:tbl>
    <w:p w14:paraId="660CF4A5">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注：1.从收到完整的项目资料之日起算，上述审核时限除概算复核为工作日外，其余均为法定节假日除外的日历天。</w:t>
      </w:r>
    </w:p>
    <w:p w14:paraId="2B92D6C1">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2.上述审核时限要求是指完成各项目类型所需工作（进入下一个审核环节前所有工作），并上传政府投资项目评审系统。</w:t>
      </w:r>
    </w:p>
    <w:p w14:paraId="5B6DEBAB">
      <w:pPr>
        <w:pStyle w:val="22"/>
        <w:spacing w:line="360" w:lineRule="auto"/>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八、供应商资信要求</w:t>
      </w:r>
    </w:p>
    <w:p w14:paraId="23E17B9E">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1.鼓励供应商具有有效的质量管理体系认证、环境管理体系认证、职业健康安全管理体系认证。</w:t>
      </w:r>
    </w:p>
    <w:p w14:paraId="674E0022">
      <w:pPr>
        <w:pStyle w:val="22"/>
        <w:spacing w:line="360" w:lineRule="auto"/>
        <w:rPr>
          <w:rFonts w:hint="default"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2.鼓励供应商自202</w:t>
      </w:r>
      <w:r>
        <w:rPr>
          <w:rFonts w:hint="eastAsia" w:cs="宋体"/>
          <w:snapToGrid/>
          <w:color w:val="auto"/>
          <w:kern w:val="2"/>
          <w:sz w:val="24"/>
          <w:szCs w:val="24"/>
          <w:highlight w:val="none"/>
          <w:lang w:val="en-US" w:eastAsia="zh-CN" w:bidi="ar-SA"/>
        </w:rPr>
        <w:t>3</w:t>
      </w:r>
      <w:r>
        <w:rPr>
          <w:rFonts w:hint="eastAsia" w:ascii="宋体" w:hAnsi="宋体" w:eastAsia="宋体" w:cs="宋体"/>
          <w:snapToGrid/>
          <w:color w:val="auto"/>
          <w:kern w:val="2"/>
          <w:sz w:val="24"/>
          <w:szCs w:val="24"/>
          <w:highlight w:val="none"/>
          <w:lang w:val="en-US" w:eastAsia="zh-CN" w:bidi="ar-SA"/>
        </w:rPr>
        <w:t>年1月1日（时间以审核报告出具日期为准）以来具有丰富的政府投资类项目概算复核经验。</w:t>
      </w:r>
    </w:p>
    <w:p w14:paraId="2A6C373F">
      <w:pPr>
        <w:pStyle w:val="22"/>
        <w:spacing w:line="360" w:lineRule="auto"/>
        <w:ind w:firstLine="482"/>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九、项目组人员组成及技术保障要</w:t>
      </w:r>
      <w:r>
        <w:rPr>
          <w:rFonts w:hint="eastAsia" w:cs="宋体"/>
          <w:b/>
          <w:bCs/>
          <w:color w:val="auto"/>
          <w:highlight w:val="none"/>
          <w:lang w:val="en-US" w:eastAsia="zh-CN"/>
        </w:rPr>
        <w:t>求</w:t>
      </w:r>
    </w:p>
    <w:p w14:paraId="4CAF5DE0">
      <w:pPr>
        <w:pStyle w:val="22"/>
        <w:spacing w:line="360" w:lineRule="auto"/>
        <w:rPr>
          <w:rFonts w:hint="default"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1.项目组成员包括：项目负责人1名，技术负责人1名，项目组其他成员不得</w:t>
      </w:r>
      <w:r>
        <w:rPr>
          <w:rFonts w:hint="eastAsia" w:cs="宋体"/>
          <w:snapToGrid/>
          <w:color w:val="auto"/>
          <w:kern w:val="2"/>
          <w:sz w:val="24"/>
          <w:szCs w:val="24"/>
          <w:highlight w:val="none"/>
          <w:lang w:val="en-US" w:eastAsia="zh-CN" w:bidi="ar-SA"/>
        </w:rPr>
        <w:t>少于</w:t>
      </w:r>
      <w:r>
        <w:rPr>
          <w:rFonts w:hint="eastAsia" w:ascii="宋体" w:hAnsi="宋体" w:eastAsia="宋体" w:cs="宋体"/>
          <w:snapToGrid/>
          <w:color w:val="auto"/>
          <w:kern w:val="2"/>
          <w:sz w:val="24"/>
          <w:szCs w:val="24"/>
          <w:highlight w:val="none"/>
          <w:lang w:val="en-US" w:eastAsia="zh-CN" w:bidi="ar-SA"/>
        </w:rPr>
        <w:t>6名，拟派项目组成员须为本单位在职人员或实际持证在岗的退休返聘人员且至少具有二级注册造价师职业</w:t>
      </w:r>
      <w:r>
        <w:rPr>
          <w:rFonts w:hint="eastAsia" w:cs="宋体"/>
          <w:snapToGrid/>
          <w:color w:val="auto"/>
          <w:kern w:val="2"/>
          <w:sz w:val="24"/>
          <w:szCs w:val="24"/>
          <w:highlight w:val="none"/>
          <w:lang w:val="en-US" w:eastAsia="zh-CN" w:bidi="ar-SA"/>
        </w:rPr>
        <w:t>资格</w:t>
      </w:r>
      <w:r>
        <w:rPr>
          <w:rFonts w:hint="eastAsia" w:ascii="宋体" w:hAnsi="宋体" w:eastAsia="宋体" w:cs="宋体"/>
          <w:snapToGrid/>
          <w:color w:val="auto"/>
          <w:kern w:val="2"/>
          <w:sz w:val="24"/>
          <w:szCs w:val="24"/>
          <w:highlight w:val="none"/>
          <w:lang w:val="en-US" w:eastAsia="zh-CN" w:bidi="ar-SA"/>
        </w:rPr>
        <w:t>。评审小组经征集人审核通过后上岗，原则上评审小组人员不予调整。</w:t>
      </w:r>
    </w:p>
    <w:p w14:paraId="430630C7">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2.鼓励拟派项目负责人（须为本单位在职人员且不得与项目技术负责人兼任）具有建设工程相关专业高级职称资格，具有一级注册造价工程师职业资格，具有五年及以上的造价从业经验。</w:t>
      </w:r>
    </w:p>
    <w:p w14:paraId="69070F16">
      <w:pPr>
        <w:pStyle w:val="22"/>
        <w:spacing w:line="360" w:lineRule="auto"/>
        <w:ind w:firstLine="480" w:firstLineChars="200"/>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3.鼓励拟派项目技术负责人（须为本单位在职人员且不得与项目负责人兼任）具有建设工程相关专业高级职称资格，具有一级注册造价工程师职业资格，具有五年及以上的造价从业经验。</w:t>
      </w:r>
    </w:p>
    <w:p w14:paraId="72C109AF">
      <w:pPr>
        <w:pStyle w:val="22"/>
        <w:spacing w:line="360" w:lineRule="auto"/>
        <w:ind w:firstLine="480" w:firstLineChars="200"/>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4.鼓励项目组成员参与过类似项目[包括政府投资项目价款审核相关部门（如财政部门、住建部门等）委托的政府投资项目概算审核、工程价款结算审核和工程价款结算复审]且经验丰富。</w:t>
      </w:r>
    </w:p>
    <w:p w14:paraId="38C7551E">
      <w:pPr>
        <w:pStyle w:val="22"/>
        <w:spacing w:line="360" w:lineRule="auto"/>
        <w:ind w:firstLine="482"/>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十、考核标准</w:t>
      </w:r>
    </w:p>
    <w:p w14:paraId="30EFE699">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（1）具体考核标准详见《钱塘区限额以上政府投资项目委托评审管理细则》（钱评审发[202</w:t>
      </w:r>
      <w:r>
        <w:rPr>
          <w:rFonts w:hint="eastAsia" w:cs="宋体"/>
          <w:snapToGrid/>
          <w:color w:val="auto"/>
          <w:kern w:val="2"/>
          <w:sz w:val="24"/>
          <w:szCs w:val="24"/>
          <w:highlight w:val="none"/>
          <w:lang w:val="en-US" w:eastAsia="zh-CN" w:bidi="ar-SA"/>
        </w:rPr>
        <w:t>4</w:t>
      </w:r>
      <w:r>
        <w:rPr>
          <w:rFonts w:hint="eastAsia" w:ascii="宋体" w:hAnsi="宋体" w:eastAsia="宋体" w:cs="宋体"/>
          <w:snapToGrid/>
          <w:color w:val="auto"/>
          <w:kern w:val="2"/>
          <w:sz w:val="24"/>
          <w:szCs w:val="24"/>
          <w:highlight w:val="none"/>
          <w:lang w:val="en-US" w:eastAsia="zh-CN" w:bidi="ar-SA"/>
        </w:rPr>
        <w:t>]1号）。如钱塘区有新文件出台，按新文件执行。</w:t>
      </w:r>
    </w:p>
    <w:p w14:paraId="47E061C0">
      <w:pPr>
        <w:pStyle w:val="22"/>
        <w:spacing w:line="360" w:lineRule="auto"/>
        <w:rPr>
          <w:rFonts w:hint="default" w:ascii="宋体" w:hAnsi="宋体" w:eastAsia="宋体" w:cs="宋体"/>
          <w:b/>
          <w:bCs/>
          <w:snapToGrid/>
          <w:color w:val="auto"/>
          <w:kern w:val="2"/>
          <w:sz w:val="24"/>
          <w:szCs w:val="24"/>
          <w:highlight w:val="none"/>
          <w:lang w:val="en-US" w:eastAsia="zh-CN" w:bidi="ar-SA"/>
        </w:rPr>
      </w:pPr>
      <w:r>
        <w:rPr>
          <w:rFonts w:hint="eastAsia" w:ascii="宋体" w:hAnsi="宋体" w:eastAsia="宋体" w:cs="宋体"/>
          <w:b/>
          <w:bCs/>
          <w:snapToGrid/>
          <w:color w:val="auto"/>
          <w:kern w:val="2"/>
          <w:sz w:val="24"/>
          <w:szCs w:val="24"/>
          <w:highlight w:val="none"/>
          <w:lang w:val="en-US" w:eastAsia="zh-CN" w:bidi="ar-SA"/>
        </w:rPr>
        <w:t>（2）误差率的扣费标准，当复核误差率≤对应的承诺误差率，不扣应付审价费；当承诺误差率&lt;复核误差率≤规定的审核综合误差率，按应付审价费的30%扣减；复核误差率&gt;规定的审核综合误差率，全额扣减应付审价费。</w:t>
      </w:r>
    </w:p>
    <w:p w14:paraId="014DCA70">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综合误差率是指因工程量计算错误、单价取定和调整错误、措施项目计算和调整错误、其他项目及规费和税金取定、计算错误等累计误差与修正后的结算审查结论性总额的比率。上述所指的累计误差是核增额与核减额的绝对值的累加。</w:t>
      </w:r>
    </w:p>
    <w:p w14:paraId="27D39808">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规定的概算审核综合误差率为8.00%。</w:t>
      </w:r>
    </w:p>
    <w:p w14:paraId="27CDF413">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规定的结算审核综合误差率为3.00%。</w:t>
      </w:r>
    </w:p>
    <w:p w14:paraId="57343A1D">
      <w:pPr>
        <w:pStyle w:val="22"/>
        <w:spacing w:line="360" w:lineRule="auto"/>
        <w:ind w:firstLine="482"/>
        <w:rPr>
          <w:rFonts w:cs="宋体"/>
          <w:color w:val="auto"/>
          <w:highlight w:val="none"/>
        </w:rPr>
      </w:pPr>
      <w:r>
        <w:rPr>
          <w:rFonts w:hint="eastAsia" w:cs="宋体"/>
          <w:b/>
          <w:bCs/>
          <w:color w:val="auto"/>
          <w:highlight w:val="none"/>
        </w:rPr>
        <w:t>十一、其他要求</w:t>
      </w:r>
    </w:p>
    <w:p w14:paraId="4E6ED97B">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1.供应商应在响应文件中针对本项目的概算及结算提出审核方案。</w:t>
      </w:r>
    </w:p>
    <w:p w14:paraId="67F2F003">
      <w:pPr>
        <w:pStyle w:val="22"/>
        <w:spacing w:line="360" w:lineRule="auto"/>
        <w:rPr>
          <w:rFonts w:hint="default"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2.供应商应在响应文件中针对本项目的审核进度要求提出建立审核进度控制机制、针对影响项目审核进度问题的主要因素提出解决措施、通过合理组织分工与外部协调提出如何加快审核进度的方案。</w:t>
      </w:r>
    </w:p>
    <w:p w14:paraId="270243DF">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3.供应商应在响应文件中针对本项目提出审核的质控重点与方法、质控管理体系；针对本项目审核中发现的重大质量问题提出解决方案；</w:t>
      </w:r>
    </w:p>
    <w:p w14:paraId="4262EB98">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4.供应商在响应文件中承诺的审核误差率应符合以下要求：</w:t>
      </w:r>
    </w:p>
    <w:p w14:paraId="3264E962">
      <w:pPr>
        <w:pStyle w:val="22"/>
        <w:spacing w:line="360" w:lineRule="auto"/>
        <w:rPr>
          <w:rFonts w:hint="eastAsia"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4.1</w:t>
      </w:r>
      <w:r>
        <w:rPr>
          <w:rFonts w:hint="eastAsia" w:ascii="宋体" w:hAnsi="宋体" w:eastAsia="宋体" w:cs="Times New Roman"/>
          <w:color w:val="auto"/>
          <w:kern w:val="2"/>
          <w:sz w:val="24"/>
          <w:szCs w:val="24"/>
          <w:highlight w:val="none"/>
          <w:lang w:val="en-US" w:eastAsia="zh-CN" w:bidi="ar-SA"/>
        </w:rPr>
        <w:t>概算审核误差率承诺：3%</w:t>
      </w:r>
    </w:p>
    <w:p w14:paraId="3E882812">
      <w:pPr>
        <w:pStyle w:val="22"/>
        <w:spacing w:line="360" w:lineRule="auto"/>
        <w:rPr>
          <w:rFonts w:hint="eastAsia" w:ascii="宋体" w:hAnsi="宋体"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4.2</w:t>
      </w:r>
      <w:r>
        <w:rPr>
          <w:rFonts w:hint="eastAsia" w:ascii="宋体" w:hAnsi="宋体" w:eastAsia="宋体" w:cs="Times New Roman"/>
          <w:color w:val="auto"/>
          <w:kern w:val="2"/>
          <w:sz w:val="24"/>
          <w:szCs w:val="24"/>
          <w:highlight w:val="none"/>
          <w:lang w:val="en-US" w:eastAsia="zh-CN" w:bidi="ar-SA"/>
        </w:rPr>
        <w:t>结算审核误差率承诺：1%</w:t>
      </w:r>
    </w:p>
    <w:p w14:paraId="48D991FA">
      <w:pPr>
        <w:pStyle w:val="22"/>
        <w:spacing w:line="360" w:lineRule="auto"/>
        <w:rPr>
          <w:rFonts w:hint="default"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5.供应商应在响应文件中明确是否提供驻场服务。</w:t>
      </w:r>
    </w:p>
    <w:p w14:paraId="2A2DC380">
      <w:pPr>
        <w:pStyle w:val="22"/>
        <w:spacing w:line="360" w:lineRule="auto"/>
        <w:rPr>
          <w:rFonts w:hint="eastAsia" w:ascii="宋体" w:hAnsi="宋体" w:eastAsia="宋体" w:cs="宋体"/>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6.供应商应在响应文件中针对政府投资项目特点提出合理化建议及改进措施。</w:t>
      </w:r>
    </w:p>
    <w:p w14:paraId="0525742F">
      <w:pPr>
        <w:pStyle w:val="22"/>
        <w:spacing w:line="360" w:lineRule="auto"/>
        <w:rPr>
          <w:rFonts w:hint="eastAsia" w:cs="宋体"/>
          <w:strike w:val="0"/>
          <w:dstrike w:val="0"/>
          <w:snapToGrid/>
          <w:color w:val="auto"/>
          <w:kern w:val="2"/>
          <w:sz w:val="24"/>
          <w:szCs w:val="24"/>
          <w:highlight w:val="none"/>
          <w:lang w:val="en-US" w:eastAsia="zh-CN" w:bidi="ar-SA"/>
        </w:rPr>
      </w:pPr>
      <w:r>
        <w:rPr>
          <w:rFonts w:hint="eastAsia" w:ascii="宋体" w:hAnsi="宋体" w:eastAsia="宋体" w:cs="宋体"/>
          <w:snapToGrid/>
          <w:color w:val="auto"/>
          <w:kern w:val="2"/>
          <w:sz w:val="24"/>
          <w:szCs w:val="24"/>
          <w:highlight w:val="none"/>
          <w:lang w:val="en-US" w:eastAsia="zh-CN" w:bidi="ar-SA"/>
        </w:rPr>
        <w:t>7.</w:t>
      </w:r>
      <w:r>
        <w:rPr>
          <w:rFonts w:hint="default" w:ascii="宋体" w:hAnsi="宋体" w:eastAsia="宋体" w:cs="宋体"/>
          <w:snapToGrid/>
          <w:color w:val="auto"/>
          <w:kern w:val="2"/>
          <w:sz w:val="24"/>
          <w:szCs w:val="24"/>
          <w:highlight w:val="none"/>
          <w:lang w:val="en-US" w:eastAsia="zh-CN" w:bidi="ar-SA"/>
        </w:rPr>
        <w:t>从</w:t>
      </w:r>
      <w:r>
        <w:rPr>
          <w:rFonts w:hint="eastAsia" w:ascii="宋体" w:hAnsi="宋体" w:eastAsia="宋体" w:cs="宋体"/>
          <w:snapToGrid/>
          <w:color w:val="auto"/>
          <w:kern w:val="2"/>
          <w:sz w:val="24"/>
          <w:szCs w:val="24"/>
          <w:highlight w:val="none"/>
          <w:lang w:val="en-US" w:eastAsia="zh-CN" w:bidi="ar-SA"/>
        </w:rPr>
        <w:t>标项一</w:t>
      </w:r>
      <w:r>
        <w:rPr>
          <w:rFonts w:hint="default" w:ascii="宋体" w:hAnsi="宋体" w:eastAsia="宋体" w:cs="宋体"/>
          <w:snapToGrid/>
          <w:color w:val="auto"/>
          <w:kern w:val="2"/>
          <w:sz w:val="24"/>
          <w:szCs w:val="24"/>
          <w:highlight w:val="none"/>
          <w:lang w:val="en-US" w:eastAsia="zh-CN" w:bidi="ar-SA"/>
        </w:rPr>
        <w:t>入围单位中随机抽取5家单位各派出一名驻场人员，</w:t>
      </w:r>
      <w:r>
        <w:rPr>
          <w:rFonts w:hint="default" w:ascii="宋体" w:hAnsi="宋体" w:eastAsia="宋体" w:cs="宋体"/>
          <w:snapToGrid/>
          <w:color w:val="auto"/>
          <w:kern w:val="2"/>
          <w:sz w:val="24"/>
          <w:szCs w:val="24"/>
          <w:highlight w:val="none"/>
          <w:lang w:val="en-US" w:eastAsia="zh-CN" w:bidi="ar-SA"/>
          <w:woUserID w:val="2"/>
        </w:rPr>
        <w:t>驻场</w:t>
      </w:r>
      <w:r>
        <w:rPr>
          <w:rFonts w:hint="default" w:ascii="宋体" w:hAnsi="宋体" w:eastAsia="宋体" w:cs="宋体"/>
          <w:snapToGrid/>
          <w:color w:val="auto"/>
          <w:kern w:val="2"/>
          <w:sz w:val="24"/>
          <w:szCs w:val="24"/>
          <w:highlight w:val="none"/>
          <w:lang w:val="en-US" w:eastAsia="zh-CN" w:bidi="ar-SA"/>
        </w:rPr>
        <w:t>人员</w:t>
      </w:r>
      <w:r>
        <w:rPr>
          <w:rFonts w:hint="default" w:cs="宋体"/>
          <w:snapToGrid/>
          <w:color w:val="auto"/>
          <w:kern w:val="2"/>
          <w:sz w:val="24"/>
          <w:szCs w:val="24"/>
          <w:highlight w:val="none"/>
          <w:lang w:eastAsia="zh-CN" w:bidi="ar-SA"/>
          <w:woUserID w:val="1"/>
        </w:rPr>
        <w:t>必须是投标文件中拟派团队成员，</w:t>
      </w:r>
      <w:r>
        <w:rPr>
          <w:rFonts w:hint="default" w:ascii="宋体" w:hAnsi="宋体" w:eastAsia="宋体" w:cs="宋体"/>
          <w:snapToGrid/>
          <w:color w:val="auto"/>
          <w:kern w:val="2"/>
          <w:sz w:val="24"/>
          <w:szCs w:val="24"/>
          <w:highlight w:val="none"/>
          <w:lang w:val="en-US" w:eastAsia="zh-CN" w:bidi="ar-SA"/>
        </w:rPr>
        <w:t>要求具有5年及以上从事造价行业相关工作经验且为一级注册造价师的工程师,</w:t>
      </w:r>
      <w:r>
        <w:rPr>
          <w:rFonts w:hint="eastAsia" w:ascii="宋体" w:hAnsi="宋体" w:eastAsia="宋体" w:cs="宋体"/>
          <w:snapToGrid/>
          <w:color w:val="auto"/>
          <w:kern w:val="2"/>
          <w:sz w:val="24"/>
          <w:szCs w:val="24"/>
          <w:highlight w:val="none"/>
          <w:lang w:val="en-US" w:eastAsia="zh-CN" w:bidi="ar-SA"/>
        </w:rPr>
        <w:t>该人员驻点期限以框架协议期为上限，最终以实际需求为准</w:t>
      </w:r>
      <w:r>
        <w:rPr>
          <w:rFonts w:hint="default" w:ascii="宋体" w:hAnsi="宋体" w:eastAsia="宋体" w:cs="宋体"/>
          <w:snapToGrid/>
          <w:color w:val="auto"/>
          <w:kern w:val="2"/>
          <w:sz w:val="24"/>
          <w:szCs w:val="24"/>
          <w:highlight w:val="none"/>
          <w:lang w:val="en-US" w:eastAsia="zh-CN" w:bidi="ar-SA"/>
        </w:rPr>
        <w:t>。</w:t>
      </w:r>
      <w:r>
        <w:rPr>
          <w:rFonts w:hint="eastAsia" w:ascii="宋体" w:hAnsi="宋体" w:eastAsia="宋体" w:cs="宋体"/>
          <w:snapToGrid/>
          <w:color w:val="auto"/>
          <w:kern w:val="2"/>
          <w:sz w:val="24"/>
          <w:szCs w:val="24"/>
          <w:highlight w:val="none"/>
          <w:lang w:val="en-US" w:eastAsia="zh-CN" w:bidi="ar-SA"/>
        </w:rPr>
        <w:t>无特殊情况，不得更换，如遇特殊情况需更换人员的，需经征集人同意后方能更换，更换人员具备的评审经验及资质条件不得低于征集文件约定条件。如</w:t>
      </w:r>
      <w:r>
        <w:rPr>
          <w:rFonts w:hint="default" w:ascii="宋体" w:hAnsi="宋体" w:eastAsia="宋体" w:cs="宋体"/>
          <w:snapToGrid/>
          <w:color w:val="auto"/>
          <w:kern w:val="2"/>
          <w:sz w:val="24"/>
          <w:szCs w:val="24"/>
          <w:highlight w:val="none"/>
          <w:lang w:val="en-US" w:eastAsia="zh-CN" w:bidi="ar-SA"/>
          <w:woUserID w:val="2"/>
        </w:rPr>
        <w:t>驻场</w:t>
      </w:r>
      <w:r>
        <w:rPr>
          <w:rFonts w:hint="eastAsia" w:ascii="宋体" w:hAnsi="宋体" w:eastAsia="宋体" w:cs="宋体"/>
          <w:snapToGrid/>
          <w:color w:val="auto"/>
          <w:kern w:val="2"/>
          <w:sz w:val="24"/>
          <w:szCs w:val="24"/>
          <w:highlight w:val="none"/>
          <w:lang w:val="en-US" w:eastAsia="zh-CN" w:bidi="ar-SA"/>
        </w:rPr>
        <w:t>人员不符合征集人要求的，征集人有权要求供应商调换</w:t>
      </w:r>
      <w:r>
        <w:rPr>
          <w:rFonts w:hint="default" w:ascii="宋体" w:hAnsi="宋体" w:eastAsia="宋体" w:cs="宋体"/>
          <w:snapToGrid/>
          <w:color w:val="auto"/>
          <w:kern w:val="2"/>
          <w:sz w:val="24"/>
          <w:szCs w:val="24"/>
          <w:highlight w:val="none"/>
          <w:lang w:val="en-US" w:eastAsia="zh-CN" w:bidi="ar-SA"/>
          <w:woUserID w:val="2"/>
        </w:rPr>
        <w:t>驻场</w:t>
      </w:r>
      <w:r>
        <w:rPr>
          <w:rFonts w:hint="eastAsia" w:ascii="宋体" w:hAnsi="宋体" w:eastAsia="宋体" w:cs="宋体"/>
          <w:snapToGrid/>
          <w:color w:val="auto"/>
          <w:kern w:val="2"/>
          <w:sz w:val="24"/>
          <w:szCs w:val="24"/>
          <w:highlight w:val="none"/>
          <w:lang w:val="en-US" w:eastAsia="zh-CN" w:bidi="ar-SA"/>
        </w:rPr>
        <w:t>人员</w:t>
      </w:r>
      <w:r>
        <w:rPr>
          <w:rFonts w:hint="eastAsia" w:ascii="宋体" w:hAnsi="宋体" w:eastAsia="宋体" w:cs="宋体"/>
          <w:strike w:val="0"/>
          <w:dstrike w:val="0"/>
          <w:snapToGrid/>
          <w:color w:val="auto"/>
          <w:kern w:val="2"/>
          <w:sz w:val="24"/>
          <w:szCs w:val="24"/>
          <w:highlight w:val="none"/>
          <w:lang w:val="en-US" w:eastAsia="zh-CN" w:bidi="ar-SA"/>
        </w:rPr>
        <w:t>，</w:t>
      </w:r>
      <w:r>
        <w:rPr>
          <w:rFonts w:hint="eastAsia" w:ascii="宋体" w:hAnsi="宋体" w:eastAsia="宋体" w:cs="宋体"/>
          <w:snapToGrid/>
          <w:color w:val="auto"/>
          <w:kern w:val="2"/>
          <w:sz w:val="24"/>
          <w:szCs w:val="24"/>
          <w:highlight w:val="none"/>
          <w:lang w:val="en-US" w:eastAsia="zh-CN" w:bidi="ar-SA"/>
        </w:rPr>
        <w:t>直至符合征集人要求为止。</w:t>
      </w:r>
    </w:p>
    <w:p w14:paraId="5A3997ED">
      <w:pPr>
        <w:tabs>
          <w:tab w:val="left" w:pos="0"/>
        </w:tabs>
        <w:spacing w:line="360" w:lineRule="auto"/>
        <w:rPr>
          <w:rFonts w:hint="eastAsia" w:ascii="宋体" w:hAnsi="宋体" w:cs="宋体"/>
          <w:color w:val="auto"/>
          <w:kern w:val="0"/>
          <w:sz w:val="24"/>
          <w:highlight w:val="none"/>
        </w:rPr>
        <w:sectPr>
          <w:headerReference r:id="rId3" w:type="default"/>
          <w:footerReference r:id="rId4" w:type="default"/>
          <w:footerReference r:id="rId5" w:type="even"/>
          <w:pgSz w:w="11906" w:h="16838"/>
          <w:pgMar w:top="777" w:right="1418" w:bottom="471" w:left="1418" w:header="851" w:footer="572" w:gutter="0"/>
          <w:pgBorders>
            <w:top w:val="none" w:sz="0" w:space="0"/>
            <w:left w:val="none" w:sz="0" w:space="0"/>
            <w:bottom w:val="none" w:sz="0" w:space="0"/>
            <w:right w:val="none" w:sz="0" w:space="0"/>
          </w:pgBorders>
          <w:cols w:space="720" w:num="1"/>
          <w:docGrid w:linePitch="312" w:charSpace="0"/>
        </w:sectPr>
      </w:pPr>
    </w:p>
    <w:p w14:paraId="76B3E6CC">
      <w:pPr>
        <w:pStyle w:val="20"/>
        <w:rPr>
          <w:rFonts w:hAnsi="宋体" w:eastAsia="宋体" w:cs="宋体"/>
          <w:color w:val="auto"/>
          <w:szCs w:val="24"/>
          <w:highlight w:val="none"/>
          <w:lang w:val="en-US"/>
        </w:rPr>
      </w:pPr>
      <w:r>
        <w:rPr>
          <w:rFonts w:hint="eastAsia" w:hAnsi="宋体" w:eastAsia="宋体" w:cs="宋体"/>
          <w:color w:val="auto"/>
          <w:szCs w:val="24"/>
          <w:highlight w:val="none"/>
          <w:lang w:val="en-US"/>
        </w:rPr>
        <w:t>附</w:t>
      </w:r>
      <w:r>
        <w:rPr>
          <w:rFonts w:hint="eastAsia" w:hAnsi="宋体" w:eastAsia="宋体" w:cs="宋体"/>
          <w:color w:val="auto"/>
          <w:szCs w:val="24"/>
          <w:highlight w:val="none"/>
          <w:lang w:val="en-US" w:eastAsia="zh-CN"/>
        </w:rPr>
        <w:t>表</w:t>
      </w:r>
      <w:r>
        <w:rPr>
          <w:rFonts w:hint="eastAsia" w:hAnsi="宋体" w:eastAsia="宋体" w:cs="宋体"/>
          <w:color w:val="auto"/>
          <w:szCs w:val="24"/>
          <w:highlight w:val="none"/>
          <w:lang w:val="en-US"/>
        </w:rPr>
        <w:t xml:space="preserve">1 </w:t>
      </w:r>
    </w:p>
    <w:tbl>
      <w:tblPr>
        <w:tblStyle w:val="51"/>
        <w:tblW w:w="15335" w:type="dxa"/>
        <w:jc w:val="center"/>
        <w:tblLayout w:type="fixed"/>
        <w:tblCellMar>
          <w:top w:w="0" w:type="dxa"/>
          <w:left w:w="0" w:type="dxa"/>
          <w:bottom w:w="0" w:type="dxa"/>
          <w:right w:w="0" w:type="dxa"/>
        </w:tblCellMar>
      </w:tblPr>
      <w:tblGrid>
        <w:gridCol w:w="485"/>
        <w:gridCol w:w="1206"/>
        <w:gridCol w:w="819"/>
        <w:gridCol w:w="1881"/>
        <w:gridCol w:w="915"/>
        <w:gridCol w:w="975"/>
        <w:gridCol w:w="1020"/>
        <w:gridCol w:w="1080"/>
        <w:gridCol w:w="1065"/>
        <w:gridCol w:w="1065"/>
        <w:gridCol w:w="1275"/>
        <w:gridCol w:w="1275"/>
        <w:gridCol w:w="1335"/>
        <w:gridCol w:w="939"/>
      </w:tblGrid>
      <w:tr w14:paraId="67F48426">
        <w:tblPrEx>
          <w:tblCellMar>
            <w:top w:w="0" w:type="dxa"/>
            <w:left w:w="0" w:type="dxa"/>
            <w:bottom w:w="0" w:type="dxa"/>
            <w:right w:w="0" w:type="dxa"/>
          </w:tblCellMar>
        </w:tblPrEx>
        <w:trPr>
          <w:trHeight w:val="540" w:hRule="atLeast"/>
          <w:jc w:val="center"/>
        </w:trPr>
        <w:tc>
          <w:tcPr>
            <w:tcW w:w="15335" w:type="dxa"/>
            <w:gridSpan w:val="14"/>
            <w:tcBorders>
              <w:top w:val="nil"/>
              <w:left w:val="nil"/>
              <w:bottom w:val="single" w:color="000000" w:sz="18" w:space="0"/>
              <w:right w:val="nil"/>
            </w:tcBorders>
            <w:noWrap/>
            <w:tcMar>
              <w:top w:w="15" w:type="dxa"/>
              <w:left w:w="15" w:type="dxa"/>
              <w:right w:w="15" w:type="dxa"/>
            </w:tcMar>
            <w:vAlign w:val="center"/>
          </w:tcPr>
          <w:p w14:paraId="36DB63AE">
            <w:pPr>
              <w:keepNext w:val="0"/>
              <w:keepLines w:val="0"/>
              <w:widowControl/>
              <w:suppressLineNumbers w:val="0"/>
              <w:ind w:firstLine="6486" w:firstLineChars="1800"/>
              <w:jc w:val="left"/>
              <w:textAlignment w:val="center"/>
              <w:rPr>
                <w:rFonts w:hint="eastAsia" w:ascii="宋体" w:hAnsi="宋体" w:eastAsia="宋体" w:cs="宋体"/>
                <w:b/>
                <w:i w:val="0"/>
                <w:color w:val="auto"/>
                <w:sz w:val="32"/>
                <w:szCs w:val="32"/>
                <w:highlight w:val="none"/>
                <w:u w:val="none"/>
              </w:rPr>
            </w:pPr>
            <w:r>
              <w:rPr>
                <w:rFonts w:hint="eastAsia" w:ascii="华文中宋" w:hAnsi="华文中宋" w:eastAsia="华文中宋" w:cs="华文中宋"/>
                <w:b/>
                <w:i w:val="0"/>
                <w:color w:val="auto"/>
                <w:kern w:val="0"/>
                <w:sz w:val="36"/>
                <w:szCs w:val="36"/>
                <w:highlight w:val="none"/>
                <w:u w:val="none"/>
                <w:lang w:val="en-US" w:eastAsia="zh-CN" w:bidi="ar"/>
              </w:rPr>
              <w:t>基准收费标准</w:t>
            </w:r>
            <w:r>
              <w:rPr>
                <w:rFonts w:hint="eastAsia" w:ascii="宋体" w:hAnsi="宋体" w:eastAsia="宋体" w:cs="宋体"/>
                <w:b/>
                <w:i w:val="0"/>
                <w:color w:val="auto"/>
                <w:kern w:val="0"/>
                <w:sz w:val="32"/>
                <w:szCs w:val="32"/>
                <w:highlight w:val="none"/>
                <w:u w:val="none"/>
                <w:lang w:val="en-US" w:eastAsia="zh-CN" w:bidi="ar"/>
              </w:rPr>
              <w:t xml:space="preserve">                            </w:t>
            </w:r>
            <w:r>
              <w:rPr>
                <w:rFonts w:hint="eastAsia" w:ascii="宋体" w:hAnsi="宋体" w:eastAsia="宋体" w:cs="宋体"/>
                <w:i w:val="0"/>
                <w:color w:val="auto"/>
                <w:kern w:val="0"/>
                <w:sz w:val="22"/>
                <w:szCs w:val="22"/>
                <w:highlight w:val="none"/>
                <w:u w:val="none"/>
                <w:lang w:val="en-US" w:eastAsia="zh-CN" w:bidi="ar"/>
              </w:rPr>
              <w:t>费率：‰</w:t>
            </w:r>
          </w:p>
        </w:tc>
      </w:tr>
      <w:tr w14:paraId="0E006041">
        <w:tblPrEx>
          <w:tblCellMar>
            <w:top w:w="0" w:type="dxa"/>
            <w:left w:w="0" w:type="dxa"/>
            <w:bottom w:w="0" w:type="dxa"/>
            <w:right w:w="0" w:type="dxa"/>
          </w:tblCellMar>
        </w:tblPrEx>
        <w:trPr>
          <w:trHeight w:val="315" w:hRule="atLeast"/>
          <w:jc w:val="center"/>
        </w:trPr>
        <w:tc>
          <w:tcPr>
            <w:tcW w:w="485" w:type="dxa"/>
            <w:vMerge w:val="restart"/>
            <w:tcBorders>
              <w:top w:val="single" w:color="000000" w:sz="18" w:space="0"/>
              <w:left w:val="single" w:color="000000" w:sz="18" w:space="0"/>
              <w:bottom w:val="single" w:color="000000" w:sz="4" w:space="0"/>
              <w:right w:val="single" w:color="000000" w:sz="4" w:space="0"/>
            </w:tcBorders>
            <w:noWrap/>
            <w:tcMar>
              <w:top w:w="15" w:type="dxa"/>
              <w:left w:w="15" w:type="dxa"/>
              <w:right w:w="15" w:type="dxa"/>
            </w:tcMar>
            <w:vAlign w:val="center"/>
          </w:tcPr>
          <w:p w14:paraId="4FC621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序号</w:t>
            </w:r>
          </w:p>
        </w:tc>
        <w:tc>
          <w:tcPr>
            <w:tcW w:w="2025" w:type="dxa"/>
            <w:gridSpan w:val="2"/>
            <w:vMerge w:val="restart"/>
            <w:tcBorders>
              <w:top w:val="single" w:color="000000" w:sz="18" w:space="0"/>
              <w:left w:val="single" w:color="000000" w:sz="4" w:space="0"/>
              <w:bottom w:val="single" w:color="000000" w:sz="4" w:space="0"/>
              <w:right w:val="single" w:color="000000" w:sz="4" w:space="0"/>
            </w:tcBorders>
            <w:noWrap/>
            <w:tcMar>
              <w:top w:w="15" w:type="dxa"/>
              <w:left w:w="15" w:type="dxa"/>
              <w:right w:w="15" w:type="dxa"/>
            </w:tcMar>
            <w:vAlign w:val="center"/>
          </w:tcPr>
          <w:p w14:paraId="4303EE8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咨询项目</w:t>
            </w:r>
          </w:p>
        </w:tc>
        <w:tc>
          <w:tcPr>
            <w:tcW w:w="1881" w:type="dxa"/>
            <w:vMerge w:val="restart"/>
            <w:tcBorders>
              <w:top w:val="single" w:color="000000" w:sz="18" w:space="0"/>
              <w:left w:val="single" w:color="000000" w:sz="4" w:space="0"/>
              <w:bottom w:val="single" w:color="000000" w:sz="4" w:space="0"/>
              <w:right w:val="single" w:color="000000" w:sz="4" w:space="0"/>
            </w:tcBorders>
            <w:noWrap/>
            <w:tcMar>
              <w:top w:w="15" w:type="dxa"/>
              <w:left w:w="15" w:type="dxa"/>
              <w:right w:w="15" w:type="dxa"/>
            </w:tcMar>
            <w:vAlign w:val="center"/>
          </w:tcPr>
          <w:p w14:paraId="1F8015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收费基数</w:t>
            </w:r>
          </w:p>
        </w:tc>
        <w:tc>
          <w:tcPr>
            <w:tcW w:w="10944" w:type="dxa"/>
            <w:gridSpan w:val="10"/>
            <w:tcBorders>
              <w:top w:val="single" w:color="000000" w:sz="18" w:space="0"/>
              <w:left w:val="single" w:color="000000" w:sz="4" w:space="0"/>
              <w:bottom w:val="single" w:color="000000" w:sz="4" w:space="0"/>
              <w:right w:val="single" w:color="000000" w:sz="18" w:space="0"/>
            </w:tcBorders>
            <w:noWrap/>
            <w:tcMar>
              <w:top w:w="15" w:type="dxa"/>
              <w:left w:w="15" w:type="dxa"/>
              <w:right w:w="15" w:type="dxa"/>
            </w:tcMar>
            <w:vAlign w:val="center"/>
          </w:tcPr>
          <w:p w14:paraId="0940DA6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分档累进计费标准</w:t>
            </w:r>
          </w:p>
        </w:tc>
      </w:tr>
      <w:tr w14:paraId="5DC79122">
        <w:tblPrEx>
          <w:tblCellMar>
            <w:top w:w="0" w:type="dxa"/>
            <w:left w:w="0" w:type="dxa"/>
            <w:bottom w:w="0" w:type="dxa"/>
            <w:right w:w="0" w:type="dxa"/>
          </w:tblCellMar>
        </w:tblPrEx>
        <w:trPr>
          <w:trHeight w:val="0" w:hRule="atLeast"/>
          <w:jc w:val="center"/>
        </w:trPr>
        <w:tc>
          <w:tcPr>
            <w:tcW w:w="485" w:type="dxa"/>
            <w:vMerge w:val="continue"/>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0D220333">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202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CB1BD">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18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B3264">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A98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100</w:t>
            </w:r>
          </w:p>
          <w:p w14:paraId="3EB585C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万元以内</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5358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101-500</w:t>
            </w:r>
          </w:p>
          <w:p w14:paraId="03CBCA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w:t>
            </w:r>
          </w:p>
        </w:tc>
        <w:tc>
          <w:tcPr>
            <w:tcW w:w="1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0494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501—1000</w:t>
            </w:r>
          </w:p>
          <w:p w14:paraId="563E07C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171F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1001—2000万元</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EB52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2001—5000万元</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E340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5001-10000</w:t>
            </w:r>
          </w:p>
          <w:p w14:paraId="7D041AF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万元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11A7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10001-50000</w:t>
            </w:r>
          </w:p>
          <w:p w14:paraId="572FEA5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万元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C7BB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50001-100000万元</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EE3D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100000-150000万元</w:t>
            </w:r>
          </w:p>
        </w:tc>
        <w:tc>
          <w:tcPr>
            <w:tcW w:w="939" w:type="dxa"/>
            <w:tcBorders>
              <w:top w:val="single" w:color="000000" w:sz="4" w:space="0"/>
              <w:left w:val="single" w:color="000000" w:sz="4" w:space="0"/>
              <w:bottom w:val="single" w:color="000000" w:sz="4" w:space="0"/>
              <w:right w:val="single" w:color="000000" w:sz="18" w:space="0"/>
            </w:tcBorders>
            <w:noWrap w:val="0"/>
            <w:tcMar>
              <w:top w:w="15" w:type="dxa"/>
              <w:left w:w="15" w:type="dxa"/>
              <w:right w:w="15" w:type="dxa"/>
            </w:tcMar>
            <w:vAlign w:val="center"/>
          </w:tcPr>
          <w:p w14:paraId="0BE53F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150000</w:t>
            </w:r>
          </w:p>
          <w:p w14:paraId="2EAEF2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万元以上</w:t>
            </w:r>
          </w:p>
        </w:tc>
      </w:tr>
      <w:tr w14:paraId="33DCA1AB">
        <w:tblPrEx>
          <w:tblCellMar>
            <w:top w:w="0" w:type="dxa"/>
            <w:left w:w="0" w:type="dxa"/>
            <w:bottom w:w="0" w:type="dxa"/>
            <w:right w:w="0" w:type="dxa"/>
          </w:tblCellMar>
        </w:tblPrEx>
        <w:trPr>
          <w:trHeight w:val="970" w:hRule="atLeast"/>
          <w:jc w:val="center"/>
        </w:trPr>
        <w:tc>
          <w:tcPr>
            <w:tcW w:w="485" w:type="dxa"/>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67CFDE7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02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B1BC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设计概算审核</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DE4B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送审概算价</w:t>
            </w: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D4A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1.02</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FBCD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0.90</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0B3F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0.78</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16A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0.66</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647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0.50</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3359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0.45</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323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0.32</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BE9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0.24</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77CE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0.16</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005FA7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0.12</w:t>
            </w:r>
          </w:p>
        </w:tc>
      </w:tr>
      <w:tr w14:paraId="3103BE72">
        <w:tblPrEx>
          <w:tblCellMar>
            <w:top w:w="0" w:type="dxa"/>
            <w:left w:w="0" w:type="dxa"/>
            <w:bottom w:w="0" w:type="dxa"/>
            <w:right w:w="0" w:type="dxa"/>
          </w:tblCellMar>
        </w:tblPrEx>
        <w:trPr>
          <w:trHeight w:val="905" w:hRule="atLeast"/>
          <w:jc w:val="center"/>
        </w:trPr>
        <w:tc>
          <w:tcPr>
            <w:tcW w:w="485" w:type="dxa"/>
            <w:vMerge w:val="restart"/>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4C9611F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AFE2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工程结</w:t>
            </w:r>
          </w:p>
          <w:p w14:paraId="66582A4B">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算</w:t>
            </w:r>
            <w:r>
              <w:rPr>
                <w:rFonts w:hint="eastAsia" w:ascii="宋体" w:hAnsi="宋体" w:cs="宋体"/>
                <w:i w:val="0"/>
                <w:color w:val="auto"/>
                <w:kern w:val="0"/>
                <w:sz w:val="20"/>
                <w:szCs w:val="20"/>
                <w:highlight w:val="none"/>
                <w:u w:val="none"/>
                <w:lang w:val="en-US" w:eastAsia="zh-CN" w:bidi="ar"/>
              </w:rPr>
              <w:t>全面复核</w:t>
            </w:r>
          </w:p>
        </w:tc>
        <w:tc>
          <w:tcPr>
            <w:tcW w:w="8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D158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基本收费</w:t>
            </w:r>
          </w:p>
        </w:tc>
        <w:tc>
          <w:tcPr>
            <w:tcW w:w="188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5B7A1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送审工程造价</w:t>
            </w: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DB4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2.8</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69C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384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F301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1.9</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525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1.28</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57C7A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仿宋"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1.04</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E132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仿宋"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0.60</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290E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0.40</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CE8B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0.30</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5591E3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0.20</w:t>
            </w:r>
          </w:p>
        </w:tc>
      </w:tr>
      <w:tr w14:paraId="74BC9EE8">
        <w:tblPrEx>
          <w:tblCellMar>
            <w:top w:w="0" w:type="dxa"/>
            <w:left w:w="0" w:type="dxa"/>
            <w:bottom w:w="0" w:type="dxa"/>
            <w:right w:w="0" w:type="dxa"/>
          </w:tblCellMar>
        </w:tblPrEx>
        <w:trPr>
          <w:trHeight w:val="905" w:hRule="atLeast"/>
          <w:jc w:val="center"/>
        </w:trPr>
        <w:tc>
          <w:tcPr>
            <w:tcW w:w="485" w:type="dxa"/>
            <w:vMerge w:val="continue"/>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581524A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cs="宋体"/>
                <w:i w:val="0"/>
                <w:color w:val="auto"/>
                <w:kern w:val="0"/>
                <w:sz w:val="20"/>
                <w:szCs w:val="20"/>
                <w:highlight w:val="none"/>
                <w:u w:val="none"/>
                <w:lang w:val="en-US" w:eastAsia="zh-CN" w:bidi="ar"/>
              </w:rPr>
            </w:pP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2831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工程结算初核、复核</w:t>
            </w:r>
          </w:p>
        </w:tc>
        <w:tc>
          <w:tcPr>
            <w:tcW w:w="8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1DE3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8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7EF36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405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1.4</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ED41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1.25</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8846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1D6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0.95</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8993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0.64</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430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0.52</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D0ED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0.30</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7E4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0.20</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066C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0.15</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7FE72E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0.10</w:t>
            </w:r>
          </w:p>
        </w:tc>
      </w:tr>
      <w:tr w14:paraId="29C2CED6">
        <w:tblPrEx>
          <w:tblCellMar>
            <w:top w:w="0" w:type="dxa"/>
            <w:left w:w="0" w:type="dxa"/>
            <w:bottom w:w="0" w:type="dxa"/>
            <w:right w:w="0" w:type="dxa"/>
          </w:tblCellMar>
        </w:tblPrEx>
        <w:trPr>
          <w:trHeight w:val="905" w:hRule="atLeast"/>
          <w:jc w:val="center"/>
        </w:trPr>
        <w:tc>
          <w:tcPr>
            <w:tcW w:w="485" w:type="dxa"/>
            <w:vMerge w:val="continue"/>
            <w:tcBorders>
              <w:top w:val="single" w:color="000000" w:sz="4" w:space="0"/>
              <w:left w:val="single" w:color="000000" w:sz="18" w:space="0"/>
              <w:bottom w:val="single" w:color="000000" w:sz="18" w:space="0"/>
              <w:right w:val="single" w:color="000000" w:sz="4" w:space="0"/>
            </w:tcBorders>
            <w:noWrap/>
            <w:tcMar>
              <w:top w:w="15" w:type="dxa"/>
              <w:left w:w="15" w:type="dxa"/>
              <w:right w:w="15" w:type="dxa"/>
            </w:tcMar>
            <w:vAlign w:val="center"/>
          </w:tcPr>
          <w:p w14:paraId="3C709B5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cs="宋体"/>
                <w:i w:val="0"/>
                <w:color w:val="auto"/>
                <w:kern w:val="0"/>
                <w:sz w:val="20"/>
                <w:szCs w:val="20"/>
                <w:highlight w:val="none"/>
                <w:u w:val="none"/>
                <w:lang w:val="en-US" w:eastAsia="zh-CN" w:bidi="ar"/>
              </w:rPr>
            </w:pPr>
          </w:p>
        </w:tc>
        <w:tc>
          <w:tcPr>
            <w:tcW w:w="2025" w:type="dxa"/>
            <w:gridSpan w:val="2"/>
            <w:tcBorders>
              <w:top w:val="single" w:color="000000" w:sz="4" w:space="0"/>
              <w:left w:val="single" w:color="000000" w:sz="4" w:space="0"/>
              <w:bottom w:val="single" w:color="000000" w:sz="18" w:space="0"/>
              <w:right w:val="single" w:color="000000" w:sz="4" w:space="0"/>
            </w:tcBorders>
            <w:noWrap w:val="0"/>
            <w:tcMar>
              <w:top w:w="15" w:type="dxa"/>
              <w:left w:w="15" w:type="dxa"/>
              <w:right w:w="15" w:type="dxa"/>
            </w:tcMar>
            <w:vAlign w:val="center"/>
          </w:tcPr>
          <w:p w14:paraId="5FE7792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追加费用</w:t>
            </w:r>
          </w:p>
        </w:tc>
        <w:tc>
          <w:tcPr>
            <w:tcW w:w="1881" w:type="dxa"/>
            <w:tcBorders>
              <w:top w:val="single" w:color="000000" w:sz="4" w:space="0"/>
              <w:left w:val="single" w:color="000000" w:sz="4" w:space="0"/>
              <w:bottom w:val="single" w:color="000000" w:sz="18" w:space="0"/>
              <w:right w:val="single" w:color="000000" w:sz="4" w:space="0"/>
            </w:tcBorders>
            <w:noWrap/>
            <w:tcMar>
              <w:top w:w="15" w:type="dxa"/>
              <w:left w:w="15" w:type="dxa"/>
              <w:right w:w="15" w:type="dxa"/>
            </w:tcMar>
            <w:vAlign w:val="center"/>
          </w:tcPr>
          <w:p w14:paraId="0AAD8B0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核增额及超过5%以外的核减额</w:t>
            </w:r>
          </w:p>
        </w:tc>
        <w:tc>
          <w:tcPr>
            <w:tcW w:w="10944" w:type="dxa"/>
            <w:gridSpan w:val="10"/>
            <w:tcBorders>
              <w:top w:val="single" w:color="000000" w:sz="4" w:space="0"/>
              <w:left w:val="single" w:color="000000" w:sz="4" w:space="0"/>
              <w:bottom w:val="single" w:color="000000" w:sz="18" w:space="0"/>
              <w:right w:val="single" w:color="000000" w:sz="18" w:space="0"/>
            </w:tcBorders>
            <w:noWrap/>
            <w:tcMar>
              <w:top w:w="15" w:type="dxa"/>
              <w:left w:w="15" w:type="dxa"/>
              <w:right w:w="15" w:type="dxa"/>
            </w:tcMar>
            <w:vAlign w:val="center"/>
          </w:tcPr>
          <w:p w14:paraId="2362CA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5%</w:t>
            </w:r>
          </w:p>
        </w:tc>
      </w:tr>
    </w:tbl>
    <w:p w14:paraId="7390EAC2">
      <w:pPr>
        <w:pStyle w:val="3"/>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说明：</w:t>
      </w:r>
    </w:p>
    <w:p w14:paraId="4B1AAD99">
      <w:pPr>
        <w:pStyle w:val="3"/>
        <w:rPr>
          <w:rFonts w:hint="default" w:ascii="宋体" w:hAnsi="仿宋_GB2312" w:eastAsia="黑体" w:cs="仿宋_GB2312"/>
          <w:b w:val="0"/>
          <w:bCs w:val="0"/>
          <w:snapToGrid w:val="0"/>
          <w:color w:val="auto"/>
          <w:kern w:val="2"/>
          <w:sz w:val="21"/>
          <w:szCs w:val="21"/>
          <w:highlight w:val="none"/>
          <w:lang w:val="en-US" w:eastAsia="zh-CN" w:bidi="ar-SA"/>
        </w:rPr>
      </w:pPr>
      <w:r>
        <w:rPr>
          <w:rFonts w:hint="eastAsia" w:ascii="宋体" w:hAnsi="仿宋_GB2312" w:eastAsia="黑体" w:cs="仿宋_GB2312"/>
          <w:b w:val="0"/>
          <w:bCs w:val="0"/>
          <w:snapToGrid w:val="0"/>
          <w:color w:val="auto"/>
          <w:kern w:val="2"/>
          <w:sz w:val="21"/>
          <w:szCs w:val="21"/>
          <w:highlight w:val="none"/>
          <w:lang w:val="en-US" w:eastAsia="zh-CN" w:bidi="ar-SA"/>
        </w:rPr>
        <w:t>1.每个咨询服务项目按上表计算不足2000元的，按2000元收费；单个项目基本审价费高于等于 49.99 万元则按 49.99 万元计取。</w:t>
      </w:r>
    </w:p>
    <w:p w14:paraId="7039462E">
      <w:pPr>
        <w:pStyle w:val="20"/>
        <w:rPr>
          <w:rFonts w:hint="eastAsia" w:hAnsi="仿宋_GB2312" w:cs="仿宋_GB2312"/>
          <w:color w:val="auto"/>
          <w:sz w:val="21"/>
          <w:szCs w:val="21"/>
          <w:highlight w:val="none"/>
          <w:lang w:val="en-US" w:eastAsia="zh-CN"/>
        </w:rPr>
      </w:pPr>
      <w:r>
        <w:rPr>
          <w:rFonts w:hint="eastAsia" w:hAnsi="仿宋_GB2312" w:cs="仿宋_GB2312"/>
          <w:color w:val="auto"/>
          <w:sz w:val="21"/>
          <w:szCs w:val="21"/>
          <w:highlight w:val="none"/>
          <w:lang w:val="en-US" w:eastAsia="zh-CN"/>
        </w:rPr>
        <w:t>2.设计概算编制或复核的收费基数不含征（借）地拆迁安置补偿费，但设计概算编制或审核的工作内容应包含征（借）地拆迁安置补偿费（如有）</w:t>
      </w:r>
      <w:r>
        <w:rPr>
          <w:rFonts w:hint="eastAsia" w:hAnsi="仿宋_GB2312" w:cs="仿宋_GB2312"/>
          <w:color w:val="auto"/>
          <w:sz w:val="20"/>
          <w:szCs w:val="20"/>
          <w:highlight w:val="none"/>
          <w:lang w:val="en-US" w:eastAsia="zh-CN"/>
        </w:rPr>
        <w:t>的审</w:t>
      </w:r>
      <w:r>
        <w:rPr>
          <w:rFonts w:hint="eastAsia" w:hAnsi="仿宋_GB2312" w:cs="仿宋_GB2312"/>
          <w:color w:val="auto"/>
          <w:sz w:val="21"/>
          <w:szCs w:val="21"/>
          <w:highlight w:val="none"/>
          <w:lang w:val="en-US" w:eastAsia="zh-CN"/>
        </w:rPr>
        <w:t>核。</w:t>
      </w:r>
    </w:p>
    <w:p w14:paraId="16340BCC">
      <w:pPr>
        <w:pStyle w:val="3"/>
        <w:rPr>
          <w:rFonts w:hint="eastAsia" w:ascii="宋体" w:hAnsi="仿宋_GB2312" w:eastAsia="黑体" w:cs="仿宋_GB2312"/>
          <w:b w:val="0"/>
          <w:bCs w:val="0"/>
          <w:snapToGrid w:val="0"/>
          <w:color w:val="auto"/>
          <w:kern w:val="2"/>
          <w:sz w:val="21"/>
          <w:szCs w:val="21"/>
          <w:highlight w:val="none"/>
          <w:lang w:val="en-US" w:eastAsia="zh-CN" w:bidi="ar-SA"/>
        </w:rPr>
      </w:pPr>
      <w:r>
        <w:rPr>
          <w:rFonts w:hint="default" w:ascii="宋体" w:hAnsi="仿宋_GB2312" w:eastAsia="黑体" w:cs="仿宋_GB2312"/>
          <w:b w:val="0"/>
          <w:bCs w:val="0"/>
          <w:snapToGrid w:val="0"/>
          <w:color w:val="auto"/>
          <w:kern w:val="2"/>
          <w:sz w:val="21"/>
          <w:szCs w:val="21"/>
          <w:highlight w:val="none"/>
          <w:lang w:eastAsia="zh-CN" w:bidi="ar-SA"/>
        </w:rPr>
        <w:t>3.</w:t>
      </w:r>
      <w:r>
        <w:rPr>
          <w:rFonts w:hint="default" w:ascii="宋体" w:hAnsi="仿宋_GB2312" w:eastAsia="黑体" w:cs="仿宋_GB2312"/>
          <w:b w:val="0"/>
          <w:bCs w:val="0"/>
          <w:snapToGrid w:val="0"/>
          <w:color w:val="auto"/>
          <w:kern w:val="2"/>
          <w:sz w:val="21"/>
          <w:szCs w:val="21"/>
          <w:highlight w:val="none"/>
          <w:lang w:eastAsia="zh-CN" w:bidi="ar-SA"/>
          <w:woUserID w:val="2"/>
        </w:rPr>
        <w:t>驻场</w:t>
      </w:r>
      <w:r>
        <w:rPr>
          <w:rFonts w:hint="eastAsia" w:ascii="宋体" w:hAnsi="仿宋_GB2312" w:eastAsia="黑体" w:cs="仿宋_GB2312"/>
          <w:b w:val="0"/>
          <w:bCs w:val="0"/>
          <w:snapToGrid w:val="0"/>
          <w:color w:val="auto"/>
          <w:kern w:val="2"/>
          <w:sz w:val="21"/>
          <w:szCs w:val="21"/>
          <w:highlight w:val="none"/>
          <w:lang w:val="en-US" w:eastAsia="zh-CN" w:bidi="ar-SA"/>
        </w:rPr>
        <w:t>人员的费用按458元/半天•人计。</w:t>
      </w:r>
    </w:p>
    <w:p w14:paraId="4AE08907">
      <w:pPr>
        <w:rPr>
          <w:rFonts w:hint="default"/>
          <w:color w:val="auto"/>
          <w:highlight w:val="none"/>
          <w:woUserID w:val="1"/>
        </w:rPr>
        <w:sectPr>
          <w:headerReference r:id="rId6" w:type="default"/>
          <w:footerReference r:id="rId7" w:type="default"/>
          <w:pgSz w:w="16838" w:h="11906" w:orient="landscape"/>
          <w:pgMar w:top="1803" w:right="1440" w:bottom="1803" w:left="1440" w:header="930" w:footer="992" w:gutter="0"/>
          <w:pgBorders>
            <w:top w:val="none" w:sz="0" w:space="0"/>
            <w:left w:val="none" w:sz="0" w:space="0"/>
            <w:bottom w:val="none" w:sz="0" w:space="0"/>
            <w:right w:val="none" w:sz="0" w:space="0"/>
          </w:pgBorders>
          <w:cols w:space="720" w:num="1"/>
          <w:docGrid w:linePitch="319" w:charSpace="0"/>
        </w:sectPr>
      </w:pPr>
    </w:p>
    <w:p w14:paraId="5246A653">
      <w:pPr>
        <w:pStyle w:val="23"/>
        <w:spacing w:line="240" w:lineRule="auto"/>
        <w:ind w:firstLine="0" w:firstLineChars="0"/>
        <w:rPr>
          <w:color w:val="auto"/>
          <w:highlight w:val="none"/>
        </w:rPr>
      </w:pPr>
    </w:p>
    <w:p w14:paraId="25AAB178">
      <w:pPr>
        <w:pStyle w:val="23"/>
        <w:spacing w:line="240" w:lineRule="auto"/>
        <w:ind w:firstLine="0" w:firstLineChars="0"/>
        <w:rPr>
          <w:color w:val="auto"/>
          <w:highlight w:val="none"/>
        </w:rPr>
      </w:pPr>
    </w:p>
    <w:p w14:paraId="12B85EEF">
      <w:pPr>
        <w:pStyle w:val="23"/>
        <w:spacing w:line="240" w:lineRule="auto"/>
        <w:ind w:firstLine="0" w:firstLineChars="0"/>
        <w:rPr>
          <w:color w:val="auto"/>
          <w:highlight w:val="none"/>
        </w:rPr>
      </w:pPr>
    </w:p>
    <w:p w14:paraId="7C99881D">
      <w:pPr>
        <w:pStyle w:val="23"/>
        <w:spacing w:line="240" w:lineRule="auto"/>
        <w:ind w:firstLine="0" w:firstLineChars="0"/>
        <w:rPr>
          <w:color w:val="auto"/>
          <w:highlight w:val="none"/>
        </w:rPr>
      </w:pPr>
    </w:p>
    <w:p w14:paraId="737515C4">
      <w:pPr>
        <w:pStyle w:val="23"/>
        <w:spacing w:line="240" w:lineRule="auto"/>
        <w:ind w:firstLine="0" w:firstLineChars="0"/>
        <w:rPr>
          <w:color w:val="auto"/>
          <w:highlight w:val="none"/>
        </w:rPr>
      </w:pPr>
    </w:p>
    <w:p w14:paraId="2941C954">
      <w:pPr>
        <w:pStyle w:val="23"/>
        <w:spacing w:line="240" w:lineRule="auto"/>
        <w:ind w:firstLine="0" w:firstLineChars="0"/>
        <w:rPr>
          <w:color w:val="auto"/>
          <w:highlight w:val="none"/>
        </w:rPr>
      </w:pPr>
    </w:p>
    <w:p w14:paraId="451D6C2E">
      <w:pPr>
        <w:pStyle w:val="23"/>
        <w:spacing w:line="240" w:lineRule="auto"/>
        <w:ind w:firstLine="0" w:firstLineChars="0"/>
        <w:rPr>
          <w:color w:val="auto"/>
          <w:highlight w:val="none"/>
        </w:rPr>
      </w:pPr>
    </w:p>
    <w:p w14:paraId="31FCE540">
      <w:pPr>
        <w:pStyle w:val="23"/>
        <w:spacing w:line="240" w:lineRule="auto"/>
        <w:ind w:firstLine="0" w:firstLineChars="0"/>
        <w:rPr>
          <w:color w:val="auto"/>
          <w:highlight w:val="none"/>
        </w:rPr>
      </w:pPr>
    </w:p>
    <w:p w14:paraId="780901BB">
      <w:pPr>
        <w:pStyle w:val="23"/>
        <w:spacing w:line="240" w:lineRule="auto"/>
        <w:ind w:firstLine="0" w:firstLineChars="0"/>
        <w:rPr>
          <w:color w:val="auto"/>
          <w:highlight w:val="none"/>
        </w:rPr>
      </w:pPr>
    </w:p>
    <w:p w14:paraId="6D80BEA7">
      <w:pPr>
        <w:pStyle w:val="23"/>
        <w:spacing w:line="240" w:lineRule="auto"/>
        <w:ind w:firstLine="0" w:firstLineChars="0"/>
        <w:rPr>
          <w:color w:val="auto"/>
          <w:highlight w:val="none"/>
        </w:rPr>
      </w:pPr>
    </w:p>
    <w:p w14:paraId="060682D1">
      <w:pPr>
        <w:pStyle w:val="23"/>
        <w:spacing w:line="240" w:lineRule="auto"/>
        <w:ind w:firstLine="0" w:firstLineChars="0"/>
        <w:rPr>
          <w:color w:val="auto"/>
          <w:highlight w:val="none"/>
        </w:rPr>
      </w:pPr>
    </w:p>
    <w:p w14:paraId="1C9F0CCE">
      <w:pPr>
        <w:pStyle w:val="23"/>
        <w:spacing w:line="240" w:lineRule="auto"/>
        <w:ind w:firstLine="0" w:firstLineChars="0"/>
        <w:rPr>
          <w:color w:val="auto"/>
          <w:highlight w:val="none"/>
        </w:rPr>
      </w:pPr>
    </w:p>
    <w:p w14:paraId="34F5EBFA">
      <w:pPr>
        <w:pStyle w:val="23"/>
        <w:spacing w:line="240" w:lineRule="auto"/>
        <w:ind w:firstLine="0" w:firstLineChars="0"/>
        <w:rPr>
          <w:color w:val="auto"/>
          <w:highlight w:val="none"/>
        </w:rPr>
      </w:pPr>
    </w:p>
    <w:p w14:paraId="321D3CF3">
      <w:pPr>
        <w:pStyle w:val="23"/>
        <w:spacing w:line="240" w:lineRule="auto"/>
        <w:ind w:firstLine="0" w:firstLineChars="0"/>
        <w:rPr>
          <w:color w:val="auto"/>
          <w:highlight w:val="none"/>
        </w:rPr>
      </w:pPr>
    </w:p>
    <w:p w14:paraId="675CF37A">
      <w:pPr>
        <w:pStyle w:val="23"/>
        <w:spacing w:line="240" w:lineRule="auto"/>
        <w:ind w:firstLine="0" w:firstLineChars="0"/>
        <w:rPr>
          <w:rFonts w:hint="eastAsia"/>
          <w:color w:val="auto"/>
          <w:highlight w:val="none"/>
          <w:lang w:eastAsia="zh-CN"/>
        </w:rPr>
      </w:pPr>
    </w:p>
    <w:p w14:paraId="47C535B8">
      <w:pPr>
        <w:pStyle w:val="23"/>
        <w:spacing w:line="240" w:lineRule="auto"/>
        <w:ind w:firstLine="0" w:firstLineChars="0"/>
        <w:rPr>
          <w:rFonts w:hint="eastAsia" w:eastAsia="宋体" w:cs="宋体"/>
          <w:color w:val="auto"/>
          <w:highlight w:val="none"/>
          <w:lang w:eastAsia="zh-CN"/>
        </w:rPr>
      </w:pPr>
    </w:p>
    <w:p w14:paraId="012A841F">
      <w:pPr>
        <w:pStyle w:val="23"/>
        <w:ind w:firstLine="0" w:firstLineChars="0"/>
        <w:rPr>
          <w:rFonts w:cs="宋体"/>
          <w:color w:val="auto"/>
          <w:highlight w:val="none"/>
        </w:rPr>
      </w:pPr>
    </w:p>
    <w:p w14:paraId="2DF21E7E">
      <w:pPr>
        <w:pStyle w:val="23"/>
        <w:ind w:firstLine="0" w:firstLineChars="0"/>
        <w:rPr>
          <w:rFonts w:cs="宋体"/>
          <w:color w:val="auto"/>
          <w:highlight w:val="none"/>
        </w:rPr>
      </w:pPr>
    </w:p>
    <w:p w14:paraId="26ADAC8A">
      <w:pPr>
        <w:pStyle w:val="23"/>
        <w:ind w:firstLine="0" w:firstLineChars="0"/>
        <w:rPr>
          <w:rFonts w:cs="宋体"/>
          <w:color w:val="auto"/>
          <w:highlight w:val="none"/>
        </w:rPr>
      </w:pPr>
    </w:p>
    <w:p w14:paraId="427F5EA6">
      <w:pPr>
        <w:pStyle w:val="23"/>
        <w:ind w:firstLine="0" w:firstLineChars="0"/>
        <w:rPr>
          <w:rFonts w:cs="宋体"/>
          <w:color w:val="auto"/>
          <w:highlight w:val="none"/>
        </w:rPr>
      </w:pPr>
    </w:p>
    <w:p w14:paraId="4016D113">
      <w:pPr>
        <w:pStyle w:val="23"/>
        <w:ind w:firstLine="0" w:firstLineChars="0"/>
        <w:rPr>
          <w:rFonts w:cs="宋体"/>
          <w:color w:val="auto"/>
          <w:highlight w:val="none"/>
        </w:rPr>
      </w:pPr>
    </w:p>
    <w:p w14:paraId="5B3FEFDF">
      <w:pPr>
        <w:pStyle w:val="23"/>
        <w:ind w:firstLine="0" w:firstLineChars="0"/>
        <w:rPr>
          <w:rFonts w:cs="宋体"/>
          <w:color w:val="auto"/>
          <w:highlight w:val="none"/>
        </w:rPr>
      </w:pPr>
    </w:p>
    <w:p w14:paraId="3E969D4F">
      <w:pPr>
        <w:pStyle w:val="23"/>
        <w:ind w:firstLine="0" w:firstLineChars="0"/>
        <w:rPr>
          <w:rFonts w:cs="宋体"/>
          <w:color w:val="auto"/>
          <w:highlight w:val="none"/>
        </w:rPr>
      </w:pPr>
    </w:p>
    <w:p w14:paraId="35646E54">
      <w:pPr>
        <w:pStyle w:val="23"/>
        <w:ind w:firstLine="0" w:firstLineChars="0"/>
        <w:rPr>
          <w:rFonts w:cs="宋体"/>
          <w:color w:val="auto"/>
          <w:highlight w:val="none"/>
        </w:rPr>
      </w:pPr>
    </w:p>
    <w:p w14:paraId="5196BDBF">
      <w:pPr>
        <w:pStyle w:val="23"/>
        <w:ind w:firstLine="0" w:firstLineChars="0"/>
        <w:rPr>
          <w:rFonts w:cs="宋体"/>
          <w:color w:val="auto"/>
          <w:highlight w:val="none"/>
        </w:rPr>
      </w:pPr>
    </w:p>
    <w:p w14:paraId="6C1275A5">
      <w:pPr>
        <w:pStyle w:val="23"/>
        <w:ind w:firstLine="0" w:firstLineChars="0"/>
        <w:rPr>
          <w:rFonts w:cs="宋体"/>
          <w:color w:val="auto"/>
          <w:highlight w:val="none"/>
        </w:rPr>
      </w:pPr>
    </w:p>
    <w:p w14:paraId="1256A55C">
      <w:pPr>
        <w:pStyle w:val="23"/>
        <w:ind w:firstLine="0" w:firstLineChars="0"/>
        <w:rPr>
          <w:rFonts w:cs="宋体"/>
          <w:color w:val="auto"/>
          <w:highlight w:val="none"/>
        </w:rPr>
      </w:pPr>
      <w:r>
        <w:rPr>
          <w:color w:val="auto"/>
          <w:highlight w:val="none"/>
        </w:rPr>
        <w:drawing>
          <wp:anchor distT="0" distB="0" distL="114300" distR="114300" simplePos="0" relativeHeight="251659264" behindDoc="1" locked="0" layoutInCell="1" allowOverlap="1">
            <wp:simplePos x="0" y="0"/>
            <wp:positionH relativeFrom="column">
              <wp:posOffset>0</wp:posOffset>
            </wp:positionH>
            <wp:positionV relativeFrom="paragraph">
              <wp:posOffset>-5833110</wp:posOffset>
            </wp:positionV>
            <wp:extent cx="5272405" cy="6061075"/>
            <wp:effectExtent l="0" t="0" r="4445" b="635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0"/>
                    <a:stretch>
                      <a:fillRect/>
                    </a:stretch>
                  </pic:blipFill>
                  <pic:spPr>
                    <a:xfrm>
                      <a:off x="0" y="0"/>
                      <a:ext cx="5272405" cy="6061075"/>
                    </a:xfrm>
                    <a:prstGeom prst="rect">
                      <a:avLst/>
                    </a:prstGeom>
                    <a:noFill/>
                    <a:ln>
                      <a:noFill/>
                    </a:ln>
                  </pic:spPr>
                </pic:pic>
              </a:graphicData>
            </a:graphic>
          </wp:anchor>
        </w:drawing>
      </w:r>
    </w:p>
    <w:p w14:paraId="0B2E10DB">
      <w:pPr>
        <w:pStyle w:val="23"/>
        <w:ind w:firstLine="0" w:firstLineChars="0"/>
        <w:rPr>
          <w:rFonts w:cs="宋体"/>
          <w:color w:val="auto"/>
          <w:highlight w:val="none"/>
        </w:rPr>
      </w:pPr>
    </w:p>
    <w:p w14:paraId="4AC25858">
      <w:pPr>
        <w:pStyle w:val="23"/>
        <w:ind w:firstLine="0" w:firstLineChars="0"/>
        <w:rPr>
          <w:rFonts w:cs="宋体"/>
          <w:color w:val="auto"/>
          <w:highlight w:val="none"/>
        </w:rPr>
      </w:pPr>
    </w:p>
    <w:p w14:paraId="5C9186DF">
      <w:pPr>
        <w:pStyle w:val="23"/>
        <w:ind w:firstLine="0" w:firstLineChars="0"/>
        <w:rPr>
          <w:rFonts w:cs="宋体"/>
          <w:color w:val="auto"/>
          <w:highlight w:val="none"/>
        </w:rPr>
      </w:pPr>
    </w:p>
    <w:p w14:paraId="631F3D68">
      <w:pPr>
        <w:pStyle w:val="23"/>
        <w:ind w:firstLine="0" w:firstLineChars="0"/>
        <w:rPr>
          <w:rFonts w:cs="宋体"/>
          <w:color w:val="auto"/>
          <w:highlight w:val="none"/>
        </w:rPr>
      </w:pPr>
    </w:p>
    <w:p w14:paraId="6912590F">
      <w:pPr>
        <w:pStyle w:val="23"/>
        <w:ind w:firstLine="0" w:firstLineChars="0"/>
        <w:rPr>
          <w:rFonts w:cs="宋体"/>
          <w:color w:val="auto"/>
          <w:highlight w:val="none"/>
        </w:rPr>
      </w:pPr>
    </w:p>
    <w:p w14:paraId="3EDD8661">
      <w:pPr>
        <w:pStyle w:val="23"/>
        <w:ind w:firstLine="0" w:firstLineChars="0"/>
        <w:rPr>
          <w:rFonts w:cs="宋体"/>
          <w:color w:val="auto"/>
          <w:highlight w:val="none"/>
        </w:rPr>
      </w:pPr>
    </w:p>
    <w:p w14:paraId="774B7161">
      <w:pPr>
        <w:pStyle w:val="23"/>
        <w:ind w:firstLine="0" w:firstLineChars="0"/>
        <w:rPr>
          <w:rFonts w:cs="宋体"/>
          <w:color w:val="auto"/>
          <w:highlight w:val="none"/>
        </w:rPr>
      </w:pPr>
    </w:p>
    <w:p w14:paraId="226FD9EF">
      <w:pPr>
        <w:pStyle w:val="23"/>
        <w:ind w:firstLine="0" w:firstLineChars="0"/>
        <w:rPr>
          <w:rFonts w:cs="宋体"/>
          <w:color w:val="auto"/>
          <w:highlight w:val="none"/>
        </w:rPr>
      </w:pPr>
    </w:p>
    <w:p w14:paraId="3AE69C7A">
      <w:pPr>
        <w:pStyle w:val="23"/>
        <w:ind w:firstLine="0" w:firstLineChars="0"/>
        <w:rPr>
          <w:rFonts w:cs="宋体"/>
          <w:color w:val="auto"/>
          <w:highlight w:val="none"/>
        </w:rPr>
      </w:pPr>
    </w:p>
    <w:p w14:paraId="6E0EF795">
      <w:pPr>
        <w:pStyle w:val="23"/>
        <w:ind w:firstLine="0" w:firstLineChars="0"/>
        <w:rPr>
          <w:rFonts w:cs="宋体"/>
          <w:color w:val="auto"/>
          <w:highlight w:val="none"/>
        </w:rPr>
      </w:pPr>
      <w:r>
        <w:rPr>
          <w:color w:val="auto"/>
          <w:highlight w:val="none"/>
        </w:rPr>
        <w:drawing>
          <wp:anchor distT="0" distB="0" distL="114300" distR="114300" simplePos="0" relativeHeight="251660288" behindDoc="1" locked="0" layoutInCell="1" allowOverlap="1">
            <wp:simplePos x="0" y="0"/>
            <wp:positionH relativeFrom="column">
              <wp:posOffset>-9525</wp:posOffset>
            </wp:positionH>
            <wp:positionV relativeFrom="paragraph">
              <wp:posOffset>72390</wp:posOffset>
            </wp:positionV>
            <wp:extent cx="5269230" cy="7143115"/>
            <wp:effectExtent l="0" t="0" r="7620" b="63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1"/>
                    <a:stretch>
                      <a:fillRect/>
                    </a:stretch>
                  </pic:blipFill>
                  <pic:spPr>
                    <a:xfrm>
                      <a:off x="0" y="0"/>
                      <a:ext cx="5269230" cy="7143115"/>
                    </a:xfrm>
                    <a:prstGeom prst="rect">
                      <a:avLst/>
                    </a:prstGeom>
                    <a:noFill/>
                    <a:ln>
                      <a:noFill/>
                    </a:ln>
                  </pic:spPr>
                </pic:pic>
              </a:graphicData>
            </a:graphic>
          </wp:anchor>
        </w:drawing>
      </w:r>
    </w:p>
    <w:p w14:paraId="5BE79498">
      <w:pPr>
        <w:pStyle w:val="23"/>
        <w:ind w:firstLine="0" w:firstLineChars="0"/>
        <w:rPr>
          <w:rFonts w:cs="宋体"/>
          <w:color w:val="auto"/>
          <w:highlight w:val="none"/>
        </w:rPr>
      </w:pPr>
    </w:p>
    <w:p w14:paraId="3A126CF5">
      <w:pPr>
        <w:pStyle w:val="23"/>
        <w:ind w:firstLine="0" w:firstLineChars="0"/>
        <w:rPr>
          <w:rFonts w:cs="宋体"/>
          <w:color w:val="auto"/>
          <w:highlight w:val="none"/>
        </w:rPr>
      </w:pPr>
    </w:p>
    <w:p w14:paraId="79E98036">
      <w:pPr>
        <w:pStyle w:val="23"/>
        <w:ind w:firstLine="0" w:firstLineChars="0"/>
        <w:rPr>
          <w:rFonts w:cs="宋体"/>
          <w:color w:val="auto"/>
          <w:highlight w:val="none"/>
        </w:rPr>
      </w:pPr>
    </w:p>
    <w:p w14:paraId="7D4CD90B">
      <w:pPr>
        <w:pStyle w:val="23"/>
        <w:ind w:firstLine="0" w:firstLineChars="0"/>
        <w:rPr>
          <w:rFonts w:cs="宋体"/>
          <w:color w:val="auto"/>
          <w:highlight w:val="none"/>
        </w:rPr>
      </w:pPr>
    </w:p>
    <w:p w14:paraId="7A00B70E">
      <w:pPr>
        <w:pStyle w:val="23"/>
        <w:ind w:firstLine="0" w:firstLineChars="0"/>
        <w:rPr>
          <w:rFonts w:cs="宋体"/>
          <w:color w:val="auto"/>
          <w:highlight w:val="none"/>
        </w:rPr>
      </w:pPr>
    </w:p>
    <w:p w14:paraId="59579B1F">
      <w:pPr>
        <w:pStyle w:val="23"/>
        <w:ind w:firstLine="0" w:firstLineChars="0"/>
        <w:rPr>
          <w:rFonts w:cs="宋体"/>
          <w:color w:val="auto"/>
          <w:highlight w:val="none"/>
        </w:rPr>
      </w:pPr>
    </w:p>
    <w:p w14:paraId="44750D94">
      <w:pPr>
        <w:pStyle w:val="23"/>
        <w:ind w:firstLine="0" w:firstLineChars="0"/>
        <w:rPr>
          <w:rFonts w:cs="宋体"/>
          <w:color w:val="auto"/>
          <w:highlight w:val="none"/>
        </w:rPr>
      </w:pPr>
    </w:p>
    <w:p w14:paraId="66E4FCE0">
      <w:pPr>
        <w:pStyle w:val="23"/>
        <w:ind w:firstLine="0" w:firstLineChars="0"/>
        <w:rPr>
          <w:rFonts w:cs="宋体"/>
          <w:color w:val="auto"/>
          <w:highlight w:val="none"/>
        </w:rPr>
      </w:pPr>
    </w:p>
    <w:p w14:paraId="050BA435">
      <w:pPr>
        <w:pStyle w:val="23"/>
        <w:ind w:firstLine="0" w:firstLineChars="0"/>
        <w:rPr>
          <w:rFonts w:cs="宋体"/>
          <w:color w:val="auto"/>
          <w:highlight w:val="none"/>
        </w:rPr>
      </w:pPr>
    </w:p>
    <w:p w14:paraId="6F08B6EC">
      <w:pPr>
        <w:pStyle w:val="23"/>
        <w:ind w:firstLine="0" w:firstLineChars="0"/>
        <w:rPr>
          <w:rFonts w:cs="宋体"/>
          <w:color w:val="auto"/>
          <w:highlight w:val="none"/>
        </w:rPr>
      </w:pPr>
    </w:p>
    <w:p w14:paraId="4634365D">
      <w:pPr>
        <w:pStyle w:val="23"/>
        <w:ind w:firstLine="0" w:firstLineChars="0"/>
        <w:rPr>
          <w:rFonts w:cs="宋体"/>
          <w:color w:val="auto"/>
          <w:highlight w:val="none"/>
        </w:rPr>
      </w:pPr>
    </w:p>
    <w:p w14:paraId="1BE9A043">
      <w:pPr>
        <w:pStyle w:val="23"/>
        <w:ind w:firstLine="0" w:firstLineChars="0"/>
        <w:rPr>
          <w:rFonts w:cs="宋体"/>
          <w:color w:val="auto"/>
          <w:highlight w:val="none"/>
        </w:rPr>
      </w:pPr>
    </w:p>
    <w:p w14:paraId="5A5C1EC7">
      <w:pPr>
        <w:pStyle w:val="23"/>
        <w:ind w:firstLine="0" w:firstLineChars="0"/>
        <w:rPr>
          <w:rFonts w:cs="宋体"/>
          <w:color w:val="auto"/>
          <w:highlight w:val="none"/>
        </w:rPr>
      </w:pPr>
    </w:p>
    <w:p w14:paraId="0EF057AA">
      <w:pPr>
        <w:pStyle w:val="23"/>
        <w:ind w:firstLine="0" w:firstLineChars="0"/>
        <w:rPr>
          <w:rFonts w:cs="宋体"/>
          <w:color w:val="auto"/>
          <w:highlight w:val="none"/>
        </w:rPr>
      </w:pPr>
    </w:p>
    <w:p w14:paraId="51C80892">
      <w:pPr>
        <w:pStyle w:val="23"/>
        <w:ind w:firstLine="0" w:firstLineChars="0"/>
        <w:rPr>
          <w:rFonts w:cs="宋体"/>
          <w:color w:val="auto"/>
          <w:highlight w:val="none"/>
        </w:rPr>
      </w:pPr>
    </w:p>
    <w:p w14:paraId="25363FCD">
      <w:pPr>
        <w:pStyle w:val="23"/>
        <w:ind w:firstLine="0" w:firstLineChars="0"/>
        <w:rPr>
          <w:rFonts w:cs="宋体"/>
          <w:color w:val="auto"/>
          <w:highlight w:val="none"/>
        </w:rPr>
      </w:pPr>
    </w:p>
    <w:p w14:paraId="56F822D0">
      <w:pPr>
        <w:pStyle w:val="23"/>
        <w:ind w:firstLine="0" w:firstLineChars="0"/>
        <w:rPr>
          <w:rFonts w:cs="宋体"/>
          <w:color w:val="auto"/>
          <w:highlight w:val="none"/>
        </w:rPr>
      </w:pPr>
    </w:p>
    <w:p w14:paraId="65D20839">
      <w:pPr>
        <w:pStyle w:val="23"/>
        <w:ind w:firstLine="0" w:firstLineChars="0"/>
        <w:rPr>
          <w:rFonts w:cs="宋体"/>
          <w:color w:val="auto"/>
          <w:highlight w:val="none"/>
        </w:rPr>
      </w:pPr>
    </w:p>
    <w:p w14:paraId="7CB079F0">
      <w:pPr>
        <w:pStyle w:val="23"/>
        <w:ind w:firstLine="0" w:firstLineChars="0"/>
        <w:rPr>
          <w:rFonts w:cs="宋体"/>
          <w:color w:val="auto"/>
          <w:highlight w:val="none"/>
        </w:rPr>
      </w:pPr>
    </w:p>
    <w:p w14:paraId="3ACBF0ED">
      <w:pPr>
        <w:pStyle w:val="23"/>
        <w:ind w:firstLine="0" w:firstLineChars="0"/>
        <w:rPr>
          <w:rFonts w:cs="宋体"/>
          <w:color w:val="auto"/>
          <w:highlight w:val="none"/>
        </w:rPr>
      </w:pPr>
    </w:p>
    <w:p w14:paraId="18DC1BB8">
      <w:pPr>
        <w:pStyle w:val="23"/>
        <w:ind w:firstLine="0" w:firstLineChars="0"/>
        <w:rPr>
          <w:rFonts w:cs="宋体"/>
          <w:color w:val="auto"/>
          <w:highlight w:val="none"/>
        </w:rPr>
      </w:pPr>
    </w:p>
    <w:p w14:paraId="5BE450FC">
      <w:pPr>
        <w:pStyle w:val="23"/>
        <w:ind w:firstLine="0" w:firstLineChars="0"/>
        <w:rPr>
          <w:rFonts w:cs="宋体"/>
          <w:color w:val="auto"/>
          <w:highlight w:val="none"/>
        </w:rPr>
      </w:pPr>
    </w:p>
    <w:p w14:paraId="44DF1489">
      <w:pPr>
        <w:pStyle w:val="23"/>
        <w:ind w:firstLine="0" w:firstLineChars="0"/>
        <w:rPr>
          <w:rFonts w:cs="宋体"/>
          <w:color w:val="auto"/>
          <w:highlight w:val="none"/>
        </w:rPr>
      </w:pPr>
    </w:p>
    <w:p w14:paraId="1BC3F791">
      <w:pPr>
        <w:pStyle w:val="23"/>
        <w:ind w:firstLine="0" w:firstLineChars="0"/>
        <w:rPr>
          <w:rFonts w:cs="宋体"/>
          <w:color w:val="auto"/>
          <w:highlight w:val="none"/>
        </w:rPr>
      </w:pPr>
    </w:p>
    <w:p w14:paraId="12CC62F3">
      <w:pPr>
        <w:pStyle w:val="23"/>
        <w:ind w:firstLine="0" w:firstLineChars="0"/>
        <w:rPr>
          <w:rFonts w:cs="宋体"/>
          <w:color w:val="auto"/>
          <w:highlight w:val="none"/>
        </w:rPr>
      </w:pPr>
    </w:p>
    <w:p w14:paraId="4CEFC31F">
      <w:pPr>
        <w:pStyle w:val="23"/>
        <w:ind w:firstLine="0" w:firstLineChars="0"/>
        <w:rPr>
          <w:rFonts w:cs="宋体"/>
          <w:color w:val="auto"/>
          <w:highlight w:val="none"/>
        </w:rPr>
      </w:pPr>
      <w:r>
        <w:rPr>
          <w:color w:val="auto"/>
          <w:highlight w:val="none"/>
        </w:rPr>
        <w:drawing>
          <wp:anchor distT="0" distB="0" distL="114300" distR="114300" simplePos="0" relativeHeight="251661312" behindDoc="1" locked="0" layoutInCell="1" allowOverlap="1">
            <wp:simplePos x="0" y="0"/>
            <wp:positionH relativeFrom="column">
              <wp:posOffset>19050</wp:posOffset>
            </wp:positionH>
            <wp:positionV relativeFrom="paragraph">
              <wp:posOffset>120015</wp:posOffset>
            </wp:positionV>
            <wp:extent cx="5271770" cy="7242810"/>
            <wp:effectExtent l="0" t="0" r="5080" b="571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2"/>
                    <a:stretch>
                      <a:fillRect/>
                    </a:stretch>
                  </pic:blipFill>
                  <pic:spPr>
                    <a:xfrm>
                      <a:off x="0" y="0"/>
                      <a:ext cx="5271770" cy="7242810"/>
                    </a:xfrm>
                    <a:prstGeom prst="rect">
                      <a:avLst/>
                    </a:prstGeom>
                    <a:noFill/>
                    <a:ln>
                      <a:noFill/>
                    </a:ln>
                  </pic:spPr>
                </pic:pic>
              </a:graphicData>
            </a:graphic>
          </wp:anchor>
        </w:drawing>
      </w:r>
    </w:p>
    <w:p w14:paraId="499D01B7">
      <w:pPr>
        <w:pStyle w:val="23"/>
        <w:ind w:firstLine="0" w:firstLineChars="0"/>
        <w:rPr>
          <w:rFonts w:cs="宋体"/>
          <w:color w:val="auto"/>
          <w:highlight w:val="none"/>
        </w:rPr>
      </w:pPr>
    </w:p>
    <w:p w14:paraId="1CA70041">
      <w:pPr>
        <w:pStyle w:val="23"/>
        <w:ind w:firstLine="0" w:firstLineChars="0"/>
        <w:rPr>
          <w:rFonts w:cs="宋体"/>
          <w:color w:val="auto"/>
          <w:highlight w:val="none"/>
        </w:rPr>
      </w:pPr>
    </w:p>
    <w:p w14:paraId="3231A7B3">
      <w:pPr>
        <w:pStyle w:val="23"/>
        <w:ind w:firstLine="0" w:firstLineChars="0"/>
        <w:rPr>
          <w:rFonts w:cs="宋体"/>
          <w:color w:val="auto"/>
          <w:highlight w:val="none"/>
        </w:rPr>
      </w:pPr>
    </w:p>
    <w:p w14:paraId="516F6B22">
      <w:pPr>
        <w:pStyle w:val="23"/>
        <w:ind w:firstLine="0" w:firstLineChars="0"/>
        <w:rPr>
          <w:rFonts w:cs="宋体"/>
          <w:color w:val="auto"/>
          <w:highlight w:val="none"/>
        </w:rPr>
      </w:pPr>
    </w:p>
    <w:p w14:paraId="337530B5">
      <w:pPr>
        <w:pStyle w:val="23"/>
        <w:ind w:firstLine="0" w:firstLineChars="0"/>
        <w:rPr>
          <w:rFonts w:cs="宋体"/>
          <w:color w:val="auto"/>
          <w:highlight w:val="none"/>
        </w:rPr>
      </w:pPr>
    </w:p>
    <w:p w14:paraId="0A47A939">
      <w:pPr>
        <w:pStyle w:val="23"/>
        <w:ind w:firstLine="0" w:firstLineChars="0"/>
        <w:rPr>
          <w:rFonts w:cs="宋体"/>
          <w:color w:val="auto"/>
          <w:highlight w:val="none"/>
        </w:rPr>
      </w:pPr>
    </w:p>
    <w:p w14:paraId="764FB126">
      <w:pPr>
        <w:pStyle w:val="23"/>
        <w:ind w:firstLine="0" w:firstLineChars="0"/>
        <w:rPr>
          <w:rFonts w:cs="宋体"/>
          <w:color w:val="auto"/>
          <w:highlight w:val="none"/>
        </w:rPr>
      </w:pPr>
    </w:p>
    <w:p w14:paraId="6B3A0F17">
      <w:pPr>
        <w:pStyle w:val="23"/>
        <w:ind w:firstLine="0" w:firstLineChars="0"/>
        <w:rPr>
          <w:rFonts w:cs="宋体"/>
          <w:color w:val="auto"/>
          <w:highlight w:val="none"/>
        </w:rPr>
      </w:pPr>
    </w:p>
    <w:p w14:paraId="463E4106">
      <w:pPr>
        <w:pStyle w:val="23"/>
        <w:ind w:firstLine="0" w:firstLineChars="0"/>
        <w:rPr>
          <w:rFonts w:cs="宋体"/>
          <w:color w:val="auto"/>
          <w:highlight w:val="none"/>
        </w:rPr>
      </w:pPr>
    </w:p>
    <w:p w14:paraId="5DE1286D">
      <w:pPr>
        <w:pStyle w:val="23"/>
        <w:ind w:firstLine="0" w:firstLineChars="0"/>
        <w:rPr>
          <w:rFonts w:cs="宋体"/>
          <w:color w:val="auto"/>
          <w:highlight w:val="none"/>
        </w:rPr>
      </w:pPr>
    </w:p>
    <w:p w14:paraId="6ABCBB5F">
      <w:pPr>
        <w:pStyle w:val="23"/>
        <w:ind w:firstLine="0" w:firstLineChars="0"/>
        <w:rPr>
          <w:rFonts w:cs="宋体"/>
          <w:color w:val="auto"/>
          <w:highlight w:val="none"/>
        </w:rPr>
      </w:pPr>
    </w:p>
    <w:p w14:paraId="1FB28572">
      <w:pPr>
        <w:pStyle w:val="23"/>
        <w:ind w:firstLine="0" w:firstLineChars="0"/>
        <w:rPr>
          <w:rFonts w:cs="宋体"/>
          <w:color w:val="auto"/>
          <w:highlight w:val="none"/>
        </w:rPr>
      </w:pPr>
    </w:p>
    <w:p w14:paraId="4C5CAD53">
      <w:pPr>
        <w:pStyle w:val="23"/>
        <w:ind w:firstLine="0" w:firstLineChars="0"/>
        <w:rPr>
          <w:rFonts w:cs="宋体"/>
          <w:color w:val="auto"/>
          <w:highlight w:val="none"/>
        </w:rPr>
      </w:pPr>
    </w:p>
    <w:p w14:paraId="04922661">
      <w:pPr>
        <w:pStyle w:val="23"/>
        <w:ind w:firstLine="0" w:firstLineChars="0"/>
        <w:rPr>
          <w:rFonts w:cs="宋体"/>
          <w:color w:val="auto"/>
          <w:highlight w:val="none"/>
        </w:rPr>
      </w:pPr>
    </w:p>
    <w:p w14:paraId="7D163982">
      <w:pPr>
        <w:pStyle w:val="23"/>
        <w:ind w:firstLine="0" w:firstLineChars="0"/>
        <w:rPr>
          <w:rFonts w:cs="宋体"/>
          <w:color w:val="auto"/>
          <w:highlight w:val="none"/>
        </w:rPr>
      </w:pPr>
    </w:p>
    <w:p w14:paraId="26C017FF">
      <w:pPr>
        <w:pStyle w:val="23"/>
        <w:ind w:firstLine="0" w:firstLineChars="0"/>
        <w:rPr>
          <w:rFonts w:cs="宋体"/>
          <w:color w:val="auto"/>
          <w:highlight w:val="none"/>
        </w:rPr>
      </w:pPr>
    </w:p>
    <w:p w14:paraId="37CCDC34">
      <w:pPr>
        <w:pStyle w:val="23"/>
        <w:ind w:firstLine="0" w:firstLineChars="0"/>
        <w:rPr>
          <w:rFonts w:cs="宋体"/>
          <w:color w:val="auto"/>
          <w:highlight w:val="none"/>
        </w:rPr>
      </w:pPr>
    </w:p>
    <w:p w14:paraId="5813D002">
      <w:pPr>
        <w:pStyle w:val="23"/>
        <w:ind w:firstLine="0" w:firstLineChars="0"/>
        <w:rPr>
          <w:rFonts w:cs="宋体"/>
          <w:color w:val="auto"/>
          <w:highlight w:val="none"/>
        </w:rPr>
      </w:pPr>
    </w:p>
    <w:p w14:paraId="73A07B88">
      <w:pPr>
        <w:pStyle w:val="23"/>
        <w:ind w:firstLine="0" w:firstLineChars="0"/>
        <w:rPr>
          <w:rFonts w:cs="宋体"/>
          <w:color w:val="auto"/>
          <w:highlight w:val="none"/>
        </w:rPr>
      </w:pPr>
    </w:p>
    <w:p w14:paraId="404DB28A">
      <w:pPr>
        <w:pStyle w:val="23"/>
        <w:ind w:firstLine="0" w:firstLineChars="0"/>
        <w:rPr>
          <w:rFonts w:cs="宋体"/>
          <w:color w:val="auto"/>
          <w:highlight w:val="none"/>
        </w:rPr>
      </w:pPr>
    </w:p>
    <w:p w14:paraId="15F20021">
      <w:pPr>
        <w:pStyle w:val="23"/>
        <w:ind w:firstLine="0" w:firstLineChars="0"/>
        <w:rPr>
          <w:rFonts w:cs="宋体"/>
          <w:color w:val="auto"/>
          <w:highlight w:val="none"/>
        </w:rPr>
      </w:pPr>
    </w:p>
    <w:p w14:paraId="177F92E3">
      <w:pPr>
        <w:pStyle w:val="23"/>
        <w:ind w:firstLine="0" w:firstLineChars="0"/>
        <w:rPr>
          <w:rFonts w:cs="宋体"/>
          <w:color w:val="auto"/>
          <w:highlight w:val="none"/>
        </w:rPr>
      </w:pPr>
    </w:p>
    <w:p w14:paraId="41E5BD4A">
      <w:pPr>
        <w:pStyle w:val="23"/>
        <w:ind w:firstLine="0" w:firstLineChars="0"/>
        <w:rPr>
          <w:rFonts w:cs="宋体"/>
          <w:color w:val="auto"/>
          <w:highlight w:val="none"/>
        </w:rPr>
      </w:pPr>
    </w:p>
    <w:p w14:paraId="71BF82CA">
      <w:pPr>
        <w:pStyle w:val="23"/>
        <w:ind w:firstLine="0" w:firstLineChars="0"/>
        <w:rPr>
          <w:rFonts w:cs="宋体"/>
          <w:color w:val="auto"/>
          <w:highlight w:val="none"/>
        </w:rPr>
      </w:pPr>
    </w:p>
    <w:p w14:paraId="2DE91E83">
      <w:pPr>
        <w:pStyle w:val="23"/>
        <w:ind w:firstLine="0" w:firstLineChars="0"/>
        <w:rPr>
          <w:rFonts w:cs="宋体"/>
          <w:color w:val="auto"/>
          <w:highlight w:val="none"/>
        </w:rPr>
      </w:pPr>
    </w:p>
    <w:p w14:paraId="314D523E">
      <w:pPr>
        <w:pStyle w:val="23"/>
        <w:ind w:firstLine="0" w:firstLineChars="0"/>
        <w:rPr>
          <w:rFonts w:cs="宋体"/>
          <w:color w:val="auto"/>
          <w:highlight w:val="none"/>
        </w:rPr>
      </w:pPr>
    </w:p>
    <w:p w14:paraId="495D042E">
      <w:pPr>
        <w:pStyle w:val="23"/>
        <w:ind w:firstLine="0" w:firstLineChars="0"/>
        <w:rPr>
          <w:rFonts w:cs="宋体"/>
          <w:color w:val="auto"/>
          <w:highlight w:val="none"/>
        </w:rPr>
      </w:pPr>
    </w:p>
    <w:p w14:paraId="5056265A">
      <w:pPr>
        <w:pStyle w:val="23"/>
        <w:ind w:firstLine="0" w:firstLineChars="0"/>
        <w:rPr>
          <w:rFonts w:cs="宋体"/>
          <w:color w:val="auto"/>
          <w:highlight w:val="none"/>
        </w:rPr>
      </w:pPr>
      <w:r>
        <w:rPr>
          <w:color w:val="auto"/>
          <w:highlight w:val="none"/>
        </w:rPr>
        <w:drawing>
          <wp:anchor distT="0" distB="0" distL="114300" distR="114300" simplePos="0" relativeHeight="251662336" behindDoc="1" locked="0" layoutInCell="1" allowOverlap="1">
            <wp:simplePos x="0" y="0"/>
            <wp:positionH relativeFrom="column">
              <wp:posOffset>95250</wp:posOffset>
            </wp:positionH>
            <wp:positionV relativeFrom="paragraph">
              <wp:posOffset>-13335</wp:posOffset>
            </wp:positionV>
            <wp:extent cx="5269865" cy="7411720"/>
            <wp:effectExtent l="0" t="0" r="6985" b="8255"/>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43"/>
                    <a:stretch>
                      <a:fillRect/>
                    </a:stretch>
                  </pic:blipFill>
                  <pic:spPr>
                    <a:xfrm>
                      <a:off x="0" y="0"/>
                      <a:ext cx="5269865" cy="7411720"/>
                    </a:xfrm>
                    <a:prstGeom prst="rect">
                      <a:avLst/>
                    </a:prstGeom>
                    <a:noFill/>
                    <a:ln>
                      <a:noFill/>
                    </a:ln>
                  </pic:spPr>
                </pic:pic>
              </a:graphicData>
            </a:graphic>
          </wp:anchor>
        </w:drawing>
      </w:r>
    </w:p>
    <w:p w14:paraId="27223D26">
      <w:pPr>
        <w:pStyle w:val="23"/>
        <w:ind w:firstLine="0" w:firstLineChars="0"/>
        <w:rPr>
          <w:rFonts w:cs="宋体"/>
          <w:color w:val="auto"/>
          <w:highlight w:val="none"/>
        </w:rPr>
      </w:pPr>
    </w:p>
    <w:p w14:paraId="24B5417D">
      <w:pPr>
        <w:pStyle w:val="23"/>
        <w:ind w:firstLine="0" w:firstLineChars="0"/>
        <w:rPr>
          <w:rFonts w:cs="宋体"/>
          <w:color w:val="auto"/>
          <w:highlight w:val="none"/>
        </w:rPr>
      </w:pPr>
    </w:p>
    <w:p w14:paraId="5B620DF0">
      <w:pPr>
        <w:pStyle w:val="23"/>
        <w:ind w:firstLine="0" w:firstLineChars="0"/>
        <w:rPr>
          <w:rFonts w:cs="宋体"/>
          <w:color w:val="auto"/>
          <w:highlight w:val="none"/>
        </w:rPr>
      </w:pPr>
    </w:p>
    <w:p w14:paraId="177E319A">
      <w:pPr>
        <w:pStyle w:val="23"/>
        <w:ind w:firstLine="0" w:firstLineChars="0"/>
        <w:rPr>
          <w:rFonts w:cs="宋体"/>
          <w:color w:val="auto"/>
          <w:highlight w:val="none"/>
        </w:rPr>
      </w:pPr>
    </w:p>
    <w:p w14:paraId="2842A8D0">
      <w:pPr>
        <w:pStyle w:val="23"/>
        <w:ind w:firstLine="0" w:firstLineChars="0"/>
        <w:rPr>
          <w:rFonts w:cs="宋体"/>
          <w:color w:val="auto"/>
          <w:highlight w:val="none"/>
        </w:rPr>
      </w:pPr>
    </w:p>
    <w:p w14:paraId="1CAF7DAF">
      <w:pPr>
        <w:pStyle w:val="23"/>
        <w:ind w:firstLine="0" w:firstLineChars="0"/>
        <w:rPr>
          <w:rFonts w:cs="宋体"/>
          <w:color w:val="auto"/>
          <w:highlight w:val="none"/>
        </w:rPr>
      </w:pPr>
    </w:p>
    <w:p w14:paraId="07D2C9EC">
      <w:pPr>
        <w:pStyle w:val="23"/>
        <w:ind w:firstLine="0" w:firstLineChars="0"/>
        <w:rPr>
          <w:rFonts w:cs="宋体"/>
          <w:color w:val="auto"/>
          <w:highlight w:val="none"/>
        </w:rPr>
      </w:pPr>
    </w:p>
    <w:p w14:paraId="37FD51A8">
      <w:pPr>
        <w:pStyle w:val="23"/>
        <w:ind w:firstLine="0" w:firstLineChars="0"/>
        <w:rPr>
          <w:rFonts w:cs="宋体"/>
          <w:color w:val="auto"/>
          <w:highlight w:val="none"/>
        </w:rPr>
      </w:pPr>
    </w:p>
    <w:p w14:paraId="461DBB0A">
      <w:pPr>
        <w:pStyle w:val="23"/>
        <w:ind w:firstLine="0" w:firstLineChars="0"/>
        <w:rPr>
          <w:rFonts w:cs="宋体"/>
          <w:color w:val="auto"/>
          <w:highlight w:val="none"/>
        </w:rPr>
      </w:pPr>
    </w:p>
    <w:p w14:paraId="7F6683CA">
      <w:pPr>
        <w:pStyle w:val="23"/>
        <w:ind w:firstLine="0" w:firstLineChars="0"/>
        <w:rPr>
          <w:rFonts w:cs="宋体"/>
          <w:color w:val="auto"/>
          <w:highlight w:val="none"/>
        </w:rPr>
      </w:pPr>
    </w:p>
    <w:p w14:paraId="4A889300">
      <w:pPr>
        <w:pStyle w:val="23"/>
        <w:ind w:firstLine="0" w:firstLineChars="0"/>
        <w:rPr>
          <w:rFonts w:cs="宋体"/>
          <w:color w:val="auto"/>
          <w:highlight w:val="none"/>
        </w:rPr>
      </w:pPr>
    </w:p>
    <w:p w14:paraId="6004EB2D">
      <w:pPr>
        <w:pStyle w:val="23"/>
        <w:ind w:firstLine="0" w:firstLineChars="0"/>
        <w:rPr>
          <w:rFonts w:cs="宋体"/>
          <w:color w:val="auto"/>
          <w:highlight w:val="none"/>
        </w:rPr>
      </w:pPr>
    </w:p>
    <w:p w14:paraId="688E670F">
      <w:pPr>
        <w:pStyle w:val="23"/>
        <w:ind w:firstLine="0" w:firstLineChars="0"/>
        <w:rPr>
          <w:rFonts w:cs="宋体"/>
          <w:color w:val="auto"/>
          <w:highlight w:val="none"/>
        </w:rPr>
      </w:pPr>
    </w:p>
    <w:p w14:paraId="72AC48DA">
      <w:pPr>
        <w:pStyle w:val="23"/>
        <w:ind w:firstLine="0" w:firstLineChars="0"/>
        <w:rPr>
          <w:rFonts w:cs="宋体"/>
          <w:color w:val="auto"/>
          <w:highlight w:val="none"/>
        </w:rPr>
      </w:pPr>
    </w:p>
    <w:p w14:paraId="1FEF8C6B">
      <w:pPr>
        <w:pStyle w:val="23"/>
        <w:ind w:firstLine="0" w:firstLineChars="0"/>
        <w:rPr>
          <w:rFonts w:cs="宋体"/>
          <w:color w:val="auto"/>
          <w:highlight w:val="none"/>
        </w:rPr>
      </w:pPr>
    </w:p>
    <w:p w14:paraId="4B872BD8">
      <w:pPr>
        <w:pStyle w:val="23"/>
        <w:ind w:firstLine="0" w:firstLineChars="0"/>
        <w:rPr>
          <w:rFonts w:cs="宋体"/>
          <w:color w:val="auto"/>
          <w:highlight w:val="none"/>
        </w:rPr>
      </w:pPr>
    </w:p>
    <w:p w14:paraId="50CA0719">
      <w:pPr>
        <w:pStyle w:val="23"/>
        <w:ind w:firstLine="0" w:firstLineChars="0"/>
        <w:rPr>
          <w:rFonts w:cs="宋体"/>
          <w:color w:val="auto"/>
          <w:highlight w:val="none"/>
        </w:rPr>
      </w:pPr>
    </w:p>
    <w:p w14:paraId="37F20A68">
      <w:pPr>
        <w:pStyle w:val="23"/>
        <w:ind w:firstLine="0" w:firstLineChars="0"/>
        <w:rPr>
          <w:rFonts w:cs="宋体"/>
          <w:color w:val="auto"/>
          <w:highlight w:val="none"/>
        </w:rPr>
      </w:pPr>
    </w:p>
    <w:p w14:paraId="17045C1B">
      <w:pPr>
        <w:pStyle w:val="23"/>
        <w:ind w:firstLine="0" w:firstLineChars="0"/>
        <w:rPr>
          <w:rFonts w:cs="宋体"/>
          <w:color w:val="auto"/>
          <w:highlight w:val="none"/>
        </w:rPr>
      </w:pPr>
    </w:p>
    <w:p w14:paraId="06E3AB1C">
      <w:pPr>
        <w:pStyle w:val="23"/>
        <w:ind w:firstLine="0" w:firstLineChars="0"/>
        <w:rPr>
          <w:rFonts w:cs="宋体"/>
          <w:color w:val="auto"/>
          <w:highlight w:val="none"/>
        </w:rPr>
      </w:pPr>
    </w:p>
    <w:p w14:paraId="54CE5C7F">
      <w:pPr>
        <w:pStyle w:val="23"/>
        <w:ind w:firstLine="0" w:firstLineChars="0"/>
        <w:rPr>
          <w:rFonts w:cs="宋体"/>
          <w:color w:val="auto"/>
          <w:highlight w:val="none"/>
        </w:rPr>
      </w:pPr>
    </w:p>
    <w:p w14:paraId="5C4C27E4">
      <w:pPr>
        <w:pStyle w:val="23"/>
        <w:ind w:firstLine="0" w:firstLineChars="0"/>
        <w:rPr>
          <w:rFonts w:cs="宋体"/>
          <w:color w:val="auto"/>
          <w:highlight w:val="none"/>
        </w:rPr>
      </w:pPr>
    </w:p>
    <w:p w14:paraId="3E167C97">
      <w:pPr>
        <w:pStyle w:val="23"/>
        <w:ind w:firstLine="0" w:firstLineChars="0"/>
        <w:rPr>
          <w:rFonts w:cs="宋体"/>
          <w:color w:val="auto"/>
          <w:highlight w:val="none"/>
        </w:rPr>
      </w:pPr>
    </w:p>
    <w:p w14:paraId="70B5C47F">
      <w:pPr>
        <w:pStyle w:val="23"/>
        <w:ind w:firstLine="0" w:firstLineChars="0"/>
        <w:rPr>
          <w:rFonts w:cs="宋体"/>
          <w:color w:val="auto"/>
          <w:highlight w:val="none"/>
        </w:rPr>
      </w:pPr>
    </w:p>
    <w:p w14:paraId="6273FF88">
      <w:pPr>
        <w:pStyle w:val="23"/>
        <w:ind w:firstLine="0" w:firstLineChars="0"/>
        <w:rPr>
          <w:rFonts w:cs="宋体"/>
          <w:color w:val="auto"/>
          <w:highlight w:val="none"/>
        </w:rPr>
      </w:pPr>
    </w:p>
    <w:p w14:paraId="767AC6B2">
      <w:pPr>
        <w:pStyle w:val="23"/>
        <w:ind w:firstLine="0" w:firstLineChars="0"/>
        <w:rPr>
          <w:rFonts w:cs="宋体"/>
          <w:color w:val="auto"/>
          <w:highlight w:val="none"/>
        </w:rPr>
      </w:pPr>
    </w:p>
    <w:p w14:paraId="32075A1D">
      <w:pPr>
        <w:pStyle w:val="23"/>
        <w:ind w:firstLine="0" w:firstLineChars="0"/>
        <w:rPr>
          <w:rFonts w:cs="宋体"/>
          <w:color w:val="auto"/>
          <w:highlight w:val="none"/>
        </w:rPr>
      </w:pPr>
    </w:p>
    <w:p w14:paraId="1B61FE03">
      <w:pPr>
        <w:pStyle w:val="23"/>
        <w:ind w:firstLine="0" w:firstLineChars="0"/>
        <w:rPr>
          <w:rFonts w:cs="宋体"/>
          <w:color w:val="auto"/>
          <w:highlight w:val="none"/>
        </w:rPr>
      </w:pPr>
      <w:r>
        <w:rPr>
          <w:color w:val="auto"/>
          <w:highlight w:val="none"/>
        </w:rPr>
        <w:drawing>
          <wp:anchor distT="0" distB="0" distL="114300" distR="114300" simplePos="0" relativeHeight="251663360" behindDoc="1" locked="0" layoutInCell="1" allowOverlap="1">
            <wp:simplePos x="0" y="0"/>
            <wp:positionH relativeFrom="column">
              <wp:posOffset>66675</wp:posOffset>
            </wp:positionH>
            <wp:positionV relativeFrom="paragraph">
              <wp:posOffset>253365</wp:posOffset>
            </wp:positionV>
            <wp:extent cx="5271135" cy="7147560"/>
            <wp:effectExtent l="0" t="0" r="5715" b="5715"/>
            <wp:wrapNone/>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4"/>
                    <a:stretch>
                      <a:fillRect/>
                    </a:stretch>
                  </pic:blipFill>
                  <pic:spPr>
                    <a:xfrm>
                      <a:off x="0" y="0"/>
                      <a:ext cx="5271135" cy="7147560"/>
                    </a:xfrm>
                    <a:prstGeom prst="rect">
                      <a:avLst/>
                    </a:prstGeom>
                    <a:noFill/>
                    <a:ln>
                      <a:noFill/>
                    </a:ln>
                  </pic:spPr>
                </pic:pic>
              </a:graphicData>
            </a:graphic>
          </wp:anchor>
        </w:drawing>
      </w:r>
    </w:p>
    <w:p w14:paraId="285543E4">
      <w:pPr>
        <w:pStyle w:val="23"/>
        <w:ind w:firstLine="0" w:firstLineChars="0"/>
        <w:rPr>
          <w:rFonts w:cs="宋体"/>
          <w:color w:val="auto"/>
          <w:highlight w:val="none"/>
        </w:rPr>
      </w:pPr>
    </w:p>
    <w:p w14:paraId="385229C8">
      <w:pPr>
        <w:pStyle w:val="23"/>
        <w:ind w:firstLine="0" w:firstLineChars="0"/>
        <w:rPr>
          <w:rFonts w:cs="宋体"/>
          <w:color w:val="auto"/>
          <w:highlight w:val="none"/>
        </w:rPr>
      </w:pPr>
    </w:p>
    <w:p w14:paraId="3D91AE7C">
      <w:pPr>
        <w:pStyle w:val="23"/>
        <w:ind w:firstLine="0" w:firstLineChars="0"/>
        <w:rPr>
          <w:rFonts w:cs="宋体"/>
          <w:color w:val="auto"/>
          <w:highlight w:val="none"/>
        </w:rPr>
      </w:pPr>
    </w:p>
    <w:p w14:paraId="1C68B7BD">
      <w:pPr>
        <w:pStyle w:val="23"/>
        <w:ind w:firstLine="0" w:firstLineChars="0"/>
        <w:rPr>
          <w:rFonts w:cs="宋体"/>
          <w:color w:val="auto"/>
          <w:highlight w:val="none"/>
        </w:rPr>
      </w:pPr>
    </w:p>
    <w:p w14:paraId="68C7EC26">
      <w:pPr>
        <w:pStyle w:val="23"/>
        <w:ind w:firstLine="0" w:firstLineChars="0"/>
        <w:rPr>
          <w:rFonts w:cs="宋体"/>
          <w:color w:val="auto"/>
          <w:highlight w:val="none"/>
        </w:rPr>
      </w:pPr>
    </w:p>
    <w:p w14:paraId="3487965E">
      <w:pPr>
        <w:pStyle w:val="23"/>
        <w:ind w:firstLine="0" w:firstLineChars="0"/>
        <w:rPr>
          <w:rFonts w:cs="宋体"/>
          <w:color w:val="auto"/>
          <w:highlight w:val="none"/>
        </w:rPr>
      </w:pPr>
    </w:p>
    <w:p w14:paraId="10502DBC">
      <w:pPr>
        <w:pStyle w:val="23"/>
        <w:ind w:firstLine="0" w:firstLineChars="0"/>
        <w:rPr>
          <w:rFonts w:cs="宋体"/>
          <w:color w:val="auto"/>
          <w:highlight w:val="none"/>
        </w:rPr>
      </w:pPr>
    </w:p>
    <w:p w14:paraId="11A9015C">
      <w:pPr>
        <w:pStyle w:val="23"/>
        <w:ind w:firstLine="0" w:firstLineChars="0"/>
        <w:rPr>
          <w:rFonts w:cs="宋体"/>
          <w:color w:val="auto"/>
          <w:highlight w:val="none"/>
        </w:rPr>
      </w:pPr>
    </w:p>
    <w:p w14:paraId="7D9D19F6">
      <w:pPr>
        <w:pStyle w:val="23"/>
        <w:ind w:firstLine="0" w:firstLineChars="0"/>
        <w:rPr>
          <w:rFonts w:cs="宋体"/>
          <w:color w:val="auto"/>
          <w:highlight w:val="none"/>
        </w:rPr>
      </w:pPr>
    </w:p>
    <w:p w14:paraId="12A5D1D9">
      <w:pPr>
        <w:pStyle w:val="23"/>
        <w:ind w:firstLine="0" w:firstLineChars="0"/>
        <w:rPr>
          <w:rFonts w:cs="宋体"/>
          <w:color w:val="auto"/>
          <w:highlight w:val="none"/>
        </w:rPr>
      </w:pPr>
    </w:p>
    <w:p w14:paraId="7D8E9DDD">
      <w:pPr>
        <w:pStyle w:val="23"/>
        <w:ind w:firstLine="0" w:firstLineChars="0"/>
        <w:rPr>
          <w:rFonts w:cs="宋体"/>
          <w:color w:val="auto"/>
          <w:highlight w:val="none"/>
        </w:rPr>
      </w:pPr>
    </w:p>
    <w:p w14:paraId="6187D36A">
      <w:pPr>
        <w:pStyle w:val="23"/>
        <w:ind w:firstLine="0" w:firstLineChars="0"/>
        <w:rPr>
          <w:rFonts w:cs="宋体"/>
          <w:color w:val="auto"/>
          <w:highlight w:val="none"/>
        </w:rPr>
      </w:pPr>
    </w:p>
    <w:p w14:paraId="05BD5F03">
      <w:pPr>
        <w:pStyle w:val="23"/>
        <w:ind w:firstLine="0" w:firstLineChars="0"/>
        <w:rPr>
          <w:rFonts w:cs="宋体"/>
          <w:color w:val="auto"/>
          <w:highlight w:val="none"/>
        </w:rPr>
      </w:pPr>
    </w:p>
    <w:p w14:paraId="6B5D789D">
      <w:pPr>
        <w:pStyle w:val="23"/>
        <w:ind w:firstLine="0" w:firstLineChars="0"/>
        <w:rPr>
          <w:rFonts w:cs="宋体"/>
          <w:color w:val="auto"/>
          <w:highlight w:val="none"/>
        </w:rPr>
      </w:pPr>
    </w:p>
    <w:p w14:paraId="1A0EE401">
      <w:pPr>
        <w:pStyle w:val="23"/>
        <w:ind w:firstLine="0" w:firstLineChars="0"/>
        <w:rPr>
          <w:rFonts w:cs="宋体"/>
          <w:color w:val="auto"/>
          <w:highlight w:val="none"/>
        </w:rPr>
      </w:pPr>
    </w:p>
    <w:p w14:paraId="45C97CF0">
      <w:pPr>
        <w:pStyle w:val="23"/>
        <w:ind w:firstLine="0" w:firstLineChars="0"/>
        <w:rPr>
          <w:rFonts w:cs="宋体"/>
          <w:color w:val="auto"/>
          <w:highlight w:val="none"/>
        </w:rPr>
      </w:pPr>
    </w:p>
    <w:p w14:paraId="5DF71BD5">
      <w:pPr>
        <w:pStyle w:val="23"/>
        <w:ind w:firstLine="0" w:firstLineChars="0"/>
        <w:rPr>
          <w:rFonts w:cs="宋体"/>
          <w:color w:val="auto"/>
          <w:highlight w:val="none"/>
        </w:rPr>
      </w:pPr>
    </w:p>
    <w:p w14:paraId="7F81183F">
      <w:pPr>
        <w:pStyle w:val="23"/>
        <w:ind w:firstLine="0" w:firstLineChars="0"/>
        <w:rPr>
          <w:rFonts w:cs="宋体"/>
          <w:color w:val="auto"/>
          <w:highlight w:val="none"/>
        </w:rPr>
      </w:pPr>
    </w:p>
    <w:p w14:paraId="172ADC73">
      <w:pPr>
        <w:pStyle w:val="23"/>
        <w:ind w:firstLine="0" w:firstLineChars="0"/>
        <w:rPr>
          <w:rFonts w:cs="宋体"/>
          <w:color w:val="auto"/>
          <w:highlight w:val="none"/>
        </w:rPr>
      </w:pPr>
    </w:p>
    <w:p w14:paraId="78C78E6A">
      <w:pPr>
        <w:pStyle w:val="23"/>
        <w:ind w:firstLine="0" w:firstLineChars="0"/>
        <w:rPr>
          <w:rFonts w:cs="宋体"/>
          <w:color w:val="auto"/>
          <w:highlight w:val="none"/>
        </w:rPr>
      </w:pPr>
    </w:p>
    <w:p w14:paraId="49141EC0">
      <w:pPr>
        <w:pStyle w:val="23"/>
        <w:ind w:firstLine="0" w:firstLineChars="0"/>
        <w:rPr>
          <w:rFonts w:cs="宋体"/>
          <w:color w:val="auto"/>
          <w:highlight w:val="none"/>
        </w:rPr>
      </w:pPr>
    </w:p>
    <w:p w14:paraId="376D8A05">
      <w:pPr>
        <w:pStyle w:val="23"/>
        <w:ind w:firstLine="0" w:firstLineChars="0"/>
        <w:rPr>
          <w:rFonts w:cs="宋体"/>
          <w:color w:val="auto"/>
          <w:highlight w:val="none"/>
        </w:rPr>
      </w:pPr>
    </w:p>
    <w:p w14:paraId="3F87F07C">
      <w:pPr>
        <w:pStyle w:val="23"/>
        <w:ind w:firstLine="0" w:firstLineChars="0"/>
        <w:rPr>
          <w:rFonts w:cs="宋体"/>
          <w:color w:val="auto"/>
          <w:highlight w:val="none"/>
        </w:rPr>
      </w:pPr>
    </w:p>
    <w:p w14:paraId="3DBC0A4B">
      <w:pPr>
        <w:pStyle w:val="23"/>
        <w:ind w:firstLine="0" w:firstLineChars="0"/>
        <w:rPr>
          <w:rFonts w:cs="宋体"/>
          <w:color w:val="auto"/>
          <w:highlight w:val="none"/>
        </w:rPr>
      </w:pPr>
    </w:p>
    <w:p w14:paraId="75C5E126">
      <w:pPr>
        <w:pStyle w:val="23"/>
        <w:ind w:firstLine="0" w:firstLineChars="0"/>
        <w:rPr>
          <w:rFonts w:cs="宋体"/>
          <w:color w:val="auto"/>
          <w:highlight w:val="none"/>
        </w:rPr>
      </w:pPr>
    </w:p>
    <w:p w14:paraId="1AE529A4">
      <w:pPr>
        <w:pStyle w:val="23"/>
        <w:ind w:firstLine="0" w:firstLineChars="0"/>
        <w:rPr>
          <w:rFonts w:cs="宋体"/>
          <w:color w:val="auto"/>
          <w:highlight w:val="none"/>
        </w:rPr>
      </w:pPr>
    </w:p>
    <w:p w14:paraId="740E95FF">
      <w:pPr>
        <w:pStyle w:val="23"/>
        <w:ind w:firstLine="0" w:firstLineChars="0"/>
        <w:rPr>
          <w:rFonts w:cs="宋体"/>
          <w:color w:val="auto"/>
          <w:highlight w:val="none"/>
        </w:rPr>
      </w:pPr>
    </w:p>
    <w:p w14:paraId="28ACABA0">
      <w:pPr>
        <w:pStyle w:val="23"/>
        <w:ind w:firstLine="0" w:firstLineChars="0"/>
        <w:rPr>
          <w:rFonts w:cs="宋体"/>
          <w:color w:val="auto"/>
          <w:highlight w:val="none"/>
        </w:rPr>
      </w:pPr>
      <w:r>
        <w:rPr>
          <w:color w:val="auto"/>
          <w:highlight w:val="none"/>
        </w:rPr>
        <w:drawing>
          <wp:anchor distT="0" distB="0" distL="114300" distR="114300" simplePos="0" relativeHeight="251664384" behindDoc="1" locked="0" layoutInCell="1" allowOverlap="1">
            <wp:simplePos x="0" y="0"/>
            <wp:positionH relativeFrom="column">
              <wp:posOffset>238125</wp:posOffset>
            </wp:positionH>
            <wp:positionV relativeFrom="paragraph">
              <wp:posOffset>24765</wp:posOffset>
            </wp:positionV>
            <wp:extent cx="5272405" cy="6979285"/>
            <wp:effectExtent l="0" t="0" r="4445" b="254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45"/>
                    <a:stretch>
                      <a:fillRect/>
                    </a:stretch>
                  </pic:blipFill>
                  <pic:spPr>
                    <a:xfrm>
                      <a:off x="0" y="0"/>
                      <a:ext cx="5272405" cy="6979285"/>
                    </a:xfrm>
                    <a:prstGeom prst="rect">
                      <a:avLst/>
                    </a:prstGeom>
                    <a:noFill/>
                    <a:ln>
                      <a:noFill/>
                    </a:ln>
                  </pic:spPr>
                </pic:pic>
              </a:graphicData>
            </a:graphic>
          </wp:anchor>
        </w:drawing>
      </w:r>
    </w:p>
    <w:p w14:paraId="42BB7237">
      <w:pPr>
        <w:pStyle w:val="23"/>
        <w:ind w:firstLine="0" w:firstLineChars="0"/>
        <w:rPr>
          <w:rFonts w:cs="宋体"/>
          <w:color w:val="auto"/>
          <w:highlight w:val="none"/>
        </w:rPr>
      </w:pPr>
    </w:p>
    <w:p w14:paraId="5BABBB68">
      <w:pPr>
        <w:pStyle w:val="23"/>
        <w:ind w:firstLine="0" w:firstLineChars="0"/>
        <w:rPr>
          <w:rFonts w:cs="宋体"/>
          <w:color w:val="auto"/>
          <w:highlight w:val="none"/>
        </w:rPr>
      </w:pPr>
    </w:p>
    <w:p w14:paraId="48E514FB">
      <w:pPr>
        <w:pStyle w:val="23"/>
        <w:ind w:firstLine="0" w:firstLineChars="0"/>
        <w:rPr>
          <w:rFonts w:cs="宋体"/>
          <w:color w:val="auto"/>
          <w:highlight w:val="none"/>
        </w:rPr>
      </w:pPr>
    </w:p>
    <w:p w14:paraId="721F0598">
      <w:pPr>
        <w:pStyle w:val="23"/>
        <w:ind w:firstLine="0" w:firstLineChars="0"/>
        <w:rPr>
          <w:rFonts w:cs="宋体"/>
          <w:color w:val="auto"/>
          <w:highlight w:val="none"/>
        </w:rPr>
      </w:pPr>
    </w:p>
    <w:p w14:paraId="74A0DF9A">
      <w:pPr>
        <w:pStyle w:val="23"/>
        <w:ind w:firstLine="0" w:firstLineChars="0"/>
        <w:rPr>
          <w:rFonts w:cs="宋体"/>
          <w:color w:val="auto"/>
          <w:highlight w:val="none"/>
        </w:rPr>
      </w:pPr>
    </w:p>
    <w:p w14:paraId="59C2D503">
      <w:pPr>
        <w:pStyle w:val="23"/>
        <w:ind w:firstLine="0" w:firstLineChars="0"/>
        <w:rPr>
          <w:rFonts w:cs="宋体"/>
          <w:color w:val="auto"/>
          <w:highlight w:val="none"/>
        </w:rPr>
      </w:pPr>
    </w:p>
    <w:p w14:paraId="3A2ACBB9">
      <w:pPr>
        <w:pStyle w:val="23"/>
        <w:ind w:firstLine="0" w:firstLineChars="0"/>
        <w:rPr>
          <w:rFonts w:cs="宋体"/>
          <w:color w:val="auto"/>
          <w:highlight w:val="none"/>
        </w:rPr>
      </w:pPr>
    </w:p>
    <w:p w14:paraId="4BB28B94">
      <w:pPr>
        <w:pStyle w:val="23"/>
        <w:ind w:firstLine="0" w:firstLineChars="0"/>
        <w:rPr>
          <w:rFonts w:cs="宋体"/>
          <w:color w:val="auto"/>
          <w:highlight w:val="none"/>
        </w:rPr>
      </w:pPr>
    </w:p>
    <w:p w14:paraId="011D63B1">
      <w:pPr>
        <w:pStyle w:val="23"/>
        <w:ind w:firstLine="0" w:firstLineChars="0"/>
        <w:rPr>
          <w:rFonts w:cs="宋体"/>
          <w:color w:val="auto"/>
          <w:highlight w:val="none"/>
        </w:rPr>
      </w:pPr>
    </w:p>
    <w:p w14:paraId="042D62AA">
      <w:pPr>
        <w:pStyle w:val="23"/>
        <w:ind w:firstLine="0" w:firstLineChars="0"/>
        <w:rPr>
          <w:rFonts w:cs="宋体"/>
          <w:color w:val="auto"/>
          <w:highlight w:val="none"/>
        </w:rPr>
      </w:pPr>
    </w:p>
    <w:p w14:paraId="29DC05CA">
      <w:pPr>
        <w:pStyle w:val="23"/>
        <w:ind w:firstLine="0" w:firstLineChars="0"/>
        <w:rPr>
          <w:rFonts w:cs="宋体"/>
          <w:color w:val="auto"/>
          <w:highlight w:val="none"/>
        </w:rPr>
      </w:pPr>
    </w:p>
    <w:p w14:paraId="57CC8400">
      <w:pPr>
        <w:pStyle w:val="23"/>
        <w:ind w:firstLine="0" w:firstLineChars="0"/>
        <w:rPr>
          <w:rFonts w:cs="宋体"/>
          <w:color w:val="auto"/>
          <w:highlight w:val="none"/>
        </w:rPr>
      </w:pPr>
    </w:p>
    <w:p w14:paraId="10FDBC1A">
      <w:pPr>
        <w:pStyle w:val="23"/>
        <w:ind w:firstLine="0" w:firstLineChars="0"/>
        <w:rPr>
          <w:rFonts w:cs="宋体"/>
          <w:color w:val="auto"/>
          <w:highlight w:val="none"/>
        </w:rPr>
      </w:pPr>
    </w:p>
    <w:p w14:paraId="3BEF6B34">
      <w:pPr>
        <w:pStyle w:val="23"/>
        <w:ind w:firstLine="0" w:firstLineChars="0"/>
        <w:rPr>
          <w:rFonts w:cs="宋体"/>
          <w:color w:val="auto"/>
          <w:highlight w:val="none"/>
        </w:rPr>
      </w:pPr>
    </w:p>
    <w:p w14:paraId="46A4009A">
      <w:pPr>
        <w:pStyle w:val="23"/>
        <w:ind w:firstLine="0" w:firstLineChars="0"/>
        <w:rPr>
          <w:rFonts w:cs="宋体"/>
          <w:color w:val="auto"/>
          <w:highlight w:val="none"/>
        </w:rPr>
      </w:pPr>
    </w:p>
    <w:p w14:paraId="28D8A828">
      <w:pPr>
        <w:pStyle w:val="23"/>
        <w:ind w:firstLine="0" w:firstLineChars="0"/>
        <w:rPr>
          <w:rFonts w:cs="宋体"/>
          <w:color w:val="auto"/>
          <w:highlight w:val="none"/>
        </w:rPr>
      </w:pPr>
    </w:p>
    <w:p w14:paraId="2E32A36B">
      <w:pPr>
        <w:pStyle w:val="23"/>
        <w:ind w:firstLine="0" w:firstLineChars="0"/>
        <w:rPr>
          <w:rFonts w:cs="宋体"/>
          <w:color w:val="auto"/>
          <w:highlight w:val="none"/>
        </w:rPr>
      </w:pPr>
    </w:p>
    <w:p w14:paraId="0FA4F1CC">
      <w:pPr>
        <w:pStyle w:val="23"/>
        <w:ind w:firstLine="0" w:firstLineChars="0"/>
        <w:rPr>
          <w:rFonts w:cs="宋体"/>
          <w:color w:val="auto"/>
          <w:highlight w:val="none"/>
        </w:rPr>
      </w:pPr>
    </w:p>
    <w:p w14:paraId="124D504F">
      <w:pPr>
        <w:pStyle w:val="23"/>
        <w:ind w:firstLine="0" w:firstLineChars="0"/>
        <w:rPr>
          <w:rFonts w:cs="宋体"/>
          <w:color w:val="auto"/>
          <w:highlight w:val="none"/>
        </w:rPr>
      </w:pPr>
    </w:p>
    <w:p w14:paraId="2DB8A9A3">
      <w:pPr>
        <w:pStyle w:val="23"/>
        <w:ind w:firstLine="0" w:firstLineChars="0"/>
        <w:rPr>
          <w:rFonts w:cs="宋体"/>
          <w:color w:val="auto"/>
          <w:highlight w:val="none"/>
        </w:rPr>
      </w:pPr>
    </w:p>
    <w:p w14:paraId="2C37B8DB">
      <w:pPr>
        <w:pStyle w:val="23"/>
        <w:ind w:firstLine="0" w:firstLineChars="0"/>
        <w:rPr>
          <w:rFonts w:cs="宋体"/>
          <w:color w:val="auto"/>
          <w:highlight w:val="none"/>
        </w:rPr>
      </w:pPr>
    </w:p>
    <w:p w14:paraId="23E3FD66">
      <w:pPr>
        <w:pStyle w:val="23"/>
        <w:ind w:firstLine="0" w:firstLineChars="0"/>
        <w:rPr>
          <w:rFonts w:cs="宋体"/>
          <w:color w:val="auto"/>
          <w:highlight w:val="none"/>
        </w:rPr>
      </w:pPr>
    </w:p>
    <w:p w14:paraId="571A08E3">
      <w:pPr>
        <w:pStyle w:val="23"/>
        <w:ind w:firstLine="0" w:firstLineChars="0"/>
        <w:rPr>
          <w:rFonts w:cs="宋体"/>
          <w:color w:val="auto"/>
          <w:highlight w:val="none"/>
        </w:rPr>
      </w:pPr>
    </w:p>
    <w:p w14:paraId="6ABB24AD">
      <w:pPr>
        <w:pStyle w:val="23"/>
        <w:ind w:firstLine="0" w:firstLineChars="0"/>
        <w:rPr>
          <w:rFonts w:cs="宋体"/>
          <w:color w:val="auto"/>
          <w:highlight w:val="none"/>
        </w:rPr>
      </w:pPr>
    </w:p>
    <w:p w14:paraId="6BDB3778">
      <w:pPr>
        <w:pStyle w:val="23"/>
        <w:ind w:firstLine="0" w:firstLineChars="0"/>
        <w:rPr>
          <w:rFonts w:cs="宋体"/>
          <w:color w:val="auto"/>
          <w:highlight w:val="none"/>
        </w:rPr>
      </w:pPr>
    </w:p>
    <w:p w14:paraId="206EBF8E">
      <w:pPr>
        <w:pStyle w:val="23"/>
        <w:ind w:firstLine="0" w:firstLineChars="0"/>
        <w:rPr>
          <w:rFonts w:cs="宋体"/>
          <w:color w:val="auto"/>
          <w:highlight w:val="none"/>
        </w:rPr>
      </w:pPr>
    </w:p>
    <w:p w14:paraId="5E8F7128">
      <w:pPr>
        <w:pStyle w:val="23"/>
        <w:ind w:firstLine="0" w:firstLineChars="0"/>
        <w:rPr>
          <w:rFonts w:cs="宋体"/>
          <w:color w:val="auto"/>
          <w:highlight w:val="none"/>
        </w:rPr>
      </w:pPr>
    </w:p>
    <w:p w14:paraId="2A5BC5B5">
      <w:pPr>
        <w:pStyle w:val="23"/>
        <w:ind w:firstLine="0" w:firstLineChars="0"/>
        <w:rPr>
          <w:rFonts w:cs="宋体"/>
          <w:color w:val="auto"/>
          <w:highlight w:val="none"/>
        </w:rPr>
      </w:pPr>
      <w:r>
        <w:rPr>
          <w:color w:val="auto"/>
          <w:highlight w:val="none"/>
        </w:rPr>
        <w:drawing>
          <wp:anchor distT="0" distB="0" distL="114300" distR="114300" simplePos="0" relativeHeight="251665408" behindDoc="1" locked="0" layoutInCell="1" allowOverlap="1">
            <wp:simplePos x="0" y="0"/>
            <wp:positionH relativeFrom="column">
              <wp:posOffset>142875</wp:posOffset>
            </wp:positionH>
            <wp:positionV relativeFrom="paragraph">
              <wp:posOffset>139065</wp:posOffset>
            </wp:positionV>
            <wp:extent cx="5269865" cy="6651625"/>
            <wp:effectExtent l="0" t="0" r="6985" b="635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6"/>
                    <a:stretch>
                      <a:fillRect/>
                    </a:stretch>
                  </pic:blipFill>
                  <pic:spPr>
                    <a:xfrm>
                      <a:off x="0" y="0"/>
                      <a:ext cx="5269865" cy="6651625"/>
                    </a:xfrm>
                    <a:prstGeom prst="rect">
                      <a:avLst/>
                    </a:prstGeom>
                    <a:noFill/>
                    <a:ln>
                      <a:noFill/>
                    </a:ln>
                  </pic:spPr>
                </pic:pic>
              </a:graphicData>
            </a:graphic>
          </wp:anchor>
        </w:drawing>
      </w:r>
    </w:p>
    <w:p w14:paraId="029485E4">
      <w:pPr>
        <w:pStyle w:val="23"/>
        <w:ind w:firstLine="0" w:firstLineChars="0"/>
        <w:rPr>
          <w:rFonts w:cs="宋体"/>
          <w:color w:val="auto"/>
          <w:highlight w:val="none"/>
        </w:rPr>
      </w:pPr>
    </w:p>
    <w:p w14:paraId="3DB0BC6B">
      <w:pPr>
        <w:pStyle w:val="23"/>
        <w:ind w:firstLine="0" w:firstLineChars="0"/>
        <w:rPr>
          <w:rFonts w:cs="宋体"/>
          <w:color w:val="auto"/>
          <w:highlight w:val="none"/>
        </w:rPr>
      </w:pPr>
    </w:p>
    <w:p w14:paraId="7079821C">
      <w:pPr>
        <w:pStyle w:val="23"/>
        <w:ind w:firstLine="0" w:firstLineChars="0"/>
        <w:rPr>
          <w:rFonts w:cs="宋体"/>
          <w:color w:val="auto"/>
          <w:highlight w:val="none"/>
        </w:rPr>
      </w:pPr>
    </w:p>
    <w:p w14:paraId="7EE5C39B">
      <w:pPr>
        <w:pStyle w:val="23"/>
        <w:ind w:firstLine="0" w:firstLineChars="0"/>
        <w:rPr>
          <w:rFonts w:cs="宋体"/>
          <w:color w:val="auto"/>
          <w:highlight w:val="none"/>
        </w:rPr>
      </w:pPr>
    </w:p>
    <w:p w14:paraId="0453B7DA">
      <w:pPr>
        <w:pStyle w:val="23"/>
        <w:ind w:firstLine="0" w:firstLineChars="0"/>
        <w:rPr>
          <w:rFonts w:cs="宋体"/>
          <w:color w:val="auto"/>
          <w:highlight w:val="none"/>
        </w:rPr>
      </w:pPr>
    </w:p>
    <w:p w14:paraId="0B0DDB1B">
      <w:pPr>
        <w:pStyle w:val="23"/>
        <w:ind w:firstLine="0" w:firstLineChars="0"/>
        <w:rPr>
          <w:rFonts w:cs="宋体"/>
          <w:color w:val="auto"/>
          <w:highlight w:val="none"/>
        </w:rPr>
      </w:pPr>
    </w:p>
    <w:p w14:paraId="5359E8DE">
      <w:pPr>
        <w:pStyle w:val="23"/>
        <w:ind w:firstLine="0" w:firstLineChars="0"/>
        <w:rPr>
          <w:rFonts w:cs="宋体"/>
          <w:color w:val="auto"/>
          <w:highlight w:val="none"/>
        </w:rPr>
      </w:pPr>
    </w:p>
    <w:p w14:paraId="06EEEBC6">
      <w:pPr>
        <w:pStyle w:val="23"/>
        <w:ind w:firstLine="0" w:firstLineChars="0"/>
        <w:rPr>
          <w:rFonts w:cs="宋体"/>
          <w:color w:val="auto"/>
          <w:highlight w:val="none"/>
        </w:rPr>
      </w:pPr>
    </w:p>
    <w:p w14:paraId="47A53145">
      <w:pPr>
        <w:pStyle w:val="23"/>
        <w:ind w:firstLine="0" w:firstLineChars="0"/>
        <w:rPr>
          <w:rFonts w:cs="宋体"/>
          <w:color w:val="auto"/>
          <w:highlight w:val="none"/>
        </w:rPr>
      </w:pPr>
    </w:p>
    <w:p w14:paraId="610942B4">
      <w:pPr>
        <w:pStyle w:val="23"/>
        <w:ind w:firstLine="0" w:firstLineChars="0"/>
        <w:rPr>
          <w:rFonts w:cs="宋体"/>
          <w:color w:val="auto"/>
          <w:highlight w:val="none"/>
        </w:rPr>
      </w:pPr>
    </w:p>
    <w:p w14:paraId="2A057187">
      <w:pPr>
        <w:pStyle w:val="23"/>
        <w:ind w:firstLine="0" w:firstLineChars="0"/>
        <w:rPr>
          <w:rFonts w:cs="宋体"/>
          <w:color w:val="auto"/>
          <w:highlight w:val="none"/>
        </w:rPr>
      </w:pPr>
    </w:p>
    <w:p w14:paraId="5D623805">
      <w:pPr>
        <w:pStyle w:val="23"/>
        <w:ind w:firstLine="0" w:firstLineChars="0"/>
        <w:rPr>
          <w:rFonts w:cs="宋体"/>
          <w:color w:val="auto"/>
          <w:highlight w:val="none"/>
        </w:rPr>
      </w:pPr>
    </w:p>
    <w:p w14:paraId="0E1111BA">
      <w:pPr>
        <w:pStyle w:val="23"/>
        <w:ind w:firstLine="0" w:firstLineChars="0"/>
        <w:rPr>
          <w:rFonts w:cs="宋体"/>
          <w:color w:val="auto"/>
          <w:highlight w:val="none"/>
        </w:rPr>
      </w:pPr>
    </w:p>
    <w:p w14:paraId="4FABFB4F">
      <w:pPr>
        <w:pStyle w:val="23"/>
        <w:ind w:firstLine="0" w:firstLineChars="0"/>
        <w:rPr>
          <w:rFonts w:cs="宋体"/>
          <w:color w:val="auto"/>
          <w:highlight w:val="none"/>
        </w:rPr>
      </w:pPr>
    </w:p>
    <w:p w14:paraId="7756D55F">
      <w:pPr>
        <w:pStyle w:val="23"/>
        <w:ind w:firstLine="0" w:firstLineChars="0"/>
        <w:rPr>
          <w:rFonts w:cs="宋体"/>
          <w:color w:val="auto"/>
          <w:highlight w:val="none"/>
        </w:rPr>
      </w:pPr>
    </w:p>
    <w:p w14:paraId="4F4C5786">
      <w:pPr>
        <w:pStyle w:val="23"/>
        <w:ind w:firstLine="0" w:firstLineChars="0"/>
        <w:rPr>
          <w:rFonts w:cs="宋体"/>
          <w:color w:val="auto"/>
          <w:highlight w:val="none"/>
        </w:rPr>
      </w:pPr>
    </w:p>
    <w:p w14:paraId="28E5F871">
      <w:pPr>
        <w:pStyle w:val="23"/>
        <w:ind w:firstLine="0" w:firstLineChars="0"/>
        <w:rPr>
          <w:rFonts w:cs="宋体"/>
          <w:color w:val="auto"/>
          <w:highlight w:val="none"/>
        </w:rPr>
      </w:pPr>
    </w:p>
    <w:p w14:paraId="229381C6">
      <w:pPr>
        <w:pStyle w:val="23"/>
        <w:ind w:firstLine="0" w:firstLineChars="0"/>
        <w:rPr>
          <w:rFonts w:cs="宋体"/>
          <w:color w:val="auto"/>
          <w:highlight w:val="none"/>
        </w:rPr>
      </w:pPr>
    </w:p>
    <w:p w14:paraId="4128C6D6">
      <w:pPr>
        <w:pStyle w:val="23"/>
        <w:ind w:firstLine="0" w:firstLineChars="0"/>
        <w:rPr>
          <w:rFonts w:cs="宋体"/>
          <w:color w:val="auto"/>
          <w:highlight w:val="none"/>
        </w:rPr>
      </w:pPr>
    </w:p>
    <w:p w14:paraId="03C50FC5">
      <w:pPr>
        <w:pStyle w:val="23"/>
        <w:ind w:firstLine="0" w:firstLineChars="0"/>
        <w:rPr>
          <w:rFonts w:cs="宋体"/>
          <w:color w:val="auto"/>
          <w:highlight w:val="none"/>
        </w:rPr>
      </w:pPr>
    </w:p>
    <w:p w14:paraId="3B2EEDC6">
      <w:pPr>
        <w:pStyle w:val="23"/>
        <w:ind w:firstLine="0" w:firstLineChars="0"/>
        <w:rPr>
          <w:rFonts w:cs="宋体"/>
          <w:color w:val="auto"/>
          <w:highlight w:val="none"/>
        </w:rPr>
      </w:pPr>
    </w:p>
    <w:p w14:paraId="01D36E36">
      <w:pPr>
        <w:pStyle w:val="23"/>
        <w:ind w:firstLine="0" w:firstLineChars="0"/>
        <w:rPr>
          <w:rFonts w:cs="宋体"/>
          <w:color w:val="auto"/>
          <w:highlight w:val="none"/>
        </w:rPr>
      </w:pPr>
    </w:p>
    <w:p w14:paraId="6F09B0F2">
      <w:pPr>
        <w:pStyle w:val="23"/>
        <w:ind w:firstLine="0" w:firstLineChars="0"/>
        <w:rPr>
          <w:rFonts w:cs="宋体"/>
          <w:color w:val="auto"/>
          <w:highlight w:val="none"/>
        </w:rPr>
      </w:pPr>
    </w:p>
    <w:p w14:paraId="7007EE5D">
      <w:pPr>
        <w:pStyle w:val="23"/>
        <w:ind w:firstLine="0" w:firstLineChars="0"/>
        <w:rPr>
          <w:rFonts w:cs="宋体"/>
          <w:color w:val="auto"/>
          <w:highlight w:val="none"/>
        </w:rPr>
      </w:pPr>
    </w:p>
    <w:p w14:paraId="0C7018E3">
      <w:pPr>
        <w:pStyle w:val="23"/>
        <w:ind w:firstLine="0" w:firstLineChars="0"/>
        <w:rPr>
          <w:rFonts w:cs="宋体"/>
          <w:color w:val="auto"/>
          <w:highlight w:val="none"/>
        </w:rPr>
      </w:pPr>
    </w:p>
    <w:p w14:paraId="6B1F5698">
      <w:pPr>
        <w:pStyle w:val="23"/>
        <w:ind w:firstLine="0" w:firstLineChars="0"/>
        <w:rPr>
          <w:rFonts w:cs="宋体"/>
          <w:color w:val="auto"/>
          <w:highlight w:val="none"/>
        </w:rPr>
      </w:pPr>
    </w:p>
    <w:p w14:paraId="3005DB24">
      <w:pPr>
        <w:pStyle w:val="23"/>
        <w:ind w:firstLine="0" w:firstLineChars="0"/>
        <w:rPr>
          <w:rFonts w:cs="宋体"/>
          <w:color w:val="auto"/>
          <w:highlight w:val="none"/>
        </w:rPr>
      </w:pPr>
    </w:p>
    <w:p w14:paraId="3CCACDF6">
      <w:pPr>
        <w:pStyle w:val="23"/>
        <w:ind w:firstLine="0" w:firstLineChars="0"/>
        <w:rPr>
          <w:rFonts w:cs="宋体"/>
          <w:color w:val="auto"/>
          <w:highlight w:val="none"/>
        </w:rPr>
      </w:pPr>
      <w:r>
        <w:rPr>
          <w:color w:val="auto"/>
          <w:highlight w:val="none"/>
        </w:rPr>
        <w:drawing>
          <wp:anchor distT="0" distB="0" distL="114300" distR="114300" simplePos="0" relativeHeight="251666432" behindDoc="1" locked="0" layoutInCell="1" allowOverlap="1">
            <wp:simplePos x="0" y="0"/>
            <wp:positionH relativeFrom="column">
              <wp:posOffset>47625</wp:posOffset>
            </wp:positionH>
            <wp:positionV relativeFrom="paragraph">
              <wp:posOffset>81915</wp:posOffset>
            </wp:positionV>
            <wp:extent cx="5269230" cy="7037070"/>
            <wp:effectExtent l="0" t="0" r="7620" b="1905"/>
            <wp:wrapNone/>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7"/>
                    <a:stretch>
                      <a:fillRect/>
                    </a:stretch>
                  </pic:blipFill>
                  <pic:spPr>
                    <a:xfrm>
                      <a:off x="0" y="0"/>
                      <a:ext cx="5269230" cy="7037070"/>
                    </a:xfrm>
                    <a:prstGeom prst="rect">
                      <a:avLst/>
                    </a:prstGeom>
                    <a:noFill/>
                    <a:ln>
                      <a:noFill/>
                    </a:ln>
                  </pic:spPr>
                </pic:pic>
              </a:graphicData>
            </a:graphic>
          </wp:anchor>
        </w:drawing>
      </w:r>
    </w:p>
    <w:p w14:paraId="509BB3D1">
      <w:pPr>
        <w:pStyle w:val="23"/>
        <w:ind w:firstLine="0" w:firstLineChars="0"/>
        <w:rPr>
          <w:rFonts w:cs="宋体"/>
          <w:color w:val="auto"/>
          <w:highlight w:val="none"/>
        </w:rPr>
      </w:pPr>
    </w:p>
    <w:p w14:paraId="09AFE694">
      <w:pPr>
        <w:pStyle w:val="23"/>
        <w:ind w:firstLine="0" w:firstLineChars="0"/>
        <w:rPr>
          <w:rFonts w:cs="宋体"/>
          <w:color w:val="auto"/>
          <w:highlight w:val="none"/>
        </w:rPr>
      </w:pPr>
    </w:p>
    <w:p w14:paraId="65FB85C5">
      <w:pPr>
        <w:pStyle w:val="23"/>
        <w:ind w:firstLine="0" w:firstLineChars="0"/>
        <w:rPr>
          <w:rFonts w:cs="宋体"/>
          <w:color w:val="auto"/>
          <w:highlight w:val="none"/>
        </w:rPr>
      </w:pPr>
    </w:p>
    <w:p w14:paraId="54366753">
      <w:pPr>
        <w:pStyle w:val="23"/>
        <w:ind w:firstLine="0" w:firstLineChars="0"/>
        <w:rPr>
          <w:rFonts w:cs="宋体"/>
          <w:color w:val="auto"/>
          <w:highlight w:val="none"/>
        </w:rPr>
      </w:pPr>
    </w:p>
    <w:p w14:paraId="21394C20">
      <w:pPr>
        <w:pStyle w:val="23"/>
        <w:ind w:firstLine="0" w:firstLineChars="0"/>
        <w:rPr>
          <w:rFonts w:cs="宋体"/>
          <w:color w:val="auto"/>
          <w:highlight w:val="none"/>
        </w:rPr>
      </w:pPr>
    </w:p>
    <w:p w14:paraId="48B0B4C7">
      <w:pPr>
        <w:pStyle w:val="23"/>
        <w:ind w:firstLine="0" w:firstLineChars="0"/>
        <w:rPr>
          <w:rFonts w:cs="宋体"/>
          <w:color w:val="auto"/>
          <w:highlight w:val="none"/>
        </w:rPr>
      </w:pPr>
    </w:p>
    <w:p w14:paraId="38E76219">
      <w:pPr>
        <w:pStyle w:val="23"/>
        <w:ind w:firstLine="0" w:firstLineChars="0"/>
        <w:rPr>
          <w:rFonts w:cs="宋体"/>
          <w:color w:val="auto"/>
          <w:highlight w:val="none"/>
        </w:rPr>
      </w:pPr>
    </w:p>
    <w:p w14:paraId="77672D7D">
      <w:pPr>
        <w:pStyle w:val="23"/>
        <w:ind w:firstLine="0" w:firstLineChars="0"/>
        <w:rPr>
          <w:rFonts w:cs="宋体"/>
          <w:color w:val="auto"/>
          <w:highlight w:val="none"/>
        </w:rPr>
      </w:pPr>
    </w:p>
    <w:p w14:paraId="2A917A9A">
      <w:pPr>
        <w:pStyle w:val="23"/>
        <w:ind w:firstLine="0" w:firstLineChars="0"/>
        <w:rPr>
          <w:rFonts w:cs="宋体"/>
          <w:color w:val="auto"/>
          <w:highlight w:val="none"/>
        </w:rPr>
      </w:pPr>
    </w:p>
    <w:p w14:paraId="69E0E496">
      <w:pPr>
        <w:pStyle w:val="23"/>
        <w:ind w:firstLine="0" w:firstLineChars="0"/>
        <w:rPr>
          <w:rFonts w:cs="宋体"/>
          <w:color w:val="auto"/>
          <w:highlight w:val="none"/>
        </w:rPr>
      </w:pPr>
    </w:p>
    <w:p w14:paraId="42F9E1B9">
      <w:pPr>
        <w:pStyle w:val="23"/>
        <w:ind w:firstLine="0" w:firstLineChars="0"/>
        <w:rPr>
          <w:rFonts w:cs="宋体"/>
          <w:color w:val="auto"/>
          <w:highlight w:val="none"/>
        </w:rPr>
      </w:pPr>
    </w:p>
    <w:p w14:paraId="346135F6">
      <w:pPr>
        <w:pStyle w:val="23"/>
        <w:ind w:firstLine="0" w:firstLineChars="0"/>
        <w:rPr>
          <w:rFonts w:cs="宋体"/>
          <w:color w:val="auto"/>
          <w:highlight w:val="none"/>
        </w:rPr>
      </w:pPr>
    </w:p>
    <w:p w14:paraId="258BA23A">
      <w:pPr>
        <w:pStyle w:val="23"/>
        <w:ind w:firstLine="0" w:firstLineChars="0"/>
        <w:rPr>
          <w:rFonts w:cs="宋体"/>
          <w:color w:val="auto"/>
          <w:highlight w:val="none"/>
        </w:rPr>
      </w:pPr>
    </w:p>
    <w:p w14:paraId="112D48F1">
      <w:pPr>
        <w:pStyle w:val="23"/>
        <w:ind w:firstLine="0" w:firstLineChars="0"/>
        <w:rPr>
          <w:rFonts w:cs="宋体"/>
          <w:color w:val="auto"/>
          <w:highlight w:val="none"/>
        </w:rPr>
      </w:pPr>
    </w:p>
    <w:p w14:paraId="3557F328">
      <w:pPr>
        <w:pStyle w:val="23"/>
        <w:ind w:firstLine="0" w:firstLineChars="0"/>
        <w:rPr>
          <w:rFonts w:cs="宋体"/>
          <w:color w:val="auto"/>
          <w:highlight w:val="none"/>
        </w:rPr>
      </w:pPr>
    </w:p>
    <w:p w14:paraId="1A7A474D">
      <w:pPr>
        <w:pStyle w:val="23"/>
        <w:ind w:firstLine="0" w:firstLineChars="0"/>
        <w:rPr>
          <w:rFonts w:cs="宋体"/>
          <w:color w:val="auto"/>
          <w:highlight w:val="none"/>
        </w:rPr>
      </w:pPr>
    </w:p>
    <w:p w14:paraId="3D986D55">
      <w:pPr>
        <w:pStyle w:val="23"/>
        <w:ind w:firstLine="0" w:firstLineChars="0"/>
        <w:rPr>
          <w:rFonts w:cs="宋体"/>
          <w:color w:val="auto"/>
          <w:highlight w:val="none"/>
        </w:rPr>
      </w:pPr>
    </w:p>
    <w:p w14:paraId="06116895">
      <w:pPr>
        <w:pStyle w:val="23"/>
        <w:ind w:firstLine="0" w:firstLineChars="0"/>
        <w:rPr>
          <w:rFonts w:cs="宋体"/>
          <w:color w:val="auto"/>
          <w:highlight w:val="none"/>
        </w:rPr>
      </w:pPr>
    </w:p>
    <w:p w14:paraId="2198EAEE">
      <w:pPr>
        <w:pStyle w:val="23"/>
        <w:ind w:firstLine="0" w:firstLineChars="0"/>
        <w:rPr>
          <w:rFonts w:cs="宋体"/>
          <w:color w:val="auto"/>
          <w:highlight w:val="none"/>
        </w:rPr>
      </w:pPr>
    </w:p>
    <w:p w14:paraId="4AE4192A">
      <w:pPr>
        <w:pStyle w:val="23"/>
        <w:ind w:firstLine="0" w:firstLineChars="0"/>
        <w:rPr>
          <w:rFonts w:cs="宋体"/>
          <w:color w:val="auto"/>
          <w:highlight w:val="none"/>
        </w:rPr>
      </w:pPr>
    </w:p>
    <w:p w14:paraId="31BADC33">
      <w:pPr>
        <w:pStyle w:val="23"/>
        <w:ind w:firstLine="0" w:firstLineChars="0"/>
        <w:rPr>
          <w:rFonts w:cs="宋体"/>
          <w:color w:val="auto"/>
          <w:highlight w:val="none"/>
        </w:rPr>
      </w:pPr>
    </w:p>
    <w:p w14:paraId="502277F2">
      <w:pPr>
        <w:pStyle w:val="23"/>
        <w:ind w:firstLine="0" w:firstLineChars="0"/>
        <w:rPr>
          <w:rFonts w:cs="宋体"/>
          <w:color w:val="auto"/>
          <w:highlight w:val="none"/>
        </w:rPr>
      </w:pPr>
    </w:p>
    <w:p w14:paraId="68515A0B">
      <w:pPr>
        <w:pStyle w:val="23"/>
        <w:ind w:firstLine="0" w:firstLineChars="0"/>
        <w:rPr>
          <w:rFonts w:cs="宋体"/>
          <w:color w:val="auto"/>
          <w:highlight w:val="none"/>
        </w:rPr>
      </w:pPr>
    </w:p>
    <w:p w14:paraId="66A631A6">
      <w:pPr>
        <w:pStyle w:val="23"/>
        <w:ind w:firstLine="0" w:firstLineChars="0"/>
        <w:rPr>
          <w:rFonts w:cs="宋体"/>
          <w:color w:val="auto"/>
          <w:highlight w:val="none"/>
        </w:rPr>
      </w:pPr>
    </w:p>
    <w:p w14:paraId="164B96D2">
      <w:pPr>
        <w:pStyle w:val="23"/>
        <w:ind w:firstLine="0" w:firstLineChars="0"/>
        <w:rPr>
          <w:rFonts w:cs="宋体"/>
          <w:color w:val="auto"/>
          <w:highlight w:val="none"/>
        </w:rPr>
      </w:pPr>
    </w:p>
    <w:p w14:paraId="7EA3D8A7">
      <w:pPr>
        <w:pStyle w:val="23"/>
        <w:ind w:firstLine="0" w:firstLineChars="0"/>
        <w:rPr>
          <w:rFonts w:cs="宋体"/>
          <w:color w:val="auto"/>
          <w:highlight w:val="none"/>
        </w:rPr>
      </w:pPr>
    </w:p>
    <w:p w14:paraId="15A7C34D">
      <w:pPr>
        <w:pStyle w:val="23"/>
        <w:ind w:firstLine="0" w:firstLineChars="0"/>
        <w:rPr>
          <w:rFonts w:cs="宋体"/>
          <w:color w:val="auto"/>
          <w:highlight w:val="none"/>
        </w:rPr>
      </w:pPr>
    </w:p>
    <w:p w14:paraId="1898EA6F">
      <w:pPr>
        <w:pStyle w:val="23"/>
        <w:ind w:firstLine="0" w:firstLineChars="0"/>
        <w:rPr>
          <w:rFonts w:cs="宋体"/>
          <w:color w:val="auto"/>
          <w:highlight w:val="none"/>
        </w:rPr>
      </w:pPr>
      <w:r>
        <w:rPr>
          <w:color w:val="auto"/>
          <w:highlight w:val="none"/>
        </w:rPr>
        <w:drawing>
          <wp:anchor distT="0" distB="0" distL="114300" distR="114300" simplePos="0" relativeHeight="251667456" behindDoc="1" locked="0" layoutInCell="1" allowOverlap="1">
            <wp:simplePos x="0" y="0"/>
            <wp:positionH relativeFrom="column">
              <wp:posOffset>85725</wp:posOffset>
            </wp:positionH>
            <wp:positionV relativeFrom="paragraph">
              <wp:posOffset>5715</wp:posOffset>
            </wp:positionV>
            <wp:extent cx="5270500" cy="6729095"/>
            <wp:effectExtent l="0" t="0" r="6350" b="5080"/>
            <wp:wrapNone/>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48"/>
                    <a:stretch>
                      <a:fillRect/>
                    </a:stretch>
                  </pic:blipFill>
                  <pic:spPr>
                    <a:xfrm>
                      <a:off x="0" y="0"/>
                      <a:ext cx="5270500" cy="6729095"/>
                    </a:xfrm>
                    <a:prstGeom prst="rect">
                      <a:avLst/>
                    </a:prstGeom>
                    <a:noFill/>
                    <a:ln>
                      <a:noFill/>
                    </a:ln>
                  </pic:spPr>
                </pic:pic>
              </a:graphicData>
            </a:graphic>
          </wp:anchor>
        </w:drawing>
      </w:r>
    </w:p>
    <w:p w14:paraId="2A60AA08">
      <w:pPr>
        <w:pStyle w:val="23"/>
        <w:ind w:firstLine="0" w:firstLineChars="0"/>
        <w:rPr>
          <w:rFonts w:cs="宋体"/>
          <w:color w:val="auto"/>
          <w:highlight w:val="none"/>
        </w:rPr>
      </w:pPr>
    </w:p>
    <w:p w14:paraId="7DC8587C">
      <w:pPr>
        <w:pStyle w:val="23"/>
        <w:ind w:firstLine="0" w:firstLineChars="0"/>
        <w:rPr>
          <w:rFonts w:cs="宋体"/>
          <w:color w:val="auto"/>
          <w:highlight w:val="none"/>
        </w:rPr>
      </w:pPr>
    </w:p>
    <w:p w14:paraId="4D6878C6">
      <w:pPr>
        <w:pStyle w:val="23"/>
        <w:ind w:firstLine="0" w:firstLineChars="0"/>
        <w:rPr>
          <w:rFonts w:cs="宋体"/>
          <w:color w:val="auto"/>
          <w:highlight w:val="none"/>
        </w:rPr>
      </w:pPr>
    </w:p>
    <w:p w14:paraId="0C71FD71">
      <w:pPr>
        <w:pStyle w:val="23"/>
        <w:ind w:firstLine="0" w:firstLineChars="0"/>
        <w:rPr>
          <w:rFonts w:cs="宋体"/>
          <w:color w:val="auto"/>
          <w:highlight w:val="none"/>
        </w:rPr>
      </w:pPr>
    </w:p>
    <w:p w14:paraId="2C9E28ED">
      <w:pPr>
        <w:pStyle w:val="23"/>
        <w:ind w:firstLine="0" w:firstLineChars="0"/>
        <w:rPr>
          <w:rFonts w:cs="宋体"/>
          <w:color w:val="auto"/>
          <w:highlight w:val="none"/>
        </w:rPr>
      </w:pPr>
    </w:p>
    <w:p w14:paraId="2395191E">
      <w:pPr>
        <w:pStyle w:val="23"/>
        <w:ind w:firstLine="0" w:firstLineChars="0"/>
        <w:rPr>
          <w:rFonts w:cs="宋体"/>
          <w:color w:val="auto"/>
          <w:highlight w:val="none"/>
        </w:rPr>
      </w:pPr>
    </w:p>
    <w:p w14:paraId="7C2BB59D">
      <w:pPr>
        <w:pStyle w:val="23"/>
        <w:ind w:firstLine="0" w:firstLineChars="0"/>
        <w:rPr>
          <w:rFonts w:cs="宋体"/>
          <w:color w:val="auto"/>
          <w:highlight w:val="none"/>
        </w:rPr>
      </w:pPr>
    </w:p>
    <w:p w14:paraId="37925D6A">
      <w:pPr>
        <w:pStyle w:val="23"/>
        <w:ind w:firstLine="0" w:firstLineChars="0"/>
        <w:rPr>
          <w:rFonts w:cs="宋体"/>
          <w:color w:val="auto"/>
          <w:highlight w:val="none"/>
        </w:rPr>
      </w:pPr>
    </w:p>
    <w:p w14:paraId="32F373AF">
      <w:pPr>
        <w:pStyle w:val="23"/>
        <w:ind w:firstLine="0" w:firstLineChars="0"/>
        <w:rPr>
          <w:rFonts w:cs="宋体"/>
          <w:color w:val="auto"/>
          <w:highlight w:val="none"/>
        </w:rPr>
      </w:pPr>
    </w:p>
    <w:p w14:paraId="07A73A4A">
      <w:pPr>
        <w:pStyle w:val="23"/>
        <w:ind w:firstLine="0" w:firstLineChars="0"/>
        <w:rPr>
          <w:rFonts w:cs="宋体"/>
          <w:color w:val="auto"/>
          <w:highlight w:val="none"/>
        </w:rPr>
      </w:pPr>
    </w:p>
    <w:p w14:paraId="41D829DE">
      <w:pPr>
        <w:pStyle w:val="23"/>
        <w:ind w:firstLine="0" w:firstLineChars="0"/>
        <w:rPr>
          <w:rFonts w:cs="宋体"/>
          <w:color w:val="auto"/>
          <w:highlight w:val="none"/>
        </w:rPr>
      </w:pPr>
    </w:p>
    <w:p w14:paraId="52093696">
      <w:pPr>
        <w:pStyle w:val="23"/>
        <w:ind w:firstLine="0" w:firstLineChars="0"/>
        <w:rPr>
          <w:rFonts w:cs="宋体"/>
          <w:color w:val="auto"/>
          <w:highlight w:val="none"/>
        </w:rPr>
      </w:pPr>
    </w:p>
    <w:p w14:paraId="1EC44AAF">
      <w:pPr>
        <w:pStyle w:val="23"/>
        <w:ind w:firstLine="0" w:firstLineChars="0"/>
        <w:rPr>
          <w:rFonts w:cs="宋体"/>
          <w:color w:val="auto"/>
          <w:highlight w:val="none"/>
        </w:rPr>
      </w:pPr>
    </w:p>
    <w:p w14:paraId="1D2CE0EE">
      <w:pPr>
        <w:pStyle w:val="23"/>
        <w:ind w:firstLine="0" w:firstLineChars="0"/>
        <w:rPr>
          <w:rFonts w:cs="宋体"/>
          <w:color w:val="auto"/>
          <w:highlight w:val="none"/>
        </w:rPr>
      </w:pPr>
    </w:p>
    <w:p w14:paraId="2B47A7B8">
      <w:pPr>
        <w:pStyle w:val="23"/>
        <w:ind w:firstLine="0" w:firstLineChars="0"/>
        <w:rPr>
          <w:rFonts w:cs="宋体"/>
          <w:color w:val="auto"/>
          <w:highlight w:val="none"/>
        </w:rPr>
      </w:pPr>
    </w:p>
    <w:p w14:paraId="32EE6EB6">
      <w:pPr>
        <w:pStyle w:val="23"/>
        <w:ind w:firstLine="0" w:firstLineChars="0"/>
        <w:rPr>
          <w:rFonts w:cs="宋体"/>
          <w:color w:val="auto"/>
          <w:highlight w:val="none"/>
        </w:rPr>
      </w:pPr>
    </w:p>
    <w:p w14:paraId="4BB43E3F">
      <w:pPr>
        <w:pStyle w:val="23"/>
        <w:ind w:firstLine="0" w:firstLineChars="0"/>
        <w:rPr>
          <w:rFonts w:cs="宋体"/>
          <w:color w:val="auto"/>
          <w:highlight w:val="none"/>
        </w:rPr>
      </w:pPr>
    </w:p>
    <w:p w14:paraId="6A435CEC">
      <w:pPr>
        <w:pStyle w:val="23"/>
        <w:ind w:firstLine="0" w:firstLineChars="0"/>
        <w:rPr>
          <w:rFonts w:cs="宋体"/>
          <w:color w:val="auto"/>
          <w:highlight w:val="none"/>
        </w:rPr>
      </w:pPr>
    </w:p>
    <w:p w14:paraId="46B989D2">
      <w:pPr>
        <w:pStyle w:val="23"/>
        <w:ind w:firstLine="0" w:firstLineChars="0"/>
        <w:rPr>
          <w:rFonts w:cs="宋体"/>
          <w:color w:val="auto"/>
          <w:highlight w:val="none"/>
        </w:rPr>
      </w:pPr>
    </w:p>
    <w:p w14:paraId="3E41BC68">
      <w:pPr>
        <w:pStyle w:val="23"/>
        <w:ind w:firstLine="0" w:firstLineChars="0"/>
        <w:rPr>
          <w:rFonts w:cs="宋体"/>
          <w:color w:val="auto"/>
          <w:highlight w:val="none"/>
        </w:rPr>
      </w:pPr>
    </w:p>
    <w:p w14:paraId="5EAE63F3">
      <w:pPr>
        <w:pStyle w:val="23"/>
        <w:ind w:firstLine="0" w:firstLineChars="0"/>
        <w:rPr>
          <w:rFonts w:cs="宋体"/>
          <w:color w:val="auto"/>
          <w:highlight w:val="none"/>
        </w:rPr>
      </w:pPr>
    </w:p>
    <w:p w14:paraId="06616F4F">
      <w:pPr>
        <w:pStyle w:val="23"/>
        <w:ind w:firstLine="0" w:firstLineChars="0"/>
        <w:rPr>
          <w:rFonts w:cs="宋体"/>
          <w:color w:val="auto"/>
          <w:highlight w:val="none"/>
        </w:rPr>
      </w:pPr>
    </w:p>
    <w:p w14:paraId="1C5B9F58">
      <w:pPr>
        <w:pStyle w:val="23"/>
        <w:ind w:firstLine="0" w:firstLineChars="0"/>
        <w:rPr>
          <w:rFonts w:cs="宋体"/>
          <w:color w:val="auto"/>
          <w:highlight w:val="none"/>
        </w:rPr>
      </w:pPr>
    </w:p>
    <w:p w14:paraId="57CDE28A">
      <w:pPr>
        <w:pStyle w:val="23"/>
        <w:ind w:firstLine="0" w:firstLineChars="0"/>
        <w:rPr>
          <w:rFonts w:cs="宋体"/>
          <w:color w:val="auto"/>
          <w:highlight w:val="none"/>
        </w:rPr>
      </w:pPr>
    </w:p>
    <w:p w14:paraId="05386B6C">
      <w:pPr>
        <w:pStyle w:val="23"/>
        <w:ind w:firstLine="0" w:firstLineChars="0"/>
        <w:rPr>
          <w:rFonts w:cs="宋体"/>
          <w:color w:val="auto"/>
          <w:highlight w:val="none"/>
        </w:rPr>
      </w:pPr>
    </w:p>
    <w:p w14:paraId="0263F425">
      <w:pPr>
        <w:pStyle w:val="23"/>
        <w:ind w:firstLine="0" w:firstLineChars="0"/>
        <w:rPr>
          <w:rFonts w:cs="宋体"/>
          <w:color w:val="auto"/>
          <w:highlight w:val="none"/>
        </w:rPr>
      </w:pPr>
    </w:p>
    <w:p w14:paraId="5B6B20EA">
      <w:pPr>
        <w:pStyle w:val="23"/>
        <w:ind w:firstLine="0" w:firstLineChars="0"/>
        <w:rPr>
          <w:rFonts w:cs="宋体"/>
          <w:color w:val="auto"/>
          <w:highlight w:val="none"/>
        </w:rPr>
      </w:pPr>
    </w:p>
    <w:p w14:paraId="198F5EF6">
      <w:pPr>
        <w:pStyle w:val="23"/>
        <w:ind w:firstLine="0" w:firstLineChars="0"/>
        <w:rPr>
          <w:rFonts w:cs="宋体"/>
          <w:color w:val="auto"/>
          <w:highlight w:val="none"/>
        </w:rPr>
      </w:pPr>
      <w:r>
        <w:rPr>
          <w:color w:val="auto"/>
          <w:highlight w:val="none"/>
        </w:rPr>
        <w:drawing>
          <wp:anchor distT="0" distB="0" distL="114300" distR="114300" simplePos="0" relativeHeight="251668480" behindDoc="1" locked="0" layoutInCell="1" allowOverlap="1">
            <wp:simplePos x="0" y="0"/>
            <wp:positionH relativeFrom="column">
              <wp:posOffset>47625</wp:posOffset>
            </wp:positionH>
            <wp:positionV relativeFrom="paragraph">
              <wp:posOffset>148590</wp:posOffset>
            </wp:positionV>
            <wp:extent cx="5273040" cy="6797040"/>
            <wp:effectExtent l="0" t="0" r="3810" b="3810"/>
            <wp:wrapNone/>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49"/>
                    <a:stretch>
                      <a:fillRect/>
                    </a:stretch>
                  </pic:blipFill>
                  <pic:spPr>
                    <a:xfrm>
                      <a:off x="0" y="0"/>
                      <a:ext cx="5273040" cy="6797040"/>
                    </a:xfrm>
                    <a:prstGeom prst="rect">
                      <a:avLst/>
                    </a:prstGeom>
                    <a:noFill/>
                    <a:ln>
                      <a:noFill/>
                    </a:ln>
                  </pic:spPr>
                </pic:pic>
              </a:graphicData>
            </a:graphic>
          </wp:anchor>
        </w:drawing>
      </w:r>
    </w:p>
    <w:p w14:paraId="34DC6E1A">
      <w:pPr>
        <w:pStyle w:val="23"/>
        <w:ind w:firstLine="0" w:firstLineChars="0"/>
        <w:rPr>
          <w:rFonts w:cs="宋体"/>
          <w:color w:val="auto"/>
          <w:highlight w:val="none"/>
        </w:rPr>
      </w:pPr>
    </w:p>
    <w:p w14:paraId="66035F47">
      <w:pPr>
        <w:pStyle w:val="23"/>
        <w:ind w:firstLine="0" w:firstLineChars="0"/>
        <w:rPr>
          <w:rFonts w:cs="宋体"/>
          <w:color w:val="auto"/>
          <w:highlight w:val="none"/>
        </w:rPr>
      </w:pPr>
    </w:p>
    <w:p w14:paraId="09C8035C">
      <w:pPr>
        <w:pStyle w:val="23"/>
        <w:ind w:firstLine="0" w:firstLineChars="0"/>
        <w:rPr>
          <w:rFonts w:cs="宋体"/>
          <w:color w:val="auto"/>
          <w:highlight w:val="none"/>
        </w:rPr>
      </w:pPr>
    </w:p>
    <w:p w14:paraId="0F300940">
      <w:pPr>
        <w:pStyle w:val="23"/>
        <w:ind w:firstLine="0" w:firstLineChars="0"/>
        <w:rPr>
          <w:rFonts w:cs="宋体"/>
          <w:color w:val="auto"/>
          <w:highlight w:val="none"/>
        </w:rPr>
      </w:pPr>
    </w:p>
    <w:p w14:paraId="2EC093B9">
      <w:pPr>
        <w:pStyle w:val="23"/>
        <w:ind w:firstLine="0" w:firstLineChars="0"/>
        <w:rPr>
          <w:rFonts w:cs="宋体"/>
          <w:color w:val="auto"/>
          <w:highlight w:val="none"/>
        </w:rPr>
      </w:pPr>
    </w:p>
    <w:p w14:paraId="3029E202">
      <w:pPr>
        <w:pStyle w:val="23"/>
        <w:ind w:firstLine="0" w:firstLineChars="0"/>
        <w:rPr>
          <w:rFonts w:cs="宋体"/>
          <w:color w:val="auto"/>
          <w:highlight w:val="none"/>
        </w:rPr>
      </w:pPr>
    </w:p>
    <w:p w14:paraId="5A2CD3C3">
      <w:pPr>
        <w:pStyle w:val="23"/>
        <w:ind w:firstLine="0" w:firstLineChars="0"/>
        <w:rPr>
          <w:rFonts w:cs="宋体"/>
          <w:color w:val="auto"/>
          <w:highlight w:val="none"/>
        </w:rPr>
      </w:pPr>
    </w:p>
    <w:p w14:paraId="2EF7873F">
      <w:pPr>
        <w:pStyle w:val="23"/>
        <w:ind w:firstLine="0" w:firstLineChars="0"/>
        <w:rPr>
          <w:rFonts w:cs="宋体"/>
          <w:color w:val="auto"/>
          <w:highlight w:val="none"/>
        </w:rPr>
      </w:pPr>
    </w:p>
    <w:p w14:paraId="2D638B1B">
      <w:pPr>
        <w:pStyle w:val="23"/>
        <w:ind w:firstLine="0" w:firstLineChars="0"/>
        <w:rPr>
          <w:rFonts w:cs="宋体"/>
          <w:color w:val="auto"/>
          <w:highlight w:val="none"/>
        </w:rPr>
      </w:pPr>
    </w:p>
    <w:p w14:paraId="4BB75D9B">
      <w:pPr>
        <w:pStyle w:val="23"/>
        <w:ind w:firstLine="0" w:firstLineChars="0"/>
        <w:rPr>
          <w:rFonts w:cs="宋体"/>
          <w:color w:val="auto"/>
          <w:highlight w:val="none"/>
        </w:rPr>
      </w:pPr>
    </w:p>
    <w:p w14:paraId="7F91D8FF">
      <w:pPr>
        <w:pStyle w:val="23"/>
        <w:ind w:firstLine="0" w:firstLineChars="0"/>
        <w:rPr>
          <w:rFonts w:cs="宋体"/>
          <w:color w:val="auto"/>
          <w:highlight w:val="none"/>
        </w:rPr>
      </w:pPr>
    </w:p>
    <w:p w14:paraId="244D4438">
      <w:pPr>
        <w:pStyle w:val="23"/>
        <w:ind w:firstLine="0" w:firstLineChars="0"/>
        <w:rPr>
          <w:rFonts w:cs="宋体"/>
          <w:color w:val="auto"/>
          <w:highlight w:val="none"/>
        </w:rPr>
      </w:pPr>
    </w:p>
    <w:p w14:paraId="5C28F82B">
      <w:pPr>
        <w:pStyle w:val="23"/>
        <w:ind w:firstLine="0" w:firstLineChars="0"/>
        <w:rPr>
          <w:rFonts w:cs="宋体"/>
          <w:color w:val="auto"/>
          <w:highlight w:val="none"/>
        </w:rPr>
      </w:pPr>
    </w:p>
    <w:p w14:paraId="05AF0F7E">
      <w:pPr>
        <w:pStyle w:val="23"/>
        <w:ind w:firstLine="0" w:firstLineChars="0"/>
        <w:rPr>
          <w:rFonts w:cs="宋体"/>
          <w:color w:val="auto"/>
          <w:highlight w:val="none"/>
        </w:rPr>
      </w:pPr>
    </w:p>
    <w:p w14:paraId="23EE9F93">
      <w:pPr>
        <w:pStyle w:val="23"/>
        <w:ind w:firstLine="0" w:firstLineChars="0"/>
        <w:rPr>
          <w:rFonts w:cs="宋体"/>
          <w:color w:val="auto"/>
          <w:highlight w:val="none"/>
        </w:rPr>
      </w:pPr>
    </w:p>
    <w:p w14:paraId="40505D15">
      <w:pPr>
        <w:pStyle w:val="23"/>
        <w:ind w:firstLine="0" w:firstLineChars="0"/>
        <w:rPr>
          <w:rFonts w:cs="宋体"/>
          <w:color w:val="auto"/>
          <w:highlight w:val="none"/>
        </w:rPr>
      </w:pPr>
    </w:p>
    <w:p w14:paraId="1198BF73">
      <w:pPr>
        <w:pStyle w:val="23"/>
        <w:ind w:firstLine="0" w:firstLineChars="0"/>
        <w:rPr>
          <w:rFonts w:cs="宋体"/>
          <w:color w:val="auto"/>
          <w:highlight w:val="none"/>
        </w:rPr>
      </w:pPr>
    </w:p>
    <w:p w14:paraId="05B13D25">
      <w:pPr>
        <w:pStyle w:val="23"/>
        <w:ind w:firstLine="0" w:firstLineChars="0"/>
        <w:rPr>
          <w:rFonts w:cs="宋体"/>
          <w:color w:val="auto"/>
          <w:highlight w:val="none"/>
        </w:rPr>
      </w:pPr>
    </w:p>
    <w:p w14:paraId="22A4CA56">
      <w:pPr>
        <w:pStyle w:val="23"/>
        <w:ind w:firstLine="0" w:firstLineChars="0"/>
        <w:rPr>
          <w:rFonts w:cs="宋体"/>
          <w:color w:val="auto"/>
          <w:highlight w:val="none"/>
        </w:rPr>
      </w:pPr>
    </w:p>
    <w:p w14:paraId="1537103D">
      <w:pPr>
        <w:pStyle w:val="23"/>
        <w:ind w:firstLine="0" w:firstLineChars="0"/>
        <w:rPr>
          <w:rFonts w:cs="宋体"/>
          <w:color w:val="auto"/>
          <w:highlight w:val="none"/>
        </w:rPr>
      </w:pPr>
    </w:p>
    <w:p w14:paraId="26B66CF0">
      <w:pPr>
        <w:pStyle w:val="23"/>
        <w:ind w:firstLine="0" w:firstLineChars="0"/>
        <w:rPr>
          <w:rFonts w:cs="宋体"/>
          <w:color w:val="auto"/>
          <w:highlight w:val="none"/>
        </w:rPr>
      </w:pPr>
    </w:p>
    <w:p w14:paraId="50F9BCD8">
      <w:pPr>
        <w:pStyle w:val="23"/>
        <w:ind w:firstLine="0" w:firstLineChars="0"/>
        <w:rPr>
          <w:rFonts w:cs="宋体"/>
          <w:color w:val="auto"/>
          <w:highlight w:val="none"/>
        </w:rPr>
      </w:pPr>
    </w:p>
    <w:p w14:paraId="0E7CE92F">
      <w:pPr>
        <w:pStyle w:val="23"/>
        <w:ind w:firstLine="0" w:firstLineChars="0"/>
        <w:rPr>
          <w:rFonts w:cs="宋体"/>
          <w:color w:val="auto"/>
          <w:highlight w:val="none"/>
        </w:rPr>
      </w:pPr>
    </w:p>
    <w:p w14:paraId="4F2FC366">
      <w:pPr>
        <w:pStyle w:val="23"/>
        <w:ind w:firstLine="0" w:firstLineChars="0"/>
        <w:rPr>
          <w:rFonts w:cs="宋体"/>
          <w:color w:val="auto"/>
          <w:highlight w:val="none"/>
        </w:rPr>
      </w:pPr>
    </w:p>
    <w:p w14:paraId="789864A2">
      <w:pPr>
        <w:pStyle w:val="23"/>
        <w:ind w:firstLine="0" w:firstLineChars="0"/>
        <w:rPr>
          <w:rFonts w:cs="宋体"/>
          <w:color w:val="auto"/>
          <w:highlight w:val="none"/>
        </w:rPr>
      </w:pPr>
    </w:p>
    <w:p w14:paraId="5AA3FD04">
      <w:pPr>
        <w:pStyle w:val="23"/>
        <w:ind w:firstLine="0" w:firstLineChars="0"/>
        <w:rPr>
          <w:rFonts w:cs="宋体"/>
          <w:color w:val="auto"/>
          <w:highlight w:val="none"/>
        </w:rPr>
      </w:pPr>
    </w:p>
    <w:p w14:paraId="542906B3">
      <w:pPr>
        <w:pStyle w:val="23"/>
        <w:ind w:firstLine="0" w:firstLineChars="0"/>
        <w:rPr>
          <w:rFonts w:cs="宋体"/>
          <w:color w:val="auto"/>
          <w:highlight w:val="none"/>
        </w:rPr>
      </w:pPr>
    </w:p>
    <w:p w14:paraId="5B02EEB5">
      <w:pPr>
        <w:pStyle w:val="23"/>
        <w:ind w:firstLine="0" w:firstLineChars="0"/>
        <w:rPr>
          <w:rFonts w:cs="宋体"/>
          <w:color w:val="auto"/>
          <w:highlight w:val="none"/>
        </w:rPr>
      </w:pPr>
      <w:r>
        <w:rPr>
          <w:color w:val="auto"/>
          <w:highlight w:val="none"/>
        </w:rPr>
        <w:drawing>
          <wp:anchor distT="0" distB="0" distL="114300" distR="114300" simplePos="0" relativeHeight="251669504" behindDoc="1" locked="0" layoutInCell="1" allowOverlap="1">
            <wp:simplePos x="0" y="0"/>
            <wp:positionH relativeFrom="column">
              <wp:posOffset>114300</wp:posOffset>
            </wp:positionH>
            <wp:positionV relativeFrom="paragraph">
              <wp:posOffset>15240</wp:posOffset>
            </wp:positionV>
            <wp:extent cx="5268595" cy="6837680"/>
            <wp:effectExtent l="0" t="0" r="8255" b="1270"/>
            <wp:wrapNone/>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50"/>
                    <a:stretch>
                      <a:fillRect/>
                    </a:stretch>
                  </pic:blipFill>
                  <pic:spPr>
                    <a:xfrm>
                      <a:off x="0" y="0"/>
                      <a:ext cx="5268595" cy="6837680"/>
                    </a:xfrm>
                    <a:prstGeom prst="rect">
                      <a:avLst/>
                    </a:prstGeom>
                    <a:noFill/>
                    <a:ln>
                      <a:noFill/>
                    </a:ln>
                  </pic:spPr>
                </pic:pic>
              </a:graphicData>
            </a:graphic>
          </wp:anchor>
        </w:drawing>
      </w:r>
    </w:p>
    <w:p w14:paraId="406807C0">
      <w:pPr>
        <w:pStyle w:val="23"/>
        <w:ind w:firstLine="0" w:firstLineChars="0"/>
        <w:rPr>
          <w:rFonts w:cs="宋体"/>
          <w:color w:val="auto"/>
          <w:highlight w:val="none"/>
        </w:rPr>
      </w:pPr>
    </w:p>
    <w:p w14:paraId="559C49EB">
      <w:pPr>
        <w:pStyle w:val="23"/>
        <w:ind w:firstLine="0" w:firstLineChars="0"/>
        <w:rPr>
          <w:rFonts w:cs="宋体"/>
          <w:color w:val="auto"/>
          <w:highlight w:val="none"/>
        </w:rPr>
      </w:pPr>
    </w:p>
    <w:p w14:paraId="4D76E86B">
      <w:pPr>
        <w:pStyle w:val="23"/>
        <w:ind w:firstLine="0" w:firstLineChars="0"/>
        <w:rPr>
          <w:rFonts w:cs="宋体"/>
          <w:color w:val="auto"/>
          <w:highlight w:val="none"/>
        </w:rPr>
      </w:pPr>
    </w:p>
    <w:p w14:paraId="094FA08B">
      <w:pPr>
        <w:pStyle w:val="23"/>
        <w:ind w:firstLine="0" w:firstLineChars="0"/>
        <w:rPr>
          <w:rFonts w:cs="宋体"/>
          <w:color w:val="auto"/>
          <w:highlight w:val="none"/>
        </w:rPr>
      </w:pPr>
    </w:p>
    <w:p w14:paraId="679DE7AF">
      <w:pPr>
        <w:pStyle w:val="23"/>
        <w:ind w:firstLine="0" w:firstLineChars="0"/>
        <w:rPr>
          <w:rFonts w:cs="宋体"/>
          <w:color w:val="auto"/>
          <w:highlight w:val="none"/>
        </w:rPr>
      </w:pPr>
    </w:p>
    <w:p w14:paraId="62F29D48">
      <w:pPr>
        <w:pStyle w:val="23"/>
        <w:ind w:firstLine="0" w:firstLineChars="0"/>
        <w:rPr>
          <w:rFonts w:cs="宋体"/>
          <w:color w:val="auto"/>
          <w:highlight w:val="none"/>
        </w:rPr>
      </w:pPr>
    </w:p>
    <w:p w14:paraId="30EEA3BB">
      <w:pPr>
        <w:pStyle w:val="23"/>
        <w:ind w:firstLine="0" w:firstLineChars="0"/>
        <w:rPr>
          <w:rFonts w:cs="宋体"/>
          <w:color w:val="auto"/>
          <w:highlight w:val="none"/>
        </w:rPr>
      </w:pPr>
    </w:p>
    <w:p w14:paraId="7DE9867D">
      <w:pPr>
        <w:pStyle w:val="23"/>
        <w:ind w:firstLine="0" w:firstLineChars="0"/>
        <w:rPr>
          <w:rFonts w:cs="宋体"/>
          <w:color w:val="auto"/>
          <w:highlight w:val="none"/>
        </w:rPr>
      </w:pPr>
    </w:p>
    <w:p w14:paraId="0B70C091">
      <w:pPr>
        <w:pStyle w:val="23"/>
        <w:ind w:firstLine="0" w:firstLineChars="0"/>
        <w:rPr>
          <w:rFonts w:cs="宋体"/>
          <w:color w:val="auto"/>
          <w:highlight w:val="none"/>
        </w:rPr>
      </w:pPr>
    </w:p>
    <w:p w14:paraId="5AD79D0F">
      <w:pPr>
        <w:pStyle w:val="23"/>
        <w:ind w:firstLine="0" w:firstLineChars="0"/>
        <w:rPr>
          <w:rFonts w:cs="宋体"/>
          <w:color w:val="auto"/>
          <w:highlight w:val="none"/>
        </w:rPr>
      </w:pPr>
    </w:p>
    <w:p w14:paraId="44B3E898">
      <w:pPr>
        <w:pStyle w:val="23"/>
        <w:ind w:firstLine="0" w:firstLineChars="0"/>
        <w:rPr>
          <w:rFonts w:cs="宋体"/>
          <w:color w:val="auto"/>
          <w:highlight w:val="none"/>
        </w:rPr>
      </w:pPr>
    </w:p>
    <w:p w14:paraId="4D81C3DB">
      <w:pPr>
        <w:pStyle w:val="23"/>
        <w:ind w:firstLine="0" w:firstLineChars="0"/>
        <w:rPr>
          <w:rFonts w:cs="宋体"/>
          <w:color w:val="auto"/>
          <w:highlight w:val="none"/>
        </w:rPr>
      </w:pPr>
    </w:p>
    <w:p w14:paraId="27C51BE2">
      <w:pPr>
        <w:pStyle w:val="23"/>
        <w:ind w:firstLine="0" w:firstLineChars="0"/>
        <w:rPr>
          <w:rFonts w:cs="宋体"/>
          <w:color w:val="auto"/>
          <w:highlight w:val="none"/>
        </w:rPr>
      </w:pPr>
    </w:p>
    <w:p w14:paraId="4BC2D186">
      <w:pPr>
        <w:pStyle w:val="23"/>
        <w:ind w:firstLine="0" w:firstLineChars="0"/>
        <w:rPr>
          <w:rFonts w:cs="宋体"/>
          <w:color w:val="auto"/>
          <w:highlight w:val="none"/>
        </w:rPr>
      </w:pPr>
    </w:p>
    <w:p w14:paraId="11B60947">
      <w:pPr>
        <w:pStyle w:val="23"/>
        <w:ind w:firstLine="0" w:firstLineChars="0"/>
        <w:rPr>
          <w:rFonts w:cs="宋体"/>
          <w:color w:val="auto"/>
          <w:highlight w:val="none"/>
        </w:rPr>
      </w:pPr>
    </w:p>
    <w:p w14:paraId="000342E1">
      <w:pPr>
        <w:pStyle w:val="23"/>
        <w:ind w:firstLine="0" w:firstLineChars="0"/>
        <w:rPr>
          <w:rFonts w:cs="宋体"/>
          <w:color w:val="auto"/>
          <w:highlight w:val="none"/>
        </w:rPr>
      </w:pPr>
    </w:p>
    <w:p w14:paraId="7457CC1E">
      <w:pPr>
        <w:pStyle w:val="23"/>
        <w:ind w:firstLine="0" w:firstLineChars="0"/>
        <w:rPr>
          <w:rFonts w:cs="宋体"/>
          <w:color w:val="auto"/>
          <w:highlight w:val="none"/>
        </w:rPr>
      </w:pPr>
    </w:p>
    <w:p w14:paraId="2675F3D8">
      <w:pPr>
        <w:pStyle w:val="23"/>
        <w:ind w:firstLine="0" w:firstLineChars="0"/>
        <w:rPr>
          <w:rFonts w:cs="宋体"/>
          <w:color w:val="auto"/>
          <w:highlight w:val="none"/>
        </w:rPr>
      </w:pPr>
    </w:p>
    <w:p w14:paraId="0E511B4D">
      <w:pPr>
        <w:pStyle w:val="23"/>
        <w:ind w:firstLine="0" w:firstLineChars="0"/>
        <w:rPr>
          <w:rFonts w:cs="宋体"/>
          <w:color w:val="auto"/>
          <w:highlight w:val="none"/>
        </w:rPr>
      </w:pPr>
    </w:p>
    <w:p w14:paraId="14087BAD">
      <w:pPr>
        <w:pStyle w:val="23"/>
        <w:ind w:firstLine="0" w:firstLineChars="0"/>
        <w:rPr>
          <w:rFonts w:cs="宋体"/>
          <w:color w:val="auto"/>
          <w:highlight w:val="none"/>
        </w:rPr>
      </w:pPr>
    </w:p>
    <w:p w14:paraId="2B2E27C7">
      <w:pPr>
        <w:pStyle w:val="23"/>
        <w:ind w:firstLine="0" w:firstLineChars="0"/>
        <w:rPr>
          <w:rFonts w:cs="宋体"/>
          <w:color w:val="auto"/>
          <w:highlight w:val="none"/>
        </w:rPr>
      </w:pPr>
    </w:p>
    <w:p w14:paraId="53F1F075">
      <w:pPr>
        <w:pStyle w:val="23"/>
        <w:ind w:firstLine="0" w:firstLineChars="0"/>
        <w:rPr>
          <w:rFonts w:cs="宋体"/>
          <w:color w:val="auto"/>
          <w:highlight w:val="none"/>
        </w:rPr>
      </w:pPr>
    </w:p>
    <w:p w14:paraId="4EC60FE6">
      <w:pPr>
        <w:pStyle w:val="23"/>
        <w:ind w:firstLine="0" w:firstLineChars="0"/>
        <w:rPr>
          <w:rFonts w:cs="宋体"/>
          <w:color w:val="auto"/>
          <w:highlight w:val="none"/>
        </w:rPr>
      </w:pPr>
    </w:p>
    <w:p w14:paraId="3B2A71D4">
      <w:pPr>
        <w:pStyle w:val="23"/>
        <w:ind w:firstLine="0" w:firstLineChars="0"/>
        <w:rPr>
          <w:rFonts w:cs="宋体"/>
          <w:color w:val="auto"/>
          <w:highlight w:val="none"/>
        </w:rPr>
      </w:pPr>
    </w:p>
    <w:p w14:paraId="19DC03B4">
      <w:pPr>
        <w:pStyle w:val="23"/>
        <w:ind w:firstLine="0" w:firstLineChars="0"/>
        <w:rPr>
          <w:rFonts w:cs="宋体"/>
          <w:color w:val="auto"/>
          <w:highlight w:val="none"/>
        </w:rPr>
      </w:pPr>
    </w:p>
    <w:p w14:paraId="297A7457">
      <w:pPr>
        <w:pStyle w:val="23"/>
        <w:ind w:firstLine="0" w:firstLineChars="0"/>
        <w:rPr>
          <w:rFonts w:cs="宋体"/>
          <w:color w:val="auto"/>
          <w:highlight w:val="none"/>
        </w:rPr>
      </w:pPr>
    </w:p>
    <w:p w14:paraId="226035BC">
      <w:pPr>
        <w:pStyle w:val="23"/>
        <w:ind w:firstLine="0" w:firstLineChars="0"/>
        <w:rPr>
          <w:rFonts w:cs="宋体"/>
          <w:color w:val="auto"/>
          <w:highlight w:val="none"/>
        </w:rPr>
      </w:pPr>
    </w:p>
    <w:p w14:paraId="017D7D0B">
      <w:pPr>
        <w:pStyle w:val="23"/>
        <w:ind w:firstLine="0" w:firstLineChars="0"/>
        <w:rPr>
          <w:rFonts w:cs="宋体"/>
          <w:color w:val="auto"/>
          <w:highlight w:val="none"/>
        </w:rPr>
      </w:pPr>
      <w:r>
        <w:rPr>
          <w:color w:val="auto"/>
          <w:highlight w:val="none"/>
        </w:rPr>
        <w:drawing>
          <wp:anchor distT="0" distB="0" distL="114300" distR="114300" simplePos="0" relativeHeight="251670528" behindDoc="1" locked="0" layoutInCell="1" allowOverlap="1">
            <wp:simplePos x="0" y="0"/>
            <wp:positionH relativeFrom="column">
              <wp:posOffset>-47625</wp:posOffset>
            </wp:positionH>
            <wp:positionV relativeFrom="paragraph">
              <wp:posOffset>110490</wp:posOffset>
            </wp:positionV>
            <wp:extent cx="5271770" cy="7120255"/>
            <wp:effectExtent l="0" t="0" r="5080" b="4445"/>
            <wp:wrapNone/>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51"/>
                    <a:stretch>
                      <a:fillRect/>
                    </a:stretch>
                  </pic:blipFill>
                  <pic:spPr>
                    <a:xfrm>
                      <a:off x="0" y="0"/>
                      <a:ext cx="5271770" cy="7120255"/>
                    </a:xfrm>
                    <a:prstGeom prst="rect">
                      <a:avLst/>
                    </a:prstGeom>
                    <a:noFill/>
                    <a:ln>
                      <a:noFill/>
                    </a:ln>
                  </pic:spPr>
                </pic:pic>
              </a:graphicData>
            </a:graphic>
          </wp:anchor>
        </w:drawing>
      </w:r>
    </w:p>
    <w:p w14:paraId="47CD9EBD">
      <w:pPr>
        <w:pStyle w:val="23"/>
        <w:ind w:firstLine="0" w:firstLineChars="0"/>
        <w:rPr>
          <w:rFonts w:cs="宋体"/>
          <w:color w:val="auto"/>
          <w:highlight w:val="none"/>
        </w:rPr>
      </w:pPr>
    </w:p>
    <w:p w14:paraId="0DA4F52B">
      <w:pPr>
        <w:pStyle w:val="23"/>
        <w:ind w:firstLine="0" w:firstLineChars="0"/>
        <w:rPr>
          <w:rFonts w:cs="宋体"/>
          <w:color w:val="auto"/>
          <w:highlight w:val="none"/>
        </w:rPr>
      </w:pPr>
    </w:p>
    <w:p w14:paraId="76A79A87">
      <w:pPr>
        <w:pStyle w:val="23"/>
        <w:ind w:firstLine="0" w:firstLineChars="0"/>
        <w:rPr>
          <w:rFonts w:cs="宋体"/>
          <w:color w:val="auto"/>
          <w:highlight w:val="none"/>
        </w:rPr>
      </w:pPr>
    </w:p>
    <w:p w14:paraId="33D95125">
      <w:pPr>
        <w:pStyle w:val="23"/>
        <w:ind w:firstLine="0" w:firstLineChars="0"/>
        <w:rPr>
          <w:rFonts w:cs="宋体"/>
          <w:color w:val="auto"/>
          <w:highlight w:val="none"/>
        </w:rPr>
      </w:pPr>
    </w:p>
    <w:p w14:paraId="7652445A">
      <w:pPr>
        <w:pStyle w:val="23"/>
        <w:ind w:firstLine="0" w:firstLineChars="0"/>
        <w:rPr>
          <w:rFonts w:cs="宋体"/>
          <w:color w:val="auto"/>
          <w:highlight w:val="none"/>
        </w:rPr>
      </w:pPr>
    </w:p>
    <w:p w14:paraId="44B1639E">
      <w:pPr>
        <w:pStyle w:val="23"/>
        <w:ind w:firstLine="0" w:firstLineChars="0"/>
        <w:rPr>
          <w:rFonts w:cs="宋体"/>
          <w:color w:val="auto"/>
          <w:highlight w:val="none"/>
        </w:rPr>
      </w:pPr>
    </w:p>
    <w:p w14:paraId="4D5800B4">
      <w:pPr>
        <w:pStyle w:val="23"/>
        <w:ind w:firstLine="0" w:firstLineChars="0"/>
        <w:rPr>
          <w:rFonts w:cs="宋体"/>
          <w:color w:val="auto"/>
          <w:highlight w:val="none"/>
        </w:rPr>
      </w:pPr>
    </w:p>
    <w:p w14:paraId="27BC068D">
      <w:pPr>
        <w:pStyle w:val="23"/>
        <w:ind w:firstLine="0" w:firstLineChars="0"/>
        <w:rPr>
          <w:rFonts w:cs="宋体"/>
          <w:color w:val="auto"/>
          <w:highlight w:val="none"/>
        </w:rPr>
      </w:pPr>
    </w:p>
    <w:p w14:paraId="1B37A909">
      <w:pPr>
        <w:pStyle w:val="23"/>
        <w:ind w:firstLine="0" w:firstLineChars="0"/>
        <w:rPr>
          <w:rFonts w:cs="宋体"/>
          <w:color w:val="auto"/>
          <w:highlight w:val="none"/>
        </w:rPr>
      </w:pPr>
    </w:p>
    <w:p w14:paraId="2D8C3C6C">
      <w:pPr>
        <w:pStyle w:val="23"/>
        <w:ind w:firstLine="0" w:firstLineChars="0"/>
        <w:rPr>
          <w:rFonts w:cs="宋体"/>
          <w:color w:val="auto"/>
          <w:highlight w:val="none"/>
        </w:rPr>
      </w:pPr>
    </w:p>
    <w:p w14:paraId="7368CAFF">
      <w:pPr>
        <w:pStyle w:val="23"/>
        <w:ind w:firstLine="0" w:firstLineChars="0"/>
        <w:rPr>
          <w:rFonts w:cs="宋体"/>
          <w:color w:val="auto"/>
          <w:highlight w:val="none"/>
        </w:rPr>
      </w:pPr>
    </w:p>
    <w:p w14:paraId="772C3298">
      <w:pPr>
        <w:pStyle w:val="23"/>
        <w:ind w:firstLine="0" w:firstLineChars="0"/>
        <w:rPr>
          <w:rFonts w:cs="宋体"/>
          <w:color w:val="auto"/>
          <w:highlight w:val="none"/>
        </w:rPr>
      </w:pPr>
    </w:p>
    <w:p w14:paraId="29CD1FFC">
      <w:pPr>
        <w:pStyle w:val="23"/>
        <w:ind w:firstLine="0" w:firstLineChars="0"/>
        <w:rPr>
          <w:rFonts w:cs="宋体"/>
          <w:color w:val="auto"/>
          <w:highlight w:val="none"/>
        </w:rPr>
      </w:pPr>
    </w:p>
    <w:p w14:paraId="3B2B81CE">
      <w:pPr>
        <w:pStyle w:val="23"/>
        <w:ind w:firstLine="0" w:firstLineChars="0"/>
        <w:rPr>
          <w:rFonts w:cs="宋体"/>
          <w:color w:val="auto"/>
          <w:highlight w:val="none"/>
        </w:rPr>
      </w:pPr>
    </w:p>
    <w:p w14:paraId="7F2A60EB">
      <w:pPr>
        <w:pStyle w:val="23"/>
        <w:ind w:firstLine="0" w:firstLineChars="0"/>
        <w:rPr>
          <w:rFonts w:cs="宋体"/>
          <w:color w:val="auto"/>
          <w:highlight w:val="none"/>
        </w:rPr>
      </w:pPr>
    </w:p>
    <w:p w14:paraId="6175A774">
      <w:pPr>
        <w:pStyle w:val="23"/>
        <w:ind w:firstLine="0" w:firstLineChars="0"/>
        <w:rPr>
          <w:rFonts w:cs="宋体"/>
          <w:color w:val="auto"/>
          <w:highlight w:val="none"/>
        </w:rPr>
      </w:pPr>
    </w:p>
    <w:p w14:paraId="27275E87">
      <w:pPr>
        <w:pStyle w:val="23"/>
        <w:ind w:firstLine="0" w:firstLineChars="0"/>
        <w:rPr>
          <w:rFonts w:cs="宋体"/>
          <w:color w:val="auto"/>
          <w:highlight w:val="none"/>
        </w:rPr>
      </w:pPr>
    </w:p>
    <w:p w14:paraId="514BF283">
      <w:pPr>
        <w:pStyle w:val="23"/>
        <w:ind w:firstLine="0" w:firstLineChars="0"/>
        <w:rPr>
          <w:rFonts w:cs="宋体"/>
          <w:color w:val="auto"/>
          <w:highlight w:val="none"/>
        </w:rPr>
      </w:pPr>
    </w:p>
    <w:p w14:paraId="4DC95E62">
      <w:pPr>
        <w:pStyle w:val="23"/>
        <w:ind w:firstLine="0" w:firstLineChars="0"/>
        <w:rPr>
          <w:rFonts w:cs="宋体"/>
          <w:color w:val="auto"/>
          <w:highlight w:val="none"/>
        </w:rPr>
      </w:pPr>
    </w:p>
    <w:p w14:paraId="127B4599">
      <w:pPr>
        <w:pStyle w:val="23"/>
        <w:ind w:firstLine="0" w:firstLineChars="0"/>
        <w:rPr>
          <w:rFonts w:cs="宋体"/>
          <w:color w:val="auto"/>
          <w:highlight w:val="none"/>
        </w:rPr>
      </w:pPr>
    </w:p>
    <w:p w14:paraId="6805F2B2">
      <w:pPr>
        <w:pStyle w:val="23"/>
        <w:ind w:firstLine="0" w:firstLineChars="0"/>
        <w:rPr>
          <w:rFonts w:cs="宋体"/>
          <w:color w:val="auto"/>
          <w:highlight w:val="none"/>
        </w:rPr>
      </w:pPr>
    </w:p>
    <w:p w14:paraId="7AC79052">
      <w:pPr>
        <w:pStyle w:val="23"/>
        <w:ind w:firstLine="0" w:firstLineChars="0"/>
        <w:rPr>
          <w:rFonts w:cs="宋体"/>
          <w:color w:val="auto"/>
          <w:highlight w:val="none"/>
        </w:rPr>
      </w:pPr>
    </w:p>
    <w:p w14:paraId="623C99BE">
      <w:pPr>
        <w:pStyle w:val="23"/>
        <w:ind w:firstLine="0" w:firstLineChars="0"/>
        <w:rPr>
          <w:rFonts w:cs="宋体"/>
          <w:color w:val="auto"/>
          <w:highlight w:val="none"/>
        </w:rPr>
      </w:pPr>
    </w:p>
    <w:p w14:paraId="3273E219">
      <w:pPr>
        <w:pStyle w:val="23"/>
        <w:ind w:firstLine="0" w:firstLineChars="0"/>
        <w:rPr>
          <w:rFonts w:cs="宋体"/>
          <w:color w:val="auto"/>
          <w:highlight w:val="none"/>
        </w:rPr>
      </w:pPr>
    </w:p>
    <w:p w14:paraId="2BF23F36">
      <w:pPr>
        <w:pStyle w:val="23"/>
        <w:ind w:firstLine="0" w:firstLineChars="0"/>
        <w:rPr>
          <w:rFonts w:cs="宋体"/>
          <w:color w:val="auto"/>
          <w:highlight w:val="none"/>
        </w:rPr>
      </w:pPr>
    </w:p>
    <w:p w14:paraId="01CE4B17">
      <w:pPr>
        <w:pStyle w:val="23"/>
        <w:ind w:firstLine="0" w:firstLineChars="0"/>
        <w:rPr>
          <w:rFonts w:cs="宋体"/>
          <w:color w:val="auto"/>
          <w:highlight w:val="none"/>
        </w:rPr>
      </w:pPr>
    </w:p>
    <w:p w14:paraId="0196C4F6">
      <w:pPr>
        <w:pStyle w:val="23"/>
        <w:ind w:firstLine="0" w:firstLineChars="0"/>
        <w:rPr>
          <w:rFonts w:cs="宋体"/>
          <w:color w:val="auto"/>
          <w:highlight w:val="none"/>
        </w:rPr>
      </w:pPr>
    </w:p>
    <w:p w14:paraId="12A18C97">
      <w:pPr>
        <w:pStyle w:val="23"/>
        <w:ind w:firstLine="0" w:firstLineChars="0"/>
        <w:rPr>
          <w:rFonts w:cs="宋体"/>
          <w:color w:val="auto"/>
          <w:highlight w:val="none"/>
        </w:rPr>
      </w:pPr>
      <w:r>
        <w:rPr>
          <w:color w:val="auto"/>
          <w:highlight w:val="none"/>
        </w:rPr>
        <w:drawing>
          <wp:anchor distT="0" distB="0" distL="114300" distR="114300" simplePos="0" relativeHeight="251671552" behindDoc="1" locked="0" layoutInCell="1" allowOverlap="1">
            <wp:simplePos x="0" y="0"/>
            <wp:positionH relativeFrom="column">
              <wp:posOffset>0</wp:posOffset>
            </wp:positionH>
            <wp:positionV relativeFrom="paragraph">
              <wp:posOffset>81915</wp:posOffset>
            </wp:positionV>
            <wp:extent cx="5272405" cy="7000240"/>
            <wp:effectExtent l="0" t="0" r="4445" b="635"/>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52"/>
                    <a:stretch>
                      <a:fillRect/>
                    </a:stretch>
                  </pic:blipFill>
                  <pic:spPr>
                    <a:xfrm>
                      <a:off x="0" y="0"/>
                      <a:ext cx="5272405" cy="7000240"/>
                    </a:xfrm>
                    <a:prstGeom prst="rect">
                      <a:avLst/>
                    </a:prstGeom>
                    <a:noFill/>
                    <a:ln>
                      <a:noFill/>
                    </a:ln>
                  </pic:spPr>
                </pic:pic>
              </a:graphicData>
            </a:graphic>
          </wp:anchor>
        </w:drawing>
      </w:r>
    </w:p>
    <w:p w14:paraId="67E1659F">
      <w:pPr>
        <w:pStyle w:val="23"/>
        <w:ind w:firstLine="0" w:firstLineChars="0"/>
        <w:rPr>
          <w:rFonts w:cs="宋体"/>
          <w:color w:val="auto"/>
          <w:highlight w:val="none"/>
        </w:rPr>
      </w:pPr>
    </w:p>
    <w:p w14:paraId="535E9D26">
      <w:pPr>
        <w:pStyle w:val="23"/>
        <w:ind w:firstLine="0" w:firstLineChars="0"/>
        <w:rPr>
          <w:rFonts w:cs="宋体"/>
          <w:color w:val="auto"/>
          <w:highlight w:val="none"/>
        </w:rPr>
      </w:pPr>
    </w:p>
    <w:p w14:paraId="20C1E3C3">
      <w:pPr>
        <w:pStyle w:val="23"/>
        <w:ind w:firstLine="0" w:firstLineChars="0"/>
        <w:rPr>
          <w:rFonts w:cs="宋体"/>
          <w:color w:val="auto"/>
          <w:highlight w:val="none"/>
        </w:rPr>
      </w:pPr>
    </w:p>
    <w:p w14:paraId="083C1D34">
      <w:pPr>
        <w:pStyle w:val="23"/>
        <w:ind w:firstLine="0" w:firstLineChars="0"/>
        <w:rPr>
          <w:rFonts w:cs="宋体"/>
          <w:color w:val="auto"/>
          <w:highlight w:val="none"/>
        </w:rPr>
      </w:pPr>
    </w:p>
    <w:p w14:paraId="7202A62B">
      <w:pPr>
        <w:pStyle w:val="23"/>
        <w:ind w:firstLine="0" w:firstLineChars="0"/>
        <w:rPr>
          <w:rFonts w:cs="宋体"/>
          <w:color w:val="auto"/>
          <w:highlight w:val="none"/>
        </w:rPr>
      </w:pPr>
    </w:p>
    <w:p w14:paraId="34FC8736">
      <w:pPr>
        <w:pStyle w:val="23"/>
        <w:ind w:firstLine="0" w:firstLineChars="0"/>
        <w:rPr>
          <w:rFonts w:cs="宋体"/>
          <w:color w:val="auto"/>
          <w:highlight w:val="none"/>
        </w:rPr>
      </w:pPr>
    </w:p>
    <w:p w14:paraId="22357E9F">
      <w:pPr>
        <w:pStyle w:val="23"/>
        <w:ind w:firstLine="0" w:firstLineChars="0"/>
        <w:rPr>
          <w:rFonts w:cs="宋体"/>
          <w:color w:val="auto"/>
          <w:highlight w:val="none"/>
        </w:rPr>
      </w:pPr>
    </w:p>
    <w:p w14:paraId="35BB1B55">
      <w:pPr>
        <w:pStyle w:val="23"/>
        <w:ind w:firstLine="0" w:firstLineChars="0"/>
        <w:rPr>
          <w:rFonts w:cs="宋体"/>
          <w:color w:val="auto"/>
          <w:highlight w:val="none"/>
        </w:rPr>
      </w:pPr>
    </w:p>
    <w:p w14:paraId="0C533830">
      <w:pPr>
        <w:pStyle w:val="23"/>
        <w:ind w:firstLine="0" w:firstLineChars="0"/>
        <w:rPr>
          <w:rFonts w:cs="宋体"/>
          <w:color w:val="auto"/>
          <w:highlight w:val="none"/>
        </w:rPr>
      </w:pPr>
    </w:p>
    <w:p w14:paraId="2D75C97B">
      <w:pPr>
        <w:pStyle w:val="23"/>
        <w:ind w:firstLine="0" w:firstLineChars="0"/>
        <w:rPr>
          <w:rFonts w:cs="宋体"/>
          <w:color w:val="auto"/>
          <w:highlight w:val="none"/>
        </w:rPr>
      </w:pPr>
    </w:p>
    <w:p w14:paraId="16BE71FB">
      <w:pPr>
        <w:pStyle w:val="23"/>
        <w:ind w:firstLine="0" w:firstLineChars="0"/>
        <w:rPr>
          <w:rFonts w:cs="宋体"/>
          <w:color w:val="auto"/>
          <w:highlight w:val="none"/>
        </w:rPr>
      </w:pPr>
    </w:p>
    <w:p w14:paraId="50595AD5">
      <w:pPr>
        <w:pStyle w:val="23"/>
        <w:ind w:firstLine="0" w:firstLineChars="0"/>
        <w:rPr>
          <w:rFonts w:cs="宋体"/>
          <w:color w:val="auto"/>
          <w:highlight w:val="none"/>
        </w:rPr>
      </w:pPr>
    </w:p>
    <w:p w14:paraId="6D972A40">
      <w:pPr>
        <w:pStyle w:val="23"/>
        <w:ind w:firstLine="0" w:firstLineChars="0"/>
        <w:rPr>
          <w:rFonts w:cs="宋体"/>
          <w:color w:val="auto"/>
          <w:highlight w:val="none"/>
        </w:rPr>
      </w:pPr>
    </w:p>
    <w:p w14:paraId="769CF8A1">
      <w:pPr>
        <w:pStyle w:val="23"/>
        <w:ind w:firstLine="0" w:firstLineChars="0"/>
        <w:rPr>
          <w:rFonts w:cs="宋体"/>
          <w:color w:val="auto"/>
          <w:highlight w:val="none"/>
        </w:rPr>
      </w:pPr>
    </w:p>
    <w:p w14:paraId="6E827B18">
      <w:pPr>
        <w:pStyle w:val="23"/>
        <w:ind w:firstLine="0" w:firstLineChars="0"/>
        <w:rPr>
          <w:rFonts w:cs="宋体"/>
          <w:color w:val="auto"/>
          <w:highlight w:val="none"/>
        </w:rPr>
      </w:pPr>
    </w:p>
    <w:p w14:paraId="671E75EA">
      <w:pPr>
        <w:pStyle w:val="23"/>
        <w:ind w:firstLine="0" w:firstLineChars="0"/>
        <w:rPr>
          <w:rFonts w:cs="宋体"/>
          <w:color w:val="auto"/>
          <w:highlight w:val="none"/>
        </w:rPr>
      </w:pPr>
    </w:p>
    <w:p w14:paraId="1114BE49">
      <w:pPr>
        <w:pStyle w:val="23"/>
        <w:ind w:firstLine="0" w:firstLineChars="0"/>
        <w:rPr>
          <w:rFonts w:cs="宋体"/>
          <w:color w:val="auto"/>
          <w:highlight w:val="none"/>
        </w:rPr>
      </w:pPr>
    </w:p>
    <w:p w14:paraId="386C6031">
      <w:pPr>
        <w:pStyle w:val="23"/>
        <w:ind w:firstLine="0" w:firstLineChars="0"/>
        <w:rPr>
          <w:rFonts w:cs="宋体"/>
          <w:color w:val="auto"/>
          <w:highlight w:val="none"/>
        </w:rPr>
      </w:pPr>
    </w:p>
    <w:p w14:paraId="04FCB285">
      <w:pPr>
        <w:pStyle w:val="23"/>
        <w:ind w:firstLine="0" w:firstLineChars="0"/>
        <w:rPr>
          <w:rFonts w:cs="宋体"/>
          <w:color w:val="auto"/>
          <w:highlight w:val="none"/>
        </w:rPr>
      </w:pPr>
    </w:p>
    <w:p w14:paraId="14B01936">
      <w:pPr>
        <w:pStyle w:val="23"/>
        <w:ind w:firstLine="0" w:firstLineChars="0"/>
        <w:rPr>
          <w:rFonts w:cs="宋体"/>
          <w:color w:val="auto"/>
          <w:highlight w:val="none"/>
        </w:rPr>
      </w:pPr>
    </w:p>
    <w:p w14:paraId="28FBC601">
      <w:pPr>
        <w:pStyle w:val="23"/>
        <w:ind w:firstLine="0" w:firstLineChars="0"/>
        <w:rPr>
          <w:rFonts w:cs="宋体"/>
          <w:color w:val="auto"/>
          <w:highlight w:val="none"/>
        </w:rPr>
      </w:pPr>
    </w:p>
    <w:p w14:paraId="3E66F15C">
      <w:pPr>
        <w:pStyle w:val="23"/>
        <w:ind w:firstLine="0" w:firstLineChars="0"/>
        <w:rPr>
          <w:rFonts w:cs="宋体"/>
          <w:color w:val="auto"/>
          <w:highlight w:val="none"/>
        </w:rPr>
      </w:pPr>
    </w:p>
    <w:p w14:paraId="12AFFBC7">
      <w:pPr>
        <w:pStyle w:val="23"/>
        <w:ind w:firstLine="0" w:firstLineChars="0"/>
        <w:rPr>
          <w:rFonts w:cs="宋体"/>
          <w:color w:val="auto"/>
          <w:highlight w:val="none"/>
        </w:rPr>
      </w:pPr>
    </w:p>
    <w:p w14:paraId="5930AC58">
      <w:pPr>
        <w:pStyle w:val="23"/>
        <w:ind w:firstLine="0" w:firstLineChars="0"/>
        <w:rPr>
          <w:rFonts w:cs="宋体"/>
          <w:color w:val="auto"/>
          <w:highlight w:val="none"/>
        </w:rPr>
      </w:pPr>
    </w:p>
    <w:p w14:paraId="296B1A82">
      <w:pPr>
        <w:pStyle w:val="23"/>
        <w:ind w:firstLine="0" w:firstLineChars="0"/>
        <w:rPr>
          <w:rFonts w:cs="宋体"/>
          <w:color w:val="auto"/>
          <w:highlight w:val="none"/>
        </w:rPr>
      </w:pPr>
    </w:p>
    <w:p w14:paraId="59CAA013">
      <w:pPr>
        <w:pStyle w:val="23"/>
        <w:ind w:firstLine="0" w:firstLineChars="0"/>
        <w:rPr>
          <w:rFonts w:cs="宋体"/>
          <w:color w:val="auto"/>
          <w:highlight w:val="none"/>
        </w:rPr>
      </w:pPr>
    </w:p>
    <w:p w14:paraId="4C83056D">
      <w:pPr>
        <w:pStyle w:val="23"/>
        <w:ind w:firstLine="0" w:firstLineChars="0"/>
        <w:rPr>
          <w:rFonts w:cs="宋体"/>
          <w:color w:val="auto"/>
          <w:highlight w:val="none"/>
        </w:rPr>
      </w:pPr>
    </w:p>
    <w:p w14:paraId="2053BE57">
      <w:pPr>
        <w:pStyle w:val="23"/>
        <w:ind w:firstLine="0" w:firstLineChars="0"/>
        <w:rPr>
          <w:rFonts w:cs="宋体"/>
          <w:color w:val="auto"/>
          <w:highlight w:val="none"/>
        </w:rPr>
      </w:pPr>
      <w:r>
        <w:rPr>
          <w:color w:val="auto"/>
          <w:highlight w:val="none"/>
        </w:rPr>
        <w:drawing>
          <wp:anchor distT="0" distB="0" distL="114300" distR="114300" simplePos="0" relativeHeight="251672576" behindDoc="1" locked="0" layoutInCell="1" allowOverlap="1">
            <wp:simplePos x="0" y="0"/>
            <wp:positionH relativeFrom="column">
              <wp:posOffset>-123825</wp:posOffset>
            </wp:positionH>
            <wp:positionV relativeFrom="paragraph">
              <wp:posOffset>224790</wp:posOffset>
            </wp:positionV>
            <wp:extent cx="5268595" cy="7158990"/>
            <wp:effectExtent l="0" t="0" r="8255" b="3810"/>
            <wp:wrapNone/>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53"/>
                    <a:stretch>
                      <a:fillRect/>
                    </a:stretch>
                  </pic:blipFill>
                  <pic:spPr>
                    <a:xfrm>
                      <a:off x="0" y="0"/>
                      <a:ext cx="5268595" cy="7158990"/>
                    </a:xfrm>
                    <a:prstGeom prst="rect">
                      <a:avLst/>
                    </a:prstGeom>
                    <a:noFill/>
                    <a:ln>
                      <a:noFill/>
                    </a:ln>
                  </pic:spPr>
                </pic:pic>
              </a:graphicData>
            </a:graphic>
          </wp:anchor>
        </w:drawing>
      </w:r>
    </w:p>
    <w:p w14:paraId="70D626F6">
      <w:pPr>
        <w:pStyle w:val="23"/>
        <w:ind w:firstLine="0" w:firstLineChars="0"/>
        <w:rPr>
          <w:rFonts w:cs="宋体"/>
          <w:color w:val="auto"/>
          <w:highlight w:val="none"/>
        </w:rPr>
      </w:pPr>
    </w:p>
    <w:p w14:paraId="6EC68C32">
      <w:pPr>
        <w:pStyle w:val="23"/>
        <w:ind w:firstLine="0" w:firstLineChars="0"/>
        <w:rPr>
          <w:rFonts w:cs="宋体"/>
          <w:color w:val="auto"/>
          <w:highlight w:val="none"/>
        </w:rPr>
      </w:pPr>
    </w:p>
    <w:p w14:paraId="7C8E8FC0">
      <w:pPr>
        <w:pStyle w:val="23"/>
        <w:ind w:firstLine="0" w:firstLineChars="0"/>
        <w:rPr>
          <w:rFonts w:cs="宋体"/>
          <w:color w:val="auto"/>
          <w:highlight w:val="none"/>
        </w:rPr>
      </w:pPr>
    </w:p>
    <w:p w14:paraId="023C6D85">
      <w:pPr>
        <w:pStyle w:val="23"/>
        <w:ind w:firstLine="0" w:firstLineChars="0"/>
        <w:rPr>
          <w:rFonts w:cs="宋体"/>
          <w:color w:val="auto"/>
          <w:highlight w:val="none"/>
        </w:rPr>
      </w:pPr>
    </w:p>
    <w:p w14:paraId="0A390EF6">
      <w:pPr>
        <w:pStyle w:val="23"/>
        <w:ind w:firstLine="0" w:firstLineChars="0"/>
        <w:rPr>
          <w:rFonts w:cs="宋体"/>
          <w:color w:val="auto"/>
          <w:highlight w:val="none"/>
        </w:rPr>
      </w:pPr>
    </w:p>
    <w:p w14:paraId="223EEF83">
      <w:pPr>
        <w:pStyle w:val="23"/>
        <w:ind w:firstLine="0" w:firstLineChars="0"/>
        <w:rPr>
          <w:rFonts w:cs="宋体"/>
          <w:color w:val="auto"/>
          <w:highlight w:val="none"/>
        </w:rPr>
      </w:pPr>
    </w:p>
    <w:p w14:paraId="466064E7">
      <w:pPr>
        <w:pStyle w:val="23"/>
        <w:ind w:firstLine="0" w:firstLineChars="0"/>
        <w:rPr>
          <w:rFonts w:cs="宋体"/>
          <w:color w:val="auto"/>
          <w:highlight w:val="none"/>
        </w:rPr>
      </w:pPr>
    </w:p>
    <w:p w14:paraId="70869898">
      <w:pPr>
        <w:pStyle w:val="23"/>
        <w:ind w:firstLine="0" w:firstLineChars="0"/>
        <w:rPr>
          <w:rFonts w:cs="宋体"/>
          <w:color w:val="auto"/>
          <w:highlight w:val="none"/>
        </w:rPr>
      </w:pPr>
    </w:p>
    <w:p w14:paraId="1C6593C0">
      <w:pPr>
        <w:pStyle w:val="23"/>
        <w:ind w:firstLine="0" w:firstLineChars="0"/>
        <w:rPr>
          <w:rFonts w:cs="宋体"/>
          <w:color w:val="auto"/>
          <w:highlight w:val="none"/>
        </w:rPr>
      </w:pPr>
    </w:p>
    <w:p w14:paraId="259CE7D0">
      <w:pPr>
        <w:pStyle w:val="23"/>
        <w:ind w:firstLine="0" w:firstLineChars="0"/>
        <w:rPr>
          <w:rFonts w:cs="宋体"/>
          <w:color w:val="auto"/>
          <w:highlight w:val="none"/>
        </w:rPr>
      </w:pPr>
    </w:p>
    <w:p w14:paraId="18F2E5E8">
      <w:pPr>
        <w:pStyle w:val="23"/>
        <w:ind w:firstLine="0" w:firstLineChars="0"/>
        <w:rPr>
          <w:rFonts w:cs="宋体"/>
          <w:color w:val="auto"/>
          <w:highlight w:val="none"/>
        </w:rPr>
      </w:pPr>
    </w:p>
    <w:p w14:paraId="509CDE34">
      <w:pPr>
        <w:pStyle w:val="23"/>
        <w:ind w:firstLine="0" w:firstLineChars="0"/>
        <w:rPr>
          <w:rFonts w:cs="宋体"/>
          <w:color w:val="auto"/>
          <w:highlight w:val="none"/>
        </w:rPr>
      </w:pPr>
    </w:p>
    <w:p w14:paraId="0C8A4EDA">
      <w:pPr>
        <w:pStyle w:val="23"/>
        <w:ind w:firstLine="0" w:firstLineChars="0"/>
        <w:rPr>
          <w:rFonts w:cs="宋体"/>
          <w:color w:val="auto"/>
          <w:highlight w:val="none"/>
        </w:rPr>
      </w:pPr>
    </w:p>
    <w:p w14:paraId="1DBCDAD5">
      <w:pPr>
        <w:pStyle w:val="23"/>
        <w:ind w:firstLine="0" w:firstLineChars="0"/>
        <w:rPr>
          <w:rFonts w:cs="宋体"/>
          <w:color w:val="auto"/>
          <w:highlight w:val="none"/>
        </w:rPr>
      </w:pPr>
    </w:p>
    <w:p w14:paraId="48D7B4BE">
      <w:pPr>
        <w:pStyle w:val="23"/>
        <w:ind w:firstLine="0" w:firstLineChars="0"/>
        <w:rPr>
          <w:rFonts w:cs="宋体"/>
          <w:color w:val="auto"/>
          <w:highlight w:val="none"/>
        </w:rPr>
      </w:pPr>
    </w:p>
    <w:p w14:paraId="792B03B9">
      <w:pPr>
        <w:pStyle w:val="23"/>
        <w:ind w:firstLine="0" w:firstLineChars="0"/>
        <w:rPr>
          <w:rFonts w:cs="宋体"/>
          <w:color w:val="auto"/>
          <w:highlight w:val="none"/>
        </w:rPr>
      </w:pPr>
    </w:p>
    <w:p w14:paraId="124718CC">
      <w:pPr>
        <w:pStyle w:val="23"/>
        <w:ind w:firstLine="0" w:firstLineChars="0"/>
        <w:rPr>
          <w:rFonts w:cs="宋体"/>
          <w:color w:val="auto"/>
          <w:highlight w:val="none"/>
        </w:rPr>
      </w:pPr>
    </w:p>
    <w:p w14:paraId="7FB6ED39">
      <w:pPr>
        <w:pStyle w:val="23"/>
        <w:ind w:firstLine="0" w:firstLineChars="0"/>
        <w:rPr>
          <w:rFonts w:cs="宋体"/>
          <w:color w:val="auto"/>
          <w:highlight w:val="none"/>
        </w:rPr>
      </w:pPr>
    </w:p>
    <w:p w14:paraId="012634A8">
      <w:pPr>
        <w:pStyle w:val="23"/>
        <w:ind w:firstLine="0" w:firstLineChars="0"/>
        <w:rPr>
          <w:rFonts w:cs="宋体"/>
          <w:color w:val="auto"/>
          <w:highlight w:val="none"/>
        </w:rPr>
      </w:pPr>
    </w:p>
    <w:p w14:paraId="4C572F36">
      <w:pPr>
        <w:pStyle w:val="23"/>
        <w:ind w:firstLine="0" w:firstLineChars="0"/>
        <w:rPr>
          <w:rFonts w:cs="宋体"/>
          <w:color w:val="auto"/>
          <w:highlight w:val="none"/>
        </w:rPr>
      </w:pPr>
    </w:p>
    <w:p w14:paraId="49516B8B">
      <w:pPr>
        <w:pStyle w:val="23"/>
        <w:ind w:firstLine="0" w:firstLineChars="0"/>
        <w:rPr>
          <w:rFonts w:cs="宋体"/>
          <w:color w:val="auto"/>
          <w:highlight w:val="none"/>
        </w:rPr>
      </w:pPr>
    </w:p>
    <w:p w14:paraId="63071461">
      <w:pPr>
        <w:pStyle w:val="23"/>
        <w:ind w:firstLine="0" w:firstLineChars="0"/>
        <w:rPr>
          <w:rFonts w:cs="宋体"/>
          <w:color w:val="auto"/>
          <w:highlight w:val="none"/>
        </w:rPr>
      </w:pPr>
    </w:p>
    <w:p w14:paraId="0DBFC0F8">
      <w:pPr>
        <w:pStyle w:val="23"/>
        <w:ind w:firstLine="0" w:firstLineChars="0"/>
        <w:rPr>
          <w:rFonts w:cs="宋体"/>
          <w:color w:val="auto"/>
          <w:highlight w:val="none"/>
        </w:rPr>
      </w:pPr>
    </w:p>
    <w:p w14:paraId="6B837A73">
      <w:pPr>
        <w:pStyle w:val="23"/>
        <w:ind w:firstLine="0" w:firstLineChars="0"/>
        <w:rPr>
          <w:rFonts w:cs="宋体"/>
          <w:color w:val="auto"/>
          <w:highlight w:val="none"/>
        </w:rPr>
      </w:pPr>
    </w:p>
    <w:p w14:paraId="4217DC45">
      <w:pPr>
        <w:pStyle w:val="23"/>
        <w:ind w:firstLine="0" w:firstLineChars="0"/>
        <w:rPr>
          <w:rFonts w:cs="宋体"/>
          <w:color w:val="auto"/>
          <w:highlight w:val="none"/>
        </w:rPr>
      </w:pPr>
    </w:p>
    <w:p w14:paraId="1AD20E09">
      <w:pPr>
        <w:pStyle w:val="23"/>
        <w:ind w:firstLine="0" w:firstLineChars="0"/>
        <w:rPr>
          <w:rFonts w:cs="宋体"/>
          <w:color w:val="auto"/>
          <w:highlight w:val="none"/>
        </w:rPr>
      </w:pPr>
    </w:p>
    <w:p w14:paraId="549BF9AA">
      <w:pPr>
        <w:pStyle w:val="23"/>
        <w:ind w:firstLine="0" w:firstLineChars="0"/>
        <w:rPr>
          <w:rFonts w:cs="宋体"/>
          <w:color w:val="auto"/>
          <w:highlight w:val="none"/>
        </w:rPr>
      </w:pPr>
    </w:p>
    <w:p w14:paraId="1BD1A924">
      <w:pPr>
        <w:pStyle w:val="23"/>
        <w:ind w:firstLine="0" w:firstLineChars="0"/>
        <w:rPr>
          <w:rFonts w:cs="宋体"/>
          <w:color w:val="auto"/>
          <w:highlight w:val="none"/>
        </w:rPr>
      </w:pPr>
      <w:r>
        <w:rPr>
          <w:color w:val="auto"/>
          <w:highlight w:val="none"/>
        </w:rPr>
        <w:drawing>
          <wp:anchor distT="0" distB="0" distL="114300" distR="114300" simplePos="0" relativeHeight="251673600" behindDoc="1" locked="0" layoutInCell="1" allowOverlap="1">
            <wp:simplePos x="0" y="0"/>
            <wp:positionH relativeFrom="column">
              <wp:posOffset>190500</wp:posOffset>
            </wp:positionH>
            <wp:positionV relativeFrom="paragraph">
              <wp:posOffset>72390</wp:posOffset>
            </wp:positionV>
            <wp:extent cx="5273675" cy="7649845"/>
            <wp:effectExtent l="0" t="0" r="3175" b="8255"/>
            <wp:wrapNone/>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54"/>
                    <a:stretch>
                      <a:fillRect/>
                    </a:stretch>
                  </pic:blipFill>
                  <pic:spPr>
                    <a:xfrm>
                      <a:off x="0" y="0"/>
                      <a:ext cx="5273675" cy="7649845"/>
                    </a:xfrm>
                    <a:prstGeom prst="rect">
                      <a:avLst/>
                    </a:prstGeom>
                    <a:noFill/>
                    <a:ln>
                      <a:noFill/>
                    </a:ln>
                  </pic:spPr>
                </pic:pic>
              </a:graphicData>
            </a:graphic>
          </wp:anchor>
        </w:drawing>
      </w:r>
    </w:p>
    <w:p w14:paraId="447695AE">
      <w:pPr>
        <w:pStyle w:val="23"/>
        <w:ind w:firstLine="0" w:firstLineChars="0"/>
        <w:rPr>
          <w:rFonts w:cs="宋体"/>
          <w:color w:val="auto"/>
          <w:highlight w:val="none"/>
        </w:rPr>
      </w:pPr>
    </w:p>
    <w:p w14:paraId="139E2F59">
      <w:pPr>
        <w:pStyle w:val="23"/>
        <w:ind w:firstLine="0" w:firstLineChars="0"/>
        <w:rPr>
          <w:rFonts w:cs="宋体"/>
          <w:color w:val="auto"/>
          <w:highlight w:val="none"/>
        </w:rPr>
      </w:pPr>
    </w:p>
    <w:p w14:paraId="0DE7F2F1">
      <w:pPr>
        <w:pStyle w:val="23"/>
        <w:ind w:firstLine="0" w:firstLineChars="0"/>
        <w:rPr>
          <w:rFonts w:cs="宋体"/>
          <w:color w:val="auto"/>
          <w:highlight w:val="none"/>
        </w:rPr>
      </w:pPr>
    </w:p>
    <w:p w14:paraId="387B2D5C">
      <w:pPr>
        <w:pStyle w:val="23"/>
        <w:ind w:firstLine="0" w:firstLineChars="0"/>
        <w:rPr>
          <w:rFonts w:cs="宋体"/>
          <w:color w:val="auto"/>
          <w:highlight w:val="none"/>
        </w:rPr>
      </w:pPr>
    </w:p>
    <w:p w14:paraId="3CFC907E">
      <w:pPr>
        <w:pStyle w:val="23"/>
        <w:ind w:firstLine="0" w:firstLineChars="0"/>
        <w:rPr>
          <w:rFonts w:cs="宋体"/>
          <w:color w:val="auto"/>
          <w:highlight w:val="none"/>
        </w:rPr>
      </w:pPr>
    </w:p>
    <w:p w14:paraId="5B7C5BEE">
      <w:pPr>
        <w:pStyle w:val="23"/>
        <w:ind w:firstLine="0" w:firstLineChars="0"/>
        <w:rPr>
          <w:rFonts w:cs="宋体"/>
          <w:color w:val="auto"/>
          <w:highlight w:val="none"/>
        </w:rPr>
      </w:pPr>
    </w:p>
    <w:p w14:paraId="50D79057">
      <w:pPr>
        <w:pStyle w:val="23"/>
        <w:ind w:firstLine="0" w:firstLineChars="0"/>
        <w:rPr>
          <w:rFonts w:cs="宋体"/>
          <w:color w:val="auto"/>
          <w:highlight w:val="none"/>
        </w:rPr>
      </w:pPr>
    </w:p>
    <w:p w14:paraId="02463B6B">
      <w:pPr>
        <w:pStyle w:val="23"/>
        <w:ind w:firstLine="0" w:firstLineChars="0"/>
        <w:rPr>
          <w:rFonts w:cs="宋体"/>
          <w:color w:val="auto"/>
          <w:highlight w:val="none"/>
        </w:rPr>
      </w:pPr>
    </w:p>
    <w:p w14:paraId="7B5E60BB">
      <w:pPr>
        <w:pStyle w:val="23"/>
        <w:ind w:firstLine="0" w:firstLineChars="0"/>
        <w:rPr>
          <w:rFonts w:cs="宋体"/>
          <w:color w:val="auto"/>
          <w:highlight w:val="none"/>
        </w:rPr>
      </w:pPr>
    </w:p>
    <w:p w14:paraId="658273AA">
      <w:pPr>
        <w:pStyle w:val="23"/>
        <w:ind w:firstLine="0" w:firstLineChars="0"/>
        <w:rPr>
          <w:rFonts w:cs="宋体"/>
          <w:color w:val="auto"/>
          <w:highlight w:val="none"/>
        </w:rPr>
      </w:pPr>
    </w:p>
    <w:p w14:paraId="410A7F71">
      <w:pPr>
        <w:pStyle w:val="23"/>
        <w:ind w:firstLine="0" w:firstLineChars="0"/>
        <w:rPr>
          <w:rFonts w:cs="宋体"/>
          <w:color w:val="auto"/>
          <w:highlight w:val="none"/>
        </w:rPr>
      </w:pPr>
    </w:p>
    <w:p w14:paraId="3FEB4FC9">
      <w:pPr>
        <w:pStyle w:val="23"/>
        <w:ind w:firstLine="0" w:firstLineChars="0"/>
        <w:rPr>
          <w:rFonts w:cs="宋体"/>
          <w:color w:val="auto"/>
          <w:highlight w:val="none"/>
        </w:rPr>
      </w:pPr>
    </w:p>
    <w:p w14:paraId="26AFF214">
      <w:pPr>
        <w:pStyle w:val="23"/>
        <w:ind w:firstLine="0" w:firstLineChars="0"/>
        <w:rPr>
          <w:rFonts w:cs="宋体"/>
          <w:color w:val="auto"/>
          <w:highlight w:val="none"/>
        </w:rPr>
      </w:pPr>
    </w:p>
    <w:p w14:paraId="3DA514E2">
      <w:pPr>
        <w:pStyle w:val="23"/>
        <w:ind w:firstLine="0" w:firstLineChars="0"/>
        <w:rPr>
          <w:rFonts w:cs="宋体"/>
          <w:color w:val="auto"/>
          <w:highlight w:val="none"/>
        </w:rPr>
      </w:pPr>
    </w:p>
    <w:p w14:paraId="5DE629D3">
      <w:pPr>
        <w:pStyle w:val="23"/>
        <w:ind w:firstLine="0" w:firstLineChars="0"/>
        <w:rPr>
          <w:rFonts w:cs="宋体"/>
          <w:color w:val="auto"/>
          <w:highlight w:val="none"/>
        </w:rPr>
      </w:pPr>
    </w:p>
    <w:p w14:paraId="49FBB2D0">
      <w:pPr>
        <w:pStyle w:val="23"/>
        <w:ind w:firstLine="0" w:firstLineChars="0"/>
        <w:rPr>
          <w:rFonts w:cs="宋体"/>
          <w:color w:val="auto"/>
          <w:highlight w:val="none"/>
        </w:rPr>
      </w:pPr>
    </w:p>
    <w:p w14:paraId="60854B81">
      <w:pPr>
        <w:pStyle w:val="23"/>
        <w:ind w:firstLine="0" w:firstLineChars="0"/>
        <w:rPr>
          <w:rFonts w:cs="宋体"/>
          <w:color w:val="auto"/>
          <w:highlight w:val="none"/>
        </w:rPr>
      </w:pPr>
    </w:p>
    <w:p w14:paraId="1882B961">
      <w:pPr>
        <w:pStyle w:val="23"/>
        <w:ind w:firstLine="0" w:firstLineChars="0"/>
        <w:rPr>
          <w:rFonts w:cs="宋体"/>
          <w:color w:val="auto"/>
          <w:highlight w:val="none"/>
        </w:rPr>
      </w:pPr>
    </w:p>
    <w:p w14:paraId="1EF50C84">
      <w:pPr>
        <w:pStyle w:val="23"/>
        <w:ind w:firstLine="0" w:firstLineChars="0"/>
        <w:rPr>
          <w:rFonts w:cs="宋体"/>
          <w:color w:val="auto"/>
          <w:highlight w:val="none"/>
        </w:rPr>
      </w:pPr>
    </w:p>
    <w:p w14:paraId="6AC0A2A9">
      <w:pPr>
        <w:pStyle w:val="23"/>
        <w:ind w:firstLine="0" w:firstLineChars="0"/>
        <w:rPr>
          <w:rFonts w:cs="宋体"/>
          <w:color w:val="auto"/>
          <w:highlight w:val="none"/>
        </w:rPr>
      </w:pPr>
    </w:p>
    <w:p w14:paraId="4FF2BBF8">
      <w:pPr>
        <w:pStyle w:val="23"/>
        <w:ind w:firstLine="0" w:firstLineChars="0"/>
        <w:rPr>
          <w:rFonts w:cs="宋体"/>
          <w:color w:val="auto"/>
          <w:highlight w:val="none"/>
        </w:rPr>
      </w:pPr>
    </w:p>
    <w:p w14:paraId="09FD236F">
      <w:pPr>
        <w:pStyle w:val="23"/>
        <w:ind w:firstLine="0" w:firstLineChars="0"/>
        <w:rPr>
          <w:rFonts w:cs="宋体"/>
          <w:color w:val="auto"/>
          <w:highlight w:val="none"/>
        </w:rPr>
      </w:pPr>
    </w:p>
    <w:p w14:paraId="704F63ED">
      <w:pPr>
        <w:pStyle w:val="23"/>
        <w:ind w:firstLine="0" w:firstLineChars="0"/>
        <w:rPr>
          <w:rFonts w:cs="宋体"/>
          <w:color w:val="auto"/>
          <w:highlight w:val="none"/>
        </w:rPr>
      </w:pPr>
    </w:p>
    <w:p w14:paraId="64695C19">
      <w:pPr>
        <w:pStyle w:val="23"/>
        <w:ind w:firstLine="0" w:firstLineChars="0"/>
        <w:rPr>
          <w:rFonts w:cs="宋体"/>
          <w:color w:val="auto"/>
          <w:highlight w:val="none"/>
        </w:rPr>
      </w:pPr>
    </w:p>
    <w:p w14:paraId="52FF6F69">
      <w:pPr>
        <w:pStyle w:val="23"/>
        <w:ind w:firstLine="0" w:firstLineChars="0"/>
        <w:rPr>
          <w:rFonts w:cs="宋体"/>
          <w:color w:val="auto"/>
          <w:highlight w:val="none"/>
        </w:rPr>
      </w:pPr>
    </w:p>
    <w:p w14:paraId="04B630D9">
      <w:pPr>
        <w:pStyle w:val="23"/>
        <w:ind w:firstLine="0" w:firstLineChars="0"/>
        <w:rPr>
          <w:rFonts w:cs="宋体"/>
          <w:color w:val="auto"/>
          <w:highlight w:val="none"/>
        </w:rPr>
      </w:pPr>
    </w:p>
    <w:p w14:paraId="66647C89">
      <w:pPr>
        <w:pStyle w:val="23"/>
        <w:ind w:firstLine="0" w:firstLineChars="0"/>
        <w:rPr>
          <w:rFonts w:cs="宋体"/>
          <w:color w:val="auto"/>
          <w:highlight w:val="none"/>
        </w:rPr>
      </w:pPr>
    </w:p>
    <w:p w14:paraId="26CDB198">
      <w:pPr>
        <w:pStyle w:val="23"/>
        <w:ind w:firstLine="0" w:firstLineChars="0"/>
        <w:rPr>
          <w:rFonts w:cs="宋体"/>
          <w:color w:val="auto"/>
          <w:highlight w:val="none"/>
        </w:rPr>
      </w:pPr>
      <w:r>
        <w:rPr>
          <w:color w:val="auto"/>
          <w:highlight w:val="none"/>
        </w:rPr>
        <w:drawing>
          <wp:anchor distT="0" distB="0" distL="114300" distR="114300" simplePos="0" relativeHeight="251674624" behindDoc="1" locked="0" layoutInCell="1" allowOverlap="1">
            <wp:simplePos x="0" y="0"/>
            <wp:positionH relativeFrom="column">
              <wp:posOffset>123825</wp:posOffset>
            </wp:positionH>
            <wp:positionV relativeFrom="paragraph">
              <wp:posOffset>205740</wp:posOffset>
            </wp:positionV>
            <wp:extent cx="5274310" cy="7365365"/>
            <wp:effectExtent l="0" t="0" r="2540" b="6985"/>
            <wp:wrapNone/>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55"/>
                    <a:stretch>
                      <a:fillRect/>
                    </a:stretch>
                  </pic:blipFill>
                  <pic:spPr>
                    <a:xfrm>
                      <a:off x="0" y="0"/>
                      <a:ext cx="5274310" cy="7365365"/>
                    </a:xfrm>
                    <a:prstGeom prst="rect">
                      <a:avLst/>
                    </a:prstGeom>
                    <a:noFill/>
                    <a:ln>
                      <a:noFill/>
                    </a:ln>
                  </pic:spPr>
                </pic:pic>
              </a:graphicData>
            </a:graphic>
          </wp:anchor>
        </w:drawing>
      </w:r>
    </w:p>
    <w:p w14:paraId="14138A0E">
      <w:pPr>
        <w:pStyle w:val="23"/>
        <w:ind w:firstLine="0" w:firstLineChars="0"/>
        <w:rPr>
          <w:rFonts w:cs="宋体"/>
          <w:color w:val="auto"/>
          <w:highlight w:val="none"/>
        </w:rPr>
      </w:pPr>
    </w:p>
    <w:p w14:paraId="243166E7">
      <w:pPr>
        <w:pStyle w:val="23"/>
        <w:ind w:firstLine="0" w:firstLineChars="0"/>
        <w:rPr>
          <w:rFonts w:cs="宋体"/>
          <w:color w:val="auto"/>
          <w:highlight w:val="none"/>
        </w:rPr>
      </w:pPr>
    </w:p>
    <w:p w14:paraId="3E921B21">
      <w:pPr>
        <w:pStyle w:val="23"/>
        <w:ind w:firstLine="0" w:firstLineChars="0"/>
        <w:rPr>
          <w:rFonts w:cs="宋体"/>
          <w:color w:val="auto"/>
          <w:highlight w:val="none"/>
        </w:rPr>
      </w:pPr>
    </w:p>
    <w:p w14:paraId="55D69CA4">
      <w:pPr>
        <w:pStyle w:val="23"/>
        <w:ind w:firstLine="0" w:firstLineChars="0"/>
        <w:rPr>
          <w:rFonts w:cs="宋体"/>
          <w:color w:val="auto"/>
          <w:highlight w:val="none"/>
        </w:rPr>
      </w:pPr>
    </w:p>
    <w:p w14:paraId="4EF0E363">
      <w:pPr>
        <w:pStyle w:val="23"/>
        <w:ind w:firstLine="0" w:firstLineChars="0"/>
        <w:rPr>
          <w:rFonts w:cs="宋体"/>
          <w:color w:val="auto"/>
          <w:highlight w:val="none"/>
        </w:rPr>
      </w:pPr>
    </w:p>
    <w:p w14:paraId="2123591A">
      <w:pPr>
        <w:pStyle w:val="23"/>
        <w:ind w:firstLine="0" w:firstLineChars="0"/>
        <w:rPr>
          <w:rFonts w:cs="宋体"/>
          <w:color w:val="auto"/>
          <w:highlight w:val="none"/>
        </w:rPr>
      </w:pPr>
    </w:p>
    <w:p w14:paraId="494B9B74">
      <w:pPr>
        <w:pStyle w:val="23"/>
        <w:ind w:firstLine="0" w:firstLineChars="0"/>
        <w:rPr>
          <w:rFonts w:cs="宋体"/>
          <w:color w:val="auto"/>
          <w:highlight w:val="none"/>
        </w:rPr>
      </w:pPr>
    </w:p>
    <w:p w14:paraId="20ECE5DC">
      <w:pPr>
        <w:pStyle w:val="23"/>
        <w:ind w:firstLine="0" w:firstLineChars="0"/>
        <w:rPr>
          <w:rFonts w:cs="宋体"/>
          <w:color w:val="auto"/>
          <w:highlight w:val="none"/>
        </w:rPr>
      </w:pPr>
    </w:p>
    <w:p w14:paraId="361278F1">
      <w:pPr>
        <w:pStyle w:val="23"/>
        <w:ind w:firstLine="0" w:firstLineChars="0"/>
        <w:rPr>
          <w:rFonts w:cs="宋体"/>
          <w:color w:val="auto"/>
          <w:highlight w:val="none"/>
        </w:rPr>
      </w:pPr>
    </w:p>
    <w:p w14:paraId="41C16C05">
      <w:pPr>
        <w:pStyle w:val="23"/>
        <w:ind w:firstLine="0" w:firstLineChars="0"/>
        <w:rPr>
          <w:rFonts w:cs="宋体"/>
          <w:color w:val="auto"/>
          <w:highlight w:val="none"/>
        </w:rPr>
      </w:pPr>
    </w:p>
    <w:p w14:paraId="2F470EEE">
      <w:pPr>
        <w:pStyle w:val="23"/>
        <w:ind w:firstLine="0" w:firstLineChars="0"/>
        <w:rPr>
          <w:rFonts w:cs="宋体"/>
          <w:color w:val="auto"/>
          <w:highlight w:val="none"/>
        </w:rPr>
      </w:pPr>
    </w:p>
    <w:p w14:paraId="45F24C17">
      <w:pPr>
        <w:pStyle w:val="23"/>
        <w:ind w:firstLine="0" w:firstLineChars="0"/>
        <w:rPr>
          <w:rFonts w:cs="宋体"/>
          <w:color w:val="auto"/>
          <w:highlight w:val="none"/>
        </w:rPr>
      </w:pPr>
    </w:p>
    <w:p w14:paraId="4831BF76">
      <w:pPr>
        <w:pStyle w:val="23"/>
        <w:ind w:firstLine="0" w:firstLineChars="0"/>
        <w:rPr>
          <w:rFonts w:cs="宋体"/>
          <w:color w:val="auto"/>
          <w:highlight w:val="none"/>
        </w:rPr>
      </w:pPr>
    </w:p>
    <w:p w14:paraId="78ED9A6F">
      <w:pPr>
        <w:pStyle w:val="23"/>
        <w:ind w:firstLine="0" w:firstLineChars="0"/>
        <w:rPr>
          <w:rFonts w:cs="宋体"/>
          <w:color w:val="auto"/>
          <w:highlight w:val="none"/>
        </w:rPr>
      </w:pPr>
    </w:p>
    <w:p w14:paraId="1B2990C8">
      <w:pPr>
        <w:pStyle w:val="23"/>
        <w:ind w:firstLine="0" w:firstLineChars="0"/>
        <w:rPr>
          <w:rFonts w:cs="宋体"/>
          <w:color w:val="auto"/>
          <w:highlight w:val="none"/>
        </w:rPr>
      </w:pPr>
    </w:p>
    <w:p w14:paraId="0FAFD1A8">
      <w:pPr>
        <w:pStyle w:val="23"/>
        <w:ind w:firstLine="0" w:firstLineChars="0"/>
        <w:rPr>
          <w:rFonts w:cs="宋体"/>
          <w:color w:val="auto"/>
          <w:highlight w:val="none"/>
        </w:rPr>
      </w:pPr>
    </w:p>
    <w:p w14:paraId="7391E8F2">
      <w:pPr>
        <w:pStyle w:val="23"/>
        <w:ind w:firstLine="0" w:firstLineChars="0"/>
        <w:rPr>
          <w:rFonts w:cs="宋体"/>
          <w:color w:val="auto"/>
          <w:highlight w:val="none"/>
        </w:rPr>
      </w:pPr>
    </w:p>
    <w:p w14:paraId="7A2DD6B1">
      <w:pPr>
        <w:pStyle w:val="23"/>
        <w:ind w:firstLine="0" w:firstLineChars="0"/>
        <w:rPr>
          <w:rFonts w:cs="宋体"/>
          <w:color w:val="auto"/>
          <w:highlight w:val="none"/>
        </w:rPr>
      </w:pPr>
    </w:p>
    <w:p w14:paraId="24BDDD2F">
      <w:pPr>
        <w:pStyle w:val="23"/>
        <w:ind w:firstLine="0" w:firstLineChars="0"/>
        <w:rPr>
          <w:rFonts w:cs="宋体"/>
          <w:color w:val="auto"/>
          <w:highlight w:val="none"/>
        </w:rPr>
      </w:pPr>
    </w:p>
    <w:p w14:paraId="6BD12655">
      <w:pPr>
        <w:pStyle w:val="23"/>
        <w:ind w:firstLine="0" w:firstLineChars="0"/>
        <w:rPr>
          <w:rFonts w:cs="宋体"/>
          <w:color w:val="auto"/>
          <w:highlight w:val="none"/>
        </w:rPr>
      </w:pPr>
    </w:p>
    <w:p w14:paraId="351958CD">
      <w:pPr>
        <w:pStyle w:val="23"/>
        <w:ind w:firstLine="0" w:firstLineChars="0"/>
        <w:rPr>
          <w:rFonts w:cs="宋体"/>
          <w:color w:val="auto"/>
          <w:highlight w:val="none"/>
        </w:rPr>
      </w:pPr>
    </w:p>
    <w:p w14:paraId="690F74B8">
      <w:pPr>
        <w:pStyle w:val="23"/>
        <w:ind w:firstLine="0" w:firstLineChars="0"/>
        <w:rPr>
          <w:rFonts w:cs="宋体"/>
          <w:color w:val="auto"/>
          <w:highlight w:val="none"/>
        </w:rPr>
      </w:pPr>
    </w:p>
    <w:p w14:paraId="3606C384">
      <w:pPr>
        <w:pStyle w:val="23"/>
        <w:ind w:firstLine="0" w:firstLineChars="0"/>
        <w:rPr>
          <w:rFonts w:cs="宋体"/>
          <w:color w:val="auto"/>
          <w:highlight w:val="none"/>
        </w:rPr>
      </w:pPr>
    </w:p>
    <w:p w14:paraId="16C18CBE">
      <w:pPr>
        <w:pStyle w:val="23"/>
        <w:ind w:firstLine="0" w:firstLineChars="0"/>
        <w:rPr>
          <w:rFonts w:cs="宋体"/>
          <w:color w:val="auto"/>
          <w:highlight w:val="none"/>
        </w:rPr>
      </w:pPr>
    </w:p>
    <w:p w14:paraId="36A475B2">
      <w:pPr>
        <w:pStyle w:val="23"/>
        <w:ind w:firstLine="0" w:firstLineChars="0"/>
        <w:rPr>
          <w:rFonts w:cs="宋体"/>
          <w:color w:val="auto"/>
          <w:highlight w:val="none"/>
        </w:rPr>
      </w:pPr>
    </w:p>
    <w:p w14:paraId="6C4656BA">
      <w:pPr>
        <w:pStyle w:val="23"/>
        <w:ind w:firstLine="0" w:firstLineChars="0"/>
        <w:rPr>
          <w:rFonts w:cs="宋体"/>
          <w:color w:val="auto"/>
          <w:highlight w:val="none"/>
        </w:rPr>
      </w:pPr>
    </w:p>
    <w:p w14:paraId="3A6C7DC5">
      <w:pPr>
        <w:pStyle w:val="23"/>
        <w:ind w:firstLine="0" w:firstLineChars="0"/>
        <w:rPr>
          <w:rFonts w:cs="宋体"/>
          <w:color w:val="auto"/>
          <w:highlight w:val="none"/>
        </w:rPr>
      </w:pPr>
    </w:p>
    <w:p w14:paraId="6C5ECED9">
      <w:pPr>
        <w:pStyle w:val="23"/>
        <w:ind w:firstLine="0" w:firstLineChars="0"/>
        <w:rPr>
          <w:rFonts w:cs="宋体"/>
          <w:color w:val="auto"/>
          <w:highlight w:val="none"/>
        </w:rPr>
      </w:pPr>
      <w:r>
        <w:rPr>
          <w:color w:val="auto"/>
          <w:highlight w:val="none"/>
        </w:rPr>
        <w:drawing>
          <wp:anchor distT="0" distB="0" distL="114300" distR="114300" simplePos="0" relativeHeight="251675648" behindDoc="1" locked="0" layoutInCell="1" allowOverlap="1">
            <wp:simplePos x="0" y="0"/>
            <wp:positionH relativeFrom="column">
              <wp:posOffset>28575</wp:posOffset>
            </wp:positionH>
            <wp:positionV relativeFrom="paragraph">
              <wp:posOffset>139065</wp:posOffset>
            </wp:positionV>
            <wp:extent cx="5274310" cy="7192645"/>
            <wp:effectExtent l="0" t="0" r="2540" b="8255"/>
            <wp:wrapNone/>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56"/>
                    <a:stretch>
                      <a:fillRect/>
                    </a:stretch>
                  </pic:blipFill>
                  <pic:spPr>
                    <a:xfrm>
                      <a:off x="0" y="0"/>
                      <a:ext cx="5274310" cy="7192645"/>
                    </a:xfrm>
                    <a:prstGeom prst="rect">
                      <a:avLst/>
                    </a:prstGeom>
                    <a:noFill/>
                    <a:ln>
                      <a:noFill/>
                    </a:ln>
                  </pic:spPr>
                </pic:pic>
              </a:graphicData>
            </a:graphic>
          </wp:anchor>
        </w:drawing>
      </w:r>
    </w:p>
    <w:p w14:paraId="642C1A64">
      <w:pPr>
        <w:pStyle w:val="23"/>
        <w:ind w:firstLine="0" w:firstLineChars="0"/>
        <w:rPr>
          <w:rFonts w:cs="宋体"/>
          <w:color w:val="auto"/>
          <w:highlight w:val="none"/>
        </w:rPr>
      </w:pPr>
    </w:p>
    <w:p w14:paraId="15A71DCF">
      <w:pPr>
        <w:pStyle w:val="23"/>
        <w:ind w:firstLine="0" w:firstLineChars="0"/>
        <w:rPr>
          <w:rFonts w:cs="宋体"/>
          <w:color w:val="auto"/>
          <w:highlight w:val="none"/>
        </w:rPr>
      </w:pPr>
    </w:p>
    <w:p w14:paraId="3988A1EA">
      <w:pPr>
        <w:pStyle w:val="23"/>
        <w:ind w:firstLine="0" w:firstLineChars="0"/>
        <w:rPr>
          <w:rFonts w:cs="宋体"/>
          <w:color w:val="auto"/>
          <w:highlight w:val="none"/>
        </w:rPr>
      </w:pPr>
    </w:p>
    <w:p w14:paraId="112536F7">
      <w:pPr>
        <w:pStyle w:val="23"/>
        <w:ind w:firstLine="0" w:firstLineChars="0"/>
        <w:rPr>
          <w:rFonts w:cs="宋体"/>
          <w:color w:val="auto"/>
          <w:highlight w:val="none"/>
        </w:rPr>
      </w:pPr>
    </w:p>
    <w:p w14:paraId="3F39CE0E">
      <w:pPr>
        <w:pStyle w:val="23"/>
        <w:ind w:firstLine="0" w:firstLineChars="0"/>
        <w:rPr>
          <w:rFonts w:cs="宋体"/>
          <w:color w:val="auto"/>
          <w:highlight w:val="none"/>
        </w:rPr>
      </w:pPr>
    </w:p>
    <w:p w14:paraId="4777FDBA">
      <w:pPr>
        <w:pStyle w:val="23"/>
        <w:ind w:firstLine="0" w:firstLineChars="0"/>
        <w:rPr>
          <w:rFonts w:cs="宋体"/>
          <w:color w:val="auto"/>
          <w:highlight w:val="none"/>
        </w:rPr>
      </w:pPr>
    </w:p>
    <w:p w14:paraId="625EC51E">
      <w:pPr>
        <w:pStyle w:val="23"/>
        <w:ind w:firstLine="0" w:firstLineChars="0"/>
        <w:rPr>
          <w:rFonts w:cs="宋体"/>
          <w:color w:val="auto"/>
          <w:highlight w:val="none"/>
        </w:rPr>
      </w:pPr>
    </w:p>
    <w:p w14:paraId="53B8B30D">
      <w:pPr>
        <w:pStyle w:val="23"/>
        <w:ind w:firstLine="0" w:firstLineChars="0"/>
        <w:rPr>
          <w:rFonts w:cs="宋体"/>
          <w:color w:val="auto"/>
          <w:highlight w:val="none"/>
        </w:rPr>
      </w:pPr>
    </w:p>
    <w:p w14:paraId="379CFACB">
      <w:pPr>
        <w:pStyle w:val="23"/>
        <w:ind w:firstLine="0" w:firstLineChars="0"/>
        <w:rPr>
          <w:rFonts w:cs="宋体"/>
          <w:color w:val="auto"/>
          <w:highlight w:val="none"/>
        </w:rPr>
      </w:pPr>
    </w:p>
    <w:p w14:paraId="4C148B85">
      <w:pPr>
        <w:pStyle w:val="23"/>
        <w:ind w:firstLine="0" w:firstLineChars="0"/>
        <w:rPr>
          <w:rFonts w:cs="宋体"/>
          <w:color w:val="auto"/>
          <w:highlight w:val="none"/>
        </w:rPr>
      </w:pPr>
    </w:p>
    <w:p w14:paraId="37E436D4">
      <w:pPr>
        <w:pStyle w:val="23"/>
        <w:ind w:firstLine="0" w:firstLineChars="0"/>
        <w:rPr>
          <w:rFonts w:cs="宋体"/>
          <w:color w:val="auto"/>
          <w:highlight w:val="none"/>
        </w:rPr>
      </w:pPr>
    </w:p>
    <w:p w14:paraId="38354FC7">
      <w:pPr>
        <w:pStyle w:val="23"/>
        <w:ind w:firstLine="0" w:firstLineChars="0"/>
        <w:rPr>
          <w:rFonts w:cs="宋体"/>
          <w:color w:val="auto"/>
          <w:highlight w:val="none"/>
        </w:rPr>
      </w:pPr>
    </w:p>
    <w:p w14:paraId="0494FDF2">
      <w:pPr>
        <w:pStyle w:val="23"/>
        <w:ind w:firstLine="0" w:firstLineChars="0"/>
        <w:rPr>
          <w:rFonts w:cs="宋体"/>
          <w:color w:val="auto"/>
          <w:highlight w:val="none"/>
        </w:rPr>
      </w:pPr>
    </w:p>
    <w:p w14:paraId="5C840575">
      <w:pPr>
        <w:pStyle w:val="23"/>
        <w:ind w:firstLine="0" w:firstLineChars="0"/>
        <w:rPr>
          <w:rFonts w:cs="宋体"/>
          <w:color w:val="auto"/>
          <w:highlight w:val="none"/>
        </w:rPr>
      </w:pPr>
    </w:p>
    <w:p w14:paraId="43DF689A">
      <w:pPr>
        <w:pStyle w:val="23"/>
        <w:ind w:firstLine="0" w:firstLineChars="0"/>
        <w:rPr>
          <w:rFonts w:cs="宋体"/>
          <w:color w:val="auto"/>
          <w:highlight w:val="none"/>
        </w:rPr>
      </w:pPr>
    </w:p>
    <w:p w14:paraId="0287CF95">
      <w:pPr>
        <w:pStyle w:val="23"/>
        <w:ind w:firstLine="0" w:firstLineChars="0"/>
        <w:rPr>
          <w:rFonts w:cs="宋体"/>
          <w:color w:val="auto"/>
          <w:highlight w:val="none"/>
        </w:rPr>
      </w:pPr>
    </w:p>
    <w:p w14:paraId="0E4A8B86">
      <w:pPr>
        <w:pStyle w:val="23"/>
        <w:ind w:firstLine="0" w:firstLineChars="0"/>
        <w:rPr>
          <w:rFonts w:cs="宋体"/>
          <w:color w:val="auto"/>
          <w:highlight w:val="none"/>
        </w:rPr>
      </w:pPr>
    </w:p>
    <w:p w14:paraId="329C52EE">
      <w:pPr>
        <w:pStyle w:val="23"/>
        <w:ind w:firstLine="0" w:firstLineChars="0"/>
        <w:rPr>
          <w:rFonts w:cs="宋体"/>
          <w:color w:val="auto"/>
          <w:highlight w:val="none"/>
        </w:rPr>
      </w:pPr>
    </w:p>
    <w:p w14:paraId="5558BE27">
      <w:pPr>
        <w:pStyle w:val="23"/>
        <w:ind w:firstLine="0" w:firstLineChars="0"/>
        <w:rPr>
          <w:rFonts w:cs="宋体"/>
          <w:color w:val="auto"/>
          <w:highlight w:val="none"/>
        </w:rPr>
      </w:pPr>
    </w:p>
    <w:p w14:paraId="1462BEA9">
      <w:pPr>
        <w:pStyle w:val="23"/>
        <w:ind w:firstLine="0" w:firstLineChars="0"/>
        <w:rPr>
          <w:rFonts w:cs="宋体"/>
          <w:color w:val="auto"/>
          <w:highlight w:val="none"/>
        </w:rPr>
      </w:pPr>
    </w:p>
    <w:p w14:paraId="34DC9B41">
      <w:pPr>
        <w:pStyle w:val="23"/>
        <w:ind w:firstLine="0" w:firstLineChars="0"/>
        <w:rPr>
          <w:rFonts w:cs="宋体"/>
          <w:color w:val="auto"/>
          <w:highlight w:val="none"/>
        </w:rPr>
      </w:pPr>
    </w:p>
    <w:p w14:paraId="23FB78FE">
      <w:pPr>
        <w:pStyle w:val="23"/>
        <w:ind w:firstLine="0" w:firstLineChars="0"/>
        <w:rPr>
          <w:rFonts w:cs="宋体"/>
          <w:color w:val="auto"/>
          <w:highlight w:val="none"/>
        </w:rPr>
      </w:pPr>
    </w:p>
    <w:p w14:paraId="759C817F">
      <w:pPr>
        <w:pStyle w:val="23"/>
        <w:ind w:firstLine="0" w:firstLineChars="0"/>
        <w:rPr>
          <w:rFonts w:cs="宋体"/>
          <w:color w:val="auto"/>
          <w:highlight w:val="none"/>
        </w:rPr>
      </w:pPr>
    </w:p>
    <w:p w14:paraId="28B58D13">
      <w:pPr>
        <w:pStyle w:val="23"/>
        <w:ind w:firstLine="0" w:firstLineChars="0"/>
        <w:rPr>
          <w:rFonts w:cs="宋体"/>
          <w:color w:val="auto"/>
          <w:highlight w:val="none"/>
        </w:rPr>
      </w:pPr>
    </w:p>
    <w:p w14:paraId="6DFAD06E">
      <w:pPr>
        <w:pStyle w:val="23"/>
        <w:ind w:firstLine="0" w:firstLineChars="0"/>
        <w:rPr>
          <w:rFonts w:cs="宋体"/>
          <w:color w:val="auto"/>
          <w:highlight w:val="none"/>
        </w:rPr>
      </w:pPr>
    </w:p>
    <w:p w14:paraId="07A83A9F">
      <w:pPr>
        <w:pStyle w:val="23"/>
        <w:ind w:firstLine="0" w:firstLineChars="0"/>
        <w:rPr>
          <w:rFonts w:cs="宋体"/>
          <w:color w:val="auto"/>
          <w:highlight w:val="none"/>
        </w:rPr>
      </w:pPr>
    </w:p>
    <w:p w14:paraId="0BBEB899">
      <w:pPr>
        <w:pStyle w:val="23"/>
        <w:ind w:firstLine="0" w:firstLineChars="0"/>
        <w:rPr>
          <w:rFonts w:cs="宋体"/>
          <w:color w:val="auto"/>
          <w:highlight w:val="none"/>
        </w:rPr>
      </w:pPr>
    </w:p>
    <w:p w14:paraId="51135072">
      <w:pPr>
        <w:pStyle w:val="23"/>
        <w:ind w:firstLine="0" w:firstLineChars="0"/>
        <w:rPr>
          <w:rFonts w:cs="宋体"/>
          <w:color w:val="auto"/>
          <w:highlight w:val="none"/>
        </w:rPr>
      </w:pPr>
      <w:r>
        <w:rPr>
          <w:color w:val="auto"/>
          <w:highlight w:val="none"/>
        </w:rPr>
        <w:drawing>
          <wp:anchor distT="0" distB="0" distL="114300" distR="114300" simplePos="0" relativeHeight="251676672" behindDoc="1" locked="0" layoutInCell="1" allowOverlap="1">
            <wp:simplePos x="0" y="0"/>
            <wp:positionH relativeFrom="column">
              <wp:posOffset>19050</wp:posOffset>
            </wp:positionH>
            <wp:positionV relativeFrom="paragraph">
              <wp:posOffset>81915</wp:posOffset>
            </wp:positionV>
            <wp:extent cx="5271135" cy="7446645"/>
            <wp:effectExtent l="0" t="0" r="5715" b="1905"/>
            <wp:wrapNone/>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57"/>
                    <a:stretch>
                      <a:fillRect/>
                    </a:stretch>
                  </pic:blipFill>
                  <pic:spPr>
                    <a:xfrm>
                      <a:off x="0" y="0"/>
                      <a:ext cx="5271135" cy="7446645"/>
                    </a:xfrm>
                    <a:prstGeom prst="rect">
                      <a:avLst/>
                    </a:prstGeom>
                    <a:noFill/>
                    <a:ln>
                      <a:noFill/>
                    </a:ln>
                  </pic:spPr>
                </pic:pic>
              </a:graphicData>
            </a:graphic>
          </wp:anchor>
        </w:drawing>
      </w:r>
    </w:p>
    <w:p w14:paraId="559E6863">
      <w:pPr>
        <w:pStyle w:val="23"/>
        <w:ind w:firstLine="0" w:firstLineChars="0"/>
        <w:rPr>
          <w:rFonts w:cs="宋体"/>
          <w:color w:val="auto"/>
          <w:highlight w:val="none"/>
        </w:rPr>
      </w:pPr>
    </w:p>
    <w:p w14:paraId="69BCD80B">
      <w:pPr>
        <w:pStyle w:val="23"/>
        <w:ind w:firstLine="0" w:firstLineChars="0"/>
        <w:rPr>
          <w:rFonts w:cs="宋体"/>
          <w:color w:val="auto"/>
          <w:highlight w:val="none"/>
        </w:rPr>
      </w:pPr>
    </w:p>
    <w:p w14:paraId="04D9A179">
      <w:pPr>
        <w:pStyle w:val="23"/>
        <w:ind w:firstLine="0" w:firstLineChars="0"/>
        <w:rPr>
          <w:rFonts w:cs="宋体"/>
          <w:color w:val="auto"/>
          <w:highlight w:val="none"/>
        </w:rPr>
      </w:pPr>
    </w:p>
    <w:p w14:paraId="2AEFD0A8">
      <w:pPr>
        <w:pStyle w:val="23"/>
        <w:ind w:firstLine="0" w:firstLineChars="0"/>
        <w:rPr>
          <w:rFonts w:cs="宋体"/>
          <w:color w:val="auto"/>
          <w:highlight w:val="none"/>
        </w:rPr>
      </w:pPr>
    </w:p>
    <w:p w14:paraId="103BE010">
      <w:pPr>
        <w:pStyle w:val="23"/>
        <w:ind w:firstLine="0" w:firstLineChars="0"/>
        <w:rPr>
          <w:rFonts w:cs="宋体"/>
          <w:color w:val="auto"/>
          <w:highlight w:val="none"/>
        </w:rPr>
      </w:pPr>
    </w:p>
    <w:p w14:paraId="43A005E9">
      <w:pPr>
        <w:pStyle w:val="23"/>
        <w:ind w:firstLine="0" w:firstLineChars="0"/>
        <w:rPr>
          <w:rFonts w:cs="宋体"/>
          <w:color w:val="auto"/>
          <w:highlight w:val="none"/>
        </w:rPr>
      </w:pPr>
    </w:p>
    <w:p w14:paraId="39DA573A">
      <w:pPr>
        <w:pStyle w:val="23"/>
        <w:ind w:firstLine="0" w:firstLineChars="0"/>
        <w:rPr>
          <w:rFonts w:cs="宋体"/>
          <w:color w:val="auto"/>
          <w:highlight w:val="none"/>
        </w:rPr>
      </w:pPr>
    </w:p>
    <w:p w14:paraId="5C08159F">
      <w:pPr>
        <w:pStyle w:val="23"/>
        <w:ind w:firstLine="0" w:firstLineChars="0"/>
        <w:rPr>
          <w:rFonts w:cs="宋体"/>
          <w:color w:val="auto"/>
          <w:highlight w:val="none"/>
        </w:rPr>
      </w:pPr>
    </w:p>
    <w:p w14:paraId="2D1F258E">
      <w:pPr>
        <w:pStyle w:val="23"/>
        <w:ind w:firstLine="0" w:firstLineChars="0"/>
        <w:rPr>
          <w:rFonts w:cs="宋体"/>
          <w:color w:val="auto"/>
          <w:highlight w:val="none"/>
        </w:rPr>
      </w:pPr>
    </w:p>
    <w:p w14:paraId="06F214CF">
      <w:pPr>
        <w:pStyle w:val="23"/>
        <w:ind w:firstLine="0" w:firstLineChars="0"/>
        <w:rPr>
          <w:rFonts w:cs="宋体"/>
          <w:color w:val="auto"/>
          <w:highlight w:val="none"/>
        </w:rPr>
      </w:pPr>
    </w:p>
    <w:p w14:paraId="0B3B6ED4">
      <w:pPr>
        <w:pStyle w:val="23"/>
        <w:ind w:firstLine="0" w:firstLineChars="0"/>
        <w:rPr>
          <w:rFonts w:cs="宋体"/>
          <w:color w:val="auto"/>
          <w:highlight w:val="none"/>
        </w:rPr>
      </w:pPr>
    </w:p>
    <w:p w14:paraId="34EE074E">
      <w:pPr>
        <w:pStyle w:val="23"/>
        <w:ind w:firstLine="0" w:firstLineChars="0"/>
        <w:rPr>
          <w:rFonts w:cs="宋体"/>
          <w:color w:val="auto"/>
          <w:highlight w:val="none"/>
        </w:rPr>
      </w:pPr>
    </w:p>
    <w:p w14:paraId="10B91AEE">
      <w:pPr>
        <w:pStyle w:val="23"/>
        <w:ind w:firstLine="0" w:firstLineChars="0"/>
        <w:rPr>
          <w:rFonts w:cs="宋体"/>
          <w:color w:val="auto"/>
          <w:highlight w:val="none"/>
        </w:rPr>
      </w:pPr>
    </w:p>
    <w:p w14:paraId="21CA3180">
      <w:pPr>
        <w:pStyle w:val="23"/>
        <w:ind w:firstLine="0" w:firstLineChars="0"/>
        <w:rPr>
          <w:rFonts w:cs="宋体"/>
          <w:color w:val="auto"/>
          <w:highlight w:val="none"/>
        </w:rPr>
      </w:pPr>
    </w:p>
    <w:p w14:paraId="36975DC9">
      <w:pPr>
        <w:pStyle w:val="23"/>
        <w:ind w:firstLine="0" w:firstLineChars="0"/>
        <w:rPr>
          <w:rFonts w:cs="宋体"/>
          <w:color w:val="auto"/>
          <w:highlight w:val="none"/>
        </w:rPr>
      </w:pPr>
    </w:p>
    <w:p w14:paraId="6C788427">
      <w:pPr>
        <w:pStyle w:val="23"/>
        <w:ind w:firstLine="0" w:firstLineChars="0"/>
        <w:rPr>
          <w:rFonts w:cs="宋体"/>
          <w:color w:val="auto"/>
          <w:highlight w:val="none"/>
        </w:rPr>
      </w:pPr>
    </w:p>
    <w:p w14:paraId="79E4282D">
      <w:pPr>
        <w:pStyle w:val="23"/>
        <w:ind w:firstLine="0" w:firstLineChars="0"/>
        <w:rPr>
          <w:rFonts w:cs="宋体"/>
          <w:color w:val="auto"/>
          <w:highlight w:val="none"/>
        </w:rPr>
      </w:pPr>
    </w:p>
    <w:p w14:paraId="433423D3">
      <w:pPr>
        <w:pStyle w:val="23"/>
        <w:ind w:firstLine="0" w:firstLineChars="0"/>
        <w:rPr>
          <w:rFonts w:cs="宋体"/>
          <w:color w:val="auto"/>
          <w:highlight w:val="none"/>
        </w:rPr>
      </w:pPr>
    </w:p>
    <w:p w14:paraId="790AFDEF">
      <w:pPr>
        <w:pStyle w:val="23"/>
        <w:ind w:firstLine="0" w:firstLineChars="0"/>
        <w:rPr>
          <w:rFonts w:cs="宋体"/>
          <w:color w:val="auto"/>
          <w:highlight w:val="none"/>
        </w:rPr>
      </w:pPr>
    </w:p>
    <w:p w14:paraId="4C5AA29F">
      <w:pPr>
        <w:pStyle w:val="23"/>
        <w:ind w:firstLine="0" w:firstLineChars="0"/>
        <w:rPr>
          <w:rFonts w:cs="宋体"/>
          <w:color w:val="auto"/>
          <w:highlight w:val="none"/>
        </w:rPr>
      </w:pPr>
    </w:p>
    <w:p w14:paraId="333CF693">
      <w:pPr>
        <w:pStyle w:val="23"/>
        <w:ind w:firstLine="0" w:firstLineChars="0"/>
        <w:rPr>
          <w:rFonts w:cs="宋体"/>
          <w:color w:val="auto"/>
          <w:highlight w:val="none"/>
        </w:rPr>
      </w:pPr>
    </w:p>
    <w:p w14:paraId="1B0881D9">
      <w:pPr>
        <w:pStyle w:val="23"/>
        <w:ind w:firstLine="0" w:firstLineChars="0"/>
        <w:rPr>
          <w:rFonts w:cs="宋体"/>
          <w:color w:val="auto"/>
          <w:highlight w:val="none"/>
        </w:rPr>
      </w:pPr>
    </w:p>
    <w:p w14:paraId="2096A993">
      <w:pPr>
        <w:pStyle w:val="23"/>
        <w:ind w:firstLine="0" w:firstLineChars="0"/>
        <w:rPr>
          <w:rFonts w:cs="宋体"/>
          <w:color w:val="auto"/>
          <w:highlight w:val="none"/>
        </w:rPr>
      </w:pPr>
    </w:p>
    <w:p w14:paraId="77D12A11">
      <w:pPr>
        <w:pStyle w:val="23"/>
        <w:ind w:firstLine="0" w:firstLineChars="0"/>
        <w:rPr>
          <w:rFonts w:cs="宋体"/>
          <w:color w:val="auto"/>
          <w:highlight w:val="none"/>
        </w:rPr>
      </w:pPr>
    </w:p>
    <w:p w14:paraId="07555252">
      <w:pPr>
        <w:pStyle w:val="23"/>
        <w:ind w:firstLine="0" w:firstLineChars="0"/>
        <w:rPr>
          <w:rFonts w:cs="宋体"/>
          <w:color w:val="auto"/>
          <w:highlight w:val="none"/>
        </w:rPr>
      </w:pPr>
    </w:p>
    <w:p w14:paraId="576ABA3A">
      <w:pPr>
        <w:pStyle w:val="23"/>
        <w:ind w:firstLine="0" w:firstLineChars="0"/>
        <w:rPr>
          <w:rFonts w:cs="宋体"/>
          <w:color w:val="auto"/>
          <w:highlight w:val="none"/>
        </w:rPr>
      </w:pPr>
    </w:p>
    <w:p w14:paraId="6DAB217B">
      <w:pPr>
        <w:pStyle w:val="23"/>
        <w:ind w:firstLine="0" w:firstLineChars="0"/>
        <w:rPr>
          <w:rFonts w:cs="宋体"/>
          <w:color w:val="auto"/>
          <w:highlight w:val="none"/>
        </w:rPr>
      </w:pPr>
    </w:p>
    <w:p w14:paraId="42DF3301">
      <w:pPr>
        <w:pStyle w:val="23"/>
        <w:ind w:firstLine="0" w:firstLineChars="0"/>
        <w:rPr>
          <w:rFonts w:cs="宋体"/>
          <w:color w:val="auto"/>
          <w:highlight w:val="none"/>
        </w:rPr>
      </w:pPr>
      <w:r>
        <w:rPr>
          <w:color w:val="auto"/>
          <w:highlight w:val="none"/>
        </w:rPr>
        <w:drawing>
          <wp:anchor distT="0" distB="0" distL="114300" distR="114300" simplePos="0" relativeHeight="251677696" behindDoc="1" locked="0" layoutInCell="1" allowOverlap="1">
            <wp:simplePos x="0" y="0"/>
            <wp:positionH relativeFrom="column">
              <wp:posOffset>57150</wp:posOffset>
            </wp:positionH>
            <wp:positionV relativeFrom="paragraph">
              <wp:posOffset>43815</wp:posOffset>
            </wp:positionV>
            <wp:extent cx="5272405" cy="7597140"/>
            <wp:effectExtent l="0" t="0" r="4445" b="3810"/>
            <wp:wrapNone/>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58"/>
                    <a:stretch>
                      <a:fillRect/>
                    </a:stretch>
                  </pic:blipFill>
                  <pic:spPr>
                    <a:xfrm>
                      <a:off x="0" y="0"/>
                      <a:ext cx="5272405" cy="7597140"/>
                    </a:xfrm>
                    <a:prstGeom prst="rect">
                      <a:avLst/>
                    </a:prstGeom>
                    <a:noFill/>
                    <a:ln>
                      <a:noFill/>
                    </a:ln>
                  </pic:spPr>
                </pic:pic>
              </a:graphicData>
            </a:graphic>
          </wp:anchor>
        </w:drawing>
      </w:r>
    </w:p>
    <w:p w14:paraId="2AA40B99">
      <w:pPr>
        <w:pStyle w:val="23"/>
        <w:ind w:firstLine="0" w:firstLineChars="0"/>
        <w:rPr>
          <w:rFonts w:cs="宋体"/>
          <w:color w:val="auto"/>
          <w:highlight w:val="none"/>
        </w:rPr>
      </w:pPr>
    </w:p>
    <w:p w14:paraId="5FE869A8">
      <w:pPr>
        <w:pStyle w:val="23"/>
        <w:ind w:firstLine="0" w:firstLineChars="0"/>
        <w:rPr>
          <w:rFonts w:cs="宋体"/>
          <w:color w:val="auto"/>
          <w:highlight w:val="none"/>
        </w:rPr>
      </w:pPr>
    </w:p>
    <w:p w14:paraId="5BC363D6">
      <w:pPr>
        <w:pStyle w:val="23"/>
        <w:ind w:firstLine="0" w:firstLineChars="0"/>
        <w:rPr>
          <w:rFonts w:cs="宋体"/>
          <w:color w:val="auto"/>
          <w:highlight w:val="none"/>
        </w:rPr>
      </w:pPr>
    </w:p>
    <w:p w14:paraId="11B02781">
      <w:pPr>
        <w:pStyle w:val="23"/>
        <w:ind w:firstLine="0" w:firstLineChars="0"/>
        <w:rPr>
          <w:rFonts w:cs="宋体"/>
          <w:color w:val="auto"/>
          <w:highlight w:val="none"/>
        </w:rPr>
      </w:pPr>
    </w:p>
    <w:p w14:paraId="70B7D84E">
      <w:pPr>
        <w:pStyle w:val="23"/>
        <w:ind w:firstLine="0" w:firstLineChars="0"/>
        <w:rPr>
          <w:rFonts w:cs="宋体"/>
          <w:color w:val="auto"/>
          <w:highlight w:val="none"/>
        </w:rPr>
      </w:pPr>
    </w:p>
    <w:p w14:paraId="5D8C62F3">
      <w:pPr>
        <w:pStyle w:val="23"/>
        <w:ind w:firstLine="0" w:firstLineChars="0"/>
        <w:rPr>
          <w:rFonts w:cs="宋体"/>
          <w:color w:val="auto"/>
          <w:highlight w:val="none"/>
        </w:rPr>
      </w:pPr>
    </w:p>
    <w:p w14:paraId="55736033">
      <w:pPr>
        <w:pStyle w:val="23"/>
        <w:ind w:firstLine="0" w:firstLineChars="0"/>
        <w:rPr>
          <w:rFonts w:cs="宋体"/>
          <w:color w:val="auto"/>
          <w:highlight w:val="none"/>
        </w:rPr>
      </w:pPr>
    </w:p>
    <w:p w14:paraId="7E1F4D86">
      <w:pPr>
        <w:pStyle w:val="23"/>
        <w:ind w:firstLine="0" w:firstLineChars="0"/>
        <w:rPr>
          <w:rFonts w:cs="宋体"/>
          <w:color w:val="auto"/>
          <w:highlight w:val="none"/>
        </w:rPr>
      </w:pPr>
    </w:p>
    <w:p w14:paraId="26C9FA19">
      <w:pPr>
        <w:pStyle w:val="23"/>
        <w:ind w:firstLine="0" w:firstLineChars="0"/>
        <w:rPr>
          <w:rFonts w:cs="宋体"/>
          <w:color w:val="auto"/>
          <w:highlight w:val="none"/>
        </w:rPr>
      </w:pPr>
    </w:p>
    <w:p w14:paraId="39A89981">
      <w:pPr>
        <w:pStyle w:val="23"/>
        <w:ind w:firstLine="0" w:firstLineChars="0"/>
        <w:rPr>
          <w:rFonts w:cs="宋体"/>
          <w:color w:val="auto"/>
          <w:highlight w:val="none"/>
        </w:rPr>
      </w:pPr>
    </w:p>
    <w:p w14:paraId="7CBD418A">
      <w:pPr>
        <w:pStyle w:val="23"/>
        <w:ind w:firstLine="0" w:firstLineChars="0"/>
        <w:rPr>
          <w:rFonts w:cs="宋体"/>
          <w:color w:val="auto"/>
          <w:highlight w:val="none"/>
        </w:rPr>
      </w:pPr>
    </w:p>
    <w:p w14:paraId="0CCCC7A6">
      <w:pPr>
        <w:pStyle w:val="23"/>
        <w:ind w:firstLine="0" w:firstLineChars="0"/>
        <w:rPr>
          <w:rFonts w:cs="宋体"/>
          <w:color w:val="auto"/>
          <w:highlight w:val="none"/>
        </w:rPr>
      </w:pPr>
    </w:p>
    <w:p w14:paraId="7E428396">
      <w:pPr>
        <w:pStyle w:val="23"/>
        <w:ind w:firstLine="0" w:firstLineChars="0"/>
        <w:rPr>
          <w:rFonts w:cs="宋体"/>
          <w:color w:val="auto"/>
          <w:highlight w:val="none"/>
        </w:rPr>
      </w:pPr>
    </w:p>
    <w:p w14:paraId="6A6DB1E2">
      <w:pPr>
        <w:pStyle w:val="23"/>
        <w:ind w:firstLine="0" w:firstLineChars="0"/>
        <w:rPr>
          <w:rFonts w:cs="宋体"/>
          <w:color w:val="auto"/>
          <w:highlight w:val="none"/>
        </w:rPr>
      </w:pPr>
    </w:p>
    <w:p w14:paraId="4E99D2EA">
      <w:pPr>
        <w:pStyle w:val="23"/>
        <w:ind w:firstLine="0" w:firstLineChars="0"/>
        <w:rPr>
          <w:rFonts w:cs="宋体"/>
          <w:color w:val="auto"/>
          <w:highlight w:val="none"/>
        </w:rPr>
      </w:pPr>
    </w:p>
    <w:p w14:paraId="7CC5480A">
      <w:pPr>
        <w:pStyle w:val="23"/>
        <w:ind w:firstLine="0" w:firstLineChars="0"/>
        <w:rPr>
          <w:rFonts w:cs="宋体"/>
          <w:color w:val="auto"/>
          <w:highlight w:val="none"/>
        </w:rPr>
      </w:pPr>
    </w:p>
    <w:p w14:paraId="5332AEDD">
      <w:pPr>
        <w:pStyle w:val="23"/>
        <w:ind w:firstLine="0" w:firstLineChars="0"/>
        <w:rPr>
          <w:rFonts w:cs="宋体"/>
          <w:color w:val="auto"/>
          <w:highlight w:val="none"/>
        </w:rPr>
      </w:pPr>
    </w:p>
    <w:p w14:paraId="001CB7A2">
      <w:pPr>
        <w:pStyle w:val="23"/>
        <w:ind w:firstLine="0" w:firstLineChars="0"/>
        <w:rPr>
          <w:rFonts w:cs="宋体"/>
          <w:color w:val="auto"/>
          <w:highlight w:val="none"/>
        </w:rPr>
      </w:pPr>
    </w:p>
    <w:p w14:paraId="60B9DDDA">
      <w:pPr>
        <w:pStyle w:val="23"/>
        <w:ind w:firstLine="0" w:firstLineChars="0"/>
        <w:rPr>
          <w:rFonts w:cs="宋体"/>
          <w:color w:val="auto"/>
          <w:highlight w:val="none"/>
        </w:rPr>
      </w:pPr>
    </w:p>
    <w:p w14:paraId="5755E0E1">
      <w:pPr>
        <w:pStyle w:val="23"/>
        <w:ind w:firstLine="0" w:firstLineChars="0"/>
        <w:rPr>
          <w:rFonts w:cs="宋体"/>
          <w:color w:val="auto"/>
          <w:highlight w:val="none"/>
        </w:rPr>
      </w:pPr>
    </w:p>
    <w:p w14:paraId="423E085B">
      <w:pPr>
        <w:pStyle w:val="23"/>
        <w:ind w:firstLine="0" w:firstLineChars="0"/>
        <w:rPr>
          <w:rFonts w:cs="宋体"/>
          <w:color w:val="auto"/>
          <w:highlight w:val="none"/>
        </w:rPr>
      </w:pPr>
    </w:p>
    <w:p w14:paraId="59B654CC">
      <w:pPr>
        <w:pStyle w:val="23"/>
        <w:ind w:firstLine="0" w:firstLineChars="0"/>
        <w:rPr>
          <w:rFonts w:cs="宋体"/>
          <w:color w:val="auto"/>
          <w:highlight w:val="none"/>
        </w:rPr>
      </w:pPr>
    </w:p>
    <w:p w14:paraId="2C4E159F">
      <w:pPr>
        <w:pStyle w:val="23"/>
        <w:ind w:firstLine="0" w:firstLineChars="0"/>
        <w:rPr>
          <w:rFonts w:cs="宋体"/>
          <w:color w:val="auto"/>
          <w:highlight w:val="none"/>
        </w:rPr>
      </w:pPr>
    </w:p>
    <w:p w14:paraId="12D27786">
      <w:pPr>
        <w:pStyle w:val="23"/>
        <w:ind w:firstLine="0" w:firstLineChars="0"/>
        <w:rPr>
          <w:rFonts w:cs="宋体"/>
          <w:color w:val="auto"/>
          <w:highlight w:val="none"/>
        </w:rPr>
      </w:pPr>
    </w:p>
    <w:p w14:paraId="70B6D3D3">
      <w:pPr>
        <w:pStyle w:val="23"/>
        <w:ind w:firstLine="0" w:firstLineChars="0"/>
        <w:rPr>
          <w:rFonts w:cs="宋体"/>
          <w:color w:val="auto"/>
          <w:highlight w:val="none"/>
        </w:rPr>
      </w:pPr>
    </w:p>
    <w:p w14:paraId="0C073F77">
      <w:pPr>
        <w:pStyle w:val="23"/>
        <w:ind w:firstLine="0" w:firstLineChars="0"/>
        <w:rPr>
          <w:rFonts w:cs="宋体"/>
          <w:color w:val="auto"/>
          <w:highlight w:val="none"/>
        </w:rPr>
      </w:pPr>
    </w:p>
    <w:p w14:paraId="320235A8">
      <w:pPr>
        <w:pStyle w:val="23"/>
        <w:ind w:firstLine="0" w:firstLineChars="0"/>
        <w:rPr>
          <w:rFonts w:cs="宋体"/>
          <w:color w:val="auto"/>
          <w:highlight w:val="none"/>
        </w:rPr>
      </w:pPr>
    </w:p>
    <w:p w14:paraId="292F9A15">
      <w:pPr>
        <w:pStyle w:val="23"/>
        <w:ind w:firstLine="0" w:firstLineChars="0"/>
        <w:rPr>
          <w:rFonts w:cs="宋体"/>
          <w:color w:val="auto"/>
          <w:highlight w:val="none"/>
        </w:rPr>
      </w:pPr>
      <w:r>
        <w:rPr>
          <w:color w:val="auto"/>
          <w:highlight w:val="none"/>
        </w:rPr>
        <w:drawing>
          <wp:anchor distT="0" distB="0" distL="114300" distR="114300" simplePos="0" relativeHeight="251678720" behindDoc="1" locked="0" layoutInCell="1" allowOverlap="1">
            <wp:simplePos x="0" y="0"/>
            <wp:positionH relativeFrom="column">
              <wp:posOffset>76200</wp:posOffset>
            </wp:positionH>
            <wp:positionV relativeFrom="paragraph">
              <wp:posOffset>129540</wp:posOffset>
            </wp:positionV>
            <wp:extent cx="5269230" cy="7401560"/>
            <wp:effectExtent l="0" t="0" r="7620" b="8890"/>
            <wp:wrapNone/>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59"/>
                    <a:stretch>
                      <a:fillRect/>
                    </a:stretch>
                  </pic:blipFill>
                  <pic:spPr>
                    <a:xfrm>
                      <a:off x="0" y="0"/>
                      <a:ext cx="5269230" cy="7401560"/>
                    </a:xfrm>
                    <a:prstGeom prst="rect">
                      <a:avLst/>
                    </a:prstGeom>
                    <a:noFill/>
                    <a:ln>
                      <a:noFill/>
                    </a:ln>
                  </pic:spPr>
                </pic:pic>
              </a:graphicData>
            </a:graphic>
          </wp:anchor>
        </w:drawing>
      </w:r>
    </w:p>
    <w:p w14:paraId="50650489">
      <w:pPr>
        <w:pStyle w:val="23"/>
        <w:ind w:firstLine="0" w:firstLineChars="0"/>
        <w:rPr>
          <w:rFonts w:cs="宋体"/>
          <w:color w:val="auto"/>
          <w:highlight w:val="none"/>
        </w:rPr>
      </w:pPr>
    </w:p>
    <w:p w14:paraId="0356095A">
      <w:pPr>
        <w:pStyle w:val="23"/>
        <w:ind w:firstLine="0" w:firstLineChars="0"/>
        <w:rPr>
          <w:rFonts w:cs="宋体"/>
          <w:color w:val="auto"/>
          <w:highlight w:val="none"/>
        </w:rPr>
      </w:pPr>
    </w:p>
    <w:p w14:paraId="5BCAA921">
      <w:pPr>
        <w:pStyle w:val="23"/>
        <w:ind w:firstLine="0" w:firstLineChars="0"/>
        <w:rPr>
          <w:rFonts w:cs="宋体"/>
          <w:color w:val="auto"/>
          <w:highlight w:val="none"/>
        </w:rPr>
      </w:pPr>
    </w:p>
    <w:p w14:paraId="2A327DF3">
      <w:pPr>
        <w:pStyle w:val="23"/>
        <w:ind w:firstLine="0" w:firstLineChars="0"/>
        <w:rPr>
          <w:rFonts w:cs="宋体"/>
          <w:color w:val="auto"/>
          <w:highlight w:val="none"/>
        </w:rPr>
      </w:pPr>
    </w:p>
    <w:p w14:paraId="7C60B0D3">
      <w:pPr>
        <w:pStyle w:val="23"/>
        <w:ind w:firstLine="0" w:firstLineChars="0"/>
        <w:rPr>
          <w:rFonts w:cs="宋体"/>
          <w:color w:val="auto"/>
          <w:highlight w:val="none"/>
        </w:rPr>
      </w:pPr>
    </w:p>
    <w:p w14:paraId="7D9A1726">
      <w:pPr>
        <w:pStyle w:val="23"/>
        <w:ind w:firstLine="0" w:firstLineChars="0"/>
        <w:rPr>
          <w:rFonts w:cs="宋体"/>
          <w:color w:val="auto"/>
          <w:highlight w:val="none"/>
        </w:rPr>
      </w:pPr>
    </w:p>
    <w:p w14:paraId="46767BD2">
      <w:pPr>
        <w:pStyle w:val="23"/>
        <w:ind w:firstLine="0" w:firstLineChars="0"/>
        <w:rPr>
          <w:rFonts w:cs="宋体"/>
          <w:color w:val="auto"/>
          <w:highlight w:val="none"/>
        </w:rPr>
      </w:pPr>
    </w:p>
    <w:p w14:paraId="3E041666">
      <w:pPr>
        <w:pStyle w:val="23"/>
        <w:ind w:firstLine="0" w:firstLineChars="0"/>
        <w:rPr>
          <w:rFonts w:cs="宋体"/>
          <w:color w:val="auto"/>
          <w:highlight w:val="none"/>
        </w:rPr>
      </w:pPr>
    </w:p>
    <w:p w14:paraId="5ED13F79">
      <w:pPr>
        <w:pStyle w:val="23"/>
        <w:ind w:firstLine="0" w:firstLineChars="0"/>
        <w:rPr>
          <w:rFonts w:cs="宋体"/>
          <w:color w:val="auto"/>
          <w:highlight w:val="none"/>
        </w:rPr>
      </w:pPr>
    </w:p>
    <w:p w14:paraId="55535813">
      <w:pPr>
        <w:pStyle w:val="23"/>
        <w:ind w:firstLine="0" w:firstLineChars="0"/>
        <w:rPr>
          <w:rFonts w:cs="宋体"/>
          <w:color w:val="auto"/>
          <w:highlight w:val="none"/>
        </w:rPr>
      </w:pPr>
    </w:p>
    <w:p w14:paraId="7993B149">
      <w:pPr>
        <w:pStyle w:val="23"/>
        <w:ind w:firstLine="0" w:firstLineChars="0"/>
        <w:rPr>
          <w:rFonts w:cs="宋体"/>
          <w:color w:val="auto"/>
          <w:highlight w:val="none"/>
        </w:rPr>
      </w:pPr>
    </w:p>
    <w:p w14:paraId="2DBC7CE2">
      <w:pPr>
        <w:pStyle w:val="23"/>
        <w:ind w:firstLine="0" w:firstLineChars="0"/>
        <w:rPr>
          <w:rFonts w:cs="宋体"/>
          <w:color w:val="auto"/>
          <w:highlight w:val="none"/>
        </w:rPr>
      </w:pPr>
    </w:p>
    <w:p w14:paraId="4B814E15">
      <w:pPr>
        <w:pStyle w:val="23"/>
        <w:ind w:firstLine="0" w:firstLineChars="0"/>
        <w:rPr>
          <w:rFonts w:cs="宋体"/>
          <w:color w:val="auto"/>
          <w:highlight w:val="none"/>
        </w:rPr>
      </w:pPr>
    </w:p>
    <w:p w14:paraId="18457275">
      <w:pPr>
        <w:pStyle w:val="23"/>
        <w:ind w:firstLine="0" w:firstLineChars="0"/>
        <w:rPr>
          <w:rFonts w:cs="宋体"/>
          <w:color w:val="auto"/>
          <w:highlight w:val="none"/>
        </w:rPr>
      </w:pPr>
    </w:p>
    <w:p w14:paraId="4393FF6E">
      <w:pPr>
        <w:pStyle w:val="23"/>
        <w:ind w:firstLine="0" w:firstLineChars="0"/>
        <w:rPr>
          <w:rFonts w:cs="宋体"/>
          <w:color w:val="auto"/>
          <w:highlight w:val="none"/>
        </w:rPr>
      </w:pPr>
    </w:p>
    <w:p w14:paraId="40063D7C">
      <w:pPr>
        <w:pStyle w:val="23"/>
        <w:ind w:firstLine="0" w:firstLineChars="0"/>
        <w:rPr>
          <w:rFonts w:cs="宋体"/>
          <w:color w:val="auto"/>
          <w:highlight w:val="none"/>
        </w:rPr>
      </w:pPr>
    </w:p>
    <w:p w14:paraId="697C1316">
      <w:pPr>
        <w:pStyle w:val="23"/>
        <w:ind w:firstLine="0" w:firstLineChars="0"/>
        <w:rPr>
          <w:rFonts w:cs="宋体"/>
          <w:color w:val="auto"/>
          <w:highlight w:val="none"/>
        </w:rPr>
      </w:pPr>
    </w:p>
    <w:p w14:paraId="2A53A644">
      <w:pPr>
        <w:pStyle w:val="23"/>
        <w:ind w:firstLine="0" w:firstLineChars="0"/>
        <w:rPr>
          <w:rFonts w:cs="宋体"/>
          <w:color w:val="auto"/>
          <w:highlight w:val="none"/>
        </w:rPr>
      </w:pPr>
    </w:p>
    <w:p w14:paraId="09F71F5A">
      <w:pPr>
        <w:pStyle w:val="23"/>
        <w:ind w:firstLine="0" w:firstLineChars="0"/>
        <w:rPr>
          <w:rFonts w:cs="宋体"/>
          <w:color w:val="auto"/>
          <w:highlight w:val="none"/>
        </w:rPr>
      </w:pPr>
    </w:p>
    <w:p w14:paraId="7B5E13AC">
      <w:pPr>
        <w:pStyle w:val="23"/>
        <w:ind w:firstLine="0" w:firstLineChars="0"/>
        <w:rPr>
          <w:rFonts w:cs="宋体"/>
          <w:color w:val="auto"/>
          <w:highlight w:val="none"/>
        </w:rPr>
      </w:pPr>
    </w:p>
    <w:p w14:paraId="0AB30D17">
      <w:pPr>
        <w:pStyle w:val="23"/>
        <w:ind w:firstLine="0" w:firstLineChars="0"/>
        <w:rPr>
          <w:rFonts w:cs="宋体"/>
          <w:color w:val="auto"/>
          <w:highlight w:val="none"/>
        </w:rPr>
      </w:pPr>
    </w:p>
    <w:p w14:paraId="767C56F8">
      <w:pPr>
        <w:pStyle w:val="23"/>
        <w:ind w:firstLine="0" w:firstLineChars="0"/>
        <w:rPr>
          <w:rFonts w:cs="宋体"/>
          <w:color w:val="auto"/>
          <w:highlight w:val="none"/>
        </w:rPr>
      </w:pPr>
    </w:p>
    <w:p w14:paraId="5AAA19AA">
      <w:pPr>
        <w:pStyle w:val="23"/>
        <w:ind w:firstLine="0" w:firstLineChars="0"/>
        <w:rPr>
          <w:rFonts w:cs="宋体"/>
          <w:color w:val="auto"/>
          <w:highlight w:val="none"/>
        </w:rPr>
      </w:pPr>
    </w:p>
    <w:p w14:paraId="266FFA67">
      <w:pPr>
        <w:pStyle w:val="23"/>
        <w:ind w:firstLine="0" w:firstLineChars="0"/>
        <w:rPr>
          <w:rFonts w:cs="宋体"/>
          <w:color w:val="auto"/>
          <w:highlight w:val="none"/>
        </w:rPr>
      </w:pPr>
    </w:p>
    <w:p w14:paraId="76AAAD02">
      <w:pPr>
        <w:pStyle w:val="23"/>
        <w:ind w:firstLine="0" w:firstLineChars="0"/>
        <w:rPr>
          <w:rFonts w:cs="宋体"/>
          <w:color w:val="auto"/>
          <w:highlight w:val="none"/>
        </w:rPr>
      </w:pPr>
    </w:p>
    <w:p w14:paraId="5DBA254A">
      <w:pPr>
        <w:pStyle w:val="23"/>
        <w:ind w:firstLine="0" w:firstLineChars="0"/>
        <w:rPr>
          <w:rFonts w:cs="宋体"/>
          <w:color w:val="auto"/>
          <w:highlight w:val="none"/>
        </w:rPr>
      </w:pPr>
    </w:p>
    <w:p w14:paraId="16623873">
      <w:pPr>
        <w:pStyle w:val="23"/>
        <w:ind w:firstLine="0" w:firstLineChars="0"/>
        <w:rPr>
          <w:rFonts w:cs="宋体"/>
          <w:color w:val="auto"/>
          <w:highlight w:val="none"/>
        </w:rPr>
      </w:pPr>
    </w:p>
    <w:p w14:paraId="5FE3B212">
      <w:pPr>
        <w:pStyle w:val="23"/>
        <w:ind w:firstLine="0" w:firstLineChars="0"/>
        <w:rPr>
          <w:rFonts w:cs="宋体"/>
          <w:color w:val="auto"/>
          <w:highlight w:val="none"/>
        </w:rPr>
      </w:pPr>
      <w:r>
        <w:rPr>
          <w:color w:val="auto"/>
          <w:highlight w:val="none"/>
        </w:rPr>
        <w:drawing>
          <wp:anchor distT="0" distB="0" distL="114300" distR="114300" simplePos="0" relativeHeight="251679744" behindDoc="1" locked="0" layoutInCell="1" allowOverlap="1">
            <wp:simplePos x="0" y="0"/>
            <wp:positionH relativeFrom="column">
              <wp:posOffset>66675</wp:posOffset>
            </wp:positionH>
            <wp:positionV relativeFrom="paragraph">
              <wp:posOffset>234315</wp:posOffset>
            </wp:positionV>
            <wp:extent cx="5269865" cy="7500620"/>
            <wp:effectExtent l="0" t="0" r="6985" b="5080"/>
            <wp:wrapNone/>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60"/>
                    <a:stretch>
                      <a:fillRect/>
                    </a:stretch>
                  </pic:blipFill>
                  <pic:spPr>
                    <a:xfrm>
                      <a:off x="0" y="0"/>
                      <a:ext cx="5269865" cy="7500620"/>
                    </a:xfrm>
                    <a:prstGeom prst="rect">
                      <a:avLst/>
                    </a:prstGeom>
                    <a:noFill/>
                    <a:ln>
                      <a:noFill/>
                    </a:ln>
                  </pic:spPr>
                </pic:pic>
              </a:graphicData>
            </a:graphic>
          </wp:anchor>
        </w:drawing>
      </w:r>
    </w:p>
    <w:p w14:paraId="6CEE327F">
      <w:pPr>
        <w:pStyle w:val="23"/>
        <w:ind w:firstLine="0" w:firstLineChars="0"/>
        <w:rPr>
          <w:rFonts w:cs="宋体"/>
          <w:color w:val="auto"/>
          <w:highlight w:val="none"/>
        </w:rPr>
      </w:pPr>
    </w:p>
    <w:p w14:paraId="6A617FC0">
      <w:pPr>
        <w:pStyle w:val="23"/>
        <w:ind w:firstLine="0" w:firstLineChars="0"/>
        <w:rPr>
          <w:rFonts w:cs="宋体"/>
          <w:color w:val="auto"/>
          <w:highlight w:val="none"/>
        </w:rPr>
      </w:pPr>
    </w:p>
    <w:p w14:paraId="462D3BC8">
      <w:pPr>
        <w:pStyle w:val="23"/>
        <w:ind w:firstLine="0" w:firstLineChars="0"/>
        <w:rPr>
          <w:rFonts w:cs="宋体"/>
          <w:color w:val="auto"/>
          <w:highlight w:val="none"/>
        </w:rPr>
      </w:pPr>
    </w:p>
    <w:p w14:paraId="3490B04D">
      <w:pPr>
        <w:pStyle w:val="23"/>
        <w:ind w:firstLine="0" w:firstLineChars="0"/>
        <w:rPr>
          <w:rFonts w:cs="宋体"/>
          <w:color w:val="auto"/>
          <w:highlight w:val="none"/>
        </w:rPr>
      </w:pPr>
    </w:p>
    <w:p w14:paraId="42CC43C4">
      <w:pPr>
        <w:pStyle w:val="23"/>
        <w:ind w:firstLine="0" w:firstLineChars="0"/>
        <w:rPr>
          <w:rFonts w:cs="宋体"/>
          <w:color w:val="auto"/>
          <w:highlight w:val="none"/>
        </w:rPr>
      </w:pPr>
    </w:p>
    <w:p w14:paraId="6A2345D8">
      <w:pPr>
        <w:pStyle w:val="23"/>
        <w:ind w:firstLine="0" w:firstLineChars="0"/>
        <w:rPr>
          <w:rFonts w:cs="宋体"/>
          <w:color w:val="auto"/>
          <w:highlight w:val="none"/>
        </w:rPr>
      </w:pPr>
    </w:p>
    <w:p w14:paraId="25DC2467">
      <w:pPr>
        <w:pStyle w:val="23"/>
        <w:ind w:firstLine="0" w:firstLineChars="0"/>
        <w:rPr>
          <w:rFonts w:cs="宋体"/>
          <w:color w:val="auto"/>
          <w:highlight w:val="none"/>
        </w:rPr>
      </w:pPr>
    </w:p>
    <w:p w14:paraId="1BE9DDF8">
      <w:pPr>
        <w:pStyle w:val="23"/>
        <w:ind w:firstLine="0" w:firstLineChars="0"/>
        <w:rPr>
          <w:rFonts w:cs="宋体"/>
          <w:color w:val="auto"/>
          <w:highlight w:val="none"/>
        </w:rPr>
      </w:pPr>
    </w:p>
    <w:p w14:paraId="22738531">
      <w:pPr>
        <w:pStyle w:val="23"/>
        <w:ind w:firstLine="0" w:firstLineChars="0"/>
        <w:rPr>
          <w:rFonts w:cs="宋体"/>
          <w:color w:val="auto"/>
          <w:highlight w:val="none"/>
        </w:rPr>
      </w:pPr>
    </w:p>
    <w:p w14:paraId="2D0FC9DA">
      <w:pPr>
        <w:pStyle w:val="23"/>
        <w:ind w:firstLine="0" w:firstLineChars="0"/>
        <w:rPr>
          <w:rFonts w:cs="宋体"/>
          <w:color w:val="auto"/>
          <w:highlight w:val="none"/>
        </w:rPr>
      </w:pPr>
    </w:p>
    <w:p w14:paraId="49823CC0">
      <w:pPr>
        <w:pStyle w:val="23"/>
        <w:ind w:firstLine="0" w:firstLineChars="0"/>
        <w:rPr>
          <w:rFonts w:cs="宋体"/>
          <w:color w:val="auto"/>
          <w:highlight w:val="none"/>
        </w:rPr>
      </w:pPr>
    </w:p>
    <w:p w14:paraId="7A6E0944">
      <w:pPr>
        <w:pStyle w:val="23"/>
        <w:ind w:firstLine="0" w:firstLineChars="0"/>
        <w:rPr>
          <w:rFonts w:cs="宋体"/>
          <w:color w:val="auto"/>
          <w:highlight w:val="none"/>
        </w:rPr>
      </w:pPr>
    </w:p>
    <w:p w14:paraId="2E273323">
      <w:pPr>
        <w:pStyle w:val="23"/>
        <w:ind w:firstLine="0" w:firstLineChars="0"/>
        <w:rPr>
          <w:rFonts w:cs="宋体"/>
          <w:color w:val="auto"/>
          <w:highlight w:val="none"/>
        </w:rPr>
      </w:pPr>
    </w:p>
    <w:p w14:paraId="13D89BD2">
      <w:pPr>
        <w:pStyle w:val="23"/>
        <w:ind w:firstLine="0" w:firstLineChars="0"/>
        <w:rPr>
          <w:rFonts w:cs="宋体"/>
          <w:color w:val="auto"/>
          <w:highlight w:val="none"/>
        </w:rPr>
      </w:pPr>
    </w:p>
    <w:p w14:paraId="6C981F9D">
      <w:pPr>
        <w:pStyle w:val="23"/>
        <w:ind w:firstLine="0" w:firstLineChars="0"/>
        <w:rPr>
          <w:rFonts w:cs="宋体"/>
          <w:color w:val="auto"/>
          <w:highlight w:val="none"/>
        </w:rPr>
      </w:pPr>
    </w:p>
    <w:p w14:paraId="355A73ED">
      <w:pPr>
        <w:pStyle w:val="23"/>
        <w:ind w:firstLine="0" w:firstLineChars="0"/>
        <w:rPr>
          <w:rFonts w:cs="宋体"/>
          <w:color w:val="auto"/>
          <w:highlight w:val="none"/>
        </w:rPr>
      </w:pPr>
    </w:p>
    <w:p w14:paraId="2787BAD2">
      <w:pPr>
        <w:pStyle w:val="23"/>
        <w:ind w:firstLine="0" w:firstLineChars="0"/>
        <w:rPr>
          <w:rFonts w:cs="宋体"/>
          <w:color w:val="auto"/>
          <w:highlight w:val="none"/>
        </w:rPr>
      </w:pPr>
    </w:p>
    <w:p w14:paraId="081360AB">
      <w:pPr>
        <w:pStyle w:val="23"/>
        <w:ind w:firstLine="0" w:firstLineChars="0"/>
        <w:rPr>
          <w:rFonts w:cs="宋体"/>
          <w:color w:val="auto"/>
          <w:highlight w:val="none"/>
        </w:rPr>
      </w:pPr>
    </w:p>
    <w:p w14:paraId="0F7C4B71">
      <w:pPr>
        <w:pStyle w:val="23"/>
        <w:ind w:firstLine="0" w:firstLineChars="0"/>
        <w:rPr>
          <w:rFonts w:cs="宋体"/>
          <w:color w:val="auto"/>
          <w:highlight w:val="none"/>
        </w:rPr>
      </w:pPr>
    </w:p>
    <w:p w14:paraId="5F0EB6A0">
      <w:pPr>
        <w:pStyle w:val="23"/>
        <w:ind w:firstLine="0" w:firstLineChars="0"/>
        <w:rPr>
          <w:rFonts w:cs="宋体"/>
          <w:color w:val="auto"/>
          <w:highlight w:val="none"/>
        </w:rPr>
      </w:pPr>
    </w:p>
    <w:p w14:paraId="62967579">
      <w:pPr>
        <w:pStyle w:val="23"/>
        <w:ind w:firstLine="0" w:firstLineChars="0"/>
        <w:rPr>
          <w:rFonts w:cs="宋体"/>
          <w:color w:val="auto"/>
          <w:highlight w:val="none"/>
        </w:rPr>
      </w:pPr>
    </w:p>
    <w:p w14:paraId="2F438F4C">
      <w:pPr>
        <w:pStyle w:val="23"/>
        <w:ind w:firstLine="0" w:firstLineChars="0"/>
        <w:rPr>
          <w:rFonts w:cs="宋体"/>
          <w:color w:val="auto"/>
          <w:highlight w:val="none"/>
        </w:rPr>
      </w:pPr>
    </w:p>
    <w:p w14:paraId="562FCB59">
      <w:pPr>
        <w:pStyle w:val="23"/>
        <w:ind w:firstLine="0" w:firstLineChars="0"/>
        <w:rPr>
          <w:rFonts w:cs="宋体"/>
          <w:color w:val="auto"/>
          <w:highlight w:val="none"/>
        </w:rPr>
      </w:pPr>
    </w:p>
    <w:p w14:paraId="4B5ABA98">
      <w:pPr>
        <w:pStyle w:val="23"/>
        <w:ind w:firstLine="0" w:firstLineChars="0"/>
        <w:rPr>
          <w:rFonts w:cs="宋体"/>
          <w:color w:val="auto"/>
          <w:highlight w:val="none"/>
        </w:rPr>
      </w:pPr>
    </w:p>
    <w:p w14:paraId="4308FB47">
      <w:pPr>
        <w:pStyle w:val="23"/>
        <w:ind w:firstLine="0" w:firstLineChars="0"/>
        <w:rPr>
          <w:rFonts w:cs="宋体"/>
          <w:color w:val="auto"/>
          <w:highlight w:val="none"/>
        </w:rPr>
      </w:pPr>
    </w:p>
    <w:p w14:paraId="5391BA27">
      <w:pPr>
        <w:pStyle w:val="23"/>
        <w:ind w:firstLine="0" w:firstLineChars="0"/>
        <w:rPr>
          <w:rFonts w:cs="宋体"/>
          <w:color w:val="auto"/>
          <w:highlight w:val="none"/>
        </w:rPr>
      </w:pPr>
    </w:p>
    <w:p w14:paraId="587C5184">
      <w:pPr>
        <w:pStyle w:val="23"/>
        <w:ind w:firstLine="0" w:firstLineChars="0"/>
        <w:rPr>
          <w:rFonts w:cs="宋体"/>
          <w:color w:val="auto"/>
          <w:highlight w:val="none"/>
        </w:rPr>
      </w:pPr>
    </w:p>
    <w:p w14:paraId="0A384686">
      <w:pPr>
        <w:pStyle w:val="23"/>
        <w:ind w:firstLine="0" w:firstLineChars="0"/>
        <w:rPr>
          <w:rFonts w:cs="宋体"/>
          <w:color w:val="auto"/>
          <w:highlight w:val="none"/>
        </w:rPr>
      </w:pPr>
      <w:r>
        <w:rPr>
          <w:color w:val="auto"/>
          <w:highlight w:val="none"/>
        </w:rPr>
        <w:drawing>
          <wp:anchor distT="0" distB="0" distL="114300" distR="114300" simplePos="0" relativeHeight="251680768" behindDoc="1" locked="0" layoutInCell="1" allowOverlap="1">
            <wp:simplePos x="0" y="0"/>
            <wp:positionH relativeFrom="column">
              <wp:posOffset>47625</wp:posOffset>
            </wp:positionH>
            <wp:positionV relativeFrom="paragraph">
              <wp:posOffset>-80010</wp:posOffset>
            </wp:positionV>
            <wp:extent cx="5219700" cy="7629525"/>
            <wp:effectExtent l="0" t="0" r="0" b="0"/>
            <wp:wrapNone/>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61"/>
                    <a:stretch>
                      <a:fillRect/>
                    </a:stretch>
                  </pic:blipFill>
                  <pic:spPr>
                    <a:xfrm>
                      <a:off x="0" y="0"/>
                      <a:ext cx="5219700" cy="7629525"/>
                    </a:xfrm>
                    <a:prstGeom prst="rect">
                      <a:avLst/>
                    </a:prstGeom>
                    <a:noFill/>
                    <a:ln>
                      <a:noFill/>
                    </a:ln>
                  </pic:spPr>
                </pic:pic>
              </a:graphicData>
            </a:graphic>
          </wp:anchor>
        </w:drawing>
      </w:r>
    </w:p>
    <w:p w14:paraId="2928AB87">
      <w:pPr>
        <w:pStyle w:val="23"/>
        <w:ind w:firstLine="0" w:firstLineChars="0"/>
        <w:rPr>
          <w:rFonts w:cs="宋体"/>
          <w:color w:val="auto"/>
          <w:highlight w:val="none"/>
        </w:rPr>
      </w:pPr>
    </w:p>
    <w:p w14:paraId="4C1FED48">
      <w:pPr>
        <w:pStyle w:val="23"/>
        <w:ind w:firstLine="0" w:firstLineChars="0"/>
        <w:rPr>
          <w:rFonts w:cs="宋体"/>
          <w:color w:val="auto"/>
          <w:highlight w:val="none"/>
        </w:rPr>
      </w:pPr>
    </w:p>
    <w:p w14:paraId="5B286199">
      <w:pPr>
        <w:pStyle w:val="23"/>
        <w:ind w:firstLine="0" w:firstLineChars="0"/>
        <w:rPr>
          <w:rFonts w:cs="宋体"/>
          <w:color w:val="auto"/>
          <w:highlight w:val="none"/>
        </w:rPr>
      </w:pPr>
    </w:p>
    <w:p w14:paraId="4B865A54">
      <w:pPr>
        <w:pStyle w:val="23"/>
        <w:ind w:firstLine="0" w:firstLineChars="0"/>
        <w:rPr>
          <w:rFonts w:cs="宋体"/>
          <w:color w:val="auto"/>
          <w:highlight w:val="none"/>
        </w:rPr>
      </w:pPr>
    </w:p>
    <w:p w14:paraId="791C7ABD">
      <w:pPr>
        <w:pStyle w:val="23"/>
        <w:ind w:firstLine="0" w:firstLineChars="0"/>
        <w:rPr>
          <w:rFonts w:cs="宋体"/>
          <w:color w:val="auto"/>
          <w:highlight w:val="none"/>
        </w:rPr>
      </w:pPr>
    </w:p>
    <w:p w14:paraId="14AD9FD3">
      <w:pPr>
        <w:pStyle w:val="23"/>
        <w:ind w:firstLine="0" w:firstLineChars="0"/>
        <w:rPr>
          <w:rFonts w:cs="宋体"/>
          <w:color w:val="auto"/>
          <w:highlight w:val="none"/>
        </w:rPr>
      </w:pPr>
    </w:p>
    <w:p w14:paraId="170ADC0F">
      <w:pPr>
        <w:pStyle w:val="23"/>
        <w:ind w:firstLine="0" w:firstLineChars="0"/>
        <w:rPr>
          <w:rFonts w:cs="宋体"/>
          <w:color w:val="auto"/>
          <w:highlight w:val="none"/>
        </w:rPr>
      </w:pPr>
    </w:p>
    <w:p w14:paraId="06284196">
      <w:pPr>
        <w:pStyle w:val="23"/>
        <w:ind w:firstLine="0" w:firstLineChars="0"/>
        <w:rPr>
          <w:rFonts w:cs="宋体"/>
          <w:color w:val="auto"/>
          <w:highlight w:val="none"/>
        </w:rPr>
      </w:pPr>
    </w:p>
    <w:p w14:paraId="4AFC4D92">
      <w:pPr>
        <w:pStyle w:val="23"/>
        <w:ind w:firstLine="0" w:firstLineChars="0"/>
        <w:rPr>
          <w:rFonts w:cs="宋体"/>
          <w:color w:val="auto"/>
          <w:highlight w:val="none"/>
        </w:rPr>
      </w:pPr>
    </w:p>
    <w:p w14:paraId="42A36614">
      <w:pPr>
        <w:pStyle w:val="23"/>
        <w:ind w:firstLine="0" w:firstLineChars="0"/>
        <w:rPr>
          <w:rFonts w:cs="宋体"/>
          <w:color w:val="auto"/>
          <w:highlight w:val="none"/>
        </w:rPr>
      </w:pPr>
    </w:p>
    <w:p w14:paraId="3C58267D">
      <w:pPr>
        <w:pStyle w:val="23"/>
        <w:ind w:firstLine="0" w:firstLineChars="0"/>
        <w:rPr>
          <w:rFonts w:cs="宋体"/>
          <w:color w:val="auto"/>
          <w:highlight w:val="none"/>
        </w:rPr>
      </w:pPr>
    </w:p>
    <w:p w14:paraId="2E306C15">
      <w:pPr>
        <w:pStyle w:val="23"/>
        <w:ind w:firstLine="0" w:firstLineChars="0"/>
        <w:rPr>
          <w:rFonts w:cs="宋体"/>
          <w:color w:val="auto"/>
          <w:highlight w:val="none"/>
        </w:rPr>
      </w:pPr>
    </w:p>
    <w:p w14:paraId="6CFE9FBD">
      <w:pPr>
        <w:pStyle w:val="23"/>
        <w:ind w:firstLine="0" w:firstLineChars="0"/>
        <w:rPr>
          <w:rFonts w:cs="宋体"/>
          <w:color w:val="auto"/>
          <w:highlight w:val="none"/>
        </w:rPr>
      </w:pPr>
    </w:p>
    <w:p w14:paraId="2B314AEC">
      <w:pPr>
        <w:pStyle w:val="23"/>
        <w:ind w:firstLine="0" w:firstLineChars="0"/>
        <w:rPr>
          <w:rFonts w:cs="宋体"/>
          <w:color w:val="auto"/>
          <w:highlight w:val="none"/>
        </w:rPr>
      </w:pPr>
    </w:p>
    <w:p w14:paraId="7713AF62">
      <w:pPr>
        <w:pStyle w:val="23"/>
        <w:ind w:firstLine="0" w:firstLineChars="0"/>
        <w:rPr>
          <w:rFonts w:cs="宋体"/>
          <w:color w:val="auto"/>
          <w:highlight w:val="none"/>
        </w:rPr>
      </w:pPr>
    </w:p>
    <w:p w14:paraId="4898B13A">
      <w:pPr>
        <w:pStyle w:val="23"/>
        <w:ind w:firstLine="0" w:firstLineChars="0"/>
        <w:rPr>
          <w:rFonts w:cs="宋体"/>
          <w:color w:val="auto"/>
          <w:highlight w:val="none"/>
        </w:rPr>
      </w:pPr>
    </w:p>
    <w:p w14:paraId="63F8B0B1">
      <w:pPr>
        <w:pStyle w:val="23"/>
        <w:ind w:firstLine="0" w:firstLineChars="0"/>
        <w:rPr>
          <w:rFonts w:cs="宋体"/>
          <w:color w:val="auto"/>
          <w:highlight w:val="none"/>
        </w:rPr>
      </w:pPr>
    </w:p>
    <w:p w14:paraId="081F648D">
      <w:pPr>
        <w:pStyle w:val="23"/>
        <w:ind w:firstLine="0" w:firstLineChars="0"/>
        <w:rPr>
          <w:rFonts w:cs="宋体"/>
          <w:color w:val="auto"/>
          <w:highlight w:val="none"/>
        </w:rPr>
      </w:pPr>
    </w:p>
    <w:p w14:paraId="1B0E18E4">
      <w:pPr>
        <w:pStyle w:val="23"/>
        <w:ind w:firstLine="0" w:firstLineChars="0"/>
        <w:rPr>
          <w:rFonts w:cs="宋体"/>
          <w:color w:val="auto"/>
          <w:highlight w:val="none"/>
        </w:rPr>
      </w:pPr>
    </w:p>
    <w:p w14:paraId="7DF7939E">
      <w:pPr>
        <w:pStyle w:val="23"/>
        <w:ind w:firstLine="0" w:firstLineChars="0"/>
        <w:rPr>
          <w:rFonts w:cs="宋体"/>
          <w:color w:val="auto"/>
          <w:highlight w:val="none"/>
        </w:rPr>
      </w:pPr>
    </w:p>
    <w:p w14:paraId="576C19F2">
      <w:pPr>
        <w:pStyle w:val="23"/>
        <w:ind w:firstLine="0" w:firstLineChars="0"/>
        <w:rPr>
          <w:rFonts w:cs="宋体"/>
          <w:color w:val="auto"/>
          <w:highlight w:val="none"/>
        </w:rPr>
      </w:pPr>
    </w:p>
    <w:p w14:paraId="2951E276">
      <w:pPr>
        <w:pStyle w:val="23"/>
        <w:ind w:firstLine="0" w:firstLineChars="0"/>
        <w:rPr>
          <w:rFonts w:cs="宋体"/>
          <w:color w:val="auto"/>
          <w:highlight w:val="none"/>
        </w:rPr>
      </w:pPr>
    </w:p>
    <w:p w14:paraId="67056D8F">
      <w:pPr>
        <w:pStyle w:val="23"/>
        <w:ind w:firstLine="0" w:firstLineChars="0"/>
        <w:rPr>
          <w:rFonts w:cs="宋体"/>
          <w:color w:val="auto"/>
          <w:highlight w:val="none"/>
        </w:rPr>
      </w:pPr>
    </w:p>
    <w:p w14:paraId="3016D38C">
      <w:pPr>
        <w:pStyle w:val="23"/>
        <w:ind w:firstLine="0" w:firstLineChars="0"/>
        <w:rPr>
          <w:rFonts w:cs="宋体"/>
          <w:color w:val="auto"/>
          <w:highlight w:val="none"/>
        </w:rPr>
      </w:pPr>
    </w:p>
    <w:p w14:paraId="154F2380">
      <w:pPr>
        <w:pStyle w:val="23"/>
        <w:ind w:firstLine="0" w:firstLineChars="0"/>
        <w:rPr>
          <w:rFonts w:cs="宋体"/>
          <w:color w:val="auto"/>
          <w:highlight w:val="none"/>
        </w:rPr>
      </w:pPr>
    </w:p>
    <w:p w14:paraId="7BCE7F39">
      <w:pPr>
        <w:pStyle w:val="23"/>
        <w:ind w:firstLine="0" w:firstLineChars="0"/>
        <w:rPr>
          <w:rFonts w:cs="宋体"/>
          <w:color w:val="auto"/>
          <w:highlight w:val="none"/>
        </w:rPr>
      </w:pPr>
    </w:p>
    <w:p w14:paraId="2D946F42">
      <w:pPr>
        <w:pStyle w:val="23"/>
        <w:ind w:firstLine="0" w:firstLineChars="0"/>
        <w:rPr>
          <w:rFonts w:cs="宋体"/>
          <w:color w:val="auto"/>
          <w:highlight w:val="none"/>
        </w:rPr>
      </w:pPr>
    </w:p>
    <w:p w14:paraId="742EB077">
      <w:pPr>
        <w:pStyle w:val="23"/>
        <w:ind w:firstLine="0" w:firstLineChars="0"/>
        <w:rPr>
          <w:rFonts w:cs="宋体"/>
          <w:color w:val="auto"/>
          <w:highlight w:val="none"/>
        </w:rPr>
      </w:pPr>
      <w:r>
        <w:rPr>
          <w:color w:val="auto"/>
          <w:highlight w:val="none"/>
        </w:rPr>
        <w:drawing>
          <wp:anchor distT="0" distB="0" distL="114300" distR="114300" simplePos="0" relativeHeight="251681792" behindDoc="1" locked="0" layoutInCell="1" allowOverlap="1">
            <wp:simplePos x="0" y="0"/>
            <wp:positionH relativeFrom="column">
              <wp:posOffset>-161925</wp:posOffset>
            </wp:positionH>
            <wp:positionV relativeFrom="paragraph">
              <wp:posOffset>-235585</wp:posOffset>
            </wp:positionV>
            <wp:extent cx="5271770" cy="7722870"/>
            <wp:effectExtent l="0" t="0" r="5080" b="1905"/>
            <wp:wrapNone/>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62"/>
                    <a:stretch>
                      <a:fillRect/>
                    </a:stretch>
                  </pic:blipFill>
                  <pic:spPr>
                    <a:xfrm>
                      <a:off x="0" y="0"/>
                      <a:ext cx="5271770" cy="7722870"/>
                    </a:xfrm>
                    <a:prstGeom prst="rect">
                      <a:avLst/>
                    </a:prstGeom>
                    <a:noFill/>
                    <a:ln>
                      <a:noFill/>
                    </a:ln>
                  </pic:spPr>
                </pic:pic>
              </a:graphicData>
            </a:graphic>
          </wp:anchor>
        </w:drawing>
      </w:r>
    </w:p>
    <w:p w14:paraId="2C042B1C">
      <w:pPr>
        <w:pStyle w:val="23"/>
        <w:ind w:firstLine="0" w:firstLineChars="0"/>
        <w:rPr>
          <w:rFonts w:cs="宋体"/>
          <w:color w:val="auto"/>
          <w:highlight w:val="none"/>
        </w:rPr>
      </w:pPr>
    </w:p>
    <w:p w14:paraId="2DE7B481">
      <w:pPr>
        <w:pStyle w:val="23"/>
        <w:ind w:firstLine="0" w:firstLineChars="0"/>
        <w:rPr>
          <w:rFonts w:cs="宋体"/>
          <w:color w:val="auto"/>
          <w:highlight w:val="none"/>
        </w:rPr>
      </w:pPr>
    </w:p>
    <w:p w14:paraId="4A241601">
      <w:pPr>
        <w:pStyle w:val="23"/>
        <w:ind w:firstLine="0" w:firstLineChars="0"/>
        <w:rPr>
          <w:rFonts w:cs="宋体"/>
          <w:color w:val="auto"/>
          <w:highlight w:val="none"/>
        </w:rPr>
      </w:pPr>
    </w:p>
    <w:p w14:paraId="74FF945F">
      <w:pPr>
        <w:pStyle w:val="23"/>
        <w:ind w:firstLine="0" w:firstLineChars="0"/>
        <w:rPr>
          <w:rFonts w:cs="宋体"/>
          <w:color w:val="auto"/>
          <w:highlight w:val="none"/>
        </w:rPr>
      </w:pPr>
    </w:p>
    <w:p w14:paraId="536B30B5">
      <w:pPr>
        <w:pStyle w:val="23"/>
        <w:ind w:firstLine="0" w:firstLineChars="0"/>
        <w:rPr>
          <w:rFonts w:cs="宋体"/>
          <w:color w:val="auto"/>
          <w:highlight w:val="none"/>
        </w:rPr>
      </w:pPr>
    </w:p>
    <w:p w14:paraId="75901A6D">
      <w:pPr>
        <w:pStyle w:val="23"/>
        <w:ind w:firstLine="0" w:firstLineChars="0"/>
        <w:rPr>
          <w:rFonts w:cs="宋体"/>
          <w:color w:val="auto"/>
          <w:highlight w:val="none"/>
        </w:rPr>
      </w:pPr>
    </w:p>
    <w:p w14:paraId="5602F551">
      <w:pPr>
        <w:pStyle w:val="23"/>
        <w:ind w:firstLine="0" w:firstLineChars="0"/>
        <w:rPr>
          <w:rFonts w:cs="宋体"/>
          <w:color w:val="auto"/>
          <w:highlight w:val="none"/>
        </w:rPr>
      </w:pPr>
    </w:p>
    <w:p w14:paraId="33A19C55">
      <w:pPr>
        <w:pStyle w:val="23"/>
        <w:ind w:firstLine="0" w:firstLineChars="0"/>
        <w:rPr>
          <w:rFonts w:cs="宋体"/>
          <w:color w:val="auto"/>
          <w:highlight w:val="none"/>
        </w:rPr>
      </w:pPr>
    </w:p>
    <w:p w14:paraId="2B781A88">
      <w:pPr>
        <w:pStyle w:val="23"/>
        <w:ind w:firstLine="0" w:firstLineChars="0"/>
        <w:rPr>
          <w:rFonts w:cs="宋体"/>
          <w:color w:val="auto"/>
          <w:highlight w:val="none"/>
        </w:rPr>
      </w:pPr>
    </w:p>
    <w:p w14:paraId="5E03DD0D">
      <w:pPr>
        <w:pStyle w:val="23"/>
        <w:ind w:firstLine="0" w:firstLineChars="0"/>
        <w:rPr>
          <w:rFonts w:cs="宋体"/>
          <w:color w:val="auto"/>
          <w:highlight w:val="none"/>
        </w:rPr>
      </w:pPr>
    </w:p>
    <w:p w14:paraId="107A92A8">
      <w:pPr>
        <w:pStyle w:val="23"/>
        <w:ind w:firstLine="0" w:firstLineChars="0"/>
        <w:rPr>
          <w:rFonts w:cs="宋体"/>
          <w:color w:val="auto"/>
          <w:highlight w:val="none"/>
        </w:rPr>
      </w:pPr>
    </w:p>
    <w:p w14:paraId="79B2346D">
      <w:pPr>
        <w:pStyle w:val="23"/>
        <w:ind w:firstLine="0" w:firstLineChars="0"/>
        <w:rPr>
          <w:rFonts w:cs="宋体"/>
          <w:color w:val="auto"/>
          <w:highlight w:val="none"/>
        </w:rPr>
      </w:pPr>
    </w:p>
    <w:p w14:paraId="2FE75A8F">
      <w:pPr>
        <w:pStyle w:val="23"/>
        <w:ind w:firstLine="0" w:firstLineChars="0"/>
        <w:rPr>
          <w:rFonts w:cs="宋体"/>
          <w:color w:val="auto"/>
          <w:highlight w:val="none"/>
        </w:rPr>
      </w:pPr>
    </w:p>
    <w:p w14:paraId="5B128649">
      <w:pPr>
        <w:pStyle w:val="23"/>
        <w:ind w:firstLine="0" w:firstLineChars="0"/>
        <w:rPr>
          <w:rFonts w:cs="宋体"/>
          <w:color w:val="auto"/>
          <w:highlight w:val="none"/>
        </w:rPr>
      </w:pPr>
    </w:p>
    <w:p w14:paraId="67336415">
      <w:pPr>
        <w:pStyle w:val="23"/>
        <w:ind w:firstLine="0" w:firstLineChars="0"/>
        <w:rPr>
          <w:rFonts w:cs="宋体"/>
          <w:color w:val="auto"/>
          <w:highlight w:val="none"/>
        </w:rPr>
      </w:pPr>
    </w:p>
    <w:p w14:paraId="7010A6C3">
      <w:pPr>
        <w:pStyle w:val="23"/>
        <w:ind w:firstLine="0" w:firstLineChars="0"/>
        <w:rPr>
          <w:rFonts w:cs="宋体"/>
          <w:color w:val="auto"/>
          <w:highlight w:val="none"/>
        </w:rPr>
      </w:pPr>
    </w:p>
    <w:p w14:paraId="45E4B688">
      <w:pPr>
        <w:pStyle w:val="23"/>
        <w:ind w:firstLine="0" w:firstLineChars="0"/>
        <w:rPr>
          <w:rFonts w:cs="宋体"/>
          <w:color w:val="auto"/>
          <w:highlight w:val="none"/>
        </w:rPr>
      </w:pPr>
    </w:p>
    <w:p w14:paraId="2D117FEC">
      <w:pPr>
        <w:pStyle w:val="23"/>
        <w:ind w:firstLine="0" w:firstLineChars="0"/>
        <w:rPr>
          <w:rFonts w:cs="宋体"/>
          <w:color w:val="auto"/>
          <w:highlight w:val="none"/>
        </w:rPr>
      </w:pPr>
    </w:p>
    <w:p w14:paraId="1B239866">
      <w:pPr>
        <w:pStyle w:val="23"/>
        <w:ind w:firstLine="0" w:firstLineChars="0"/>
        <w:rPr>
          <w:rFonts w:cs="宋体"/>
          <w:color w:val="auto"/>
          <w:highlight w:val="none"/>
        </w:rPr>
      </w:pPr>
    </w:p>
    <w:p w14:paraId="4A20DEA0">
      <w:pPr>
        <w:pStyle w:val="23"/>
        <w:ind w:firstLine="0" w:firstLineChars="0"/>
        <w:rPr>
          <w:rFonts w:cs="宋体"/>
          <w:color w:val="auto"/>
          <w:highlight w:val="none"/>
        </w:rPr>
      </w:pPr>
    </w:p>
    <w:p w14:paraId="38A67247">
      <w:pPr>
        <w:pStyle w:val="23"/>
        <w:ind w:firstLine="0" w:firstLineChars="0"/>
        <w:rPr>
          <w:rFonts w:cs="宋体"/>
          <w:color w:val="auto"/>
          <w:highlight w:val="none"/>
        </w:rPr>
      </w:pPr>
    </w:p>
    <w:p w14:paraId="07115CCE">
      <w:pPr>
        <w:pStyle w:val="23"/>
        <w:ind w:firstLine="0" w:firstLineChars="0"/>
        <w:rPr>
          <w:rFonts w:cs="宋体"/>
          <w:color w:val="auto"/>
          <w:highlight w:val="none"/>
        </w:rPr>
      </w:pPr>
    </w:p>
    <w:p w14:paraId="427756FA">
      <w:pPr>
        <w:pStyle w:val="23"/>
        <w:ind w:firstLine="0" w:firstLineChars="0"/>
        <w:rPr>
          <w:rFonts w:cs="宋体"/>
          <w:color w:val="auto"/>
          <w:highlight w:val="none"/>
        </w:rPr>
      </w:pPr>
    </w:p>
    <w:p w14:paraId="3A1D2973">
      <w:pPr>
        <w:pStyle w:val="23"/>
        <w:ind w:firstLine="0" w:firstLineChars="0"/>
        <w:rPr>
          <w:rFonts w:cs="宋体"/>
          <w:color w:val="auto"/>
          <w:highlight w:val="none"/>
        </w:rPr>
      </w:pPr>
    </w:p>
    <w:p w14:paraId="45785206">
      <w:pPr>
        <w:pStyle w:val="23"/>
        <w:ind w:firstLine="0" w:firstLineChars="0"/>
        <w:rPr>
          <w:rFonts w:cs="宋体"/>
          <w:color w:val="auto"/>
          <w:highlight w:val="none"/>
        </w:rPr>
      </w:pPr>
    </w:p>
    <w:p w14:paraId="4AA928F1">
      <w:pPr>
        <w:pStyle w:val="23"/>
        <w:ind w:firstLine="0" w:firstLineChars="0"/>
        <w:rPr>
          <w:rFonts w:cs="宋体"/>
          <w:color w:val="auto"/>
          <w:highlight w:val="none"/>
        </w:rPr>
      </w:pPr>
    </w:p>
    <w:p w14:paraId="2C4743A4">
      <w:pPr>
        <w:pStyle w:val="23"/>
        <w:ind w:firstLine="0" w:firstLineChars="0"/>
        <w:rPr>
          <w:rFonts w:cs="宋体"/>
          <w:color w:val="auto"/>
          <w:highlight w:val="none"/>
        </w:rPr>
      </w:pPr>
    </w:p>
    <w:p w14:paraId="1F0BE8C4">
      <w:pPr>
        <w:pStyle w:val="23"/>
        <w:ind w:firstLine="0" w:firstLineChars="0"/>
        <w:rPr>
          <w:rFonts w:cs="宋体"/>
          <w:color w:val="auto"/>
          <w:highlight w:val="none"/>
        </w:rPr>
      </w:pPr>
      <w:r>
        <w:rPr>
          <w:color w:val="auto"/>
          <w:highlight w:val="none"/>
        </w:rPr>
        <w:drawing>
          <wp:anchor distT="0" distB="0" distL="114300" distR="114300" simplePos="0" relativeHeight="251682816" behindDoc="1" locked="0" layoutInCell="1" allowOverlap="1">
            <wp:simplePos x="0" y="0"/>
            <wp:positionH relativeFrom="column">
              <wp:posOffset>28575</wp:posOffset>
            </wp:positionH>
            <wp:positionV relativeFrom="paragraph">
              <wp:posOffset>15240</wp:posOffset>
            </wp:positionV>
            <wp:extent cx="5273040" cy="7154545"/>
            <wp:effectExtent l="0" t="0" r="3810" b="8255"/>
            <wp:wrapNone/>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63"/>
                    <a:stretch>
                      <a:fillRect/>
                    </a:stretch>
                  </pic:blipFill>
                  <pic:spPr>
                    <a:xfrm>
                      <a:off x="0" y="0"/>
                      <a:ext cx="5273040" cy="7154545"/>
                    </a:xfrm>
                    <a:prstGeom prst="rect">
                      <a:avLst/>
                    </a:prstGeom>
                    <a:noFill/>
                    <a:ln>
                      <a:noFill/>
                    </a:ln>
                  </pic:spPr>
                </pic:pic>
              </a:graphicData>
            </a:graphic>
          </wp:anchor>
        </w:drawing>
      </w:r>
    </w:p>
    <w:p w14:paraId="2D5C39E4">
      <w:pPr>
        <w:pStyle w:val="23"/>
        <w:ind w:firstLine="0" w:firstLineChars="0"/>
        <w:rPr>
          <w:rFonts w:cs="宋体"/>
          <w:color w:val="auto"/>
          <w:highlight w:val="none"/>
        </w:rPr>
      </w:pPr>
    </w:p>
    <w:p w14:paraId="321786A0">
      <w:pPr>
        <w:pStyle w:val="23"/>
        <w:ind w:firstLine="0" w:firstLineChars="0"/>
        <w:rPr>
          <w:rFonts w:cs="宋体"/>
          <w:color w:val="auto"/>
          <w:highlight w:val="none"/>
        </w:rPr>
      </w:pPr>
    </w:p>
    <w:p w14:paraId="08F3AC91">
      <w:pPr>
        <w:pStyle w:val="23"/>
        <w:ind w:firstLine="0" w:firstLineChars="0"/>
        <w:rPr>
          <w:rFonts w:cs="宋体"/>
          <w:color w:val="auto"/>
          <w:highlight w:val="none"/>
        </w:rPr>
      </w:pPr>
    </w:p>
    <w:p w14:paraId="7F60593C">
      <w:pPr>
        <w:pStyle w:val="23"/>
        <w:ind w:firstLine="0" w:firstLineChars="0"/>
        <w:rPr>
          <w:rFonts w:cs="宋体"/>
          <w:color w:val="auto"/>
          <w:highlight w:val="none"/>
        </w:rPr>
      </w:pPr>
    </w:p>
    <w:p w14:paraId="79E23F5E">
      <w:pPr>
        <w:pStyle w:val="23"/>
        <w:ind w:firstLine="0" w:firstLineChars="0"/>
        <w:rPr>
          <w:rFonts w:cs="宋体"/>
          <w:color w:val="auto"/>
          <w:highlight w:val="none"/>
        </w:rPr>
      </w:pPr>
    </w:p>
    <w:p w14:paraId="174DE8D4">
      <w:pPr>
        <w:pStyle w:val="23"/>
        <w:ind w:firstLine="0" w:firstLineChars="0"/>
        <w:rPr>
          <w:rFonts w:cs="宋体"/>
          <w:color w:val="auto"/>
          <w:highlight w:val="none"/>
        </w:rPr>
      </w:pPr>
    </w:p>
    <w:p w14:paraId="2C98FFA9">
      <w:pPr>
        <w:pStyle w:val="23"/>
        <w:ind w:firstLine="0" w:firstLineChars="0"/>
        <w:rPr>
          <w:rFonts w:cs="宋体"/>
          <w:color w:val="auto"/>
          <w:highlight w:val="none"/>
        </w:rPr>
      </w:pPr>
    </w:p>
    <w:p w14:paraId="79FE0D34">
      <w:pPr>
        <w:pStyle w:val="23"/>
        <w:ind w:firstLine="0" w:firstLineChars="0"/>
        <w:rPr>
          <w:rFonts w:cs="宋体"/>
          <w:color w:val="auto"/>
          <w:highlight w:val="none"/>
        </w:rPr>
      </w:pPr>
    </w:p>
    <w:p w14:paraId="107496B2">
      <w:pPr>
        <w:pStyle w:val="23"/>
        <w:ind w:firstLine="0" w:firstLineChars="0"/>
        <w:rPr>
          <w:rFonts w:cs="宋体"/>
          <w:color w:val="auto"/>
          <w:highlight w:val="none"/>
        </w:rPr>
      </w:pPr>
    </w:p>
    <w:p w14:paraId="61A3A99F">
      <w:pPr>
        <w:pStyle w:val="23"/>
        <w:ind w:firstLine="0" w:firstLineChars="0"/>
        <w:rPr>
          <w:rFonts w:cs="宋体"/>
          <w:color w:val="auto"/>
          <w:highlight w:val="none"/>
        </w:rPr>
      </w:pPr>
    </w:p>
    <w:p w14:paraId="39B69915">
      <w:pPr>
        <w:pStyle w:val="23"/>
        <w:ind w:firstLine="0" w:firstLineChars="0"/>
        <w:rPr>
          <w:rFonts w:cs="宋体"/>
          <w:color w:val="auto"/>
          <w:highlight w:val="none"/>
        </w:rPr>
      </w:pPr>
    </w:p>
    <w:p w14:paraId="0DBC5244">
      <w:pPr>
        <w:pStyle w:val="23"/>
        <w:ind w:firstLine="0" w:firstLineChars="0"/>
        <w:rPr>
          <w:rFonts w:cs="宋体"/>
          <w:color w:val="auto"/>
          <w:highlight w:val="none"/>
        </w:rPr>
      </w:pPr>
    </w:p>
    <w:p w14:paraId="1313E025">
      <w:pPr>
        <w:pStyle w:val="23"/>
        <w:ind w:firstLine="0" w:firstLineChars="0"/>
        <w:rPr>
          <w:rFonts w:cs="宋体"/>
          <w:color w:val="auto"/>
          <w:highlight w:val="none"/>
        </w:rPr>
      </w:pPr>
    </w:p>
    <w:p w14:paraId="48DF2751">
      <w:pPr>
        <w:pStyle w:val="23"/>
        <w:ind w:firstLine="0" w:firstLineChars="0"/>
        <w:rPr>
          <w:rFonts w:cs="宋体"/>
          <w:color w:val="auto"/>
          <w:highlight w:val="none"/>
        </w:rPr>
      </w:pPr>
    </w:p>
    <w:p w14:paraId="0448185E">
      <w:pPr>
        <w:pStyle w:val="23"/>
        <w:ind w:firstLine="0" w:firstLineChars="0"/>
        <w:rPr>
          <w:rFonts w:cs="宋体"/>
          <w:color w:val="auto"/>
          <w:highlight w:val="none"/>
        </w:rPr>
      </w:pPr>
    </w:p>
    <w:p w14:paraId="0AE5C1FE">
      <w:pPr>
        <w:pStyle w:val="23"/>
        <w:ind w:firstLine="0" w:firstLineChars="0"/>
        <w:rPr>
          <w:rFonts w:cs="宋体"/>
          <w:color w:val="auto"/>
          <w:highlight w:val="none"/>
        </w:rPr>
      </w:pPr>
    </w:p>
    <w:p w14:paraId="0AE736BD">
      <w:pPr>
        <w:pStyle w:val="23"/>
        <w:ind w:firstLine="0" w:firstLineChars="0"/>
        <w:rPr>
          <w:rFonts w:cs="宋体"/>
          <w:color w:val="auto"/>
          <w:highlight w:val="none"/>
        </w:rPr>
      </w:pPr>
    </w:p>
    <w:p w14:paraId="43F724E5">
      <w:pPr>
        <w:pStyle w:val="23"/>
        <w:ind w:firstLine="0" w:firstLineChars="0"/>
        <w:rPr>
          <w:rFonts w:cs="宋体"/>
          <w:color w:val="auto"/>
          <w:highlight w:val="none"/>
        </w:rPr>
      </w:pPr>
    </w:p>
    <w:p w14:paraId="731730E8">
      <w:pPr>
        <w:pStyle w:val="23"/>
        <w:ind w:firstLine="0" w:firstLineChars="0"/>
        <w:rPr>
          <w:rFonts w:cs="宋体"/>
          <w:color w:val="auto"/>
          <w:highlight w:val="none"/>
        </w:rPr>
      </w:pPr>
    </w:p>
    <w:p w14:paraId="79CBD3B5">
      <w:pPr>
        <w:pStyle w:val="23"/>
        <w:ind w:firstLine="0" w:firstLineChars="0"/>
        <w:rPr>
          <w:rFonts w:cs="宋体"/>
          <w:color w:val="auto"/>
          <w:highlight w:val="none"/>
        </w:rPr>
      </w:pPr>
    </w:p>
    <w:p w14:paraId="759A4235">
      <w:pPr>
        <w:pStyle w:val="23"/>
        <w:ind w:firstLine="0" w:firstLineChars="0"/>
        <w:rPr>
          <w:rFonts w:cs="宋体"/>
          <w:color w:val="auto"/>
          <w:highlight w:val="none"/>
        </w:rPr>
      </w:pPr>
    </w:p>
    <w:p w14:paraId="1EF6166B">
      <w:pPr>
        <w:pStyle w:val="23"/>
        <w:ind w:firstLine="0" w:firstLineChars="0"/>
        <w:rPr>
          <w:rFonts w:cs="宋体"/>
          <w:color w:val="auto"/>
          <w:highlight w:val="none"/>
        </w:rPr>
      </w:pPr>
    </w:p>
    <w:p w14:paraId="08183B0D">
      <w:pPr>
        <w:pStyle w:val="23"/>
        <w:ind w:firstLine="0" w:firstLineChars="0"/>
        <w:rPr>
          <w:rFonts w:cs="宋体"/>
          <w:color w:val="auto"/>
          <w:highlight w:val="none"/>
        </w:rPr>
      </w:pPr>
    </w:p>
    <w:p w14:paraId="59879046">
      <w:pPr>
        <w:pStyle w:val="23"/>
        <w:ind w:firstLine="0" w:firstLineChars="0"/>
        <w:rPr>
          <w:rFonts w:cs="宋体"/>
          <w:color w:val="auto"/>
          <w:highlight w:val="none"/>
        </w:rPr>
      </w:pPr>
    </w:p>
    <w:p w14:paraId="71477933">
      <w:pPr>
        <w:pStyle w:val="23"/>
        <w:ind w:firstLine="0" w:firstLineChars="0"/>
        <w:rPr>
          <w:rFonts w:cs="宋体"/>
          <w:color w:val="auto"/>
          <w:highlight w:val="none"/>
        </w:rPr>
      </w:pPr>
    </w:p>
    <w:p w14:paraId="4DA30BB4">
      <w:pPr>
        <w:pStyle w:val="23"/>
        <w:ind w:firstLine="0" w:firstLineChars="0"/>
        <w:rPr>
          <w:rFonts w:cs="宋体"/>
          <w:color w:val="auto"/>
          <w:highlight w:val="none"/>
        </w:rPr>
      </w:pPr>
    </w:p>
    <w:p w14:paraId="51668C68">
      <w:pPr>
        <w:pStyle w:val="23"/>
        <w:ind w:firstLine="0" w:firstLineChars="0"/>
        <w:rPr>
          <w:rFonts w:cs="宋体"/>
          <w:color w:val="auto"/>
          <w:highlight w:val="none"/>
        </w:rPr>
      </w:pPr>
    </w:p>
    <w:p w14:paraId="351D42C2">
      <w:pPr>
        <w:pStyle w:val="23"/>
        <w:ind w:firstLine="0" w:firstLineChars="0"/>
        <w:rPr>
          <w:rFonts w:cs="宋体"/>
          <w:color w:val="auto"/>
          <w:highlight w:val="none"/>
        </w:rPr>
      </w:pPr>
      <w:r>
        <w:rPr>
          <w:color w:val="auto"/>
          <w:highlight w:val="none"/>
        </w:rPr>
        <w:drawing>
          <wp:anchor distT="0" distB="0" distL="114300" distR="114300" simplePos="0" relativeHeight="251683840" behindDoc="1" locked="0" layoutInCell="1" allowOverlap="1">
            <wp:simplePos x="0" y="0"/>
            <wp:positionH relativeFrom="column">
              <wp:posOffset>209550</wp:posOffset>
            </wp:positionH>
            <wp:positionV relativeFrom="paragraph">
              <wp:posOffset>186690</wp:posOffset>
            </wp:positionV>
            <wp:extent cx="5272405" cy="7266940"/>
            <wp:effectExtent l="0" t="0" r="4445" b="635"/>
            <wp:wrapNone/>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64"/>
                    <a:stretch>
                      <a:fillRect/>
                    </a:stretch>
                  </pic:blipFill>
                  <pic:spPr>
                    <a:xfrm>
                      <a:off x="0" y="0"/>
                      <a:ext cx="5272405" cy="7266940"/>
                    </a:xfrm>
                    <a:prstGeom prst="rect">
                      <a:avLst/>
                    </a:prstGeom>
                    <a:noFill/>
                    <a:ln>
                      <a:noFill/>
                    </a:ln>
                  </pic:spPr>
                </pic:pic>
              </a:graphicData>
            </a:graphic>
          </wp:anchor>
        </w:drawing>
      </w:r>
    </w:p>
    <w:p w14:paraId="0495F800">
      <w:pPr>
        <w:pStyle w:val="23"/>
        <w:ind w:firstLine="0" w:firstLineChars="0"/>
        <w:rPr>
          <w:rFonts w:cs="宋体"/>
          <w:color w:val="auto"/>
          <w:highlight w:val="none"/>
        </w:rPr>
      </w:pPr>
    </w:p>
    <w:p w14:paraId="1C0008C6">
      <w:pPr>
        <w:pStyle w:val="23"/>
        <w:ind w:firstLine="0" w:firstLineChars="0"/>
        <w:rPr>
          <w:rFonts w:cs="宋体"/>
          <w:color w:val="auto"/>
          <w:highlight w:val="none"/>
        </w:rPr>
      </w:pPr>
    </w:p>
    <w:p w14:paraId="4C820854">
      <w:pPr>
        <w:pStyle w:val="23"/>
        <w:ind w:firstLine="0" w:firstLineChars="0"/>
        <w:rPr>
          <w:rFonts w:cs="宋体"/>
          <w:color w:val="auto"/>
          <w:highlight w:val="none"/>
        </w:rPr>
      </w:pPr>
    </w:p>
    <w:p w14:paraId="051214C6">
      <w:pPr>
        <w:pStyle w:val="23"/>
        <w:ind w:firstLine="0" w:firstLineChars="0"/>
        <w:rPr>
          <w:rFonts w:cs="宋体"/>
          <w:color w:val="auto"/>
          <w:highlight w:val="none"/>
        </w:rPr>
      </w:pPr>
    </w:p>
    <w:p w14:paraId="4A45E1A1">
      <w:pPr>
        <w:pStyle w:val="23"/>
        <w:ind w:firstLine="0" w:firstLineChars="0"/>
        <w:rPr>
          <w:rFonts w:cs="宋体"/>
          <w:color w:val="auto"/>
          <w:highlight w:val="none"/>
        </w:rPr>
      </w:pPr>
    </w:p>
    <w:p w14:paraId="6BFA5572">
      <w:pPr>
        <w:pStyle w:val="23"/>
        <w:ind w:firstLine="0" w:firstLineChars="0"/>
        <w:rPr>
          <w:rFonts w:cs="宋体"/>
          <w:color w:val="auto"/>
          <w:highlight w:val="none"/>
        </w:rPr>
      </w:pPr>
    </w:p>
    <w:p w14:paraId="4D038D93">
      <w:pPr>
        <w:pStyle w:val="23"/>
        <w:ind w:firstLine="0" w:firstLineChars="0"/>
        <w:rPr>
          <w:rFonts w:cs="宋体"/>
          <w:color w:val="auto"/>
          <w:highlight w:val="none"/>
        </w:rPr>
      </w:pPr>
    </w:p>
    <w:p w14:paraId="33238A87">
      <w:pPr>
        <w:pStyle w:val="23"/>
        <w:ind w:firstLine="0" w:firstLineChars="0"/>
        <w:rPr>
          <w:rFonts w:cs="宋体"/>
          <w:color w:val="auto"/>
          <w:highlight w:val="none"/>
        </w:rPr>
      </w:pPr>
    </w:p>
    <w:p w14:paraId="3A84EDC7">
      <w:pPr>
        <w:pStyle w:val="23"/>
        <w:ind w:firstLine="0" w:firstLineChars="0"/>
        <w:rPr>
          <w:rFonts w:cs="宋体"/>
          <w:color w:val="auto"/>
          <w:highlight w:val="none"/>
        </w:rPr>
      </w:pPr>
    </w:p>
    <w:p w14:paraId="1C329251">
      <w:pPr>
        <w:pStyle w:val="23"/>
        <w:ind w:firstLine="0" w:firstLineChars="0"/>
        <w:rPr>
          <w:rFonts w:cs="宋体"/>
          <w:color w:val="auto"/>
          <w:highlight w:val="none"/>
        </w:rPr>
      </w:pPr>
    </w:p>
    <w:p w14:paraId="0B0517AC">
      <w:pPr>
        <w:pStyle w:val="23"/>
        <w:ind w:firstLine="0" w:firstLineChars="0"/>
        <w:rPr>
          <w:rFonts w:cs="宋体"/>
          <w:color w:val="auto"/>
          <w:highlight w:val="none"/>
        </w:rPr>
      </w:pPr>
    </w:p>
    <w:p w14:paraId="2A409A37">
      <w:pPr>
        <w:pStyle w:val="23"/>
        <w:ind w:firstLine="0" w:firstLineChars="0"/>
        <w:rPr>
          <w:rFonts w:cs="宋体"/>
          <w:color w:val="auto"/>
          <w:highlight w:val="none"/>
        </w:rPr>
      </w:pPr>
    </w:p>
    <w:p w14:paraId="0AC296C4">
      <w:pPr>
        <w:pStyle w:val="23"/>
        <w:ind w:firstLine="0" w:firstLineChars="0"/>
        <w:rPr>
          <w:rFonts w:cs="宋体"/>
          <w:color w:val="auto"/>
          <w:highlight w:val="none"/>
        </w:rPr>
      </w:pPr>
    </w:p>
    <w:p w14:paraId="1FE3EDA7">
      <w:pPr>
        <w:pStyle w:val="23"/>
        <w:ind w:firstLine="0" w:firstLineChars="0"/>
        <w:rPr>
          <w:rFonts w:cs="宋体"/>
          <w:color w:val="auto"/>
          <w:highlight w:val="none"/>
        </w:rPr>
      </w:pPr>
    </w:p>
    <w:p w14:paraId="03A9B711">
      <w:pPr>
        <w:pStyle w:val="23"/>
        <w:ind w:firstLine="0" w:firstLineChars="0"/>
        <w:rPr>
          <w:rFonts w:cs="宋体"/>
          <w:color w:val="auto"/>
          <w:highlight w:val="none"/>
        </w:rPr>
      </w:pPr>
    </w:p>
    <w:p w14:paraId="3958F72D">
      <w:pPr>
        <w:pStyle w:val="23"/>
        <w:ind w:firstLine="0" w:firstLineChars="0"/>
        <w:rPr>
          <w:rFonts w:cs="宋体"/>
          <w:color w:val="auto"/>
          <w:highlight w:val="none"/>
        </w:rPr>
      </w:pPr>
    </w:p>
    <w:p w14:paraId="6ADBBC36">
      <w:pPr>
        <w:pStyle w:val="23"/>
        <w:ind w:firstLine="0" w:firstLineChars="0"/>
        <w:rPr>
          <w:rFonts w:cs="宋体"/>
          <w:color w:val="auto"/>
          <w:highlight w:val="none"/>
        </w:rPr>
      </w:pPr>
    </w:p>
    <w:p w14:paraId="7314AD3A">
      <w:pPr>
        <w:pStyle w:val="23"/>
        <w:ind w:firstLine="0" w:firstLineChars="0"/>
        <w:rPr>
          <w:rFonts w:cs="宋体"/>
          <w:color w:val="auto"/>
          <w:highlight w:val="none"/>
        </w:rPr>
      </w:pPr>
    </w:p>
    <w:p w14:paraId="58CE6528">
      <w:pPr>
        <w:pStyle w:val="23"/>
        <w:ind w:firstLine="0" w:firstLineChars="0"/>
        <w:rPr>
          <w:rFonts w:cs="宋体"/>
          <w:color w:val="auto"/>
          <w:highlight w:val="none"/>
        </w:rPr>
      </w:pPr>
    </w:p>
    <w:p w14:paraId="7838A421">
      <w:pPr>
        <w:pStyle w:val="23"/>
        <w:ind w:firstLine="0" w:firstLineChars="0"/>
        <w:rPr>
          <w:rFonts w:cs="宋体"/>
          <w:color w:val="auto"/>
          <w:highlight w:val="none"/>
        </w:rPr>
      </w:pPr>
    </w:p>
    <w:p w14:paraId="4B4C7489">
      <w:pPr>
        <w:pStyle w:val="23"/>
        <w:ind w:firstLine="0" w:firstLineChars="0"/>
        <w:rPr>
          <w:rFonts w:cs="宋体"/>
          <w:color w:val="auto"/>
          <w:highlight w:val="none"/>
        </w:rPr>
      </w:pPr>
    </w:p>
    <w:p w14:paraId="35981D8A">
      <w:pPr>
        <w:pStyle w:val="23"/>
        <w:ind w:firstLine="0" w:firstLineChars="0"/>
        <w:rPr>
          <w:rFonts w:cs="宋体"/>
          <w:color w:val="auto"/>
          <w:highlight w:val="none"/>
        </w:rPr>
      </w:pPr>
    </w:p>
    <w:p w14:paraId="2D81A4A6">
      <w:pPr>
        <w:pStyle w:val="23"/>
        <w:ind w:firstLine="0" w:firstLineChars="0"/>
        <w:rPr>
          <w:rFonts w:cs="宋体"/>
          <w:color w:val="auto"/>
          <w:highlight w:val="none"/>
        </w:rPr>
      </w:pPr>
    </w:p>
    <w:p w14:paraId="251726F0">
      <w:pPr>
        <w:pStyle w:val="23"/>
        <w:ind w:firstLine="0" w:firstLineChars="0"/>
        <w:rPr>
          <w:rFonts w:cs="宋体"/>
          <w:color w:val="auto"/>
          <w:highlight w:val="none"/>
        </w:rPr>
      </w:pPr>
    </w:p>
    <w:p w14:paraId="77EB31A8">
      <w:pPr>
        <w:pStyle w:val="23"/>
        <w:ind w:firstLine="0" w:firstLineChars="0"/>
        <w:rPr>
          <w:rFonts w:cs="宋体"/>
          <w:color w:val="auto"/>
          <w:highlight w:val="none"/>
        </w:rPr>
      </w:pPr>
    </w:p>
    <w:p w14:paraId="7D5FD0C5">
      <w:pPr>
        <w:pStyle w:val="23"/>
        <w:ind w:firstLine="0" w:firstLineChars="0"/>
        <w:rPr>
          <w:rFonts w:cs="宋体"/>
          <w:color w:val="auto"/>
          <w:highlight w:val="none"/>
        </w:rPr>
      </w:pPr>
    </w:p>
    <w:p w14:paraId="12F8C357">
      <w:pPr>
        <w:pStyle w:val="23"/>
        <w:ind w:firstLine="0" w:firstLineChars="0"/>
        <w:rPr>
          <w:rFonts w:cs="宋体"/>
          <w:color w:val="auto"/>
          <w:highlight w:val="none"/>
        </w:rPr>
      </w:pPr>
    </w:p>
    <w:p w14:paraId="294399FC">
      <w:pPr>
        <w:pStyle w:val="23"/>
        <w:ind w:firstLine="0" w:firstLineChars="0"/>
        <w:rPr>
          <w:rFonts w:cs="宋体"/>
          <w:color w:val="auto"/>
          <w:highlight w:val="none"/>
        </w:rPr>
      </w:pPr>
      <w:r>
        <w:rPr>
          <w:color w:val="auto"/>
          <w:highlight w:val="none"/>
        </w:rPr>
        <w:drawing>
          <wp:anchor distT="0" distB="0" distL="114300" distR="114300" simplePos="0" relativeHeight="251684864" behindDoc="1" locked="0" layoutInCell="1" allowOverlap="1">
            <wp:simplePos x="0" y="0"/>
            <wp:positionH relativeFrom="column">
              <wp:posOffset>-76200</wp:posOffset>
            </wp:positionH>
            <wp:positionV relativeFrom="paragraph">
              <wp:posOffset>205740</wp:posOffset>
            </wp:positionV>
            <wp:extent cx="5181600" cy="7610475"/>
            <wp:effectExtent l="0" t="0" r="0" b="0"/>
            <wp:wrapNone/>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65"/>
                    <a:stretch>
                      <a:fillRect/>
                    </a:stretch>
                  </pic:blipFill>
                  <pic:spPr>
                    <a:xfrm>
                      <a:off x="0" y="0"/>
                      <a:ext cx="5181600" cy="7610475"/>
                    </a:xfrm>
                    <a:prstGeom prst="rect">
                      <a:avLst/>
                    </a:prstGeom>
                    <a:noFill/>
                    <a:ln>
                      <a:noFill/>
                    </a:ln>
                  </pic:spPr>
                </pic:pic>
              </a:graphicData>
            </a:graphic>
          </wp:anchor>
        </w:drawing>
      </w:r>
    </w:p>
    <w:p w14:paraId="7BF21642">
      <w:pPr>
        <w:pStyle w:val="23"/>
        <w:ind w:firstLine="0" w:firstLineChars="0"/>
        <w:rPr>
          <w:rFonts w:cs="宋体"/>
          <w:color w:val="auto"/>
          <w:highlight w:val="none"/>
        </w:rPr>
      </w:pPr>
    </w:p>
    <w:p w14:paraId="54F7DC02">
      <w:pPr>
        <w:pStyle w:val="23"/>
        <w:ind w:firstLine="0" w:firstLineChars="0"/>
        <w:rPr>
          <w:rFonts w:cs="宋体"/>
          <w:color w:val="auto"/>
          <w:highlight w:val="none"/>
        </w:rPr>
      </w:pPr>
    </w:p>
    <w:p w14:paraId="728DE784">
      <w:pPr>
        <w:pStyle w:val="23"/>
        <w:ind w:firstLine="0" w:firstLineChars="0"/>
        <w:rPr>
          <w:rFonts w:cs="宋体"/>
          <w:color w:val="auto"/>
          <w:highlight w:val="none"/>
        </w:rPr>
      </w:pPr>
    </w:p>
    <w:p w14:paraId="38D24915">
      <w:pPr>
        <w:pStyle w:val="23"/>
        <w:ind w:firstLine="0" w:firstLineChars="0"/>
        <w:rPr>
          <w:rFonts w:cs="宋体"/>
          <w:color w:val="auto"/>
          <w:highlight w:val="none"/>
        </w:rPr>
      </w:pPr>
    </w:p>
    <w:p w14:paraId="01F701E1">
      <w:pPr>
        <w:pStyle w:val="23"/>
        <w:ind w:firstLine="0" w:firstLineChars="0"/>
        <w:rPr>
          <w:rFonts w:cs="宋体"/>
          <w:color w:val="auto"/>
          <w:highlight w:val="none"/>
        </w:rPr>
      </w:pPr>
    </w:p>
    <w:p w14:paraId="5AF64D17">
      <w:pPr>
        <w:pStyle w:val="23"/>
        <w:ind w:firstLine="0" w:firstLineChars="0"/>
        <w:rPr>
          <w:rFonts w:cs="宋体"/>
          <w:color w:val="auto"/>
          <w:highlight w:val="none"/>
        </w:rPr>
      </w:pPr>
    </w:p>
    <w:p w14:paraId="3A7A38D8">
      <w:pPr>
        <w:pStyle w:val="23"/>
        <w:ind w:firstLine="0" w:firstLineChars="0"/>
        <w:rPr>
          <w:rFonts w:cs="宋体"/>
          <w:color w:val="auto"/>
          <w:highlight w:val="none"/>
        </w:rPr>
      </w:pPr>
    </w:p>
    <w:p w14:paraId="7466893A">
      <w:pPr>
        <w:pStyle w:val="23"/>
        <w:ind w:firstLine="0" w:firstLineChars="0"/>
        <w:rPr>
          <w:rFonts w:cs="宋体"/>
          <w:color w:val="auto"/>
          <w:highlight w:val="none"/>
        </w:rPr>
      </w:pPr>
    </w:p>
    <w:p w14:paraId="3DCF3DDE">
      <w:pPr>
        <w:pStyle w:val="23"/>
        <w:ind w:firstLine="0" w:firstLineChars="0"/>
        <w:rPr>
          <w:rFonts w:cs="宋体"/>
          <w:color w:val="auto"/>
          <w:highlight w:val="none"/>
        </w:rPr>
      </w:pPr>
    </w:p>
    <w:p w14:paraId="3172806C">
      <w:pPr>
        <w:pStyle w:val="23"/>
        <w:ind w:firstLine="0" w:firstLineChars="0"/>
        <w:rPr>
          <w:rFonts w:cs="宋体"/>
          <w:color w:val="auto"/>
          <w:highlight w:val="none"/>
        </w:rPr>
      </w:pPr>
    </w:p>
    <w:p w14:paraId="3EB7ECB0">
      <w:pPr>
        <w:pStyle w:val="23"/>
        <w:ind w:firstLine="0" w:firstLineChars="0"/>
        <w:rPr>
          <w:rFonts w:cs="宋体"/>
          <w:color w:val="auto"/>
          <w:highlight w:val="none"/>
        </w:rPr>
      </w:pPr>
    </w:p>
    <w:p w14:paraId="0D7D9529">
      <w:pPr>
        <w:pStyle w:val="23"/>
        <w:ind w:firstLine="0" w:firstLineChars="0"/>
        <w:rPr>
          <w:rFonts w:cs="宋体"/>
          <w:color w:val="auto"/>
          <w:highlight w:val="none"/>
        </w:rPr>
      </w:pPr>
    </w:p>
    <w:p w14:paraId="6C84E8F3">
      <w:pPr>
        <w:pStyle w:val="23"/>
        <w:ind w:firstLine="0" w:firstLineChars="0"/>
        <w:rPr>
          <w:rFonts w:cs="宋体"/>
          <w:color w:val="auto"/>
          <w:highlight w:val="none"/>
        </w:rPr>
      </w:pPr>
    </w:p>
    <w:p w14:paraId="4D4EED23">
      <w:pPr>
        <w:pStyle w:val="23"/>
        <w:ind w:firstLine="0" w:firstLineChars="0"/>
        <w:rPr>
          <w:rFonts w:cs="宋体"/>
          <w:color w:val="auto"/>
          <w:highlight w:val="none"/>
        </w:rPr>
      </w:pPr>
    </w:p>
    <w:p w14:paraId="7728E71C">
      <w:pPr>
        <w:pStyle w:val="23"/>
        <w:ind w:firstLine="0" w:firstLineChars="0"/>
        <w:rPr>
          <w:rFonts w:cs="宋体"/>
          <w:color w:val="auto"/>
          <w:highlight w:val="none"/>
        </w:rPr>
      </w:pPr>
    </w:p>
    <w:p w14:paraId="721F7AEA">
      <w:pPr>
        <w:pStyle w:val="23"/>
        <w:ind w:firstLine="0" w:firstLineChars="0"/>
        <w:rPr>
          <w:rFonts w:cs="宋体"/>
          <w:color w:val="auto"/>
          <w:highlight w:val="none"/>
        </w:rPr>
      </w:pPr>
    </w:p>
    <w:p w14:paraId="4E1876FF">
      <w:pPr>
        <w:pStyle w:val="23"/>
        <w:ind w:firstLine="0" w:firstLineChars="0"/>
        <w:rPr>
          <w:rFonts w:cs="宋体"/>
          <w:color w:val="auto"/>
          <w:highlight w:val="none"/>
        </w:rPr>
      </w:pPr>
    </w:p>
    <w:p w14:paraId="322C3FE0">
      <w:pPr>
        <w:pStyle w:val="23"/>
        <w:ind w:firstLine="0" w:firstLineChars="0"/>
        <w:rPr>
          <w:rFonts w:cs="宋体"/>
          <w:color w:val="auto"/>
          <w:highlight w:val="none"/>
        </w:rPr>
      </w:pPr>
    </w:p>
    <w:p w14:paraId="36544C25">
      <w:pPr>
        <w:pStyle w:val="23"/>
        <w:ind w:firstLine="0" w:firstLineChars="0"/>
        <w:rPr>
          <w:rFonts w:cs="宋体"/>
          <w:color w:val="auto"/>
          <w:highlight w:val="none"/>
        </w:rPr>
      </w:pPr>
    </w:p>
    <w:p w14:paraId="5849E17B">
      <w:pPr>
        <w:pStyle w:val="23"/>
        <w:ind w:firstLine="0" w:firstLineChars="0"/>
        <w:rPr>
          <w:rFonts w:cs="宋体"/>
          <w:color w:val="auto"/>
          <w:highlight w:val="none"/>
        </w:rPr>
      </w:pPr>
    </w:p>
    <w:p w14:paraId="0216D89B">
      <w:pPr>
        <w:pStyle w:val="23"/>
        <w:ind w:firstLine="0" w:firstLineChars="0"/>
        <w:rPr>
          <w:rFonts w:cs="宋体"/>
          <w:color w:val="auto"/>
          <w:highlight w:val="none"/>
        </w:rPr>
      </w:pPr>
    </w:p>
    <w:p w14:paraId="7BC21357">
      <w:pPr>
        <w:pStyle w:val="23"/>
        <w:ind w:firstLine="0" w:firstLineChars="0"/>
        <w:rPr>
          <w:rFonts w:cs="宋体"/>
          <w:color w:val="auto"/>
          <w:highlight w:val="none"/>
        </w:rPr>
      </w:pPr>
    </w:p>
    <w:p w14:paraId="4BD6BDCF">
      <w:pPr>
        <w:pStyle w:val="23"/>
        <w:ind w:firstLine="0" w:firstLineChars="0"/>
        <w:rPr>
          <w:rFonts w:cs="宋体"/>
          <w:color w:val="auto"/>
          <w:highlight w:val="none"/>
        </w:rPr>
      </w:pPr>
    </w:p>
    <w:p w14:paraId="522F4FA8">
      <w:pPr>
        <w:pStyle w:val="23"/>
        <w:ind w:firstLine="0" w:firstLineChars="0"/>
        <w:rPr>
          <w:rFonts w:cs="宋体"/>
          <w:color w:val="auto"/>
          <w:highlight w:val="none"/>
        </w:rPr>
      </w:pPr>
    </w:p>
    <w:p w14:paraId="02909C96">
      <w:pPr>
        <w:pStyle w:val="23"/>
        <w:ind w:firstLine="0" w:firstLineChars="0"/>
        <w:rPr>
          <w:rFonts w:cs="宋体"/>
          <w:color w:val="auto"/>
          <w:highlight w:val="none"/>
        </w:rPr>
      </w:pPr>
    </w:p>
    <w:p w14:paraId="687E4B63">
      <w:pPr>
        <w:pStyle w:val="23"/>
        <w:ind w:firstLine="0" w:firstLineChars="0"/>
        <w:rPr>
          <w:rFonts w:cs="宋体"/>
          <w:color w:val="auto"/>
          <w:highlight w:val="none"/>
        </w:rPr>
      </w:pPr>
    </w:p>
    <w:p w14:paraId="73142C6F">
      <w:pPr>
        <w:pStyle w:val="23"/>
        <w:ind w:firstLine="0" w:firstLineChars="0"/>
        <w:rPr>
          <w:rFonts w:cs="宋体"/>
          <w:color w:val="auto"/>
          <w:highlight w:val="none"/>
        </w:rPr>
      </w:pPr>
    </w:p>
    <w:p w14:paraId="5FDBE2D2">
      <w:pPr>
        <w:pStyle w:val="23"/>
        <w:ind w:firstLine="0" w:firstLineChars="0"/>
        <w:rPr>
          <w:rFonts w:cs="宋体"/>
          <w:color w:val="auto"/>
          <w:highlight w:val="none"/>
        </w:rPr>
      </w:pPr>
    </w:p>
    <w:p w14:paraId="3898518A">
      <w:pPr>
        <w:pStyle w:val="23"/>
        <w:ind w:firstLine="0" w:firstLineChars="0"/>
        <w:rPr>
          <w:rFonts w:cs="宋体"/>
          <w:color w:val="auto"/>
          <w:highlight w:val="none"/>
        </w:rPr>
      </w:pPr>
    </w:p>
    <w:p w14:paraId="1206B7E8">
      <w:pPr>
        <w:pStyle w:val="23"/>
        <w:ind w:firstLine="0" w:firstLineChars="0"/>
        <w:rPr>
          <w:rFonts w:cs="宋体"/>
          <w:color w:val="auto"/>
          <w:highlight w:val="none"/>
        </w:rPr>
      </w:pPr>
    </w:p>
    <w:p w14:paraId="4A90C044">
      <w:pPr>
        <w:pStyle w:val="23"/>
        <w:ind w:firstLine="0" w:firstLineChars="0"/>
        <w:rPr>
          <w:rFonts w:cs="宋体"/>
          <w:color w:val="auto"/>
          <w:highlight w:val="none"/>
        </w:rPr>
      </w:pPr>
    </w:p>
    <w:p w14:paraId="74D66526">
      <w:pPr>
        <w:pStyle w:val="23"/>
        <w:ind w:firstLine="0" w:firstLineChars="0"/>
        <w:rPr>
          <w:rFonts w:cs="宋体"/>
          <w:color w:val="auto"/>
          <w:highlight w:val="none"/>
        </w:rPr>
      </w:pPr>
    </w:p>
    <w:p w14:paraId="172A689A">
      <w:pPr>
        <w:pStyle w:val="23"/>
        <w:ind w:firstLine="0" w:firstLineChars="0"/>
        <w:rPr>
          <w:rFonts w:cs="宋体"/>
          <w:color w:val="auto"/>
          <w:highlight w:val="none"/>
        </w:rPr>
      </w:pPr>
    </w:p>
    <w:p w14:paraId="1AC35726">
      <w:pPr>
        <w:pStyle w:val="23"/>
        <w:ind w:firstLine="0" w:firstLineChars="0"/>
        <w:rPr>
          <w:rFonts w:cs="宋体"/>
          <w:color w:val="auto"/>
          <w:highlight w:val="none"/>
        </w:rPr>
      </w:pPr>
    </w:p>
    <w:p w14:paraId="5B1A9BEC">
      <w:pPr>
        <w:pStyle w:val="23"/>
        <w:ind w:firstLine="0" w:firstLineChars="0"/>
        <w:rPr>
          <w:rFonts w:cs="宋体"/>
          <w:color w:val="auto"/>
          <w:highlight w:val="none"/>
        </w:rPr>
      </w:pPr>
    </w:p>
    <w:p w14:paraId="0D0DEB0F">
      <w:pPr>
        <w:pStyle w:val="23"/>
        <w:ind w:firstLine="0" w:firstLineChars="0"/>
        <w:rPr>
          <w:rFonts w:cs="宋体"/>
          <w:color w:val="auto"/>
          <w:highlight w:val="none"/>
        </w:rPr>
      </w:pPr>
    </w:p>
    <w:p w14:paraId="1F93F467">
      <w:pPr>
        <w:pStyle w:val="23"/>
        <w:ind w:firstLine="0" w:firstLineChars="0"/>
        <w:rPr>
          <w:rFonts w:cs="宋体"/>
          <w:color w:val="auto"/>
          <w:highlight w:val="none"/>
        </w:rPr>
      </w:pPr>
    </w:p>
    <w:p w14:paraId="557355B2">
      <w:pPr>
        <w:pStyle w:val="23"/>
        <w:ind w:firstLine="0" w:firstLineChars="0"/>
        <w:rPr>
          <w:rFonts w:cs="宋体"/>
          <w:color w:val="auto"/>
          <w:highlight w:val="none"/>
        </w:rPr>
      </w:pPr>
    </w:p>
    <w:p w14:paraId="44CE4CBB">
      <w:pPr>
        <w:pStyle w:val="23"/>
        <w:ind w:firstLine="0" w:firstLineChars="0"/>
        <w:rPr>
          <w:rFonts w:cs="宋体"/>
          <w:color w:val="auto"/>
          <w:highlight w:val="none"/>
        </w:rPr>
      </w:pPr>
    </w:p>
    <w:p w14:paraId="64AAB815">
      <w:pPr>
        <w:pStyle w:val="23"/>
        <w:ind w:firstLine="0" w:firstLineChars="0"/>
        <w:rPr>
          <w:rFonts w:cs="宋体"/>
          <w:color w:val="auto"/>
          <w:highlight w:val="none"/>
        </w:rPr>
      </w:pPr>
    </w:p>
    <w:p w14:paraId="60AC0B2B">
      <w:pPr>
        <w:pStyle w:val="23"/>
        <w:ind w:firstLine="0" w:firstLineChars="0"/>
        <w:rPr>
          <w:rFonts w:cs="宋体"/>
          <w:color w:val="auto"/>
          <w:highlight w:val="none"/>
        </w:rPr>
      </w:pPr>
    </w:p>
    <w:p w14:paraId="07AE0E5A">
      <w:pPr>
        <w:pStyle w:val="23"/>
        <w:ind w:firstLine="0" w:firstLineChars="0"/>
        <w:rPr>
          <w:rFonts w:cs="宋体"/>
          <w:color w:val="auto"/>
          <w:highlight w:val="none"/>
        </w:rPr>
      </w:pPr>
    </w:p>
    <w:p w14:paraId="3208C121">
      <w:pPr>
        <w:pStyle w:val="23"/>
        <w:ind w:firstLine="0" w:firstLineChars="0"/>
        <w:rPr>
          <w:rFonts w:cs="宋体"/>
          <w:color w:val="auto"/>
          <w:highlight w:val="none"/>
        </w:rPr>
      </w:pPr>
    </w:p>
    <w:p w14:paraId="3405485A">
      <w:pPr>
        <w:pStyle w:val="23"/>
        <w:ind w:firstLine="0" w:firstLineChars="0"/>
        <w:rPr>
          <w:rFonts w:cs="宋体"/>
          <w:color w:val="auto"/>
          <w:highlight w:val="none"/>
        </w:rPr>
      </w:pPr>
    </w:p>
    <w:p w14:paraId="1C26FAD5">
      <w:pPr>
        <w:pStyle w:val="23"/>
        <w:ind w:firstLine="0" w:firstLineChars="0"/>
        <w:rPr>
          <w:rFonts w:cs="宋体"/>
          <w:color w:val="auto"/>
          <w:highlight w:val="none"/>
        </w:rPr>
      </w:pPr>
    </w:p>
    <w:p w14:paraId="35E9C767">
      <w:pPr>
        <w:pStyle w:val="23"/>
        <w:ind w:firstLine="0" w:firstLineChars="0"/>
        <w:rPr>
          <w:rFonts w:cs="宋体"/>
          <w:color w:val="auto"/>
          <w:highlight w:val="none"/>
        </w:rPr>
      </w:pPr>
    </w:p>
    <w:p w14:paraId="4FBECE16">
      <w:pPr>
        <w:pStyle w:val="23"/>
        <w:ind w:firstLine="0" w:firstLineChars="0"/>
        <w:rPr>
          <w:rFonts w:cs="宋体"/>
          <w:color w:val="auto"/>
          <w:highlight w:val="none"/>
        </w:rPr>
      </w:pPr>
    </w:p>
    <w:p w14:paraId="3B8B5D3F">
      <w:pPr>
        <w:pStyle w:val="23"/>
        <w:ind w:firstLine="0" w:firstLineChars="0"/>
        <w:rPr>
          <w:rFonts w:cs="宋体"/>
          <w:color w:val="auto"/>
          <w:highlight w:val="none"/>
        </w:rPr>
      </w:pPr>
    </w:p>
    <w:p w14:paraId="302D836A">
      <w:pPr>
        <w:pStyle w:val="23"/>
        <w:ind w:firstLine="0" w:firstLineChars="0"/>
        <w:rPr>
          <w:rFonts w:cs="宋体"/>
          <w:color w:val="auto"/>
          <w:highlight w:val="none"/>
        </w:rPr>
      </w:pPr>
    </w:p>
    <w:p w14:paraId="1C9BB232">
      <w:pPr>
        <w:pStyle w:val="23"/>
        <w:ind w:firstLine="0" w:firstLineChars="0"/>
        <w:rPr>
          <w:rFonts w:cs="宋体"/>
          <w:color w:val="auto"/>
          <w:highlight w:val="none"/>
        </w:rPr>
      </w:pPr>
    </w:p>
    <w:p w14:paraId="0F448F28">
      <w:pPr>
        <w:pStyle w:val="23"/>
        <w:ind w:firstLine="0" w:firstLineChars="0"/>
        <w:rPr>
          <w:rFonts w:cs="宋体"/>
          <w:color w:val="auto"/>
          <w:highlight w:val="none"/>
        </w:rPr>
      </w:pPr>
    </w:p>
    <w:p w14:paraId="2141F84A">
      <w:pPr>
        <w:pStyle w:val="23"/>
        <w:ind w:firstLine="0" w:firstLineChars="0"/>
        <w:rPr>
          <w:rFonts w:cs="宋体"/>
          <w:color w:val="auto"/>
          <w:highlight w:val="none"/>
        </w:rPr>
      </w:pPr>
    </w:p>
    <w:p w14:paraId="400592F6">
      <w:pPr>
        <w:pStyle w:val="23"/>
        <w:ind w:firstLine="0" w:firstLineChars="0"/>
        <w:rPr>
          <w:rFonts w:cs="宋体"/>
          <w:color w:val="auto"/>
          <w:highlight w:val="none"/>
        </w:rPr>
      </w:pPr>
      <w:r>
        <w:rPr>
          <w:color w:val="auto"/>
          <w:highlight w:val="none"/>
        </w:rPr>
        <w:drawing>
          <wp:anchor distT="0" distB="0" distL="114300" distR="114300" simplePos="0" relativeHeight="251685888" behindDoc="1" locked="0" layoutInCell="1" allowOverlap="1">
            <wp:simplePos x="0" y="0"/>
            <wp:positionH relativeFrom="column">
              <wp:posOffset>0</wp:posOffset>
            </wp:positionH>
            <wp:positionV relativeFrom="paragraph">
              <wp:posOffset>-7052310</wp:posOffset>
            </wp:positionV>
            <wp:extent cx="5274310" cy="7282815"/>
            <wp:effectExtent l="0" t="0" r="2540" b="3810"/>
            <wp:wrapNone/>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66"/>
                    <a:stretch>
                      <a:fillRect/>
                    </a:stretch>
                  </pic:blipFill>
                  <pic:spPr>
                    <a:xfrm>
                      <a:off x="0" y="0"/>
                      <a:ext cx="5274310" cy="7282815"/>
                    </a:xfrm>
                    <a:prstGeom prst="rect">
                      <a:avLst/>
                    </a:prstGeom>
                    <a:noFill/>
                    <a:ln>
                      <a:noFill/>
                    </a:ln>
                  </pic:spPr>
                </pic:pic>
              </a:graphicData>
            </a:graphic>
          </wp:anchor>
        </w:drawing>
      </w:r>
    </w:p>
    <w:p w14:paraId="13B10ED2">
      <w:pPr>
        <w:pStyle w:val="23"/>
        <w:ind w:firstLine="0" w:firstLineChars="0"/>
        <w:rPr>
          <w:rFonts w:cs="宋体"/>
          <w:color w:val="auto"/>
          <w:highlight w:val="none"/>
        </w:rPr>
      </w:pPr>
    </w:p>
    <w:p w14:paraId="68A5ED36">
      <w:pPr>
        <w:pStyle w:val="23"/>
        <w:ind w:firstLine="0" w:firstLineChars="0"/>
        <w:rPr>
          <w:rFonts w:cs="宋体"/>
          <w:color w:val="auto"/>
          <w:highlight w:val="none"/>
        </w:rPr>
      </w:pPr>
    </w:p>
    <w:p w14:paraId="48350A3B">
      <w:pPr>
        <w:pStyle w:val="23"/>
        <w:ind w:firstLine="0" w:firstLineChars="0"/>
        <w:rPr>
          <w:rFonts w:cs="宋体"/>
          <w:color w:val="auto"/>
          <w:highlight w:val="none"/>
        </w:rPr>
      </w:pPr>
      <w:r>
        <w:rPr>
          <w:color w:val="auto"/>
          <w:highlight w:val="none"/>
        </w:rPr>
        <w:drawing>
          <wp:anchor distT="0" distB="0" distL="114300" distR="114300" simplePos="0" relativeHeight="251686912" behindDoc="1" locked="0" layoutInCell="1" allowOverlap="1">
            <wp:simplePos x="0" y="0"/>
            <wp:positionH relativeFrom="column">
              <wp:posOffset>85725</wp:posOffset>
            </wp:positionH>
            <wp:positionV relativeFrom="paragraph">
              <wp:posOffset>62865</wp:posOffset>
            </wp:positionV>
            <wp:extent cx="5272405" cy="7055485"/>
            <wp:effectExtent l="0" t="0" r="4445" b="2540"/>
            <wp:wrapNone/>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67"/>
                    <a:stretch>
                      <a:fillRect/>
                    </a:stretch>
                  </pic:blipFill>
                  <pic:spPr>
                    <a:xfrm>
                      <a:off x="0" y="0"/>
                      <a:ext cx="5272405" cy="7055485"/>
                    </a:xfrm>
                    <a:prstGeom prst="rect">
                      <a:avLst/>
                    </a:prstGeom>
                    <a:noFill/>
                    <a:ln>
                      <a:noFill/>
                    </a:ln>
                  </pic:spPr>
                </pic:pic>
              </a:graphicData>
            </a:graphic>
          </wp:anchor>
        </w:drawing>
      </w:r>
    </w:p>
    <w:p w14:paraId="6390803B">
      <w:pPr>
        <w:pStyle w:val="23"/>
        <w:ind w:firstLine="0" w:firstLineChars="0"/>
        <w:rPr>
          <w:rFonts w:cs="宋体"/>
          <w:color w:val="auto"/>
          <w:highlight w:val="none"/>
        </w:rPr>
      </w:pPr>
    </w:p>
    <w:p w14:paraId="7F374F66">
      <w:pPr>
        <w:pStyle w:val="23"/>
        <w:ind w:firstLine="0" w:firstLineChars="0"/>
        <w:rPr>
          <w:rFonts w:cs="宋体"/>
          <w:color w:val="auto"/>
          <w:highlight w:val="none"/>
        </w:rPr>
      </w:pPr>
    </w:p>
    <w:p w14:paraId="22731DB5">
      <w:pPr>
        <w:pStyle w:val="23"/>
        <w:ind w:firstLine="0" w:firstLineChars="0"/>
        <w:rPr>
          <w:rFonts w:cs="宋体"/>
          <w:color w:val="auto"/>
          <w:highlight w:val="none"/>
        </w:rPr>
      </w:pPr>
    </w:p>
    <w:p w14:paraId="7ADE6A27">
      <w:pPr>
        <w:pStyle w:val="23"/>
        <w:ind w:firstLine="0" w:firstLineChars="0"/>
        <w:rPr>
          <w:rFonts w:cs="宋体"/>
          <w:color w:val="auto"/>
          <w:highlight w:val="none"/>
        </w:rPr>
      </w:pPr>
    </w:p>
    <w:p w14:paraId="048C1838">
      <w:pPr>
        <w:pStyle w:val="23"/>
        <w:ind w:firstLine="0" w:firstLineChars="0"/>
        <w:rPr>
          <w:rFonts w:cs="宋体"/>
          <w:color w:val="auto"/>
          <w:highlight w:val="none"/>
        </w:rPr>
      </w:pPr>
    </w:p>
    <w:p w14:paraId="35CE58C4">
      <w:pPr>
        <w:pStyle w:val="23"/>
        <w:ind w:firstLine="0" w:firstLineChars="0"/>
        <w:rPr>
          <w:rFonts w:cs="宋体"/>
          <w:color w:val="auto"/>
          <w:highlight w:val="none"/>
        </w:rPr>
      </w:pPr>
    </w:p>
    <w:p w14:paraId="55E2EA5C">
      <w:pPr>
        <w:pStyle w:val="23"/>
        <w:ind w:firstLine="0" w:firstLineChars="0"/>
        <w:rPr>
          <w:rFonts w:cs="宋体"/>
          <w:color w:val="auto"/>
          <w:highlight w:val="none"/>
        </w:rPr>
      </w:pPr>
    </w:p>
    <w:p w14:paraId="6A1748A8">
      <w:pPr>
        <w:pStyle w:val="23"/>
        <w:ind w:firstLine="0" w:firstLineChars="0"/>
        <w:rPr>
          <w:rFonts w:cs="宋体"/>
          <w:color w:val="auto"/>
          <w:highlight w:val="none"/>
        </w:rPr>
      </w:pPr>
    </w:p>
    <w:p w14:paraId="03C2ADDE">
      <w:pPr>
        <w:pStyle w:val="23"/>
        <w:ind w:firstLine="0" w:firstLineChars="0"/>
        <w:rPr>
          <w:rFonts w:cs="宋体"/>
          <w:color w:val="auto"/>
          <w:highlight w:val="none"/>
        </w:rPr>
      </w:pPr>
    </w:p>
    <w:p w14:paraId="0A2C7950">
      <w:pPr>
        <w:pStyle w:val="23"/>
        <w:ind w:firstLine="0" w:firstLineChars="0"/>
        <w:rPr>
          <w:rFonts w:cs="宋体"/>
          <w:color w:val="auto"/>
          <w:highlight w:val="none"/>
        </w:rPr>
      </w:pPr>
    </w:p>
    <w:p w14:paraId="4A5DA364">
      <w:pPr>
        <w:pStyle w:val="23"/>
        <w:ind w:firstLine="0" w:firstLineChars="0"/>
        <w:rPr>
          <w:rFonts w:cs="宋体"/>
          <w:color w:val="auto"/>
          <w:highlight w:val="none"/>
        </w:rPr>
      </w:pPr>
    </w:p>
    <w:p w14:paraId="36EC4BD6">
      <w:pPr>
        <w:pStyle w:val="23"/>
        <w:ind w:firstLine="0" w:firstLineChars="0"/>
        <w:rPr>
          <w:rFonts w:cs="宋体"/>
          <w:color w:val="auto"/>
          <w:highlight w:val="none"/>
        </w:rPr>
      </w:pPr>
    </w:p>
    <w:p w14:paraId="31F80B48">
      <w:pPr>
        <w:pStyle w:val="23"/>
        <w:ind w:firstLine="0" w:firstLineChars="0"/>
        <w:rPr>
          <w:rFonts w:cs="宋体"/>
          <w:color w:val="auto"/>
          <w:highlight w:val="none"/>
        </w:rPr>
      </w:pPr>
    </w:p>
    <w:p w14:paraId="473CD207">
      <w:pPr>
        <w:pStyle w:val="23"/>
        <w:ind w:firstLine="0" w:firstLineChars="0"/>
        <w:rPr>
          <w:rFonts w:cs="宋体"/>
          <w:color w:val="auto"/>
          <w:highlight w:val="none"/>
        </w:rPr>
      </w:pPr>
    </w:p>
    <w:p w14:paraId="2C7AC34A">
      <w:pPr>
        <w:pStyle w:val="23"/>
        <w:ind w:firstLine="0" w:firstLineChars="0"/>
        <w:rPr>
          <w:rFonts w:cs="宋体"/>
          <w:color w:val="auto"/>
          <w:highlight w:val="none"/>
        </w:rPr>
      </w:pPr>
    </w:p>
    <w:p w14:paraId="6BB1AFCF">
      <w:pPr>
        <w:pStyle w:val="23"/>
        <w:ind w:firstLine="0" w:firstLineChars="0"/>
        <w:rPr>
          <w:rFonts w:cs="宋体"/>
          <w:color w:val="auto"/>
          <w:highlight w:val="none"/>
        </w:rPr>
      </w:pPr>
    </w:p>
    <w:p w14:paraId="0941269E">
      <w:pPr>
        <w:pStyle w:val="23"/>
        <w:ind w:firstLine="0" w:firstLineChars="0"/>
        <w:rPr>
          <w:rFonts w:cs="宋体"/>
          <w:color w:val="auto"/>
          <w:highlight w:val="none"/>
        </w:rPr>
      </w:pPr>
    </w:p>
    <w:p w14:paraId="06477E0F">
      <w:pPr>
        <w:pStyle w:val="23"/>
        <w:ind w:firstLine="0" w:firstLineChars="0"/>
        <w:rPr>
          <w:rFonts w:cs="宋体"/>
          <w:color w:val="auto"/>
          <w:highlight w:val="none"/>
        </w:rPr>
      </w:pPr>
    </w:p>
    <w:p w14:paraId="29EB2F60">
      <w:pPr>
        <w:pStyle w:val="23"/>
        <w:ind w:firstLine="0" w:firstLineChars="0"/>
        <w:rPr>
          <w:rFonts w:cs="宋体"/>
          <w:color w:val="auto"/>
          <w:highlight w:val="none"/>
        </w:rPr>
      </w:pPr>
    </w:p>
    <w:p w14:paraId="52B278D0">
      <w:pPr>
        <w:pStyle w:val="23"/>
        <w:ind w:firstLine="0" w:firstLineChars="0"/>
        <w:rPr>
          <w:rFonts w:cs="宋体"/>
          <w:color w:val="auto"/>
          <w:highlight w:val="none"/>
        </w:rPr>
      </w:pPr>
    </w:p>
    <w:p w14:paraId="086F852A">
      <w:pPr>
        <w:pStyle w:val="23"/>
        <w:ind w:firstLine="0" w:firstLineChars="0"/>
        <w:rPr>
          <w:rFonts w:cs="宋体"/>
          <w:color w:val="auto"/>
          <w:highlight w:val="none"/>
        </w:rPr>
      </w:pPr>
    </w:p>
    <w:p w14:paraId="029BC12A">
      <w:pPr>
        <w:pStyle w:val="23"/>
        <w:ind w:firstLine="0" w:firstLineChars="0"/>
        <w:rPr>
          <w:rFonts w:cs="宋体"/>
          <w:color w:val="auto"/>
          <w:highlight w:val="none"/>
        </w:rPr>
      </w:pPr>
    </w:p>
    <w:p w14:paraId="4086895E">
      <w:pPr>
        <w:pStyle w:val="23"/>
        <w:ind w:firstLine="0" w:firstLineChars="0"/>
        <w:rPr>
          <w:rFonts w:cs="宋体"/>
          <w:color w:val="auto"/>
          <w:highlight w:val="none"/>
        </w:rPr>
      </w:pPr>
    </w:p>
    <w:p w14:paraId="16A650E5">
      <w:pPr>
        <w:pStyle w:val="23"/>
        <w:ind w:firstLine="0" w:firstLineChars="0"/>
        <w:rPr>
          <w:rFonts w:cs="宋体"/>
          <w:color w:val="auto"/>
          <w:highlight w:val="none"/>
        </w:rPr>
      </w:pPr>
    </w:p>
    <w:p w14:paraId="63CDED83">
      <w:pPr>
        <w:pStyle w:val="23"/>
        <w:ind w:firstLine="0" w:firstLineChars="0"/>
        <w:rPr>
          <w:rFonts w:cs="宋体"/>
          <w:color w:val="auto"/>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7E8FAA4">
      <w:pPr>
        <w:pStyle w:val="23"/>
        <w:ind w:firstLine="0" w:firstLineChars="0"/>
        <w:rPr>
          <w:rFonts w:cs="宋体"/>
          <w:color w:val="auto"/>
          <w:highlight w:val="none"/>
        </w:rPr>
      </w:pPr>
      <w:r>
        <w:rPr>
          <w:color w:val="auto"/>
          <w:highlight w:val="none"/>
        </w:rPr>
        <w:drawing>
          <wp:anchor distT="0" distB="0" distL="114300" distR="114300" simplePos="0" relativeHeight="251687936" behindDoc="1" locked="0" layoutInCell="1" allowOverlap="1">
            <wp:simplePos x="0" y="0"/>
            <wp:positionH relativeFrom="column">
              <wp:posOffset>333375</wp:posOffset>
            </wp:positionH>
            <wp:positionV relativeFrom="paragraph">
              <wp:posOffset>-70485</wp:posOffset>
            </wp:positionV>
            <wp:extent cx="7762875" cy="5267325"/>
            <wp:effectExtent l="0" t="0" r="0" b="0"/>
            <wp:wrapNone/>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68"/>
                    <a:stretch>
                      <a:fillRect/>
                    </a:stretch>
                  </pic:blipFill>
                  <pic:spPr>
                    <a:xfrm>
                      <a:off x="0" y="0"/>
                      <a:ext cx="7762875" cy="5267325"/>
                    </a:xfrm>
                    <a:prstGeom prst="rect">
                      <a:avLst/>
                    </a:prstGeom>
                    <a:noFill/>
                    <a:ln>
                      <a:noFill/>
                    </a:ln>
                  </pic:spPr>
                </pic:pic>
              </a:graphicData>
            </a:graphic>
          </wp:anchor>
        </w:drawing>
      </w:r>
    </w:p>
    <w:p w14:paraId="7198F27F">
      <w:pPr>
        <w:pStyle w:val="23"/>
        <w:ind w:firstLine="0" w:firstLineChars="0"/>
        <w:rPr>
          <w:rFonts w:cs="宋体"/>
          <w:color w:val="auto"/>
          <w:highlight w:val="none"/>
        </w:rPr>
      </w:pPr>
    </w:p>
    <w:p w14:paraId="3114A05F">
      <w:pPr>
        <w:pStyle w:val="23"/>
        <w:ind w:firstLine="0" w:firstLineChars="0"/>
        <w:rPr>
          <w:rFonts w:cs="宋体"/>
          <w:color w:val="auto"/>
          <w:highlight w:val="none"/>
        </w:rPr>
      </w:pPr>
    </w:p>
    <w:p w14:paraId="161A2C6B">
      <w:pPr>
        <w:pStyle w:val="23"/>
        <w:ind w:firstLine="0" w:firstLineChars="0"/>
        <w:rPr>
          <w:rFonts w:cs="宋体"/>
          <w:color w:val="auto"/>
          <w:highlight w:val="none"/>
        </w:rPr>
      </w:pPr>
    </w:p>
    <w:p w14:paraId="2C625F18">
      <w:pPr>
        <w:pStyle w:val="23"/>
        <w:ind w:firstLine="0" w:firstLineChars="0"/>
        <w:rPr>
          <w:rFonts w:cs="宋体"/>
          <w:color w:val="auto"/>
          <w:highlight w:val="none"/>
        </w:rPr>
      </w:pPr>
    </w:p>
    <w:p w14:paraId="60B08352">
      <w:pPr>
        <w:pStyle w:val="23"/>
        <w:ind w:firstLine="0" w:firstLineChars="0"/>
        <w:rPr>
          <w:rFonts w:cs="宋体"/>
          <w:color w:val="auto"/>
          <w:highlight w:val="none"/>
        </w:rPr>
      </w:pPr>
    </w:p>
    <w:p w14:paraId="1F3A79AE">
      <w:pPr>
        <w:pStyle w:val="23"/>
        <w:ind w:firstLine="0" w:firstLineChars="0"/>
        <w:rPr>
          <w:rFonts w:cs="宋体"/>
          <w:color w:val="auto"/>
          <w:highlight w:val="none"/>
        </w:rPr>
      </w:pPr>
    </w:p>
    <w:p w14:paraId="131F27E3">
      <w:pPr>
        <w:pStyle w:val="23"/>
        <w:ind w:firstLine="0" w:firstLineChars="0"/>
        <w:rPr>
          <w:rFonts w:cs="宋体"/>
          <w:color w:val="auto"/>
          <w:highlight w:val="none"/>
        </w:rPr>
      </w:pPr>
    </w:p>
    <w:p w14:paraId="1042B58E">
      <w:pPr>
        <w:pStyle w:val="23"/>
        <w:ind w:firstLine="0" w:firstLineChars="0"/>
        <w:rPr>
          <w:rFonts w:cs="宋体"/>
          <w:color w:val="auto"/>
          <w:highlight w:val="none"/>
        </w:rPr>
      </w:pPr>
    </w:p>
    <w:p w14:paraId="648BD32B">
      <w:pPr>
        <w:pStyle w:val="23"/>
        <w:ind w:firstLine="0" w:firstLineChars="0"/>
        <w:rPr>
          <w:rFonts w:cs="宋体"/>
          <w:color w:val="auto"/>
          <w:highlight w:val="none"/>
        </w:rPr>
      </w:pPr>
    </w:p>
    <w:p w14:paraId="492CFE2D">
      <w:pPr>
        <w:pStyle w:val="23"/>
        <w:ind w:firstLine="0" w:firstLineChars="0"/>
        <w:rPr>
          <w:rFonts w:cs="宋体"/>
          <w:color w:val="auto"/>
          <w:highlight w:val="none"/>
        </w:rPr>
      </w:pPr>
    </w:p>
    <w:p w14:paraId="0F32BC70">
      <w:pPr>
        <w:pStyle w:val="23"/>
        <w:ind w:firstLine="0" w:firstLineChars="0"/>
        <w:rPr>
          <w:rFonts w:cs="宋体"/>
          <w:color w:val="auto"/>
          <w:highlight w:val="none"/>
        </w:rPr>
      </w:pPr>
    </w:p>
    <w:p w14:paraId="7309EF55">
      <w:pPr>
        <w:pStyle w:val="23"/>
        <w:ind w:firstLine="0" w:firstLineChars="0"/>
        <w:rPr>
          <w:rFonts w:cs="宋体"/>
          <w:color w:val="auto"/>
          <w:highlight w:val="none"/>
        </w:rPr>
      </w:pPr>
    </w:p>
    <w:p w14:paraId="0F186591">
      <w:pPr>
        <w:pStyle w:val="23"/>
        <w:ind w:firstLine="0" w:firstLineChars="0"/>
        <w:rPr>
          <w:rFonts w:cs="宋体"/>
          <w:color w:val="auto"/>
          <w:highlight w:val="none"/>
        </w:rPr>
      </w:pPr>
    </w:p>
    <w:p w14:paraId="2C9EBEB9">
      <w:pPr>
        <w:pStyle w:val="23"/>
        <w:ind w:firstLine="0" w:firstLineChars="0"/>
        <w:rPr>
          <w:rFonts w:cs="宋体"/>
          <w:color w:val="auto"/>
          <w:highlight w:val="none"/>
        </w:rPr>
      </w:pPr>
    </w:p>
    <w:p w14:paraId="2EF92BC8">
      <w:pPr>
        <w:pStyle w:val="23"/>
        <w:ind w:firstLine="0" w:firstLineChars="0"/>
        <w:rPr>
          <w:rFonts w:cs="宋体"/>
          <w:color w:val="auto"/>
          <w:highlight w:val="none"/>
        </w:rPr>
      </w:pPr>
    </w:p>
    <w:p w14:paraId="4A5BCC7F">
      <w:pPr>
        <w:pStyle w:val="23"/>
        <w:ind w:firstLine="0" w:firstLineChars="0"/>
        <w:rPr>
          <w:rFonts w:cs="宋体"/>
          <w:color w:val="auto"/>
          <w:highlight w:val="none"/>
        </w:rPr>
      </w:pPr>
    </w:p>
    <w:p w14:paraId="3E3D7D8C">
      <w:pPr>
        <w:pStyle w:val="23"/>
        <w:ind w:firstLine="0" w:firstLineChars="0"/>
        <w:rPr>
          <w:rFonts w:cs="宋体"/>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3BD6C2E9">
      <w:pPr>
        <w:pStyle w:val="23"/>
        <w:ind w:firstLine="0" w:firstLineChars="0"/>
        <w:rPr>
          <w:rFonts w:cs="宋体"/>
          <w:color w:val="auto"/>
          <w:highlight w:val="none"/>
        </w:rPr>
      </w:pPr>
      <w:r>
        <w:rPr>
          <w:color w:val="auto"/>
          <w:highlight w:val="none"/>
        </w:rPr>
        <w:drawing>
          <wp:anchor distT="0" distB="0" distL="114300" distR="114300" simplePos="0" relativeHeight="251688960" behindDoc="1" locked="0" layoutInCell="1" allowOverlap="1">
            <wp:simplePos x="0" y="0"/>
            <wp:positionH relativeFrom="column">
              <wp:posOffset>-19050</wp:posOffset>
            </wp:positionH>
            <wp:positionV relativeFrom="paragraph">
              <wp:posOffset>205740</wp:posOffset>
            </wp:positionV>
            <wp:extent cx="5272405" cy="7075805"/>
            <wp:effectExtent l="0" t="0" r="4445" b="1270"/>
            <wp:wrapNone/>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69"/>
                    <a:stretch>
                      <a:fillRect/>
                    </a:stretch>
                  </pic:blipFill>
                  <pic:spPr>
                    <a:xfrm>
                      <a:off x="0" y="0"/>
                      <a:ext cx="5272405" cy="7075805"/>
                    </a:xfrm>
                    <a:prstGeom prst="rect">
                      <a:avLst/>
                    </a:prstGeom>
                    <a:noFill/>
                    <a:ln>
                      <a:noFill/>
                    </a:ln>
                  </pic:spPr>
                </pic:pic>
              </a:graphicData>
            </a:graphic>
          </wp:anchor>
        </w:drawing>
      </w:r>
    </w:p>
    <w:p w14:paraId="49471ED1">
      <w:pPr>
        <w:pStyle w:val="23"/>
        <w:ind w:firstLine="0" w:firstLineChars="0"/>
        <w:rPr>
          <w:rFonts w:cs="宋体"/>
          <w:color w:val="auto"/>
          <w:highlight w:val="none"/>
        </w:rPr>
      </w:pPr>
    </w:p>
    <w:p w14:paraId="48AE50CD">
      <w:pPr>
        <w:pStyle w:val="23"/>
        <w:ind w:firstLine="0" w:firstLineChars="0"/>
        <w:rPr>
          <w:rFonts w:cs="宋体"/>
          <w:color w:val="auto"/>
          <w:highlight w:val="none"/>
        </w:rPr>
      </w:pPr>
    </w:p>
    <w:p w14:paraId="67D24973">
      <w:pPr>
        <w:pStyle w:val="23"/>
        <w:ind w:firstLine="0" w:firstLineChars="0"/>
        <w:rPr>
          <w:rFonts w:cs="宋体"/>
          <w:color w:val="auto"/>
          <w:highlight w:val="none"/>
        </w:rPr>
      </w:pPr>
    </w:p>
    <w:p w14:paraId="69927E39">
      <w:pPr>
        <w:pStyle w:val="23"/>
        <w:ind w:firstLine="0" w:firstLineChars="0"/>
        <w:rPr>
          <w:rFonts w:cs="宋体"/>
          <w:color w:val="auto"/>
          <w:highlight w:val="none"/>
        </w:rPr>
      </w:pPr>
    </w:p>
    <w:p w14:paraId="4591FA74">
      <w:pPr>
        <w:pStyle w:val="23"/>
        <w:ind w:firstLine="0" w:firstLineChars="0"/>
        <w:rPr>
          <w:rFonts w:cs="宋体"/>
          <w:color w:val="auto"/>
          <w:highlight w:val="none"/>
        </w:rPr>
      </w:pPr>
    </w:p>
    <w:p w14:paraId="7BF85F79">
      <w:pPr>
        <w:pStyle w:val="23"/>
        <w:ind w:firstLine="0" w:firstLineChars="0"/>
        <w:rPr>
          <w:rFonts w:cs="宋体"/>
          <w:color w:val="auto"/>
          <w:highlight w:val="none"/>
        </w:rPr>
      </w:pPr>
    </w:p>
    <w:p w14:paraId="7449B42E">
      <w:pPr>
        <w:pStyle w:val="23"/>
        <w:ind w:firstLine="0" w:firstLineChars="0"/>
        <w:rPr>
          <w:rFonts w:cs="宋体"/>
          <w:color w:val="auto"/>
          <w:highlight w:val="none"/>
        </w:rPr>
      </w:pPr>
    </w:p>
    <w:p w14:paraId="499771DB">
      <w:pPr>
        <w:pStyle w:val="23"/>
        <w:ind w:firstLine="0" w:firstLineChars="0"/>
        <w:rPr>
          <w:rFonts w:cs="宋体"/>
          <w:color w:val="auto"/>
          <w:highlight w:val="none"/>
        </w:rPr>
      </w:pPr>
    </w:p>
    <w:p w14:paraId="166E3E6A">
      <w:pPr>
        <w:pStyle w:val="23"/>
        <w:ind w:firstLine="0" w:firstLineChars="0"/>
        <w:rPr>
          <w:rFonts w:cs="宋体"/>
          <w:color w:val="auto"/>
          <w:highlight w:val="none"/>
        </w:rPr>
      </w:pPr>
    </w:p>
    <w:p w14:paraId="658E88EC">
      <w:pPr>
        <w:pStyle w:val="23"/>
        <w:ind w:firstLine="0" w:firstLineChars="0"/>
        <w:rPr>
          <w:rFonts w:cs="宋体"/>
          <w:color w:val="auto"/>
          <w:highlight w:val="none"/>
        </w:rPr>
      </w:pPr>
    </w:p>
    <w:p w14:paraId="2002AA88">
      <w:pPr>
        <w:pStyle w:val="23"/>
        <w:ind w:firstLine="0" w:firstLineChars="0"/>
        <w:rPr>
          <w:rFonts w:cs="宋体"/>
          <w:color w:val="auto"/>
          <w:highlight w:val="none"/>
        </w:rPr>
      </w:pPr>
    </w:p>
    <w:p w14:paraId="3093BF90">
      <w:pPr>
        <w:pStyle w:val="23"/>
        <w:ind w:firstLine="0" w:firstLineChars="0"/>
        <w:rPr>
          <w:rFonts w:cs="宋体"/>
          <w:color w:val="auto"/>
          <w:highlight w:val="none"/>
        </w:rPr>
      </w:pPr>
    </w:p>
    <w:p w14:paraId="31C5AFDC">
      <w:pPr>
        <w:pStyle w:val="23"/>
        <w:ind w:firstLine="0" w:firstLineChars="0"/>
        <w:rPr>
          <w:rFonts w:cs="宋体"/>
          <w:color w:val="auto"/>
          <w:highlight w:val="none"/>
        </w:rPr>
      </w:pPr>
    </w:p>
    <w:p w14:paraId="2EC91DAB">
      <w:pPr>
        <w:pStyle w:val="23"/>
        <w:ind w:firstLine="0" w:firstLineChars="0"/>
        <w:rPr>
          <w:rFonts w:cs="宋体"/>
          <w:color w:val="auto"/>
          <w:highlight w:val="none"/>
        </w:rPr>
      </w:pPr>
    </w:p>
    <w:p w14:paraId="3A436CCD">
      <w:pPr>
        <w:pStyle w:val="23"/>
        <w:ind w:firstLine="0" w:firstLineChars="0"/>
        <w:rPr>
          <w:rFonts w:cs="宋体"/>
          <w:color w:val="auto"/>
          <w:highlight w:val="none"/>
        </w:rPr>
      </w:pPr>
    </w:p>
    <w:p w14:paraId="0AC5742F">
      <w:pPr>
        <w:pStyle w:val="23"/>
        <w:ind w:firstLine="0" w:firstLineChars="0"/>
        <w:rPr>
          <w:rFonts w:cs="宋体"/>
          <w:color w:val="auto"/>
          <w:highlight w:val="none"/>
        </w:rPr>
      </w:pPr>
    </w:p>
    <w:p w14:paraId="0665EE85">
      <w:pPr>
        <w:pStyle w:val="23"/>
        <w:ind w:firstLine="0" w:firstLineChars="0"/>
        <w:rPr>
          <w:rFonts w:cs="宋体"/>
          <w:color w:val="auto"/>
          <w:highlight w:val="none"/>
        </w:rPr>
      </w:pPr>
    </w:p>
    <w:p w14:paraId="10B9D6A2">
      <w:pPr>
        <w:pStyle w:val="23"/>
        <w:ind w:firstLine="0" w:firstLineChars="0"/>
        <w:rPr>
          <w:rFonts w:cs="宋体"/>
          <w:color w:val="auto"/>
          <w:highlight w:val="none"/>
        </w:rPr>
      </w:pPr>
    </w:p>
    <w:p w14:paraId="7014A6D2">
      <w:pPr>
        <w:pStyle w:val="23"/>
        <w:ind w:firstLine="0" w:firstLineChars="0"/>
        <w:rPr>
          <w:rFonts w:cs="宋体"/>
          <w:color w:val="auto"/>
          <w:highlight w:val="none"/>
        </w:rPr>
      </w:pPr>
    </w:p>
    <w:p w14:paraId="178ABD83">
      <w:pPr>
        <w:pStyle w:val="23"/>
        <w:ind w:firstLine="0" w:firstLineChars="0"/>
        <w:rPr>
          <w:rFonts w:cs="宋体"/>
          <w:color w:val="auto"/>
          <w:highlight w:val="none"/>
        </w:rPr>
      </w:pPr>
    </w:p>
    <w:p w14:paraId="5F2BEE70">
      <w:pPr>
        <w:pStyle w:val="23"/>
        <w:ind w:firstLine="0" w:firstLineChars="0"/>
        <w:rPr>
          <w:rFonts w:cs="宋体"/>
          <w:color w:val="auto"/>
          <w:highlight w:val="none"/>
        </w:rPr>
      </w:pPr>
    </w:p>
    <w:p w14:paraId="01B72FAE">
      <w:pPr>
        <w:pStyle w:val="23"/>
        <w:ind w:firstLine="0" w:firstLineChars="0"/>
        <w:rPr>
          <w:rFonts w:cs="宋体"/>
          <w:color w:val="auto"/>
          <w:highlight w:val="none"/>
        </w:rPr>
      </w:pPr>
    </w:p>
    <w:p w14:paraId="74DF803F">
      <w:pPr>
        <w:pStyle w:val="23"/>
        <w:ind w:firstLine="0" w:firstLineChars="0"/>
        <w:rPr>
          <w:rFonts w:cs="宋体"/>
          <w:color w:val="auto"/>
          <w:highlight w:val="none"/>
        </w:rPr>
      </w:pPr>
    </w:p>
    <w:p w14:paraId="4691704A">
      <w:pPr>
        <w:pStyle w:val="23"/>
        <w:ind w:firstLine="0" w:firstLineChars="0"/>
        <w:rPr>
          <w:rFonts w:cs="宋体"/>
          <w:color w:val="auto"/>
          <w:highlight w:val="none"/>
        </w:rPr>
      </w:pPr>
    </w:p>
    <w:p w14:paraId="5A3FF48A">
      <w:pPr>
        <w:pStyle w:val="23"/>
        <w:ind w:firstLine="0" w:firstLineChars="0"/>
        <w:rPr>
          <w:rFonts w:cs="宋体"/>
          <w:color w:val="auto"/>
          <w:highlight w:val="none"/>
        </w:rPr>
      </w:pPr>
    </w:p>
    <w:p w14:paraId="555B2DCE">
      <w:pPr>
        <w:pStyle w:val="23"/>
        <w:ind w:firstLine="0" w:firstLineChars="0"/>
        <w:rPr>
          <w:rFonts w:cs="宋体"/>
          <w:color w:val="auto"/>
          <w:highlight w:val="none"/>
        </w:rPr>
      </w:pPr>
    </w:p>
    <w:p w14:paraId="2D828518">
      <w:pPr>
        <w:pStyle w:val="23"/>
        <w:ind w:firstLine="0" w:firstLineChars="0"/>
        <w:rPr>
          <w:rFonts w:cs="宋体"/>
          <w:color w:val="auto"/>
          <w:highlight w:val="none"/>
        </w:rPr>
      </w:pPr>
    </w:p>
    <w:p w14:paraId="7931852B">
      <w:pPr>
        <w:pStyle w:val="23"/>
        <w:ind w:firstLine="0" w:firstLineChars="0"/>
        <w:rPr>
          <w:rFonts w:cs="宋体"/>
          <w:color w:val="auto"/>
          <w:highlight w:val="none"/>
        </w:rPr>
      </w:pPr>
      <w:r>
        <w:rPr>
          <w:color w:val="auto"/>
          <w:highlight w:val="none"/>
        </w:rPr>
        <w:drawing>
          <wp:anchor distT="0" distB="0" distL="114300" distR="114300" simplePos="0" relativeHeight="251689984" behindDoc="1" locked="0" layoutInCell="1" allowOverlap="1">
            <wp:simplePos x="0" y="0"/>
            <wp:positionH relativeFrom="column">
              <wp:posOffset>-38100</wp:posOffset>
            </wp:positionH>
            <wp:positionV relativeFrom="paragraph">
              <wp:posOffset>-80010</wp:posOffset>
            </wp:positionV>
            <wp:extent cx="5272405" cy="7000240"/>
            <wp:effectExtent l="0" t="0" r="4445" b="635"/>
            <wp:wrapNone/>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70"/>
                    <a:stretch>
                      <a:fillRect/>
                    </a:stretch>
                  </pic:blipFill>
                  <pic:spPr>
                    <a:xfrm>
                      <a:off x="0" y="0"/>
                      <a:ext cx="5272405" cy="7000240"/>
                    </a:xfrm>
                    <a:prstGeom prst="rect">
                      <a:avLst/>
                    </a:prstGeom>
                    <a:noFill/>
                    <a:ln>
                      <a:noFill/>
                    </a:ln>
                  </pic:spPr>
                </pic:pic>
              </a:graphicData>
            </a:graphic>
          </wp:anchor>
        </w:drawing>
      </w:r>
    </w:p>
    <w:p w14:paraId="5343ADB1">
      <w:pPr>
        <w:pStyle w:val="23"/>
        <w:ind w:firstLine="0" w:firstLineChars="0"/>
        <w:rPr>
          <w:rFonts w:cs="宋体"/>
          <w:color w:val="auto"/>
          <w:highlight w:val="none"/>
        </w:rPr>
      </w:pPr>
    </w:p>
    <w:p w14:paraId="54546477">
      <w:pPr>
        <w:pStyle w:val="23"/>
        <w:ind w:firstLine="0" w:firstLineChars="0"/>
        <w:rPr>
          <w:rFonts w:cs="宋体"/>
          <w:color w:val="auto"/>
          <w:highlight w:val="none"/>
        </w:rPr>
      </w:pPr>
    </w:p>
    <w:p w14:paraId="0BF744D1">
      <w:pPr>
        <w:pStyle w:val="23"/>
        <w:ind w:firstLine="0" w:firstLineChars="0"/>
        <w:rPr>
          <w:rFonts w:cs="宋体"/>
          <w:color w:val="auto"/>
          <w:highlight w:val="none"/>
        </w:rPr>
      </w:pPr>
    </w:p>
    <w:p w14:paraId="58FF1193">
      <w:pPr>
        <w:pStyle w:val="23"/>
        <w:ind w:firstLine="0" w:firstLineChars="0"/>
        <w:rPr>
          <w:rFonts w:cs="宋体"/>
          <w:color w:val="auto"/>
          <w:highlight w:val="none"/>
        </w:rPr>
      </w:pPr>
    </w:p>
    <w:p w14:paraId="37EBF4F5">
      <w:pPr>
        <w:pStyle w:val="23"/>
        <w:ind w:firstLine="0" w:firstLineChars="0"/>
        <w:rPr>
          <w:rFonts w:cs="宋体"/>
          <w:color w:val="auto"/>
          <w:highlight w:val="none"/>
        </w:rPr>
      </w:pPr>
    </w:p>
    <w:p w14:paraId="4769D7A2">
      <w:pPr>
        <w:pStyle w:val="23"/>
        <w:ind w:firstLine="0" w:firstLineChars="0"/>
        <w:rPr>
          <w:rFonts w:cs="宋体"/>
          <w:color w:val="auto"/>
          <w:highlight w:val="none"/>
        </w:rPr>
      </w:pPr>
    </w:p>
    <w:p w14:paraId="74AA27B9">
      <w:pPr>
        <w:pStyle w:val="23"/>
        <w:ind w:firstLine="0" w:firstLineChars="0"/>
        <w:rPr>
          <w:rFonts w:cs="宋体"/>
          <w:color w:val="auto"/>
          <w:highlight w:val="none"/>
        </w:rPr>
      </w:pPr>
    </w:p>
    <w:p w14:paraId="3D9251BF">
      <w:pPr>
        <w:pStyle w:val="23"/>
        <w:ind w:firstLine="0" w:firstLineChars="0"/>
        <w:rPr>
          <w:rFonts w:cs="宋体"/>
          <w:color w:val="auto"/>
          <w:highlight w:val="none"/>
        </w:rPr>
      </w:pPr>
    </w:p>
    <w:p w14:paraId="0FEC7687">
      <w:pPr>
        <w:pStyle w:val="23"/>
        <w:ind w:firstLine="0" w:firstLineChars="0"/>
        <w:rPr>
          <w:rFonts w:cs="宋体"/>
          <w:color w:val="auto"/>
          <w:highlight w:val="none"/>
        </w:rPr>
      </w:pPr>
    </w:p>
    <w:p w14:paraId="47B53A0F">
      <w:pPr>
        <w:pStyle w:val="23"/>
        <w:ind w:firstLine="0" w:firstLineChars="0"/>
        <w:rPr>
          <w:rFonts w:cs="宋体"/>
          <w:color w:val="auto"/>
          <w:highlight w:val="none"/>
        </w:rPr>
      </w:pPr>
    </w:p>
    <w:p w14:paraId="01346EC2">
      <w:pPr>
        <w:pStyle w:val="23"/>
        <w:ind w:firstLine="0" w:firstLineChars="0"/>
        <w:rPr>
          <w:rFonts w:cs="宋体"/>
          <w:color w:val="auto"/>
          <w:highlight w:val="none"/>
        </w:rPr>
      </w:pPr>
    </w:p>
    <w:p w14:paraId="3C76C845">
      <w:pPr>
        <w:pStyle w:val="23"/>
        <w:ind w:firstLine="0" w:firstLineChars="0"/>
        <w:rPr>
          <w:rFonts w:cs="宋体"/>
          <w:color w:val="auto"/>
          <w:highlight w:val="none"/>
        </w:rPr>
      </w:pPr>
    </w:p>
    <w:p w14:paraId="61C65BC2">
      <w:pPr>
        <w:pStyle w:val="23"/>
        <w:ind w:firstLine="0" w:firstLineChars="0"/>
        <w:rPr>
          <w:rFonts w:cs="宋体"/>
          <w:color w:val="auto"/>
          <w:highlight w:val="none"/>
        </w:rPr>
      </w:pPr>
    </w:p>
    <w:p w14:paraId="44ED1B95">
      <w:pPr>
        <w:pStyle w:val="23"/>
        <w:ind w:firstLine="0" w:firstLineChars="0"/>
        <w:rPr>
          <w:rFonts w:cs="宋体"/>
          <w:color w:val="auto"/>
          <w:highlight w:val="none"/>
        </w:rPr>
      </w:pPr>
    </w:p>
    <w:p w14:paraId="1DFD018F">
      <w:pPr>
        <w:pStyle w:val="23"/>
        <w:ind w:firstLine="0" w:firstLineChars="0"/>
        <w:rPr>
          <w:rFonts w:cs="宋体"/>
          <w:color w:val="auto"/>
          <w:highlight w:val="none"/>
        </w:rPr>
      </w:pPr>
    </w:p>
    <w:p w14:paraId="4FBD0725">
      <w:pPr>
        <w:pStyle w:val="23"/>
        <w:ind w:firstLine="0" w:firstLineChars="0"/>
        <w:rPr>
          <w:rFonts w:cs="宋体"/>
          <w:color w:val="auto"/>
          <w:highlight w:val="none"/>
        </w:rPr>
      </w:pPr>
    </w:p>
    <w:p w14:paraId="4502447F">
      <w:pPr>
        <w:pStyle w:val="23"/>
        <w:ind w:firstLine="0" w:firstLineChars="0"/>
        <w:rPr>
          <w:rFonts w:cs="宋体"/>
          <w:color w:val="auto"/>
          <w:highlight w:val="none"/>
        </w:rPr>
      </w:pPr>
    </w:p>
    <w:p w14:paraId="34D796E3">
      <w:pPr>
        <w:pStyle w:val="23"/>
        <w:ind w:firstLine="0" w:firstLineChars="0"/>
        <w:rPr>
          <w:rFonts w:cs="宋体"/>
          <w:color w:val="auto"/>
          <w:highlight w:val="none"/>
        </w:rPr>
      </w:pPr>
    </w:p>
    <w:p w14:paraId="0482F302">
      <w:pPr>
        <w:pStyle w:val="23"/>
        <w:ind w:firstLine="0" w:firstLineChars="0"/>
        <w:rPr>
          <w:rFonts w:cs="宋体"/>
          <w:color w:val="auto"/>
          <w:highlight w:val="none"/>
        </w:rPr>
      </w:pPr>
    </w:p>
    <w:p w14:paraId="4EDBF276">
      <w:pPr>
        <w:pStyle w:val="23"/>
        <w:ind w:firstLine="0" w:firstLineChars="0"/>
        <w:rPr>
          <w:rFonts w:cs="宋体"/>
          <w:color w:val="auto"/>
          <w:highlight w:val="none"/>
        </w:rPr>
      </w:pPr>
    </w:p>
    <w:p w14:paraId="7E1DE94D">
      <w:pPr>
        <w:pStyle w:val="23"/>
        <w:ind w:firstLine="0" w:firstLineChars="0"/>
        <w:rPr>
          <w:rFonts w:cs="宋体"/>
          <w:color w:val="auto"/>
          <w:highlight w:val="none"/>
        </w:rPr>
      </w:pPr>
    </w:p>
    <w:p w14:paraId="3179338D">
      <w:pPr>
        <w:pStyle w:val="23"/>
        <w:ind w:firstLine="0" w:firstLineChars="0"/>
        <w:rPr>
          <w:rFonts w:cs="宋体"/>
          <w:color w:val="auto"/>
          <w:highlight w:val="none"/>
        </w:rPr>
      </w:pPr>
    </w:p>
    <w:p w14:paraId="18A50DB0">
      <w:pPr>
        <w:pStyle w:val="23"/>
        <w:ind w:firstLine="0" w:firstLineChars="0"/>
        <w:rPr>
          <w:rFonts w:cs="宋体"/>
          <w:color w:val="auto"/>
          <w:highlight w:val="none"/>
        </w:rPr>
      </w:pPr>
    </w:p>
    <w:p w14:paraId="35D17CEF">
      <w:pPr>
        <w:pStyle w:val="23"/>
        <w:ind w:firstLine="0" w:firstLineChars="0"/>
        <w:rPr>
          <w:rFonts w:cs="宋体"/>
          <w:color w:val="auto"/>
          <w:highlight w:val="none"/>
        </w:rPr>
      </w:pPr>
    </w:p>
    <w:p w14:paraId="549E3BDD">
      <w:pPr>
        <w:pStyle w:val="23"/>
        <w:ind w:firstLine="0" w:firstLineChars="0"/>
        <w:rPr>
          <w:rFonts w:cs="宋体"/>
          <w:color w:val="auto"/>
          <w:highlight w:val="none"/>
        </w:rPr>
      </w:pPr>
    </w:p>
    <w:p w14:paraId="5B44F24A">
      <w:pPr>
        <w:pStyle w:val="23"/>
        <w:ind w:firstLine="0" w:firstLineChars="0"/>
        <w:rPr>
          <w:rFonts w:cs="宋体"/>
          <w:color w:val="auto"/>
          <w:highlight w:val="none"/>
        </w:rPr>
      </w:pPr>
    </w:p>
    <w:p w14:paraId="24B974DF">
      <w:pPr>
        <w:pStyle w:val="23"/>
        <w:ind w:firstLine="0" w:firstLineChars="0"/>
        <w:rPr>
          <w:rFonts w:cs="宋体"/>
          <w:color w:val="auto"/>
          <w:highlight w:val="none"/>
        </w:rPr>
      </w:pPr>
    </w:p>
    <w:p w14:paraId="53F04683">
      <w:pPr>
        <w:pStyle w:val="23"/>
        <w:ind w:firstLine="0" w:firstLineChars="0"/>
        <w:rPr>
          <w:rFonts w:cs="宋体"/>
          <w:color w:val="auto"/>
          <w:highlight w:val="none"/>
        </w:rPr>
      </w:pPr>
      <w:r>
        <w:rPr>
          <w:color w:val="auto"/>
          <w:highlight w:val="none"/>
        </w:rPr>
        <w:drawing>
          <wp:anchor distT="0" distB="0" distL="114300" distR="114300" simplePos="0" relativeHeight="251691008" behindDoc="1" locked="0" layoutInCell="1" allowOverlap="1">
            <wp:simplePos x="0" y="0"/>
            <wp:positionH relativeFrom="column">
              <wp:posOffset>19050</wp:posOffset>
            </wp:positionH>
            <wp:positionV relativeFrom="paragraph">
              <wp:posOffset>43815</wp:posOffset>
            </wp:positionV>
            <wp:extent cx="5273040" cy="6969760"/>
            <wp:effectExtent l="0" t="0" r="3810" b="2540"/>
            <wp:wrapNone/>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71"/>
                    <a:stretch>
                      <a:fillRect/>
                    </a:stretch>
                  </pic:blipFill>
                  <pic:spPr>
                    <a:xfrm>
                      <a:off x="0" y="0"/>
                      <a:ext cx="5273040" cy="6969760"/>
                    </a:xfrm>
                    <a:prstGeom prst="rect">
                      <a:avLst/>
                    </a:prstGeom>
                    <a:noFill/>
                    <a:ln>
                      <a:noFill/>
                    </a:ln>
                  </pic:spPr>
                </pic:pic>
              </a:graphicData>
            </a:graphic>
          </wp:anchor>
        </w:drawing>
      </w:r>
    </w:p>
    <w:p w14:paraId="60FCFFBB">
      <w:pPr>
        <w:pStyle w:val="23"/>
        <w:ind w:firstLine="0" w:firstLineChars="0"/>
        <w:rPr>
          <w:rFonts w:cs="宋体"/>
          <w:color w:val="auto"/>
          <w:highlight w:val="none"/>
        </w:rPr>
      </w:pPr>
    </w:p>
    <w:p w14:paraId="111C5FD5">
      <w:pPr>
        <w:pStyle w:val="23"/>
        <w:ind w:firstLine="0" w:firstLineChars="0"/>
        <w:rPr>
          <w:rFonts w:cs="宋体"/>
          <w:color w:val="auto"/>
          <w:highlight w:val="none"/>
        </w:rPr>
      </w:pPr>
    </w:p>
    <w:p w14:paraId="72177DB0">
      <w:pPr>
        <w:pStyle w:val="23"/>
        <w:ind w:firstLine="0" w:firstLineChars="0"/>
        <w:rPr>
          <w:rFonts w:cs="宋体"/>
          <w:color w:val="auto"/>
          <w:highlight w:val="none"/>
        </w:rPr>
      </w:pPr>
    </w:p>
    <w:p w14:paraId="66E6A0A5">
      <w:pPr>
        <w:pStyle w:val="23"/>
        <w:ind w:firstLine="0" w:firstLineChars="0"/>
        <w:rPr>
          <w:rFonts w:cs="宋体"/>
          <w:color w:val="auto"/>
          <w:highlight w:val="none"/>
        </w:rPr>
      </w:pPr>
    </w:p>
    <w:p w14:paraId="6F179D05">
      <w:pPr>
        <w:pStyle w:val="23"/>
        <w:ind w:firstLine="0" w:firstLineChars="0"/>
        <w:rPr>
          <w:rFonts w:cs="宋体"/>
          <w:color w:val="auto"/>
          <w:highlight w:val="none"/>
        </w:rPr>
      </w:pPr>
    </w:p>
    <w:p w14:paraId="01957722">
      <w:pPr>
        <w:pStyle w:val="23"/>
        <w:ind w:firstLine="0" w:firstLineChars="0"/>
        <w:rPr>
          <w:rFonts w:cs="宋体"/>
          <w:color w:val="auto"/>
          <w:highlight w:val="none"/>
        </w:rPr>
      </w:pPr>
    </w:p>
    <w:p w14:paraId="1A567214">
      <w:pPr>
        <w:pStyle w:val="23"/>
        <w:ind w:firstLine="0" w:firstLineChars="0"/>
        <w:rPr>
          <w:rFonts w:cs="宋体"/>
          <w:color w:val="auto"/>
          <w:highlight w:val="none"/>
        </w:rPr>
      </w:pPr>
    </w:p>
    <w:p w14:paraId="0C14D2A1">
      <w:pPr>
        <w:pStyle w:val="23"/>
        <w:ind w:firstLine="0" w:firstLineChars="0"/>
        <w:rPr>
          <w:rFonts w:cs="宋体"/>
          <w:color w:val="auto"/>
          <w:highlight w:val="none"/>
        </w:rPr>
      </w:pPr>
    </w:p>
    <w:p w14:paraId="5229B40C">
      <w:pPr>
        <w:pStyle w:val="23"/>
        <w:ind w:firstLine="0" w:firstLineChars="0"/>
        <w:rPr>
          <w:rFonts w:cs="宋体"/>
          <w:color w:val="auto"/>
          <w:highlight w:val="none"/>
        </w:rPr>
      </w:pPr>
    </w:p>
    <w:p w14:paraId="06C266B5">
      <w:pPr>
        <w:pStyle w:val="23"/>
        <w:ind w:firstLine="0" w:firstLineChars="0"/>
        <w:rPr>
          <w:rFonts w:cs="宋体"/>
          <w:color w:val="auto"/>
          <w:highlight w:val="none"/>
        </w:rPr>
      </w:pPr>
    </w:p>
    <w:p w14:paraId="12100316">
      <w:pPr>
        <w:pStyle w:val="23"/>
        <w:ind w:firstLine="0" w:firstLineChars="0"/>
        <w:rPr>
          <w:rFonts w:cs="宋体"/>
          <w:color w:val="auto"/>
          <w:highlight w:val="none"/>
        </w:rPr>
      </w:pPr>
    </w:p>
    <w:p w14:paraId="68E01BEB">
      <w:pPr>
        <w:pStyle w:val="23"/>
        <w:ind w:firstLine="0" w:firstLineChars="0"/>
        <w:rPr>
          <w:rFonts w:cs="宋体"/>
          <w:color w:val="auto"/>
          <w:highlight w:val="none"/>
        </w:rPr>
      </w:pPr>
    </w:p>
    <w:p w14:paraId="480C56BC">
      <w:pPr>
        <w:pStyle w:val="23"/>
        <w:ind w:firstLine="0" w:firstLineChars="0"/>
        <w:rPr>
          <w:rFonts w:cs="宋体"/>
          <w:color w:val="auto"/>
          <w:highlight w:val="none"/>
        </w:rPr>
      </w:pPr>
    </w:p>
    <w:p w14:paraId="0CD87F3C">
      <w:pPr>
        <w:pStyle w:val="23"/>
        <w:ind w:firstLine="0" w:firstLineChars="0"/>
        <w:rPr>
          <w:rFonts w:cs="宋体"/>
          <w:color w:val="auto"/>
          <w:highlight w:val="none"/>
        </w:rPr>
      </w:pPr>
    </w:p>
    <w:p w14:paraId="3C7FDBA3">
      <w:pPr>
        <w:pStyle w:val="23"/>
        <w:ind w:firstLine="0" w:firstLineChars="0"/>
        <w:rPr>
          <w:rFonts w:cs="宋体"/>
          <w:color w:val="auto"/>
          <w:highlight w:val="none"/>
        </w:rPr>
      </w:pPr>
    </w:p>
    <w:p w14:paraId="639073AB">
      <w:pPr>
        <w:pStyle w:val="23"/>
        <w:ind w:firstLine="0" w:firstLineChars="0"/>
        <w:rPr>
          <w:rFonts w:cs="宋体"/>
          <w:color w:val="auto"/>
          <w:highlight w:val="none"/>
        </w:rPr>
      </w:pPr>
    </w:p>
    <w:p w14:paraId="528D0B4C">
      <w:pPr>
        <w:pStyle w:val="23"/>
        <w:ind w:firstLine="0" w:firstLineChars="0"/>
        <w:rPr>
          <w:rFonts w:cs="宋体"/>
          <w:color w:val="auto"/>
          <w:highlight w:val="none"/>
        </w:rPr>
      </w:pPr>
    </w:p>
    <w:p w14:paraId="41DB6FA3">
      <w:pPr>
        <w:pStyle w:val="23"/>
        <w:ind w:firstLine="0" w:firstLineChars="0"/>
        <w:rPr>
          <w:rFonts w:cs="宋体"/>
          <w:color w:val="auto"/>
          <w:highlight w:val="none"/>
        </w:rPr>
      </w:pPr>
    </w:p>
    <w:p w14:paraId="7292DCCE">
      <w:pPr>
        <w:pStyle w:val="23"/>
        <w:ind w:firstLine="0" w:firstLineChars="0"/>
        <w:rPr>
          <w:rFonts w:cs="宋体"/>
          <w:color w:val="auto"/>
          <w:highlight w:val="none"/>
        </w:rPr>
      </w:pPr>
    </w:p>
    <w:p w14:paraId="2C6A9028">
      <w:pPr>
        <w:pStyle w:val="23"/>
        <w:ind w:firstLine="0" w:firstLineChars="0"/>
        <w:rPr>
          <w:rFonts w:cs="宋体"/>
          <w:color w:val="auto"/>
          <w:highlight w:val="none"/>
        </w:rPr>
      </w:pPr>
    </w:p>
    <w:p w14:paraId="3BF98301">
      <w:pPr>
        <w:pStyle w:val="23"/>
        <w:ind w:firstLine="0" w:firstLineChars="0"/>
        <w:rPr>
          <w:rFonts w:cs="宋体"/>
          <w:color w:val="auto"/>
          <w:highlight w:val="none"/>
        </w:rPr>
      </w:pPr>
    </w:p>
    <w:p w14:paraId="7259158E">
      <w:pPr>
        <w:pStyle w:val="23"/>
        <w:ind w:firstLine="0" w:firstLineChars="0"/>
        <w:rPr>
          <w:rFonts w:cs="宋体"/>
          <w:color w:val="auto"/>
          <w:highlight w:val="none"/>
        </w:rPr>
      </w:pPr>
    </w:p>
    <w:p w14:paraId="7B9FD8BB">
      <w:pPr>
        <w:pStyle w:val="23"/>
        <w:ind w:firstLine="0" w:firstLineChars="0"/>
        <w:rPr>
          <w:rFonts w:cs="宋体"/>
          <w:color w:val="auto"/>
          <w:highlight w:val="none"/>
        </w:rPr>
      </w:pPr>
    </w:p>
    <w:p w14:paraId="75ADF43C">
      <w:pPr>
        <w:pStyle w:val="23"/>
        <w:ind w:firstLine="0" w:firstLineChars="0"/>
        <w:rPr>
          <w:rFonts w:cs="宋体"/>
          <w:color w:val="auto"/>
          <w:highlight w:val="none"/>
        </w:rPr>
      </w:pPr>
    </w:p>
    <w:p w14:paraId="0EFEA6CC">
      <w:pPr>
        <w:pStyle w:val="23"/>
        <w:ind w:firstLine="0" w:firstLineChars="0"/>
        <w:rPr>
          <w:rFonts w:cs="宋体"/>
          <w:color w:val="auto"/>
          <w:highlight w:val="none"/>
        </w:rPr>
      </w:pPr>
    </w:p>
    <w:p w14:paraId="49B43927">
      <w:pPr>
        <w:pStyle w:val="23"/>
        <w:ind w:firstLine="0" w:firstLineChars="0"/>
        <w:rPr>
          <w:rFonts w:cs="宋体"/>
          <w:color w:val="auto"/>
          <w:highlight w:val="none"/>
        </w:rPr>
      </w:pPr>
    </w:p>
    <w:p w14:paraId="2F43160D">
      <w:pPr>
        <w:pStyle w:val="23"/>
        <w:ind w:firstLine="0" w:firstLineChars="0"/>
        <w:rPr>
          <w:rFonts w:cs="宋体"/>
          <w:color w:val="auto"/>
          <w:highlight w:val="none"/>
        </w:rPr>
      </w:pPr>
    </w:p>
    <w:p w14:paraId="21E4BB5E">
      <w:pPr>
        <w:pStyle w:val="23"/>
        <w:ind w:firstLine="0" w:firstLineChars="0"/>
        <w:rPr>
          <w:rFonts w:cs="宋体"/>
          <w:color w:val="auto"/>
          <w:highlight w:val="none"/>
        </w:rPr>
      </w:pPr>
      <w:r>
        <w:rPr>
          <w:color w:val="auto"/>
          <w:highlight w:val="none"/>
        </w:rPr>
        <w:drawing>
          <wp:anchor distT="0" distB="0" distL="114300" distR="114300" simplePos="0" relativeHeight="251692032" behindDoc="1" locked="0" layoutInCell="1" allowOverlap="1">
            <wp:simplePos x="0" y="0"/>
            <wp:positionH relativeFrom="column">
              <wp:posOffset>-9525</wp:posOffset>
            </wp:positionH>
            <wp:positionV relativeFrom="paragraph">
              <wp:posOffset>272415</wp:posOffset>
            </wp:positionV>
            <wp:extent cx="5269230" cy="7174865"/>
            <wp:effectExtent l="0" t="0" r="7620" b="6985"/>
            <wp:wrapNone/>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72"/>
                    <a:stretch>
                      <a:fillRect/>
                    </a:stretch>
                  </pic:blipFill>
                  <pic:spPr>
                    <a:xfrm>
                      <a:off x="0" y="0"/>
                      <a:ext cx="5269230" cy="7174865"/>
                    </a:xfrm>
                    <a:prstGeom prst="rect">
                      <a:avLst/>
                    </a:prstGeom>
                    <a:noFill/>
                    <a:ln>
                      <a:noFill/>
                    </a:ln>
                  </pic:spPr>
                </pic:pic>
              </a:graphicData>
            </a:graphic>
          </wp:anchor>
        </w:drawing>
      </w:r>
    </w:p>
    <w:p w14:paraId="4528AD2D">
      <w:pPr>
        <w:pStyle w:val="23"/>
        <w:ind w:firstLine="0" w:firstLineChars="0"/>
        <w:rPr>
          <w:rFonts w:cs="宋体"/>
          <w:color w:val="auto"/>
          <w:highlight w:val="none"/>
        </w:rPr>
      </w:pPr>
    </w:p>
    <w:p w14:paraId="0DF71838">
      <w:pPr>
        <w:pStyle w:val="23"/>
        <w:ind w:firstLine="0" w:firstLineChars="0"/>
        <w:rPr>
          <w:rFonts w:cs="宋体"/>
          <w:color w:val="auto"/>
          <w:highlight w:val="none"/>
        </w:rPr>
      </w:pPr>
    </w:p>
    <w:p w14:paraId="53F0EF31">
      <w:pPr>
        <w:pStyle w:val="23"/>
        <w:ind w:firstLine="0" w:firstLineChars="0"/>
        <w:rPr>
          <w:rFonts w:cs="宋体"/>
          <w:color w:val="auto"/>
          <w:highlight w:val="none"/>
        </w:rPr>
      </w:pPr>
    </w:p>
    <w:p w14:paraId="529F885E">
      <w:pPr>
        <w:pStyle w:val="23"/>
        <w:ind w:firstLine="0" w:firstLineChars="0"/>
        <w:rPr>
          <w:rFonts w:cs="宋体"/>
          <w:color w:val="auto"/>
          <w:highlight w:val="none"/>
        </w:rPr>
      </w:pPr>
    </w:p>
    <w:p w14:paraId="1845CB99">
      <w:pPr>
        <w:pStyle w:val="23"/>
        <w:ind w:firstLine="0" w:firstLineChars="0"/>
        <w:rPr>
          <w:rFonts w:cs="宋体"/>
          <w:color w:val="auto"/>
          <w:highlight w:val="none"/>
        </w:rPr>
      </w:pPr>
    </w:p>
    <w:p w14:paraId="024462B0">
      <w:pPr>
        <w:pStyle w:val="23"/>
        <w:ind w:firstLine="0" w:firstLineChars="0"/>
        <w:rPr>
          <w:rFonts w:cs="宋体"/>
          <w:color w:val="auto"/>
          <w:highlight w:val="none"/>
        </w:rPr>
      </w:pPr>
    </w:p>
    <w:p w14:paraId="7CFE45EB">
      <w:pPr>
        <w:pStyle w:val="23"/>
        <w:ind w:firstLine="0" w:firstLineChars="0"/>
        <w:rPr>
          <w:rFonts w:cs="宋体"/>
          <w:color w:val="auto"/>
          <w:highlight w:val="none"/>
        </w:rPr>
      </w:pPr>
    </w:p>
    <w:p w14:paraId="567750B5">
      <w:pPr>
        <w:pStyle w:val="23"/>
        <w:ind w:firstLine="0" w:firstLineChars="0"/>
        <w:rPr>
          <w:rFonts w:cs="宋体"/>
          <w:color w:val="auto"/>
          <w:highlight w:val="none"/>
        </w:rPr>
      </w:pPr>
    </w:p>
    <w:p w14:paraId="0B534BE7">
      <w:pPr>
        <w:pStyle w:val="23"/>
        <w:ind w:firstLine="0" w:firstLineChars="0"/>
        <w:rPr>
          <w:rFonts w:cs="宋体"/>
          <w:color w:val="auto"/>
          <w:highlight w:val="none"/>
        </w:rPr>
      </w:pPr>
    </w:p>
    <w:p w14:paraId="17CCC2F7">
      <w:pPr>
        <w:pStyle w:val="23"/>
        <w:ind w:firstLine="0" w:firstLineChars="0"/>
        <w:rPr>
          <w:rFonts w:cs="宋体"/>
          <w:color w:val="auto"/>
          <w:highlight w:val="none"/>
        </w:rPr>
      </w:pPr>
    </w:p>
    <w:p w14:paraId="72529F54">
      <w:pPr>
        <w:pStyle w:val="23"/>
        <w:ind w:firstLine="0" w:firstLineChars="0"/>
        <w:rPr>
          <w:rFonts w:cs="宋体"/>
          <w:color w:val="auto"/>
          <w:highlight w:val="none"/>
        </w:rPr>
      </w:pPr>
    </w:p>
    <w:p w14:paraId="24DB3510">
      <w:pPr>
        <w:pStyle w:val="23"/>
        <w:ind w:firstLine="0" w:firstLineChars="0"/>
        <w:rPr>
          <w:rFonts w:cs="宋体"/>
          <w:color w:val="auto"/>
          <w:highlight w:val="none"/>
        </w:rPr>
      </w:pPr>
    </w:p>
    <w:p w14:paraId="7DAF8257">
      <w:pPr>
        <w:pStyle w:val="23"/>
        <w:ind w:firstLine="0" w:firstLineChars="0"/>
        <w:rPr>
          <w:rFonts w:cs="宋体"/>
          <w:color w:val="auto"/>
          <w:highlight w:val="none"/>
        </w:rPr>
      </w:pPr>
    </w:p>
    <w:p w14:paraId="41CF24A1">
      <w:pPr>
        <w:pStyle w:val="23"/>
        <w:ind w:firstLine="0" w:firstLineChars="0"/>
        <w:rPr>
          <w:rFonts w:cs="宋体"/>
          <w:color w:val="auto"/>
          <w:highlight w:val="none"/>
        </w:rPr>
      </w:pPr>
    </w:p>
    <w:p w14:paraId="045CC7EE">
      <w:pPr>
        <w:pStyle w:val="23"/>
        <w:ind w:firstLine="0" w:firstLineChars="0"/>
        <w:rPr>
          <w:rFonts w:cs="宋体"/>
          <w:color w:val="auto"/>
          <w:highlight w:val="none"/>
        </w:rPr>
      </w:pPr>
    </w:p>
    <w:p w14:paraId="3325C5A7">
      <w:pPr>
        <w:pStyle w:val="23"/>
        <w:ind w:firstLine="0" w:firstLineChars="0"/>
        <w:rPr>
          <w:rFonts w:cs="宋体"/>
          <w:color w:val="auto"/>
          <w:highlight w:val="none"/>
        </w:rPr>
      </w:pPr>
    </w:p>
    <w:p w14:paraId="1BB57853">
      <w:pPr>
        <w:pStyle w:val="23"/>
        <w:ind w:firstLine="0" w:firstLineChars="0"/>
        <w:rPr>
          <w:rFonts w:cs="宋体"/>
          <w:color w:val="auto"/>
          <w:highlight w:val="none"/>
        </w:rPr>
      </w:pPr>
    </w:p>
    <w:p w14:paraId="0077D851">
      <w:pPr>
        <w:pStyle w:val="23"/>
        <w:ind w:firstLine="0" w:firstLineChars="0"/>
        <w:rPr>
          <w:rFonts w:cs="宋体"/>
          <w:color w:val="auto"/>
          <w:highlight w:val="none"/>
        </w:rPr>
      </w:pPr>
    </w:p>
    <w:p w14:paraId="565B446E">
      <w:pPr>
        <w:pStyle w:val="23"/>
        <w:ind w:firstLine="0" w:firstLineChars="0"/>
        <w:rPr>
          <w:rFonts w:cs="宋体"/>
          <w:color w:val="auto"/>
          <w:highlight w:val="none"/>
        </w:rPr>
      </w:pPr>
    </w:p>
    <w:p w14:paraId="13892D17">
      <w:pPr>
        <w:pStyle w:val="23"/>
        <w:ind w:firstLine="0" w:firstLineChars="0"/>
        <w:rPr>
          <w:rFonts w:cs="宋体"/>
          <w:color w:val="auto"/>
          <w:highlight w:val="none"/>
        </w:rPr>
      </w:pPr>
    </w:p>
    <w:p w14:paraId="3D4DA565">
      <w:pPr>
        <w:pStyle w:val="23"/>
        <w:ind w:firstLine="0" w:firstLineChars="0"/>
        <w:rPr>
          <w:rFonts w:cs="宋体"/>
          <w:color w:val="auto"/>
          <w:highlight w:val="none"/>
        </w:rPr>
      </w:pPr>
    </w:p>
    <w:p w14:paraId="2160E074">
      <w:pPr>
        <w:pStyle w:val="23"/>
        <w:ind w:firstLine="0" w:firstLineChars="0"/>
        <w:rPr>
          <w:rFonts w:cs="宋体"/>
          <w:color w:val="auto"/>
          <w:highlight w:val="none"/>
        </w:rPr>
      </w:pPr>
    </w:p>
    <w:p w14:paraId="1E8BAFCD">
      <w:pPr>
        <w:pStyle w:val="23"/>
        <w:ind w:firstLine="0" w:firstLineChars="0"/>
        <w:rPr>
          <w:rFonts w:cs="宋体"/>
          <w:color w:val="auto"/>
          <w:highlight w:val="none"/>
        </w:rPr>
      </w:pPr>
    </w:p>
    <w:p w14:paraId="741FCAA6">
      <w:pPr>
        <w:pStyle w:val="23"/>
        <w:ind w:firstLine="0" w:firstLineChars="0"/>
        <w:rPr>
          <w:rFonts w:cs="宋体"/>
          <w:color w:val="auto"/>
          <w:highlight w:val="none"/>
        </w:rPr>
      </w:pPr>
    </w:p>
    <w:p w14:paraId="3D8F0DF1">
      <w:pPr>
        <w:pStyle w:val="23"/>
        <w:ind w:firstLine="0" w:firstLineChars="0"/>
        <w:rPr>
          <w:rFonts w:cs="宋体"/>
          <w:color w:val="auto"/>
          <w:highlight w:val="none"/>
        </w:rPr>
      </w:pPr>
    </w:p>
    <w:p w14:paraId="340F2DA3">
      <w:pPr>
        <w:pStyle w:val="23"/>
        <w:ind w:firstLine="0" w:firstLineChars="0"/>
        <w:rPr>
          <w:rFonts w:cs="宋体"/>
          <w:color w:val="auto"/>
          <w:highlight w:val="none"/>
        </w:rPr>
      </w:pPr>
    </w:p>
    <w:p w14:paraId="3F8433AF">
      <w:pPr>
        <w:pStyle w:val="23"/>
        <w:ind w:firstLine="0" w:firstLineChars="0"/>
        <w:rPr>
          <w:rFonts w:cs="宋体"/>
          <w:color w:val="auto"/>
          <w:highlight w:val="none"/>
        </w:rPr>
      </w:pPr>
    </w:p>
    <w:p w14:paraId="7222626F">
      <w:pPr>
        <w:pStyle w:val="23"/>
        <w:ind w:firstLine="0" w:firstLineChars="0"/>
        <w:rPr>
          <w:rFonts w:cs="宋体"/>
          <w:color w:val="auto"/>
          <w:highlight w:val="none"/>
        </w:rPr>
      </w:pPr>
    </w:p>
    <w:p w14:paraId="0534B15B">
      <w:pPr>
        <w:pStyle w:val="23"/>
        <w:ind w:firstLine="0" w:firstLineChars="0"/>
        <w:rPr>
          <w:rFonts w:cs="宋体"/>
          <w:color w:val="auto"/>
          <w:highlight w:val="none"/>
        </w:rPr>
      </w:pPr>
    </w:p>
    <w:p w14:paraId="50DBE5A5">
      <w:pPr>
        <w:pStyle w:val="23"/>
        <w:ind w:firstLine="0" w:firstLineChars="0"/>
        <w:rPr>
          <w:rFonts w:cs="宋体"/>
          <w:color w:val="auto"/>
          <w:highlight w:val="none"/>
        </w:rPr>
      </w:pPr>
    </w:p>
    <w:p w14:paraId="6F03660C">
      <w:pPr>
        <w:pStyle w:val="23"/>
        <w:ind w:firstLine="0" w:firstLineChars="0"/>
        <w:rPr>
          <w:rFonts w:cs="宋体"/>
          <w:color w:val="auto"/>
          <w:highlight w:val="none"/>
        </w:rPr>
      </w:pPr>
    </w:p>
    <w:p w14:paraId="56BDA573">
      <w:pPr>
        <w:pStyle w:val="23"/>
        <w:ind w:firstLine="0" w:firstLineChars="0"/>
        <w:rPr>
          <w:rFonts w:cs="宋体"/>
          <w:color w:val="auto"/>
          <w:highlight w:val="none"/>
        </w:rPr>
      </w:pPr>
    </w:p>
    <w:p w14:paraId="76C096C7">
      <w:pPr>
        <w:pStyle w:val="23"/>
        <w:ind w:firstLine="0" w:firstLineChars="0"/>
        <w:rPr>
          <w:rFonts w:cs="宋体"/>
          <w:color w:val="auto"/>
          <w:highlight w:val="none"/>
        </w:rPr>
      </w:pPr>
    </w:p>
    <w:p w14:paraId="561F5506">
      <w:pPr>
        <w:pStyle w:val="23"/>
        <w:ind w:firstLine="0" w:firstLineChars="0"/>
        <w:rPr>
          <w:rFonts w:cs="宋体"/>
          <w:color w:val="auto"/>
          <w:highlight w:val="none"/>
        </w:rPr>
      </w:pPr>
    </w:p>
    <w:p w14:paraId="75F6AB63">
      <w:pPr>
        <w:pStyle w:val="23"/>
        <w:ind w:firstLine="0" w:firstLineChars="0"/>
        <w:rPr>
          <w:rFonts w:cs="宋体"/>
          <w:color w:val="auto"/>
          <w:highlight w:val="none"/>
        </w:rPr>
      </w:pPr>
    </w:p>
    <w:p w14:paraId="1A58D0C9">
      <w:pPr>
        <w:pStyle w:val="23"/>
        <w:ind w:firstLine="0" w:firstLineChars="0"/>
        <w:rPr>
          <w:rFonts w:cs="宋体"/>
          <w:color w:val="auto"/>
          <w:highlight w:val="none"/>
        </w:rPr>
      </w:pPr>
    </w:p>
    <w:p w14:paraId="4A2CCA05">
      <w:pPr>
        <w:pStyle w:val="23"/>
        <w:ind w:firstLine="0" w:firstLineChars="0"/>
        <w:rPr>
          <w:rFonts w:cs="宋体"/>
          <w:color w:val="auto"/>
          <w:highlight w:val="none"/>
        </w:rPr>
      </w:pPr>
    </w:p>
    <w:p w14:paraId="677CAF0A">
      <w:pPr>
        <w:pStyle w:val="23"/>
        <w:ind w:firstLine="0" w:firstLineChars="0"/>
        <w:rPr>
          <w:rFonts w:cs="宋体"/>
          <w:color w:val="auto"/>
          <w:highlight w:val="none"/>
        </w:rPr>
      </w:pPr>
    </w:p>
    <w:p w14:paraId="73B8A617">
      <w:pPr>
        <w:pStyle w:val="23"/>
        <w:ind w:firstLine="0" w:firstLineChars="0"/>
        <w:rPr>
          <w:rFonts w:cs="宋体"/>
          <w:color w:val="auto"/>
          <w:highlight w:val="none"/>
        </w:rPr>
      </w:pPr>
    </w:p>
    <w:p w14:paraId="440C7AAD">
      <w:pPr>
        <w:pStyle w:val="23"/>
        <w:ind w:firstLine="0" w:firstLineChars="0"/>
        <w:rPr>
          <w:rFonts w:cs="宋体"/>
          <w:color w:val="auto"/>
          <w:highlight w:val="none"/>
        </w:rPr>
      </w:pPr>
    </w:p>
    <w:p w14:paraId="70E06CD1">
      <w:pPr>
        <w:pStyle w:val="23"/>
        <w:ind w:firstLine="0" w:firstLineChars="0"/>
        <w:rPr>
          <w:rFonts w:cs="宋体"/>
          <w:color w:val="auto"/>
          <w:highlight w:val="none"/>
        </w:rPr>
      </w:pPr>
    </w:p>
    <w:p w14:paraId="57AD2B14">
      <w:pPr>
        <w:pStyle w:val="23"/>
        <w:ind w:firstLine="0" w:firstLineChars="0"/>
        <w:rPr>
          <w:rFonts w:cs="宋体"/>
          <w:color w:val="auto"/>
          <w:highlight w:val="none"/>
        </w:rPr>
      </w:pPr>
    </w:p>
    <w:p w14:paraId="4DA5C9ED">
      <w:pPr>
        <w:pStyle w:val="23"/>
        <w:ind w:firstLine="0" w:firstLineChars="0"/>
        <w:rPr>
          <w:rFonts w:cs="宋体"/>
          <w:color w:val="auto"/>
          <w:highlight w:val="none"/>
        </w:rPr>
      </w:pPr>
    </w:p>
    <w:p w14:paraId="79F69C6E">
      <w:pPr>
        <w:pStyle w:val="23"/>
        <w:ind w:firstLine="0" w:firstLineChars="0"/>
        <w:rPr>
          <w:rFonts w:cs="宋体"/>
          <w:color w:val="auto"/>
          <w:highlight w:val="none"/>
        </w:rPr>
      </w:pPr>
    </w:p>
    <w:p w14:paraId="0D14F174">
      <w:pPr>
        <w:pStyle w:val="23"/>
        <w:ind w:firstLine="0" w:firstLineChars="0"/>
        <w:rPr>
          <w:rFonts w:cs="宋体"/>
          <w:color w:val="auto"/>
          <w:highlight w:val="none"/>
        </w:rPr>
      </w:pPr>
    </w:p>
    <w:p w14:paraId="4DBACC54">
      <w:pPr>
        <w:pStyle w:val="23"/>
        <w:ind w:firstLine="0" w:firstLineChars="0"/>
        <w:rPr>
          <w:rFonts w:cs="宋体"/>
          <w:color w:val="auto"/>
          <w:highlight w:val="none"/>
        </w:rPr>
      </w:pPr>
    </w:p>
    <w:p w14:paraId="0B6066EC">
      <w:pPr>
        <w:pStyle w:val="23"/>
        <w:ind w:firstLine="0" w:firstLineChars="0"/>
        <w:rPr>
          <w:rFonts w:cs="宋体"/>
          <w:color w:val="auto"/>
          <w:highlight w:val="none"/>
        </w:rPr>
      </w:pPr>
    </w:p>
    <w:p w14:paraId="29DBD9BC">
      <w:pPr>
        <w:pStyle w:val="23"/>
        <w:ind w:firstLine="0" w:firstLineChars="0"/>
        <w:rPr>
          <w:rFonts w:cs="宋体"/>
          <w:color w:val="auto"/>
          <w:highlight w:val="none"/>
        </w:rPr>
      </w:pPr>
      <w:r>
        <w:rPr>
          <w:color w:val="auto"/>
          <w:highlight w:val="none"/>
        </w:rPr>
        <w:drawing>
          <wp:anchor distT="0" distB="0" distL="114300" distR="114300" simplePos="0" relativeHeight="251693056" behindDoc="1" locked="0" layoutInCell="1" allowOverlap="1">
            <wp:simplePos x="0" y="0"/>
            <wp:positionH relativeFrom="column">
              <wp:posOffset>295275</wp:posOffset>
            </wp:positionH>
            <wp:positionV relativeFrom="paragraph">
              <wp:posOffset>-5204460</wp:posOffset>
            </wp:positionV>
            <wp:extent cx="5269865" cy="7232015"/>
            <wp:effectExtent l="0" t="0" r="6985" b="6985"/>
            <wp:wrapNone/>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73"/>
                    <a:stretch>
                      <a:fillRect/>
                    </a:stretch>
                  </pic:blipFill>
                  <pic:spPr>
                    <a:xfrm>
                      <a:off x="0" y="0"/>
                      <a:ext cx="5269865" cy="7232015"/>
                    </a:xfrm>
                    <a:prstGeom prst="rect">
                      <a:avLst/>
                    </a:prstGeom>
                    <a:noFill/>
                    <a:ln>
                      <a:noFill/>
                    </a:ln>
                  </pic:spPr>
                </pic:pic>
              </a:graphicData>
            </a:graphic>
          </wp:anchor>
        </w:drawing>
      </w:r>
    </w:p>
    <w:p w14:paraId="103E2994">
      <w:pPr>
        <w:pStyle w:val="23"/>
        <w:ind w:firstLine="0" w:firstLineChars="0"/>
        <w:rPr>
          <w:rFonts w:cs="宋体"/>
          <w:color w:val="auto"/>
          <w:highlight w:val="none"/>
        </w:rPr>
      </w:pPr>
    </w:p>
    <w:p w14:paraId="0327D469">
      <w:pPr>
        <w:pStyle w:val="23"/>
        <w:ind w:firstLine="0" w:firstLineChars="0"/>
        <w:rPr>
          <w:rFonts w:cs="宋体"/>
          <w:color w:val="auto"/>
          <w:highlight w:val="none"/>
        </w:rPr>
      </w:pPr>
    </w:p>
    <w:p w14:paraId="35B17BBE">
      <w:pPr>
        <w:pStyle w:val="23"/>
        <w:ind w:firstLine="0" w:firstLineChars="0"/>
        <w:rPr>
          <w:rFonts w:cs="宋体"/>
          <w:color w:val="auto"/>
          <w:highlight w:val="none"/>
        </w:rPr>
      </w:pPr>
    </w:p>
    <w:p w14:paraId="3DF2F662">
      <w:pPr>
        <w:pStyle w:val="23"/>
        <w:ind w:firstLine="0" w:firstLineChars="0"/>
        <w:rPr>
          <w:rFonts w:cs="宋体"/>
          <w:color w:val="auto"/>
          <w:highlight w:val="none"/>
        </w:rPr>
      </w:pPr>
    </w:p>
    <w:p w14:paraId="16736A26">
      <w:pPr>
        <w:pStyle w:val="23"/>
        <w:ind w:firstLine="0" w:firstLineChars="0"/>
        <w:rPr>
          <w:rFonts w:cs="宋体"/>
          <w:color w:val="auto"/>
          <w:highlight w:val="none"/>
        </w:rPr>
      </w:pPr>
    </w:p>
    <w:p w14:paraId="0D1D4096">
      <w:pPr>
        <w:pStyle w:val="23"/>
        <w:ind w:firstLine="0" w:firstLineChars="0"/>
        <w:rPr>
          <w:rFonts w:cs="宋体"/>
          <w:color w:val="auto"/>
          <w:highlight w:val="none"/>
        </w:rPr>
      </w:pPr>
    </w:p>
    <w:p w14:paraId="0D0B52D3">
      <w:pPr>
        <w:pStyle w:val="23"/>
        <w:ind w:firstLine="0" w:firstLineChars="0"/>
        <w:rPr>
          <w:rFonts w:cs="宋体"/>
          <w:color w:val="auto"/>
          <w:highlight w:val="none"/>
        </w:rPr>
      </w:pPr>
    </w:p>
    <w:p w14:paraId="54FBD557">
      <w:pPr>
        <w:pStyle w:val="23"/>
        <w:ind w:firstLine="0" w:firstLineChars="0"/>
        <w:rPr>
          <w:rFonts w:cs="宋体"/>
          <w:color w:val="auto"/>
          <w:highlight w:val="none"/>
        </w:rPr>
      </w:pPr>
      <w:r>
        <w:rPr>
          <w:color w:val="auto"/>
          <w:highlight w:val="none"/>
        </w:rPr>
        <w:drawing>
          <wp:anchor distT="0" distB="0" distL="114300" distR="114300" simplePos="0" relativeHeight="251694080" behindDoc="1" locked="0" layoutInCell="1" allowOverlap="1">
            <wp:simplePos x="0" y="0"/>
            <wp:positionH relativeFrom="column">
              <wp:posOffset>-57150</wp:posOffset>
            </wp:positionH>
            <wp:positionV relativeFrom="paragraph">
              <wp:posOffset>116840</wp:posOffset>
            </wp:positionV>
            <wp:extent cx="5274310" cy="7501890"/>
            <wp:effectExtent l="0" t="0" r="2540" b="3810"/>
            <wp:wrapNone/>
            <wp:docPr id="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pic:cNvPicPr>
                      <a:picLocks noChangeAspect="1"/>
                    </pic:cNvPicPr>
                  </pic:nvPicPr>
                  <pic:blipFill>
                    <a:blip r:embed="rId74"/>
                    <a:stretch>
                      <a:fillRect/>
                    </a:stretch>
                  </pic:blipFill>
                  <pic:spPr>
                    <a:xfrm>
                      <a:off x="0" y="0"/>
                      <a:ext cx="5274310" cy="7501890"/>
                    </a:xfrm>
                    <a:prstGeom prst="rect">
                      <a:avLst/>
                    </a:prstGeom>
                    <a:noFill/>
                    <a:ln>
                      <a:noFill/>
                    </a:ln>
                  </pic:spPr>
                </pic:pic>
              </a:graphicData>
            </a:graphic>
          </wp:anchor>
        </w:drawing>
      </w:r>
    </w:p>
    <w:p w14:paraId="32945F09">
      <w:pPr>
        <w:pStyle w:val="23"/>
        <w:ind w:firstLine="0" w:firstLineChars="0"/>
        <w:rPr>
          <w:rFonts w:cs="宋体"/>
          <w:color w:val="auto"/>
          <w:highlight w:val="none"/>
        </w:rPr>
      </w:pPr>
    </w:p>
    <w:p w14:paraId="1AE7BB6D">
      <w:pPr>
        <w:pStyle w:val="23"/>
        <w:ind w:firstLine="0" w:firstLineChars="0"/>
        <w:rPr>
          <w:rFonts w:cs="宋体"/>
          <w:color w:val="auto"/>
          <w:highlight w:val="none"/>
        </w:rPr>
      </w:pPr>
    </w:p>
    <w:p w14:paraId="45112F37">
      <w:pPr>
        <w:pStyle w:val="23"/>
        <w:ind w:firstLine="0" w:firstLineChars="0"/>
        <w:rPr>
          <w:rFonts w:cs="宋体"/>
          <w:color w:val="auto"/>
          <w:highlight w:val="none"/>
        </w:rPr>
      </w:pPr>
    </w:p>
    <w:p w14:paraId="5CE940D1">
      <w:pPr>
        <w:pStyle w:val="23"/>
        <w:ind w:firstLine="0" w:firstLineChars="0"/>
        <w:rPr>
          <w:rFonts w:cs="宋体"/>
          <w:color w:val="auto"/>
          <w:highlight w:val="none"/>
        </w:rPr>
      </w:pPr>
    </w:p>
    <w:p w14:paraId="5C1E3B70">
      <w:pPr>
        <w:pStyle w:val="23"/>
        <w:ind w:firstLine="0" w:firstLineChars="0"/>
        <w:rPr>
          <w:rFonts w:cs="宋体"/>
          <w:color w:val="auto"/>
          <w:highlight w:val="none"/>
        </w:rPr>
      </w:pPr>
    </w:p>
    <w:p w14:paraId="1853D63A">
      <w:pPr>
        <w:pStyle w:val="23"/>
        <w:ind w:firstLine="0" w:firstLineChars="0"/>
        <w:rPr>
          <w:rFonts w:cs="宋体"/>
          <w:color w:val="auto"/>
          <w:highlight w:val="none"/>
        </w:rPr>
      </w:pPr>
    </w:p>
    <w:p w14:paraId="33B81BD1">
      <w:pPr>
        <w:pStyle w:val="23"/>
        <w:ind w:firstLine="0" w:firstLineChars="0"/>
        <w:rPr>
          <w:rFonts w:cs="宋体"/>
          <w:color w:val="auto"/>
          <w:highlight w:val="none"/>
        </w:rPr>
      </w:pPr>
    </w:p>
    <w:p w14:paraId="64EA976D">
      <w:pPr>
        <w:pStyle w:val="23"/>
        <w:ind w:firstLine="0" w:firstLineChars="0"/>
        <w:rPr>
          <w:rFonts w:cs="宋体"/>
          <w:color w:val="auto"/>
          <w:highlight w:val="none"/>
        </w:rPr>
      </w:pPr>
    </w:p>
    <w:p w14:paraId="51AA787C">
      <w:pPr>
        <w:pStyle w:val="23"/>
        <w:ind w:firstLine="0" w:firstLineChars="0"/>
        <w:rPr>
          <w:rFonts w:cs="宋体"/>
          <w:color w:val="auto"/>
          <w:highlight w:val="none"/>
        </w:rPr>
      </w:pPr>
    </w:p>
    <w:p w14:paraId="323919DA">
      <w:pPr>
        <w:pStyle w:val="23"/>
        <w:ind w:firstLine="0" w:firstLineChars="0"/>
        <w:rPr>
          <w:rFonts w:cs="宋体"/>
          <w:color w:val="auto"/>
          <w:highlight w:val="none"/>
        </w:rPr>
      </w:pPr>
    </w:p>
    <w:p w14:paraId="676BA0E8">
      <w:pPr>
        <w:pStyle w:val="23"/>
        <w:ind w:firstLine="0" w:firstLineChars="0"/>
        <w:rPr>
          <w:rFonts w:cs="宋体"/>
          <w:color w:val="auto"/>
          <w:highlight w:val="none"/>
        </w:rPr>
      </w:pPr>
    </w:p>
    <w:p w14:paraId="3B359FA0">
      <w:pPr>
        <w:pStyle w:val="23"/>
        <w:ind w:firstLine="0" w:firstLineChars="0"/>
        <w:rPr>
          <w:rFonts w:cs="宋体"/>
          <w:color w:val="auto"/>
          <w:highlight w:val="none"/>
        </w:rPr>
      </w:pPr>
    </w:p>
    <w:p w14:paraId="56C4D696">
      <w:pPr>
        <w:pStyle w:val="23"/>
        <w:ind w:firstLine="0" w:firstLineChars="0"/>
        <w:rPr>
          <w:rFonts w:cs="宋体"/>
          <w:color w:val="auto"/>
          <w:highlight w:val="none"/>
        </w:rPr>
      </w:pPr>
    </w:p>
    <w:p w14:paraId="42545726">
      <w:pPr>
        <w:pStyle w:val="23"/>
        <w:ind w:firstLine="0" w:firstLineChars="0"/>
        <w:rPr>
          <w:rFonts w:cs="宋体"/>
          <w:color w:val="auto"/>
          <w:highlight w:val="none"/>
        </w:rPr>
      </w:pPr>
    </w:p>
    <w:p w14:paraId="3374F640">
      <w:pPr>
        <w:pStyle w:val="23"/>
        <w:ind w:firstLine="0" w:firstLineChars="0"/>
        <w:rPr>
          <w:rFonts w:cs="宋体"/>
          <w:color w:val="auto"/>
          <w:highlight w:val="none"/>
        </w:rPr>
      </w:pPr>
    </w:p>
    <w:p w14:paraId="25C75513">
      <w:pPr>
        <w:pStyle w:val="23"/>
        <w:ind w:firstLine="0" w:firstLineChars="0"/>
        <w:rPr>
          <w:rFonts w:cs="宋体"/>
          <w:color w:val="auto"/>
          <w:highlight w:val="none"/>
        </w:rPr>
      </w:pPr>
    </w:p>
    <w:p w14:paraId="3A64D3F6">
      <w:pPr>
        <w:pStyle w:val="23"/>
        <w:ind w:firstLine="0" w:firstLineChars="0"/>
        <w:rPr>
          <w:rFonts w:cs="宋体"/>
          <w:color w:val="auto"/>
          <w:highlight w:val="none"/>
        </w:rPr>
      </w:pPr>
    </w:p>
    <w:p w14:paraId="291CE048">
      <w:pPr>
        <w:pStyle w:val="23"/>
        <w:ind w:firstLine="0" w:firstLineChars="0"/>
        <w:rPr>
          <w:rFonts w:cs="宋体"/>
          <w:color w:val="auto"/>
          <w:highlight w:val="none"/>
        </w:rPr>
      </w:pPr>
    </w:p>
    <w:p w14:paraId="11C287FB">
      <w:pPr>
        <w:pStyle w:val="23"/>
        <w:ind w:firstLine="0" w:firstLineChars="0"/>
        <w:rPr>
          <w:rFonts w:cs="宋体"/>
          <w:color w:val="auto"/>
          <w:highlight w:val="none"/>
        </w:rPr>
      </w:pPr>
    </w:p>
    <w:p w14:paraId="7D2F7311">
      <w:pPr>
        <w:pStyle w:val="23"/>
        <w:ind w:firstLine="0" w:firstLineChars="0"/>
        <w:rPr>
          <w:rFonts w:cs="宋体"/>
          <w:color w:val="auto"/>
          <w:highlight w:val="none"/>
        </w:rPr>
      </w:pPr>
    </w:p>
    <w:p w14:paraId="31BF544D">
      <w:pPr>
        <w:pStyle w:val="23"/>
        <w:ind w:firstLine="0" w:firstLineChars="0"/>
        <w:rPr>
          <w:rFonts w:cs="宋体"/>
          <w:color w:val="auto"/>
          <w:highlight w:val="none"/>
        </w:rPr>
      </w:pPr>
    </w:p>
    <w:p w14:paraId="19B231CE">
      <w:pPr>
        <w:pStyle w:val="23"/>
        <w:ind w:firstLine="0" w:firstLineChars="0"/>
        <w:rPr>
          <w:rFonts w:cs="宋体"/>
          <w:color w:val="auto"/>
          <w:highlight w:val="none"/>
        </w:rPr>
      </w:pPr>
    </w:p>
    <w:p w14:paraId="5D2D06C4">
      <w:pPr>
        <w:pStyle w:val="23"/>
        <w:ind w:firstLine="0" w:firstLineChars="0"/>
        <w:rPr>
          <w:rFonts w:cs="宋体"/>
          <w:color w:val="auto"/>
          <w:highlight w:val="none"/>
        </w:rPr>
      </w:pPr>
    </w:p>
    <w:p w14:paraId="4D1FD659">
      <w:pPr>
        <w:pStyle w:val="23"/>
        <w:ind w:firstLine="0" w:firstLineChars="0"/>
        <w:rPr>
          <w:rFonts w:cs="宋体"/>
          <w:color w:val="auto"/>
          <w:highlight w:val="none"/>
        </w:rPr>
      </w:pPr>
    </w:p>
    <w:p w14:paraId="42112C30">
      <w:pPr>
        <w:pStyle w:val="23"/>
        <w:ind w:firstLine="0" w:firstLineChars="0"/>
        <w:rPr>
          <w:rFonts w:cs="宋体"/>
          <w:color w:val="auto"/>
          <w:highlight w:val="none"/>
        </w:rPr>
      </w:pPr>
    </w:p>
    <w:p w14:paraId="587609D0">
      <w:pPr>
        <w:pStyle w:val="23"/>
        <w:ind w:firstLine="0" w:firstLineChars="0"/>
        <w:rPr>
          <w:rFonts w:cs="宋体"/>
          <w:color w:val="auto"/>
          <w:highlight w:val="none"/>
        </w:rPr>
      </w:pPr>
    </w:p>
    <w:p w14:paraId="52DCFFA9">
      <w:pPr>
        <w:pStyle w:val="23"/>
        <w:ind w:firstLine="0" w:firstLineChars="0"/>
        <w:rPr>
          <w:rFonts w:cs="宋体"/>
          <w:color w:val="auto"/>
          <w:highlight w:val="none"/>
        </w:rPr>
      </w:pPr>
    </w:p>
    <w:p w14:paraId="13E83A86">
      <w:pPr>
        <w:pStyle w:val="23"/>
        <w:ind w:firstLine="0" w:firstLineChars="0"/>
        <w:rPr>
          <w:rFonts w:cs="宋体"/>
          <w:color w:val="auto"/>
          <w:highlight w:val="none"/>
        </w:rPr>
      </w:pPr>
      <w:r>
        <w:rPr>
          <w:color w:val="auto"/>
          <w:highlight w:val="none"/>
        </w:rPr>
        <w:drawing>
          <wp:anchor distT="0" distB="0" distL="114300" distR="114300" simplePos="0" relativeHeight="251695104" behindDoc="1" locked="0" layoutInCell="1" allowOverlap="1">
            <wp:simplePos x="0" y="0"/>
            <wp:positionH relativeFrom="column">
              <wp:posOffset>95250</wp:posOffset>
            </wp:positionH>
            <wp:positionV relativeFrom="paragraph">
              <wp:posOffset>158115</wp:posOffset>
            </wp:positionV>
            <wp:extent cx="5273675" cy="7599680"/>
            <wp:effectExtent l="0" t="0" r="3175" b="1270"/>
            <wp:wrapNone/>
            <wp:docPr id="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pic:cNvPicPr>
                      <a:picLocks noChangeAspect="1"/>
                    </pic:cNvPicPr>
                  </pic:nvPicPr>
                  <pic:blipFill>
                    <a:blip r:embed="rId75"/>
                    <a:stretch>
                      <a:fillRect/>
                    </a:stretch>
                  </pic:blipFill>
                  <pic:spPr>
                    <a:xfrm>
                      <a:off x="0" y="0"/>
                      <a:ext cx="5273675" cy="7599680"/>
                    </a:xfrm>
                    <a:prstGeom prst="rect">
                      <a:avLst/>
                    </a:prstGeom>
                    <a:noFill/>
                    <a:ln>
                      <a:noFill/>
                    </a:ln>
                  </pic:spPr>
                </pic:pic>
              </a:graphicData>
            </a:graphic>
          </wp:anchor>
        </w:drawing>
      </w:r>
    </w:p>
    <w:p w14:paraId="15BC4FA3">
      <w:pPr>
        <w:pStyle w:val="23"/>
        <w:ind w:firstLine="0" w:firstLineChars="0"/>
        <w:rPr>
          <w:rFonts w:cs="宋体"/>
          <w:color w:val="auto"/>
          <w:highlight w:val="none"/>
        </w:rPr>
      </w:pPr>
    </w:p>
    <w:p w14:paraId="626327C1">
      <w:pPr>
        <w:pStyle w:val="23"/>
        <w:ind w:firstLine="0" w:firstLineChars="0"/>
        <w:rPr>
          <w:rFonts w:cs="宋体"/>
          <w:color w:val="auto"/>
          <w:highlight w:val="none"/>
        </w:rPr>
      </w:pPr>
    </w:p>
    <w:p w14:paraId="414C0D98">
      <w:pPr>
        <w:pStyle w:val="23"/>
        <w:ind w:firstLine="0" w:firstLineChars="0"/>
        <w:rPr>
          <w:rFonts w:cs="宋体"/>
          <w:color w:val="auto"/>
          <w:highlight w:val="none"/>
        </w:rPr>
      </w:pPr>
    </w:p>
    <w:p w14:paraId="5C177CCD">
      <w:pPr>
        <w:pStyle w:val="23"/>
        <w:ind w:firstLine="0" w:firstLineChars="0"/>
        <w:rPr>
          <w:rFonts w:cs="宋体"/>
          <w:color w:val="auto"/>
          <w:highlight w:val="none"/>
        </w:rPr>
      </w:pPr>
    </w:p>
    <w:p w14:paraId="744B6733">
      <w:pPr>
        <w:pStyle w:val="23"/>
        <w:ind w:firstLine="0" w:firstLineChars="0"/>
        <w:rPr>
          <w:rFonts w:cs="宋体"/>
          <w:color w:val="auto"/>
          <w:highlight w:val="none"/>
        </w:rPr>
      </w:pPr>
    </w:p>
    <w:p w14:paraId="346A993D">
      <w:pPr>
        <w:pStyle w:val="23"/>
        <w:ind w:firstLine="0" w:firstLineChars="0"/>
        <w:rPr>
          <w:rFonts w:cs="宋体"/>
          <w:color w:val="auto"/>
          <w:highlight w:val="none"/>
        </w:rPr>
      </w:pPr>
    </w:p>
    <w:p w14:paraId="7634FD64">
      <w:pPr>
        <w:pStyle w:val="23"/>
        <w:ind w:firstLine="0" w:firstLineChars="0"/>
        <w:rPr>
          <w:rFonts w:cs="宋体"/>
          <w:color w:val="auto"/>
          <w:highlight w:val="none"/>
        </w:rPr>
      </w:pPr>
    </w:p>
    <w:p w14:paraId="02466AC6">
      <w:pPr>
        <w:pStyle w:val="23"/>
        <w:ind w:firstLine="0" w:firstLineChars="0"/>
        <w:rPr>
          <w:rFonts w:cs="宋体"/>
          <w:color w:val="auto"/>
          <w:highlight w:val="none"/>
        </w:rPr>
      </w:pPr>
    </w:p>
    <w:p w14:paraId="37364E88">
      <w:pPr>
        <w:pStyle w:val="23"/>
        <w:ind w:firstLine="0" w:firstLineChars="0"/>
        <w:rPr>
          <w:rFonts w:cs="宋体"/>
          <w:color w:val="auto"/>
          <w:highlight w:val="none"/>
        </w:rPr>
      </w:pPr>
    </w:p>
    <w:p w14:paraId="0FD266C1">
      <w:pPr>
        <w:pStyle w:val="23"/>
        <w:ind w:firstLine="0" w:firstLineChars="0"/>
        <w:rPr>
          <w:rFonts w:cs="宋体"/>
          <w:color w:val="auto"/>
          <w:highlight w:val="none"/>
        </w:rPr>
      </w:pPr>
    </w:p>
    <w:p w14:paraId="0185D0BE">
      <w:pPr>
        <w:pStyle w:val="23"/>
        <w:ind w:firstLine="0" w:firstLineChars="0"/>
        <w:rPr>
          <w:rFonts w:cs="宋体"/>
          <w:color w:val="auto"/>
          <w:highlight w:val="none"/>
        </w:rPr>
      </w:pPr>
    </w:p>
    <w:p w14:paraId="56A0E5D3">
      <w:pPr>
        <w:pStyle w:val="23"/>
        <w:ind w:firstLine="0" w:firstLineChars="0"/>
        <w:rPr>
          <w:rFonts w:cs="宋体"/>
          <w:color w:val="auto"/>
          <w:highlight w:val="none"/>
        </w:rPr>
      </w:pPr>
    </w:p>
    <w:p w14:paraId="6AF45C06">
      <w:pPr>
        <w:pStyle w:val="23"/>
        <w:ind w:firstLine="0" w:firstLineChars="0"/>
        <w:rPr>
          <w:rFonts w:cs="宋体"/>
          <w:color w:val="auto"/>
          <w:highlight w:val="none"/>
        </w:rPr>
      </w:pPr>
    </w:p>
    <w:p w14:paraId="3699006F">
      <w:pPr>
        <w:pStyle w:val="23"/>
        <w:ind w:firstLine="0" w:firstLineChars="0"/>
        <w:rPr>
          <w:rFonts w:cs="宋体"/>
          <w:color w:val="auto"/>
          <w:highlight w:val="none"/>
        </w:rPr>
      </w:pPr>
    </w:p>
    <w:p w14:paraId="1DC81CC8">
      <w:pPr>
        <w:pStyle w:val="23"/>
        <w:ind w:firstLine="0" w:firstLineChars="0"/>
        <w:rPr>
          <w:rFonts w:cs="宋体"/>
          <w:color w:val="auto"/>
          <w:highlight w:val="none"/>
        </w:rPr>
      </w:pPr>
    </w:p>
    <w:p w14:paraId="312CEEAE">
      <w:pPr>
        <w:pStyle w:val="23"/>
        <w:ind w:firstLine="0" w:firstLineChars="0"/>
        <w:rPr>
          <w:rFonts w:cs="宋体"/>
          <w:color w:val="auto"/>
          <w:highlight w:val="none"/>
        </w:rPr>
      </w:pPr>
    </w:p>
    <w:p w14:paraId="4C640C87">
      <w:pPr>
        <w:pStyle w:val="23"/>
        <w:ind w:firstLine="0" w:firstLineChars="0"/>
        <w:rPr>
          <w:rFonts w:cs="宋体"/>
          <w:color w:val="auto"/>
          <w:highlight w:val="none"/>
        </w:rPr>
      </w:pPr>
    </w:p>
    <w:p w14:paraId="51A4CF89">
      <w:pPr>
        <w:pStyle w:val="23"/>
        <w:ind w:firstLine="0" w:firstLineChars="0"/>
        <w:rPr>
          <w:rFonts w:cs="宋体"/>
          <w:color w:val="auto"/>
          <w:highlight w:val="none"/>
        </w:rPr>
      </w:pPr>
    </w:p>
    <w:p w14:paraId="1AE960C9">
      <w:pPr>
        <w:pStyle w:val="23"/>
        <w:ind w:firstLine="0" w:firstLineChars="0"/>
        <w:rPr>
          <w:rFonts w:cs="宋体"/>
          <w:color w:val="auto"/>
          <w:highlight w:val="none"/>
        </w:rPr>
      </w:pPr>
    </w:p>
    <w:p w14:paraId="4FCE1DA1">
      <w:pPr>
        <w:pStyle w:val="23"/>
        <w:ind w:firstLine="0" w:firstLineChars="0"/>
        <w:rPr>
          <w:rFonts w:cs="宋体"/>
          <w:color w:val="auto"/>
          <w:highlight w:val="none"/>
        </w:rPr>
      </w:pPr>
    </w:p>
    <w:p w14:paraId="152548C2">
      <w:pPr>
        <w:pStyle w:val="23"/>
        <w:ind w:firstLine="0" w:firstLineChars="0"/>
        <w:rPr>
          <w:rFonts w:cs="宋体"/>
          <w:color w:val="auto"/>
          <w:highlight w:val="none"/>
        </w:rPr>
      </w:pPr>
    </w:p>
    <w:p w14:paraId="0646C36C">
      <w:pPr>
        <w:pStyle w:val="23"/>
        <w:ind w:firstLine="0" w:firstLineChars="0"/>
        <w:rPr>
          <w:rFonts w:cs="宋体"/>
          <w:color w:val="auto"/>
          <w:highlight w:val="none"/>
        </w:rPr>
      </w:pPr>
    </w:p>
    <w:p w14:paraId="0EAF28D6">
      <w:pPr>
        <w:pStyle w:val="23"/>
        <w:ind w:firstLine="0" w:firstLineChars="0"/>
        <w:rPr>
          <w:rFonts w:cs="宋体"/>
          <w:color w:val="auto"/>
          <w:highlight w:val="none"/>
        </w:rPr>
      </w:pPr>
    </w:p>
    <w:p w14:paraId="4615689A">
      <w:pPr>
        <w:pStyle w:val="23"/>
        <w:ind w:firstLine="0" w:firstLineChars="0"/>
        <w:rPr>
          <w:rFonts w:cs="宋体"/>
          <w:color w:val="auto"/>
          <w:highlight w:val="none"/>
        </w:rPr>
      </w:pPr>
    </w:p>
    <w:p w14:paraId="56E8C857">
      <w:pPr>
        <w:pStyle w:val="23"/>
        <w:ind w:firstLine="0" w:firstLineChars="0"/>
        <w:rPr>
          <w:rFonts w:cs="宋体"/>
          <w:color w:val="auto"/>
          <w:highlight w:val="none"/>
        </w:rPr>
      </w:pPr>
    </w:p>
    <w:p w14:paraId="20D28175">
      <w:pPr>
        <w:pStyle w:val="23"/>
        <w:ind w:firstLine="0" w:firstLineChars="0"/>
        <w:rPr>
          <w:rFonts w:cs="宋体"/>
          <w:color w:val="auto"/>
          <w:highlight w:val="none"/>
        </w:rPr>
      </w:pPr>
    </w:p>
    <w:p w14:paraId="08C1F639">
      <w:pPr>
        <w:pStyle w:val="23"/>
        <w:ind w:firstLine="0" w:firstLineChars="0"/>
        <w:rPr>
          <w:rFonts w:cs="宋体"/>
          <w:color w:val="auto"/>
          <w:highlight w:val="none"/>
        </w:rPr>
      </w:pPr>
    </w:p>
    <w:p w14:paraId="2B5409B8">
      <w:pPr>
        <w:pStyle w:val="23"/>
        <w:ind w:firstLine="0" w:firstLineChars="0"/>
        <w:rPr>
          <w:rFonts w:cs="宋体"/>
          <w:color w:val="auto"/>
          <w:highlight w:val="none"/>
        </w:rPr>
      </w:pPr>
    </w:p>
    <w:p w14:paraId="40CA9A5B">
      <w:pPr>
        <w:pStyle w:val="23"/>
        <w:ind w:firstLine="0" w:firstLineChars="0"/>
        <w:rPr>
          <w:rFonts w:cs="宋体"/>
          <w:color w:val="auto"/>
          <w:highlight w:val="none"/>
        </w:rPr>
      </w:pPr>
      <w:r>
        <w:rPr>
          <w:color w:val="auto"/>
          <w:highlight w:val="none"/>
        </w:rPr>
        <w:drawing>
          <wp:anchor distT="0" distB="0" distL="114300" distR="114300" simplePos="0" relativeHeight="251696128" behindDoc="1" locked="0" layoutInCell="1" allowOverlap="1">
            <wp:simplePos x="0" y="0"/>
            <wp:positionH relativeFrom="column">
              <wp:posOffset>95250</wp:posOffset>
            </wp:positionH>
            <wp:positionV relativeFrom="paragraph">
              <wp:posOffset>139065</wp:posOffset>
            </wp:positionV>
            <wp:extent cx="5271135" cy="7562850"/>
            <wp:effectExtent l="0" t="0" r="5715" b="0"/>
            <wp:wrapNone/>
            <wp:docPr id="5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8"/>
                    <pic:cNvPicPr>
                      <a:picLocks noChangeAspect="1"/>
                    </pic:cNvPicPr>
                  </pic:nvPicPr>
                  <pic:blipFill>
                    <a:blip r:embed="rId76"/>
                    <a:stretch>
                      <a:fillRect/>
                    </a:stretch>
                  </pic:blipFill>
                  <pic:spPr>
                    <a:xfrm>
                      <a:off x="0" y="0"/>
                      <a:ext cx="5271135" cy="7562850"/>
                    </a:xfrm>
                    <a:prstGeom prst="rect">
                      <a:avLst/>
                    </a:prstGeom>
                    <a:noFill/>
                    <a:ln>
                      <a:noFill/>
                    </a:ln>
                  </pic:spPr>
                </pic:pic>
              </a:graphicData>
            </a:graphic>
          </wp:anchor>
        </w:drawing>
      </w:r>
    </w:p>
    <w:p w14:paraId="5A2EAC88">
      <w:pPr>
        <w:pStyle w:val="23"/>
        <w:ind w:firstLine="0" w:firstLineChars="0"/>
        <w:rPr>
          <w:rFonts w:cs="宋体"/>
          <w:color w:val="auto"/>
          <w:highlight w:val="none"/>
        </w:rPr>
      </w:pPr>
    </w:p>
    <w:p w14:paraId="2CFAD838">
      <w:pPr>
        <w:pStyle w:val="23"/>
        <w:ind w:firstLine="0" w:firstLineChars="0"/>
        <w:rPr>
          <w:rFonts w:cs="宋体"/>
          <w:color w:val="auto"/>
          <w:highlight w:val="none"/>
        </w:rPr>
      </w:pPr>
    </w:p>
    <w:p w14:paraId="09A67773">
      <w:pPr>
        <w:pStyle w:val="23"/>
        <w:ind w:firstLine="0" w:firstLineChars="0"/>
        <w:rPr>
          <w:rFonts w:cs="宋体"/>
          <w:color w:val="auto"/>
          <w:highlight w:val="none"/>
        </w:rPr>
      </w:pPr>
    </w:p>
    <w:p w14:paraId="4F0E684C">
      <w:pPr>
        <w:pStyle w:val="23"/>
        <w:ind w:firstLine="0" w:firstLineChars="0"/>
        <w:rPr>
          <w:rFonts w:cs="宋体"/>
          <w:color w:val="auto"/>
          <w:highlight w:val="none"/>
        </w:rPr>
      </w:pPr>
    </w:p>
    <w:p w14:paraId="7CB845B5">
      <w:pPr>
        <w:pStyle w:val="23"/>
        <w:ind w:firstLine="0" w:firstLineChars="0"/>
        <w:rPr>
          <w:rFonts w:cs="宋体"/>
          <w:color w:val="auto"/>
          <w:highlight w:val="none"/>
        </w:rPr>
      </w:pPr>
    </w:p>
    <w:p w14:paraId="127693A6">
      <w:pPr>
        <w:pStyle w:val="23"/>
        <w:ind w:firstLine="0" w:firstLineChars="0"/>
        <w:rPr>
          <w:rFonts w:cs="宋体"/>
          <w:color w:val="auto"/>
          <w:highlight w:val="none"/>
        </w:rPr>
      </w:pPr>
    </w:p>
    <w:p w14:paraId="6E9F8CDE">
      <w:pPr>
        <w:pStyle w:val="23"/>
        <w:ind w:firstLine="0" w:firstLineChars="0"/>
        <w:rPr>
          <w:rFonts w:cs="宋体"/>
          <w:color w:val="auto"/>
          <w:highlight w:val="none"/>
        </w:rPr>
      </w:pPr>
    </w:p>
    <w:p w14:paraId="40439E93">
      <w:pPr>
        <w:pStyle w:val="23"/>
        <w:ind w:firstLine="0" w:firstLineChars="0"/>
        <w:rPr>
          <w:rFonts w:cs="宋体"/>
          <w:color w:val="auto"/>
          <w:highlight w:val="none"/>
        </w:rPr>
      </w:pPr>
    </w:p>
    <w:p w14:paraId="1F1A8F80">
      <w:pPr>
        <w:pStyle w:val="23"/>
        <w:ind w:firstLine="0" w:firstLineChars="0"/>
        <w:rPr>
          <w:rFonts w:cs="宋体"/>
          <w:color w:val="auto"/>
          <w:highlight w:val="none"/>
        </w:rPr>
      </w:pPr>
    </w:p>
    <w:p w14:paraId="02BA8676">
      <w:pPr>
        <w:pStyle w:val="23"/>
        <w:ind w:firstLine="0" w:firstLineChars="0"/>
        <w:rPr>
          <w:rFonts w:cs="宋体"/>
          <w:color w:val="auto"/>
          <w:highlight w:val="none"/>
        </w:rPr>
      </w:pPr>
    </w:p>
    <w:p w14:paraId="76CDCDBD">
      <w:pPr>
        <w:pStyle w:val="23"/>
        <w:ind w:firstLine="0" w:firstLineChars="0"/>
        <w:rPr>
          <w:rFonts w:cs="宋体"/>
          <w:color w:val="auto"/>
          <w:highlight w:val="none"/>
        </w:rPr>
      </w:pPr>
    </w:p>
    <w:p w14:paraId="552D8492">
      <w:pPr>
        <w:pStyle w:val="23"/>
        <w:ind w:firstLine="0" w:firstLineChars="0"/>
        <w:rPr>
          <w:rFonts w:cs="宋体"/>
          <w:color w:val="auto"/>
          <w:highlight w:val="none"/>
        </w:rPr>
      </w:pPr>
    </w:p>
    <w:p w14:paraId="335CAFDB">
      <w:pPr>
        <w:pStyle w:val="23"/>
        <w:ind w:firstLine="0" w:firstLineChars="0"/>
        <w:rPr>
          <w:rFonts w:cs="宋体"/>
          <w:color w:val="auto"/>
          <w:highlight w:val="none"/>
        </w:rPr>
      </w:pPr>
    </w:p>
    <w:p w14:paraId="257390B1">
      <w:pPr>
        <w:pStyle w:val="23"/>
        <w:ind w:firstLine="0" w:firstLineChars="0"/>
        <w:rPr>
          <w:rFonts w:cs="宋体"/>
          <w:color w:val="auto"/>
          <w:highlight w:val="none"/>
        </w:rPr>
      </w:pPr>
    </w:p>
    <w:p w14:paraId="5EBF12B4">
      <w:pPr>
        <w:pStyle w:val="23"/>
        <w:ind w:firstLine="0" w:firstLineChars="0"/>
        <w:rPr>
          <w:rFonts w:cs="宋体"/>
          <w:color w:val="auto"/>
          <w:highlight w:val="none"/>
        </w:rPr>
      </w:pPr>
    </w:p>
    <w:p w14:paraId="61A70160">
      <w:pPr>
        <w:pStyle w:val="23"/>
        <w:ind w:firstLine="0" w:firstLineChars="0"/>
        <w:rPr>
          <w:rFonts w:cs="宋体"/>
          <w:color w:val="auto"/>
          <w:highlight w:val="none"/>
        </w:rPr>
      </w:pPr>
    </w:p>
    <w:p w14:paraId="0F0C3759">
      <w:pPr>
        <w:pStyle w:val="23"/>
        <w:ind w:firstLine="0" w:firstLineChars="0"/>
        <w:rPr>
          <w:rFonts w:cs="宋体"/>
          <w:color w:val="auto"/>
          <w:highlight w:val="none"/>
        </w:rPr>
      </w:pPr>
    </w:p>
    <w:p w14:paraId="04F2105C">
      <w:pPr>
        <w:pStyle w:val="23"/>
        <w:ind w:firstLine="0" w:firstLineChars="0"/>
        <w:rPr>
          <w:rFonts w:cs="宋体"/>
          <w:color w:val="auto"/>
          <w:highlight w:val="none"/>
        </w:rPr>
      </w:pPr>
    </w:p>
    <w:p w14:paraId="17279DAA">
      <w:pPr>
        <w:pStyle w:val="23"/>
        <w:ind w:firstLine="0" w:firstLineChars="0"/>
        <w:rPr>
          <w:rFonts w:cs="宋体"/>
          <w:color w:val="auto"/>
          <w:highlight w:val="none"/>
        </w:rPr>
      </w:pPr>
    </w:p>
    <w:p w14:paraId="76D220B7">
      <w:pPr>
        <w:pStyle w:val="23"/>
        <w:ind w:firstLine="0" w:firstLineChars="0"/>
        <w:rPr>
          <w:rFonts w:cs="宋体"/>
          <w:color w:val="auto"/>
          <w:highlight w:val="none"/>
        </w:rPr>
      </w:pPr>
    </w:p>
    <w:p w14:paraId="6E8B916E">
      <w:pPr>
        <w:pStyle w:val="23"/>
        <w:ind w:firstLine="0" w:firstLineChars="0"/>
        <w:rPr>
          <w:rFonts w:cs="宋体"/>
          <w:color w:val="auto"/>
          <w:highlight w:val="none"/>
        </w:rPr>
      </w:pPr>
    </w:p>
    <w:p w14:paraId="6BC751D2">
      <w:pPr>
        <w:pStyle w:val="23"/>
        <w:ind w:firstLine="0" w:firstLineChars="0"/>
        <w:rPr>
          <w:rFonts w:cs="宋体"/>
          <w:color w:val="auto"/>
          <w:highlight w:val="none"/>
        </w:rPr>
      </w:pPr>
    </w:p>
    <w:p w14:paraId="45013366">
      <w:pPr>
        <w:pStyle w:val="23"/>
        <w:ind w:firstLine="0" w:firstLineChars="0"/>
        <w:rPr>
          <w:rFonts w:cs="宋体"/>
          <w:color w:val="auto"/>
          <w:highlight w:val="none"/>
        </w:rPr>
      </w:pPr>
    </w:p>
    <w:p w14:paraId="169E6E8A">
      <w:pPr>
        <w:pStyle w:val="23"/>
        <w:ind w:firstLine="0" w:firstLineChars="0"/>
        <w:rPr>
          <w:rFonts w:cs="宋体"/>
          <w:color w:val="auto"/>
          <w:highlight w:val="none"/>
        </w:rPr>
      </w:pPr>
    </w:p>
    <w:p w14:paraId="4D47C878">
      <w:pPr>
        <w:pStyle w:val="23"/>
        <w:ind w:firstLine="0" w:firstLineChars="0"/>
        <w:rPr>
          <w:rFonts w:cs="宋体"/>
          <w:color w:val="auto"/>
          <w:highlight w:val="none"/>
        </w:rPr>
      </w:pPr>
    </w:p>
    <w:p w14:paraId="1714D6EB">
      <w:pPr>
        <w:pStyle w:val="23"/>
        <w:ind w:firstLine="0" w:firstLineChars="0"/>
        <w:rPr>
          <w:rFonts w:cs="宋体"/>
          <w:color w:val="auto"/>
          <w:highlight w:val="none"/>
        </w:rPr>
      </w:pPr>
    </w:p>
    <w:p w14:paraId="1F33DBE2">
      <w:pPr>
        <w:pStyle w:val="23"/>
        <w:ind w:firstLine="0" w:firstLineChars="0"/>
        <w:rPr>
          <w:rFonts w:cs="宋体"/>
          <w:color w:val="auto"/>
          <w:highlight w:val="none"/>
        </w:rPr>
      </w:pPr>
      <w:r>
        <w:rPr>
          <w:color w:val="auto"/>
          <w:highlight w:val="none"/>
        </w:rPr>
        <w:drawing>
          <wp:anchor distT="0" distB="0" distL="114300" distR="114300" simplePos="0" relativeHeight="251697152" behindDoc="1" locked="0" layoutInCell="1" allowOverlap="1">
            <wp:simplePos x="0" y="0"/>
            <wp:positionH relativeFrom="column">
              <wp:posOffset>219075</wp:posOffset>
            </wp:positionH>
            <wp:positionV relativeFrom="paragraph">
              <wp:posOffset>-22860</wp:posOffset>
            </wp:positionV>
            <wp:extent cx="5271135" cy="7374255"/>
            <wp:effectExtent l="0" t="0" r="5715" b="7620"/>
            <wp:wrapNone/>
            <wp:docPr id="5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9"/>
                    <pic:cNvPicPr>
                      <a:picLocks noChangeAspect="1"/>
                    </pic:cNvPicPr>
                  </pic:nvPicPr>
                  <pic:blipFill>
                    <a:blip r:embed="rId77"/>
                    <a:stretch>
                      <a:fillRect/>
                    </a:stretch>
                  </pic:blipFill>
                  <pic:spPr>
                    <a:xfrm>
                      <a:off x="0" y="0"/>
                      <a:ext cx="5271135" cy="7374255"/>
                    </a:xfrm>
                    <a:prstGeom prst="rect">
                      <a:avLst/>
                    </a:prstGeom>
                    <a:noFill/>
                    <a:ln>
                      <a:noFill/>
                    </a:ln>
                  </pic:spPr>
                </pic:pic>
              </a:graphicData>
            </a:graphic>
          </wp:anchor>
        </w:drawing>
      </w:r>
    </w:p>
    <w:p w14:paraId="064CDB92">
      <w:pPr>
        <w:pStyle w:val="23"/>
        <w:ind w:firstLine="0" w:firstLineChars="0"/>
        <w:rPr>
          <w:rFonts w:cs="宋体"/>
          <w:color w:val="auto"/>
          <w:highlight w:val="none"/>
        </w:rPr>
      </w:pPr>
    </w:p>
    <w:p w14:paraId="07408F75">
      <w:pPr>
        <w:pStyle w:val="23"/>
        <w:ind w:firstLine="0" w:firstLineChars="0"/>
        <w:rPr>
          <w:rFonts w:cs="宋体"/>
          <w:color w:val="auto"/>
          <w:highlight w:val="none"/>
        </w:rPr>
      </w:pPr>
    </w:p>
    <w:p w14:paraId="4517C113">
      <w:pPr>
        <w:pStyle w:val="23"/>
        <w:ind w:firstLine="0" w:firstLineChars="0"/>
        <w:rPr>
          <w:rFonts w:cs="宋体"/>
          <w:color w:val="auto"/>
          <w:highlight w:val="none"/>
        </w:rPr>
      </w:pPr>
    </w:p>
    <w:p w14:paraId="6FC94BE5">
      <w:pPr>
        <w:pStyle w:val="23"/>
        <w:ind w:firstLine="0" w:firstLineChars="0"/>
        <w:rPr>
          <w:rFonts w:cs="宋体"/>
          <w:color w:val="auto"/>
          <w:highlight w:val="none"/>
        </w:rPr>
      </w:pPr>
    </w:p>
    <w:p w14:paraId="57209496">
      <w:pPr>
        <w:pStyle w:val="23"/>
        <w:ind w:firstLine="0" w:firstLineChars="0"/>
        <w:rPr>
          <w:rFonts w:cs="宋体"/>
          <w:color w:val="auto"/>
          <w:highlight w:val="none"/>
        </w:rPr>
      </w:pPr>
    </w:p>
    <w:p w14:paraId="5918C89C">
      <w:pPr>
        <w:pStyle w:val="23"/>
        <w:ind w:firstLine="0" w:firstLineChars="0"/>
        <w:rPr>
          <w:rFonts w:cs="宋体"/>
          <w:color w:val="auto"/>
          <w:highlight w:val="none"/>
        </w:rPr>
      </w:pPr>
    </w:p>
    <w:p w14:paraId="50E1AC8B">
      <w:pPr>
        <w:pStyle w:val="23"/>
        <w:ind w:firstLine="0" w:firstLineChars="0"/>
        <w:rPr>
          <w:rFonts w:cs="宋体"/>
          <w:color w:val="auto"/>
          <w:highlight w:val="none"/>
        </w:rPr>
      </w:pPr>
    </w:p>
    <w:p w14:paraId="7F6867DE">
      <w:pPr>
        <w:pStyle w:val="23"/>
        <w:ind w:firstLine="0" w:firstLineChars="0"/>
        <w:rPr>
          <w:rFonts w:cs="宋体"/>
          <w:color w:val="auto"/>
          <w:highlight w:val="none"/>
        </w:rPr>
      </w:pPr>
    </w:p>
    <w:p w14:paraId="66DF17EA">
      <w:pPr>
        <w:pStyle w:val="23"/>
        <w:ind w:firstLine="0" w:firstLineChars="0"/>
        <w:rPr>
          <w:rFonts w:cs="宋体"/>
          <w:color w:val="auto"/>
          <w:highlight w:val="none"/>
        </w:rPr>
      </w:pPr>
    </w:p>
    <w:p w14:paraId="02858CBD">
      <w:pPr>
        <w:pStyle w:val="23"/>
        <w:ind w:firstLine="0" w:firstLineChars="0"/>
        <w:rPr>
          <w:rFonts w:cs="宋体"/>
          <w:color w:val="auto"/>
          <w:highlight w:val="none"/>
        </w:rPr>
      </w:pPr>
    </w:p>
    <w:p w14:paraId="45097767">
      <w:pPr>
        <w:pStyle w:val="23"/>
        <w:ind w:firstLine="0" w:firstLineChars="0"/>
        <w:rPr>
          <w:rFonts w:cs="宋体"/>
          <w:color w:val="auto"/>
          <w:highlight w:val="none"/>
        </w:rPr>
      </w:pPr>
    </w:p>
    <w:p w14:paraId="68334ABB">
      <w:pPr>
        <w:pStyle w:val="23"/>
        <w:ind w:firstLine="0" w:firstLineChars="0"/>
        <w:rPr>
          <w:rFonts w:cs="宋体"/>
          <w:color w:val="auto"/>
          <w:highlight w:val="none"/>
        </w:rPr>
      </w:pPr>
    </w:p>
    <w:p w14:paraId="1CE87D49">
      <w:pPr>
        <w:pStyle w:val="23"/>
        <w:ind w:firstLine="0" w:firstLineChars="0"/>
        <w:rPr>
          <w:rFonts w:cs="宋体"/>
          <w:color w:val="auto"/>
          <w:highlight w:val="none"/>
        </w:rPr>
      </w:pPr>
    </w:p>
    <w:p w14:paraId="7B3E7B5C">
      <w:pPr>
        <w:pStyle w:val="23"/>
        <w:ind w:firstLine="0" w:firstLineChars="0"/>
        <w:rPr>
          <w:rFonts w:cs="宋体"/>
          <w:color w:val="auto"/>
          <w:highlight w:val="none"/>
        </w:rPr>
      </w:pPr>
    </w:p>
    <w:p w14:paraId="2A9D95B5">
      <w:pPr>
        <w:pStyle w:val="23"/>
        <w:ind w:firstLine="0" w:firstLineChars="0"/>
        <w:rPr>
          <w:rFonts w:cs="宋体"/>
          <w:color w:val="auto"/>
          <w:highlight w:val="none"/>
        </w:rPr>
      </w:pPr>
    </w:p>
    <w:p w14:paraId="26B15C87">
      <w:pPr>
        <w:pStyle w:val="23"/>
        <w:ind w:firstLine="0" w:firstLineChars="0"/>
        <w:rPr>
          <w:rFonts w:cs="宋体"/>
          <w:color w:val="auto"/>
          <w:highlight w:val="none"/>
        </w:rPr>
      </w:pPr>
    </w:p>
    <w:p w14:paraId="25AA0111">
      <w:pPr>
        <w:pStyle w:val="23"/>
        <w:ind w:firstLine="0" w:firstLineChars="0"/>
        <w:rPr>
          <w:rFonts w:cs="宋体"/>
          <w:color w:val="auto"/>
          <w:highlight w:val="none"/>
        </w:rPr>
      </w:pPr>
    </w:p>
    <w:p w14:paraId="4B955C38">
      <w:pPr>
        <w:pStyle w:val="23"/>
        <w:ind w:firstLine="0" w:firstLineChars="0"/>
        <w:rPr>
          <w:rFonts w:cs="宋体"/>
          <w:color w:val="auto"/>
          <w:highlight w:val="none"/>
        </w:rPr>
      </w:pPr>
    </w:p>
    <w:p w14:paraId="5FC3DC1C">
      <w:pPr>
        <w:pStyle w:val="23"/>
        <w:ind w:firstLine="0" w:firstLineChars="0"/>
        <w:rPr>
          <w:rFonts w:cs="宋体"/>
          <w:color w:val="auto"/>
          <w:highlight w:val="none"/>
        </w:rPr>
      </w:pPr>
    </w:p>
    <w:p w14:paraId="1C689E0E">
      <w:pPr>
        <w:pStyle w:val="23"/>
        <w:ind w:firstLine="0" w:firstLineChars="0"/>
        <w:rPr>
          <w:rFonts w:cs="宋体"/>
          <w:color w:val="auto"/>
          <w:highlight w:val="none"/>
        </w:rPr>
      </w:pPr>
    </w:p>
    <w:p w14:paraId="555D674D">
      <w:pPr>
        <w:pStyle w:val="23"/>
        <w:ind w:firstLine="0" w:firstLineChars="0"/>
        <w:rPr>
          <w:rFonts w:cs="宋体"/>
          <w:color w:val="auto"/>
          <w:highlight w:val="none"/>
        </w:rPr>
      </w:pPr>
    </w:p>
    <w:p w14:paraId="20C6E8CF">
      <w:pPr>
        <w:pStyle w:val="23"/>
        <w:ind w:firstLine="0" w:firstLineChars="0"/>
        <w:rPr>
          <w:rFonts w:cs="宋体"/>
          <w:color w:val="auto"/>
          <w:highlight w:val="none"/>
        </w:rPr>
      </w:pPr>
    </w:p>
    <w:p w14:paraId="797159AF">
      <w:pPr>
        <w:pStyle w:val="23"/>
        <w:ind w:firstLine="0" w:firstLineChars="0"/>
        <w:rPr>
          <w:rFonts w:cs="宋体"/>
          <w:color w:val="auto"/>
          <w:highlight w:val="none"/>
        </w:rPr>
      </w:pPr>
    </w:p>
    <w:p w14:paraId="723552D1">
      <w:pPr>
        <w:pStyle w:val="23"/>
        <w:ind w:firstLine="0" w:firstLineChars="0"/>
        <w:rPr>
          <w:rFonts w:cs="宋体"/>
          <w:color w:val="auto"/>
          <w:highlight w:val="none"/>
        </w:rPr>
      </w:pPr>
    </w:p>
    <w:p w14:paraId="0A016A9E">
      <w:pPr>
        <w:pStyle w:val="23"/>
        <w:ind w:firstLine="0" w:firstLineChars="0"/>
        <w:rPr>
          <w:rFonts w:cs="宋体"/>
          <w:color w:val="auto"/>
          <w:highlight w:val="none"/>
        </w:rPr>
      </w:pPr>
    </w:p>
    <w:p w14:paraId="5BF88556">
      <w:pPr>
        <w:pStyle w:val="23"/>
        <w:ind w:firstLine="0" w:firstLineChars="0"/>
        <w:rPr>
          <w:rFonts w:cs="宋体"/>
          <w:color w:val="auto"/>
          <w:highlight w:val="none"/>
        </w:rPr>
      </w:pPr>
    </w:p>
    <w:p w14:paraId="7FA857D1">
      <w:pPr>
        <w:pStyle w:val="23"/>
        <w:ind w:firstLine="0" w:firstLineChars="0"/>
        <w:rPr>
          <w:rFonts w:cs="宋体"/>
          <w:color w:val="auto"/>
          <w:highlight w:val="none"/>
        </w:rPr>
      </w:pPr>
    </w:p>
    <w:p w14:paraId="6BBDB163">
      <w:pPr>
        <w:pStyle w:val="23"/>
        <w:ind w:firstLine="0" w:firstLineChars="0"/>
        <w:rPr>
          <w:rFonts w:cs="宋体"/>
          <w:color w:val="auto"/>
          <w:highlight w:val="none"/>
        </w:rPr>
      </w:pPr>
    </w:p>
    <w:p w14:paraId="3DE951A6">
      <w:pPr>
        <w:pStyle w:val="23"/>
        <w:ind w:firstLine="0" w:firstLineChars="0"/>
        <w:rPr>
          <w:rFonts w:cs="宋体"/>
          <w:color w:val="auto"/>
          <w:highlight w:val="none"/>
        </w:rPr>
      </w:pPr>
      <w:r>
        <w:rPr>
          <w:color w:val="auto"/>
          <w:highlight w:val="none"/>
        </w:rPr>
        <w:drawing>
          <wp:anchor distT="0" distB="0" distL="114300" distR="114300" simplePos="0" relativeHeight="251698176" behindDoc="1" locked="0" layoutInCell="1" allowOverlap="1">
            <wp:simplePos x="0" y="0"/>
            <wp:positionH relativeFrom="column">
              <wp:posOffset>-104775</wp:posOffset>
            </wp:positionH>
            <wp:positionV relativeFrom="paragraph">
              <wp:posOffset>57150</wp:posOffset>
            </wp:positionV>
            <wp:extent cx="5271770" cy="7583805"/>
            <wp:effectExtent l="0" t="0" r="5080" b="7620"/>
            <wp:wrapNone/>
            <wp:docPr id="5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0"/>
                    <pic:cNvPicPr>
                      <a:picLocks noChangeAspect="1"/>
                    </pic:cNvPicPr>
                  </pic:nvPicPr>
                  <pic:blipFill>
                    <a:blip r:embed="rId78"/>
                    <a:stretch>
                      <a:fillRect/>
                    </a:stretch>
                  </pic:blipFill>
                  <pic:spPr>
                    <a:xfrm>
                      <a:off x="0" y="0"/>
                      <a:ext cx="5271770" cy="7583805"/>
                    </a:xfrm>
                    <a:prstGeom prst="rect">
                      <a:avLst/>
                    </a:prstGeom>
                    <a:noFill/>
                    <a:ln>
                      <a:noFill/>
                    </a:ln>
                  </pic:spPr>
                </pic:pic>
              </a:graphicData>
            </a:graphic>
          </wp:anchor>
        </w:drawing>
      </w:r>
    </w:p>
    <w:p w14:paraId="03C375A5">
      <w:pPr>
        <w:pStyle w:val="23"/>
        <w:ind w:firstLine="0" w:firstLineChars="0"/>
        <w:rPr>
          <w:rFonts w:cs="宋体"/>
          <w:color w:val="auto"/>
          <w:highlight w:val="none"/>
        </w:rPr>
      </w:pPr>
    </w:p>
    <w:p w14:paraId="3C6A88F6">
      <w:pPr>
        <w:pStyle w:val="23"/>
        <w:ind w:firstLine="0" w:firstLineChars="0"/>
        <w:rPr>
          <w:rFonts w:cs="宋体"/>
          <w:color w:val="auto"/>
          <w:highlight w:val="none"/>
        </w:rPr>
      </w:pPr>
    </w:p>
    <w:p w14:paraId="6B820792">
      <w:pPr>
        <w:pStyle w:val="23"/>
        <w:ind w:firstLine="0" w:firstLineChars="0"/>
        <w:rPr>
          <w:rFonts w:cs="宋体"/>
          <w:color w:val="auto"/>
          <w:highlight w:val="none"/>
        </w:rPr>
      </w:pPr>
    </w:p>
    <w:p w14:paraId="73F31F04">
      <w:pPr>
        <w:pStyle w:val="23"/>
        <w:ind w:firstLine="0" w:firstLineChars="0"/>
        <w:rPr>
          <w:rFonts w:cs="宋体"/>
          <w:color w:val="auto"/>
          <w:highlight w:val="none"/>
        </w:rPr>
      </w:pPr>
    </w:p>
    <w:p w14:paraId="61580E6E">
      <w:pPr>
        <w:pStyle w:val="23"/>
        <w:ind w:firstLine="0" w:firstLineChars="0"/>
        <w:rPr>
          <w:rFonts w:cs="宋体"/>
          <w:color w:val="auto"/>
          <w:highlight w:val="none"/>
        </w:rPr>
      </w:pPr>
    </w:p>
    <w:p w14:paraId="371059A6">
      <w:pPr>
        <w:pStyle w:val="23"/>
        <w:ind w:firstLine="0" w:firstLineChars="0"/>
        <w:rPr>
          <w:rFonts w:cs="宋体"/>
          <w:color w:val="auto"/>
          <w:highlight w:val="none"/>
        </w:rPr>
      </w:pPr>
    </w:p>
    <w:p w14:paraId="3729D522">
      <w:pPr>
        <w:pStyle w:val="23"/>
        <w:ind w:firstLine="0" w:firstLineChars="0"/>
        <w:rPr>
          <w:rFonts w:cs="宋体"/>
          <w:color w:val="auto"/>
          <w:highlight w:val="none"/>
        </w:rPr>
      </w:pPr>
    </w:p>
    <w:p w14:paraId="26A8D072">
      <w:pPr>
        <w:pStyle w:val="23"/>
        <w:ind w:firstLine="0" w:firstLineChars="0"/>
        <w:rPr>
          <w:rFonts w:cs="宋体"/>
          <w:color w:val="auto"/>
          <w:highlight w:val="none"/>
        </w:rPr>
      </w:pPr>
    </w:p>
    <w:p w14:paraId="33ED1D0B">
      <w:pPr>
        <w:pStyle w:val="23"/>
        <w:ind w:firstLine="0" w:firstLineChars="0"/>
        <w:rPr>
          <w:rFonts w:cs="宋体"/>
          <w:color w:val="auto"/>
          <w:highlight w:val="none"/>
        </w:rPr>
      </w:pPr>
    </w:p>
    <w:p w14:paraId="16A3F394">
      <w:pPr>
        <w:pStyle w:val="23"/>
        <w:ind w:firstLine="0" w:firstLineChars="0"/>
        <w:rPr>
          <w:rFonts w:cs="宋体"/>
          <w:color w:val="auto"/>
          <w:highlight w:val="none"/>
        </w:rPr>
      </w:pPr>
    </w:p>
    <w:p w14:paraId="4D1C8EE0">
      <w:pPr>
        <w:pStyle w:val="23"/>
        <w:ind w:firstLine="0" w:firstLineChars="0"/>
        <w:rPr>
          <w:rFonts w:cs="宋体"/>
          <w:color w:val="auto"/>
          <w:highlight w:val="none"/>
        </w:rPr>
      </w:pPr>
    </w:p>
    <w:p w14:paraId="417687D1">
      <w:pPr>
        <w:pStyle w:val="23"/>
        <w:ind w:firstLine="0" w:firstLineChars="0"/>
        <w:rPr>
          <w:rFonts w:cs="宋体"/>
          <w:color w:val="auto"/>
          <w:highlight w:val="none"/>
        </w:rPr>
      </w:pPr>
    </w:p>
    <w:p w14:paraId="6E3B6286">
      <w:pPr>
        <w:pStyle w:val="23"/>
        <w:ind w:firstLine="0" w:firstLineChars="0"/>
        <w:rPr>
          <w:rFonts w:cs="宋体"/>
          <w:color w:val="auto"/>
          <w:highlight w:val="none"/>
        </w:rPr>
      </w:pPr>
    </w:p>
    <w:p w14:paraId="4A9D8559">
      <w:pPr>
        <w:pStyle w:val="23"/>
        <w:ind w:firstLine="0" w:firstLineChars="0"/>
        <w:rPr>
          <w:rFonts w:cs="宋体"/>
          <w:color w:val="auto"/>
          <w:highlight w:val="none"/>
        </w:rPr>
      </w:pPr>
    </w:p>
    <w:p w14:paraId="4EA095FB">
      <w:pPr>
        <w:pStyle w:val="23"/>
        <w:ind w:firstLine="0" w:firstLineChars="0"/>
        <w:rPr>
          <w:rFonts w:cs="宋体"/>
          <w:color w:val="auto"/>
          <w:highlight w:val="none"/>
        </w:rPr>
      </w:pPr>
    </w:p>
    <w:p w14:paraId="14280C1B">
      <w:pPr>
        <w:pStyle w:val="23"/>
        <w:ind w:firstLine="0" w:firstLineChars="0"/>
        <w:rPr>
          <w:rFonts w:cs="宋体"/>
          <w:color w:val="auto"/>
          <w:highlight w:val="none"/>
        </w:rPr>
      </w:pPr>
    </w:p>
    <w:p w14:paraId="2A3146F4">
      <w:pPr>
        <w:pStyle w:val="23"/>
        <w:ind w:firstLine="0" w:firstLineChars="0"/>
        <w:rPr>
          <w:rFonts w:cs="宋体"/>
          <w:color w:val="auto"/>
          <w:highlight w:val="none"/>
        </w:rPr>
      </w:pPr>
    </w:p>
    <w:p w14:paraId="0BE720BC">
      <w:pPr>
        <w:pStyle w:val="23"/>
        <w:ind w:firstLine="0" w:firstLineChars="0"/>
        <w:rPr>
          <w:rFonts w:cs="宋体"/>
          <w:color w:val="auto"/>
          <w:highlight w:val="none"/>
        </w:rPr>
      </w:pPr>
    </w:p>
    <w:p w14:paraId="384ECB14">
      <w:pPr>
        <w:pStyle w:val="23"/>
        <w:ind w:firstLine="0" w:firstLineChars="0"/>
        <w:rPr>
          <w:rFonts w:cs="宋体"/>
          <w:color w:val="auto"/>
          <w:highlight w:val="none"/>
        </w:rPr>
      </w:pPr>
    </w:p>
    <w:p w14:paraId="1DD48D2B">
      <w:pPr>
        <w:pStyle w:val="23"/>
        <w:ind w:firstLine="0" w:firstLineChars="0"/>
        <w:rPr>
          <w:rFonts w:cs="宋体"/>
          <w:color w:val="auto"/>
          <w:highlight w:val="none"/>
        </w:rPr>
      </w:pPr>
    </w:p>
    <w:p w14:paraId="07124B43">
      <w:pPr>
        <w:pStyle w:val="23"/>
        <w:ind w:firstLine="0" w:firstLineChars="0"/>
        <w:rPr>
          <w:rFonts w:cs="宋体"/>
          <w:color w:val="auto"/>
          <w:highlight w:val="none"/>
        </w:rPr>
      </w:pPr>
    </w:p>
    <w:p w14:paraId="773A9012">
      <w:pPr>
        <w:pStyle w:val="23"/>
        <w:ind w:firstLine="0" w:firstLineChars="0"/>
        <w:rPr>
          <w:rFonts w:cs="宋体"/>
          <w:color w:val="auto"/>
          <w:highlight w:val="none"/>
        </w:rPr>
      </w:pPr>
    </w:p>
    <w:p w14:paraId="0DF01E11">
      <w:pPr>
        <w:pStyle w:val="23"/>
        <w:ind w:firstLine="0" w:firstLineChars="0"/>
        <w:rPr>
          <w:rFonts w:cs="宋体"/>
          <w:color w:val="auto"/>
          <w:highlight w:val="none"/>
        </w:rPr>
      </w:pPr>
    </w:p>
    <w:p w14:paraId="2D7E7087">
      <w:pPr>
        <w:pStyle w:val="23"/>
        <w:ind w:firstLine="0" w:firstLineChars="0"/>
        <w:rPr>
          <w:rFonts w:cs="宋体"/>
          <w:color w:val="auto"/>
          <w:highlight w:val="none"/>
        </w:rPr>
      </w:pPr>
    </w:p>
    <w:p w14:paraId="67C9FA8D">
      <w:pPr>
        <w:pStyle w:val="23"/>
        <w:ind w:firstLine="0" w:firstLineChars="0"/>
        <w:rPr>
          <w:rFonts w:cs="宋体"/>
          <w:color w:val="auto"/>
          <w:highlight w:val="none"/>
        </w:rPr>
      </w:pPr>
    </w:p>
    <w:p w14:paraId="699C114C">
      <w:pPr>
        <w:pStyle w:val="23"/>
        <w:ind w:firstLine="0" w:firstLineChars="0"/>
        <w:rPr>
          <w:rFonts w:cs="宋体"/>
          <w:color w:val="auto"/>
          <w:highlight w:val="none"/>
        </w:rPr>
      </w:pPr>
    </w:p>
    <w:p w14:paraId="1F1E9418">
      <w:pPr>
        <w:pStyle w:val="23"/>
        <w:ind w:firstLine="0" w:firstLineChars="0"/>
        <w:rPr>
          <w:rFonts w:cs="宋体"/>
          <w:color w:val="auto"/>
          <w:highlight w:val="none"/>
        </w:rPr>
      </w:pPr>
      <w:r>
        <w:rPr>
          <w:color w:val="auto"/>
          <w:highlight w:val="none"/>
        </w:rPr>
        <w:drawing>
          <wp:anchor distT="0" distB="0" distL="114300" distR="114300" simplePos="0" relativeHeight="251699200" behindDoc="1" locked="0" layoutInCell="1" allowOverlap="1">
            <wp:simplePos x="0" y="0"/>
            <wp:positionH relativeFrom="column">
              <wp:posOffset>19050</wp:posOffset>
            </wp:positionH>
            <wp:positionV relativeFrom="paragraph">
              <wp:posOffset>234315</wp:posOffset>
            </wp:positionV>
            <wp:extent cx="5269865" cy="7107555"/>
            <wp:effectExtent l="0" t="0" r="6985" b="7620"/>
            <wp:wrapNone/>
            <wp:docPr id="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2"/>
                    <pic:cNvPicPr>
                      <a:picLocks noChangeAspect="1"/>
                    </pic:cNvPicPr>
                  </pic:nvPicPr>
                  <pic:blipFill>
                    <a:blip r:embed="rId79"/>
                    <a:stretch>
                      <a:fillRect/>
                    </a:stretch>
                  </pic:blipFill>
                  <pic:spPr>
                    <a:xfrm>
                      <a:off x="0" y="0"/>
                      <a:ext cx="5269865" cy="7107555"/>
                    </a:xfrm>
                    <a:prstGeom prst="rect">
                      <a:avLst/>
                    </a:prstGeom>
                    <a:noFill/>
                    <a:ln>
                      <a:noFill/>
                    </a:ln>
                  </pic:spPr>
                </pic:pic>
              </a:graphicData>
            </a:graphic>
          </wp:anchor>
        </w:drawing>
      </w:r>
    </w:p>
    <w:p w14:paraId="4EF1FD31">
      <w:pPr>
        <w:pStyle w:val="23"/>
        <w:ind w:firstLine="0" w:firstLineChars="0"/>
        <w:rPr>
          <w:rFonts w:cs="宋体"/>
          <w:color w:val="auto"/>
          <w:highlight w:val="none"/>
        </w:rPr>
      </w:pPr>
    </w:p>
    <w:p w14:paraId="721846E7">
      <w:pPr>
        <w:pStyle w:val="23"/>
        <w:ind w:firstLine="0" w:firstLineChars="0"/>
        <w:rPr>
          <w:rFonts w:cs="宋体"/>
          <w:color w:val="auto"/>
          <w:highlight w:val="none"/>
        </w:rPr>
      </w:pPr>
    </w:p>
    <w:p w14:paraId="23059491">
      <w:pPr>
        <w:pStyle w:val="23"/>
        <w:ind w:firstLine="0" w:firstLineChars="0"/>
        <w:rPr>
          <w:rFonts w:cs="宋体"/>
          <w:color w:val="auto"/>
          <w:highlight w:val="none"/>
        </w:rPr>
      </w:pPr>
    </w:p>
    <w:p w14:paraId="2EF4EA52">
      <w:pPr>
        <w:pStyle w:val="23"/>
        <w:ind w:firstLine="0" w:firstLineChars="0"/>
        <w:rPr>
          <w:rFonts w:cs="宋体"/>
          <w:color w:val="auto"/>
          <w:highlight w:val="none"/>
        </w:rPr>
      </w:pPr>
    </w:p>
    <w:p w14:paraId="2A77C4EA">
      <w:pPr>
        <w:pStyle w:val="23"/>
        <w:ind w:firstLine="0" w:firstLineChars="0"/>
        <w:rPr>
          <w:rFonts w:cs="宋体"/>
          <w:color w:val="auto"/>
          <w:highlight w:val="none"/>
        </w:rPr>
      </w:pPr>
    </w:p>
    <w:p w14:paraId="1680D84B">
      <w:pPr>
        <w:pStyle w:val="23"/>
        <w:ind w:firstLine="0" w:firstLineChars="0"/>
        <w:rPr>
          <w:rFonts w:cs="宋体"/>
          <w:color w:val="auto"/>
          <w:highlight w:val="none"/>
        </w:rPr>
      </w:pPr>
    </w:p>
    <w:p w14:paraId="67782219">
      <w:pPr>
        <w:pStyle w:val="23"/>
        <w:ind w:firstLine="0" w:firstLineChars="0"/>
        <w:rPr>
          <w:rFonts w:cs="宋体"/>
          <w:color w:val="auto"/>
          <w:highlight w:val="none"/>
        </w:rPr>
      </w:pPr>
    </w:p>
    <w:p w14:paraId="334567DE">
      <w:pPr>
        <w:pStyle w:val="23"/>
        <w:ind w:firstLine="0" w:firstLineChars="0"/>
        <w:rPr>
          <w:rFonts w:cs="宋体"/>
          <w:color w:val="auto"/>
          <w:highlight w:val="none"/>
        </w:rPr>
      </w:pPr>
    </w:p>
    <w:p w14:paraId="52176669">
      <w:pPr>
        <w:pStyle w:val="23"/>
        <w:ind w:firstLine="0" w:firstLineChars="0"/>
        <w:rPr>
          <w:rFonts w:cs="宋体"/>
          <w:color w:val="auto"/>
          <w:highlight w:val="none"/>
        </w:rPr>
      </w:pPr>
    </w:p>
    <w:p w14:paraId="4348A299">
      <w:pPr>
        <w:pStyle w:val="23"/>
        <w:ind w:firstLine="0" w:firstLineChars="0"/>
        <w:rPr>
          <w:rFonts w:cs="宋体"/>
          <w:color w:val="auto"/>
          <w:highlight w:val="none"/>
        </w:rPr>
      </w:pPr>
    </w:p>
    <w:p w14:paraId="269209A6">
      <w:pPr>
        <w:pStyle w:val="23"/>
        <w:ind w:firstLine="0" w:firstLineChars="0"/>
        <w:rPr>
          <w:rFonts w:cs="宋体"/>
          <w:color w:val="auto"/>
          <w:highlight w:val="none"/>
        </w:rPr>
      </w:pPr>
    </w:p>
    <w:p w14:paraId="18AAAE16">
      <w:pPr>
        <w:pStyle w:val="23"/>
        <w:ind w:firstLine="0" w:firstLineChars="0"/>
        <w:rPr>
          <w:rFonts w:cs="宋体"/>
          <w:color w:val="auto"/>
          <w:highlight w:val="none"/>
        </w:rPr>
      </w:pPr>
    </w:p>
    <w:p w14:paraId="3686B5D9">
      <w:pPr>
        <w:pStyle w:val="23"/>
        <w:ind w:firstLine="0" w:firstLineChars="0"/>
        <w:rPr>
          <w:rFonts w:cs="宋体"/>
          <w:color w:val="auto"/>
          <w:highlight w:val="none"/>
        </w:rPr>
      </w:pPr>
    </w:p>
    <w:p w14:paraId="178ECD34">
      <w:pPr>
        <w:pStyle w:val="23"/>
        <w:ind w:firstLine="0" w:firstLineChars="0"/>
        <w:rPr>
          <w:rFonts w:cs="宋体"/>
          <w:color w:val="auto"/>
          <w:highlight w:val="none"/>
        </w:rPr>
      </w:pPr>
    </w:p>
    <w:p w14:paraId="268B1A70">
      <w:pPr>
        <w:pStyle w:val="23"/>
        <w:ind w:firstLine="0" w:firstLineChars="0"/>
        <w:rPr>
          <w:rFonts w:cs="宋体"/>
          <w:color w:val="auto"/>
          <w:highlight w:val="none"/>
        </w:rPr>
      </w:pPr>
    </w:p>
    <w:p w14:paraId="660F4EAC">
      <w:pPr>
        <w:pStyle w:val="23"/>
        <w:ind w:firstLine="0" w:firstLineChars="0"/>
        <w:rPr>
          <w:rFonts w:cs="宋体"/>
          <w:color w:val="auto"/>
          <w:highlight w:val="none"/>
        </w:rPr>
      </w:pPr>
    </w:p>
    <w:p w14:paraId="5F0BE10C">
      <w:pPr>
        <w:pStyle w:val="23"/>
        <w:ind w:firstLine="0" w:firstLineChars="0"/>
        <w:rPr>
          <w:rFonts w:cs="宋体"/>
          <w:color w:val="auto"/>
          <w:highlight w:val="none"/>
        </w:rPr>
      </w:pPr>
    </w:p>
    <w:p w14:paraId="2EC3CFBF">
      <w:pPr>
        <w:pStyle w:val="23"/>
        <w:ind w:firstLine="0" w:firstLineChars="0"/>
        <w:rPr>
          <w:rFonts w:cs="宋体"/>
          <w:color w:val="auto"/>
          <w:highlight w:val="none"/>
        </w:rPr>
      </w:pPr>
    </w:p>
    <w:p w14:paraId="03D0D0C4">
      <w:pPr>
        <w:pStyle w:val="23"/>
        <w:ind w:firstLine="0" w:firstLineChars="0"/>
        <w:rPr>
          <w:rFonts w:cs="宋体"/>
          <w:color w:val="auto"/>
          <w:highlight w:val="none"/>
        </w:rPr>
      </w:pPr>
    </w:p>
    <w:p w14:paraId="2ACAFF81">
      <w:pPr>
        <w:pStyle w:val="23"/>
        <w:ind w:firstLine="0" w:firstLineChars="0"/>
        <w:rPr>
          <w:rFonts w:cs="宋体"/>
          <w:color w:val="auto"/>
          <w:highlight w:val="none"/>
        </w:rPr>
      </w:pPr>
    </w:p>
    <w:p w14:paraId="716F6D63">
      <w:pPr>
        <w:pStyle w:val="23"/>
        <w:ind w:firstLine="0" w:firstLineChars="0"/>
        <w:rPr>
          <w:rFonts w:cs="宋体"/>
          <w:color w:val="auto"/>
          <w:highlight w:val="none"/>
        </w:rPr>
      </w:pPr>
    </w:p>
    <w:p w14:paraId="3F8C5241">
      <w:pPr>
        <w:pStyle w:val="23"/>
        <w:ind w:firstLine="0" w:firstLineChars="0"/>
        <w:rPr>
          <w:rFonts w:cs="宋体"/>
          <w:color w:val="auto"/>
          <w:highlight w:val="none"/>
        </w:rPr>
      </w:pPr>
    </w:p>
    <w:p w14:paraId="2C6F85E8">
      <w:pPr>
        <w:pStyle w:val="23"/>
        <w:ind w:firstLine="0" w:firstLineChars="0"/>
        <w:rPr>
          <w:rFonts w:cs="宋体"/>
          <w:color w:val="auto"/>
          <w:highlight w:val="none"/>
        </w:rPr>
      </w:pPr>
    </w:p>
    <w:p w14:paraId="799B52A6">
      <w:pPr>
        <w:pStyle w:val="23"/>
        <w:ind w:firstLine="0" w:firstLineChars="0"/>
        <w:rPr>
          <w:rFonts w:cs="宋体"/>
          <w:color w:val="auto"/>
          <w:highlight w:val="none"/>
        </w:rPr>
      </w:pPr>
    </w:p>
    <w:p w14:paraId="5FA466AB">
      <w:pPr>
        <w:pStyle w:val="23"/>
        <w:ind w:firstLine="0" w:firstLineChars="0"/>
        <w:rPr>
          <w:rFonts w:cs="宋体"/>
          <w:color w:val="auto"/>
          <w:highlight w:val="none"/>
        </w:rPr>
      </w:pPr>
    </w:p>
    <w:p w14:paraId="39FB0881">
      <w:pPr>
        <w:pStyle w:val="23"/>
        <w:ind w:firstLine="0" w:firstLineChars="0"/>
        <w:rPr>
          <w:rFonts w:cs="宋体"/>
          <w:color w:val="auto"/>
          <w:highlight w:val="none"/>
        </w:rPr>
      </w:pPr>
    </w:p>
    <w:p w14:paraId="6D81FCF6">
      <w:pPr>
        <w:pStyle w:val="23"/>
        <w:ind w:firstLine="0" w:firstLineChars="0"/>
        <w:rPr>
          <w:rFonts w:cs="宋体"/>
          <w:color w:val="auto"/>
          <w:highlight w:val="none"/>
        </w:rPr>
      </w:pPr>
    </w:p>
    <w:p w14:paraId="0CFFA9E2">
      <w:pPr>
        <w:pStyle w:val="23"/>
        <w:ind w:firstLine="0" w:firstLineChars="0"/>
        <w:rPr>
          <w:rFonts w:cs="宋体"/>
          <w:color w:val="auto"/>
          <w:highlight w:val="none"/>
        </w:rPr>
      </w:pPr>
      <w:r>
        <w:rPr>
          <w:color w:val="auto"/>
          <w:highlight w:val="none"/>
        </w:rPr>
        <w:drawing>
          <wp:anchor distT="0" distB="0" distL="114300" distR="114300" simplePos="0" relativeHeight="251700224" behindDoc="1" locked="0" layoutInCell="1" allowOverlap="1">
            <wp:simplePos x="0" y="0"/>
            <wp:positionH relativeFrom="column">
              <wp:posOffset>-47625</wp:posOffset>
            </wp:positionH>
            <wp:positionV relativeFrom="paragraph">
              <wp:posOffset>262890</wp:posOffset>
            </wp:positionV>
            <wp:extent cx="5272405" cy="7524115"/>
            <wp:effectExtent l="0" t="0" r="4445" b="635"/>
            <wp:wrapNone/>
            <wp:docPr id="5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
                    <pic:cNvPicPr>
                      <a:picLocks noChangeAspect="1"/>
                    </pic:cNvPicPr>
                  </pic:nvPicPr>
                  <pic:blipFill>
                    <a:blip r:embed="rId80"/>
                    <a:stretch>
                      <a:fillRect/>
                    </a:stretch>
                  </pic:blipFill>
                  <pic:spPr>
                    <a:xfrm>
                      <a:off x="0" y="0"/>
                      <a:ext cx="5272405" cy="7524115"/>
                    </a:xfrm>
                    <a:prstGeom prst="rect">
                      <a:avLst/>
                    </a:prstGeom>
                    <a:noFill/>
                    <a:ln>
                      <a:noFill/>
                    </a:ln>
                  </pic:spPr>
                </pic:pic>
              </a:graphicData>
            </a:graphic>
          </wp:anchor>
        </w:drawing>
      </w:r>
    </w:p>
    <w:p w14:paraId="4300E5B0">
      <w:pPr>
        <w:pStyle w:val="23"/>
        <w:ind w:firstLine="0" w:firstLineChars="0"/>
        <w:rPr>
          <w:rFonts w:cs="宋体"/>
          <w:color w:val="auto"/>
          <w:highlight w:val="none"/>
        </w:rPr>
      </w:pPr>
    </w:p>
    <w:p w14:paraId="1919B224">
      <w:pPr>
        <w:pStyle w:val="23"/>
        <w:ind w:firstLine="0" w:firstLineChars="0"/>
        <w:rPr>
          <w:rFonts w:cs="宋体"/>
          <w:color w:val="auto"/>
          <w:highlight w:val="none"/>
        </w:rPr>
      </w:pPr>
    </w:p>
    <w:p w14:paraId="16D2299D">
      <w:pPr>
        <w:pStyle w:val="23"/>
        <w:ind w:firstLine="0" w:firstLineChars="0"/>
        <w:rPr>
          <w:rFonts w:cs="宋体"/>
          <w:color w:val="auto"/>
          <w:highlight w:val="none"/>
        </w:rPr>
      </w:pPr>
    </w:p>
    <w:p w14:paraId="42953DAD">
      <w:pPr>
        <w:pStyle w:val="23"/>
        <w:ind w:firstLine="0" w:firstLineChars="0"/>
        <w:rPr>
          <w:rFonts w:cs="宋体"/>
          <w:color w:val="auto"/>
          <w:highlight w:val="none"/>
        </w:rPr>
      </w:pPr>
    </w:p>
    <w:p w14:paraId="4F7760F4">
      <w:pPr>
        <w:pStyle w:val="23"/>
        <w:ind w:firstLine="0" w:firstLineChars="0"/>
        <w:rPr>
          <w:rFonts w:cs="宋体"/>
          <w:color w:val="auto"/>
          <w:highlight w:val="none"/>
        </w:rPr>
      </w:pPr>
    </w:p>
    <w:p w14:paraId="7F415283">
      <w:pPr>
        <w:pStyle w:val="23"/>
        <w:ind w:firstLine="0" w:firstLineChars="0"/>
        <w:rPr>
          <w:rFonts w:cs="宋体"/>
          <w:color w:val="auto"/>
          <w:highlight w:val="none"/>
        </w:rPr>
      </w:pPr>
    </w:p>
    <w:p w14:paraId="7474FC09">
      <w:pPr>
        <w:pStyle w:val="23"/>
        <w:ind w:firstLine="0" w:firstLineChars="0"/>
        <w:rPr>
          <w:rFonts w:cs="宋体"/>
          <w:color w:val="auto"/>
          <w:highlight w:val="none"/>
        </w:rPr>
      </w:pPr>
    </w:p>
    <w:p w14:paraId="044DE858">
      <w:pPr>
        <w:pStyle w:val="23"/>
        <w:ind w:firstLine="0" w:firstLineChars="0"/>
        <w:rPr>
          <w:rFonts w:cs="宋体"/>
          <w:color w:val="auto"/>
          <w:highlight w:val="none"/>
        </w:rPr>
      </w:pPr>
    </w:p>
    <w:p w14:paraId="37AA915B">
      <w:pPr>
        <w:pStyle w:val="23"/>
        <w:ind w:firstLine="0" w:firstLineChars="0"/>
        <w:rPr>
          <w:rFonts w:cs="宋体"/>
          <w:color w:val="auto"/>
          <w:highlight w:val="none"/>
        </w:rPr>
      </w:pPr>
    </w:p>
    <w:p w14:paraId="774ED924">
      <w:pPr>
        <w:pStyle w:val="23"/>
        <w:ind w:firstLine="0" w:firstLineChars="0"/>
        <w:rPr>
          <w:rFonts w:cs="宋体"/>
          <w:color w:val="auto"/>
          <w:highlight w:val="none"/>
        </w:rPr>
      </w:pPr>
    </w:p>
    <w:p w14:paraId="64F59DD3">
      <w:pPr>
        <w:pStyle w:val="23"/>
        <w:ind w:firstLine="0" w:firstLineChars="0"/>
        <w:rPr>
          <w:rFonts w:cs="宋体"/>
          <w:color w:val="auto"/>
          <w:highlight w:val="none"/>
        </w:rPr>
      </w:pPr>
    </w:p>
    <w:p w14:paraId="5431E887">
      <w:pPr>
        <w:pStyle w:val="23"/>
        <w:ind w:firstLine="0" w:firstLineChars="0"/>
        <w:rPr>
          <w:rFonts w:cs="宋体"/>
          <w:color w:val="auto"/>
          <w:highlight w:val="none"/>
        </w:rPr>
      </w:pPr>
    </w:p>
    <w:p w14:paraId="37560C7C">
      <w:pPr>
        <w:pStyle w:val="23"/>
        <w:ind w:firstLine="0" w:firstLineChars="0"/>
        <w:rPr>
          <w:rFonts w:cs="宋体"/>
          <w:color w:val="auto"/>
          <w:highlight w:val="none"/>
        </w:rPr>
      </w:pPr>
    </w:p>
    <w:p w14:paraId="7351BB16">
      <w:pPr>
        <w:pStyle w:val="23"/>
        <w:ind w:firstLine="0" w:firstLineChars="0"/>
        <w:rPr>
          <w:rFonts w:cs="宋体"/>
          <w:color w:val="auto"/>
          <w:highlight w:val="none"/>
        </w:rPr>
      </w:pPr>
    </w:p>
    <w:p w14:paraId="06C680B9">
      <w:pPr>
        <w:pStyle w:val="23"/>
        <w:ind w:firstLine="0" w:firstLineChars="0"/>
        <w:rPr>
          <w:rFonts w:cs="宋体"/>
          <w:color w:val="auto"/>
          <w:highlight w:val="none"/>
        </w:rPr>
      </w:pPr>
    </w:p>
    <w:p w14:paraId="487F55A0">
      <w:pPr>
        <w:pStyle w:val="23"/>
        <w:ind w:firstLine="0" w:firstLineChars="0"/>
        <w:rPr>
          <w:rFonts w:cs="宋体"/>
          <w:color w:val="auto"/>
          <w:highlight w:val="none"/>
        </w:rPr>
      </w:pPr>
    </w:p>
    <w:p w14:paraId="240A3C8D">
      <w:pPr>
        <w:pStyle w:val="23"/>
        <w:ind w:firstLine="0" w:firstLineChars="0"/>
        <w:rPr>
          <w:rFonts w:cs="宋体"/>
          <w:color w:val="auto"/>
          <w:highlight w:val="none"/>
        </w:rPr>
      </w:pPr>
    </w:p>
    <w:p w14:paraId="39685B9E">
      <w:pPr>
        <w:pStyle w:val="23"/>
        <w:ind w:firstLine="0" w:firstLineChars="0"/>
        <w:rPr>
          <w:rFonts w:cs="宋体"/>
          <w:color w:val="auto"/>
          <w:highlight w:val="none"/>
        </w:rPr>
      </w:pPr>
    </w:p>
    <w:p w14:paraId="79E6BC22">
      <w:pPr>
        <w:pStyle w:val="23"/>
        <w:ind w:firstLine="0" w:firstLineChars="0"/>
        <w:rPr>
          <w:rFonts w:cs="宋体"/>
          <w:color w:val="auto"/>
          <w:highlight w:val="none"/>
        </w:rPr>
      </w:pPr>
    </w:p>
    <w:p w14:paraId="26204C2F">
      <w:pPr>
        <w:pStyle w:val="23"/>
        <w:ind w:firstLine="0" w:firstLineChars="0"/>
        <w:rPr>
          <w:rFonts w:cs="宋体"/>
          <w:color w:val="auto"/>
          <w:highlight w:val="none"/>
        </w:rPr>
      </w:pPr>
    </w:p>
    <w:p w14:paraId="201E4728">
      <w:pPr>
        <w:pStyle w:val="23"/>
        <w:ind w:firstLine="0" w:firstLineChars="0"/>
        <w:rPr>
          <w:rFonts w:cs="宋体"/>
          <w:color w:val="auto"/>
          <w:highlight w:val="none"/>
        </w:rPr>
      </w:pPr>
    </w:p>
    <w:p w14:paraId="21B0CFEE">
      <w:pPr>
        <w:pStyle w:val="23"/>
        <w:ind w:firstLine="0" w:firstLineChars="0"/>
        <w:rPr>
          <w:rFonts w:cs="宋体"/>
          <w:color w:val="auto"/>
          <w:highlight w:val="none"/>
        </w:rPr>
      </w:pPr>
    </w:p>
    <w:p w14:paraId="2EEA482B">
      <w:pPr>
        <w:pStyle w:val="23"/>
        <w:ind w:firstLine="0" w:firstLineChars="0"/>
        <w:rPr>
          <w:rFonts w:cs="宋体"/>
          <w:color w:val="auto"/>
          <w:highlight w:val="none"/>
        </w:rPr>
      </w:pPr>
    </w:p>
    <w:p w14:paraId="02C24B56">
      <w:pPr>
        <w:pStyle w:val="23"/>
        <w:ind w:firstLine="0" w:firstLineChars="0"/>
        <w:rPr>
          <w:rFonts w:cs="宋体"/>
          <w:color w:val="auto"/>
          <w:highlight w:val="none"/>
        </w:rPr>
      </w:pPr>
    </w:p>
    <w:p w14:paraId="38745BAE">
      <w:pPr>
        <w:pStyle w:val="23"/>
        <w:ind w:firstLine="0" w:firstLineChars="0"/>
        <w:rPr>
          <w:rFonts w:cs="宋体"/>
          <w:color w:val="auto"/>
          <w:highlight w:val="none"/>
        </w:rPr>
      </w:pPr>
    </w:p>
    <w:p w14:paraId="38FE2DB5">
      <w:pPr>
        <w:pStyle w:val="23"/>
        <w:ind w:firstLine="0" w:firstLineChars="0"/>
        <w:rPr>
          <w:rFonts w:cs="宋体"/>
          <w:color w:val="auto"/>
          <w:highlight w:val="none"/>
        </w:rPr>
      </w:pPr>
    </w:p>
    <w:p w14:paraId="28A12F07">
      <w:pPr>
        <w:pStyle w:val="23"/>
        <w:ind w:firstLine="0" w:firstLineChars="0"/>
        <w:rPr>
          <w:rFonts w:cs="宋体"/>
          <w:color w:val="auto"/>
          <w:highlight w:val="none"/>
        </w:rPr>
      </w:pPr>
    </w:p>
    <w:p w14:paraId="34DBF359">
      <w:pPr>
        <w:pStyle w:val="23"/>
        <w:ind w:firstLine="0" w:firstLineChars="0"/>
        <w:rPr>
          <w:rFonts w:cs="宋体"/>
          <w:color w:val="auto"/>
          <w:highlight w:val="none"/>
        </w:rPr>
      </w:pPr>
      <w:r>
        <w:rPr>
          <w:color w:val="auto"/>
          <w:highlight w:val="none"/>
        </w:rPr>
        <w:drawing>
          <wp:anchor distT="0" distB="0" distL="114300" distR="114300" simplePos="0" relativeHeight="251701248" behindDoc="1" locked="0" layoutInCell="1" allowOverlap="1">
            <wp:simplePos x="0" y="0"/>
            <wp:positionH relativeFrom="column">
              <wp:posOffset>-133350</wp:posOffset>
            </wp:positionH>
            <wp:positionV relativeFrom="paragraph">
              <wp:posOffset>-260985</wp:posOffset>
            </wp:positionV>
            <wp:extent cx="5191125" cy="7591425"/>
            <wp:effectExtent l="0" t="0" r="0" b="0"/>
            <wp:wrapNone/>
            <wp:docPr id="5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4"/>
                    <pic:cNvPicPr>
                      <a:picLocks noChangeAspect="1"/>
                    </pic:cNvPicPr>
                  </pic:nvPicPr>
                  <pic:blipFill>
                    <a:blip r:embed="rId81"/>
                    <a:stretch>
                      <a:fillRect/>
                    </a:stretch>
                  </pic:blipFill>
                  <pic:spPr>
                    <a:xfrm>
                      <a:off x="0" y="0"/>
                      <a:ext cx="5191125" cy="7591425"/>
                    </a:xfrm>
                    <a:prstGeom prst="rect">
                      <a:avLst/>
                    </a:prstGeom>
                    <a:noFill/>
                    <a:ln>
                      <a:noFill/>
                    </a:ln>
                  </pic:spPr>
                </pic:pic>
              </a:graphicData>
            </a:graphic>
          </wp:anchor>
        </w:drawing>
      </w:r>
    </w:p>
    <w:p w14:paraId="6BF949C7">
      <w:pPr>
        <w:pStyle w:val="23"/>
        <w:ind w:firstLine="0" w:firstLineChars="0"/>
        <w:rPr>
          <w:rFonts w:cs="宋体"/>
          <w:color w:val="auto"/>
          <w:highlight w:val="none"/>
        </w:rPr>
      </w:pPr>
    </w:p>
    <w:p w14:paraId="6FBAC497">
      <w:pPr>
        <w:pStyle w:val="23"/>
        <w:ind w:firstLine="0" w:firstLineChars="0"/>
        <w:rPr>
          <w:rFonts w:cs="宋体"/>
          <w:color w:val="auto"/>
          <w:highlight w:val="none"/>
        </w:rPr>
      </w:pPr>
    </w:p>
    <w:p w14:paraId="20702437">
      <w:pPr>
        <w:pStyle w:val="23"/>
        <w:ind w:firstLine="0" w:firstLineChars="0"/>
        <w:rPr>
          <w:rFonts w:cs="宋体"/>
          <w:color w:val="auto"/>
          <w:highlight w:val="none"/>
        </w:rPr>
      </w:pPr>
    </w:p>
    <w:p w14:paraId="5DDB1FB3">
      <w:pPr>
        <w:pStyle w:val="23"/>
        <w:ind w:firstLine="0" w:firstLineChars="0"/>
        <w:rPr>
          <w:rFonts w:cs="宋体"/>
          <w:color w:val="auto"/>
          <w:highlight w:val="none"/>
        </w:rPr>
      </w:pPr>
    </w:p>
    <w:p w14:paraId="635B1BC8">
      <w:pPr>
        <w:pStyle w:val="23"/>
        <w:ind w:firstLine="0" w:firstLineChars="0"/>
        <w:rPr>
          <w:rFonts w:cs="宋体"/>
          <w:color w:val="auto"/>
          <w:highlight w:val="none"/>
        </w:rPr>
      </w:pPr>
    </w:p>
    <w:p w14:paraId="1AB428E4">
      <w:pPr>
        <w:pStyle w:val="23"/>
        <w:ind w:firstLine="0" w:firstLineChars="0"/>
        <w:rPr>
          <w:rFonts w:cs="宋体"/>
          <w:color w:val="auto"/>
          <w:highlight w:val="none"/>
        </w:rPr>
      </w:pPr>
    </w:p>
    <w:p w14:paraId="6ADF0D22">
      <w:pPr>
        <w:pStyle w:val="23"/>
        <w:ind w:firstLine="0" w:firstLineChars="0"/>
        <w:rPr>
          <w:rFonts w:cs="宋体"/>
          <w:color w:val="auto"/>
          <w:highlight w:val="none"/>
        </w:rPr>
      </w:pPr>
    </w:p>
    <w:p w14:paraId="1B7850C1">
      <w:pPr>
        <w:pStyle w:val="23"/>
        <w:ind w:firstLine="0" w:firstLineChars="0"/>
        <w:rPr>
          <w:rFonts w:cs="宋体"/>
          <w:color w:val="auto"/>
          <w:highlight w:val="none"/>
        </w:rPr>
      </w:pPr>
    </w:p>
    <w:p w14:paraId="40D4FD07">
      <w:pPr>
        <w:pStyle w:val="23"/>
        <w:ind w:firstLine="0" w:firstLineChars="0"/>
        <w:rPr>
          <w:rFonts w:cs="宋体"/>
          <w:color w:val="auto"/>
          <w:highlight w:val="none"/>
        </w:rPr>
      </w:pPr>
    </w:p>
    <w:p w14:paraId="51A132E0">
      <w:pPr>
        <w:pStyle w:val="23"/>
        <w:ind w:firstLine="0" w:firstLineChars="0"/>
        <w:rPr>
          <w:rFonts w:cs="宋体"/>
          <w:color w:val="auto"/>
          <w:highlight w:val="none"/>
        </w:rPr>
      </w:pPr>
    </w:p>
    <w:p w14:paraId="5CCC0910">
      <w:pPr>
        <w:pStyle w:val="23"/>
        <w:ind w:firstLine="0" w:firstLineChars="0"/>
        <w:rPr>
          <w:rFonts w:cs="宋体"/>
          <w:color w:val="auto"/>
          <w:highlight w:val="none"/>
        </w:rPr>
      </w:pPr>
    </w:p>
    <w:p w14:paraId="5DFBD4D2">
      <w:pPr>
        <w:pStyle w:val="23"/>
        <w:ind w:firstLine="0" w:firstLineChars="0"/>
        <w:rPr>
          <w:rFonts w:cs="宋体"/>
          <w:color w:val="auto"/>
          <w:highlight w:val="none"/>
        </w:rPr>
      </w:pPr>
    </w:p>
    <w:p w14:paraId="4B493822">
      <w:pPr>
        <w:pStyle w:val="23"/>
        <w:ind w:firstLine="0" w:firstLineChars="0"/>
        <w:rPr>
          <w:rFonts w:cs="宋体"/>
          <w:color w:val="auto"/>
          <w:highlight w:val="none"/>
        </w:rPr>
      </w:pPr>
    </w:p>
    <w:p w14:paraId="5D014116">
      <w:pPr>
        <w:pStyle w:val="23"/>
        <w:ind w:firstLine="0" w:firstLineChars="0"/>
        <w:rPr>
          <w:rFonts w:cs="宋体"/>
          <w:color w:val="auto"/>
          <w:highlight w:val="none"/>
        </w:rPr>
      </w:pPr>
    </w:p>
    <w:p w14:paraId="79BB6787">
      <w:pPr>
        <w:pStyle w:val="23"/>
        <w:ind w:firstLine="0" w:firstLineChars="0"/>
        <w:rPr>
          <w:rFonts w:cs="宋体"/>
          <w:color w:val="auto"/>
          <w:highlight w:val="none"/>
        </w:rPr>
      </w:pPr>
    </w:p>
    <w:p w14:paraId="4544834D">
      <w:pPr>
        <w:pStyle w:val="23"/>
        <w:ind w:firstLine="0" w:firstLineChars="0"/>
        <w:rPr>
          <w:rFonts w:cs="宋体"/>
          <w:color w:val="auto"/>
          <w:highlight w:val="none"/>
        </w:rPr>
      </w:pPr>
    </w:p>
    <w:p w14:paraId="6C7E53EF">
      <w:pPr>
        <w:pStyle w:val="23"/>
        <w:ind w:firstLine="0" w:firstLineChars="0"/>
        <w:rPr>
          <w:rFonts w:cs="宋体"/>
          <w:color w:val="auto"/>
          <w:highlight w:val="none"/>
        </w:rPr>
      </w:pPr>
    </w:p>
    <w:p w14:paraId="4A46499F">
      <w:pPr>
        <w:pStyle w:val="23"/>
        <w:ind w:firstLine="0" w:firstLineChars="0"/>
        <w:rPr>
          <w:rFonts w:cs="宋体"/>
          <w:color w:val="auto"/>
          <w:highlight w:val="none"/>
        </w:rPr>
      </w:pPr>
    </w:p>
    <w:p w14:paraId="3A28E008">
      <w:pPr>
        <w:pStyle w:val="23"/>
        <w:ind w:firstLine="0" w:firstLineChars="0"/>
        <w:rPr>
          <w:rFonts w:cs="宋体"/>
          <w:color w:val="auto"/>
          <w:highlight w:val="none"/>
        </w:rPr>
      </w:pPr>
    </w:p>
    <w:p w14:paraId="06F81BAF">
      <w:pPr>
        <w:pStyle w:val="23"/>
        <w:ind w:firstLine="0" w:firstLineChars="0"/>
        <w:rPr>
          <w:rFonts w:cs="宋体"/>
          <w:color w:val="auto"/>
          <w:highlight w:val="none"/>
        </w:rPr>
      </w:pPr>
    </w:p>
    <w:p w14:paraId="13C8D688">
      <w:pPr>
        <w:pStyle w:val="23"/>
        <w:ind w:firstLine="0" w:firstLineChars="0"/>
        <w:rPr>
          <w:rFonts w:cs="宋体"/>
          <w:color w:val="auto"/>
          <w:highlight w:val="none"/>
        </w:rPr>
      </w:pPr>
    </w:p>
    <w:p w14:paraId="37D9EE5F">
      <w:pPr>
        <w:pStyle w:val="23"/>
        <w:ind w:firstLine="0" w:firstLineChars="0"/>
        <w:rPr>
          <w:rFonts w:cs="宋体"/>
          <w:color w:val="auto"/>
          <w:highlight w:val="none"/>
        </w:rPr>
      </w:pPr>
    </w:p>
    <w:p w14:paraId="61BE88CF">
      <w:pPr>
        <w:pStyle w:val="23"/>
        <w:ind w:firstLine="0" w:firstLineChars="0"/>
        <w:rPr>
          <w:rFonts w:cs="宋体"/>
          <w:color w:val="auto"/>
          <w:highlight w:val="none"/>
        </w:rPr>
      </w:pPr>
    </w:p>
    <w:p w14:paraId="47077050">
      <w:pPr>
        <w:pStyle w:val="23"/>
        <w:ind w:firstLine="0" w:firstLineChars="0"/>
        <w:rPr>
          <w:rFonts w:cs="宋体"/>
          <w:color w:val="auto"/>
          <w:highlight w:val="none"/>
        </w:rPr>
      </w:pPr>
    </w:p>
    <w:p w14:paraId="3E2C2252">
      <w:pPr>
        <w:pStyle w:val="23"/>
        <w:ind w:firstLine="0" w:firstLineChars="0"/>
        <w:rPr>
          <w:rFonts w:cs="宋体"/>
          <w:color w:val="auto"/>
          <w:highlight w:val="none"/>
        </w:rPr>
      </w:pPr>
    </w:p>
    <w:p w14:paraId="0671A3F0">
      <w:pPr>
        <w:pStyle w:val="23"/>
        <w:ind w:firstLine="0" w:firstLineChars="0"/>
        <w:rPr>
          <w:rFonts w:cs="宋体"/>
          <w:color w:val="auto"/>
          <w:highlight w:val="none"/>
        </w:rPr>
      </w:pPr>
    </w:p>
    <w:p w14:paraId="46EA4550">
      <w:pPr>
        <w:pStyle w:val="23"/>
        <w:ind w:firstLine="0" w:firstLineChars="0"/>
        <w:rPr>
          <w:rFonts w:cs="宋体"/>
          <w:color w:val="auto"/>
          <w:highlight w:val="none"/>
        </w:rPr>
      </w:pPr>
    </w:p>
    <w:p w14:paraId="754DCD71">
      <w:pPr>
        <w:pStyle w:val="23"/>
        <w:ind w:firstLine="0" w:firstLineChars="0"/>
        <w:rPr>
          <w:rFonts w:cs="宋体"/>
          <w:color w:val="auto"/>
          <w:highlight w:val="none"/>
        </w:rPr>
      </w:pPr>
      <w:r>
        <w:rPr>
          <w:color w:val="auto"/>
          <w:highlight w:val="none"/>
        </w:rPr>
        <w:drawing>
          <wp:anchor distT="0" distB="0" distL="114300" distR="114300" simplePos="0" relativeHeight="251702272" behindDoc="1" locked="0" layoutInCell="1" allowOverlap="1">
            <wp:simplePos x="0" y="0"/>
            <wp:positionH relativeFrom="column">
              <wp:posOffset>66675</wp:posOffset>
            </wp:positionH>
            <wp:positionV relativeFrom="paragraph">
              <wp:posOffset>224790</wp:posOffset>
            </wp:positionV>
            <wp:extent cx="5270500" cy="6543040"/>
            <wp:effectExtent l="0" t="0" r="6350" b="635"/>
            <wp:wrapNone/>
            <wp:docPr id="5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5"/>
                    <pic:cNvPicPr>
                      <a:picLocks noChangeAspect="1"/>
                    </pic:cNvPicPr>
                  </pic:nvPicPr>
                  <pic:blipFill>
                    <a:blip r:embed="rId82"/>
                    <a:stretch>
                      <a:fillRect/>
                    </a:stretch>
                  </pic:blipFill>
                  <pic:spPr>
                    <a:xfrm>
                      <a:off x="0" y="0"/>
                      <a:ext cx="5270500" cy="6543040"/>
                    </a:xfrm>
                    <a:prstGeom prst="rect">
                      <a:avLst/>
                    </a:prstGeom>
                    <a:noFill/>
                    <a:ln>
                      <a:noFill/>
                    </a:ln>
                  </pic:spPr>
                </pic:pic>
              </a:graphicData>
            </a:graphic>
          </wp:anchor>
        </w:drawing>
      </w:r>
    </w:p>
    <w:p w14:paraId="5CB9DBF5">
      <w:pPr>
        <w:pStyle w:val="23"/>
        <w:ind w:firstLine="0" w:firstLineChars="0"/>
        <w:rPr>
          <w:rFonts w:cs="宋体"/>
          <w:color w:val="auto"/>
          <w:highlight w:val="none"/>
        </w:rPr>
      </w:pPr>
    </w:p>
    <w:p w14:paraId="711EA672">
      <w:pPr>
        <w:pStyle w:val="23"/>
        <w:ind w:firstLine="0" w:firstLineChars="0"/>
        <w:rPr>
          <w:rFonts w:cs="宋体"/>
          <w:color w:val="auto"/>
          <w:highlight w:val="none"/>
        </w:rPr>
      </w:pPr>
    </w:p>
    <w:p w14:paraId="2D086681">
      <w:pPr>
        <w:pStyle w:val="23"/>
        <w:ind w:firstLine="0" w:firstLineChars="0"/>
        <w:rPr>
          <w:rFonts w:cs="宋体"/>
          <w:color w:val="auto"/>
          <w:highlight w:val="none"/>
        </w:rPr>
      </w:pPr>
    </w:p>
    <w:p w14:paraId="22524776">
      <w:pPr>
        <w:pStyle w:val="23"/>
        <w:ind w:firstLine="0" w:firstLineChars="0"/>
        <w:rPr>
          <w:rFonts w:cs="宋体"/>
          <w:color w:val="auto"/>
          <w:highlight w:val="none"/>
        </w:rPr>
      </w:pPr>
    </w:p>
    <w:p w14:paraId="7B9256AE">
      <w:pPr>
        <w:pStyle w:val="23"/>
        <w:ind w:firstLine="0" w:firstLineChars="0"/>
        <w:rPr>
          <w:rFonts w:cs="宋体"/>
          <w:color w:val="auto"/>
          <w:highlight w:val="none"/>
        </w:rPr>
      </w:pPr>
    </w:p>
    <w:p w14:paraId="760BD0C4">
      <w:pPr>
        <w:pStyle w:val="23"/>
        <w:ind w:firstLine="0" w:firstLineChars="0"/>
        <w:rPr>
          <w:rFonts w:cs="宋体"/>
          <w:color w:val="auto"/>
          <w:highlight w:val="none"/>
        </w:rPr>
      </w:pPr>
    </w:p>
    <w:p w14:paraId="1C9DD20C">
      <w:pPr>
        <w:pStyle w:val="23"/>
        <w:ind w:firstLine="0" w:firstLineChars="0"/>
        <w:rPr>
          <w:rFonts w:cs="宋体"/>
          <w:color w:val="auto"/>
          <w:highlight w:val="none"/>
        </w:rPr>
      </w:pPr>
    </w:p>
    <w:p w14:paraId="3368A49C">
      <w:pPr>
        <w:pStyle w:val="23"/>
        <w:ind w:firstLine="0" w:firstLineChars="0"/>
        <w:rPr>
          <w:rFonts w:cs="宋体"/>
          <w:color w:val="auto"/>
          <w:highlight w:val="none"/>
        </w:rPr>
      </w:pPr>
    </w:p>
    <w:p w14:paraId="36DC1CC4">
      <w:pPr>
        <w:pStyle w:val="23"/>
        <w:ind w:firstLine="0" w:firstLineChars="0"/>
        <w:rPr>
          <w:rFonts w:cs="宋体"/>
          <w:color w:val="auto"/>
          <w:highlight w:val="none"/>
        </w:rPr>
      </w:pPr>
    </w:p>
    <w:p w14:paraId="7E43F7ED">
      <w:pPr>
        <w:pStyle w:val="23"/>
        <w:ind w:firstLine="0" w:firstLineChars="0"/>
        <w:rPr>
          <w:rFonts w:cs="宋体"/>
          <w:color w:val="auto"/>
          <w:highlight w:val="none"/>
        </w:rPr>
      </w:pPr>
    </w:p>
    <w:p w14:paraId="35A5FBAD">
      <w:pPr>
        <w:pStyle w:val="23"/>
        <w:ind w:firstLine="0" w:firstLineChars="0"/>
        <w:rPr>
          <w:rFonts w:cs="宋体"/>
          <w:color w:val="auto"/>
          <w:highlight w:val="none"/>
        </w:rPr>
      </w:pPr>
    </w:p>
    <w:p w14:paraId="19547584">
      <w:pPr>
        <w:pStyle w:val="23"/>
        <w:ind w:firstLine="0" w:firstLineChars="0"/>
        <w:rPr>
          <w:rFonts w:cs="宋体"/>
          <w:color w:val="auto"/>
          <w:highlight w:val="none"/>
        </w:rPr>
      </w:pPr>
    </w:p>
    <w:p w14:paraId="1AE3B366">
      <w:pPr>
        <w:pStyle w:val="23"/>
        <w:ind w:firstLine="0" w:firstLineChars="0"/>
        <w:rPr>
          <w:rFonts w:cs="宋体"/>
          <w:color w:val="auto"/>
          <w:highlight w:val="none"/>
        </w:rPr>
      </w:pPr>
    </w:p>
    <w:p w14:paraId="157D7053">
      <w:pPr>
        <w:pStyle w:val="23"/>
        <w:ind w:firstLine="0" w:firstLineChars="0"/>
        <w:rPr>
          <w:rFonts w:cs="宋体"/>
          <w:color w:val="auto"/>
          <w:highlight w:val="none"/>
        </w:rPr>
      </w:pPr>
    </w:p>
    <w:p w14:paraId="0618CCFB">
      <w:pPr>
        <w:pStyle w:val="23"/>
        <w:ind w:firstLine="0" w:firstLineChars="0"/>
        <w:rPr>
          <w:rFonts w:cs="宋体"/>
          <w:color w:val="auto"/>
          <w:highlight w:val="none"/>
        </w:rPr>
      </w:pPr>
    </w:p>
    <w:p w14:paraId="43B3AD90">
      <w:pPr>
        <w:pStyle w:val="23"/>
        <w:ind w:firstLine="0" w:firstLineChars="0"/>
        <w:rPr>
          <w:rFonts w:cs="宋体"/>
          <w:color w:val="auto"/>
          <w:highlight w:val="none"/>
        </w:rPr>
      </w:pPr>
    </w:p>
    <w:p w14:paraId="4BD2F3AD">
      <w:pPr>
        <w:pStyle w:val="23"/>
        <w:ind w:firstLine="0" w:firstLineChars="0"/>
        <w:rPr>
          <w:rFonts w:cs="宋体"/>
          <w:color w:val="auto"/>
          <w:highlight w:val="none"/>
        </w:rPr>
      </w:pPr>
    </w:p>
    <w:p w14:paraId="4F4595C3">
      <w:pPr>
        <w:pStyle w:val="23"/>
        <w:ind w:firstLine="0" w:firstLineChars="0"/>
        <w:rPr>
          <w:rFonts w:cs="宋体"/>
          <w:color w:val="auto"/>
          <w:highlight w:val="none"/>
        </w:rPr>
      </w:pPr>
    </w:p>
    <w:p w14:paraId="00CE32AF">
      <w:pPr>
        <w:pStyle w:val="23"/>
        <w:ind w:firstLine="0" w:firstLineChars="0"/>
        <w:rPr>
          <w:rFonts w:cs="宋体"/>
          <w:color w:val="auto"/>
          <w:highlight w:val="none"/>
        </w:rPr>
      </w:pPr>
    </w:p>
    <w:p w14:paraId="2588C3A6">
      <w:pPr>
        <w:pStyle w:val="23"/>
        <w:ind w:firstLine="0" w:firstLineChars="0"/>
        <w:rPr>
          <w:rFonts w:cs="宋体"/>
          <w:color w:val="auto"/>
          <w:highlight w:val="none"/>
        </w:rPr>
      </w:pPr>
    </w:p>
    <w:p w14:paraId="3B3C12C5">
      <w:pPr>
        <w:pStyle w:val="23"/>
        <w:ind w:firstLine="0" w:firstLineChars="0"/>
        <w:rPr>
          <w:rFonts w:cs="宋体"/>
          <w:color w:val="auto"/>
          <w:highlight w:val="none"/>
        </w:rPr>
      </w:pPr>
    </w:p>
    <w:p w14:paraId="42F4CD04">
      <w:pPr>
        <w:pStyle w:val="23"/>
        <w:ind w:firstLine="0" w:firstLineChars="0"/>
        <w:rPr>
          <w:rFonts w:cs="宋体"/>
          <w:color w:val="auto"/>
          <w:highlight w:val="none"/>
        </w:rPr>
      </w:pPr>
    </w:p>
    <w:p w14:paraId="4FA2C1C2">
      <w:pPr>
        <w:pStyle w:val="23"/>
        <w:ind w:firstLine="0" w:firstLineChars="0"/>
        <w:rPr>
          <w:rFonts w:cs="宋体"/>
          <w:color w:val="auto"/>
          <w:highlight w:val="none"/>
        </w:rPr>
      </w:pPr>
    </w:p>
    <w:p w14:paraId="32E3FA80">
      <w:pPr>
        <w:pStyle w:val="23"/>
        <w:ind w:firstLine="0" w:firstLineChars="0"/>
        <w:rPr>
          <w:rFonts w:cs="宋体"/>
          <w:color w:val="auto"/>
          <w:highlight w:val="none"/>
        </w:rPr>
      </w:pPr>
    </w:p>
    <w:p w14:paraId="35A9DCF9">
      <w:pPr>
        <w:pStyle w:val="23"/>
        <w:ind w:firstLine="0" w:firstLineChars="0"/>
        <w:rPr>
          <w:rFonts w:cs="宋体"/>
          <w:color w:val="auto"/>
          <w:highlight w:val="none"/>
        </w:rPr>
      </w:pPr>
    </w:p>
    <w:p w14:paraId="54A8E305">
      <w:pPr>
        <w:pStyle w:val="23"/>
        <w:ind w:firstLine="0" w:firstLineChars="0"/>
        <w:rPr>
          <w:rFonts w:cs="宋体"/>
          <w:color w:val="auto"/>
          <w:highlight w:val="none"/>
        </w:rPr>
      </w:pPr>
    </w:p>
    <w:p w14:paraId="617CFF3F">
      <w:pPr>
        <w:pStyle w:val="23"/>
        <w:ind w:firstLine="0" w:firstLineChars="0"/>
        <w:rPr>
          <w:rFonts w:cs="宋体"/>
          <w:color w:val="auto"/>
          <w:highlight w:val="none"/>
        </w:rPr>
      </w:pPr>
    </w:p>
    <w:p w14:paraId="07EAB17E">
      <w:pPr>
        <w:rPr>
          <w:rFonts w:ascii="宋体" w:hAnsi="宋体" w:cs="宋体"/>
          <w:color w:val="auto"/>
          <w:highlight w:val="none"/>
        </w:rPr>
      </w:pPr>
      <w:r>
        <w:rPr>
          <w:rFonts w:hint="eastAsia" w:ascii="宋体" w:hAnsi="宋体" w:cs="宋体"/>
          <w:color w:val="auto"/>
          <w:highlight w:val="none"/>
        </w:rPr>
        <w:br w:type="page"/>
      </w:r>
    </w:p>
    <w:p w14:paraId="23E675AD">
      <w:pPr>
        <w:rPr>
          <w:rFonts w:ascii="宋体" w:hAnsi="宋体" w:cs="宋体"/>
          <w:color w:val="auto"/>
          <w:highlight w:val="none"/>
        </w:rPr>
      </w:pPr>
    </w:p>
    <w:p w14:paraId="7627BC83">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第四部分</w:t>
      </w:r>
      <w:bookmarkStart w:id="35" w:name="_Toc30830"/>
      <w:bookmarkStart w:id="36" w:name="_Toc11082"/>
      <w:bookmarkStart w:id="37" w:name="_Toc18363"/>
      <w:bookmarkStart w:id="38" w:name="_Toc302396102"/>
      <w:bookmarkStart w:id="39" w:name="_Toc8240"/>
      <w:bookmarkStart w:id="40" w:name="_Toc13823"/>
      <w:r>
        <w:rPr>
          <w:rFonts w:hint="eastAsia" w:ascii="宋体" w:hAnsi="宋体" w:cs="宋体"/>
          <w:b/>
          <w:color w:val="auto"/>
          <w:sz w:val="36"/>
          <w:szCs w:val="36"/>
          <w:highlight w:val="none"/>
        </w:rPr>
        <w:t>评标方法</w:t>
      </w:r>
      <w:bookmarkEnd w:id="34"/>
      <w:bookmarkEnd w:id="35"/>
      <w:bookmarkEnd w:id="36"/>
      <w:bookmarkEnd w:id="37"/>
      <w:bookmarkEnd w:id="38"/>
      <w:bookmarkEnd w:id="39"/>
      <w:bookmarkEnd w:id="40"/>
      <w:bookmarkStart w:id="41" w:name="_Toc401313705"/>
      <w:bookmarkStart w:id="42" w:name="第五部分"/>
      <w:bookmarkStart w:id="43" w:name="_Toc86217003"/>
    </w:p>
    <w:p w14:paraId="1672A515">
      <w:pPr>
        <w:pStyle w:val="23"/>
        <w:ind w:left="0" w:leftChars="0" w:firstLine="2891" w:firstLineChars="800"/>
        <w:jc w:val="left"/>
        <w:rPr>
          <w:rFonts w:hint="eastAsia" w:cs="宋体"/>
          <w:b/>
          <w:color w:val="auto"/>
          <w:sz w:val="36"/>
          <w:szCs w:val="36"/>
          <w:highlight w:val="none"/>
        </w:rPr>
      </w:pPr>
      <w:r>
        <w:rPr>
          <w:rFonts w:hint="eastAsia" w:cs="宋体"/>
          <w:b/>
          <w:color w:val="auto"/>
          <w:sz w:val="36"/>
          <w:szCs w:val="36"/>
          <w:highlight w:val="none"/>
        </w:rPr>
        <w:t>评标方法前附表</w:t>
      </w:r>
    </w:p>
    <w:p w14:paraId="17576964">
      <w:pPr>
        <w:pStyle w:val="23"/>
        <w:ind w:left="0" w:leftChars="0" w:firstLine="0" w:firstLineChars="0"/>
        <w:jc w:val="center"/>
        <w:rPr>
          <w:rFonts w:hint="eastAsia" w:cs="宋体"/>
          <w:b/>
          <w:color w:val="auto"/>
          <w:sz w:val="28"/>
          <w:szCs w:val="28"/>
          <w:highlight w:val="none"/>
          <w:lang w:val="en-US" w:eastAsia="zh-CN"/>
        </w:rPr>
      </w:pPr>
      <w:r>
        <w:rPr>
          <w:rFonts w:hint="eastAsia" w:cs="宋体"/>
          <w:b/>
          <w:color w:val="auto"/>
          <w:sz w:val="28"/>
          <w:szCs w:val="28"/>
          <w:highlight w:val="none"/>
          <w:lang w:val="en-US" w:eastAsia="zh-CN"/>
        </w:rPr>
        <w:t>标项一</w:t>
      </w:r>
    </w:p>
    <w:tbl>
      <w:tblPr>
        <w:tblStyle w:val="51"/>
        <w:tblW w:w="10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6626"/>
        <w:gridCol w:w="971"/>
        <w:gridCol w:w="807"/>
        <w:gridCol w:w="1349"/>
      </w:tblGrid>
      <w:tr w14:paraId="2792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39" w:type="dxa"/>
            <w:vAlign w:val="center"/>
          </w:tcPr>
          <w:p w14:paraId="7C7B31F3">
            <w:pPr>
              <w:spacing w:line="360" w:lineRule="auto"/>
              <w:jc w:val="center"/>
              <w:outlineLvl w:val="0"/>
              <w:rPr>
                <w:rFonts w:ascii="宋体" w:hAnsi="宋体" w:cs="宋体"/>
                <w:bCs/>
                <w:color w:val="auto"/>
                <w:sz w:val="24"/>
                <w:highlight w:val="none"/>
              </w:rPr>
            </w:pPr>
            <w:r>
              <w:rPr>
                <w:rFonts w:hint="eastAsia" w:ascii="宋体" w:hAnsi="宋体" w:cs="宋体"/>
                <w:bCs/>
                <w:color w:val="auto"/>
                <w:sz w:val="24"/>
                <w:highlight w:val="none"/>
              </w:rPr>
              <w:t>序号</w:t>
            </w:r>
          </w:p>
        </w:tc>
        <w:tc>
          <w:tcPr>
            <w:tcW w:w="6626" w:type="dxa"/>
            <w:vAlign w:val="center"/>
          </w:tcPr>
          <w:p w14:paraId="26DD4E57">
            <w:pPr>
              <w:spacing w:line="360" w:lineRule="auto"/>
              <w:jc w:val="center"/>
              <w:outlineLvl w:val="0"/>
              <w:rPr>
                <w:rFonts w:ascii="宋体" w:hAnsi="宋体" w:cs="宋体"/>
                <w:bCs/>
                <w:color w:val="auto"/>
                <w:sz w:val="24"/>
                <w:highlight w:val="none"/>
              </w:rPr>
            </w:pPr>
            <w:r>
              <w:rPr>
                <w:rFonts w:hint="eastAsia" w:ascii="宋体" w:hAnsi="宋体" w:cs="宋体"/>
                <w:bCs/>
                <w:color w:val="auto"/>
                <w:sz w:val="24"/>
                <w:highlight w:val="none"/>
              </w:rPr>
              <w:t>评标标准</w:t>
            </w:r>
          </w:p>
        </w:tc>
        <w:tc>
          <w:tcPr>
            <w:tcW w:w="971" w:type="dxa"/>
            <w:vAlign w:val="center"/>
          </w:tcPr>
          <w:p w14:paraId="793F5FD5">
            <w:pPr>
              <w:spacing w:line="360" w:lineRule="auto"/>
              <w:jc w:val="center"/>
              <w:outlineLvl w:val="0"/>
              <w:rPr>
                <w:rFonts w:ascii="宋体" w:hAnsi="宋体" w:cs="宋体"/>
                <w:bCs/>
                <w:color w:val="auto"/>
                <w:sz w:val="24"/>
                <w:highlight w:val="none"/>
              </w:rPr>
            </w:pPr>
            <w:r>
              <w:rPr>
                <w:rFonts w:hint="eastAsia" w:ascii="宋体" w:hAnsi="宋体" w:cs="宋体"/>
                <w:bCs/>
                <w:color w:val="auto"/>
                <w:sz w:val="24"/>
                <w:highlight w:val="none"/>
                <w:lang w:eastAsia="zh-CN"/>
              </w:rPr>
              <w:t>分值</w:t>
            </w:r>
          </w:p>
        </w:tc>
        <w:tc>
          <w:tcPr>
            <w:tcW w:w="807" w:type="dxa"/>
            <w:vAlign w:val="center"/>
          </w:tcPr>
          <w:p w14:paraId="158C5763">
            <w:pPr>
              <w:spacing w:line="360" w:lineRule="auto"/>
              <w:jc w:val="center"/>
              <w:outlineLvl w:val="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分值属性</w:t>
            </w:r>
          </w:p>
        </w:tc>
        <w:tc>
          <w:tcPr>
            <w:tcW w:w="1349" w:type="dxa"/>
            <w:vAlign w:val="center"/>
          </w:tcPr>
          <w:p w14:paraId="50A31B7C">
            <w:pPr>
              <w:spacing w:line="360" w:lineRule="auto"/>
              <w:jc w:val="center"/>
              <w:outlineLvl w:val="0"/>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val="en-US" w:eastAsia="zh-CN"/>
              </w:rPr>
              <w:t>响应文件中评标标准相应的商务技术资料目录</w:t>
            </w:r>
          </w:p>
        </w:tc>
      </w:tr>
      <w:tr w14:paraId="2906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39" w:type="dxa"/>
            <w:vAlign w:val="center"/>
          </w:tcPr>
          <w:p w14:paraId="24C2A286">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1</w:t>
            </w:r>
          </w:p>
        </w:tc>
        <w:tc>
          <w:tcPr>
            <w:tcW w:w="6626" w:type="dxa"/>
            <w:vAlign w:val="center"/>
          </w:tcPr>
          <w:p w14:paraId="7315084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宋体" w:hAnsi="宋体" w:cs="宋体"/>
                <w:color w:val="auto"/>
                <w:sz w:val="24"/>
                <w:highlight w:val="none"/>
              </w:rPr>
            </w:pPr>
            <w:r>
              <w:rPr>
                <w:rFonts w:hint="eastAsia" w:ascii="宋体" w:hAnsi="宋体" w:cs="宋体"/>
                <w:color w:val="auto"/>
                <w:sz w:val="24"/>
                <w:highlight w:val="none"/>
              </w:rPr>
              <w:t>投标人同时具有有效的质量管理体系认证、环境管理体系认证、职业健康安全管理体系认证得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分，满分</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14:paraId="34BFF1F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提供相应有效证书的扫描件</w:t>
            </w:r>
            <w:r>
              <w:rPr>
                <w:rFonts w:hint="eastAsia" w:ascii="宋体" w:hAnsi="宋体" w:cs="宋体"/>
                <w:color w:val="auto"/>
                <w:sz w:val="24"/>
                <w:highlight w:val="none"/>
                <w:lang w:val="en-US" w:eastAsia="zh-CN"/>
              </w:rPr>
              <w:t>，由评审专家现场在</w:t>
            </w:r>
            <w:r>
              <w:rPr>
                <w:rFonts w:hint="eastAsia" w:ascii="宋体" w:hAnsi="宋体" w:cs="宋体"/>
                <w:color w:val="auto"/>
                <w:sz w:val="24"/>
                <w:highlight w:val="none"/>
              </w:rPr>
              <w:t>全国认证认可信息公共服务平台（http://cx.cnca.cn/）</w:t>
            </w:r>
            <w:r>
              <w:rPr>
                <w:rFonts w:hint="eastAsia" w:ascii="宋体" w:hAnsi="宋体" w:cs="宋体"/>
                <w:color w:val="auto"/>
                <w:sz w:val="24"/>
                <w:highlight w:val="none"/>
                <w:lang w:val="en-US" w:eastAsia="zh-CN"/>
              </w:rPr>
              <w:t>核查。</w:t>
            </w:r>
          </w:p>
        </w:tc>
        <w:tc>
          <w:tcPr>
            <w:tcW w:w="971" w:type="dxa"/>
            <w:vAlign w:val="center"/>
          </w:tcPr>
          <w:p w14:paraId="40F50F0B">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1分</w:t>
            </w:r>
          </w:p>
        </w:tc>
        <w:tc>
          <w:tcPr>
            <w:tcW w:w="807" w:type="dxa"/>
            <w:vAlign w:val="center"/>
          </w:tcPr>
          <w:p w14:paraId="3017238C">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客观</w:t>
            </w:r>
          </w:p>
        </w:tc>
        <w:tc>
          <w:tcPr>
            <w:tcW w:w="1349" w:type="dxa"/>
            <w:vAlign w:val="center"/>
          </w:tcPr>
          <w:p w14:paraId="69E1E7A7">
            <w:pPr>
              <w:spacing w:line="240" w:lineRule="auto"/>
              <w:jc w:val="center"/>
              <w:outlineLvl w:val="0"/>
              <w:rPr>
                <w:rFonts w:hint="default" w:ascii="宋体" w:hAnsi="宋体" w:eastAsia="仿宋_GB2312" w:cs="宋体"/>
                <w:b/>
                <w:color w:val="auto"/>
                <w:sz w:val="24"/>
                <w:highlight w:val="none"/>
                <w:lang w:val="en-US" w:eastAsia="zh-CN"/>
              </w:rPr>
            </w:pPr>
            <w:r>
              <w:rPr>
                <w:rFonts w:hint="eastAsia" w:asciiTheme="minorEastAsia" w:hAnsiTheme="minorEastAsia" w:eastAsiaTheme="minorEastAsia" w:cstheme="minorEastAsia"/>
                <w:b w:val="0"/>
                <w:bCs/>
                <w:color w:val="auto"/>
                <w:sz w:val="24"/>
                <w:highlight w:val="none"/>
                <w:lang w:val="en-US" w:eastAsia="zh-CN"/>
              </w:rPr>
              <w:t>质量管理体系认证</w:t>
            </w:r>
          </w:p>
        </w:tc>
      </w:tr>
      <w:tr w14:paraId="1D389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39" w:type="dxa"/>
            <w:vAlign w:val="center"/>
          </w:tcPr>
          <w:p w14:paraId="66FE072B">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2</w:t>
            </w:r>
          </w:p>
        </w:tc>
        <w:tc>
          <w:tcPr>
            <w:tcW w:w="6626" w:type="dxa"/>
            <w:vAlign w:val="center"/>
          </w:tcPr>
          <w:p w14:paraId="320D491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年1月1日以来（时间以审核报告出具日期为准），</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独立完成过政府投资等类似项目概算审核实绩（</w:t>
            </w:r>
            <w:r>
              <w:rPr>
                <w:rFonts w:hint="eastAsia" w:ascii="宋体" w:hAnsi="宋体" w:cs="宋体"/>
                <w:color w:val="auto"/>
                <w:sz w:val="24"/>
                <w:highlight w:val="none"/>
                <w:lang w:eastAsia="zh-CN"/>
              </w:rPr>
              <w:t>核减率或核增率</w:t>
            </w:r>
            <w:r>
              <w:rPr>
                <w:rFonts w:hint="eastAsia" w:ascii="宋体" w:hAnsi="宋体" w:cs="宋体"/>
                <w:color w:val="auto"/>
                <w:sz w:val="24"/>
                <w:highlight w:val="none"/>
              </w:rPr>
              <w:t>≥</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lang w:val="en-US" w:eastAsia="zh-CN"/>
              </w:rPr>
              <w:t>10%</w:t>
            </w:r>
            <w:r>
              <w:rPr>
                <w:rFonts w:hint="eastAsia" w:ascii="微软雅黑" w:hAnsi="微软雅黑" w:eastAsia="微软雅黑" w:cs="微软雅黑"/>
                <w:color w:val="auto"/>
                <w:sz w:val="24"/>
                <w:highlight w:val="none"/>
                <w:lang w:eastAsia="zh-CN"/>
              </w:rPr>
              <w:t>|</w:t>
            </w:r>
            <w:r>
              <w:rPr>
                <w:rFonts w:hint="eastAsia" w:ascii="宋体" w:hAnsi="宋体" w:cs="宋体"/>
                <w:color w:val="auto"/>
                <w:sz w:val="24"/>
                <w:highlight w:val="none"/>
              </w:rPr>
              <w:t>），每个得</w:t>
            </w:r>
            <w:r>
              <w:rPr>
                <w:rFonts w:hint="eastAsia" w:ascii="宋体" w:hAnsi="宋体" w:cs="宋体"/>
                <w:color w:val="auto"/>
                <w:sz w:val="24"/>
                <w:highlight w:val="none"/>
                <w:lang w:val="en-US" w:eastAsia="zh-CN"/>
              </w:rPr>
              <w:t>0.8</w:t>
            </w:r>
            <w:r>
              <w:rPr>
                <w:rFonts w:hint="eastAsia" w:ascii="宋体" w:hAnsi="宋体" w:cs="宋体"/>
                <w:color w:val="auto"/>
                <w:sz w:val="24"/>
                <w:highlight w:val="none"/>
              </w:rPr>
              <w:t>分，满分</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分。</w:t>
            </w:r>
          </w:p>
          <w:p w14:paraId="49F39E5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sz w:val="24"/>
                <w:highlight w:val="none"/>
                <w:woUserID w:val="1"/>
              </w:rPr>
            </w:pPr>
            <w:r>
              <w:rPr>
                <w:rFonts w:hint="eastAsia" w:ascii="宋体" w:hAnsi="宋体" w:cs="宋体"/>
                <w:color w:val="auto"/>
                <w:sz w:val="24"/>
                <w:highlight w:val="none"/>
              </w:rPr>
              <w:t>以上业绩需要委托单位盖公章</w:t>
            </w:r>
            <w:r>
              <w:rPr>
                <w:rFonts w:hint="default" w:ascii="宋体" w:hAnsi="宋体" w:cs="宋体"/>
                <w:color w:val="auto"/>
                <w:sz w:val="24"/>
                <w:highlight w:val="none"/>
                <w:woUserID w:val="1"/>
              </w:rPr>
              <w:t>，</w:t>
            </w:r>
            <w:r>
              <w:rPr>
                <w:rFonts w:hint="eastAsia" w:ascii="宋体" w:hAnsi="宋体" w:cs="宋体"/>
                <w:color w:val="auto"/>
                <w:sz w:val="24"/>
                <w:highlight w:val="none"/>
              </w:rPr>
              <w:t>证明核减率（格式自拟）、委托合同及审核报告等相关材料，否则不得分。</w:t>
            </w:r>
            <w:r>
              <w:rPr>
                <w:rFonts w:hint="default" w:ascii="宋体" w:hAnsi="宋体" w:cs="宋体"/>
                <w:color w:val="auto"/>
                <w:sz w:val="24"/>
                <w:highlight w:val="none"/>
                <w:lang w:eastAsia="zh-CN"/>
              </w:rPr>
              <w:t>内设处（科）室盖章的证明材料不得分。</w:t>
            </w:r>
          </w:p>
        </w:tc>
        <w:tc>
          <w:tcPr>
            <w:tcW w:w="971" w:type="dxa"/>
            <w:vAlign w:val="center"/>
          </w:tcPr>
          <w:p w14:paraId="790616D5">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8分</w:t>
            </w:r>
          </w:p>
        </w:tc>
        <w:tc>
          <w:tcPr>
            <w:tcW w:w="807" w:type="dxa"/>
            <w:vAlign w:val="center"/>
          </w:tcPr>
          <w:p w14:paraId="62A80EB0">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客观</w:t>
            </w:r>
          </w:p>
        </w:tc>
        <w:tc>
          <w:tcPr>
            <w:tcW w:w="1349" w:type="dxa"/>
            <w:vAlign w:val="center"/>
          </w:tcPr>
          <w:p w14:paraId="56291E00">
            <w:pPr>
              <w:spacing w:line="360" w:lineRule="auto"/>
              <w:jc w:val="center"/>
              <w:outlineLvl w:val="0"/>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b w:val="0"/>
                <w:bCs/>
                <w:color w:val="auto"/>
                <w:sz w:val="24"/>
                <w:highlight w:val="none"/>
                <w:lang w:val="en-US" w:eastAsia="zh-CN"/>
              </w:rPr>
              <w:t>类似项目业绩</w:t>
            </w:r>
          </w:p>
        </w:tc>
      </w:tr>
      <w:tr w14:paraId="2418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Align w:val="center"/>
          </w:tcPr>
          <w:p w14:paraId="7BA11DD7">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3</w:t>
            </w:r>
          </w:p>
        </w:tc>
        <w:tc>
          <w:tcPr>
            <w:tcW w:w="6626" w:type="dxa"/>
            <w:vAlign w:val="center"/>
          </w:tcPr>
          <w:p w14:paraId="002F0D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1、项目负责人：</w:t>
            </w:r>
          </w:p>
          <w:p w14:paraId="424E35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（1）同时具备一级注册造价师（建筑）及建设工程相关专业高级职称资格，得2分，满分2分。</w:t>
            </w:r>
          </w:p>
          <w:p w14:paraId="002950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（2）工程造价咨询相关从业年限在10年及以上得2分，8年（含）-10年（不含）得1.5分,</w:t>
            </w:r>
            <w:r>
              <w:rPr>
                <w:rFonts w:hint="eastAsia" w:ascii="仿宋" w:hAnsi="仿宋" w:cs="仿宋"/>
                <w:b w:val="0"/>
                <w:bCs/>
                <w:color w:val="auto"/>
                <w:sz w:val="24"/>
                <w:szCs w:val="24"/>
                <w:highlight w:val="none"/>
                <w:lang w:val="en-US" w:eastAsia="zh-CN"/>
              </w:rPr>
              <w:t>5</w:t>
            </w:r>
            <w:r>
              <w:rPr>
                <w:rFonts w:hint="eastAsia" w:ascii="仿宋" w:hAnsi="仿宋" w:eastAsia="宋体" w:cs="仿宋"/>
                <w:b w:val="0"/>
                <w:bCs/>
                <w:color w:val="auto"/>
                <w:sz w:val="24"/>
                <w:szCs w:val="24"/>
                <w:highlight w:val="none"/>
                <w:lang w:val="en-US" w:eastAsia="zh-CN"/>
              </w:rPr>
              <w:t>年（含）-8年（不含）得1分，从业年限以一级造价</w:t>
            </w:r>
            <w:r>
              <w:rPr>
                <w:rFonts w:hint="eastAsia" w:ascii="仿宋" w:hAnsi="仿宋" w:cs="仿宋"/>
                <w:b w:val="0"/>
                <w:bCs/>
                <w:color w:val="auto"/>
                <w:sz w:val="24"/>
                <w:szCs w:val="24"/>
                <w:highlight w:val="none"/>
                <w:lang w:val="en-US" w:eastAsia="zh-CN"/>
              </w:rPr>
              <w:t>工程师注册证书</w:t>
            </w:r>
            <w:r>
              <w:rPr>
                <w:rFonts w:hint="eastAsia" w:ascii="仿宋" w:hAnsi="仿宋" w:eastAsia="宋体" w:cs="仿宋"/>
                <w:b w:val="0"/>
                <w:bCs/>
                <w:color w:val="auto"/>
                <w:sz w:val="24"/>
                <w:szCs w:val="24"/>
                <w:highlight w:val="none"/>
                <w:lang w:val="en-US" w:eastAsia="zh-CN"/>
              </w:rPr>
              <w:t>最早注册时间开始计算，满分2分。</w:t>
            </w:r>
          </w:p>
          <w:p w14:paraId="4273B7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2、技术负责人：</w:t>
            </w:r>
          </w:p>
          <w:p w14:paraId="243673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（1）同时具备一级注册造价师（建筑）及建设工程相关专业高级职称资格，得2分，满分2分。</w:t>
            </w:r>
          </w:p>
          <w:p w14:paraId="79637176">
            <w:pPr>
              <w:numPr>
                <w:ilvl w:val="0"/>
                <w:numId w:val="0"/>
              </w:numPr>
              <w:snapToGrid w:val="0"/>
              <w:spacing w:line="360" w:lineRule="auto"/>
              <w:rPr>
                <w:rFonts w:hint="eastAsia"/>
                <w:color w:val="auto"/>
                <w:highlight w:val="none"/>
                <w:lang w:val="en-US" w:eastAsia="zh-CN"/>
              </w:rPr>
            </w:pPr>
            <w:r>
              <w:rPr>
                <w:rFonts w:hint="eastAsia" w:ascii="仿宋" w:hAnsi="仿宋" w:eastAsia="宋体" w:cs="仿宋"/>
                <w:b w:val="0"/>
                <w:bCs/>
                <w:color w:val="auto"/>
                <w:sz w:val="24"/>
                <w:szCs w:val="24"/>
                <w:highlight w:val="none"/>
                <w:lang w:val="en-US" w:eastAsia="zh-CN"/>
              </w:rPr>
              <w:t>（2）工程造价咨询相关从业年限在10年及以上得2分，8年（含）-10年（不含）得1.5分,</w:t>
            </w:r>
            <w:r>
              <w:rPr>
                <w:rFonts w:hint="eastAsia" w:ascii="仿宋" w:hAnsi="仿宋" w:cs="仿宋"/>
                <w:b w:val="0"/>
                <w:bCs/>
                <w:color w:val="auto"/>
                <w:sz w:val="24"/>
                <w:szCs w:val="24"/>
                <w:highlight w:val="none"/>
                <w:lang w:val="en-US" w:eastAsia="zh-CN"/>
              </w:rPr>
              <w:t>5</w:t>
            </w:r>
            <w:r>
              <w:rPr>
                <w:rFonts w:hint="eastAsia" w:ascii="仿宋" w:hAnsi="仿宋" w:eastAsia="宋体" w:cs="仿宋"/>
                <w:b w:val="0"/>
                <w:bCs/>
                <w:color w:val="auto"/>
                <w:sz w:val="24"/>
                <w:szCs w:val="24"/>
                <w:highlight w:val="none"/>
                <w:lang w:val="en-US" w:eastAsia="zh-CN"/>
              </w:rPr>
              <w:t>年（含）-8年（不含）得1分，从业年限以一级造价</w:t>
            </w:r>
            <w:r>
              <w:rPr>
                <w:rFonts w:hint="eastAsia" w:ascii="仿宋" w:hAnsi="仿宋" w:cs="仿宋"/>
                <w:b w:val="0"/>
                <w:bCs/>
                <w:color w:val="auto"/>
                <w:sz w:val="24"/>
                <w:szCs w:val="24"/>
                <w:highlight w:val="none"/>
                <w:lang w:val="en-US" w:eastAsia="zh-CN"/>
              </w:rPr>
              <w:t>工程师注册证书</w:t>
            </w:r>
            <w:r>
              <w:rPr>
                <w:rFonts w:hint="eastAsia" w:ascii="仿宋" w:hAnsi="仿宋" w:eastAsia="宋体" w:cs="仿宋"/>
                <w:b w:val="0"/>
                <w:bCs/>
                <w:color w:val="auto"/>
                <w:sz w:val="24"/>
                <w:szCs w:val="24"/>
                <w:highlight w:val="none"/>
                <w:lang w:val="en-US" w:eastAsia="zh-CN"/>
              </w:rPr>
              <w:t>最早注册时间开始计算，满分2分。</w:t>
            </w:r>
          </w:p>
          <w:p w14:paraId="6D2CD5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3、项目组其他人员（不包括项目及技术负责人）：</w:t>
            </w:r>
          </w:p>
          <w:p w14:paraId="6F55953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（1）建筑专业注册证书：</w:t>
            </w:r>
          </w:p>
          <w:p w14:paraId="584EFAE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一级注册造价师至少2人，另每增加一名一级注册造价师得1分，满分5分；</w:t>
            </w:r>
          </w:p>
          <w:p w14:paraId="52FE6F5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二级注册造价师至少2人，另每增加一名二级注册造价师得0.5分，满分3分；</w:t>
            </w:r>
          </w:p>
          <w:p w14:paraId="738D4A9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（2）安装专业注册证书：</w:t>
            </w:r>
          </w:p>
          <w:p w14:paraId="1216693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一级注册造价师至少1人，另每增加一名一级注册造价师得1分，满分2分；</w:t>
            </w:r>
          </w:p>
          <w:p w14:paraId="75C0CE8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二级注册造价师至少1人，另每增加一名二级注册造价师得0.5分，满分2分；</w:t>
            </w:r>
          </w:p>
          <w:p w14:paraId="03CDE9A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（3）交通专业注册证书：一级注册造价师每人得1分，二级注册造价师每人得0.5分，满分1分；（中华人民共和国交通运输部颁发的甲级造价师证书视同为一级）</w:t>
            </w:r>
          </w:p>
          <w:p w14:paraId="4D7088C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cs="仿宋"/>
                <w:b w:val="0"/>
                <w:bCs/>
                <w:color w:val="auto"/>
                <w:sz w:val="24"/>
                <w:szCs w:val="24"/>
                <w:highlight w:val="none"/>
                <w:lang w:val="en-US" w:eastAsia="zh-CN"/>
              </w:rPr>
              <w:t>（4）水利专业注册证书：一级注册造价师每人得1分，二级注册造价师每人得0.5分，满分1分；</w:t>
            </w:r>
          </w:p>
          <w:p w14:paraId="2B5CCD3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以上人员需要提供相应的职称证书及注册证书的有效证明扫描件（加盖供应商单位公章或电子签名），提供近三个月任意一个月在本单位的社保缴纳凭证扫描件。</w:t>
            </w:r>
          </w:p>
          <w:p w14:paraId="2DF1CED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注：</w:t>
            </w:r>
          </w:p>
          <w:p w14:paraId="196C137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①拟派项目组人员应为总公司、分公司（非独立法人）人员，不含子公司（独立法人）人员。</w:t>
            </w:r>
          </w:p>
          <w:p w14:paraId="0881DD8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color w:val="auto"/>
                <w:sz w:val="24"/>
                <w:szCs w:val="24"/>
                <w:highlight w:val="none"/>
              </w:rPr>
            </w:pPr>
            <w:r>
              <w:rPr>
                <w:rFonts w:hint="eastAsia" w:ascii="仿宋" w:hAnsi="仿宋" w:cs="仿宋"/>
                <w:b w:val="0"/>
                <w:bCs/>
                <w:color w:val="auto"/>
                <w:sz w:val="24"/>
                <w:szCs w:val="24"/>
                <w:highlight w:val="none"/>
                <w:lang w:val="en-US" w:eastAsia="zh-CN"/>
              </w:rPr>
              <w:t>②一人具有不同专业注册证书的可以累计，具备相同专业注册证书一级和二级的不累计，一级注册证书可按二级注册证书计入相应专业，但不得与拟派团队中已计入的一级注册证书的人员重复。</w:t>
            </w:r>
          </w:p>
          <w:p w14:paraId="2BD22E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③项目组人员可以包括65周岁（含）内实际持证在岗的退休返聘人员，退休返聘人员不要求社保缴纳凭证，需提供退休证和返聘合同及上月工资单扫描件。</w:t>
            </w:r>
          </w:p>
          <w:p w14:paraId="32ABFE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color w:val="auto"/>
                <w:highlight w:val="none"/>
              </w:rPr>
            </w:pPr>
            <w:r>
              <w:rPr>
                <w:rFonts w:hint="eastAsia"/>
                <w:color w:val="auto"/>
                <w:sz w:val="24"/>
                <w:szCs w:val="24"/>
                <w:highlight w:val="none"/>
                <w:lang w:val="en-US" w:eastAsia="zh-CN"/>
              </w:rPr>
              <w:t>④未按照要求提供证明材料的不得分。</w:t>
            </w:r>
          </w:p>
        </w:tc>
        <w:tc>
          <w:tcPr>
            <w:tcW w:w="971" w:type="dxa"/>
            <w:vAlign w:val="center"/>
          </w:tcPr>
          <w:p w14:paraId="13253367">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22分</w:t>
            </w:r>
          </w:p>
        </w:tc>
        <w:tc>
          <w:tcPr>
            <w:tcW w:w="807" w:type="dxa"/>
            <w:vAlign w:val="center"/>
          </w:tcPr>
          <w:p w14:paraId="51B526E1">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客观</w:t>
            </w:r>
          </w:p>
        </w:tc>
        <w:tc>
          <w:tcPr>
            <w:tcW w:w="1349" w:type="dxa"/>
            <w:vAlign w:val="center"/>
          </w:tcPr>
          <w:p w14:paraId="40C1ECC7">
            <w:pPr>
              <w:spacing w:line="240" w:lineRule="auto"/>
              <w:jc w:val="center"/>
              <w:outlineLvl w:val="0"/>
              <w:rPr>
                <w:rFonts w:ascii="宋体" w:hAnsi="宋体" w:eastAsia="仿宋_GB2312" w:cs="宋体"/>
                <w:b/>
                <w:color w:val="auto"/>
                <w:sz w:val="24"/>
                <w:highlight w:val="none"/>
              </w:rPr>
            </w:pPr>
            <w:r>
              <w:rPr>
                <w:rFonts w:hint="eastAsia" w:asciiTheme="minorEastAsia" w:hAnsiTheme="minorEastAsia" w:eastAsiaTheme="minorEastAsia" w:cstheme="minorEastAsia"/>
                <w:b w:val="0"/>
                <w:bCs/>
                <w:color w:val="auto"/>
                <w:sz w:val="24"/>
                <w:highlight w:val="none"/>
              </w:rPr>
              <w:t>项目团队</w:t>
            </w:r>
          </w:p>
        </w:tc>
      </w:tr>
      <w:tr w14:paraId="1D2A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39" w:type="dxa"/>
            <w:vAlign w:val="center"/>
          </w:tcPr>
          <w:p w14:paraId="1B754B6C">
            <w:pPr>
              <w:spacing w:line="360" w:lineRule="auto"/>
              <w:jc w:val="center"/>
              <w:outlineLvl w:val="0"/>
              <w:rPr>
                <w:rFonts w:ascii="宋体" w:hAnsi="宋体" w:cs="宋体"/>
                <w:color w:val="auto"/>
                <w:sz w:val="24"/>
                <w:highlight w:val="none"/>
              </w:rPr>
            </w:pPr>
            <w:r>
              <w:rPr>
                <w:rFonts w:ascii="宋体" w:hAnsi="宋体" w:cs="宋体"/>
                <w:color w:val="auto"/>
                <w:sz w:val="24"/>
                <w:highlight w:val="none"/>
              </w:rPr>
              <w:t>4</w:t>
            </w:r>
          </w:p>
        </w:tc>
        <w:tc>
          <w:tcPr>
            <w:tcW w:w="6626" w:type="dxa"/>
            <w:vAlign w:val="center"/>
          </w:tcPr>
          <w:p w14:paraId="24CE164E">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概算审核</w:t>
            </w:r>
            <w:r>
              <w:rPr>
                <w:rFonts w:hint="eastAsia" w:ascii="宋体" w:hAnsi="宋体" w:cs="宋体"/>
                <w:color w:val="auto"/>
                <w:kern w:val="0"/>
                <w:sz w:val="24"/>
                <w:highlight w:val="none"/>
                <w:lang w:val="en-US" w:eastAsia="zh-CN"/>
              </w:rPr>
              <w:t>经历</w:t>
            </w:r>
            <w:r>
              <w:rPr>
                <w:rFonts w:hint="eastAsia" w:ascii="宋体" w:hAnsi="宋体" w:cs="宋体"/>
                <w:color w:val="auto"/>
                <w:kern w:val="0"/>
                <w:sz w:val="24"/>
                <w:highlight w:val="none"/>
              </w:rPr>
              <w:t>：</w:t>
            </w:r>
          </w:p>
          <w:p w14:paraId="4DD5123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ascii="宋体" w:hAnsi="宋体" w:cs="宋体"/>
                <w:color w:val="auto"/>
                <w:kern w:val="0"/>
                <w:sz w:val="24"/>
                <w:highlight w:val="none"/>
                <w:woUserID w:val="1"/>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年1月1日</w:t>
            </w:r>
            <w:r>
              <w:rPr>
                <w:rFonts w:hint="eastAsia" w:ascii="宋体" w:hAnsi="宋体" w:cs="宋体"/>
                <w:color w:val="auto"/>
                <w:kern w:val="0"/>
                <w:sz w:val="24"/>
                <w:highlight w:val="none"/>
              </w:rPr>
              <w:t>以来，拟派项目组人员中具有参与政府投资等类似项目概算审核经历的每个得</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分，满分</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分。</w:t>
            </w:r>
            <w:r>
              <w:rPr>
                <w:rFonts w:hint="eastAsia" w:ascii="宋体" w:hAnsi="宋体" w:cs="宋体"/>
                <w:color w:val="auto"/>
                <w:sz w:val="24"/>
                <w:highlight w:val="none"/>
              </w:rPr>
              <w:t>以上</w:t>
            </w:r>
            <w:r>
              <w:rPr>
                <w:rFonts w:hint="eastAsia" w:ascii="宋体" w:hAnsi="宋体" w:cs="宋体"/>
                <w:color w:val="auto"/>
                <w:sz w:val="24"/>
                <w:highlight w:val="none"/>
                <w:lang w:val="en-US" w:eastAsia="zh-CN"/>
              </w:rPr>
              <w:t>经历</w:t>
            </w:r>
            <w:r>
              <w:rPr>
                <w:rFonts w:hint="eastAsia" w:ascii="宋体" w:hAnsi="宋体" w:cs="宋体"/>
                <w:color w:val="auto"/>
                <w:sz w:val="24"/>
                <w:highlight w:val="none"/>
              </w:rPr>
              <w:t>需要委托单位盖公章证明（格式自拟）、委托合同及审核报告等相关材料，否则不得分</w:t>
            </w:r>
            <w:r>
              <w:rPr>
                <w:rFonts w:hint="eastAsia" w:ascii="宋体" w:hAnsi="宋体" w:cs="宋体"/>
                <w:b w:val="0"/>
                <w:bCs w:val="0"/>
                <w:color w:val="auto"/>
                <w:sz w:val="24"/>
                <w:highlight w:val="none"/>
              </w:rPr>
              <w:t>。</w:t>
            </w:r>
            <w:r>
              <w:rPr>
                <w:rFonts w:hint="default" w:ascii="宋体" w:hAnsi="宋体" w:cs="宋体"/>
                <w:b w:val="0"/>
                <w:bCs w:val="0"/>
                <w:color w:val="auto"/>
                <w:sz w:val="24"/>
                <w:highlight w:val="none"/>
                <w:lang w:eastAsia="zh-CN"/>
                <w:woUserID w:val="1"/>
              </w:rPr>
              <w:t>内设处（科）室盖章的证明材料不得分。</w:t>
            </w:r>
          </w:p>
        </w:tc>
        <w:tc>
          <w:tcPr>
            <w:tcW w:w="971" w:type="dxa"/>
            <w:vAlign w:val="center"/>
          </w:tcPr>
          <w:p w14:paraId="1C4D2FAC">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4分</w:t>
            </w:r>
          </w:p>
        </w:tc>
        <w:tc>
          <w:tcPr>
            <w:tcW w:w="807" w:type="dxa"/>
            <w:vAlign w:val="center"/>
          </w:tcPr>
          <w:p w14:paraId="7D41B1B7">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客观</w:t>
            </w:r>
          </w:p>
        </w:tc>
        <w:tc>
          <w:tcPr>
            <w:tcW w:w="1349" w:type="dxa"/>
            <w:vAlign w:val="center"/>
          </w:tcPr>
          <w:p w14:paraId="48AB0DAA">
            <w:pPr>
              <w:spacing w:line="360" w:lineRule="auto"/>
              <w:jc w:val="center"/>
              <w:outlineLvl w:val="0"/>
              <w:rPr>
                <w:rFonts w:ascii="宋体" w:hAnsi="宋体" w:cs="宋体"/>
                <w:color w:val="auto"/>
                <w:sz w:val="24"/>
                <w:highlight w:val="none"/>
              </w:rPr>
            </w:pPr>
            <w:r>
              <w:rPr>
                <w:rFonts w:hint="eastAsia" w:asciiTheme="minorEastAsia" w:hAnsiTheme="minorEastAsia" w:eastAsiaTheme="minorEastAsia" w:cstheme="minorEastAsia"/>
                <w:b w:val="0"/>
                <w:bCs/>
                <w:color w:val="auto"/>
                <w:sz w:val="24"/>
                <w:highlight w:val="none"/>
              </w:rPr>
              <w:t>概算项目人员业绩</w:t>
            </w:r>
          </w:p>
        </w:tc>
      </w:tr>
      <w:tr w14:paraId="3604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39" w:type="dxa"/>
            <w:vAlign w:val="center"/>
          </w:tcPr>
          <w:p w14:paraId="4486D8AF">
            <w:pPr>
              <w:spacing w:line="360" w:lineRule="auto"/>
              <w:jc w:val="center"/>
              <w:outlineLvl w:val="0"/>
              <w:rPr>
                <w:rFonts w:ascii="宋体" w:hAnsi="宋体" w:cs="宋体"/>
                <w:color w:val="auto"/>
                <w:sz w:val="24"/>
                <w:highlight w:val="none"/>
              </w:rPr>
            </w:pPr>
            <w:r>
              <w:rPr>
                <w:rFonts w:ascii="宋体" w:hAnsi="宋体" w:cs="宋体"/>
                <w:color w:val="auto"/>
                <w:sz w:val="24"/>
                <w:highlight w:val="none"/>
              </w:rPr>
              <w:t>5</w:t>
            </w:r>
          </w:p>
        </w:tc>
        <w:tc>
          <w:tcPr>
            <w:tcW w:w="6626" w:type="dxa"/>
            <w:vAlign w:val="center"/>
          </w:tcPr>
          <w:p w14:paraId="53AE0896">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57" w:rightChars="27"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结算审核</w:t>
            </w:r>
            <w:r>
              <w:rPr>
                <w:rFonts w:hint="eastAsia" w:ascii="宋体" w:hAnsi="宋体" w:eastAsia="宋体" w:cs="宋体"/>
                <w:color w:val="auto"/>
                <w:kern w:val="0"/>
                <w:sz w:val="24"/>
                <w:szCs w:val="24"/>
                <w:highlight w:val="none"/>
                <w:lang w:val="en-US" w:eastAsia="zh-CN"/>
              </w:rPr>
              <w:t>经历</w:t>
            </w:r>
            <w:r>
              <w:rPr>
                <w:rFonts w:hint="eastAsia" w:ascii="宋体" w:hAnsi="宋体" w:eastAsia="宋体" w:cs="宋体"/>
                <w:color w:val="auto"/>
                <w:kern w:val="0"/>
                <w:sz w:val="24"/>
                <w:szCs w:val="24"/>
                <w:highlight w:val="none"/>
              </w:rPr>
              <w:t>：</w:t>
            </w:r>
          </w:p>
          <w:p w14:paraId="0F840722">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57" w:rightChars="27" w:firstLine="0" w:firstLineChars="0"/>
              <w:textAlignment w:val="auto"/>
              <w:rPr>
                <w:rFonts w:hint="eastAsia" w:ascii="宋体" w:hAnsi="宋体" w:eastAsia="宋体" w:cs="宋体"/>
                <w:color w:val="auto"/>
                <w:kern w:val="0"/>
                <w:sz w:val="24"/>
                <w:szCs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年1月1日</w:t>
            </w:r>
            <w:r>
              <w:rPr>
                <w:rFonts w:hint="eastAsia" w:ascii="宋体" w:hAnsi="宋体" w:eastAsia="宋体" w:cs="宋体"/>
                <w:color w:val="auto"/>
                <w:kern w:val="0"/>
                <w:sz w:val="24"/>
                <w:szCs w:val="24"/>
                <w:highlight w:val="none"/>
              </w:rPr>
              <w:t>以来，拟派项目组人员中具有参与政府投资等类似项目结算审核经历的每个得</w:t>
            </w:r>
            <w:r>
              <w:rPr>
                <w:rFonts w:hint="eastAsia" w:ascii="宋体" w:hAnsi="宋体" w:eastAsia="宋体" w:cs="宋体"/>
                <w:color w:val="auto"/>
                <w:kern w:val="0"/>
                <w:sz w:val="24"/>
                <w:szCs w:val="24"/>
                <w:highlight w:val="none"/>
                <w:lang w:val="en-US" w:eastAsia="zh-CN"/>
              </w:rPr>
              <w:t>0.8</w:t>
            </w:r>
            <w:r>
              <w:rPr>
                <w:rFonts w:hint="eastAsia" w:ascii="宋体" w:hAnsi="宋体" w:eastAsia="宋体" w:cs="宋体"/>
                <w:color w:val="auto"/>
                <w:kern w:val="0"/>
                <w:sz w:val="24"/>
                <w:szCs w:val="24"/>
                <w:highlight w:val="none"/>
              </w:rPr>
              <w:t>分，满分</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w:t>
            </w:r>
          </w:p>
          <w:p w14:paraId="4CC54154">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57" w:rightChars="27" w:firstLine="0" w:firstLineChars="0"/>
              <w:textAlignment w:val="auto"/>
              <w:rPr>
                <w:rFonts w:hint="default" w:ascii="宋体" w:hAnsi="宋体" w:eastAsia="宋体" w:cs="宋体"/>
                <w:color w:val="auto"/>
                <w:kern w:val="0"/>
                <w:sz w:val="24"/>
                <w:szCs w:val="24"/>
                <w:highlight w:val="none"/>
                <w:woUserID w:val="1"/>
              </w:rPr>
            </w:pPr>
            <w:r>
              <w:rPr>
                <w:rFonts w:hint="eastAsia" w:ascii="宋体" w:hAnsi="宋体" w:eastAsia="宋体" w:cs="宋体"/>
                <w:color w:val="auto"/>
                <w:sz w:val="24"/>
                <w:highlight w:val="none"/>
              </w:rPr>
              <w:t>以上</w:t>
            </w:r>
            <w:r>
              <w:rPr>
                <w:rFonts w:hint="eastAsia" w:ascii="宋体" w:hAnsi="宋体" w:eastAsia="宋体" w:cs="宋体"/>
                <w:color w:val="auto"/>
                <w:sz w:val="24"/>
                <w:highlight w:val="none"/>
                <w:lang w:val="en-US" w:eastAsia="zh-CN"/>
              </w:rPr>
              <w:t>经历</w:t>
            </w:r>
            <w:r>
              <w:rPr>
                <w:rFonts w:hint="eastAsia" w:ascii="宋体" w:hAnsi="宋体" w:eastAsia="宋体" w:cs="宋体"/>
                <w:color w:val="auto"/>
                <w:sz w:val="24"/>
                <w:highlight w:val="none"/>
              </w:rPr>
              <w:t>需要委托单位盖公章证明（格式自拟）、委托合同及审核报告等相关材</w:t>
            </w:r>
            <w:r>
              <w:rPr>
                <w:rFonts w:hint="eastAsia" w:ascii="宋体" w:hAnsi="宋体" w:eastAsia="宋体" w:cs="宋体"/>
                <w:color w:val="auto"/>
                <w:kern w:val="0"/>
                <w:sz w:val="24"/>
                <w:szCs w:val="24"/>
                <w:highlight w:val="none"/>
              </w:rPr>
              <w:t>料，否则不得分。</w:t>
            </w:r>
            <w:r>
              <w:rPr>
                <w:rFonts w:hint="default" w:ascii="宋体" w:hAnsi="宋体" w:eastAsia="宋体" w:cs="宋体"/>
                <w:color w:val="auto"/>
                <w:kern w:val="0"/>
                <w:sz w:val="24"/>
                <w:szCs w:val="24"/>
                <w:highlight w:val="none"/>
                <w:lang w:eastAsia="zh-CN"/>
              </w:rPr>
              <w:t>内设处（科）室盖章的证明材料不得分。</w:t>
            </w:r>
          </w:p>
        </w:tc>
        <w:tc>
          <w:tcPr>
            <w:tcW w:w="971" w:type="dxa"/>
            <w:vAlign w:val="center"/>
          </w:tcPr>
          <w:p w14:paraId="1809B6BF">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4分</w:t>
            </w:r>
          </w:p>
        </w:tc>
        <w:tc>
          <w:tcPr>
            <w:tcW w:w="807" w:type="dxa"/>
            <w:vAlign w:val="center"/>
          </w:tcPr>
          <w:p w14:paraId="17711BA7">
            <w:pPr>
              <w:spacing w:line="360" w:lineRule="auto"/>
              <w:jc w:val="center"/>
              <w:outlineLvl w:val="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客观</w:t>
            </w:r>
          </w:p>
        </w:tc>
        <w:tc>
          <w:tcPr>
            <w:tcW w:w="1349" w:type="dxa"/>
            <w:vAlign w:val="center"/>
          </w:tcPr>
          <w:p w14:paraId="3872A5CA">
            <w:pPr>
              <w:spacing w:line="360" w:lineRule="auto"/>
              <w:jc w:val="center"/>
              <w:outlineLvl w:val="0"/>
              <w:rPr>
                <w:rFonts w:ascii="宋体" w:hAnsi="宋体" w:cs="宋体"/>
                <w:color w:val="auto"/>
                <w:sz w:val="24"/>
                <w:highlight w:val="none"/>
              </w:rPr>
            </w:pPr>
            <w:r>
              <w:rPr>
                <w:rFonts w:hint="eastAsia" w:asciiTheme="minorEastAsia" w:hAnsiTheme="minorEastAsia" w:eastAsiaTheme="minorEastAsia" w:cstheme="minorEastAsia"/>
                <w:b w:val="0"/>
                <w:bCs/>
                <w:color w:val="auto"/>
                <w:sz w:val="24"/>
                <w:highlight w:val="none"/>
              </w:rPr>
              <w:t>结算项目人员业绩</w:t>
            </w:r>
          </w:p>
        </w:tc>
      </w:tr>
      <w:tr w14:paraId="1717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39" w:type="dxa"/>
            <w:vAlign w:val="center"/>
          </w:tcPr>
          <w:p w14:paraId="27EFAFEB">
            <w:pPr>
              <w:spacing w:line="360" w:lineRule="auto"/>
              <w:jc w:val="center"/>
              <w:outlineLvl w:val="0"/>
              <w:rPr>
                <w:rFonts w:hint="eastAsia" w:ascii="宋体" w:hAnsi="宋体" w:eastAsia="宋体" w:cs="宋体"/>
                <w:strike w:val="0"/>
                <w:dstrike w:val="0"/>
                <w:color w:val="auto"/>
                <w:sz w:val="24"/>
                <w:highlight w:val="none"/>
                <w:lang w:val="en-US" w:eastAsia="zh-CN"/>
              </w:rPr>
            </w:pPr>
            <w:r>
              <w:rPr>
                <w:rFonts w:hint="eastAsia" w:ascii="宋体" w:hAnsi="宋体" w:cs="宋体"/>
                <w:strike w:val="0"/>
                <w:dstrike w:val="0"/>
                <w:color w:val="auto"/>
                <w:sz w:val="24"/>
                <w:highlight w:val="none"/>
                <w:lang w:val="en-US" w:eastAsia="zh-CN"/>
              </w:rPr>
              <w:t>6</w:t>
            </w:r>
          </w:p>
        </w:tc>
        <w:tc>
          <w:tcPr>
            <w:tcW w:w="6626" w:type="dxa"/>
            <w:vAlign w:val="center"/>
          </w:tcPr>
          <w:p w14:paraId="3C095ED2">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strike w:val="0"/>
                <w:dstrike w:val="0"/>
                <w:color w:val="auto"/>
                <w:highlight w:val="none"/>
              </w:rPr>
            </w:pPr>
            <w:r>
              <w:rPr>
                <w:rFonts w:hint="eastAsia" w:cs="宋体"/>
                <w:strike w:val="0"/>
                <w:dstrike w:val="0"/>
                <w:color w:val="auto"/>
                <w:highlight w:val="none"/>
              </w:rPr>
              <w:t>审核方案：</w:t>
            </w:r>
          </w:p>
          <w:p w14:paraId="28CFB4CD">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eastAsia" w:cs="宋体"/>
                <w:strike w:val="0"/>
                <w:dstrike w:val="0"/>
                <w:color w:val="auto"/>
                <w:highlight w:val="none"/>
                <w:lang w:val="en-US" w:eastAsia="zh-CN"/>
              </w:rPr>
              <w:t>一、市政项目概算案例</w:t>
            </w:r>
          </w:p>
          <w:p w14:paraId="05FF6140">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项目概况 ：某市政道路项目，可研批复金额8.5亿，资金为企业融资自筹，其中建设工程费用5亿，工程建设其他费3亿（含征地拆迁费2.5亿），预备费0.25亿，建设期利息0.25亿。该项目南北走向，为城市次干道，建设内容包含长1.8km，宽36m道路，1座桥梁，以及东侧8m的景观绿化。现场情况：现状红线范围内为大片绿化乔木，有一条横穿河道，一条横穿道路（施工期间需临时保障通行），一处暗塘，拟新建景观绿化位置现有一条成品油管（地下埋深1.5m）；拟新建道路位置下有1条横穿DN300给水管，1条横穿4孔通信管沟，1条横穿12孔电力管沟；东侧红线外紧邻河道；西侧为已建厂房（红线外0.5m）。原地面黄海高程3.5m，从面层向下分别为杂填土0.3m，沙质粉土6m，地下水位高程2m。</w:t>
            </w:r>
          </w:p>
          <w:p w14:paraId="36340926">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建设单位送审图纸情况：送审图纸涉及新建道路、景观绿化、桥梁、雨污水管道、路灯、智能交通及标志标线图纸，无其余图纸。设计道路±0.00标高对应黄海高程5.5m。道路断面为：2m人行道+3m非机动车道+1.5m绿化带+10.5m机动车道+6m中央绿化带+10.5m机动车道+1.5m绿化带+3m非机动车道+2m人行道。设计管位布置为：机动车道下为排水管DN600（PE管）管顶高程4.5m，污水管DN800（混凝土管道）管顶高程3.5m；非机动车道下为16+2孔电力管（混凝土管）管顶高程1.5m，8孔通信管（PVC管）管顶高程1m，DN600给水管管顶高程2m。机动车道路结构基层为80cm厚塘渣垫层，20cm厚级配碎石，40cm水泥稳定层，1cm乳化层，8cm中粒式沥青混凝土，4cm细粒式沥青混凝土。管线两侧全线采用Ⅳ型拉森钢板围护，桩长9m。桥梁部分围堰采用全幅钢板桩围挡。</w:t>
            </w:r>
          </w:p>
          <w:p w14:paraId="53C253B3">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建设单位送审概算8.9亿，其中建设工程费用6亿（包含道路及人行道工程，桥梁工程，排水污水工程，电力管沟工程，给水工程，路灯工程，智能交通标志标线工程，企业门口道路改造，公共自行车棚、暗塘处理回填一项），工程建设其他费0.3亿（包含建设单位管理费，建设管理其他费设计费，勘察费，跟踪审核费，招标代理费，结算审核费，市政配套费，物探精探费，防洪评估费），建设工程前期费2.5亿（包含征地费，拆迁费，管线迁改工程费），预备费0.1亿。</w:t>
            </w:r>
          </w:p>
          <w:p w14:paraId="6E2CB9D6">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请结合概算审核要求，就以下几个方面提出审核内容及审核方式的意见：</w:t>
            </w:r>
          </w:p>
          <w:p w14:paraId="3069A88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1.针对该项目，分析建设单位提供的初步设计图纸是否完整、合理。要求分析合理、角度全面，满分4分</w:t>
            </w:r>
          </w:p>
          <w:p w14:paraId="6F09C254">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方案内容完整、与项目匹配好的得4分；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4540D864">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p w14:paraId="37D502A0">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2.针对上述设计情况，指出存在的问题并提出优化设计建议。要求分析合理、角度全面、优化设计建议切实可行，满分5分。</w:t>
            </w:r>
          </w:p>
          <w:p w14:paraId="40FA2AD6">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方案内容完整、与项目匹配好的得5分；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未提供相关内容的不得分。</w:t>
            </w:r>
          </w:p>
          <w:p w14:paraId="2E83DCCF">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3.针对送审概算造价的组成是否合理，与可研相比是否有出入，提出意见。要求分析合理、角度全面、意见切实可行，满分4分。</w:t>
            </w:r>
          </w:p>
          <w:p w14:paraId="2A3C41D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方案内容完整、与项目匹配好的得4分；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6054E6E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p w14:paraId="1C5FF144">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4.针对该项目制定拟派人员分工及概算审核方案。要求分工合理，方案全面、切实可行，满分4分。</w:t>
            </w:r>
          </w:p>
          <w:p w14:paraId="2503ADA4">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方案内容完整、与项目匹配好的得4分；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0F601D5B">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p w14:paraId="782D4AE8">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二、土建项目结算案例：</w:t>
            </w:r>
          </w:p>
          <w:p w14:paraId="35CA7A5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项目概况：某房建项目概算批复造价6.5亿，其中建安工程费3亿，工程建设其他费0.4亿，建设工程前期费3亿，预备费0.1亿。于2019年6月30日发布施工招标公告，建设单位挂网招标图（未图审）及招标预算为2.8亿，招标控制价为2.5亿。7月20日开标，由某B施工单位中标，中标价2.2亿，计划工期36个月，按清单综合单价结算，按工期的前80%月份平均价进行补差，补差风险及调整规则依据杭建市发〔2018〕579号执行。其中涉及无价材料30项，总计金额0.3亿。</w:t>
            </w:r>
          </w:p>
          <w:p w14:paraId="6C900B3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由于征地拆迁进度原因，实际开工时间为2020年9月17号。开工前建设单位提供了最新的图审图纸。</w:t>
            </w:r>
          </w:p>
          <w:p w14:paraId="5A0CE5BC">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项目实施过程中，两次停工，一次因拆迁进度问题导致关键线路延后60天，一次因地下障碍物原因导致非关键线路延后20天。现场施工单位少做了一道外立面抗裂砂浆20mm厚，且少做一道屋面细石砼20mm厚。2024年3月20日，该项目竣工验收。</w:t>
            </w:r>
          </w:p>
          <w:p w14:paraId="650B2A3E">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本项目总计两张变更单：2024年8月因业主要求，建设单位发起联系单要求施工单位增加3个钢结构垃圾站点，50万元；2024年9月因实际使用功能改变，建设单位发起联系单要求施工单位增设出入口，并对出入口外的现状市政道路进行改造，100万元。</w:t>
            </w:r>
          </w:p>
          <w:p w14:paraId="14A6404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假设工程量计算无偏差，2024年12月25日，中标单位向建设单位报送审结算造价2.95亿（包括施工图重新计算2.5亿+联系单150万元+材料调差300万元）。</w:t>
            </w:r>
          </w:p>
          <w:p w14:paraId="29ABABBB">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根据上述情况，就以下几个方面提出审核质量和进度把控的落实举措：</w:t>
            </w:r>
          </w:p>
          <w:p w14:paraId="6CB0AF4B">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eastAsia" w:cs="宋体"/>
                <w:strike w:val="0"/>
                <w:dstrike w:val="0"/>
                <w:color w:val="auto"/>
                <w:highlight w:val="none"/>
                <w:lang w:val="en-US" w:eastAsia="zh-CN"/>
              </w:rPr>
              <w:t>1.</w:t>
            </w:r>
            <w:r>
              <w:rPr>
                <w:rFonts w:hint="default" w:cs="宋体"/>
                <w:strike w:val="0"/>
                <w:dstrike w:val="0"/>
                <w:color w:val="auto"/>
                <w:highlight w:val="none"/>
                <w:lang w:val="en-US" w:eastAsia="zh-CN"/>
              </w:rPr>
              <w:t>本项目中标金额为2.2亿，但结算送审时为2.5亿，请对该部分金额差异进行分析，并提出相关完善举措。要求分析合理，角度全面，措施切实可行，满分</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p>
          <w:p w14:paraId="3E7EC11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方案内容基本完整、与项目匹配度较好的得</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方案内容严重欠缺、与项目匹配度差的得1分；未提供相关内容的不得分。</w:t>
            </w:r>
          </w:p>
          <w:p w14:paraId="687ECBCB">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2.本项目竣工验收，但现场做法存在与图纸不一致的地方，请问应该如何处理，请提出相关完善举措。要求分析合理，角度全面，措施切实可行，满分4分。</w:t>
            </w:r>
          </w:p>
          <w:p w14:paraId="1DADA043">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方案内容完整、与项目匹配好的得4分；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187E7287">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p w14:paraId="223B73B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3.材料调差部分，请基于实际情况分析调差方式、月份，结算造价中的联系单是否应该计取，如何完善审核资料。要求分析合理，角度全面，措施切实可行，满分5分。</w:t>
            </w:r>
          </w:p>
          <w:p w14:paraId="24CDAC8F">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方案内容基本完整、与项目匹配度较好的得5分；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方案内容严重欠缺、与项目匹配度差的得1分；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未提供相关内容的不得分。</w:t>
            </w:r>
          </w:p>
          <w:p w14:paraId="0C8BF57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4.本项目涉及无价材料部分较多，请就无价材料价格的确定，谈谈从流程到制度应该如何完善。要求分析合理，角度全面，措施切实可行，满分3分。</w:t>
            </w:r>
          </w:p>
          <w:p w14:paraId="29F1579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方案内容基本完整、与项目匹配度一般的得1.5分；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1B9FE583">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tc>
        <w:tc>
          <w:tcPr>
            <w:tcW w:w="971" w:type="dxa"/>
            <w:vAlign w:val="center"/>
          </w:tcPr>
          <w:p w14:paraId="3313471F">
            <w:pPr>
              <w:spacing w:line="360" w:lineRule="auto"/>
              <w:jc w:val="center"/>
              <w:outlineLvl w:val="0"/>
              <w:rPr>
                <w:rFonts w:hint="default" w:ascii="宋体" w:hAnsi="宋体" w:eastAsia="宋体" w:cs="宋体"/>
                <w:strike w:val="0"/>
                <w:dstrike w:val="0"/>
                <w:color w:val="auto"/>
                <w:sz w:val="24"/>
                <w:highlight w:val="none"/>
                <w:lang w:val="en-US" w:eastAsia="zh-CN"/>
              </w:rPr>
            </w:pPr>
            <w:r>
              <w:rPr>
                <w:rFonts w:hint="eastAsia" w:ascii="宋体" w:hAnsi="宋体" w:cs="宋体"/>
                <w:strike w:val="0"/>
                <w:dstrike w:val="0"/>
                <w:color w:val="auto"/>
                <w:sz w:val="24"/>
                <w:highlight w:val="none"/>
                <w:lang w:val="en-US" w:eastAsia="zh-CN"/>
              </w:rPr>
              <w:t>33分</w:t>
            </w:r>
          </w:p>
        </w:tc>
        <w:tc>
          <w:tcPr>
            <w:tcW w:w="807" w:type="dxa"/>
            <w:vAlign w:val="center"/>
          </w:tcPr>
          <w:p w14:paraId="26697A83">
            <w:pPr>
              <w:spacing w:line="360" w:lineRule="auto"/>
              <w:jc w:val="center"/>
              <w:outlineLvl w:val="0"/>
              <w:rPr>
                <w:rFonts w:hint="eastAsia" w:ascii="宋体" w:hAnsi="宋体" w:eastAsia="宋体" w:cs="宋体"/>
                <w:strike w:val="0"/>
                <w:dstrike w:val="0"/>
                <w:color w:val="auto"/>
                <w:sz w:val="24"/>
                <w:highlight w:val="none"/>
                <w:lang w:val="en-US" w:eastAsia="zh-CN"/>
              </w:rPr>
            </w:pPr>
            <w:r>
              <w:rPr>
                <w:rFonts w:hint="eastAsia" w:ascii="宋体" w:hAnsi="宋体" w:cs="宋体"/>
                <w:strike w:val="0"/>
                <w:dstrike w:val="0"/>
                <w:color w:val="auto"/>
                <w:sz w:val="24"/>
                <w:highlight w:val="none"/>
                <w:lang w:val="en-US" w:eastAsia="zh-CN"/>
              </w:rPr>
              <w:t>主观</w:t>
            </w:r>
          </w:p>
        </w:tc>
        <w:tc>
          <w:tcPr>
            <w:tcW w:w="1349" w:type="dxa"/>
            <w:vAlign w:val="center"/>
          </w:tcPr>
          <w:p w14:paraId="1CE8F267">
            <w:pPr>
              <w:spacing w:line="360" w:lineRule="auto"/>
              <w:jc w:val="center"/>
              <w:outlineLvl w:val="0"/>
              <w:rPr>
                <w:rFonts w:ascii="宋体" w:hAnsi="宋体" w:cs="宋体"/>
                <w:strike w:val="0"/>
                <w:dstrike w:val="0"/>
                <w:color w:val="auto"/>
                <w:sz w:val="24"/>
                <w:highlight w:val="none"/>
              </w:rPr>
            </w:pPr>
            <w:r>
              <w:rPr>
                <w:rFonts w:hint="eastAsia" w:asciiTheme="minorEastAsia" w:hAnsiTheme="minorEastAsia" w:eastAsiaTheme="minorEastAsia" w:cstheme="minorEastAsia"/>
                <w:b w:val="0"/>
                <w:bCs/>
                <w:strike w:val="0"/>
                <w:dstrike w:val="0"/>
                <w:color w:val="auto"/>
                <w:sz w:val="24"/>
                <w:highlight w:val="none"/>
              </w:rPr>
              <w:t>审核方案</w:t>
            </w:r>
          </w:p>
        </w:tc>
      </w:tr>
      <w:tr w14:paraId="3171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shd w:val="clear" w:color="auto" w:fill="auto"/>
            <w:vAlign w:val="center"/>
          </w:tcPr>
          <w:p w14:paraId="1068A22E">
            <w:pPr>
              <w:spacing w:line="360" w:lineRule="auto"/>
              <w:jc w:val="center"/>
              <w:outlineLvl w:val="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6626" w:type="dxa"/>
            <w:shd w:val="clear" w:color="auto" w:fill="auto"/>
            <w:vAlign w:val="center"/>
          </w:tcPr>
          <w:p w14:paraId="0CA5444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审核进度：</w:t>
            </w:r>
          </w:p>
          <w:p w14:paraId="72BD23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针对项目审核的进度要求，提出审核进度控制机制：要求审核进度控制机制内容完整、表述明了、合理且可行</w:t>
            </w:r>
            <w:r>
              <w:rPr>
                <w:rFonts w:hint="eastAsia" w:ascii="宋体" w:hAnsi="宋体" w:cs="宋体"/>
                <w:color w:val="auto"/>
                <w:sz w:val="24"/>
                <w:szCs w:val="24"/>
                <w:highlight w:val="none"/>
                <w:lang w:val="en-US" w:eastAsia="zh-CN"/>
              </w:rPr>
              <w:t>，满分4分。</w:t>
            </w:r>
          </w:p>
          <w:p w14:paraId="2A03686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方案内容基本完整、与项目匹配度较好的得3分；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00DD047C">
            <w:pPr>
              <w:pStyle w:val="63"/>
              <w:rPr>
                <w:rFonts w:hint="eastAsia"/>
                <w:color w:val="auto"/>
                <w:highlight w:val="none"/>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p w14:paraId="04DF44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针对影响项目审核进度问题的主要因素提出相应解决措施：</w:t>
            </w:r>
          </w:p>
          <w:p w14:paraId="569F2A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ascii="宋体" w:hAnsi="宋体" w:cs="宋体"/>
                <w:color w:val="auto"/>
                <w:sz w:val="24"/>
                <w:szCs w:val="24"/>
                <w:highlight w:val="none"/>
              </w:rPr>
              <w:t>要求解决措施内容完整、表述明了、合理且可行</w:t>
            </w:r>
            <w:r>
              <w:rPr>
                <w:rFonts w:hint="eastAsia" w:ascii="宋体" w:hAnsi="宋体" w:cs="宋体"/>
                <w:color w:val="auto"/>
                <w:sz w:val="24"/>
                <w:szCs w:val="24"/>
                <w:highlight w:val="none"/>
                <w:lang w:val="en-US" w:eastAsia="zh-CN"/>
              </w:rPr>
              <w:t>，满分3分。</w:t>
            </w:r>
          </w:p>
          <w:p w14:paraId="68548AC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3</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方案内容基本完整、与项目匹配度一般的得1.5分；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054E371E">
            <w:pPr>
              <w:pStyle w:val="63"/>
              <w:rPr>
                <w:rFonts w:hint="eastAsia"/>
                <w:color w:val="auto"/>
                <w:highlight w:val="none"/>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p w14:paraId="0519AB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通过合理组织分工与外部协调,提出如何加快审核进度的方案：</w:t>
            </w:r>
          </w:p>
          <w:p w14:paraId="188C1C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ascii="宋体" w:hAnsi="宋体" w:cs="宋体"/>
                <w:color w:val="auto"/>
                <w:sz w:val="24"/>
                <w:szCs w:val="24"/>
                <w:highlight w:val="none"/>
              </w:rPr>
              <w:t>要求方案内容完整、表述明了、合理且可行的</w:t>
            </w:r>
            <w:r>
              <w:rPr>
                <w:rFonts w:hint="eastAsia" w:ascii="宋体" w:hAnsi="宋体" w:cs="宋体"/>
                <w:color w:val="auto"/>
                <w:sz w:val="24"/>
                <w:szCs w:val="24"/>
                <w:highlight w:val="none"/>
                <w:lang w:val="en-US" w:eastAsia="zh-CN"/>
              </w:rPr>
              <w:t>，满分3分。</w:t>
            </w:r>
          </w:p>
          <w:p w14:paraId="5D560193">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3</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方案内容基本完整、与项目匹配度一般的得1.5分；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2851EF80">
            <w:pPr>
              <w:pStyle w:val="63"/>
              <w:rPr>
                <w:rFonts w:hint="default" w:ascii="宋体" w:hAnsi="宋体" w:cs="宋体"/>
                <w:color w:val="auto"/>
                <w:highlight w:val="none"/>
                <w:lang w:val="en-US"/>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tc>
        <w:tc>
          <w:tcPr>
            <w:tcW w:w="971" w:type="dxa"/>
            <w:shd w:val="clear" w:color="auto" w:fill="auto"/>
            <w:vAlign w:val="center"/>
          </w:tcPr>
          <w:p w14:paraId="7CE935B1">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10分</w:t>
            </w:r>
          </w:p>
        </w:tc>
        <w:tc>
          <w:tcPr>
            <w:tcW w:w="807" w:type="dxa"/>
            <w:shd w:val="clear" w:color="auto" w:fill="auto"/>
            <w:vAlign w:val="center"/>
          </w:tcPr>
          <w:p w14:paraId="28F1ABAE">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主观</w:t>
            </w:r>
          </w:p>
        </w:tc>
        <w:tc>
          <w:tcPr>
            <w:tcW w:w="1349" w:type="dxa"/>
            <w:shd w:val="clear" w:color="auto" w:fill="auto"/>
            <w:vAlign w:val="center"/>
          </w:tcPr>
          <w:p w14:paraId="3B558CA3">
            <w:pPr>
              <w:spacing w:line="360" w:lineRule="auto"/>
              <w:jc w:val="center"/>
              <w:outlineLvl w:val="0"/>
              <w:rPr>
                <w:rFonts w:ascii="宋体" w:hAnsi="宋体" w:cs="宋体"/>
                <w:color w:val="auto"/>
                <w:sz w:val="24"/>
                <w:highlight w:val="none"/>
              </w:rPr>
            </w:pPr>
            <w:r>
              <w:rPr>
                <w:rFonts w:hint="eastAsia" w:asciiTheme="minorEastAsia" w:hAnsiTheme="minorEastAsia" w:eastAsiaTheme="minorEastAsia" w:cstheme="minorEastAsia"/>
                <w:b w:val="0"/>
                <w:bCs/>
                <w:color w:val="auto"/>
                <w:sz w:val="24"/>
                <w:highlight w:val="none"/>
              </w:rPr>
              <w:t>审核进度</w:t>
            </w:r>
          </w:p>
        </w:tc>
      </w:tr>
      <w:tr w14:paraId="5289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Align w:val="center"/>
          </w:tcPr>
          <w:p w14:paraId="0B1A8646">
            <w:pPr>
              <w:spacing w:line="360" w:lineRule="auto"/>
              <w:jc w:val="center"/>
              <w:outlineLvl w:val="0"/>
              <w:rPr>
                <w:rFonts w:ascii="宋体" w:hAnsi="宋体" w:cs="宋体"/>
                <w:color w:val="auto"/>
                <w:sz w:val="24"/>
                <w:highlight w:val="none"/>
              </w:rPr>
            </w:pPr>
            <w:r>
              <w:rPr>
                <w:rFonts w:ascii="宋体" w:hAnsi="宋体" w:cs="宋体"/>
                <w:color w:val="auto"/>
                <w:sz w:val="24"/>
                <w:highlight w:val="none"/>
              </w:rPr>
              <w:t>8</w:t>
            </w:r>
          </w:p>
        </w:tc>
        <w:tc>
          <w:tcPr>
            <w:tcW w:w="6626" w:type="dxa"/>
            <w:vAlign w:val="center"/>
          </w:tcPr>
          <w:p w14:paraId="0EBC72A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审核质量：</w:t>
            </w:r>
          </w:p>
          <w:p w14:paraId="29DCA4B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color w:val="auto"/>
                <w:sz w:val="24"/>
                <w:szCs w:val="24"/>
                <w:highlight w:val="none"/>
                <w:lang w:val="en-US" w:eastAsia="zh-CN"/>
              </w:rPr>
              <w:t>1.审核的质控重点与方法：要求审核的质控重点与方法内容完整、表述明了、合理且可行</w:t>
            </w:r>
            <w:r>
              <w:rPr>
                <w:rFonts w:hint="eastAsia" w:ascii="宋体" w:hAnsi="宋体" w:cs="宋体"/>
                <w:color w:val="auto"/>
                <w:sz w:val="24"/>
                <w:szCs w:val="24"/>
                <w:highlight w:val="none"/>
                <w:lang w:val="en-US" w:eastAsia="zh-CN"/>
              </w:rPr>
              <w:t>，满分4分。</w:t>
            </w:r>
          </w:p>
          <w:p w14:paraId="2E27587C">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方案内容基本完整、与项目匹配度较好的得3分；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53F413E0">
            <w:pPr>
              <w:pStyle w:val="63"/>
              <w:rPr>
                <w:rFonts w:hint="eastAsia"/>
                <w:color w:val="auto"/>
                <w:sz w:val="24"/>
                <w:szCs w:val="24"/>
                <w:highlight w:val="none"/>
                <w:lang w:val="en-US" w:eastAsia="zh-CN"/>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p w14:paraId="0D5C07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color w:val="auto"/>
                <w:sz w:val="24"/>
                <w:szCs w:val="24"/>
                <w:highlight w:val="none"/>
                <w:lang w:val="en-US" w:eastAsia="zh-CN"/>
              </w:rPr>
              <w:t>2.质控管理体系：要求质控管理体系内容具体、合理、可操作性较强</w:t>
            </w:r>
            <w:r>
              <w:rPr>
                <w:rFonts w:hint="eastAsia" w:ascii="宋体" w:hAnsi="宋体" w:cs="宋体"/>
                <w:color w:val="auto"/>
                <w:sz w:val="24"/>
                <w:szCs w:val="24"/>
                <w:highlight w:val="none"/>
                <w:lang w:val="en-US" w:eastAsia="zh-CN"/>
              </w:rPr>
              <w:t>，满分3分。</w:t>
            </w:r>
          </w:p>
          <w:p w14:paraId="43764EB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3</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方案内容基本完整、与项目匹配度一般的得1.5分；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7B168E56">
            <w:pPr>
              <w:pStyle w:val="63"/>
              <w:rPr>
                <w:rFonts w:hint="eastAsia"/>
                <w:color w:val="auto"/>
                <w:sz w:val="24"/>
                <w:szCs w:val="24"/>
                <w:highlight w:val="none"/>
                <w:lang w:val="en-US" w:eastAsia="zh-CN"/>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p w14:paraId="645D93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color w:val="auto"/>
                <w:sz w:val="24"/>
                <w:szCs w:val="24"/>
                <w:highlight w:val="none"/>
                <w:lang w:val="en-US" w:eastAsia="zh-CN"/>
              </w:rPr>
              <w:t>3.针对项目审核中发现的重大质量问题，提出解决方案：要求问题分析到位、解决方案可操作性强</w:t>
            </w:r>
            <w:r>
              <w:rPr>
                <w:rFonts w:hint="eastAsia" w:ascii="宋体" w:hAnsi="宋体" w:cs="宋体"/>
                <w:color w:val="auto"/>
                <w:sz w:val="24"/>
                <w:szCs w:val="24"/>
                <w:highlight w:val="none"/>
                <w:lang w:val="en-US" w:eastAsia="zh-CN"/>
              </w:rPr>
              <w:t>，满分3分。</w:t>
            </w:r>
          </w:p>
          <w:p w14:paraId="7F59C03A">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3</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方案内容基本完整、与项目匹配度一般的得1.5分；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4E3B0132">
            <w:pPr>
              <w:pStyle w:val="63"/>
              <w:rPr>
                <w:rFonts w:hint="default" w:cs="宋体"/>
                <w:color w:val="auto"/>
                <w:kern w:val="0"/>
                <w:sz w:val="24"/>
                <w:highlight w:val="none"/>
                <w:lang w:val="en-US" w:eastAsia="zh-CN"/>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tc>
        <w:tc>
          <w:tcPr>
            <w:tcW w:w="971" w:type="dxa"/>
            <w:vAlign w:val="center"/>
          </w:tcPr>
          <w:p w14:paraId="222DF00C">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10分</w:t>
            </w:r>
          </w:p>
        </w:tc>
        <w:tc>
          <w:tcPr>
            <w:tcW w:w="807" w:type="dxa"/>
            <w:vAlign w:val="center"/>
          </w:tcPr>
          <w:p w14:paraId="20F85044">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lang w:val="en-US" w:eastAsia="zh-CN"/>
              </w:rPr>
              <w:t>主</w:t>
            </w:r>
            <w:r>
              <w:rPr>
                <w:rFonts w:hint="eastAsia" w:ascii="宋体" w:hAnsi="宋体" w:cs="宋体"/>
                <w:color w:val="auto"/>
                <w:sz w:val="24"/>
                <w:highlight w:val="none"/>
              </w:rPr>
              <w:t>观</w:t>
            </w:r>
          </w:p>
        </w:tc>
        <w:tc>
          <w:tcPr>
            <w:tcW w:w="1349" w:type="dxa"/>
            <w:vAlign w:val="center"/>
          </w:tcPr>
          <w:p w14:paraId="5D3009A8">
            <w:pPr>
              <w:spacing w:line="360" w:lineRule="auto"/>
              <w:jc w:val="center"/>
              <w:outlineLvl w:val="0"/>
              <w:rPr>
                <w:rFonts w:hint="eastAsia" w:ascii="宋体" w:hAnsi="宋体" w:eastAsia="宋体" w:cs="宋体"/>
                <w:color w:val="auto"/>
                <w:sz w:val="24"/>
                <w:highlight w:val="none"/>
                <w:lang w:eastAsia="zh-CN"/>
              </w:rPr>
            </w:pPr>
            <w:r>
              <w:rPr>
                <w:rFonts w:hint="eastAsia" w:asciiTheme="minorEastAsia" w:hAnsiTheme="minorEastAsia" w:eastAsiaTheme="minorEastAsia" w:cstheme="minorEastAsia"/>
                <w:b w:val="0"/>
                <w:bCs/>
                <w:color w:val="auto"/>
                <w:sz w:val="24"/>
                <w:highlight w:val="none"/>
                <w:lang w:eastAsia="zh-CN"/>
              </w:rPr>
              <w:t>审核质量</w:t>
            </w:r>
          </w:p>
        </w:tc>
      </w:tr>
      <w:tr w14:paraId="4401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739" w:type="dxa"/>
            <w:vAlign w:val="center"/>
          </w:tcPr>
          <w:p w14:paraId="76F40CD5">
            <w:pPr>
              <w:spacing w:line="360" w:lineRule="auto"/>
              <w:jc w:val="center"/>
              <w:outlineLvl w:val="0"/>
              <w:rPr>
                <w:rFonts w:ascii="宋体" w:hAnsi="宋体" w:cs="宋体"/>
                <w:color w:val="auto"/>
                <w:sz w:val="24"/>
                <w:highlight w:val="none"/>
              </w:rPr>
            </w:pPr>
            <w:r>
              <w:rPr>
                <w:rFonts w:ascii="宋体" w:hAnsi="宋体" w:cs="宋体"/>
                <w:color w:val="auto"/>
                <w:sz w:val="24"/>
                <w:highlight w:val="none"/>
              </w:rPr>
              <w:t>9</w:t>
            </w:r>
          </w:p>
        </w:tc>
        <w:tc>
          <w:tcPr>
            <w:tcW w:w="6626" w:type="dxa"/>
            <w:vAlign w:val="center"/>
          </w:tcPr>
          <w:p w14:paraId="1289E6D1">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ascii="宋体" w:hAnsi="宋体" w:cs="宋体"/>
                <w:color w:val="auto"/>
                <w:kern w:val="0"/>
                <w:sz w:val="24"/>
                <w:highlight w:val="none"/>
              </w:rPr>
            </w:pPr>
            <w:r>
              <w:rPr>
                <w:rFonts w:hint="eastAsia" w:ascii="宋体" w:hAnsi="宋体" w:eastAsia="宋体" w:cs="Times New Roman"/>
                <w:color w:val="auto"/>
                <w:kern w:val="2"/>
                <w:sz w:val="24"/>
                <w:szCs w:val="24"/>
                <w:highlight w:val="none"/>
                <w:lang w:val="en-US" w:eastAsia="zh-CN" w:bidi="ar-SA"/>
              </w:rPr>
              <w:t>供应商提供审核承诺误差率承诺书，其中：概算审核误差率承诺：3%；结算审核误差率承诺：1%，满分2分。如不满足征集人及采购人</w:t>
            </w:r>
            <w:r>
              <w:rPr>
                <w:rFonts w:hint="eastAsia" w:ascii="宋体" w:hAnsi="宋体" w:cs="Times New Roman"/>
                <w:color w:val="auto"/>
                <w:kern w:val="2"/>
                <w:sz w:val="24"/>
                <w:szCs w:val="24"/>
                <w:highlight w:val="none"/>
                <w:lang w:val="en-US" w:eastAsia="zh-CN" w:bidi="ar-SA"/>
              </w:rPr>
              <w:t>要求，</w:t>
            </w:r>
            <w:r>
              <w:rPr>
                <w:rFonts w:hint="eastAsia" w:ascii="宋体" w:hAnsi="宋体" w:eastAsia="宋体" w:cs="Times New Roman"/>
                <w:color w:val="auto"/>
                <w:kern w:val="2"/>
                <w:sz w:val="24"/>
                <w:szCs w:val="24"/>
                <w:highlight w:val="none"/>
                <w:lang w:val="en-US" w:eastAsia="zh-CN" w:bidi="ar-SA"/>
              </w:rPr>
              <w:t>可无条件取消入围资格</w:t>
            </w:r>
            <w:r>
              <w:rPr>
                <w:rFonts w:hint="eastAsia" w:ascii="宋体" w:hAnsi="宋体" w:cs="Times New Roman"/>
                <w:color w:val="auto"/>
                <w:kern w:val="2"/>
                <w:sz w:val="24"/>
                <w:szCs w:val="24"/>
                <w:highlight w:val="none"/>
                <w:lang w:val="en-US" w:eastAsia="zh-CN" w:bidi="ar-SA"/>
              </w:rPr>
              <w:t>。</w:t>
            </w:r>
          </w:p>
        </w:tc>
        <w:tc>
          <w:tcPr>
            <w:tcW w:w="971" w:type="dxa"/>
            <w:vAlign w:val="center"/>
          </w:tcPr>
          <w:p w14:paraId="41539553">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2分</w:t>
            </w:r>
          </w:p>
        </w:tc>
        <w:tc>
          <w:tcPr>
            <w:tcW w:w="807" w:type="dxa"/>
            <w:vAlign w:val="center"/>
          </w:tcPr>
          <w:p w14:paraId="6DDFAEBE">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客观</w:t>
            </w:r>
          </w:p>
        </w:tc>
        <w:tc>
          <w:tcPr>
            <w:tcW w:w="1349" w:type="dxa"/>
            <w:vAlign w:val="center"/>
          </w:tcPr>
          <w:p w14:paraId="37B7CA09">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rPr>
              <w:t>审核误差率</w:t>
            </w:r>
          </w:p>
        </w:tc>
      </w:tr>
      <w:tr w14:paraId="02FB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39" w:type="dxa"/>
            <w:vAlign w:val="center"/>
          </w:tcPr>
          <w:p w14:paraId="43D7CA4D">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6626" w:type="dxa"/>
            <w:vAlign w:val="center"/>
          </w:tcPr>
          <w:p w14:paraId="4A1A52F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投标人驻场服务承诺：</w:t>
            </w:r>
          </w:p>
          <w:p w14:paraId="5ED56C28">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ascii="宋体" w:hAnsi="宋体" w:cs="宋体"/>
                <w:color w:val="auto"/>
                <w:kern w:val="0"/>
                <w:sz w:val="24"/>
                <w:highlight w:val="none"/>
              </w:rPr>
            </w:pPr>
            <w:r>
              <w:rPr>
                <w:rFonts w:hint="eastAsia" w:ascii="宋体" w:hAnsi="宋体" w:cs="宋体"/>
                <w:color w:val="auto"/>
                <w:kern w:val="0"/>
                <w:sz w:val="24"/>
                <w:highlight w:val="none"/>
              </w:rPr>
              <w:t>投标人承诺“如</w:t>
            </w:r>
            <w:r>
              <w:rPr>
                <w:rFonts w:hint="eastAsia" w:ascii="宋体" w:hAnsi="宋体" w:cs="宋体"/>
                <w:color w:val="auto"/>
                <w:kern w:val="0"/>
                <w:sz w:val="24"/>
                <w:highlight w:val="none"/>
                <w:lang w:val="en-US" w:eastAsia="zh-CN"/>
              </w:rPr>
              <w:t>征集人</w:t>
            </w:r>
            <w:r>
              <w:rPr>
                <w:rFonts w:hint="eastAsia" w:ascii="宋体" w:hAnsi="宋体" w:cs="宋体"/>
                <w:color w:val="auto"/>
                <w:kern w:val="0"/>
                <w:sz w:val="24"/>
                <w:highlight w:val="none"/>
              </w:rPr>
              <w:t>因造价</w:t>
            </w:r>
            <w:r>
              <w:rPr>
                <w:rFonts w:hint="eastAsia" w:ascii="宋体" w:hAnsi="宋体" w:cs="宋体"/>
                <w:color w:val="auto"/>
                <w:kern w:val="0"/>
                <w:sz w:val="24"/>
                <w:highlight w:val="none"/>
                <w:lang w:val="en-US" w:eastAsia="zh-CN"/>
              </w:rPr>
              <w:t>审核</w:t>
            </w:r>
            <w:r>
              <w:rPr>
                <w:rFonts w:hint="eastAsia" w:ascii="宋体" w:hAnsi="宋体" w:cs="宋体"/>
                <w:color w:val="auto"/>
                <w:kern w:val="0"/>
                <w:sz w:val="24"/>
                <w:highlight w:val="none"/>
              </w:rPr>
              <w:t>工作需要，可按照</w:t>
            </w:r>
            <w:r>
              <w:rPr>
                <w:rFonts w:hint="eastAsia" w:ascii="宋体" w:hAnsi="宋体" w:cs="宋体"/>
                <w:color w:val="auto"/>
                <w:kern w:val="0"/>
                <w:sz w:val="24"/>
                <w:highlight w:val="none"/>
                <w:lang w:eastAsia="zh-CN"/>
              </w:rPr>
              <w:t>征集人</w:t>
            </w:r>
            <w:r>
              <w:rPr>
                <w:rFonts w:hint="eastAsia" w:ascii="宋体" w:hAnsi="宋体" w:cs="宋体"/>
                <w:color w:val="auto"/>
                <w:kern w:val="0"/>
                <w:sz w:val="24"/>
                <w:highlight w:val="none"/>
              </w:rPr>
              <w:t>需求提供驻场服务”的得</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分，否则不得分，满分</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分。证明材料：承诺函。</w:t>
            </w:r>
          </w:p>
        </w:tc>
        <w:tc>
          <w:tcPr>
            <w:tcW w:w="971" w:type="dxa"/>
            <w:vAlign w:val="center"/>
          </w:tcPr>
          <w:p w14:paraId="0D8707AC">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2分</w:t>
            </w:r>
          </w:p>
        </w:tc>
        <w:tc>
          <w:tcPr>
            <w:tcW w:w="807" w:type="dxa"/>
            <w:vAlign w:val="center"/>
          </w:tcPr>
          <w:p w14:paraId="4669E69D">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lang w:eastAsia="zh-CN"/>
              </w:rPr>
              <w:t>客观</w:t>
            </w:r>
          </w:p>
        </w:tc>
        <w:tc>
          <w:tcPr>
            <w:tcW w:w="1349" w:type="dxa"/>
            <w:vAlign w:val="center"/>
          </w:tcPr>
          <w:p w14:paraId="4C2A2FF6">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rPr>
              <w:t>驻场服务</w:t>
            </w:r>
          </w:p>
        </w:tc>
      </w:tr>
      <w:tr w14:paraId="2CE8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1" w:hRule="atLeast"/>
          <w:jc w:val="center"/>
        </w:trPr>
        <w:tc>
          <w:tcPr>
            <w:tcW w:w="739" w:type="dxa"/>
            <w:vAlign w:val="center"/>
          </w:tcPr>
          <w:p w14:paraId="3941174F">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6626" w:type="dxa"/>
            <w:vAlign w:val="center"/>
          </w:tcPr>
          <w:p w14:paraId="507613D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ascii="宋体" w:hAnsi="宋体" w:cs="宋体"/>
                <w:color w:val="auto"/>
                <w:kern w:val="0"/>
                <w:sz w:val="24"/>
                <w:highlight w:val="none"/>
              </w:rPr>
              <w:t>针对政府投资项目特点提出合理化建议及改进措施</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要求建议及改进措施内容有针对性，具体且合理，可操作性强，</w:t>
            </w:r>
            <w:r>
              <w:rPr>
                <w:rFonts w:hint="eastAsia" w:ascii="宋体" w:hAnsi="宋体" w:cs="宋体"/>
                <w:color w:val="auto"/>
                <w:sz w:val="24"/>
                <w:szCs w:val="24"/>
                <w:highlight w:val="none"/>
                <w:lang w:val="en-US" w:eastAsia="zh-CN"/>
              </w:rPr>
              <w:t>满分4分。</w:t>
            </w:r>
          </w:p>
          <w:p w14:paraId="50C3239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方案内容基本完整、与项目匹配度较好的得3分；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7D475CF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color w:val="auto"/>
                <w:highlight w:val="none"/>
                <w:lang w:val="en-US" w:eastAsia="zh-CN"/>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tc>
        <w:tc>
          <w:tcPr>
            <w:tcW w:w="971" w:type="dxa"/>
            <w:vAlign w:val="center"/>
          </w:tcPr>
          <w:p w14:paraId="099F0863">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4分</w:t>
            </w:r>
          </w:p>
        </w:tc>
        <w:tc>
          <w:tcPr>
            <w:tcW w:w="807" w:type="dxa"/>
            <w:vAlign w:val="center"/>
          </w:tcPr>
          <w:p w14:paraId="3DCFEF8C">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主观</w:t>
            </w:r>
          </w:p>
        </w:tc>
        <w:tc>
          <w:tcPr>
            <w:tcW w:w="1349" w:type="dxa"/>
            <w:vAlign w:val="center"/>
          </w:tcPr>
          <w:p w14:paraId="3A4C2E86">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rPr>
              <w:t>合理化建议及改进措施</w:t>
            </w:r>
          </w:p>
        </w:tc>
      </w:tr>
    </w:tbl>
    <w:p w14:paraId="30867D83">
      <w:pPr>
        <w:spacing w:line="360" w:lineRule="auto"/>
        <w:outlineLvl w:val="0"/>
        <w:rPr>
          <w:rFonts w:hint="eastAsia" w:ascii="宋体" w:hAnsi="宋体" w:cs="宋体"/>
          <w:b/>
          <w:color w:val="auto"/>
          <w:sz w:val="24"/>
          <w:highlight w:val="none"/>
        </w:rPr>
      </w:pPr>
      <w:r>
        <w:rPr>
          <w:rFonts w:hint="eastAsia" w:ascii="宋体" w:hAnsi="宋体" w:cs="宋体"/>
          <w:color w:val="auto"/>
          <w:sz w:val="24"/>
          <w:highlight w:val="none"/>
          <w:shd w:val="clear" w:color="auto" w:fill="FFFFFF"/>
        </w:rPr>
        <w:t>*</w:t>
      </w:r>
      <w:r>
        <w:rPr>
          <w:rFonts w:hint="eastAsia" w:ascii="宋体" w:hAnsi="宋体" w:cs="宋体"/>
          <w:b/>
          <w:color w:val="auto"/>
          <w:sz w:val="24"/>
          <w:highlight w:val="none"/>
        </w:rPr>
        <w:t>备注：</w:t>
      </w:r>
    </w:p>
    <w:p w14:paraId="799A5E32">
      <w:pPr>
        <w:numPr>
          <w:ilvl w:val="0"/>
          <w:numId w:val="6"/>
        </w:numPr>
        <w:spacing w:line="360" w:lineRule="auto"/>
        <w:outlineLvl w:val="0"/>
        <w:rPr>
          <w:rFonts w:hint="eastAsia" w:ascii="宋体" w:hAnsi="宋体" w:cs="宋体"/>
          <w:color w:val="auto"/>
          <w:sz w:val="24"/>
          <w:highlight w:val="none"/>
        </w:rPr>
      </w:pPr>
      <w:r>
        <w:rPr>
          <w:rFonts w:hint="eastAsia" w:ascii="宋体" w:hAnsi="宋体" w:cs="宋体"/>
          <w:bCs/>
          <w:color w:val="auto"/>
          <w:sz w:val="24"/>
          <w:highlight w:val="none"/>
        </w:rPr>
        <w:t>供应商应根据评标标准对照附件中相应的表格要求的要素</w:t>
      </w:r>
      <w:r>
        <w:rPr>
          <w:rFonts w:hint="eastAsia" w:ascii="宋体" w:hAnsi="宋体" w:cs="宋体"/>
          <w:color w:val="auto"/>
          <w:sz w:val="24"/>
          <w:highlight w:val="none"/>
        </w:rPr>
        <w:t>，核验自有相关证明材料并填写完整，填写不完整或有明显错误的评标委员会有权不予认可；响应文件中还需提供合同等证明材料，未提供或证明材料不完善的不得分。</w:t>
      </w:r>
    </w:p>
    <w:p w14:paraId="5BE9CF0A">
      <w:pPr>
        <w:numPr>
          <w:ilvl w:val="0"/>
          <w:numId w:val="0"/>
        </w:numPr>
        <w:spacing w:line="360" w:lineRule="auto"/>
        <w:outlineLvl w:val="0"/>
        <w:rPr>
          <w:rFonts w:hint="eastAsia" w:cs="宋体"/>
          <w:b/>
          <w:color w:val="auto"/>
          <w:sz w:val="28"/>
          <w:szCs w:val="28"/>
          <w:highlight w:val="none"/>
          <w:lang w:val="en-US" w:eastAsia="zh-CN"/>
        </w:rPr>
      </w:pPr>
      <w:r>
        <w:rPr>
          <w:rFonts w:hint="eastAsia" w:ascii="宋体" w:hAnsi="宋体" w:cs="宋体"/>
          <w:bCs/>
          <w:color w:val="auto"/>
          <w:sz w:val="24"/>
          <w:highlight w:val="none"/>
        </w:rPr>
        <w:t>2.</w:t>
      </w:r>
      <w:r>
        <w:rPr>
          <w:rFonts w:hint="eastAsia" w:ascii="宋体" w:hAnsi="宋体" w:cs="宋体"/>
          <w:color w:val="auto"/>
          <w:sz w:val="24"/>
          <w:highlight w:val="none"/>
        </w:rPr>
        <w:t>供应商编制响应文件（商务技术文件部分）时，建议按此目录（序号和内容）提供评标标准相应的商务技术资料。</w:t>
      </w:r>
    </w:p>
    <w:p w14:paraId="5BE45537">
      <w:pPr>
        <w:pStyle w:val="23"/>
        <w:ind w:left="0" w:leftChars="0" w:firstLine="0" w:firstLineChars="0"/>
        <w:jc w:val="left"/>
        <w:rPr>
          <w:rFonts w:hint="eastAsia" w:cs="宋体"/>
          <w:b/>
          <w:color w:val="auto"/>
          <w:sz w:val="28"/>
          <w:szCs w:val="28"/>
          <w:highlight w:val="none"/>
          <w:lang w:val="en-US" w:eastAsia="zh-CN"/>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F15F253">
      <w:pPr>
        <w:pStyle w:val="23"/>
        <w:ind w:left="0" w:leftChars="0" w:firstLine="0" w:firstLineChars="0"/>
        <w:jc w:val="center"/>
        <w:rPr>
          <w:rFonts w:hint="default" w:eastAsia="宋体"/>
          <w:color w:val="auto"/>
          <w:sz w:val="18"/>
          <w:szCs w:val="21"/>
          <w:highlight w:val="none"/>
          <w:lang w:val="en-US" w:eastAsia="zh-CN"/>
        </w:rPr>
      </w:pPr>
      <w:r>
        <w:rPr>
          <w:rFonts w:hint="eastAsia" w:cs="宋体"/>
          <w:b/>
          <w:color w:val="auto"/>
          <w:sz w:val="28"/>
          <w:szCs w:val="28"/>
          <w:highlight w:val="none"/>
          <w:lang w:val="en-US" w:eastAsia="zh-CN"/>
        </w:rPr>
        <w:t>标项二</w:t>
      </w:r>
    </w:p>
    <w:tbl>
      <w:tblPr>
        <w:tblStyle w:val="51"/>
        <w:tblW w:w="10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6511"/>
        <w:gridCol w:w="840"/>
        <w:gridCol w:w="838"/>
        <w:gridCol w:w="1564"/>
      </w:tblGrid>
      <w:tr w14:paraId="2396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39" w:type="dxa"/>
            <w:vAlign w:val="center"/>
          </w:tcPr>
          <w:p w14:paraId="22E044FA">
            <w:pPr>
              <w:spacing w:line="360" w:lineRule="auto"/>
              <w:jc w:val="center"/>
              <w:outlineLvl w:val="0"/>
              <w:rPr>
                <w:rFonts w:ascii="宋体" w:hAnsi="宋体" w:cs="宋体"/>
                <w:bCs/>
                <w:color w:val="auto"/>
                <w:sz w:val="24"/>
                <w:highlight w:val="none"/>
              </w:rPr>
            </w:pPr>
            <w:r>
              <w:rPr>
                <w:rFonts w:hint="eastAsia" w:ascii="宋体" w:hAnsi="宋体" w:cs="宋体"/>
                <w:bCs/>
                <w:color w:val="auto"/>
                <w:sz w:val="24"/>
                <w:highlight w:val="none"/>
              </w:rPr>
              <w:t>序号</w:t>
            </w:r>
          </w:p>
        </w:tc>
        <w:tc>
          <w:tcPr>
            <w:tcW w:w="6511" w:type="dxa"/>
            <w:vAlign w:val="center"/>
          </w:tcPr>
          <w:p w14:paraId="6D190C03">
            <w:pPr>
              <w:spacing w:line="360" w:lineRule="auto"/>
              <w:jc w:val="center"/>
              <w:outlineLvl w:val="0"/>
              <w:rPr>
                <w:rFonts w:ascii="宋体" w:hAnsi="宋体" w:cs="宋体"/>
                <w:bCs/>
                <w:color w:val="auto"/>
                <w:sz w:val="24"/>
                <w:highlight w:val="none"/>
              </w:rPr>
            </w:pPr>
            <w:r>
              <w:rPr>
                <w:rFonts w:hint="eastAsia" w:ascii="宋体" w:hAnsi="宋体" w:cs="宋体"/>
                <w:bCs/>
                <w:color w:val="auto"/>
                <w:sz w:val="24"/>
                <w:highlight w:val="none"/>
              </w:rPr>
              <w:t>评标标准</w:t>
            </w:r>
          </w:p>
        </w:tc>
        <w:tc>
          <w:tcPr>
            <w:tcW w:w="840" w:type="dxa"/>
            <w:vAlign w:val="center"/>
          </w:tcPr>
          <w:p w14:paraId="4FAD53C7">
            <w:pPr>
              <w:spacing w:line="360" w:lineRule="auto"/>
              <w:jc w:val="center"/>
              <w:outlineLvl w:val="0"/>
              <w:rPr>
                <w:rFonts w:ascii="宋体" w:hAnsi="宋体" w:cs="宋体"/>
                <w:bCs/>
                <w:color w:val="auto"/>
                <w:sz w:val="24"/>
                <w:highlight w:val="none"/>
              </w:rPr>
            </w:pPr>
            <w:r>
              <w:rPr>
                <w:rFonts w:hint="eastAsia" w:ascii="宋体" w:hAnsi="宋体" w:cs="宋体"/>
                <w:bCs/>
                <w:color w:val="auto"/>
                <w:sz w:val="24"/>
                <w:highlight w:val="none"/>
                <w:lang w:eastAsia="zh-CN"/>
              </w:rPr>
              <w:t>分值</w:t>
            </w:r>
          </w:p>
        </w:tc>
        <w:tc>
          <w:tcPr>
            <w:tcW w:w="838" w:type="dxa"/>
            <w:vAlign w:val="center"/>
          </w:tcPr>
          <w:p w14:paraId="538D4EE3">
            <w:pPr>
              <w:spacing w:line="360" w:lineRule="auto"/>
              <w:jc w:val="center"/>
              <w:outlineLvl w:val="0"/>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分值属性</w:t>
            </w:r>
          </w:p>
        </w:tc>
        <w:tc>
          <w:tcPr>
            <w:tcW w:w="1564" w:type="dxa"/>
            <w:vAlign w:val="center"/>
          </w:tcPr>
          <w:p w14:paraId="5FBE0393">
            <w:pPr>
              <w:spacing w:line="360" w:lineRule="auto"/>
              <w:jc w:val="center"/>
              <w:outlineLvl w:val="0"/>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lang w:val="en-US" w:eastAsia="zh-CN"/>
              </w:rPr>
              <w:t>响应文件中评标标准相应的商务技术资料目录</w:t>
            </w:r>
          </w:p>
        </w:tc>
      </w:tr>
      <w:tr w14:paraId="6F66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39" w:type="dxa"/>
            <w:vAlign w:val="center"/>
          </w:tcPr>
          <w:p w14:paraId="6B096ED2">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1</w:t>
            </w:r>
          </w:p>
        </w:tc>
        <w:tc>
          <w:tcPr>
            <w:tcW w:w="6511" w:type="dxa"/>
            <w:vAlign w:val="center"/>
          </w:tcPr>
          <w:p w14:paraId="444AD2F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宋体" w:hAnsi="宋体" w:cs="宋体"/>
                <w:color w:val="auto"/>
                <w:sz w:val="24"/>
                <w:highlight w:val="none"/>
              </w:rPr>
            </w:pPr>
            <w:r>
              <w:rPr>
                <w:rFonts w:hint="eastAsia" w:ascii="宋体" w:hAnsi="宋体" w:cs="宋体"/>
                <w:color w:val="auto"/>
                <w:sz w:val="24"/>
                <w:highlight w:val="none"/>
              </w:rPr>
              <w:t>投标人同时具有有效的质量管理体系认证、环境管理体系认证、职业健康安全管理体系认证得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分，满分</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w:t>
            </w:r>
          </w:p>
          <w:p w14:paraId="76FF6ED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提供相应有效证书的扫描件</w:t>
            </w:r>
            <w:r>
              <w:rPr>
                <w:rFonts w:hint="eastAsia" w:ascii="宋体" w:hAnsi="宋体" w:cs="宋体"/>
                <w:color w:val="auto"/>
                <w:sz w:val="24"/>
                <w:highlight w:val="none"/>
                <w:lang w:val="en-US" w:eastAsia="zh-CN"/>
              </w:rPr>
              <w:t>，由评审专家现场在</w:t>
            </w:r>
            <w:r>
              <w:rPr>
                <w:rFonts w:hint="eastAsia" w:ascii="宋体" w:hAnsi="宋体" w:cs="宋体"/>
                <w:color w:val="auto"/>
                <w:sz w:val="24"/>
                <w:highlight w:val="none"/>
              </w:rPr>
              <w:t>全国认证认可信息公共服务平台（http://cx.cnca.cn/）</w:t>
            </w:r>
            <w:r>
              <w:rPr>
                <w:rFonts w:hint="eastAsia" w:ascii="宋体" w:hAnsi="宋体" w:cs="宋体"/>
                <w:color w:val="auto"/>
                <w:sz w:val="24"/>
                <w:highlight w:val="none"/>
                <w:lang w:val="en-US" w:eastAsia="zh-CN"/>
              </w:rPr>
              <w:t>核查。</w:t>
            </w:r>
          </w:p>
        </w:tc>
        <w:tc>
          <w:tcPr>
            <w:tcW w:w="840" w:type="dxa"/>
            <w:vAlign w:val="center"/>
          </w:tcPr>
          <w:p w14:paraId="31823FD0">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1分</w:t>
            </w:r>
          </w:p>
        </w:tc>
        <w:tc>
          <w:tcPr>
            <w:tcW w:w="838" w:type="dxa"/>
            <w:vAlign w:val="center"/>
          </w:tcPr>
          <w:p w14:paraId="4285B681">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客观</w:t>
            </w:r>
          </w:p>
        </w:tc>
        <w:tc>
          <w:tcPr>
            <w:tcW w:w="1564" w:type="dxa"/>
            <w:vAlign w:val="center"/>
          </w:tcPr>
          <w:p w14:paraId="2B9DD400">
            <w:pPr>
              <w:spacing w:line="240" w:lineRule="auto"/>
              <w:jc w:val="center"/>
              <w:outlineLvl w:val="0"/>
              <w:rPr>
                <w:rFonts w:hint="default" w:ascii="宋体" w:hAnsi="宋体" w:eastAsia="仿宋_GB2312" w:cs="宋体"/>
                <w:b/>
                <w:color w:val="auto"/>
                <w:sz w:val="24"/>
                <w:highlight w:val="none"/>
                <w:lang w:val="en-US" w:eastAsia="zh-CN"/>
              </w:rPr>
            </w:pPr>
            <w:r>
              <w:rPr>
                <w:rFonts w:hint="eastAsia" w:asciiTheme="minorEastAsia" w:hAnsiTheme="minorEastAsia" w:eastAsiaTheme="minorEastAsia" w:cstheme="minorEastAsia"/>
                <w:b w:val="0"/>
                <w:bCs/>
                <w:color w:val="auto"/>
                <w:sz w:val="24"/>
                <w:highlight w:val="none"/>
                <w:lang w:val="en-US" w:eastAsia="zh-CN"/>
              </w:rPr>
              <w:t>质量管理体系认证</w:t>
            </w:r>
          </w:p>
        </w:tc>
      </w:tr>
      <w:tr w14:paraId="004D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39" w:type="dxa"/>
            <w:vAlign w:val="center"/>
          </w:tcPr>
          <w:p w14:paraId="1308DB87">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2</w:t>
            </w:r>
          </w:p>
        </w:tc>
        <w:tc>
          <w:tcPr>
            <w:tcW w:w="6511" w:type="dxa"/>
            <w:vAlign w:val="center"/>
          </w:tcPr>
          <w:p w14:paraId="5FC98ED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年1月1日以来（时间以审核报告出具日期为准），</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独立完成过政府投资等类似项目概算审核实绩（</w:t>
            </w:r>
            <w:r>
              <w:rPr>
                <w:rFonts w:hint="eastAsia" w:ascii="宋体" w:hAnsi="宋体" w:cs="宋体"/>
                <w:color w:val="auto"/>
                <w:sz w:val="24"/>
                <w:highlight w:val="none"/>
                <w:lang w:eastAsia="zh-CN"/>
              </w:rPr>
              <w:t>核减率或核增率</w:t>
            </w:r>
            <w:r>
              <w:rPr>
                <w:rFonts w:hint="eastAsia" w:ascii="宋体" w:hAnsi="宋体" w:cs="宋体"/>
                <w:color w:val="auto"/>
                <w:sz w:val="24"/>
                <w:highlight w:val="none"/>
              </w:rPr>
              <w:t>≥</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lang w:val="en-US" w:eastAsia="zh-CN"/>
              </w:rPr>
              <w:t>10%</w:t>
            </w:r>
            <w:r>
              <w:rPr>
                <w:rFonts w:hint="eastAsia" w:ascii="微软雅黑" w:hAnsi="微软雅黑" w:eastAsia="微软雅黑" w:cs="微软雅黑"/>
                <w:color w:val="auto"/>
                <w:sz w:val="24"/>
                <w:highlight w:val="none"/>
                <w:lang w:eastAsia="zh-CN"/>
              </w:rPr>
              <w:t>|</w:t>
            </w:r>
            <w:r>
              <w:rPr>
                <w:rFonts w:hint="eastAsia" w:ascii="宋体" w:hAnsi="宋体" w:cs="宋体"/>
                <w:color w:val="auto"/>
                <w:sz w:val="24"/>
                <w:highlight w:val="none"/>
              </w:rPr>
              <w:t>），每个得</w:t>
            </w:r>
            <w:r>
              <w:rPr>
                <w:rFonts w:hint="eastAsia" w:ascii="宋体" w:hAnsi="宋体" w:cs="宋体"/>
                <w:color w:val="auto"/>
                <w:sz w:val="24"/>
                <w:highlight w:val="none"/>
                <w:lang w:val="en-US" w:eastAsia="zh-CN"/>
              </w:rPr>
              <w:t>0.8</w:t>
            </w:r>
            <w:r>
              <w:rPr>
                <w:rFonts w:hint="eastAsia" w:ascii="宋体" w:hAnsi="宋体" w:cs="宋体"/>
                <w:color w:val="auto"/>
                <w:sz w:val="24"/>
                <w:highlight w:val="none"/>
              </w:rPr>
              <w:t>分，满分</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分。</w:t>
            </w:r>
          </w:p>
          <w:p w14:paraId="2D9638C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4"/>
                <w:highlight w:val="none"/>
              </w:rPr>
            </w:pPr>
            <w:r>
              <w:rPr>
                <w:rFonts w:hint="eastAsia" w:ascii="宋体" w:hAnsi="宋体" w:cs="宋体"/>
                <w:color w:val="auto"/>
                <w:sz w:val="24"/>
                <w:highlight w:val="none"/>
              </w:rPr>
              <w:t>以上业绩需要委托单位盖公章</w:t>
            </w:r>
            <w:r>
              <w:rPr>
                <w:rFonts w:hint="default" w:ascii="宋体" w:hAnsi="宋体" w:cs="宋体"/>
                <w:color w:val="auto"/>
                <w:sz w:val="24"/>
                <w:highlight w:val="none"/>
                <w:woUserID w:val="1"/>
              </w:rPr>
              <w:t>，</w:t>
            </w:r>
            <w:r>
              <w:rPr>
                <w:rFonts w:hint="eastAsia" w:ascii="宋体" w:hAnsi="宋体" w:cs="宋体"/>
                <w:color w:val="auto"/>
                <w:sz w:val="24"/>
                <w:highlight w:val="none"/>
              </w:rPr>
              <w:t>证明核减率（格式自拟）、委托合同及审核报告等相关材料，否则不得分。</w:t>
            </w:r>
            <w:r>
              <w:rPr>
                <w:rFonts w:hint="default" w:ascii="宋体" w:hAnsi="宋体" w:cs="宋体"/>
                <w:color w:val="auto"/>
                <w:sz w:val="24"/>
                <w:highlight w:val="none"/>
                <w:lang w:eastAsia="zh-CN"/>
                <w:woUserID w:val="1"/>
              </w:rPr>
              <w:t>内设处（科）室盖章的证明材料不得分。</w:t>
            </w:r>
          </w:p>
        </w:tc>
        <w:tc>
          <w:tcPr>
            <w:tcW w:w="840" w:type="dxa"/>
            <w:vAlign w:val="center"/>
          </w:tcPr>
          <w:p w14:paraId="77B5ABD3">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8分</w:t>
            </w:r>
          </w:p>
        </w:tc>
        <w:tc>
          <w:tcPr>
            <w:tcW w:w="838" w:type="dxa"/>
            <w:vAlign w:val="center"/>
          </w:tcPr>
          <w:p w14:paraId="3F40DB2D">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客观</w:t>
            </w:r>
          </w:p>
        </w:tc>
        <w:tc>
          <w:tcPr>
            <w:tcW w:w="1564" w:type="dxa"/>
            <w:vAlign w:val="center"/>
          </w:tcPr>
          <w:p w14:paraId="4A1BDFCA">
            <w:pPr>
              <w:spacing w:line="360" w:lineRule="auto"/>
              <w:jc w:val="center"/>
              <w:outlineLvl w:val="0"/>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b w:val="0"/>
                <w:bCs/>
                <w:color w:val="auto"/>
                <w:sz w:val="24"/>
                <w:highlight w:val="none"/>
                <w:lang w:val="en-US" w:eastAsia="zh-CN"/>
              </w:rPr>
              <w:t>类似项目业绩</w:t>
            </w:r>
          </w:p>
        </w:tc>
      </w:tr>
      <w:tr w14:paraId="1222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Align w:val="center"/>
          </w:tcPr>
          <w:p w14:paraId="17BC3BC2">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3</w:t>
            </w:r>
          </w:p>
        </w:tc>
        <w:tc>
          <w:tcPr>
            <w:tcW w:w="6511" w:type="dxa"/>
            <w:vAlign w:val="center"/>
          </w:tcPr>
          <w:p w14:paraId="573B331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1、项目负责人：</w:t>
            </w:r>
          </w:p>
          <w:p w14:paraId="57FDEE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（1）同时具备一级注册造价师（建筑）及建设工程相关专业高级职称资格，得2分，满分2分。</w:t>
            </w:r>
          </w:p>
          <w:p w14:paraId="5954C7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（2）工程造价咨询相关从业年限在10年及以上得2分，8年（含）-10年（不含）得1.5分,</w:t>
            </w:r>
            <w:r>
              <w:rPr>
                <w:rFonts w:hint="eastAsia" w:ascii="仿宋" w:hAnsi="仿宋" w:cs="仿宋"/>
                <w:b w:val="0"/>
                <w:bCs/>
                <w:color w:val="auto"/>
                <w:sz w:val="24"/>
                <w:szCs w:val="24"/>
                <w:highlight w:val="none"/>
                <w:lang w:val="en-US" w:eastAsia="zh-CN"/>
              </w:rPr>
              <w:t>5</w:t>
            </w:r>
            <w:r>
              <w:rPr>
                <w:rFonts w:hint="eastAsia" w:ascii="仿宋" w:hAnsi="仿宋" w:eastAsia="宋体" w:cs="仿宋"/>
                <w:b w:val="0"/>
                <w:bCs/>
                <w:color w:val="auto"/>
                <w:sz w:val="24"/>
                <w:szCs w:val="24"/>
                <w:highlight w:val="none"/>
                <w:lang w:val="en-US" w:eastAsia="zh-CN"/>
              </w:rPr>
              <w:t>年（含）-8年（不含）得1分，从业年限以一级造价</w:t>
            </w:r>
            <w:r>
              <w:rPr>
                <w:rFonts w:hint="eastAsia" w:ascii="仿宋" w:hAnsi="仿宋" w:cs="仿宋"/>
                <w:b w:val="0"/>
                <w:bCs/>
                <w:color w:val="auto"/>
                <w:sz w:val="24"/>
                <w:szCs w:val="24"/>
                <w:highlight w:val="none"/>
                <w:lang w:val="en-US" w:eastAsia="zh-CN"/>
              </w:rPr>
              <w:t>工程师注册证书</w:t>
            </w:r>
            <w:r>
              <w:rPr>
                <w:rFonts w:hint="eastAsia" w:ascii="仿宋" w:hAnsi="仿宋" w:eastAsia="宋体" w:cs="仿宋"/>
                <w:b w:val="0"/>
                <w:bCs/>
                <w:color w:val="auto"/>
                <w:sz w:val="24"/>
                <w:szCs w:val="24"/>
                <w:highlight w:val="none"/>
                <w:lang w:val="en-US" w:eastAsia="zh-CN"/>
              </w:rPr>
              <w:t>最早注册时间开始计算，满分2分。</w:t>
            </w:r>
          </w:p>
          <w:p w14:paraId="14CC238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2、技术负责人：</w:t>
            </w:r>
          </w:p>
          <w:p w14:paraId="784FB6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（1）同时具备一级注册造价师（建筑）及建设工程相关专业高级职称资格，得2分，满分2分。</w:t>
            </w:r>
          </w:p>
          <w:p w14:paraId="0C347A03">
            <w:pPr>
              <w:numPr>
                <w:ilvl w:val="0"/>
                <w:numId w:val="0"/>
              </w:numPr>
              <w:snapToGrid w:val="0"/>
              <w:spacing w:line="360" w:lineRule="auto"/>
              <w:rPr>
                <w:rFonts w:hint="eastAsia"/>
                <w:color w:val="auto"/>
                <w:highlight w:val="none"/>
                <w:lang w:val="en-US" w:eastAsia="zh-CN"/>
              </w:rPr>
            </w:pPr>
            <w:r>
              <w:rPr>
                <w:rFonts w:hint="eastAsia" w:ascii="仿宋" w:hAnsi="仿宋" w:eastAsia="宋体" w:cs="仿宋"/>
                <w:b w:val="0"/>
                <w:bCs/>
                <w:color w:val="auto"/>
                <w:sz w:val="24"/>
                <w:szCs w:val="24"/>
                <w:highlight w:val="none"/>
                <w:lang w:val="en-US" w:eastAsia="zh-CN"/>
              </w:rPr>
              <w:t>（2）工程造价咨询相关从业年限在10年及以上得2分，8年（含）-10年（不含）得1.5分,</w:t>
            </w:r>
            <w:r>
              <w:rPr>
                <w:rFonts w:hint="eastAsia" w:ascii="仿宋" w:hAnsi="仿宋" w:cs="仿宋"/>
                <w:b w:val="0"/>
                <w:bCs/>
                <w:color w:val="auto"/>
                <w:sz w:val="24"/>
                <w:szCs w:val="24"/>
                <w:highlight w:val="none"/>
                <w:lang w:val="en-US" w:eastAsia="zh-CN"/>
              </w:rPr>
              <w:t>5</w:t>
            </w:r>
            <w:r>
              <w:rPr>
                <w:rFonts w:hint="eastAsia" w:ascii="仿宋" w:hAnsi="仿宋" w:eastAsia="宋体" w:cs="仿宋"/>
                <w:b w:val="0"/>
                <w:bCs/>
                <w:color w:val="auto"/>
                <w:sz w:val="24"/>
                <w:szCs w:val="24"/>
                <w:highlight w:val="none"/>
                <w:lang w:val="en-US" w:eastAsia="zh-CN"/>
              </w:rPr>
              <w:t>年（含）-8年（不含）得1分，从业年限以一级造价</w:t>
            </w:r>
            <w:r>
              <w:rPr>
                <w:rFonts w:hint="eastAsia" w:ascii="仿宋" w:hAnsi="仿宋" w:cs="仿宋"/>
                <w:b w:val="0"/>
                <w:bCs/>
                <w:color w:val="auto"/>
                <w:sz w:val="24"/>
                <w:szCs w:val="24"/>
                <w:highlight w:val="none"/>
                <w:lang w:val="en-US" w:eastAsia="zh-CN"/>
              </w:rPr>
              <w:t>工程师注册证书</w:t>
            </w:r>
            <w:r>
              <w:rPr>
                <w:rFonts w:hint="eastAsia" w:ascii="仿宋" w:hAnsi="仿宋" w:eastAsia="宋体" w:cs="仿宋"/>
                <w:b w:val="0"/>
                <w:bCs/>
                <w:color w:val="auto"/>
                <w:sz w:val="24"/>
                <w:szCs w:val="24"/>
                <w:highlight w:val="none"/>
                <w:lang w:val="en-US" w:eastAsia="zh-CN"/>
              </w:rPr>
              <w:t>最早注册时间开始计算，满分2分。</w:t>
            </w:r>
          </w:p>
          <w:p w14:paraId="312665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宋体" w:cs="仿宋"/>
                <w:b w:val="0"/>
                <w:bCs/>
                <w:color w:val="auto"/>
                <w:sz w:val="24"/>
                <w:szCs w:val="24"/>
                <w:highlight w:val="none"/>
                <w:lang w:val="en-US" w:eastAsia="zh-CN"/>
              </w:rPr>
            </w:pPr>
            <w:r>
              <w:rPr>
                <w:rFonts w:hint="eastAsia" w:ascii="仿宋" w:hAnsi="仿宋" w:eastAsia="宋体" w:cs="仿宋"/>
                <w:b w:val="0"/>
                <w:bCs/>
                <w:color w:val="auto"/>
                <w:sz w:val="24"/>
                <w:szCs w:val="24"/>
                <w:highlight w:val="none"/>
                <w:lang w:val="en-US" w:eastAsia="zh-CN"/>
              </w:rPr>
              <w:t>3、项目组其他人员（不包括项目及技术负责人）：</w:t>
            </w:r>
          </w:p>
          <w:p w14:paraId="01EDBCE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（1）建筑专业注册证书：</w:t>
            </w:r>
          </w:p>
          <w:p w14:paraId="7366910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一级注册造价师至少2人，另每增加一名一级注册造价师得1分，满分5分；</w:t>
            </w:r>
          </w:p>
          <w:p w14:paraId="6183962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二级注册造价师至少2人，另每增加一名二级注册造价师得0.5分，满分3分；</w:t>
            </w:r>
          </w:p>
          <w:p w14:paraId="1B16DEA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（2）安装专业注册证书：</w:t>
            </w:r>
          </w:p>
          <w:p w14:paraId="2E0BEAD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一级注册造价师至少1人，另每增加一名一级注册造价师得1分，满分2分；</w:t>
            </w:r>
          </w:p>
          <w:p w14:paraId="21F029D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二级注册造价师至少1人，另每增加一名二级注册造价师得0.5分，满分2分；</w:t>
            </w:r>
          </w:p>
          <w:p w14:paraId="3EAFE6C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（3）交通专业注册证书：一级注册造价师每人得1分，二级注册造价师每人得0.5分，满分1分；（中华人民共和国交通运输部颁发的甲级造价师证书视同为一级）</w:t>
            </w:r>
          </w:p>
          <w:p w14:paraId="2A2BDD9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cs="仿宋"/>
                <w:b w:val="0"/>
                <w:bCs/>
                <w:color w:val="auto"/>
                <w:sz w:val="24"/>
                <w:szCs w:val="24"/>
                <w:highlight w:val="none"/>
                <w:lang w:val="en-US" w:eastAsia="zh-CN"/>
              </w:rPr>
              <w:t>（4）水利专业注册证书：一级注册造价师每人得1分，二级注册造价师每人得0.5分，满分1分；</w:t>
            </w:r>
          </w:p>
          <w:p w14:paraId="74D7F9B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以上人员需要提供相应的职称证书及注册证书的有效证明扫描件（加盖供应商单位公章或电子签名），提供近三个月任意一个月在本单位的社保缴纳凭证扫描件。</w:t>
            </w:r>
          </w:p>
          <w:p w14:paraId="3D2D094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注：</w:t>
            </w:r>
          </w:p>
          <w:p w14:paraId="0A7CF4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①拟派项目组人员应为总公司、分公司（非独立法人）人员，不含子公司（独立法人）人员。</w:t>
            </w:r>
          </w:p>
          <w:p w14:paraId="05C401E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color w:val="auto"/>
                <w:sz w:val="24"/>
                <w:szCs w:val="24"/>
                <w:highlight w:val="none"/>
              </w:rPr>
            </w:pPr>
            <w:r>
              <w:rPr>
                <w:rFonts w:hint="eastAsia" w:ascii="仿宋" w:hAnsi="仿宋" w:cs="仿宋"/>
                <w:b w:val="0"/>
                <w:bCs/>
                <w:color w:val="auto"/>
                <w:sz w:val="24"/>
                <w:szCs w:val="24"/>
                <w:highlight w:val="none"/>
                <w:lang w:val="en-US" w:eastAsia="zh-CN"/>
              </w:rPr>
              <w:t>②一人具有不同专业注册证书的可以累计，具备相同专业注册证书一级和二级的不累计，一级注册证书可按二级注册证书计入相应专业，但不得与拟派团队中已计入的一级注册证书的人员重复。</w:t>
            </w:r>
          </w:p>
          <w:p w14:paraId="275A00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③项目组人员可以包括65周岁（含）内实际持证在岗的退休返聘人员，退休返聘人员不要求社保缴纳凭证，需提供退休证和返聘合同及上月工资单扫描件。</w:t>
            </w:r>
          </w:p>
          <w:p w14:paraId="2349843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color w:val="auto"/>
                <w:highlight w:val="none"/>
              </w:rPr>
            </w:pPr>
            <w:r>
              <w:rPr>
                <w:rFonts w:hint="eastAsia"/>
                <w:color w:val="auto"/>
                <w:sz w:val="24"/>
                <w:szCs w:val="24"/>
                <w:highlight w:val="none"/>
                <w:lang w:val="en-US" w:eastAsia="zh-CN"/>
              </w:rPr>
              <w:t>④未按照要求提供证明材料的不得分。</w:t>
            </w:r>
          </w:p>
        </w:tc>
        <w:tc>
          <w:tcPr>
            <w:tcW w:w="840" w:type="dxa"/>
            <w:vAlign w:val="center"/>
          </w:tcPr>
          <w:p w14:paraId="383326BC">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22分</w:t>
            </w:r>
          </w:p>
        </w:tc>
        <w:tc>
          <w:tcPr>
            <w:tcW w:w="838" w:type="dxa"/>
            <w:vAlign w:val="center"/>
          </w:tcPr>
          <w:p w14:paraId="2A59BE14">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客观</w:t>
            </w:r>
          </w:p>
        </w:tc>
        <w:tc>
          <w:tcPr>
            <w:tcW w:w="1564" w:type="dxa"/>
            <w:vAlign w:val="center"/>
          </w:tcPr>
          <w:p w14:paraId="5080FBFB">
            <w:pPr>
              <w:spacing w:line="240" w:lineRule="auto"/>
              <w:jc w:val="center"/>
              <w:outlineLvl w:val="0"/>
              <w:rPr>
                <w:rFonts w:ascii="宋体" w:hAnsi="宋体" w:eastAsia="仿宋_GB2312" w:cs="宋体"/>
                <w:b/>
                <w:color w:val="auto"/>
                <w:sz w:val="24"/>
                <w:highlight w:val="none"/>
              </w:rPr>
            </w:pPr>
            <w:r>
              <w:rPr>
                <w:rFonts w:hint="eastAsia" w:asciiTheme="minorEastAsia" w:hAnsiTheme="minorEastAsia" w:eastAsiaTheme="minorEastAsia" w:cstheme="minorEastAsia"/>
                <w:b w:val="0"/>
                <w:bCs/>
                <w:color w:val="auto"/>
                <w:sz w:val="24"/>
                <w:highlight w:val="none"/>
              </w:rPr>
              <w:t>项目团队</w:t>
            </w:r>
          </w:p>
        </w:tc>
      </w:tr>
      <w:tr w14:paraId="38EE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39" w:type="dxa"/>
            <w:vAlign w:val="center"/>
          </w:tcPr>
          <w:p w14:paraId="190D45AF">
            <w:pPr>
              <w:spacing w:line="360" w:lineRule="auto"/>
              <w:jc w:val="center"/>
              <w:outlineLvl w:val="0"/>
              <w:rPr>
                <w:rFonts w:ascii="宋体" w:hAnsi="宋体" w:cs="宋体"/>
                <w:color w:val="auto"/>
                <w:sz w:val="24"/>
                <w:highlight w:val="none"/>
              </w:rPr>
            </w:pPr>
            <w:r>
              <w:rPr>
                <w:rFonts w:ascii="宋体" w:hAnsi="宋体" w:cs="宋体"/>
                <w:color w:val="auto"/>
                <w:sz w:val="24"/>
                <w:highlight w:val="none"/>
              </w:rPr>
              <w:t>4</w:t>
            </w:r>
          </w:p>
        </w:tc>
        <w:tc>
          <w:tcPr>
            <w:tcW w:w="6511" w:type="dxa"/>
            <w:vAlign w:val="center"/>
          </w:tcPr>
          <w:p w14:paraId="369D3949">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概算审核</w:t>
            </w:r>
            <w:r>
              <w:rPr>
                <w:rFonts w:hint="eastAsia" w:ascii="宋体" w:hAnsi="宋体" w:cs="宋体"/>
                <w:color w:val="auto"/>
                <w:kern w:val="0"/>
                <w:sz w:val="24"/>
                <w:highlight w:val="none"/>
                <w:lang w:val="en-US" w:eastAsia="zh-CN"/>
              </w:rPr>
              <w:t>经历</w:t>
            </w:r>
            <w:r>
              <w:rPr>
                <w:rFonts w:hint="eastAsia" w:ascii="宋体" w:hAnsi="宋体" w:cs="宋体"/>
                <w:color w:val="auto"/>
                <w:kern w:val="0"/>
                <w:sz w:val="24"/>
                <w:highlight w:val="none"/>
              </w:rPr>
              <w:t>：</w:t>
            </w:r>
          </w:p>
          <w:p w14:paraId="7FABDA46">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ascii="宋体" w:hAnsi="宋体" w:cs="宋体"/>
                <w:color w:val="auto"/>
                <w:kern w:val="0"/>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年1月1日</w:t>
            </w:r>
            <w:r>
              <w:rPr>
                <w:rFonts w:hint="eastAsia" w:ascii="宋体" w:hAnsi="宋体" w:cs="宋体"/>
                <w:color w:val="auto"/>
                <w:kern w:val="0"/>
                <w:sz w:val="24"/>
                <w:highlight w:val="none"/>
              </w:rPr>
              <w:t>以来，拟派项目组人员中具有参与政府投资等类似项目概算审核经历的每个得</w:t>
            </w:r>
            <w:r>
              <w:rPr>
                <w:rFonts w:hint="eastAsia" w:ascii="宋体" w:hAnsi="宋体" w:cs="宋体"/>
                <w:color w:val="auto"/>
                <w:kern w:val="0"/>
                <w:sz w:val="24"/>
                <w:highlight w:val="none"/>
                <w:lang w:val="en-US" w:eastAsia="zh-CN"/>
              </w:rPr>
              <w:t>0.8</w:t>
            </w:r>
            <w:r>
              <w:rPr>
                <w:rFonts w:hint="eastAsia" w:ascii="宋体" w:hAnsi="宋体" w:cs="宋体"/>
                <w:color w:val="auto"/>
                <w:kern w:val="0"/>
                <w:sz w:val="24"/>
                <w:highlight w:val="none"/>
              </w:rPr>
              <w:t>分，满分</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分。</w:t>
            </w:r>
            <w:r>
              <w:rPr>
                <w:rFonts w:hint="eastAsia" w:ascii="宋体" w:hAnsi="宋体" w:cs="宋体"/>
                <w:color w:val="auto"/>
                <w:sz w:val="24"/>
                <w:highlight w:val="none"/>
              </w:rPr>
              <w:t>以上</w:t>
            </w:r>
            <w:r>
              <w:rPr>
                <w:rFonts w:hint="eastAsia" w:ascii="宋体" w:hAnsi="宋体" w:cs="宋体"/>
                <w:color w:val="auto"/>
                <w:sz w:val="24"/>
                <w:highlight w:val="none"/>
                <w:lang w:val="en-US" w:eastAsia="zh-CN"/>
              </w:rPr>
              <w:t>经历</w:t>
            </w:r>
            <w:r>
              <w:rPr>
                <w:rFonts w:hint="eastAsia" w:ascii="宋体" w:hAnsi="宋体" w:cs="宋体"/>
                <w:color w:val="auto"/>
                <w:sz w:val="24"/>
                <w:highlight w:val="none"/>
              </w:rPr>
              <w:t>需要委托单位盖公章证明（格式自拟）、委托合同及审核报告等相关材料，否则不得分。</w:t>
            </w:r>
            <w:r>
              <w:rPr>
                <w:rFonts w:hint="default" w:ascii="宋体" w:hAnsi="宋体" w:cs="宋体"/>
                <w:color w:val="auto"/>
                <w:sz w:val="24"/>
                <w:highlight w:val="none"/>
                <w:lang w:eastAsia="zh-CN"/>
                <w:woUserID w:val="1"/>
              </w:rPr>
              <w:t>内设处（科）室盖章的证明材料不得分。</w:t>
            </w:r>
          </w:p>
        </w:tc>
        <w:tc>
          <w:tcPr>
            <w:tcW w:w="840" w:type="dxa"/>
            <w:vAlign w:val="center"/>
          </w:tcPr>
          <w:p w14:paraId="67D2FF55">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4分</w:t>
            </w:r>
          </w:p>
        </w:tc>
        <w:tc>
          <w:tcPr>
            <w:tcW w:w="838" w:type="dxa"/>
            <w:vAlign w:val="center"/>
          </w:tcPr>
          <w:p w14:paraId="5095DBFD">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客观</w:t>
            </w:r>
          </w:p>
        </w:tc>
        <w:tc>
          <w:tcPr>
            <w:tcW w:w="1564" w:type="dxa"/>
            <w:vAlign w:val="center"/>
          </w:tcPr>
          <w:p w14:paraId="3C311F7C">
            <w:pPr>
              <w:spacing w:line="360" w:lineRule="auto"/>
              <w:jc w:val="center"/>
              <w:outlineLvl w:val="0"/>
              <w:rPr>
                <w:rFonts w:ascii="宋体" w:hAnsi="宋体" w:cs="宋体"/>
                <w:color w:val="auto"/>
                <w:sz w:val="24"/>
                <w:highlight w:val="none"/>
              </w:rPr>
            </w:pPr>
            <w:r>
              <w:rPr>
                <w:rFonts w:hint="eastAsia" w:asciiTheme="minorEastAsia" w:hAnsiTheme="minorEastAsia" w:eastAsiaTheme="minorEastAsia" w:cstheme="minorEastAsia"/>
                <w:b w:val="0"/>
                <w:bCs/>
                <w:color w:val="auto"/>
                <w:sz w:val="24"/>
                <w:highlight w:val="none"/>
              </w:rPr>
              <w:t>概算项目人员业绩</w:t>
            </w:r>
          </w:p>
        </w:tc>
      </w:tr>
      <w:tr w14:paraId="7212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39" w:type="dxa"/>
            <w:vAlign w:val="center"/>
          </w:tcPr>
          <w:p w14:paraId="1EC261A4">
            <w:pPr>
              <w:spacing w:line="360" w:lineRule="auto"/>
              <w:jc w:val="center"/>
              <w:outlineLvl w:val="0"/>
              <w:rPr>
                <w:rFonts w:ascii="宋体" w:hAnsi="宋体" w:cs="宋体"/>
                <w:color w:val="auto"/>
                <w:sz w:val="24"/>
                <w:highlight w:val="none"/>
              </w:rPr>
            </w:pPr>
            <w:r>
              <w:rPr>
                <w:rFonts w:ascii="宋体" w:hAnsi="宋体" w:cs="宋体"/>
                <w:color w:val="auto"/>
                <w:sz w:val="24"/>
                <w:highlight w:val="none"/>
              </w:rPr>
              <w:t>5</w:t>
            </w:r>
          </w:p>
        </w:tc>
        <w:tc>
          <w:tcPr>
            <w:tcW w:w="6511" w:type="dxa"/>
            <w:vAlign w:val="center"/>
          </w:tcPr>
          <w:p w14:paraId="050ED8CE">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57" w:rightChars="27"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结算审核</w:t>
            </w:r>
            <w:r>
              <w:rPr>
                <w:rFonts w:hint="eastAsia" w:ascii="宋体" w:hAnsi="宋体" w:eastAsia="宋体" w:cs="宋体"/>
                <w:color w:val="auto"/>
                <w:kern w:val="0"/>
                <w:sz w:val="24"/>
                <w:szCs w:val="24"/>
                <w:highlight w:val="none"/>
                <w:lang w:val="en-US" w:eastAsia="zh-CN"/>
              </w:rPr>
              <w:t>经历</w:t>
            </w:r>
            <w:r>
              <w:rPr>
                <w:rFonts w:hint="eastAsia" w:ascii="宋体" w:hAnsi="宋体" w:eastAsia="宋体" w:cs="宋体"/>
                <w:color w:val="auto"/>
                <w:kern w:val="0"/>
                <w:sz w:val="24"/>
                <w:szCs w:val="24"/>
                <w:highlight w:val="none"/>
              </w:rPr>
              <w:t>：</w:t>
            </w:r>
          </w:p>
          <w:p w14:paraId="52FB391E">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57" w:rightChars="27" w:firstLine="0" w:firstLineChars="0"/>
              <w:textAlignment w:val="auto"/>
              <w:rPr>
                <w:rFonts w:hint="eastAsia" w:ascii="宋体" w:hAnsi="宋体" w:eastAsia="宋体" w:cs="宋体"/>
                <w:color w:val="auto"/>
                <w:kern w:val="0"/>
                <w:sz w:val="24"/>
                <w:szCs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年1月1日</w:t>
            </w:r>
            <w:r>
              <w:rPr>
                <w:rFonts w:hint="eastAsia" w:ascii="宋体" w:hAnsi="宋体" w:eastAsia="宋体" w:cs="宋体"/>
                <w:color w:val="auto"/>
                <w:kern w:val="0"/>
                <w:sz w:val="24"/>
                <w:szCs w:val="24"/>
                <w:highlight w:val="none"/>
              </w:rPr>
              <w:t>以来，拟派项目组人员中具有参与政府投资等类似项目结算审核经历的每个得</w:t>
            </w:r>
            <w:r>
              <w:rPr>
                <w:rFonts w:hint="eastAsia" w:ascii="宋体" w:hAnsi="宋体" w:eastAsia="宋体" w:cs="宋体"/>
                <w:color w:val="auto"/>
                <w:kern w:val="0"/>
                <w:sz w:val="24"/>
                <w:szCs w:val="24"/>
                <w:highlight w:val="none"/>
                <w:lang w:val="en-US" w:eastAsia="zh-CN"/>
              </w:rPr>
              <w:t>0.8</w:t>
            </w:r>
            <w:r>
              <w:rPr>
                <w:rFonts w:hint="eastAsia" w:ascii="宋体" w:hAnsi="宋体" w:eastAsia="宋体" w:cs="宋体"/>
                <w:color w:val="auto"/>
                <w:kern w:val="0"/>
                <w:sz w:val="24"/>
                <w:szCs w:val="24"/>
                <w:highlight w:val="none"/>
              </w:rPr>
              <w:t>分，满分</w:t>
            </w: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w:t>
            </w:r>
          </w:p>
          <w:p w14:paraId="7C4ACF8C">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right="57" w:rightChars="27" w:firstLine="0" w:firstLineChars="0"/>
              <w:textAlignment w:val="auto"/>
              <w:rPr>
                <w:rFonts w:ascii="宋体" w:hAnsi="宋体" w:eastAsia="宋体" w:cs="宋体"/>
                <w:color w:val="auto"/>
                <w:kern w:val="0"/>
                <w:sz w:val="24"/>
                <w:szCs w:val="24"/>
                <w:highlight w:val="none"/>
              </w:rPr>
            </w:pPr>
            <w:r>
              <w:rPr>
                <w:rFonts w:hint="eastAsia" w:ascii="宋体" w:hAnsi="宋体" w:eastAsia="宋体" w:cs="宋体"/>
                <w:color w:val="auto"/>
                <w:sz w:val="24"/>
                <w:highlight w:val="none"/>
              </w:rPr>
              <w:t>以上</w:t>
            </w:r>
            <w:r>
              <w:rPr>
                <w:rFonts w:hint="eastAsia" w:ascii="宋体" w:hAnsi="宋体" w:eastAsia="宋体" w:cs="宋体"/>
                <w:color w:val="auto"/>
                <w:sz w:val="24"/>
                <w:highlight w:val="none"/>
                <w:lang w:val="en-US" w:eastAsia="zh-CN"/>
              </w:rPr>
              <w:t>经历</w:t>
            </w:r>
            <w:r>
              <w:rPr>
                <w:rFonts w:hint="eastAsia" w:ascii="宋体" w:hAnsi="宋体" w:eastAsia="宋体" w:cs="宋体"/>
                <w:color w:val="auto"/>
                <w:sz w:val="24"/>
                <w:highlight w:val="none"/>
              </w:rPr>
              <w:t>需要委托单位</w:t>
            </w:r>
            <w:r>
              <w:rPr>
                <w:rFonts w:hint="eastAsia" w:ascii="宋体" w:hAnsi="宋体" w:eastAsia="宋体" w:cs="宋体"/>
                <w:color w:val="auto"/>
                <w:kern w:val="0"/>
                <w:sz w:val="24"/>
                <w:szCs w:val="24"/>
                <w:highlight w:val="none"/>
              </w:rPr>
              <w:t>盖公章证明（格式自拟）、委托合同及审核报告等相关材料，否则不得分。</w:t>
            </w:r>
            <w:r>
              <w:rPr>
                <w:rFonts w:hint="default" w:ascii="宋体" w:hAnsi="宋体" w:eastAsia="宋体" w:cs="宋体"/>
                <w:color w:val="auto"/>
                <w:kern w:val="0"/>
                <w:sz w:val="24"/>
                <w:szCs w:val="24"/>
                <w:highlight w:val="none"/>
                <w:lang w:eastAsia="zh-CN"/>
              </w:rPr>
              <w:t>内设处（科）室盖章的证明材料不得分。</w:t>
            </w:r>
          </w:p>
        </w:tc>
        <w:tc>
          <w:tcPr>
            <w:tcW w:w="840" w:type="dxa"/>
            <w:vAlign w:val="center"/>
          </w:tcPr>
          <w:p w14:paraId="69542BCD">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4分</w:t>
            </w:r>
          </w:p>
        </w:tc>
        <w:tc>
          <w:tcPr>
            <w:tcW w:w="838" w:type="dxa"/>
            <w:vAlign w:val="center"/>
          </w:tcPr>
          <w:p w14:paraId="786EA676">
            <w:pPr>
              <w:spacing w:line="360" w:lineRule="auto"/>
              <w:jc w:val="center"/>
              <w:outlineLvl w:val="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客观</w:t>
            </w:r>
          </w:p>
        </w:tc>
        <w:tc>
          <w:tcPr>
            <w:tcW w:w="1564" w:type="dxa"/>
            <w:vAlign w:val="center"/>
          </w:tcPr>
          <w:p w14:paraId="5DC36976">
            <w:pPr>
              <w:spacing w:line="360" w:lineRule="auto"/>
              <w:jc w:val="center"/>
              <w:outlineLvl w:val="0"/>
              <w:rPr>
                <w:rFonts w:ascii="宋体" w:hAnsi="宋体" w:cs="宋体"/>
                <w:color w:val="auto"/>
                <w:sz w:val="24"/>
                <w:highlight w:val="none"/>
              </w:rPr>
            </w:pPr>
            <w:r>
              <w:rPr>
                <w:rFonts w:hint="eastAsia" w:asciiTheme="minorEastAsia" w:hAnsiTheme="minorEastAsia" w:eastAsiaTheme="minorEastAsia" w:cstheme="minorEastAsia"/>
                <w:b w:val="0"/>
                <w:bCs/>
                <w:color w:val="auto"/>
                <w:sz w:val="24"/>
                <w:highlight w:val="none"/>
              </w:rPr>
              <w:t>结算项目人员业绩</w:t>
            </w:r>
          </w:p>
        </w:tc>
      </w:tr>
      <w:tr w14:paraId="61DB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39" w:type="dxa"/>
            <w:vAlign w:val="center"/>
          </w:tcPr>
          <w:p w14:paraId="097E3647">
            <w:pPr>
              <w:spacing w:line="360" w:lineRule="auto"/>
              <w:jc w:val="center"/>
              <w:outlineLvl w:val="0"/>
              <w:rPr>
                <w:rFonts w:hint="eastAsia" w:ascii="宋体" w:hAnsi="宋体" w:eastAsia="宋体" w:cs="宋体"/>
                <w:strike w:val="0"/>
                <w:dstrike w:val="0"/>
                <w:color w:val="auto"/>
                <w:sz w:val="24"/>
                <w:highlight w:val="none"/>
                <w:lang w:val="en-US" w:eastAsia="zh-CN"/>
              </w:rPr>
            </w:pPr>
            <w:r>
              <w:rPr>
                <w:rFonts w:hint="eastAsia" w:ascii="宋体" w:hAnsi="宋体" w:cs="宋体"/>
                <w:strike w:val="0"/>
                <w:dstrike w:val="0"/>
                <w:color w:val="auto"/>
                <w:sz w:val="24"/>
                <w:highlight w:val="none"/>
                <w:lang w:val="en-US" w:eastAsia="zh-CN"/>
              </w:rPr>
              <w:t>6</w:t>
            </w:r>
          </w:p>
        </w:tc>
        <w:tc>
          <w:tcPr>
            <w:tcW w:w="6511" w:type="dxa"/>
            <w:vAlign w:val="center"/>
          </w:tcPr>
          <w:p w14:paraId="2AAAEF38">
            <w:pPr>
              <w:pStyle w:val="23"/>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宋体"/>
                <w:strike w:val="0"/>
                <w:dstrike w:val="0"/>
                <w:color w:val="auto"/>
                <w:highlight w:val="none"/>
              </w:rPr>
            </w:pPr>
            <w:r>
              <w:rPr>
                <w:rFonts w:hint="eastAsia" w:cs="宋体"/>
                <w:strike w:val="0"/>
                <w:dstrike w:val="0"/>
                <w:color w:val="auto"/>
                <w:highlight w:val="none"/>
              </w:rPr>
              <w:t>审核方案：</w:t>
            </w:r>
          </w:p>
          <w:p w14:paraId="7C102392">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eastAsia" w:cs="宋体"/>
                <w:strike w:val="0"/>
                <w:dstrike w:val="0"/>
                <w:color w:val="auto"/>
                <w:highlight w:val="none"/>
                <w:lang w:val="en-US" w:eastAsia="zh-CN"/>
              </w:rPr>
              <w:t>一、市政项目概算案例</w:t>
            </w:r>
          </w:p>
          <w:p w14:paraId="28DFC3D6">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项目概况 ：某市政道路项目，可研批复金额8.5亿，资金为企业融资自筹，其中建设工程费用5亿，工程建设其他费3亿（含征地拆迁费2.5亿），预备费0.25亿，建设期利息0.25亿。该项目南北走向，为城市次干道，建设内容包含长1.8km，宽36m道路，1座桥梁，以及东侧8m的景观绿化。现场情况：现状红线范围内为大片绿化乔木，有一条横穿河道，一条横穿道路（施工期间需临时保障通行），一处暗塘，拟新建景观绿化位置现有一条成品油管（地下埋深1.5m）；拟新建道路位置下有1条横穿DN300给水管，1条横穿4孔通信管沟，1条横穿12孔电力管沟；东侧红线外紧邻河道；西侧为已建厂房（红线外0.5m）。原地面黄海高程3.5m，从面层向下分别为杂填土0.3m，沙质粉土6m，地下水位高程2m。</w:t>
            </w:r>
          </w:p>
          <w:p w14:paraId="6D6AF1E0">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建设单位送审图纸情况：送审图纸涉及新建道路、景观绿化、桥梁、雨污水管道、路灯、智能交通及标志标线图纸，无其余图纸。设计道路±0.00标高对应黄海高程5.5m。道路断面为：2m人行道+3m非机动车道+1.5m绿化带+10.5m机动车道+6m中央绿化带+10.5m机动车道+1.5m绿化带+3m非机动车道+2m人行道。设计管位布置为：机动车道下为排水管DN600（PE管）管顶高程4.5m，污水管DN800（混凝土管道）管顶高程3.5m；非机动车道下为16+2孔电力管（混凝土管）管顶高程1.5m，8孔通信管（PVC管）管顶高程1m，DN600给水管管顶高程2m。机动车道路结构基层为80cm厚塘渣垫层，20cm厚级配碎石，40cm水泥稳定层，1cm乳化层，8cm中粒式沥青混凝土，4cm细粒式沥青混凝土。管线两侧全线采用Ⅳ型拉森钢板围护，桩长9m。桥梁部分围堰采用全幅钢板桩围挡。</w:t>
            </w:r>
          </w:p>
          <w:p w14:paraId="361E5FF4">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建设单位送审概算8.9亿，其中建设工程费用6亿（包含道路及人行道工程，桥梁工程，排水污水工程，电力管沟工程，给水工程，路灯工程，智能交通标志标线工程，企业门口道路改造，公共自行车棚、暗塘处理回填一项），工程建设其他费0.3亿（包含建设单位管理费，建设管理其他费设计费，勘察费，跟踪审核费，招标代理费，结算审核费，市政配套费，物探精探费，防洪评估费），建设工程前期费2.5亿（包含征地费，拆迁费，管线迁改工程费），预备费0.1亿。</w:t>
            </w:r>
          </w:p>
          <w:p w14:paraId="2533208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请结合概算审核要求，就以下几个方面提出审核内容及审核方式的意见：</w:t>
            </w:r>
          </w:p>
          <w:p w14:paraId="777E85A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1.针对该项目，分析建设单位提供的初步设计图纸是否完整、合理。要求分析合理、角度全面，满分4分</w:t>
            </w:r>
          </w:p>
          <w:p w14:paraId="008F04FC">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方案内容完整、与项目匹配好的得4分；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1F5BDCF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p w14:paraId="0BBB18D3">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2.针对上述设计情况，指出存在的问题并提出优化设计建议。要求分析合理、角度全面、优化设计建议切实可行，满分5分。</w:t>
            </w:r>
          </w:p>
          <w:p w14:paraId="6D734244">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方案内容完整、与项目匹配好的得5分；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未提供相关内容的不得分。</w:t>
            </w:r>
          </w:p>
          <w:p w14:paraId="149FB35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3.针对送审概算造价的组成是否合理，与可研相比是否有出入，提出意见。要求分析合理、角度全面、意见切实可行，满分4分。</w:t>
            </w:r>
          </w:p>
          <w:p w14:paraId="61CF543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方案内容完整、与项目匹配好的得4分；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3A5055A5">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p w14:paraId="58E4977E">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4.针对该项目制定拟派人员分工及概算审核方案。要求分工合理，方案全面、切实可行，满分4分。</w:t>
            </w:r>
          </w:p>
          <w:p w14:paraId="07C31092">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方案内容完整、与项目匹配好的得4分；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3905231E">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p w14:paraId="32E28113">
            <w:pPr>
              <w:pStyle w:val="23"/>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二、土建项目结算案例：</w:t>
            </w:r>
          </w:p>
          <w:p w14:paraId="25A51DE4">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项目概况：某房建项目概算批复造价6.5亿，其中建安工程费3亿，工程建设其他费0.4亿，建设工程前期费3亿，预备费0.1亿。于2019年6月30日发布施工招标公告，建设单位挂网招标图（未图审）及招标预算为2.8亿，招标控制价为2.5亿。7月20日开标，由某B施工单位中标，中标价2.2亿，计划工期36个月，按清单综合单价结算，按工期的前80%月份平均价进行补差，补差风险及调整规则依据杭建市发〔2018〕579号执行。其中涉及无价材料30项，总计金额0.3亿。</w:t>
            </w:r>
          </w:p>
          <w:p w14:paraId="1404FAB4">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由于征地拆迁进度原因，实际开工时间为2020年9月17</w:t>
            </w:r>
            <w:r>
              <w:rPr>
                <w:rFonts w:hint="eastAsia" w:cs="宋体"/>
                <w:strike w:val="0"/>
                <w:dstrike w:val="0"/>
                <w:color w:val="auto"/>
                <w:highlight w:val="none"/>
                <w:lang w:val="en-US" w:eastAsia="zh-CN"/>
              </w:rPr>
              <w:t>日</w:t>
            </w:r>
            <w:r>
              <w:rPr>
                <w:rFonts w:hint="default" w:cs="宋体"/>
                <w:strike w:val="0"/>
                <w:dstrike w:val="0"/>
                <w:color w:val="auto"/>
                <w:highlight w:val="none"/>
                <w:lang w:val="en-US" w:eastAsia="zh-CN"/>
              </w:rPr>
              <w:t>。开工前建设单位提供了最新的图审图纸。</w:t>
            </w:r>
          </w:p>
          <w:p w14:paraId="0CF97A9C">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项目实施过程中，两次停工，一次因拆迁进度问题导致关键线路延后60天，一次因地下障碍物原因导致非关键线路延后20天。现场施工单位少做了一道外立面抗裂砂浆20mm厚，且少做一道屋面细石砼20mm厚。2024年3月20日，该项目竣工验收。</w:t>
            </w:r>
          </w:p>
          <w:p w14:paraId="0EA0ACAB">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本项目总计两张变更单：2024年8月因业主要求，建设单位发起联系单要求施工单位增加3个钢结构垃圾站点，50万元；2024年9月因实际使用功能改变，建设单位发起联系单要求施工单位增设出入口，并对出入口外的现状市政道路进行改造，100万元。</w:t>
            </w:r>
          </w:p>
          <w:p w14:paraId="57D89F4D">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假设工程量计算无偏差，2024年12月25日，中标单位向建设单位报送审结算造价2.95亿（包括施工图重新计算2.5亿+联系单150万元+材料调差300万元）。</w:t>
            </w:r>
          </w:p>
          <w:p w14:paraId="24F214FB">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根据上述情况，就以下几个方面提出审核质量和进度把控的落实举措：</w:t>
            </w:r>
          </w:p>
          <w:p w14:paraId="6928984A">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s="宋体"/>
                <w:strike w:val="0"/>
                <w:dstrike w:val="0"/>
                <w:color w:val="auto"/>
                <w:highlight w:val="none"/>
                <w:lang w:val="en-US" w:eastAsia="zh-CN"/>
              </w:rPr>
            </w:pPr>
            <w:r>
              <w:rPr>
                <w:rFonts w:hint="eastAsia" w:cs="宋体"/>
                <w:strike w:val="0"/>
                <w:dstrike w:val="0"/>
                <w:color w:val="auto"/>
                <w:highlight w:val="none"/>
                <w:lang w:val="en-US" w:eastAsia="zh-CN"/>
              </w:rPr>
              <w:t>1.</w:t>
            </w:r>
            <w:r>
              <w:rPr>
                <w:rFonts w:hint="default" w:cs="宋体"/>
                <w:strike w:val="0"/>
                <w:dstrike w:val="0"/>
                <w:color w:val="auto"/>
                <w:highlight w:val="none"/>
                <w:lang w:val="en-US" w:eastAsia="zh-CN"/>
              </w:rPr>
              <w:t>本项目中标金额为2.2亿，但结算送审时为2.5亿，请对该部分金额差异进行分析，并提出相关完善举措。要求分析合理，角度全面，措施切实可行，满分</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p>
          <w:p w14:paraId="60D400A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方案内容基本完整、与项目匹配度较好的得</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方案内容严重欠缺、与项目匹配度差的得1分；未提供相关内容的不得分。</w:t>
            </w:r>
          </w:p>
          <w:p w14:paraId="4CFC0896">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2.本项目竣工验收，但现场做法存在与图纸不一致的地方，请问应该如何处理，请提出相关完善举措。要求分析合理，角度全面，措施切实可行，满分4分。</w:t>
            </w:r>
          </w:p>
          <w:p w14:paraId="2EB04E4C">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方案内容完整、与项目匹配好的得4分；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726EF0AD">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p w14:paraId="14C97A2E">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3.材料调差部分，请基于实际情况分析调差方式、月份，结算造价中的联系单是否应该计取，如何完善审核资料。要求分析合理，角度全面，措施切实可行，满分5分。</w:t>
            </w:r>
          </w:p>
          <w:p w14:paraId="7D6790A6">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方案内容基本完整、与项目匹配度较好的得5分；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方案内容严重欠缺、与项目匹配度差的得1分；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未提供相关内容的不得分。</w:t>
            </w:r>
          </w:p>
          <w:p w14:paraId="048DD3FB">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 xml:space="preserve">    4.本项目涉及无价材料部分较多，请就无价材料价格的确定，谈谈从流程到制度应该如何完善。要求分析合理，角度全面，措施切实可行，满分3分。</w:t>
            </w:r>
          </w:p>
          <w:p w14:paraId="6A3892B0">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方案内容完整、与项目匹配好的得3分；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方案内容基本完整、与项目匹配度较好的得2分；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方案内容基本完整、与项目匹配度一般的得1.5分；</w:t>
            </w:r>
            <w:r>
              <w:rPr>
                <w:rFonts w:hint="default" w:cs="宋体"/>
                <w:strike w:val="0"/>
                <w:dstrike w:val="0"/>
                <w:color w:val="auto"/>
                <w:highlight w:val="none"/>
                <w:lang w:val="en-US" w:eastAsia="zh-CN"/>
              </w:rPr>
              <w:br w:type="textWrapping"/>
            </w:r>
            <w:r>
              <w:rPr>
                <w:rFonts w:hint="default" w:cs="宋体"/>
                <w:strike w:val="0"/>
                <w:dstrike w:val="0"/>
                <w:color w:val="auto"/>
                <w:highlight w:val="none"/>
                <w:lang w:val="en-US" w:eastAsia="zh-CN"/>
              </w:rPr>
              <w:t>方案内容存在欠缺、与项目匹配度较差的得1分；</w:t>
            </w:r>
          </w:p>
          <w:p w14:paraId="632504A7">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cs="宋体"/>
                <w:strike w:val="0"/>
                <w:dstrike w:val="0"/>
                <w:color w:val="auto"/>
                <w:highlight w:val="none"/>
                <w:lang w:val="en-US" w:eastAsia="zh-CN"/>
              </w:rPr>
            </w:pPr>
            <w:r>
              <w:rPr>
                <w:rFonts w:hint="default" w:cs="宋体"/>
                <w:strike w:val="0"/>
                <w:dstrike w:val="0"/>
                <w:color w:val="auto"/>
                <w:highlight w:val="none"/>
                <w:lang w:val="en-US" w:eastAsia="zh-CN"/>
              </w:rPr>
              <w:t>未提供相关内容的不得分。</w:t>
            </w:r>
          </w:p>
        </w:tc>
        <w:tc>
          <w:tcPr>
            <w:tcW w:w="840" w:type="dxa"/>
            <w:vAlign w:val="center"/>
          </w:tcPr>
          <w:p w14:paraId="6F8D2E45">
            <w:pPr>
              <w:spacing w:line="360" w:lineRule="auto"/>
              <w:jc w:val="center"/>
              <w:outlineLvl w:val="0"/>
              <w:rPr>
                <w:rFonts w:hint="default" w:ascii="宋体" w:hAnsi="宋体" w:eastAsia="宋体" w:cs="宋体"/>
                <w:strike w:val="0"/>
                <w:dstrike w:val="0"/>
                <w:color w:val="auto"/>
                <w:sz w:val="24"/>
                <w:highlight w:val="none"/>
                <w:lang w:val="en-US" w:eastAsia="zh-CN"/>
              </w:rPr>
            </w:pPr>
            <w:r>
              <w:rPr>
                <w:rFonts w:hint="eastAsia" w:ascii="宋体" w:hAnsi="宋体" w:cs="宋体"/>
                <w:strike w:val="0"/>
                <w:dstrike w:val="0"/>
                <w:color w:val="auto"/>
                <w:sz w:val="24"/>
                <w:highlight w:val="none"/>
                <w:lang w:val="en-US" w:eastAsia="zh-CN"/>
              </w:rPr>
              <w:t>33分</w:t>
            </w:r>
          </w:p>
        </w:tc>
        <w:tc>
          <w:tcPr>
            <w:tcW w:w="838" w:type="dxa"/>
            <w:vAlign w:val="center"/>
          </w:tcPr>
          <w:p w14:paraId="5E78D9FB">
            <w:pPr>
              <w:spacing w:line="360" w:lineRule="auto"/>
              <w:jc w:val="center"/>
              <w:outlineLvl w:val="0"/>
              <w:rPr>
                <w:rFonts w:hint="eastAsia" w:ascii="宋体" w:hAnsi="宋体" w:eastAsia="宋体" w:cs="宋体"/>
                <w:strike w:val="0"/>
                <w:dstrike w:val="0"/>
                <w:color w:val="auto"/>
                <w:sz w:val="24"/>
                <w:highlight w:val="none"/>
                <w:lang w:val="en-US" w:eastAsia="zh-CN"/>
              </w:rPr>
            </w:pPr>
            <w:r>
              <w:rPr>
                <w:rFonts w:hint="eastAsia" w:ascii="宋体" w:hAnsi="宋体" w:cs="宋体"/>
                <w:strike w:val="0"/>
                <w:dstrike w:val="0"/>
                <w:color w:val="auto"/>
                <w:sz w:val="24"/>
                <w:highlight w:val="none"/>
                <w:lang w:val="en-US" w:eastAsia="zh-CN"/>
              </w:rPr>
              <w:t>主观</w:t>
            </w:r>
          </w:p>
        </w:tc>
        <w:tc>
          <w:tcPr>
            <w:tcW w:w="1564" w:type="dxa"/>
            <w:vAlign w:val="center"/>
          </w:tcPr>
          <w:p w14:paraId="70F90511">
            <w:pPr>
              <w:spacing w:line="360" w:lineRule="auto"/>
              <w:jc w:val="center"/>
              <w:outlineLvl w:val="0"/>
              <w:rPr>
                <w:rFonts w:ascii="宋体" w:hAnsi="宋体" w:cs="宋体"/>
                <w:strike w:val="0"/>
                <w:dstrike w:val="0"/>
                <w:color w:val="auto"/>
                <w:sz w:val="24"/>
                <w:highlight w:val="none"/>
              </w:rPr>
            </w:pPr>
            <w:r>
              <w:rPr>
                <w:rFonts w:hint="eastAsia" w:asciiTheme="minorEastAsia" w:hAnsiTheme="minorEastAsia" w:eastAsiaTheme="minorEastAsia" w:cstheme="minorEastAsia"/>
                <w:b w:val="0"/>
                <w:bCs/>
                <w:strike w:val="0"/>
                <w:dstrike w:val="0"/>
                <w:color w:val="auto"/>
                <w:sz w:val="24"/>
                <w:highlight w:val="none"/>
              </w:rPr>
              <w:t>审核方案</w:t>
            </w:r>
          </w:p>
        </w:tc>
      </w:tr>
      <w:tr w14:paraId="624F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shd w:val="clear" w:color="auto" w:fill="auto"/>
            <w:vAlign w:val="center"/>
          </w:tcPr>
          <w:p w14:paraId="36507D29">
            <w:pPr>
              <w:spacing w:line="360" w:lineRule="auto"/>
              <w:jc w:val="center"/>
              <w:outlineLvl w:val="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6511" w:type="dxa"/>
            <w:shd w:val="clear" w:color="auto" w:fill="auto"/>
            <w:vAlign w:val="center"/>
          </w:tcPr>
          <w:p w14:paraId="1BC1CE8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审核进度：</w:t>
            </w:r>
          </w:p>
          <w:p w14:paraId="6EF328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针对项目审核的进度要求，提出审核进度控制机制：要求审核进度控制机制内容完整、表述明了、合理且可行</w:t>
            </w:r>
            <w:r>
              <w:rPr>
                <w:rFonts w:hint="eastAsia" w:ascii="宋体" w:hAnsi="宋体" w:cs="宋体"/>
                <w:color w:val="auto"/>
                <w:sz w:val="24"/>
                <w:szCs w:val="24"/>
                <w:highlight w:val="none"/>
                <w:lang w:val="en-US" w:eastAsia="zh-CN"/>
              </w:rPr>
              <w:t>，满分4分。</w:t>
            </w:r>
          </w:p>
          <w:p w14:paraId="4D776BD8">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方案内容基本完整、与项目匹配度较好的得3分；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14066955">
            <w:pPr>
              <w:pStyle w:val="63"/>
              <w:rPr>
                <w:rFonts w:hint="eastAsia"/>
                <w:color w:val="auto"/>
                <w:highlight w:val="none"/>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p w14:paraId="6F40C0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针对影响项目审核进度问题的主要因素提出相应解决措施：</w:t>
            </w:r>
          </w:p>
          <w:p w14:paraId="2C6128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ascii="宋体" w:hAnsi="宋体" w:cs="宋体"/>
                <w:color w:val="auto"/>
                <w:sz w:val="24"/>
                <w:szCs w:val="24"/>
                <w:highlight w:val="none"/>
              </w:rPr>
              <w:t>要求解决措施内容完整、表述明了、合理且可行</w:t>
            </w:r>
            <w:r>
              <w:rPr>
                <w:rFonts w:hint="eastAsia" w:ascii="宋体" w:hAnsi="宋体" w:cs="宋体"/>
                <w:color w:val="auto"/>
                <w:sz w:val="24"/>
                <w:szCs w:val="24"/>
                <w:highlight w:val="none"/>
                <w:lang w:val="en-US" w:eastAsia="zh-CN"/>
              </w:rPr>
              <w:t>，满分3分。</w:t>
            </w:r>
          </w:p>
          <w:p w14:paraId="1105B906">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3</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方案内容基本完整、与项目匹配度一般的得1.5分；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42CA95A9">
            <w:pPr>
              <w:pStyle w:val="63"/>
              <w:rPr>
                <w:rFonts w:hint="eastAsia"/>
                <w:color w:val="auto"/>
                <w:highlight w:val="none"/>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p w14:paraId="4A931AD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通过合理组织分工与外部协调,提出如何加快审核进度的方案：</w:t>
            </w:r>
          </w:p>
          <w:p w14:paraId="60EE86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ascii="宋体" w:hAnsi="宋体" w:cs="宋体"/>
                <w:color w:val="auto"/>
                <w:sz w:val="24"/>
                <w:szCs w:val="24"/>
                <w:highlight w:val="none"/>
              </w:rPr>
              <w:t>要求方案内容完整、表述明了、合理且可行的</w:t>
            </w:r>
            <w:r>
              <w:rPr>
                <w:rFonts w:hint="eastAsia" w:ascii="宋体" w:hAnsi="宋体" w:cs="宋体"/>
                <w:color w:val="auto"/>
                <w:sz w:val="24"/>
                <w:szCs w:val="24"/>
                <w:highlight w:val="none"/>
                <w:lang w:val="en-US" w:eastAsia="zh-CN"/>
              </w:rPr>
              <w:t>，满分3分。</w:t>
            </w:r>
          </w:p>
          <w:p w14:paraId="6138E976">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3</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方案内容基本完整、与项目匹配度一般的得1.5分；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558E7FEA">
            <w:pPr>
              <w:pStyle w:val="63"/>
              <w:rPr>
                <w:rFonts w:hint="default" w:ascii="宋体" w:hAnsi="宋体" w:cs="宋体"/>
                <w:color w:val="auto"/>
                <w:highlight w:val="none"/>
                <w:lang w:val="en-US"/>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tc>
        <w:tc>
          <w:tcPr>
            <w:tcW w:w="840" w:type="dxa"/>
            <w:shd w:val="clear" w:color="auto" w:fill="auto"/>
            <w:vAlign w:val="center"/>
          </w:tcPr>
          <w:p w14:paraId="07AEB2FA">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10分</w:t>
            </w:r>
          </w:p>
        </w:tc>
        <w:tc>
          <w:tcPr>
            <w:tcW w:w="838" w:type="dxa"/>
            <w:shd w:val="clear" w:color="auto" w:fill="auto"/>
            <w:vAlign w:val="center"/>
          </w:tcPr>
          <w:p w14:paraId="7C0461E2">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主观</w:t>
            </w:r>
          </w:p>
        </w:tc>
        <w:tc>
          <w:tcPr>
            <w:tcW w:w="1564" w:type="dxa"/>
            <w:shd w:val="clear" w:color="auto" w:fill="auto"/>
            <w:vAlign w:val="center"/>
          </w:tcPr>
          <w:p w14:paraId="70DE583A">
            <w:pPr>
              <w:spacing w:line="360" w:lineRule="auto"/>
              <w:jc w:val="center"/>
              <w:outlineLvl w:val="0"/>
              <w:rPr>
                <w:rFonts w:ascii="宋体" w:hAnsi="宋体" w:cs="宋体"/>
                <w:color w:val="auto"/>
                <w:sz w:val="24"/>
                <w:highlight w:val="none"/>
              </w:rPr>
            </w:pPr>
            <w:r>
              <w:rPr>
                <w:rFonts w:hint="eastAsia" w:asciiTheme="minorEastAsia" w:hAnsiTheme="minorEastAsia" w:eastAsiaTheme="minorEastAsia" w:cstheme="minorEastAsia"/>
                <w:b w:val="0"/>
                <w:bCs/>
                <w:color w:val="auto"/>
                <w:sz w:val="24"/>
                <w:highlight w:val="none"/>
              </w:rPr>
              <w:t>审核进度</w:t>
            </w:r>
          </w:p>
        </w:tc>
      </w:tr>
      <w:tr w14:paraId="1B14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Align w:val="center"/>
          </w:tcPr>
          <w:p w14:paraId="38B7DA72">
            <w:pPr>
              <w:spacing w:line="360" w:lineRule="auto"/>
              <w:jc w:val="center"/>
              <w:outlineLvl w:val="0"/>
              <w:rPr>
                <w:rFonts w:ascii="宋体" w:hAnsi="宋体" w:cs="宋体"/>
                <w:color w:val="auto"/>
                <w:sz w:val="24"/>
                <w:highlight w:val="none"/>
              </w:rPr>
            </w:pPr>
            <w:r>
              <w:rPr>
                <w:rFonts w:ascii="宋体" w:hAnsi="宋体" w:cs="宋体"/>
                <w:color w:val="auto"/>
                <w:sz w:val="24"/>
                <w:highlight w:val="none"/>
              </w:rPr>
              <w:t>8</w:t>
            </w:r>
          </w:p>
        </w:tc>
        <w:tc>
          <w:tcPr>
            <w:tcW w:w="6511" w:type="dxa"/>
            <w:vAlign w:val="center"/>
          </w:tcPr>
          <w:p w14:paraId="70957AC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审核质量：</w:t>
            </w:r>
          </w:p>
          <w:p w14:paraId="4061975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color w:val="auto"/>
                <w:sz w:val="24"/>
                <w:szCs w:val="24"/>
                <w:highlight w:val="none"/>
                <w:lang w:val="en-US" w:eastAsia="zh-CN"/>
              </w:rPr>
              <w:t>1.审核的质控重点与方法：要求审核的质控重点与方法内容完整、表述明了、合理且可行</w:t>
            </w:r>
            <w:r>
              <w:rPr>
                <w:rFonts w:hint="eastAsia" w:ascii="宋体" w:hAnsi="宋体" w:cs="宋体"/>
                <w:color w:val="auto"/>
                <w:sz w:val="24"/>
                <w:szCs w:val="24"/>
                <w:highlight w:val="none"/>
                <w:lang w:val="en-US" w:eastAsia="zh-CN"/>
              </w:rPr>
              <w:t>，满分4分。</w:t>
            </w:r>
          </w:p>
          <w:p w14:paraId="0DCED924">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方案内容基本完整、与项目匹配度较好的得3分；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4C792990">
            <w:pPr>
              <w:pStyle w:val="63"/>
              <w:rPr>
                <w:rFonts w:hint="eastAsia"/>
                <w:color w:val="auto"/>
                <w:sz w:val="24"/>
                <w:szCs w:val="24"/>
                <w:highlight w:val="none"/>
                <w:lang w:val="en-US" w:eastAsia="zh-CN"/>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p w14:paraId="32F5C0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color w:val="auto"/>
                <w:sz w:val="24"/>
                <w:szCs w:val="24"/>
                <w:highlight w:val="none"/>
                <w:lang w:val="en-US" w:eastAsia="zh-CN"/>
              </w:rPr>
              <w:t>2.质控管理体系：要求质控管理体系内容具体、合理、可操作性较强</w:t>
            </w:r>
            <w:r>
              <w:rPr>
                <w:rFonts w:hint="eastAsia" w:ascii="宋体" w:hAnsi="宋体" w:cs="宋体"/>
                <w:color w:val="auto"/>
                <w:sz w:val="24"/>
                <w:szCs w:val="24"/>
                <w:highlight w:val="none"/>
                <w:lang w:val="en-US" w:eastAsia="zh-CN"/>
              </w:rPr>
              <w:t>，满分3分。</w:t>
            </w:r>
          </w:p>
          <w:p w14:paraId="20E242EA">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3</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方案内容基本完整、与项目匹配度一般的得1.5分；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25DC6BE1">
            <w:pPr>
              <w:pStyle w:val="63"/>
              <w:rPr>
                <w:rFonts w:hint="eastAsia"/>
                <w:color w:val="auto"/>
                <w:sz w:val="24"/>
                <w:szCs w:val="24"/>
                <w:highlight w:val="none"/>
                <w:lang w:val="en-US" w:eastAsia="zh-CN"/>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p w14:paraId="4EFA2F5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color w:val="auto"/>
                <w:sz w:val="24"/>
                <w:szCs w:val="24"/>
                <w:highlight w:val="none"/>
                <w:lang w:val="en-US" w:eastAsia="zh-CN"/>
              </w:rPr>
              <w:t>3.针对项目审核中发现的重大质量问题，提出解决方案：要求问题分析到位、解决方案可操作性强</w:t>
            </w:r>
            <w:r>
              <w:rPr>
                <w:rFonts w:hint="eastAsia" w:ascii="宋体" w:hAnsi="宋体" w:cs="宋体"/>
                <w:color w:val="auto"/>
                <w:sz w:val="24"/>
                <w:szCs w:val="24"/>
                <w:highlight w:val="none"/>
                <w:lang w:val="en-US" w:eastAsia="zh-CN"/>
              </w:rPr>
              <w:t>，满分3分。</w:t>
            </w:r>
          </w:p>
          <w:p w14:paraId="2F5E3EB9">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3</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方案内容基本完整、与项目匹配度一般的得1.5分；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50D2EF2B">
            <w:pPr>
              <w:pStyle w:val="63"/>
              <w:rPr>
                <w:rFonts w:hint="default" w:cs="宋体"/>
                <w:color w:val="auto"/>
                <w:kern w:val="0"/>
                <w:sz w:val="24"/>
                <w:highlight w:val="none"/>
                <w:lang w:val="en-US" w:eastAsia="zh-CN"/>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tc>
        <w:tc>
          <w:tcPr>
            <w:tcW w:w="840" w:type="dxa"/>
            <w:vAlign w:val="center"/>
          </w:tcPr>
          <w:p w14:paraId="0F0B7F73">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10分</w:t>
            </w:r>
          </w:p>
        </w:tc>
        <w:tc>
          <w:tcPr>
            <w:tcW w:w="838" w:type="dxa"/>
            <w:vAlign w:val="center"/>
          </w:tcPr>
          <w:p w14:paraId="657AE22A">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lang w:val="en-US" w:eastAsia="zh-CN"/>
              </w:rPr>
              <w:t>主</w:t>
            </w:r>
            <w:r>
              <w:rPr>
                <w:rFonts w:hint="eastAsia" w:ascii="宋体" w:hAnsi="宋体" w:cs="宋体"/>
                <w:color w:val="auto"/>
                <w:sz w:val="24"/>
                <w:highlight w:val="none"/>
              </w:rPr>
              <w:t>观</w:t>
            </w:r>
          </w:p>
        </w:tc>
        <w:tc>
          <w:tcPr>
            <w:tcW w:w="1564" w:type="dxa"/>
            <w:vAlign w:val="center"/>
          </w:tcPr>
          <w:p w14:paraId="1EB97790">
            <w:pPr>
              <w:spacing w:line="360" w:lineRule="auto"/>
              <w:jc w:val="center"/>
              <w:outlineLvl w:val="0"/>
              <w:rPr>
                <w:rFonts w:hint="eastAsia" w:ascii="宋体" w:hAnsi="宋体" w:eastAsia="宋体" w:cs="宋体"/>
                <w:color w:val="auto"/>
                <w:sz w:val="24"/>
                <w:highlight w:val="none"/>
                <w:lang w:eastAsia="zh-CN"/>
              </w:rPr>
            </w:pPr>
            <w:r>
              <w:rPr>
                <w:rFonts w:hint="eastAsia" w:asciiTheme="minorEastAsia" w:hAnsiTheme="minorEastAsia" w:eastAsiaTheme="minorEastAsia" w:cstheme="minorEastAsia"/>
                <w:b w:val="0"/>
                <w:bCs/>
                <w:color w:val="auto"/>
                <w:sz w:val="24"/>
                <w:highlight w:val="none"/>
                <w:lang w:eastAsia="zh-CN"/>
              </w:rPr>
              <w:t>审核质量</w:t>
            </w:r>
          </w:p>
        </w:tc>
      </w:tr>
      <w:tr w14:paraId="74AC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739" w:type="dxa"/>
            <w:vAlign w:val="center"/>
          </w:tcPr>
          <w:p w14:paraId="08EE5F5C">
            <w:pPr>
              <w:spacing w:line="360" w:lineRule="auto"/>
              <w:jc w:val="center"/>
              <w:outlineLvl w:val="0"/>
              <w:rPr>
                <w:rFonts w:ascii="宋体" w:hAnsi="宋体" w:cs="宋体"/>
                <w:color w:val="auto"/>
                <w:sz w:val="24"/>
                <w:highlight w:val="none"/>
              </w:rPr>
            </w:pPr>
            <w:r>
              <w:rPr>
                <w:rFonts w:ascii="宋体" w:hAnsi="宋体" w:cs="宋体"/>
                <w:color w:val="auto"/>
                <w:sz w:val="24"/>
                <w:highlight w:val="none"/>
              </w:rPr>
              <w:t>9</w:t>
            </w:r>
          </w:p>
        </w:tc>
        <w:tc>
          <w:tcPr>
            <w:tcW w:w="6511" w:type="dxa"/>
            <w:vAlign w:val="center"/>
          </w:tcPr>
          <w:p w14:paraId="21F085CB">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ascii="宋体" w:hAnsi="宋体" w:cs="宋体"/>
                <w:color w:val="auto"/>
                <w:kern w:val="0"/>
                <w:sz w:val="24"/>
                <w:highlight w:val="none"/>
              </w:rPr>
            </w:pPr>
            <w:r>
              <w:rPr>
                <w:rFonts w:hint="eastAsia" w:ascii="宋体" w:hAnsi="宋体" w:eastAsia="宋体" w:cs="Times New Roman"/>
                <w:color w:val="auto"/>
                <w:kern w:val="2"/>
                <w:sz w:val="24"/>
                <w:szCs w:val="24"/>
                <w:highlight w:val="none"/>
                <w:lang w:val="en-US" w:eastAsia="zh-CN" w:bidi="ar-SA"/>
              </w:rPr>
              <w:t>供应商提供审核承诺误差率承诺书，其中：概算审核误差率承诺：3%；结算审核误差率承诺：1%，满分2分。如不满足征集人及采购人</w:t>
            </w:r>
            <w:r>
              <w:rPr>
                <w:rFonts w:hint="eastAsia" w:ascii="宋体" w:hAnsi="宋体" w:cs="Times New Roman"/>
                <w:color w:val="auto"/>
                <w:kern w:val="2"/>
                <w:sz w:val="24"/>
                <w:szCs w:val="24"/>
                <w:highlight w:val="none"/>
                <w:lang w:val="en-US" w:eastAsia="zh-CN" w:bidi="ar-SA"/>
              </w:rPr>
              <w:t>要求，</w:t>
            </w:r>
            <w:r>
              <w:rPr>
                <w:rFonts w:hint="eastAsia" w:ascii="宋体" w:hAnsi="宋体" w:eastAsia="宋体" w:cs="Times New Roman"/>
                <w:color w:val="auto"/>
                <w:kern w:val="2"/>
                <w:sz w:val="24"/>
                <w:szCs w:val="24"/>
                <w:highlight w:val="none"/>
                <w:lang w:val="en-US" w:eastAsia="zh-CN" w:bidi="ar-SA"/>
              </w:rPr>
              <w:t>可无条件取消入围资格</w:t>
            </w:r>
            <w:r>
              <w:rPr>
                <w:rFonts w:hint="eastAsia" w:ascii="宋体" w:hAnsi="宋体" w:cs="Times New Roman"/>
                <w:color w:val="auto"/>
                <w:kern w:val="2"/>
                <w:sz w:val="24"/>
                <w:szCs w:val="24"/>
                <w:highlight w:val="none"/>
                <w:lang w:val="en-US" w:eastAsia="zh-CN" w:bidi="ar-SA"/>
              </w:rPr>
              <w:t>。</w:t>
            </w:r>
          </w:p>
        </w:tc>
        <w:tc>
          <w:tcPr>
            <w:tcW w:w="840" w:type="dxa"/>
            <w:vAlign w:val="center"/>
          </w:tcPr>
          <w:p w14:paraId="627D7578">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2分</w:t>
            </w:r>
          </w:p>
        </w:tc>
        <w:tc>
          <w:tcPr>
            <w:tcW w:w="838" w:type="dxa"/>
            <w:vAlign w:val="center"/>
          </w:tcPr>
          <w:p w14:paraId="389395DC">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客观</w:t>
            </w:r>
          </w:p>
        </w:tc>
        <w:tc>
          <w:tcPr>
            <w:tcW w:w="1564" w:type="dxa"/>
            <w:vAlign w:val="center"/>
          </w:tcPr>
          <w:p w14:paraId="4C825C0F">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rPr>
              <w:t>审核误差率</w:t>
            </w:r>
          </w:p>
        </w:tc>
      </w:tr>
      <w:tr w14:paraId="736D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39" w:type="dxa"/>
            <w:vAlign w:val="center"/>
          </w:tcPr>
          <w:p w14:paraId="55CEF4DF">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6511" w:type="dxa"/>
            <w:vAlign w:val="center"/>
          </w:tcPr>
          <w:p w14:paraId="67492A0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投标人驻场服务承诺：</w:t>
            </w:r>
          </w:p>
          <w:p w14:paraId="3F9BDFF8">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ascii="宋体" w:hAnsi="宋体" w:cs="宋体"/>
                <w:color w:val="auto"/>
                <w:kern w:val="0"/>
                <w:sz w:val="24"/>
                <w:highlight w:val="none"/>
              </w:rPr>
            </w:pPr>
            <w:r>
              <w:rPr>
                <w:rFonts w:hint="eastAsia" w:ascii="宋体" w:hAnsi="宋体" w:cs="宋体"/>
                <w:color w:val="auto"/>
                <w:kern w:val="0"/>
                <w:sz w:val="24"/>
                <w:highlight w:val="none"/>
              </w:rPr>
              <w:t>投标人承诺“如</w:t>
            </w:r>
            <w:r>
              <w:rPr>
                <w:rFonts w:hint="eastAsia" w:ascii="宋体" w:hAnsi="宋体" w:cs="宋体"/>
                <w:color w:val="auto"/>
                <w:kern w:val="0"/>
                <w:sz w:val="24"/>
                <w:highlight w:val="none"/>
                <w:lang w:val="en-US" w:eastAsia="zh-CN"/>
              </w:rPr>
              <w:t>征集人</w:t>
            </w:r>
            <w:r>
              <w:rPr>
                <w:rFonts w:hint="eastAsia" w:ascii="宋体" w:hAnsi="宋体" w:cs="宋体"/>
                <w:color w:val="auto"/>
                <w:kern w:val="0"/>
                <w:sz w:val="24"/>
                <w:highlight w:val="none"/>
              </w:rPr>
              <w:t>因造价</w:t>
            </w:r>
            <w:r>
              <w:rPr>
                <w:rFonts w:hint="eastAsia" w:ascii="宋体" w:hAnsi="宋体" w:cs="宋体"/>
                <w:color w:val="auto"/>
                <w:kern w:val="0"/>
                <w:sz w:val="24"/>
                <w:highlight w:val="none"/>
                <w:lang w:val="en-US" w:eastAsia="zh-CN"/>
              </w:rPr>
              <w:t>审核</w:t>
            </w:r>
            <w:r>
              <w:rPr>
                <w:rFonts w:hint="eastAsia" w:ascii="宋体" w:hAnsi="宋体" w:cs="宋体"/>
                <w:color w:val="auto"/>
                <w:kern w:val="0"/>
                <w:sz w:val="24"/>
                <w:highlight w:val="none"/>
              </w:rPr>
              <w:t>工作需要，可按照</w:t>
            </w:r>
            <w:r>
              <w:rPr>
                <w:rFonts w:hint="eastAsia" w:ascii="宋体" w:hAnsi="宋体" w:cs="宋体"/>
                <w:color w:val="auto"/>
                <w:kern w:val="0"/>
                <w:sz w:val="24"/>
                <w:highlight w:val="none"/>
                <w:lang w:eastAsia="zh-CN"/>
              </w:rPr>
              <w:t>征集人</w:t>
            </w:r>
            <w:r>
              <w:rPr>
                <w:rFonts w:hint="eastAsia" w:ascii="宋体" w:hAnsi="宋体" w:cs="宋体"/>
                <w:color w:val="auto"/>
                <w:kern w:val="0"/>
                <w:sz w:val="24"/>
                <w:highlight w:val="none"/>
              </w:rPr>
              <w:t>需求提供驻场服务”的得</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分，否则不得分，满分</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分。证明材料：承诺函。</w:t>
            </w:r>
          </w:p>
        </w:tc>
        <w:tc>
          <w:tcPr>
            <w:tcW w:w="840" w:type="dxa"/>
            <w:vAlign w:val="center"/>
          </w:tcPr>
          <w:p w14:paraId="042F5171">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2分</w:t>
            </w:r>
          </w:p>
        </w:tc>
        <w:tc>
          <w:tcPr>
            <w:tcW w:w="838" w:type="dxa"/>
            <w:vAlign w:val="center"/>
          </w:tcPr>
          <w:p w14:paraId="1690658A">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lang w:eastAsia="zh-CN"/>
              </w:rPr>
              <w:t>客观</w:t>
            </w:r>
          </w:p>
        </w:tc>
        <w:tc>
          <w:tcPr>
            <w:tcW w:w="1564" w:type="dxa"/>
            <w:vAlign w:val="center"/>
          </w:tcPr>
          <w:p w14:paraId="07BAB835">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rPr>
              <w:t>驻场服务</w:t>
            </w:r>
          </w:p>
        </w:tc>
      </w:tr>
      <w:tr w14:paraId="4136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1" w:hRule="atLeast"/>
          <w:jc w:val="center"/>
        </w:trPr>
        <w:tc>
          <w:tcPr>
            <w:tcW w:w="739" w:type="dxa"/>
            <w:vAlign w:val="center"/>
          </w:tcPr>
          <w:p w14:paraId="2F4C1133">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6511" w:type="dxa"/>
            <w:vAlign w:val="center"/>
          </w:tcPr>
          <w:p w14:paraId="7021395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olor w:val="auto"/>
                <w:highlight w:val="none"/>
              </w:rPr>
            </w:pPr>
            <w:r>
              <w:rPr>
                <w:rFonts w:hint="eastAsia" w:ascii="宋体" w:hAnsi="宋体" w:cs="宋体"/>
                <w:color w:val="auto"/>
                <w:kern w:val="0"/>
                <w:sz w:val="24"/>
                <w:highlight w:val="none"/>
              </w:rPr>
              <w:t>针对政府投资项目特点提出合理化建议及改进措施</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要求建议及改进措施内容有针对性，具体且合理，可操作性强，</w:t>
            </w:r>
            <w:r>
              <w:rPr>
                <w:rFonts w:hint="eastAsia" w:ascii="宋体" w:hAnsi="宋体" w:cs="宋体"/>
                <w:color w:val="auto"/>
                <w:sz w:val="24"/>
                <w:szCs w:val="24"/>
                <w:highlight w:val="none"/>
                <w:lang w:val="en-US" w:eastAsia="zh-CN"/>
              </w:rPr>
              <w:t>满分4分。</w:t>
            </w:r>
          </w:p>
          <w:p w14:paraId="7F19B131">
            <w:pPr>
              <w:pStyle w:val="2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cs="宋体"/>
                <w:strike w:val="0"/>
                <w:dstrike w:val="0"/>
                <w:color w:val="auto"/>
                <w:highlight w:val="none"/>
                <w:lang w:val="en-US" w:eastAsia="zh-CN"/>
              </w:rPr>
            </w:pPr>
            <w:r>
              <w:rPr>
                <w:rFonts w:hint="default" w:cs="宋体"/>
                <w:strike w:val="0"/>
                <w:dstrike w:val="0"/>
                <w:color w:val="auto"/>
                <w:highlight w:val="none"/>
                <w:lang w:val="en-US" w:eastAsia="zh-CN"/>
              </w:rPr>
              <w:t>方案内容完整、与项目匹配好的得</w:t>
            </w:r>
            <w:r>
              <w:rPr>
                <w:rFonts w:hint="eastAsia" w:cs="宋体"/>
                <w:strike w:val="0"/>
                <w:dstrike w:val="0"/>
                <w:color w:val="auto"/>
                <w:highlight w:val="none"/>
                <w:lang w:val="en-US" w:eastAsia="zh-CN"/>
              </w:rPr>
              <w:t>4</w:t>
            </w:r>
            <w:r>
              <w:rPr>
                <w:rFonts w:hint="default" w:cs="宋体"/>
                <w:strike w:val="0"/>
                <w:dstrike w:val="0"/>
                <w:color w:val="auto"/>
                <w:highlight w:val="none"/>
                <w:lang w:val="en-US" w:eastAsia="zh-CN"/>
              </w:rPr>
              <w:t>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方案内容基本完整、与项目匹配度较好的得3分；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方案内容基本完整、与项目匹配度一般的得2分；</w:t>
            </w:r>
            <w:r>
              <w:rPr>
                <w:rFonts w:hint="eastAsia" w:cs="宋体"/>
                <w:strike w:val="0"/>
                <w:dstrike w:val="0"/>
                <w:color w:val="auto"/>
                <w:highlight w:val="none"/>
                <w:lang w:val="en-US" w:eastAsia="zh-CN"/>
              </w:rPr>
              <w:br w:type="textWrapping"/>
            </w:r>
            <w:r>
              <w:rPr>
                <w:rFonts w:hint="eastAsia" w:cs="宋体"/>
                <w:strike w:val="0"/>
                <w:dstrike w:val="0"/>
                <w:color w:val="auto"/>
                <w:highlight w:val="none"/>
                <w:lang w:val="en-US" w:eastAsia="zh-CN"/>
              </w:rPr>
              <w:t>方案内容存在欠缺、与项目匹配度较差的得1分；</w:t>
            </w:r>
          </w:p>
          <w:p w14:paraId="5B1D53BB">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0"/>
              <w:rPr>
                <w:rFonts w:hint="default"/>
                <w:color w:val="auto"/>
                <w:highlight w:val="none"/>
                <w:lang w:val="en-US" w:eastAsia="zh-CN"/>
              </w:rPr>
            </w:pPr>
            <w:r>
              <w:rPr>
                <w:rFonts w:hint="eastAsia" w:cs="宋体"/>
                <w:strike w:val="0"/>
                <w:dstrike w:val="0"/>
                <w:color w:val="auto"/>
                <w:highlight w:val="none"/>
                <w:lang w:val="en-US" w:eastAsia="zh-CN"/>
              </w:rPr>
              <w:t>未提供相关内容的不得分</w:t>
            </w:r>
            <w:r>
              <w:rPr>
                <w:rFonts w:hint="default" w:cs="宋体"/>
                <w:strike w:val="0"/>
                <w:dstrike w:val="0"/>
                <w:color w:val="auto"/>
                <w:highlight w:val="none"/>
                <w:lang w:val="en-US" w:eastAsia="zh-CN"/>
              </w:rPr>
              <w:t>。</w:t>
            </w:r>
          </w:p>
        </w:tc>
        <w:tc>
          <w:tcPr>
            <w:tcW w:w="840" w:type="dxa"/>
            <w:vAlign w:val="center"/>
          </w:tcPr>
          <w:p w14:paraId="17DA5D25">
            <w:pPr>
              <w:spacing w:line="360" w:lineRule="auto"/>
              <w:jc w:val="center"/>
              <w:outlineLvl w:val="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4分</w:t>
            </w:r>
          </w:p>
        </w:tc>
        <w:tc>
          <w:tcPr>
            <w:tcW w:w="838" w:type="dxa"/>
            <w:vAlign w:val="center"/>
          </w:tcPr>
          <w:p w14:paraId="33173F74">
            <w:pPr>
              <w:spacing w:line="360" w:lineRule="auto"/>
              <w:jc w:val="center"/>
              <w:outlineLvl w:val="0"/>
              <w:rPr>
                <w:rFonts w:ascii="宋体" w:hAnsi="宋体" w:cs="宋体"/>
                <w:color w:val="auto"/>
                <w:sz w:val="24"/>
                <w:highlight w:val="none"/>
              </w:rPr>
            </w:pPr>
            <w:r>
              <w:rPr>
                <w:rFonts w:hint="eastAsia" w:ascii="宋体" w:hAnsi="宋体" w:cs="宋体"/>
                <w:color w:val="auto"/>
                <w:sz w:val="24"/>
                <w:highlight w:val="none"/>
              </w:rPr>
              <w:t>主观</w:t>
            </w:r>
          </w:p>
        </w:tc>
        <w:tc>
          <w:tcPr>
            <w:tcW w:w="1564" w:type="dxa"/>
            <w:vAlign w:val="center"/>
          </w:tcPr>
          <w:p w14:paraId="46F4419C">
            <w:pPr>
              <w:spacing w:line="360" w:lineRule="auto"/>
              <w:jc w:val="center"/>
              <w:outlineLvl w:val="0"/>
              <w:rPr>
                <w:rFonts w:hint="eastAsia" w:ascii="宋体" w:hAnsi="宋体" w:eastAsia="宋体" w:cs="宋体"/>
                <w:color w:val="auto"/>
                <w:sz w:val="24"/>
                <w:highlight w:val="none"/>
                <w:lang w:eastAsia="zh-CN"/>
              </w:rPr>
            </w:pPr>
            <w:r>
              <w:rPr>
                <w:rFonts w:hint="eastAsia" w:ascii="宋体" w:hAnsi="宋体" w:cs="宋体"/>
                <w:color w:val="auto"/>
                <w:kern w:val="0"/>
                <w:sz w:val="24"/>
                <w:highlight w:val="none"/>
              </w:rPr>
              <w:t>合理化建议及改进措施</w:t>
            </w:r>
          </w:p>
        </w:tc>
      </w:tr>
    </w:tbl>
    <w:p w14:paraId="542C143D">
      <w:pPr>
        <w:spacing w:line="360" w:lineRule="auto"/>
        <w:outlineLvl w:val="0"/>
        <w:rPr>
          <w:rFonts w:hint="eastAsia" w:ascii="宋体" w:hAnsi="宋体" w:cs="宋体"/>
          <w:color w:val="auto"/>
          <w:sz w:val="24"/>
          <w:highlight w:val="none"/>
          <w:shd w:val="clear" w:color="auto" w:fill="FFFFFF"/>
        </w:rPr>
      </w:pPr>
      <w:r>
        <w:rPr>
          <w:rFonts w:hint="eastAsia" w:ascii="宋体" w:hAnsi="宋体" w:cs="宋体"/>
          <w:b/>
          <w:bCs/>
          <w:color w:val="auto"/>
          <w:sz w:val="24"/>
          <w:highlight w:val="none"/>
          <w:shd w:val="clear" w:color="auto" w:fill="FFFFFF"/>
        </w:rPr>
        <w:t>*备注</w:t>
      </w:r>
      <w:r>
        <w:rPr>
          <w:rFonts w:hint="eastAsia" w:ascii="宋体" w:hAnsi="宋体" w:cs="宋体"/>
          <w:color w:val="auto"/>
          <w:sz w:val="24"/>
          <w:highlight w:val="none"/>
          <w:shd w:val="clear" w:color="auto" w:fill="FFFFFF"/>
        </w:rPr>
        <w:t>：</w:t>
      </w:r>
    </w:p>
    <w:p w14:paraId="0F8988AD">
      <w:pPr>
        <w:spacing w:line="360" w:lineRule="auto"/>
        <w:ind w:firstLine="480" w:firstLineChars="200"/>
        <w:outlineLvl w:val="0"/>
        <w:rPr>
          <w:rFonts w:hint="eastAsia"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1.供应商应根据评标标准对照附件中相应的表格要求的要素，核验自有相关证明材料并填写完整，填写不完整或有明显错误的评标委员会有权不予认可；响应文件中还需提供合同等证明材料，未提供或证明材料不完善的不得分。</w:t>
      </w:r>
    </w:p>
    <w:p w14:paraId="45A33D05">
      <w:pPr>
        <w:spacing w:line="360" w:lineRule="auto"/>
        <w:ind w:firstLine="480" w:firstLineChars="200"/>
        <w:outlineLvl w:val="0"/>
        <w:rPr>
          <w:color w:val="auto"/>
          <w:highlight w:val="none"/>
        </w:rPr>
      </w:pPr>
      <w:r>
        <w:rPr>
          <w:rFonts w:hint="eastAsia" w:ascii="宋体" w:hAnsi="宋体" w:cs="宋体"/>
          <w:color w:val="auto"/>
          <w:sz w:val="24"/>
          <w:highlight w:val="none"/>
          <w:shd w:val="clear" w:color="auto" w:fill="FFFFFF"/>
        </w:rPr>
        <w:t>2.供应商编制响应文件（商务技术文件部分）时，建议按此目录（序号和内容）提供评标标准相应的商务技术资料。</w:t>
      </w:r>
    </w:p>
    <w:p w14:paraId="79F66229">
      <w:pPr>
        <w:snapToGrid w:val="0"/>
        <w:spacing w:line="360" w:lineRule="auto"/>
        <w:outlineLvl w:val="1"/>
        <w:rPr>
          <w:rFonts w:ascii="宋体" w:hAnsi="宋体" w:cs="宋体"/>
          <w:b/>
          <w:color w:val="auto"/>
          <w:sz w:val="24"/>
          <w:highlight w:val="none"/>
        </w:rPr>
      </w:pPr>
      <w:r>
        <w:rPr>
          <w:rFonts w:hint="eastAsia" w:ascii="宋体" w:hAnsi="宋体" w:cs="宋体"/>
          <w:b/>
          <w:color w:val="auto"/>
          <w:sz w:val="24"/>
          <w:highlight w:val="none"/>
        </w:rPr>
        <w:t>一、评标方法</w:t>
      </w:r>
    </w:p>
    <w:p w14:paraId="30C64400">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1.本项目采用质量优先法。</w:t>
      </w:r>
      <w:r>
        <w:rPr>
          <w:rFonts w:hint="eastAsia" w:ascii="宋体" w:hAnsi="宋体" w:cs="宋体"/>
          <w:color w:val="auto"/>
          <w:kern w:val="0"/>
          <w:sz w:val="24"/>
          <w:highlight w:val="none"/>
        </w:rPr>
        <w:t>质量优先法是指对满足采购需求且响应报价不超过最高限制单价的货物、服务进行质量综合评分，按照质量评分从高到低排序，根据征集文件规定的淘汰率或者入围供应商数量上限，确定入围供应商的评审方法。</w:t>
      </w:r>
    </w:p>
    <w:p w14:paraId="604ECB3C">
      <w:pPr>
        <w:adjustRightInd/>
        <w:spacing w:line="360" w:lineRule="auto"/>
        <w:outlineLvl w:val="1"/>
        <w:rPr>
          <w:rFonts w:ascii="宋体" w:hAnsi="宋体" w:cs="宋体"/>
          <w:color w:val="auto"/>
          <w:kern w:val="0"/>
          <w:sz w:val="24"/>
          <w:highlight w:val="none"/>
        </w:rPr>
      </w:pPr>
      <w:r>
        <w:rPr>
          <w:rFonts w:hint="eastAsia" w:ascii="宋体" w:hAnsi="宋体" w:cs="宋体"/>
          <w:b/>
          <w:color w:val="auto"/>
          <w:sz w:val="24"/>
          <w:highlight w:val="none"/>
        </w:rPr>
        <w:t>二、质量综合评分标准</w:t>
      </w:r>
    </w:p>
    <w:p w14:paraId="3D7B26A1">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2.评标标准。</w:t>
      </w:r>
      <w:r>
        <w:rPr>
          <w:rFonts w:hint="eastAsia" w:ascii="宋体" w:hAnsi="宋体" w:cs="宋体"/>
          <w:color w:val="auto"/>
          <w:kern w:val="0"/>
          <w:sz w:val="24"/>
          <w:highlight w:val="none"/>
        </w:rPr>
        <w:t>见评标办法前附表。</w:t>
      </w:r>
    </w:p>
    <w:p w14:paraId="48ACAA92">
      <w:pPr>
        <w:spacing w:line="360" w:lineRule="auto"/>
        <w:outlineLvl w:val="1"/>
        <w:rPr>
          <w:rFonts w:ascii="宋体" w:hAnsi="宋体" w:cs="宋体"/>
          <w:b/>
          <w:color w:val="auto"/>
          <w:sz w:val="24"/>
          <w:highlight w:val="none"/>
        </w:rPr>
      </w:pPr>
      <w:r>
        <w:rPr>
          <w:rFonts w:hint="eastAsia" w:ascii="宋体" w:hAnsi="宋体" w:cs="宋体"/>
          <w:b/>
          <w:color w:val="auto"/>
          <w:sz w:val="24"/>
          <w:highlight w:val="none"/>
        </w:rPr>
        <w:t>三、评标程序</w:t>
      </w:r>
    </w:p>
    <w:p w14:paraId="61FE7043">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评标委员会应当对符合资格的供应商的响应文件进行符合性审查，以确定其是否满足征集文件的实质性要求。不满足征集文件的实质性要求的，响应无效。</w:t>
      </w:r>
    </w:p>
    <w:p w14:paraId="0EE70485">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评标委员会应当按照征集文件中规定的评标方法和标准，对符合性审查合格的响应文件进行商务和技术评估，综合比较与评价。</w:t>
      </w:r>
    </w:p>
    <w:p w14:paraId="0349C6FC">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评标委员会各成员应当独立对每个供应商的商务和技术文件进行评价，并汇总商务技术得分情况。</w:t>
      </w:r>
    </w:p>
    <w:p w14:paraId="67D340D5">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4326947D">
      <w:pPr>
        <w:pStyle w:val="100"/>
        <w:spacing w:before="0"/>
        <w:ind w:firstLine="508" w:firstLineChars="212"/>
        <w:rPr>
          <w:rFonts w:ascii="宋体" w:hAnsi="宋体" w:cs="宋体"/>
          <w:color w:val="auto"/>
          <w:kern w:val="0"/>
          <w:szCs w:val="24"/>
          <w:highlight w:val="none"/>
        </w:rPr>
      </w:pPr>
      <w:r>
        <w:rPr>
          <w:rFonts w:hint="eastAsia" w:ascii="宋体" w:hAnsi="宋体" w:cs="宋体"/>
          <w:color w:val="auto"/>
          <w:kern w:val="0"/>
          <w:szCs w:val="24"/>
          <w:highlight w:val="none"/>
        </w:rPr>
        <w:t>3.4.1响应文件报价出现前后不一致的，按照下列规定修正：</w:t>
      </w:r>
    </w:p>
    <w:p w14:paraId="622F8880">
      <w:pPr>
        <w:pStyle w:val="10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3.4.1.1响应文件中投标(开标)一览表内容与响应文件中相应内容不一致的，以投标(开标)一览表为准；</w:t>
      </w:r>
    </w:p>
    <w:p w14:paraId="0AD1A041">
      <w:pPr>
        <w:pStyle w:val="10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3CBF38EA">
      <w:pPr>
        <w:pStyle w:val="10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0146293C">
      <w:pPr>
        <w:pStyle w:val="10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18FBDC7">
      <w:pPr>
        <w:pStyle w:val="10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《政府采购货物和服务征集投标管理办法》第五十一条第二款的规定经供应商确认后产生约束力。</w:t>
      </w:r>
    </w:p>
    <w:p w14:paraId="112CB0E4">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3.4.2响应文件出现不是唯一的、有选择性响应报价的，响应无效。</w:t>
      </w:r>
    </w:p>
    <w:p w14:paraId="20F279ED">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3.4.3响应报价超过征集文件中规定的预算金额或者最高限价的，响应无效。</w:t>
      </w:r>
    </w:p>
    <w:p w14:paraId="14EF84C7">
      <w:pPr>
        <w:pStyle w:val="10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w:t>
      </w:r>
      <w:r>
        <w:rPr>
          <w:rFonts w:hint="eastAsia" w:ascii="宋体" w:hAnsi="宋体" w:cs="宋体"/>
          <w:color w:val="auto"/>
          <w:kern w:val="0"/>
          <w:highlight w:val="none"/>
        </w:rPr>
        <w:t>响应</w:t>
      </w:r>
      <w:r>
        <w:rPr>
          <w:rFonts w:hint="eastAsia" w:ascii="宋体" w:hAnsi="宋体" w:cs="宋体"/>
          <w:color w:val="auto"/>
          <w:kern w:val="0"/>
          <w:szCs w:val="24"/>
          <w:highlight w:val="none"/>
        </w:rPr>
        <w:t>处理。</w:t>
      </w:r>
    </w:p>
    <w:p w14:paraId="0679EAFC">
      <w:pPr>
        <w:pStyle w:val="100"/>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或服务项目，以及预留份额政府采购货物或服务项目中的非预留部分标项，对小型和微型企业的响应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1A9D8C7">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3.5排序与入围。</w:t>
      </w:r>
      <w:r>
        <w:rPr>
          <w:rFonts w:hint="eastAsia" w:ascii="宋体" w:hAnsi="宋体" w:eastAsia="宋体" w:cs="宋体"/>
          <w:color w:val="auto"/>
          <w:kern w:val="0"/>
          <w:sz w:val="24"/>
          <w:highlight w:val="none"/>
          <w:lang w:val="en-US" w:eastAsia="zh-CN"/>
        </w:rPr>
        <w:t>评标委员会根据得分高到低排序，综合评分得分相同时，按照客观分由高到低排</w:t>
      </w:r>
      <w:r>
        <w:rPr>
          <w:rFonts w:hint="eastAsia" w:ascii="宋体" w:hAnsi="宋体" w:eastAsia="宋体" w:cs="宋体"/>
          <w:color w:val="auto"/>
          <w:kern w:val="0"/>
          <w:sz w:val="24"/>
          <w:szCs w:val="24"/>
          <w:highlight w:val="none"/>
          <w:lang w:val="en-US" w:eastAsia="zh-CN" w:bidi="ar-SA"/>
        </w:rPr>
        <w:t>序；综合评分得分、客观分得分均相同的，以投标优惠率由高到低确定排序。</w:t>
      </w:r>
    </w:p>
    <w:p w14:paraId="4E557A6D">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5EEF9E7">
      <w:pPr>
        <w:widowControl/>
        <w:adjustRightInd/>
        <w:spacing w:after="225" w:line="315" w:lineRule="atLeast"/>
        <w:jc w:val="left"/>
        <w:outlineLvl w:val="1"/>
        <w:rPr>
          <w:rFonts w:ascii="宋体" w:hAnsi="宋体" w:cs="宋体"/>
          <w:b/>
          <w:color w:val="auto"/>
          <w:sz w:val="24"/>
          <w:highlight w:val="none"/>
        </w:rPr>
      </w:pPr>
      <w:r>
        <w:rPr>
          <w:rFonts w:hint="eastAsia" w:ascii="宋体" w:hAnsi="宋体" w:cs="宋体"/>
          <w:b/>
          <w:color w:val="auto"/>
          <w:sz w:val="24"/>
          <w:highlight w:val="none"/>
        </w:rPr>
        <w:t>四、评标中的其他事项</w:t>
      </w:r>
    </w:p>
    <w:p w14:paraId="78F8031B">
      <w:pPr>
        <w:pStyle w:val="100"/>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4.1供应商澄清、说明或者补正。</w:t>
      </w:r>
      <w:r>
        <w:rPr>
          <w:rFonts w:hint="eastAsia" w:ascii="宋体" w:hAnsi="宋体" w:cs="宋体"/>
          <w:color w:val="auto"/>
          <w:kern w:val="0"/>
          <w:szCs w:val="24"/>
          <w:highlight w:val="none"/>
        </w:rPr>
        <w:t>对于响应文件中含义不明确、同类问题表述不一致或者有明显文字和计算错误的内容需要供应商作出必要的澄清、说明或者补正的，评标委员会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0E6D93C2">
      <w:pPr>
        <w:pStyle w:val="22"/>
        <w:spacing w:line="360" w:lineRule="auto"/>
        <w:ind w:left="954" w:leftChars="226" w:hanging="479" w:firstLineChars="0"/>
        <w:rPr>
          <w:rFonts w:cs="宋体"/>
          <w:color w:val="auto"/>
          <w:highlight w:val="none"/>
        </w:rPr>
      </w:pPr>
      <w:r>
        <w:rPr>
          <w:rFonts w:hint="eastAsia" w:cs="宋体"/>
          <w:b/>
          <w:color w:val="auto"/>
          <w:kern w:val="0"/>
          <w:highlight w:val="none"/>
        </w:rPr>
        <w:t>4.2响应无效。</w:t>
      </w:r>
      <w:r>
        <w:rPr>
          <w:rFonts w:hint="eastAsia" w:cs="宋体"/>
          <w:color w:val="auto"/>
          <w:highlight w:val="none"/>
        </w:rPr>
        <w:t>有下列情况之一的，响应无效：</w:t>
      </w:r>
    </w:p>
    <w:p w14:paraId="6AA356A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4.2.1供应商不具备征集文件中规定的资格要求的（供应商未提供有效的资格文件的，视为供应商不具备征集文件中规定的资格要求）；</w:t>
      </w:r>
    </w:p>
    <w:p w14:paraId="5D5F447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4.2.2响应文件未按照征集文件要求签署、盖章的；</w:t>
      </w:r>
    </w:p>
    <w:p w14:paraId="0519134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4.2.3征集人拟采购的产品属于政府强制采购的节能产品品目清单范围的，供应商未按征集文件要求提供国家确定的认证机构出具的、处于有效期之内的节能产品认证证书的；</w:t>
      </w:r>
    </w:p>
    <w:p w14:paraId="7F35443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4.2.4响应文件含有征集人不能接受的附加条件的；</w:t>
      </w:r>
    </w:p>
    <w:p w14:paraId="231CF2D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4.2.5响应文件中承诺的响应有效期少于征集文件中载明的响应有效期的；</w:t>
      </w:r>
    </w:p>
    <w:p w14:paraId="445AE105">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4.2.6响应文件出现不是唯一的、有选择性响应报价的；</w:t>
      </w:r>
    </w:p>
    <w:p w14:paraId="07FDA5E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4.2.7响应报价超过征集文件中规定的预算金额或者最高限价的；</w:t>
      </w:r>
    </w:p>
    <w:p w14:paraId="4214DA2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4.2.8报价明显低于其他通过符合性审查供应商的报价，有可能影响产品质量或者不能诚信履约的，未能按要求提供书面说明或者提交相关证明材料，不能证明其报价合理性的；</w:t>
      </w:r>
    </w:p>
    <w:p w14:paraId="259EA27E">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4.2.9供应商对根据修正原则修正后的报价不确认的；</w:t>
      </w:r>
    </w:p>
    <w:p w14:paraId="64FB16C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4.2.10供应商提供虚假材料响应的；</w:t>
      </w:r>
    </w:p>
    <w:p w14:paraId="238C36F8">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4.2.11供应商有恶意串通、妨碍其他供应商的竞争行为、损害征集人或者其他供应商的合法权益情形的；</w:t>
      </w:r>
    </w:p>
    <w:p w14:paraId="5B726AE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cs="宋体"/>
          <w:color w:val="auto"/>
          <w:kern w:val="0"/>
          <w:sz w:val="24"/>
          <w:highlight w:val="none"/>
        </w:rPr>
        <w:t>4.2.12</w:t>
      </w:r>
      <w:r>
        <w:rPr>
          <w:rFonts w:hint="eastAsia" w:ascii="宋体" w:hAnsi="宋体" w:eastAsia="宋体" w:cs="宋体"/>
          <w:color w:val="auto"/>
          <w:kern w:val="0"/>
          <w:sz w:val="24"/>
          <w:highlight w:val="none"/>
          <w:lang w:val="en-US" w:eastAsia="zh-CN"/>
        </w:rPr>
        <w:t>参与同一个采购包（标段）的供应商存在下列情形之一且无法合理解释的，其投标（响应）文件无效：（1）不同供应商的电子投标（响应）文件上传计算机的IP地址或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eastAsia="宋体" w:cs="宋体"/>
          <w:color w:val="auto"/>
          <w:kern w:val="0"/>
          <w:sz w:val="24"/>
          <w:highlight w:val="none"/>
        </w:rPr>
        <w:t>。</w:t>
      </w:r>
    </w:p>
    <w:p w14:paraId="66613E2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 xml:space="preserve"> 响应文件不满足征集文件的其它实质性要求的；</w:t>
      </w:r>
    </w:p>
    <w:p w14:paraId="0EABDA4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法律、法规、规章（适用本区的）及省级以上规范性文件（适用本区的）规定的其他无效情形。</w:t>
      </w:r>
    </w:p>
    <w:p w14:paraId="7ACD9F52">
      <w:pPr>
        <w:widowControl/>
        <w:adjustRightInd/>
        <w:spacing w:line="360" w:lineRule="auto"/>
        <w:jc w:val="left"/>
        <w:outlineLvl w:val="1"/>
        <w:rPr>
          <w:rFonts w:ascii="宋体" w:hAnsi="宋体" w:cs="宋体"/>
          <w:b/>
          <w:color w:val="auto"/>
          <w:sz w:val="24"/>
          <w:highlight w:val="none"/>
        </w:rPr>
      </w:pPr>
      <w:r>
        <w:rPr>
          <w:rFonts w:hint="eastAsia" w:ascii="宋体" w:hAnsi="宋体" w:cs="宋体"/>
          <w:b/>
          <w:color w:val="auto"/>
          <w:sz w:val="24"/>
          <w:highlight w:val="none"/>
        </w:rPr>
        <w:t>5.采购失败</w:t>
      </w:r>
    </w:p>
    <w:p w14:paraId="13A45C22">
      <w:pPr>
        <w:pStyle w:val="22"/>
        <w:snapToGrid w:val="0"/>
        <w:spacing w:line="360" w:lineRule="auto"/>
        <w:rPr>
          <w:rFonts w:cs="宋体"/>
          <w:color w:val="auto"/>
          <w:highlight w:val="none"/>
        </w:rPr>
      </w:pPr>
      <w:r>
        <w:rPr>
          <w:rFonts w:hint="eastAsia" w:cs="宋体"/>
          <w:color w:val="auto"/>
          <w:highlight w:val="none"/>
        </w:rPr>
        <w:t>在采购中，出现下列情形之一的，框架协议采购失败：</w:t>
      </w:r>
    </w:p>
    <w:p w14:paraId="0523569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5.1经淘汰后符合专业条件的供应商或者对征集文件作实质响应的供应商不足2家的；</w:t>
      </w:r>
    </w:p>
    <w:p w14:paraId="3A70EFE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5.2出现影响采购公正的违法、违规行为的；</w:t>
      </w:r>
    </w:p>
    <w:p w14:paraId="5271E3B8">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5.3供应商的报价均超过了最高限价的；</w:t>
      </w:r>
    </w:p>
    <w:p w14:paraId="357FCAB8">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5.4因重大变故，采购任务取消的。</w:t>
      </w:r>
    </w:p>
    <w:p w14:paraId="5C1102B2">
      <w:pPr>
        <w:widowControl/>
        <w:adjustRightInd/>
        <w:spacing w:line="360" w:lineRule="auto"/>
        <w:jc w:val="left"/>
        <w:outlineLvl w:val="1"/>
        <w:rPr>
          <w:rFonts w:ascii="宋体" w:hAnsi="宋体" w:cs="宋体"/>
          <w:b/>
          <w:color w:val="auto"/>
          <w:sz w:val="24"/>
          <w:highlight w:val="none"/>
        </w:rPr>
      </w:pPr>
      <w:r>
        <w:rPr>
          <w:rFonts w:hint="eastAsia" w:ascii="宋体" w:hAnsi="宋体" w:cs="宋体"/>
          <w:b/>
          <w:color w:val="auto"/>
          <w:sz w:val="24"/>
          <w:highlight w:val="none"/>
        </w:rPr>
        <w:t>6.修改征集文件，重新组织采购活动</w:t>
      </w:r>
    </w:p>
    <w:p w14:paraId="44335961">
      <w:pPr>
        <w:pStyle w:val="22"/>
        <w:numPr>
          <w:ilvl w:val="255"/>
          <w:numId w:val="0"/>
        </w:numPr>
        <w:snapToGrid w:val="0"/>
        <w:spacing w:line="360" w:lineRule="auto"/>
        <w:ind w:firstLine="480" w:firstLineChars="200"/>
        <w:rPr>
          <w:rFonts w:cs="宋体"/>
          <w:color w:val="auto"/>
          <w:highlight w:val="none"/>
        </w:rPr>
      </w:pPr>
      <w:r>
        <w:rPr>
          <w:rFonts w:hint="eastAsia" w:cs="宋体"/>
          <w:color w:val="auto"/>
          <w:highlight w:val="none"/>
        </w:rPr>
        <w:t>评审小组发现征集文件存在歧义、重大缺陷导致评审工作无法进行，或者征集文件内容违反国家有关强制性规定的，将停止评审工作，并与征集人、采购代理机构沟通并作书面记录。征集人、采购代理机构确认后，将修改征集文件，重新组织采购活动。</w:t>
      </w:r>
    </w:p>
    <w:p w14:paraId="6C1A54D7">
      <w:pPr>
        <w:widowControl/>
        <w:adjustRightInd/>
        <w:spacing w:line="360" w:lineRule="auto"/>
        <w:jc w:val="left"/>
        <w:outlineLvl w:val="1"/>
        <w:rPr>
          <w:rFonts w:ascii="宋体" w:hAnsi="宋体" w:cs="宋体"/>
          <w:b/>
          <w:color w:val="auto"/>
          <w:sz w:val="24"/>
          <w:highlight w:val="none"/>
        </w:rPr>
      </w:pPr>
      <w:r>
        <w:rPr>
          <w:rFonts w:hint="eastAsia" w:ascii="宋体" w:hAnsi="宋体" w:cs="宋体"/>
          <w:b/>
          <w:color w:val="auto"/>
          <w:sz w:val="24"/>
          <w:highlight w:val="none"/>
        </w:rPr>
        <w:t>7.重新开展采购</w:t>
      </w:r>
    </w:p>
    <w:p w14:paraId="7AF3C3FE">
      <w:pPr>
        <w:pStyle w:val="22"/>
        <w:snapToGrid w:val="0"/>
        <w:spacing w:line="360" w:lineRule="auto"/>
        <w:rPr>
          <w:rFonts w:cs="宋体"/>
          <w:color w:val="auto"/>
          <w:highlight w:val="none"/>
        </w:rPr>
      </w:pPr>
      <w:r>
        <w:rPr>
          <w:rFonts w:hint="eastAsia" w:cs="宋体"/>
          <w:color w:val="auto"/>
          <w:highlight w:val="none"/>
        </w:rPr>
        <w:t>存在政府采购法第七十一条、第七十二条规定的违法行为之一，影响或者可能影响入围、成交结果的，依照下列规定处理：</w:t>
      </w:r>
    </w:p>
    <w:p w14:paraId="13D94994">
      <w:pPr>
        <w:pStyle w:val="22"/>
        <w:snapToGrid w:val="0"/>
        <w:spacing w:line="360" w:lineRule="auto"/>
        <w:rPr>
          <w:rFonts w:cs="宋体"/>
          <w:color w:val="auto"/>
          <w:highlight w:val="none"/>
        </w:rPr>
      </w:pPr>
      <w:r>
        <w:rPr>
          <w:rFonts w:hint="eastAsia" w:cs="宋体"/>
          <w:color w:val="auto"/>
          <w:highlight w:val="none"/>
        </w:rPr>
        <w:t>7.1未确定入围供应商的，终止本次政府采购活动，重新开展政府采购活动。</w:t>
      </w:r>
    </w:p>
    <w:p w14:paraId="2F701A60">
      <w:pPr>
        <w:pStyle w:val="22"/>
        <w:snapToGrid w:val="0"/>
        <w:spacing w:line="360" w:lineRule="auto"/>
        <w:rPr>
          <w:rFonts w:cs="宋体"/>
          <w:color w:val="auto"/>
          <w:highlight w:val="none"/>
        </w:rPr>
      </w:pPr>
      <w:r>
        <w:rPr>
          <w:rFonts w:hint="eastAsia" w:cs="宋体"/>
          <w:color w:val="auto"/>
          <w:highlight w:val="none"/>
        </w:rPr>
        <w:t>7.2已确定入围供应商但尚未签订框架协议的，入围结果无效，重新开展政府采购活动。</w:t>
      </w:r>
    </w:p>
    <w:p w14:paraId="7DF49FD2">
      <w:pPr>
        <w:pStyle w:val="22"/>
        <w:snapToGrid w:val="0"/>
        <w:spacing w:line="360" w:lineRule="auto"/>
        <w:rPr>
          <w:rFonts w:cs="宋体"/>
          <w:color w:val="auto"/>
          <w:highlight w:val="none"/>
        </w:rPr>
      </w:pPr>
      <w:r>
        <w:rPr>
          <w:rFonts w:hint="eastAsia" w:cs="宋体"/>
          <w:color w:val="auto"/>
          <w:highlight w:val="none"/>
        </w:rPr>
        <w:t>7.3政府采购框架协议已签订但尚未履行的，撤销框架协议，重新开展政府采购活动。</w:t>
      </w:r>
    </w:p>
    <w:p w14:paraId="21161464">
      <w:pPr>
        <w:pStyle w:val="22"/>
        <w:snapToGrid w:val="0"/>
        <w:spacing w:line="360" w:lineRule="auto"/>
        <w:rPr>
          <w:rFonts w:cs="宋体"/>
          <w:color w:val="auto"/>
          <w:highlight w:val="none"/>
        </w:rPr>
      </w:pPr>
      <w:r>
        <w:rPr>
          <w:rFonts w:hint="eastAsia" w:cs="宋体"/>
          <w:color w:val="auto"/>
          <w:highlight w:val="none"/>
        </w:rPr>
        <w:t>7.4政府采购框架协议或采购合同已经履行，给征集人、供应商造成损失的，由责任人承担赔偿责任。</w:t>
      </w:r>
    </w:p>
    <w:p w14:paraId="611F1C87">
      <w:pPr>
        <w:pStyle w:val="22"/>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7.5政府采购当事人有其他违反政府采购法或者政府采购法实施条例等法律法规规定的行为，经改正后仍然影响或者可能影响入围、成交结果或者依法被认定为入围、成交无效的，依照7.1-7.4规定处理。</w:t>
      </w:r>
    </w:p>
    <w:p w14:paraId="60DED98E">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color w:val="auto"/>
          <w:kern w:val="0"/>
          <w:sz w:val="24"/>
          <w:szCs w:val="24"/>
          <w:highlight w:val="none"/>
          <w:lang w:val="en-US" w:eastAsia="zh-CN" w:bidi="ar-SA"/>
        </w:rPr>
      </w:pPr>
      <w:r>
        <w:rPr>
          <w:rFonts w:hint="eastAsia" w:ascii="宋体" w:hAnsi="宋体" w:eastAsia="宋体" w:cs="宋体"/>
          <w:b/>
          <w:color w:val="auto"/>
          <w:kern w:val="0"/>
          <w:sz w:val="24"/>
          <w:szCs w:val="24"/>
          <w:highlight w:val="none"/>
          <w:lang w:val="en-US" w:eastAsia="zh-CN" w:bidi="ar-SA"/>
        </w:rPr>
        <w:t>8.强化政府采购异常低价审查</w:t>
      </w:r>
    </w:p>
    <w:p w14:paraId="5C0B9F74">
      <w:pPr>
        <w:pStyle w:val="2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8.1</w:t>
      </w:r>
      <w:r>
        <w:rPr>
          <w:rFonts w:hint="eastAsia" w:ascii="宋体" w:hAnsi="宋体" w:eastAsia="宋体" w:cs="宋体"/>
          <w:color w:val="auto"/>
          <w:highlight w:val="none"/>
          <w:lang w:val="en-US" w:eastAsia="zh-CN"/>
        </w:rPr>
        <w:t>政府采购评审中出现下列情形之一的，评审委员会应当启动异常低价投标（响应）审查程序：</w:t>
      </w:r>
    </w:p>
    <w:p w14:paraId="0EA1FE6B">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8.1.1</w:t>
      </w:r>
      <w:r>
        <w:rPr>
          <w:rFonts w:hint="eastAsia" w:ascii="宋体" w:hAnsi="宋体" w:eastAsia="宋体" w:cs="宋体"/>
          <w:color w:val="auto"/>
          <w:highlight w:val="none"/>
          <w:lang w:val="en-US" w:eastAsia="zh-CN"/>
        </w:rPr>
        <w:t>投标（响应）报价（优惠率）高于全部通过符合性审查供应商投标（响应）报价平均值50%的，即投标（响应）报价＞全部通过符合性审查供应商投标（响应）报价平均值×50%；</w:t>
      </w:r>
    </w:p>
    <w:p w14:paraId="23204622">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8.1.2</w:t>
      </w:r>
      <w:r>
        <w:rPr>
          <w:rFonts w:hint="eastAsia" w:ascii="宋体" w:hAnsi="宋体" w:eastAsia="宋体" w:cs="宋体"/>
          <w:color w:val="auto"/>
          <w:highlight w:val="none"/>
          <w:lang w:val="en-US" w:eastAsia="zh-CN"/>
        </w:rPr>
        <w:t>投标（响应）报价（优惠率）高于通过符合性审查的次高报价供应商投标（响应）报价50%的，即投标（响应）报价＞通过符合性审查的次高报价供应商投标（响应）报价×50%；</w:t>
      </w:r>
    </w:p>
    <w:p w14:paraId="34193591">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8.1.3</w:t>
      </w:r>
      <w:r>
        <w:rPr>
          <w:rFonts w:hint="eastAsia" w:ascii="宋体" w:hAnsi="宋体" w:eastAsia="宋体" w:cs="宋体"/>
          <w:color w:val="auto"/>
          <w:highlight w:val="none"/>
          <w:lang w:val="en-US" w:eastAsia="zh-CN"/>
        </w:rPr>
        <w:t>投标（响应）报价（优惠率）高于采购项目最高限价55%的，即投标（响应）报价＞采购项目最高限价×55%；</w:t>
      </w:r>
    </w:p>
    <w:p w14:paraId="1F927318">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8.1.4</w:t>
      </w:r>
      <w:r>
        <w:rPr>
          <w:rFonts w:hint="eastAsia" w:ascii="宋体" w:hAnsi="宋体" w:eastAsia="宋体" w:cs="宋体"/>
          <w:color w:val="auto"/>
          <w:highlight w:val="none"/>
          <w:lang w:val="en-US" w:eastAsia="zh-CN"/>
        </w:rPr>
        <w:t>评审委员会基于专业判断，认为供应商报价过低，有可能影响产品质量或者不能诚信履约的其他情形。</w:t>
      </w:r>
    </w:p>
    <w:p w14:paraId="1BD58330">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相关法律法规对供应商报价有规定的，从其规定。</w:t>
      </w:r>
    </w:p>
    <w:p w14:paraId="15680174">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cs="宋体"/>
          <w:color w:val="auto"/>
          <w:highlight w:val="none"/>
          <w:lang w:val="en-US" w:eastAsia="zh-CN"/>
        </w:rPr>
        <w:t>8.2</w:t>
      </w:r>
      <w:r>
        <w:rPr>
          <w:rFonts w:hint="eastAsia" w:ascii="宋体" w:hAnsi="宋体" w:eastAsia="宋体" w:cs="宋体"/>
          <w:color w:val="auto"/>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A04CFBD">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46197BA">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征集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9CF12A6">
      <w:pPr>
        <w:pStyle w:val="22"/>
        <w:keepNext w:val="0"/>
        <w:keepLines w:val="0"/>
        <w:pageBreakBefore w:val="0"/>
        <w:widowControl w:val="0"/>
        <w:kinsoku/>
        <w:wordWrap/>
        <w:overflowPunct/>
        <w:topLinePunct w:val="0"/>
        <w:autoSpaceDE/>
        <w:autoSpaceDN/>
        <w:bidi w:val="0"/>
        <w:adjustRightInd w:val="0"/>
        <w:snapToGrid w:val="0"/>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异常低价投标（响应）审查的启动原因、审查意见和审查结果应当在评审报告中记录，并随供应商提供的相关书面说明及证明材料，以及评审委员会有关互联网浏览、查询历史一并归档。</w:t>
      </w:r>
      <w:r>
        <w:rPr>
          <w:rFonts w:hint="eastAsia" w:ascii="宋体" w:hAnsi="宋体" w:eastAsia="宋体" w:cs="宋体"/>
          <w:color w:val="auto"/>
          <w:highlight w:val="none"/>
          <w:lang w:val="en-US" w:eastAsia="zh-CN"/>
        </w:rPr>
        <w:br w:type="page"/>
      </w:r>
    </w:p>
    <w:p w14:paraId="33E0052F">
      <w:pPr>
        <w:rPr>
          <w:rFonts w:ascii="宋体" w:hAnsi="宋体" w:cs="宋体"/>
          <w:b/>
          <w:color w:val="auto"/>
          <w:sz w:val="36"/>
          <w:szCs w:val="36"/>
          <w:highlight w:val="none"/>
        </w:rPr>
      </w:pPr>
    </w:p>
    <w:p w14:paraId="68586B37">
      <w:pPr>
        <w:pStyle w:val="22"/>
        <w:snapToGrid w:val="0"/>
        <w:spacing w:line="360" w:lineRule="auto"/>
        <w:ind w:right="-512" w:firstLine="723"/>
        <w:jc w:val="center"/>
        <w:outlineLvl w:val="0"/>
        <w:rPr>
          <w:rFonts w:cs="宋体"/>
          <w:color w:val="auto"/>
          <w:highlight w:val="none"/>
        </w:rPr>
      </w:pPr>
      <w:r>
        <w:rPr>
          <w:rFonts w:hint="eastAsia" w:cs="宋体"/>
          <w:b/>
          <w:color w:val="auto"/>
          <w:sz w:val="36"/>
          <w:szCs w:val="36"/>
          <w:highlight w:val="none"/>
        </w:rPr>
        <w:t>第五部分拟签订的合同文本</w:t>
      </w:r>
    </w:p>
    <w:bookmarkEnd w:id="41"/>
    <w:bookmarkEnd w:id="42"/>
    <w:bookmarkEnd w:id="43"/>
    <w:p w14:paraId="41CA45DB">
      <w:pPr>
        <w:widowControl/>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lang w:eastAsia="zh-CN"/>
        </w:rPr>
        <w:t>杭州市钱塘区2026-2028年政府投资项目</w:t>
      </w:r>
      <w:r>
        <w:rPr>
          <w:rFonts w:hint="eastAsia" w:ascii="宋体" w:hAnsi="宋体" w:eastAsia="宋体" w:cs="宋体"/>
          <w:b/>
          <w:bCs/>
          <w:color w:val="auto"/>
          <w:sz w:val="28"/>
          <w:szCs w:val="28"/>
          <w:highlight w:val="none"/>
        </w:rPr>
        <w:t>工程造价咨询服务采购项目</w:t>
      </w:r>
      <w:r>
        <w:rPr>
          <w:rFonts w:hint="eastAsia" w:ascii="宋体" w:hAnsi="宋体" w:cs="宋体"/>
          <w:b/>
          <w:bCs/>
          <w:color w:val="auto"/>
          <w:sz w:val="28"/>
          <w:szCs w:val="28"/>
          <w:highlight w:val="none"/>
        </w:rPr>
        <w:t>服务框架协议</w:t>
      </w:r>
    </w:p>
    <w:p w14:paraId="256595F1">
      <w:pPr>
        <w:widowControl/>
        <w:spacing w:line="360" w:lineRule="auto"/>
        <w:rPr>
          <w:rFonts w:hint="eastAsia" w:ascii="宋体" w:hAnsi="宋体" w:cs="宋体"/>
          <w:color w:val="auto"/>
          <w:kern w:val="2"/>
          <w:sz w:val="24"/>
          <w:highlight w:val="none"/>
        </w:rPr>
      </w:pPr>
      <w:r>
        <w:rPr>
          <w:rFonts w:hint="eastAsia" w:ascii="宋体" w:hAnsi="宋体" w:cs="宋体"/>
          <w:color w:val="auto"/>
          <w:kern w:val="2"/>
          <w:sz w:val="24"/>
          <w:highlight w:val="none"/>
        </w:rPr>
        <w:t xml:space="preserve">甲方（征集人）：                   </w:t>
      </w:r>
    </w:p>
    <w:p w14:paraId="74B6FB39">
      <w:pPr>
        <w:widowControl/>
        <w:spacing w:line="360" w:lineRule="auto"/>
        <w:rPr>
          <w:rFonts w:hint="eastAsia" w:ascii="宋体" w:hAnsi="宋体" w:cs="宋体"/>
          <w:color w:val="auto"/>
          <w:kern w:val="2"/>
          <w:sz w:val="24"/>
          <w:highlight w:val="none"/>
        </w:rPr>
      </w:pPr>
      <w:r>
        <w:rPr>
          <w:rFonts w:hint="eastAsia" w:ascii="宋体" w:hAnsi="宋体" w:cs="宋体"/>
          <w:color w:val="auto"/>
          <w:kern w:val="2"/>
          <w:sz w:val="24"/>
          <w:highlight w:val="none"/>
        </w:rPr>
        <w:t xml:space="preserve">乙方（入围单位）：                                           </w:t>
      </w:r>
    </w:p>
    <w:p w14:paraId="37392DEF">
      <w:pPr>
        <w:widowControl/>
        <w:spacing w:line="360" w:lineRule="auto"/>
        <w:ind w:firstLine="646"/>
        <w:rPr>
          <w:rFonts w:hint="eastAsia" w:ascii="宋体" w:hAnsi="宋体" w:cs="宋体"/>
          <w:color w:val="auto"/>
          <w:kern w:val="2"/>
          <w:sz w:val="24"/>
          <w:highlight w:val="none"/>
        </w:rPr>
      </w:pPr>
      <w:r>
        <w:rPr>
          <w:rFonts w:hint="eastAsia" w:ascii="宋体" w:hAnsi="宋体" w:cs="宋体"/>
          <w:color w:val="auto"/>
          <w:kern w:val="2"/>
          <w:sz w:val="24"/>
          <w:highlight w:val="none"/>
        </w:rPr>
        <w:t>经过</w:t>
      </w:r>
      <w:r>
        <w:rPr>
          <w:rFonts w:hint="eastAsia" w:ascii="宋体" w:hAnsi="宋体" w:cs="宋体"/>
          <w:color w:val="auto"/>
          <w:kern w:val="2"/>
          <w:sz w:val="24"/>
          <w:highlight w:val="none"/>
          <w:lang w:val="en-US" w:eastAsia="zh-CN"/>
        </w:rPr>
        <w:t>框架协议</w:t>
      </w:r>
      <w:r>
        <w:rPr>
          <w:rFonts w:hint="eastAsia" w:ascii="宋体" w:hAnsi="宋体" w:cs="宋体"/>
          <w:color w:val="auto"/>
          <w:kern w:val="2"/>
          <w:sz w:val="24"/>
          <w:highlight w:val="none"/>
        </w:rPr>
        <w:t>招标，确定乙方为</w:t>
      </w:r>
      <w:r>
        <w:rPr>
          <w:rFonts w:hint="eastAsia" w:ascii="宋体" w:hAnsi="宋体" w:cs="宋体"/>
          <w:color w:val="auto"/>
          <w:kern w:val="2"/>
          <w:sz w:val="24"/>
          <w:highlight w:val="none"/>
          <w:u w:val="none"/>
        </w:rPr>
        <w:t xml:space="preserve">                 </w:t>
      </w:r>
      <w:r>
        <w:rPr>
          <w:rFonts w:hint="eastAsia" w:ascii="宋体" w:hAnsi="宋体" w:cs="宋体"/>
          <w:color w:val="auto"/>
          <w:kern w:val="2"/>
          <w:sz w:val="24"/>
          <w:highlight w:val="none"/>
        </w:rPr>
        <w:t>（单位）</w:t>
      </w:r>
      <w:r>
        <w:rPr>
          <w:rFonts w:hint="eastAsia" w:ascii="宋体" w:hAnsi="宋体" w:cs="宋体"/>
          <w:color w:val="auto"/>
          <w:kern w:val="2"/>
          <w:sz w:val="24"/>
          <w:highlight w:val="none"/>
          <w:u w:val="none"/>
          <w:lang w:eastAsia="zh-CN"/>
        </w:rPr>
        <w:t>杭州市钱塘区2026-2028年政府投资项目</w:t>
      </w:r>
      <w:r>
        <w:rPr>
          <w:rFonts w:hint="eastAsia" w:ascii="宋体" w:hAnsi="宋体" w:eastAsia="宋体" w:cs="宋体"/>
          <w:color w:val="auto"/>
          <w:kern w:val="2"/>
          <w:sz w:val="24"/>
          <w:highlight w:val="none"/>
          <w:u w:val="none"/>
        </w:rPr>
        <w:t>工程造价咨询服务采购项目</w:t>
      </w:r>
      <w:r>
        <w:rPr>
          <w:rFonts w:hint="eastAsia" w:ascii="宋体" w:hAnsi="宋体" w:cs="宋体"/>
          <w:color w:val="auto"/>
          <w:kern w:val="2"/>
          <w:sz w:val="24"/>
          <w:highlight w:val="none"/>
        </w:rPr>
        <w:t>入围单位，为明确双方权利义务，经协商一致，签订本协议书。</w:t>
      </w:r>
    </w:p>
    <w:p w14:paraId="6396EAD1">
      <w:pPr>
        <w:widowControl/>
        <w:numPr>
          <w:ilvl w:val="0"/>
          <w:numId w:val="7"/>
        </w:numPr>
        <w:spacing w:line="360" w:lineRule="auto"/>
        <w:ind w:firstLine="482" w:firstLineChars="200"/>
        <w:rPr>
          <w:rFonts w:ascii="宋体" w:hAnsi="宋体" w:cs="宋体"/>
          <w:color w:val="auto"/>
          <w:sz w:val="24"/>
          <w:highlight w:val="none"/>
        </w:rPr>
      </w:pPr>
      <w:r>
        <w:rPr>
          <w:rFonts w:hint="eastAsia" w:ascii="宋体" w:hAnsi="宋体" w:cs="宋体"/>
          <w:b/>
          <w:color w:val="auto"/>
          <w:kern w:val="0"/>
          <w:sz w:val="24"/>
          <w:highlight w:val="none"/>
        </w:rPr>
        <w:t>收费标准：</w:t>
      </w:r>
    </w:p>
    <w:p w14:paraId="7AB7DD14">
      <w:pPr>
        <w:widowControl/>
        <w:numPr>
          <w:ilvl w:val="0"/>
          <w:numId w:val="8"/>
        </w:numPr>
        <w:spacing w:line="360" w:lineRule="auto"/>
        <w:ind w:firstLine="240" w:firstLineChars="100"/>
        <w:rPr>
          <w:rFonts w:hint="eastAsia" w:ascii="宋体" w:hAnsi="宋体" w:eastAsia="宋体" w:cs="宋体"/>
          <w:color w:val="auto"/>
          <w:kern w:val="2"/>
          <w:sz w:val="24"/>
          <w:highlight w:val="none"/>
          <w:lang w:val="zh-CN"/>
        </w:rPr>
      </w:pPr>
      <w:r>
        <w:rPr>
          <w:rFonts w:hint="eastAsia" w:ascii="宋体" w:hAnsi="宋体" w:eastAsia="宋体" w:cs="宋体"/>
          <w:color w:val="auto"/>
          <w:kern w:val="2"/>
          <w:sz w:val="24"/>
          <w:highlight w:val="none"/>
          <w:lang w:eastAsia="zh-CN"/>
        </w:rPr>
        <w:t>政府投资项目概算复核</w:t>
      </w:r>
      <w:r>
        <w:rPr>
          <w:rFonts w:hint="eastAsia" w:ascii="宋体" w:hAnsi="宋体" w:eastAsia="宋体" w:cs="宋体"/>
          <w:color w:val="auto"/>
          <w:kern w:val="2"/>
          <w:sz w:val="24"/>
          <w:highlight w:val="none"/>
          <w:lang w:val="en-US" w:eastAsia="zh-CN"/>
        </w:rPr>
        <w:t>服务</w:t>
      </w:r>
      <w:r>
        <w:rPr>
          <w:rFonts w:hint="eastAsia" w:ascii="宋体" w:hAnsi="宋体" w:eastAsia="宋体" w:cs="宋体"/>
          <w:color w:val="auto"/>
          <w:kern w:val="2"/>
          <w:sz w:val="24"/>
          <w:highlight w:val="none"/>
          <w:lang w:eastAsia="zh-CN"/>
        </w:rPr>
        <w:t>：</w:t>
      </w:r>
      <w:r>
        <w:rPr>
          <w:rFonts w:hint="eastAsia" w:ascii="宋体" w:hAnsi="宋体" w:eastAsia="宋体" w:cs="宋体"/>
          <w:color w:val="auto"/>
          <w:kern w:val="2"/>
          <w:sz w:val="24"/>
          <w:highlight w:val="none"/>
          <w:lang w:val="zh-CN"/>
        </w:rPr>
        <w:t>投标报价</w:t>
      </w:r>
      <w:r>
        <w:rPr>
          <w:rFonts w:hint="eastAsia" w:ascii="宋体" w:hAnsi="宋体" w:cs="宋体"/>
          <w:color w:val="auto"/>
          <w:kern w:val="2"/>
          <w:sz w:val="24"/>
          <w:highlight w:val="none"/>
          <w:lang w:val="zh-CN"/>
        </w:rPr>
        <w:t>以</w:t>
      </w:r>
      <w:r>
        <w:rPr>
          <w:rFonts w:hint="eastAsia" w:ascii="宋体" w:hAnsi="宋体" w:eastAsia="宋体" w:cs="宋体"/>
          <w:color w:val="auto"/>
          <w:kern w:val="2"/>
          <w:sz w:val="24"/>
          <w:highlight w:val="none"/>
          <w:lang w:val="zh-CN"/>
        </w:rPr>
        <w:t>《基准收费标准》(附表1)</w:t>
      </w:r>
      <w:r>
        <w:rPr>
          <w:rFonts w:hint="eastAsia" w:ascii="宋体" w:hAnsi="宋体" w:cs="宋体"/>
          <w:color w:val="auto"/>
          <w:kern w:val="2"/>
          <w:sz w:val="24"/>
          <w:highlight w:val="none"/>
          <w:lang w:val="zh-CN"/>
        </w:rPr>
        <w:t>为基础，优惠率为</w:t>
      </w:r>
      <w:r>
        <w:rPr>
          <w:rFonts w:hint="eastAsia" w:ascii="宋体" w:hAnsi="宋体" w:eastAsia="宋体" w:cs="宋体"/>
          <w:color w:val="auto"/>
          <w:kern w:val="2"/>
          <w:sz w:val="24"/>
          <w:highlight w:val="none"/>
          <w:lang w:val="zh-CN"/>
        </w:rPr>
        <w:t xml:space="preserve">     %；</w:t>
      </w:r>
    </w:p>
    <w:p w14:paraId="55B86EAC">
      <w:pPr>
        <w:widowControl/>
        <w:numPr>
          <w:ilvl w:val="-1"/>
          <w:numId w:val="0"/>
        </w:numPr>
        <w:spacing w:line="360" w:lineRule="auto"/>
        <w:ind w:firstLine="0" w:firstLineChars="0"/>
        <w:rPr>
          <w:rFonts w:hint="eastAsia" w:ascii="宋体" w:hAnsi="宋体" w:eastAsia="宋体" w:cs="宋体"/>
          <w:color w:val="auto"/>
          <w:kern w:val="2"/>
          <w:sz w:val="24"/>
          <w:highlight w:val="none"/>
          <w:lang w:val="zh-CN"/>
        </w:rPr>
      </w:pPr>
      <w:r>
        <w:rPr>
          <w:rFonts w:hint="eastAsia" w:ascii="宋体" w:hAnsi="宋体" w:cs="宋体"/>
          <w:color w:val="auto"/>
          <w:sz w:val="24"/>
          <w:highlight w:val="none"/>
          <w:lang w:val="en-US" w:eastAsia="zh-CN"/>
        </w:rPr>
        <w:t xml:space="preserve">  2、</w:t>
      </w:r>
      <w:r>
        <w:rPr>
          <w:rFonts w:hint="eastAsia" w:ascii="宋体" w:hAnsi="宋体" w:eastAsia="宋体" w:cs="宋体"/>
          <w:color w:val="auto"/>
          <w:kern w:val="2"/>
          <w:sz w:val="24"/>
          <w:highlight w:val="none"/>
          <w:lang w:eastAsia="zh-CN"/>
        </w:rPr>
        <w:t>政府投资项目</w:t>
      </w:r>
      <w:r>
        <w:rPr>
          <w:rFonts w:hint="eastAsia" w:ascii="宋体" w:hAnsi="宋体" w:eastAsia="宋体" w:cs="宋体"/>
          <w:color w:val="auto"/>
          <w:kern w:val="2"/>
          <w:sz w:val="24"/>
          <w:highlight w:val="none"/>
          <w:lang w:val="en-US" w:eastAsia="zh-CN"/>
        </w:rPr>
        <w:sym w:font="Wingdings 2" w:char="00A3"/>
      </w:r>
      <w:r>
        <w:rPr>
          <w:rFonts w:hint="eastAsia" w:ascii="宋体" w:hAnsi="宋体" w:eastAsia="宋体" w:cs="宋体"/>
          <w:color w:val="auto"/>
          <w:kern w:val="2"/>
          <w:sz w:val="24"/>
          <w:highlight w:val="none"/>
          <w:lang w:val="en-US" w:eastAsia="zh-CN"/>
        </w:rPr>
        <w:t>结算初核、</w:t>
      </w:r>
      <w:r>
        <w:rPr>
          <w:rFonts w:hint="eastAsia" w:ascii="宋体" w:hAnsi="宋体" w:eastAsia="宋体" w:cs="宋体"/>
          <w:color w:val="auto"/>
          <w:kern w:val="2"/>
          <w:sz w:val="24"/>
          <w:highlight w:val="none"/>
          <w:lang w:val="en-US" w:eastAsia="zh-CN"/>
        </w:rPr>
        <w:sym w:font="Wingdings 2" w:char="00A3"/>
      </w:r>
      <w:r>
        <w:rPr>
          <w:rFonts w:hint="eastAsia" w:ascii="宋体" w:hAnsi="宋体" w:eastAsia="宋体" w:cs="宋体"/>
          <w:color w:val="auto"/>
          <w:kern w:val="2"/>
          <w:sz w:val="24"/>
          <w:highlight w:val="none"/>
        </w:rPr>
        <w:t>结算复核</w:t>
      </w:r>
      <w:r>
        <w:rPr>
          <w:rFonts w:hint="eastAsia" w:ascii="宋体" w:hAnsi="宋体" w:eastAsia="宋体" w:cs="宋体"/>
          <w:color w:val="auto"/>
          <w:kern w:val="2"/>
          <w:sz w:val="24"/>
          <w:highlight w:val="none"/>
          <w:lang w:val="en-US" w:eastAsia="zh-CN"/>
        </w:rPr>
        <w:t>、</w:t>
      </w:r>
      <w:r>
        <w:rPr>
          <w:rFonts w:hint="eastAsia" w:ascii="宋体" w:hAnsi="宋体" w:eastAsia="宋体" w:cs="宋体"/>
          <w:color w:val="auto"/>
          <w:kern w:val="2"/>
          <w:sz w:val="24"/>
          <w:highlight w:val="none"/>
          <w:lang w:val="en-US" w:eastAsia="zh-CN"/>
        </w:rPr>
        <w:sym w:font="Wingdings 2" w:char="00A3"/>
      </w:r>
      <w:r>
        <w:rPr>
          <w:rFonts w:hint="eastAsia" w:ascii="宋体" w:hAnsi="宋体" w:eastAsia="宋体" w:cs="宋体"/>
          <w:color w:val="auto"/>
          <w:kern w:val="2"/>
          <w:sz w:val="24"/>
          <w:highlight w:val="none"/>
        </w:rPr>
        <w:t>结算全面复核</w:t>
      </w:r>
      <w:r>
        <w:rPr>
          <w:rFonts w:hint="eastAsia" w:ascii="宋体" w:hAnsi="宋体" w:eastAsia="宋体" w:cs="宋体"/>
          <w:color w:val="auto"/>
          <w:kern w:val="2"/>
          <w:sz w:val="24"/>
          <w:highlight w:val="none"/>
          <w:lang w:val="en-US" w:eastAsia="zh-CN"/>
        </w:rPr>
        <w:t>及其他类型的造价咨询服务</w:t>
      </w:r>
      <w:r>
        <w:rPr>
          <w:rFonts w:hint="eastAsia" w:ascii="宋体" w:hAnsi="宋体" w:eastAsia="宋体" w:cs="宋体"/>
          <w:color w:val="auto"/>
          <w:kern w:val="2"/>
          <w:sz w:val="24"/>
          <w:highlight w:val="none"/>
          <w:lang w:eastAsia="zh-CN"/>
        </w:rPr>
        <w:t>：</w:t>
      </w:r>
      <w:r>
        <w:rPr>
          <w:rFonts w:hint="eastAsia" w:ascii="宋体" w:hAnsi="宋体" w:eastAsia="宋体" w:cs="宋体"/>
          <w:color w:val="auto"/>
          <w:kern w:val="2"/>
          <w:sz w:val="24"/>
          <w:highlight w:val="none"/>
          <w:lang w:val="zh-CN"/>
        </w:rPr>
        <w:t>投标报价</w:t>
      </w:r>
      <w:r>
        <w:rPr>
          <w:rFonts w:hint="eastAsia" w:ascii="宋体" w:hAnsi="宋体" w:cs="宋体"/>
          <w:color w:val="auto"/>
          <w:kern w:val="2"/>
          <w:sz w:val="24"/>
          <w:highlight w:val="none"/>
          <w:lang w:val="zh-CN"/>
        </w:rPr>
        <w:t>以</w:t>
      </w:r>
      <w:r>
        <w:rPr>
          <w:rFonts w:hint="eastAsia" w:ascii="宋体" w:hAnsi="宋体" w:eastAsia="宋体" w:cs="宋体"/>
          <w:color w:val="auto"/>
          <w:kern w:val="2"/>
          <w:sz w:val="24"/>
          <w:highlight w:val="none"/>
          <w:lang w:val="zh-CN"/>
        </w:rPr>
        <w:t>《基准收费标准》(附表1)</w:t>
      </w:r>
      <w:r>
        <w:rPr>
          <w:rFonts w:hint="eastAsia" w:ascii="宋体" w:hAnsi="宋体" w:cs="宋体"/>
          <w:color w:val="auto"/>
          <w:kern w:val="2"/>
          <w:sz w:val="24"/>
          <w:highlight w:val="none"/>
          <w:lang w:val="zh-CN"/>
        </w:rPr>
        <w:t>为基础，优惠率为</w:t>
      </w:r>
      <w:r>
        <w:rPr>
          <w:rFonts w:hint="eastAsia" w:ascii="宋体" w:hAnsi="宋体" w:eastAsia="宋体" w:cs="宋体"/>
          <w:color w:val="auto"/>
          <w:kern w:val="2"/>
          <w:sz w:val="24"/>
          <w:highlight w:val="none"/>
          <w:lang w:val="zh-CN"/>
        </w:rPr>
        <w:t xml:space="preserve">     %。</w:t>
      </w:r>
    </w:p>
    <w:p w14:paraId="21AEDF1D">
      <w:pPr>
        <w:widowControl/>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二、服务内容</w:t>
      </w:r>
    </w:p>
    <w:p w14:paraId="508C09A0">
      <w:pPr>
        <w:widowControl/>
        <w:numPr>
          <w:ilvl w:val="0"/>
          <w:numId w:val="0"/>
        </w:numPr>
        <w:snapToGrid/>
        <w:spacing w:line="360" w:lineRule="auto"/>
        <w:ind w:firstLine="240" w:firstLineChars="100"/>
        <w:rPr>
          <w:rFonts w:hint="eastAsia" w:ascii="宋体" w:hAnsi="宋体" w:eastAsia="宋体" w:cs="宋体"/>
          <w:color w:val="auto"/>
          <w:sz w:val="24"/>
          <w:highlight w:val="none"/>
        </w:rPr>
      </w:pPr>
      <w:r>
        <w:rPr>
          <w:rFonts w:hint="eastAsia" w:ascii="宋体" w:hAnsi="宋体" w:cs="宋体"/>
          <w:color w:val="auto"/>
          <w:kern w:val="2"/>
          <w:sz w:val="24"/>
          <w:highlight w:val="none"/>
        </w:rPr>
        <w:t>政府投资项目造价咨询服务，包括：</w:t>
      </w:r>
      <w:r>
        <w:rPr>
          <w:rFonts w:hint="eastAsia" w:ascii="宋体" w:hAnsi="宋体" w:eastAsia="宋体" w:cs="宋体"/>
          <w:color w:val="auto"/>
          <w:kern w:val="2"/>
          <w:sz w:val="24"/>
          <w:highlight w:val="none"/>
          <w:lang w:val="en-US" w:eastAsia="zh-CN"/>
        </w:rPr>
        <w:t>政府投资项目</w:t>
      </w:r>
      <w:r>
        <w:rPr>
          <w:rFonts w:hint="eastAsia" w:ascii="宋体" w:hAnsi="宋体" w:eastAsia="宋体" w:cs="宋体"/>
          <w:color w:val="auto"/>
          <w:kern w:val="2"/>
          <w:sz w:val="24"/>
          <w:highlight w:val="none"/>
          <w:lang w:val="en-US" w:eastAsia="zh-CN"/>
        </w:rPr>
        <w:sym w:font="Wingdings 2" w:char="00A3"/>
      </w:r>
      <w:r>
        <w:rPr>
          <w:rFonts w:hint="eastAsia" w:ascii="宋体" w:hAnsi="宋体" w:eastAsia="宋体" w:cs="宋体"/>
          <w:color w:val="auto"/>
          <w:kern w:val="2"/>
          <w:sz w:val="24"/>
          <w:highlight w:val="none"/>
          <w:lang w:val="en-US" w:eastAsia="zh-CN"/>
        </w:rPr>
        <w:t>概算复核、</w:t>
      </w:r>
      <w:r>
        <w:rPr>
          <w:rFonts w:hint="eastAsia" w:ascii="宋体" w:hAnsi="宋体" w:eastAsia="宋体" w:cs="宋体"/>
          <w:color w:val="auto"/>
          <w:kern w:val="2"/>
          <w:sz w:val="24"/>
          <w:highlight w:val="none"/>
          <w:lang w:val="en-US" w:eastAsia="zh-CN"/>
        </w:rPr>
        <w:sym w:font="Wingdings 2" w:char="00A3"/>
      </w:r>
      <w:r>
        <w:rPr>
          <w:rFonts w:hint="eastAsia" w:ascii="宋体" w:hAnsi="宋体" w:eastAsia="宋体" w:cs="宋体"/>
          <w:color w:val="auto"/>
          <w:kern w:val="2"/>
          <w:sz w:val="24"/>
          <w:highlight w:val="none"/>
          <w:lang w:val="en-US" w:eastAsia="zh-CN"/>
        </w:rPr>
        <w:t>结算初核、</w:t>
      </w:r>
      <w:r>
        <w:rPr>
          <w:rFonts w:hint="eastAsia" w:ascii="宋体" w:hAnsi="宋体" w:eastAsia="宋体" w:cs="宋体"/>
          <w:color w:val="auto"/>
          <w:kern w:val="2"/>
          <w:sz w:val="24"/>
          <w:highlight w:val="none"/>
          <w:lang w:val="en-US" w:eastAsia="zh-CN"/>
        </w:rPr>
        <w:sym w:font="Wingdings 2" w:char="00A3"/>
      </w:r>
      <w:r>
        <w:rPr>
          <w:rFonts w:hint="eastAsia" w:ascii="宋体" w:hAnsi="宋体" w:eastAsia="宋体" w:cs="宋体"/>
          <w:color w:val="auto"/>
          <w:kern w:val="2"/>
          <w:sz w:val="24"/>
          <w:highlight w:val="none"/>
        </w:rPr>
        <w:t>结算复核</w:t>
      </w:r>
      <w:r>
        <w:rPr>
          <w:rFonts w:hint="eastAsia" w:ascii="宋体" w:hAnsi="宋体" w:eastAsia="宋体" w:cs="宋体"/>
          <w:color w:val="auto"/>
          <w:kern w:val="2"/>
          <w:sz w:val="24"/>
          <w:highlight w:val="none"/>
          <w:lang w:val="en-US" w:eastAsia="zh-CN"/>
        </w:rPr>
        <w:t>、</w:t>
      </w:r>
      <w:r>
        <w:rPr>
          <w:rFonts w:hint="eastAsia" w:ascii="宋体" w:hAnsi="宋体" w:eastAsia="宋体" w:cs="宋体"/>
          <w:color w:val="auto"/>
          <w:kern w:val="2"/>
          <w:sz w:val="24"/>
          <w:highlight w:val="none"/>
          <w:lang w:val="en-US" w:eastAsia="zh-CN"/>
        </w:rPr>
        <w:sym w:font="Wingdings 2" w:char="00A3"/>
      </w:r>
      <w:r>
        <w:rPr>
          <w:rFonts w:hint="eastAsia" w:ascii="宋体" w:hAnsi="宋体" w:eastAsia="宋体" w:cs="宋体"/>
          <w:color w:val="auto"/>
          <w:kern w:val="2"/>
          <w:sz w:val="24"/>
          <w:highlight w:val="none"/>
        </w:rPr>
        <w:t>结算全面复核</w:t>
      </w:r>
      <w:r>
        <w:rPr>
          <w:rFonts w:hint="eastAsia" w:ascii="宋体" w:hAnsi="宋体" w:eastAsia="宋体" w:cs="宋体"/>
          <w:color w:val="auto"/>
          <w:kern w:val="2"/>
          <w:sz w:val="24"/>
          <w:highlight w:val="none"/>
          <w:lang w:val="en-US" w:eastAsia="zh-CN"/>
        </w:rPr>
        <w:t>及其他类型的造价咨询服务</w:t>
      </w:r>
      <w:r>
        <w:rPr>
          <w:rFonts w:hint="eastAsia" w:ascii="宋体" w:hAnsi="宋体" w:eastAsia="宋体" w:cs="宋体"/>
          <w:color w:val="auto"/>
          <w:kern w:val="2"/>
          <w:sz w:val="24"/>
          <w:highlight w:val="none"/>
        </w:rPr>
        <w:t>。</w:t>
      </w:r>
    </w:p>
    <w:p w14:paraId="2CF962C5">
      <w:pPr>
        <w:widowControl/>
        <w:numPr>
          <w:ilvl w:val="0"/>
          <w:numId w:val="0"/>
        </w:numPr>
        <w:snapToGrid/>
        <w:spacing w:line="360" w:lineRule="auto"/>
        <w:ind w:firstLine="240" w:firstLineChars="100"/>
        <w:rPr>
          <w:rFonts w:hint="eastAsia" w:ascii="宋体" w:hAnsi="宋体" w:cs="宋体"/>
          <w:color w:val="auto"/>
          <w:kern w:val="2"/>
          <w:sz w:val="24"/>
          <w:highlight w:val="none"/>
        </w:rPr>
      </w:pPr>
      <w:r>
        <w:rPr>
          <w:rFonts w:hint="eastAsia" w:ascii="宋体" w:hAnsi="宋体" w:cs="宋体"/>
          <w:color w:val="auto"/>
          <w:kern w:val="2"/>
          <w:sz w:val="24"/>
          <w:highlight w:val="none"/>
          <w:lang w:val="en-US" w:eastAsia="zh-CN"/>
        </w:rPr>
        <w:t>服务期内，甲方委托乙方实施</w:t>
      </w:r>
      <w:r>
        <w:rPr>
          <w:rFonts w:hint="eastAsia" w:ascii="宋体" w:hAnsi="宋体" w:cs="宋体"/>
          <w:color w:val="auto"/>
          <w:kern w:val="2"/>
          <w:sz w:val="24"/>
          <w:highlight w:val="none"/>
        </w:rPr>
        <w:t>政府投资项目造价咨询服务</w:t>
      </w:r>
      <w:r>
        <w:rPr>
          <w:rFonts w:hint="eastAsia" w:ascii="宋体" w:hAnsi="宋体" w:cs="宋体"/>
          <w:color w:val="auto"/>
          <w:kern w:val="2"/>
          <w:sz w:val="24"/>
          <w:highlight w:val="none"/>
          <w:lang w:val="en-US" w:eastAsia="zh-CN"/>
        </w:rPr>
        <w:t>的，双方</w:t>
      </w:r>
      <w:r>
        <w:rPr>
          <w:rFonts w:hint="eastAsia" w:ascii="宋体" w:hAnsi="宋体" w:cs="宋体"/>
          <w:color w:val="auto"/>
          <w:kern w:val="2"/>
          <w:sz w:val="24"/>
          <w:highlight w:val="none"/>
        </w:rPr>
        <w:t>应就具体项目签订</w:t>
      </w:r>
      <w:r>
        <w:rPr>
          <w:rFonts w:hint="eastAsia" w:ascii="宋体" w:hAnsi="宋体" w:cs="宋体"/>
          <w:b w:val="0"/>
          <w:bCs w:val="0"/>
          <w:color w:val="auto"/>
          <w:kern w:val="2"/>
          <w:sz w:val="24"/>
          <w:highlight w:val="none"/>
        </w:rPr>
        <w:t>造价咨询合同。</w:t>
      </w:r>
    </w:p>
    <w:p w14:paraId="0EB9FEA5">
      <w:pPr>
        <w:widowControl/>
        <w:spacing w:line="360" w:lineRule="auto"/>
        <w:ind w:firstLine="482" w:firstLineChars="200"/>
        <w:rPr>
          <w:rFonts w:ascii="宋体" w:hAnsi="宋体" w:cs="宋体"/>
          <w:color w:val="auto"/>
          <w:sz w:val="24"/>
          <w:highlight w:val="none"/>
        </w:rPr>
      </w:pPr>
      <w:r>
        <w:rPr>
          <w:rFonts w:hint="eastAsia" w:ascii="宋体" w:hAnsi="宋体" w:cs="宋体"/>
          <w:b/>
          <w:color w:val="auto"/>
          <w:kern w:val="0"/>
          <w:sz w:val="24"/>
          <w:highlight w:val="none"/>
        </w:rPr>
        <w:t>三、下列文件均为本协议的组成部分：</w:t>
      </w:r>
    </w:p>
    <w:p w14:paraId="637D9F43">
      <w:pPr>
        <w:widowControl/>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1.本协议书</w:t>
      </w:r>
    </w:p>
    <w:p w14:paraId="09C04C58">
      <w:pPr>
        <w:widowControl/>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2.入围通知书</w:t>
      </w:r>
    </w:p>
    <w:p w14:paraId="3E2696C9">
      <w:pPr>
        <w:widowControl/>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3.征集文件</w:t>
      </w:r>
    </w:p>
    <w:p w14:paraId="155C6A09">
      <w:pPr>
        <w:widowControl/>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4.变更补充文件</w:t>
      </w:r>
    </w:p>
    <w:p w14:paraId="33F9BF7C">
      <w:pPr>
        <w:widowControl/>
        <w:numPr>
          <w:ilvl w:val="0"/>
          <w:numId w:val="0"/>
        </w:numPr>
        <w:spacing w:line="360" w:lineRule="auto"/>
        <w:ind w:firstLine="240" w:firstLineChars="100"/>
        <w:rPr>
          <w:rFonts w:hint="eastAsia" w:ascii="宋体" w:hAnsi="宋体" w:cs="宋体"/>
          <w:color w:val="auto"/>
          <w:sz w:val="24"/>
          <w:highlight w:val="none"/>
        </w:rPr>
      </w:pPr>
      <w:r>
        <w:rPr>
          <w:rFonts w:hint="eastAsia" w:ascii="宋体" w:hAnsi="宋体" w:cs="宋体"/>
          <w:color w:val="auto"/>
          <w:sz w:val="24"/>
          <w:highlight w:val="none"/>
        </w:rPr>
        <w:t>5.入围单位投标文件</w:t>
      </w:r>
    </w:p>
    <w:p w14:paraId="677CE947">
      <w:pPr>
        <w:widowControl/>
        <w:numPr>
          <w:ilvl w:val="0"/>
          <w:numId w:val="0"/>
        </w:numPr>
        <w:spacing w:line="360" w:lineRule="auto"/>
        <w:ind w:firstLine="240" w:firstLineChars="100"/>
        <w:rPr>
          <w:rFonts w:hint="eastAsia" w:ascii="宋体" w:hAnsi="宋体" w:eastAsia="宋体" w:cs="宋体"/>
          <w:color w:val="auto"/>
          <w:sz w:val="24"/>
          <w:highlight w:val="none"/>
          <w:lang w:eastAsia="zh-CN"/>
        </w:rPr>
      </w:pPr>
      <w:r>
        <w:rPr>
          <w:rFonts w:hint="eastAsia" w:ascii="宋体" w:hAnsi="宋体" w:cs="宋体"/>
          <w:color w:val="auto"/>
          <w:sz w:val="24"/>
          <w:highlight w:val="none"/>
        </w:rPr>
        <w:t>6.</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钱塘区限额以上政府投资项目委托评审管理细则</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钱评审发[202</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]1号</w:t>
      </w:r>
      <w:r>
        <w:rPr>
          <w:rFonts w:hint="eastAsia" w:ascii="宋体" w:hAnsi="宋体" w:eastAsia="宋体" w:cs="宋体"/>
          <w:color w:val="auto"/>
          <w:sz w:val="24"/>
          <w:highlight w:val="none"/>
          <w:lang w:eastAsia="zh-CN"/>
        </w:rPr>
        <w:t>）</w:t>
      </w:r>
      <w:r>
        <w:rPr>
          <w:rFonts w:hint="eastAsia" w:ascii="宋体" w:hAnsi="宋体" w:cs="宋体"/>
          <w:color w:val="auto"/>
          <w:kern w:val="2"/>
          <w:sz w:val="24"/>
          <w:highlight w:val="none"/>
          <w:lang w:eastAsia="zh-CN"/>
        </w:rPr>
        <w:t>（注：有新文件出台，按新文件）</w:t>
      </w:r>
    </w:p>
    <w:p w14:paraId="163F3DC3">
      <w:pPr>
        <w:widowControl/>
        <w:numPr>
          <w:ilvl w:val="0"/>
          <w:numId w:val="0"/>
        </w:numPr>
        <w:spacing w:line="360" w:lineRule="auto"/>
        <w:ind w:firstLine="240" w:firstLineChars="1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7.其他</w:t>
      </w:r>
    </w:p>
    <w:p w14:paraId="0D3B07C1">
      <w:pPr>
        <w:widowControl/>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上述文件有冲突之处，效力以排序在前为优。但本协议签订之后的补充协议、会议纪要、新区管委会文件变更了上述文件内容的，变更后的内容效力优先，且以最新的补充协议、会议纪要、新区管委会文件等文件为准。</w:t>
      </w:r>
    </w:p>
    <w:p w14:paraId="1894A4D7">
      <w:pPr>
        <w:pStyle w:val="22"/>
        <w:numPr>
          <w:ilvl w:val="0"/>
          <w:numId w:val="9"/>
        </w:numPr>
        <w:rPr>
          <w:rFonts w:hint="eastAsia" w:ascii="宋体" w:hAnsi="宋体" w:eastAsia="宋体" w:cs="Times New Roman"/>
          <w:b/>
          <w:bCs/>
          <w:color w:val="auto"/>
          <w:highlight w:val="none"/>
          <w:lang w:val="en-US"/>
        </w:rPr>
      </w:pPr>
      <w:r>
        <w:rPr>
          <w:rFonts w:hint="eastAsia" w:ascii="宋体" w:hAnsi="宋体" w:eastAsia="宋体" w:cs="Times New Roman"/>
          <w:b/>
          <w:bCs/>
          <w:color w:val="auto"/>
          <w:highlight w:val="none"/>
          <w:lang w:val="en-US"/>
        </w:rPr>
        <w:t>甲方的权利和义务</w:t>
      </w:r>
    </w:p>
    <w:p w14:paraId="0F7CC7BD">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1.甲方负责将被审核项目的资料移交给乙方。</w:t>
      </w:r>
    </w:p>
    <w:p w14:paraId="14DE35D0">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2.甲方负责对乙方的审核质量、履约情况和现场工作进行监督管理及考核。</w:t>
      </w:r>
    </w:p>
    <w:p w14:paraId="71E0038C">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3.甲方负责做好乙方与被审核单位之间的沟通及重大争议问题的协调。 </w:t>
      </w:r>
    </w:p>
    <w:p w14:paraId="7132E7D7">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4.甲方有权要求乙方提供阶段性成果的书面说明；有权复核或全面复核乙方的评审结论，并出具复评结果。</w:t>
      </w:r>
    </w:p>
    <w:p w14:paraId="1393CF44">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5.甲方按《钱塘区限额以上政府投资项目委托评审管理细则》（钱评审发〔202</w:t>
      </w:r>
      <w:r>
        <w:rPr>
          <w:rFonts w:hint="eastAsia" w:cs="宋体"/>
          <w:color w:val="auto"/>
          <w:highlight w:val="none"/>
          <w:lang w:val="en-US" w:eastAsia="zh-CN"/>
        </w:rPr>
        <w:t>4</w:t>
      </w:r>
      <w:r>
        <w:rPr>
          <w:rFonts w:hint="eastAsia" w:ascii="宋体" w:hAnsi="宋体" w:eastAsia="宋体" w:cs="宋体"/>
          <w:color w:val="auto"/>
          <w:highlight w:val="none"/>
          <w:lang w:val="en-US" w:eastAsia="zh-CN"/>
        </w:rPr>
        <w:t>〕1号）(详见附件）对乙方进行管理考核，如本协议履行过程中出台新文件的，按新文件执行。</w:t>
      </w:r>
    </w:p>
    <w:p w14:paraId="1C8F9C50">
      <w:pPr>
        <w:pStyle w:val="22"/>
        <w:numPr>
          <w:ilvl w:val="255"/>
          <w:numId w:val="0"/>
        </w:numPr>
        <w:snapToGrid w:val="0"/>
        <w:spacing w:line="360" w:lineRule="auto"/>
        <w:ind w:firstLine="480" w:firstLineChars="200"/>
        <w:rPr>
          <w:rFonts w:hint="eastAsia" w:cs="宋体"/>
          <w:color w:val="auto"/>
          <w:highlight w:val="none"/>
          <w:lang w:val="en-US"/>
        </w:rPr>
      </w:pPr>
      <w:r>
        <w:rPr>
          <w:rFonts w:hint="eastAsia" w:ascii="宋体" w:hAnsi="宋体" w:eastAsia="宋体" w:cs="宋体"/>
          <w:color w:val="auto"/>
          <w:highlight w:val="none"/>
          <w:lang w:val="en-US" w:eastAsia="zh-CN"/>
        </w:rPr>
        <w:t>6、甲方有权以书面通知的方式提前终止委托关系。非因乙方违约原因导致甲方提前书面通知终止的，甲方应就乙方已经完成的工作量按实与乙方结算。</w:t>
      </w:r>
    </w:p>
    <w:p w14:paraId="0C159F00">
      <w:pPr>
        <w:numPr>
          <w:ilvl w:val="255"/>
          <w:numId w:val="0"/>
        </w:numPr>
        <w:snapToGrid w:val="0"/>
        <w:spacing w:line="360" w:lineRule="auto"/>
        <w:ind w:firstLine="482" w:firstLineChars="200"/>
        <w:rPr>
          <w:rFonts w:hint="eastAsia" w:ascii="宋体" w:hAnsi="宋体" w:eastAsia="宋体" w:cs="宋体"/>
          <w:color w:val="auto"/>
          <w:highlight w:val="none"/>
          <w:lang w:val="en-US" w:eastAsia="zh-CN"/>
        </w:rPr>
      </w:pPr>
      <w:r>
        <w:rPr>
          <w:rFonts w:hint="eastAsia" w:ascii="宋体" w:hAnsi="宋体" w:cs="宋体"/>
          <w:b/>
          <w:bCs/>
          <w:color w:val="auto"/>
          <w:kern w:val="0"/>
          <w:sz w:val="24"/>
          <w:highlight w:val="none"/>
          <w:lang w:eastAsia="zh-CN"/>
        </w:rPr>
        <w:t>五</w:t>
      </w:r>
      <w:r>
        <w:rPr>
          <w:rFonts w:hint="eastAsia" w:ascii="宋体" w:hAnsi="宋体" w:cs="宋体"/>
          <w:b/>
          <w:bCs/>
          <w:color w:val="auto"/>
          <w:kern w:val="0"/>
          <w:sz w:val="24"/>
          <w:highlight w:val="none"/>
        </w:rPr>
        <w:t>、乙方的责任</w:t>
      </w:r>
    </w:p>
    <w:p w14:paraId="19152BF9">
      <w:pPr>
        <w:pStyle w:val="22"/>
        <w:numPr>
          <w:ilvl w:val="255"/>
          <w:numId w:val="0"/>
        </w:num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1.自觉遵守财政部《财政投资评审管理规定》、《财政投资评审质量控制办法（试行）》，建设部《工程造价咨询企业管理办法》，浙江省建设工程造价管理总站《浙江省建设工程造价咨询执业操作规程》，</w:t>
      </w:r>
      <w:r>
        <w:rPr>
          <w:rFonts w:hint="eastAsia" w:ascii="宋体" w:hAnsi="宋体" w:eastAsia="宋体" w:cs="宋体"/>
          <w:color w:val="auto"/>
          <w:highlight w:val="none"/>
          <w:lang w:val="en-US" w:eastAsia="zh-CN"/>
        </w:rPr>
        <w:t>钱塘</w:t>
      </w:r>
      <w:r>
        <w:rPr>
          <w:rFonts w:hint="eastAsia" w:ascii="宋体" w:hAnsi="宋体" w:eastAsia="宋体" w:cs="宋体"/>
          <w:color w:val="auto"/>
          <w:highlight w:val="none"/>
        </w:rPr>
        <w:t>区最新文件等有关规定，严格执行评审廉政纪律和职业道德，保守评审秘密和工程资料数据的秘密。</w:t>
      </w:r>
    </w:p>
    <w:p w14:paraId="22FA67B5">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2.</w:t>
      </w:r>
      <w:r>
        <w:rPr>
          <w:rFonts w:hint="eastAsia" w:ascii="宋体" w:hAnsi="宋体" w:eastAsia="宋体" w:cs="宋体"/>
          <w:color w:val="auto"/>
          <w:highlight w:val="none"/>
          <w:lang w:val="en-US" w:eastAsia="zh-CN"/>
        </w:rPr>
        <w:t>乙方应确保项目评审工作质量，按甲方及</w:t>
      </w:r>
      <w:r>
        <w:rPr>
          <w:rFonts w:hint="eastAsia" w:cs="宋体"/>
          <w:color w:val="auto"/>
          <w:highlight w:val="none"/>
          <w:lang w:val="en-US" w:eastAsia="zh-CN"/>
        </w:rPr>
        <w:t>征集</w:t>
      </w:r>
      <w:r>
        <w:rPr>
          <w:rFonts w:hint="eastAsia" w:ascii="宋体" w:hAnsi="宋体" w:eastAsia="宋体" w:cs="宋体"/>
          <w:color w:val="auto"/>
          <w:highlight w:val="none"/>
          <w:lang w:val="en-US" w:eastAsia="zh-CN"/>
        </w:rPr>
        <w:t>文件时间要求完成评审工作。项目评审应当严格遵守国家的有关法律、法规、</w:t>
      </w:r>
      <w:bookmarkStart w:id="44" w:name="_Hlk71978306"/>
      <w:r>
        <w:rPr>
          <w:rFonts w:hint="eastAsia" w:ascii="宋体" w:hAnsi="宋体" w:eastAsia="宋体" w:cs="宋体"/>
          <w:color w:val="auto"/>
          <w:highlight w:val="none"/>
          <w:lang w:val="en-US" w:eastAsia="zh-CN"/>
        </w:rPr>
        <w:t>制度及有关执业规范要求</w:t>
      </w:r>
      <w:bookmarkEnd w:id="44"/>
      <w:r>
        <w:rPr>
          <w:rFonts w:hint="eastAsia" w:ascii="宋体" w:hAnsi="宋体" w:eastAsia="宋体" w:cs="宋体"/>
          <w:color w:val="auto"/>
          <w:highlight w:val="none"/>
          <w:lang w:val="en-US" w:eastAsia="zh-CN"/>
        </w:rPr>
        <w:t>，乙方对评审意见的真实性、完整性、合法性、准确性负法律责任。乙方出具的评审报告只向甲方提供，不得自行提供给施工单位、建设单位或其他单位，对提供虚假评审报告或自行对外提供评审报告的，甲方可终止</w:t>
      </w:r>
      <w:r>
        <w:rPr>
          <w:rFonts w:hint="eastAsia" w:cs="宋体"/>
          <w:color w:val="auto"/>
          <w:highlight w:val="none"/>
          <w:lang w:val="en-US" w:eastAsia="zh-CN"/>
        </w:rPr>
        <w:t>本</w:t>
      </w:r>
      <w:r>
        <w:rPr>
          <w:rFonts w:hint="eastAsia" w:ascii="宋体" w:hAnsi="宋体" w:eastAsia="宋体" w:cs="宋体"/>
          <w:color w:val="auto"/>
          <w:highlight w:val="none"/>
          <w:lang w:val="en-US" w:eastAsia="zh-CN"/>
        </w:rPr>
        <w:t>协议，情节严重的，将依法追究乙方和相关责任人的法律责任。</w:t>
      </w:r>
    </w:p>
    <w:p w14:paraId="511EE54D">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3</w:t>
      </w:r>
      <w:r>
        <w:rPr>
          <w:rFonts w:hint="eastAsia" w:ascii="宋体" w:hAnsi="宋体" w:eastAsia="宋体" w:cs="宋体"/>
          <w:color w:val="auto"/>
          <w:highlight w:val="none"/>
          <w:lang w:val="en-US" w:eastAsia="zh-CN"/>
        </w:rPr>
        <w:t>.乙方应建立三级复核制度，并在提交评审稿的同时提交内部复核流程意见单（需要三级签字盖章并签署明确复核意见）。</w:t>
      </w:r>
    </w:p>
    <w:p w14:paraId="0B939536">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4</w:t>
      </w:r>
      <w:r>
        <w:rPr>
          <w:rFonts w:hint="eastAsia" w:ascii="宋体" w:hAnsi="宋体" w:eastAsia="宋体" w:cs="宋体"/>
          <w:color w:val="auto"/>
          <w:highlight w:val="none"/>
          <w:lang w:val="en-US" w:eastAsia="zh-CN"/>
        </w:rPr>
        <w:t>.在完成项目评审时，乙方需出具评审报告，并按要求做好造价指标统计，并在15日内按照相关法律法规要求做好资料归档工作。</w:t>
      </w:r>
    </w:p>
    <w:p w14:paraId="37B11751">
      <w:pPr>
        <w:pStyle w:val="22"/>
        <w:widowControl/>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5</w:t>
      </w:r>
      <w:r>
        <w:rPr>
          <w:rFonts w:hint="eastAsia" w:ascii="宋体" w:hAnsi="宋体" w:eastAsia="宋体" w:cs="宋体"/>
          <w:color w:val="auto"/>
          <w:highlight w:val="none"/>
          <w:lang w:val="en-US" w:eastAsia="zh-CN"/>
        </w:rPr>
        <w:t>.乙方应组建评审小组，项目负责人任组长，总牵头与甲方对接与沟通，评审小组中应配备一级注册造价工程师   名，专业造价人员   至   名。乙方在</w:t>
      </w:r>
      <w:r>
        <w:rPr>
          <w:rFonts w:hint="eastAsia" w:ascii="宋体" w:hAnsi="宋体" w:cs="宋体"/>
          <w:color w:val="auto"/>
          <w:highlight w:val="none"/>
          <w:lang w:val="en-US" w:eastAsia="zh-CN"/>
        </w:rPr>
        <w:t>本协议</w:t>
      </w:r>
      <w:r>
        <w:rPr>
          <w:rFonts w:hint="eastAsia" w:ascii="宋体" w:hAnsi="宋体" w:eastAsia="宋体" w:cs="宋体"/>
          <w:color w:val="auto"/>
          <w:highlight w:val="none"/>
          <w:lang w:val="en-US" w:eastAsia="zh-CN"/>
        </w:rPr>
        <w:t>签订时确定审核人员名单，未经甲方批准不得随意更换审核人员。乙方对审核业务不得转包，不得用未经批准的审核人员进行审核。</w:t>
      </w:r>
    </w:p>
    <w:p w14:paraId="39D1ADB5">
      <w:pPr>
        <w:pStyle w:val="22"/>
        <w:widowControl/>
        <w:numPr>
          <w:ilvl w:val="255"/>
          <w:numId w:val="0"/>
        </w:numPr>
        <w:snapToGrid w:val="0"/>
        <w:spacing w:line="360" w:lineRule="auto"/>
        <w:ind w:firstLine="480" w:firstLineChars="200"/>
        <w:rPr>
          <w:rFonts w:hint="eastAsia" w:ascii="宋体" w:hAnsi="宋体" w:eastAsia="宋体" w:cs="宋体"/>
          <w:color w:val="auto"/>
          <w:highlight w:val="none"/>
        </w:rPr>
      </w:pPr>
      <w:r>
        <w:rPr>
          <w:rFonts w:hint="eastAsia" w:ascii="宋体" w:hAnsi="宋体" w:cs="宋体"/>
          <w:color w:val="auto"/>
          <w:sz w:val="24"/>
          <w:highlight w:val="none"/>
          <w:lang w:val="en-US" w:eastAsia="zh-CN"/>
        </w:rPr>
        <w:t>6</w:t>
      </w:r>
      <w:r>
        <w:rPr>
          <w:rFonts w:hint="eastAsia" w:ascii="宋体" w:hAnsi="宋体" w:eastAsia="宋体" w:cs="宋体"/>
          <w:color w:val="auto"/>
          <w:highlight w:val="none"/>
        </w:rPr>
        <w:t>.乙方审核人员在审核时，应当客观公正、实事求是、遵守国家(省、市)各项技术规范与计算规则，并保持严谨、稳健、负责的职业态度，保证报告的真实性及合法性。项目审核中，应严格遵守审核纪律、规范审核行为。</w:t>
      </w:r>
    </w:p>
    <w:p w14:paraId="208C3DE5">
      <w:pPr>
        <w:pStyle w:val="22"/>
        <w:numPr>
          <w:ilvl w:val="255"/>
          <w:numId w:val="0"/>
        </w:numPr>
        <w:snapToGrid w:val="0"/>
        <w:spacing w:line="360" w:lineRule="auto"/>
        <w:ind w:firstLine="480" w:firstLineChars="200"/>
        <w:rPr>
          <w:rFonts w:hint="eastAsia" w:ascii="宋体" w:hAnsi="宋体" w:eastAsia="宋体" w:cs="宋体"/>
          <w:color w:val="auto"/>
          <w:highlight w:val="none"/>
        </w:rPr>
      </w:pPr>
      <w:r>
        <w:rPr>
          <w:rFonts w:hint="eastAsia" w:ascii="宋体" w:hAnsi="宋体" w:cs="宋体"/>
          <w:color w:val="auto"/>
          <w:sz w:val="24"/>
          <w:highlight w:val="none"/>
          <w:lang w:eastAsia="zh-CN"/>
        </w:rPr>
        <w:t>7</w:t>
      </w:r>
      <w:r>
        <w:rPr>
          <w:rFonts w:hint="eastAsia" w:ascii="宋体" w:hAnsi="宋体" w:eastAsia="宋体" w:cs="宋体"/>
          <w:color w:val="auto"/>
          <w:highlight w:val="none"/>
        </w:rPr>
        <w:t>.乙方应严格按照甲方的有关规定和要求实施工程咨询服务，接受甲方的指导、监督和管理，同时按甲方的质量、进度格式要求及时提供审核结果、发表审核意见、反映审计中的主要问题、并提出加强管理的建议，并提供审核事项相关的评审资料。</w:t>
      </w:r>
    </w:p>
    <w:p w14:paraId="04565A43">
      <w:pPr>
        <w:pStyle w:val="22"/>
        <w:numPr>
          <w:ilvl w:val="255"/>
          <w:numId w:val="0"/>
        </w:numPr>
        <w:snapToGrid w:val="0"/>
        <w:spacing w:line="360" w:lineRule="auto"/>
        <w:ind w:firstLine="480" w:firstLineChars="200"/>
        <w:rPr>
          <w:rFonts w:hint="eastAsia" w:ascii="宋体" w:hAnsi="宋体" w:eastAsia="宋体" w:cs="宋体"/>
          <w:color w:val="auto"/>
          <w:highlight w:val="none"/>
        </w:rPr>
      </w:pPr>
      <w:r>
        <w:rPr>
          <w:rFonts w:hint="eastAsia" w:ascii="宋体" w:hAnsi="宋体" w:cs="宋体"/>
          <w:color w:val="auto"/>
          <w:sz w:val="24"/>
          <w:highlight w:val="none"/>
          <w:lang w:eastAsia="zh-CN"/>
        </w:rPr>
        <w:t>8</w:t>
      </w:r>
      <w:r>
        <w:rPr>
          <w:rFonts w:hint="eastAsia" w:ascii="宋体" w:hAnsi="宋体" w:eastAsia="宋体" w:cs="宋体"/>
          <w:color w:val="auto"/>
          <w:highlight w:val="none"/>
        </w:rPr>
        <w:t>.在</w:t>
      </w:r>
      <w:r>
        <w:rPr>
          <w:rFonts w:hint="eastAsia" w:ascii="宋体" w:hAnsi="宋体" w:eastAsia="宋体" w:cs="宋体"/>
          <w:color w:val="auto"/>
          <w:highlight w:val="none"/>
          <w:lang w:eastAsia="zh-CN"/>
        </w:rPr>
        <w:t>协议</w:t>
      </w:r>
      <w:r>
        <w:rPr>
          <w:rFonts w:hint="eastAsia" w:ascii="宋体" w:hAnsi="宋体" w:eastAsia="宋体" w:cs="宋体"/>
          <w:color w:val="auto"/>
          <w:highlight w:val="none"/>
        </w:rPr>
        <w:t>履行期间，乙方应按甲方要求开展工作，在工作中遵循公平、公正、公开、合法、独立的原则。认真、细致、周到的进行服务。</w:t>
      </w:r>
    </w:p>
    <w:p w14:paraId="23610B37">
      <w:pPr>
        <w:pStyle w:val="22"/>
        <w:numPr>
          <w:ilvl w:val="255"/>
          <w:numId w:val="0"/>
        </w:numPr>
        <w:snapToGrid w:val="0"/>
        <w:spacing w:line="360" w:lineRule="auto"/>
        <w:ind w:firstLine="480" w:firstLineChars="200"/>
        <w:rPr>
          <w:rFonts w:hint="eastAsia" w:ascii="宋体" w:hAnsi="宋体" w:eastAsia="宋体" w:cs="宋体"/>
          <w:color w:val="auto"/>
          <w:highlight w:val="none"/>
        </w:rPr>
      </w:pPr>
      <w:r>
        <w:rPr>
          <w:rFonts w:hint="eastAsia" w:ascii="宋体" w:hAnsi="宋体" w:cs="宋体"/>
          <w:color w:val="auto"/>
          <w:kern w:val="2"/>
          <w:sz w:val="24"/>
          <w:highlight w:val="none"/>
          <w:lang w:eastAsia="zh-CN"/>
        </w:rPr>
        <w:t>9</w:t>
      </w:r>
      <w:r>
        <w:rPr>
          <w:rFonts w:hint="eastAsia" w:ascii="宋体" w:hAnsi="宋体" w:eastAsia="宋体" w:cs="宋体"/>
          <w:color w:val="auto"/>
          <w:kern w:val="2"/>
          <w:highlight w:val="none"/>
        </w:rPr>
        <w:t>.甲方将审核</w:t>
      </w:r>
      <w:r>
        <w:rPr>
          <w:rFonts w:hint="eastAsia" w:ascii="宋体" w:hAnsi="宋体" w:eastAsia="宋体" w:cs="宋体"/>
          <w:color w:val="auto"/>
          <w:highlight w:val="none"/>
        </w:rPr>
        <w:t>资料移交给乙方后，乙方有义务对所有资料进行妥善保管，确保评审结束后完整移交送审资料。</w:t>
      </w:r>
    </w:p>
    <w:p w14:paraId="326845B3">
      <w:pPr>
        <w:pStyle w:val="22"/>
        <w:numPr>
          <w:ilvl w:val="255"/>
          <w:numId w:val="0"/>
        </w:numPr>
        <w:snapToGrid w:val="0"/>
        <w:spacing w:line="360" w:lineRule="auto"/>
        <w:ind w:firstLine="480" w:firstLineChars="200"/>
        <w:rPr>
          <w:rFonts w:hint="eastAsia" w:ascii="宋体" w:hAnsi="宋体" w:eastAsia="宋体" w:cs="宋体"/>
          <w:color w:val="auto"/>
          <w:kern w:val="2"/>
          <w:highlight w:val="none"/>
        </w:rPr>
      </w:pPr>
      <w:r>
        <w:rPr>
          <w:rFonts w:hint="eastAsia" w:ascii="宋体" w:hAnsi="宋体" w:cs="宋体"/>
          <w:color w:val="auto"/>
          <w:kern w:val="2"/>
          <w:sz w:val="24"/>
          <w:highlight w:val="none"/>
          <w:lang w:eastAsia="zh-CN"/>
        </w:rPr>
        <w:t>1</w:t>
      </w:r>
      <w:r>
        <w:rPr>
          <w:rFonts w:hint="eastAsia" w:ascii="宋体" w:hAnsi="宋体" w:cs="宋体"/>
          <w:color w:val="auto"/>
          <w:kern w:val="2"/>
          <w:sz w:val="24"/>
          <w:highlight w:val="none"/>
          <w:lang w:val="en-US" w:eastAsia="zh-CN"/>
        </w:rPr>
        <w:t>0</w:t>
      </w:r>
      <w:r>
        <w:rPr>
          <w:rFonts w:hint="eastAsia" w:ascii="宋体" w:hAnsi="宋体" w:eastAsia="宋体" w:cs="宋体"/>
          <w:color w:val="auto"/>
          <w:kern w:val="2"/>
          <w:highlight w:val="none"/>
        </w:rPr>
        <w:t>.非涉及项目回避的，乙方不能拒绝或推托甲方分派的项目。如乙方确实无法承担该项业务，应在接收送审资料前提交书面说明，甲方将该项业务另行分派。该类情况在本轮协议期内不得超过两次，否则取消其后续承接评审业务的资格。</w:t>
      </w:r>
    </w:p>
    <w:p w14:paraId="0EBA884D">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kern w:val="2"/>
          <w:highlight w:val="none"/>
        </w:rPr>
        <w:t>1</w:t>
      </w:r>
      <w:r>
        <w:rPr>
          <w:rFonts w:hint="eastAsia" w:ascii="宋体" w:hAnsi="宋体" w:eastAsia="宋体" w:cs="宋体"/>
          <w:color w:val="auto"/>
          <w:kern w:val="2"/>
          <w:highlight w:val="none"/>
          <w:lang w:val="en-US" w:eastAsia="zh-CN"/>
        </w:rPr>
        <w:t>1</w:t>
      </w:r>
      <w:r>
        <w:rPr>
          <w:rFonts w:hint="eastAsia" w:ascii="宋体" w:hAnsi="宋体" w:eastAsia="宋体" w:cs="宋体"/>
          <w:color w:val="auto"/>
          <w:kern w:val="2"/>
          <w:highlight w:val="none"/>
        </w:rPr>
        <w:t>.乙方在承接甲方委托的任何一个评审项目时，都须提供该项目具体参与评审人员与</w:t>
      </w:r>
      <w:r>
        <w:rPr>
          <w:rFonts w:hint="eastAsia" w:ascii="宋体" w:hAnsi="宋体" w:eastAsia="宋体" w:cs="宋体"/>
          <w:color w:val="auto"/>
          <w:kern w:val="2"/>
          <w:highlight w:val="none"/>
          <w:lang w:val="en-US" w:eastAsia="zh-CN"/>
        </w:rPr>
        <w:t>乙方</w:t>
      </w:r>
      <w:r>
        <w:rPr>
          <w:rFonts w:hint="eastAsia" w:ascii="宋体" w:hAnsi="宋体" w:eastAsia="宋体" w:cs="宋体"/>
          <w:color w:val="auto"/>
          <w:kern w:val="2"/>
          <w:highlight w:val="none"/>
        </w:rPr>
        <w:t>签订的书面劳动合同及在本单位缴纳的社保证明书面资料，否则甲方有权提前解除本协议，并不予支付该项目评审费用。</w:t>
      </w:r>
    </w:p>
    <w:p w14:paraId="56F6C400">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12</w:t>
      </w:r>
      <w:r>
        <w:rPr>
          <w:rFonts w:hint="eastAsia" w:ascii="宋体" w:hAnsi="宋体" w:eastAsia="宋体" w:cs="宋体"/>
          <w:color w:val="auto"/>
          <w:highlight w:val="none"/>
          <w:lang w:val="en-US" w:eastAsia="zh-CN"/>
        </w:rPr>
        <w:t>.乙方有下列情形之一的，经甲方核实，甲方可立即全面终止</w:t>
      </w:r>
      <w:r>
        <w:rPr>
          <w:rFonts w:hint="eastAsia" w:ascii="宋体" w:hAnsi="宋体" w:eastAsia="宋体" w:cs="宋体"/>
          <w:color w:val="auto"/>
          <w:kern w:val="2"/>
          <w:highlight w:val="none"/>
        </w:rPr>
        <w:t>协议</w:t>
      </w:r>
      <w:r>
        <w:rPr>
          <w:rFonts w:hint="eastAsia" w:ascii="宋体" w:hAnsi="宋体" w:eastAsia="宋体" w:cs="宋体"/>
          <w:color w:val="auto"/>
          <w:kern w:val="2"/>
          <w:highlight w:val="none"/>
          <w:lang w:val="en-US" w:eastAsia="zh-CN"/>
        </w:rPr>
        <w:t>及具体项目协议</w:t>
      </w:r>
      <w:r>
        <w:rPr>
          <w:rFonts w:hint="eastAsia" w:ascii="宋体" w:hAnsi="宋体" w:eastAsia="宋体" w:cs="宋体"/>
          <w:color w:val="auto"/>
          <w:highlight w:val="none"/>
          <w:lang w:val="en-US" w:eastAsia="zh-CN"/>
        </w:rPr>
        <w:t>的执行，</w:t>
      </w:r>
      <w:r>
        <w:rPr>
          <w:rFonts w:hint="eastAsia" w:cs="宋体"/>
          <w:color w:val="auto"/>
          <w:highlight w:val="none"/>
          <w:lang w:val="en-US" w:eastAsia="zh-CN"/>
        </w:rPr>
        <w:t>乙方</w:t>
      </w:r>
      <w:r>
        <w:rPr>
          <w:rFonts w:hint="eastAsia" w:ascii="宋体" w:hAnsi="宋体" w:eastAsia="宋体" w:cs="宋体"/>
          <w:color w:val="auto"/>
          <w:highlight w:val="none"/>
          <w:lang w:val="en-US" w:eastAsia="zh-CN"/>
        </w:rPr>
        <w:t>造成损失的应当赔偿损失</w:t>
      </w:r>
      <w:r>
        <w:rPr>
          <w:rFonts w:hint="eastAsia" w:cs="宋体"/>
          <w:color w:val="auto"/>
          <w:highlight w:val="none"/>
          <w:lang w:eastAsia="zh-CN"/>
        </w:rPr>
        <w:t>且甲方不再支付相关项目审价费用</w:t>
      </w:r>
      <w:r>
        <w:rPr>
          <w:rFonts w:hint="eastAsia" w:ascii="宋体" w:hAnsi="宋体" w:eastAsia="宋体" w:cs="宋体"/>
          <w:color w:val="auto"/>
          <w:highlight w:val="none"/>
          <w:lang w:val="en-US" w:eastAsia="zh-CN"/>
        </w:rPr>
        <w:t>。</w:t>
      </w:r>
      <w:r>
        <w:rPr>
          <w:rFonts w:hint="eastAsia" w:cs="宋体"/>
          <w:color w:val="auto"/>
          <w:highlight w:val="none"/>
          <w:lang w:val="en-US" w:eastAsia="zh-CN"/>
        </w:rPr>
        <w:t>甲方</w:t>
      </w:r>
      <w:r>
        <w:rPr>
          <w:rFonts w:hint="eastAsia" w:ascii="宋体" w:hAnsi="宋体" w:eastAsia="宋体" w:cs="宋体"/>
          <w:color w:val="auto"/>
          <w:highlight w:val="none"/>
          <w:lang w:val="en-US" w:eastAsia="zh-CN"/>
        </w:rPr>
        <w:t>同时提请有关部门追究有关当事人的责任：</w:t>
      </w:r>
    </w:p>
    <w:p w14:paraId="4DDBF048">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12</w:t>
      </w:r>
      <w:r>
        <w:rPr>
          <w:rFonts w:hint="eastAsia" w:ascii="宋体" w:hAnsi="宋体" w:eastAsia="宋体" w:cs="宋体"/>
          <w:color w:val="auto"/>
          <w:highlight w:val="none"/>
          <w:lang w:val="en-US" w:eastAsia="zh-CN"/>
        </w:rPr>
        <w:t>.1没有按照甲方及《钱塘区限额以上政府投资项目委托评审管理细则》（钱评审发〔202</w:t>
      </w:r>
      <w:r>
        <w:rPr>
          <w:rFonts w:hint="eastAsia" w:cs="宋体"/>
          <w:color w:val="auto"/>
          <w:highlight w:val="none"/>
          <w:lang w:val="en-US" w:eastAsia="zh-CN"/>
        </w:rPr>
        <w:t>4</w:t>
      </w:r>
      <w:r>
        <w:rPr>
          <w:rFonts w:hint="eastAsia" w:ascii="宋体" w:hAnsi="宋体" w:eastAsia="宋体" w:cs="宋体"/>
          <w:color w:val="auto"/>
          <w:highlight w:val="none"/>
          <w:lang w:val="en-US" w:eastAsia="zh-CN"/>
        </w:rPr>
        <w:t>〕1号）</w:t>
      </w:r>
      <w:r>
        <w:rPr>
          <w:rFonts w:hint="eastAsia" w:ascii="宋体" w:hAnsi="宋体" w:cs="宋体"/>
          <w:color w:val="auto"/>
          <w:kern w:val="2"/>
          <w:sz w:val="24"/>
          <w:highlight w:val="none"/>
          <w:lang w:eastAsia="zh-CN"/>
        </w:rPr>
        <w:t>（注：有新文件出台，按新文件）</w:t>
      </w:r>
      <w:r>
        <w:rPr>
          <w:rFonts w:hint="eastAsia" w:ascii="宋体" w:hAnsi="宋体" w:eastAsia="宋体" w:cs="宋体"/>
          <w:color w:val="auto"/>
          <w:highlight w:val="none"/>
          <w:lang w:val="en-US" w:eastAsia="zh-CN"/>
        </w:rPr>
        <w:t>文件规定审核程序和步骤开展工作，导致审核结果产生负面影响的，或重大违纪违规问题应当披露而未披露的；</w:t>
      </w:r>
    </w:p>
    <w:p w14:paraId="038962AC">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12</w:t>
      </w:r>
      <w:r>
        <w:rPr>
          <w:rFonts w:hint="eastAsia" w:ascii="宋体" w:hAnsi="宋体" w:eastAsia="宋体" w:cs="宋体"/>
          <w:color w:val="auto"/>
          <w:highlight w:val="none"/>
          <w:lang w:val="en-US" w:eastAsia="zh-CN"/>
        </w:rPr>
        <w:t>.2发生将委托的审核业务转包给其他单位或个人；</w:t>
      </w:r>
    </w:p>
    <w:p w14:paraId="79E1284C">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12</w:t>
      </w:r>
      <w:r>
        <w:rPr>
          <w:rFonts w:hint="eastAsia" w:ascii="宋体" w:hAnsi="宋体" w:eastAsia="宋体" w:cs="宋体"/>
          <w:color w:val="auto"/>
          <w:highlight w:val="none"/>
          <w:lang w:val="en-US" w:eastAsia="zh-CN"/>
        </w:rPr>
        <w:t>.3不履行回避义务，接受相关单位委托，承担与甲方有利益冲突的业务；</w:t>
      </w:r>
    </w:p>
    <w:p w14:paraId="23AB8CA6">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12</w:t>
      </w:r>
      <w:r>
        <w:rPr>
          <w:rFonts w:hint="eastAsia" w:ascii="宋体" w:hAnsi="宋体" w:eastAsia="宋体" w:cs="宋体"/>
          <w:color w:val="auto"/>
          <w:highlight w:val="none"/>
          <w:lang w:val="en-US" w:eastAsia="zh-CN"/>
        </w:rPr>
        <w:t>.4其他违反法律、行政法规、制度及有关执业规范要求等行为</w:t>
      </w:r>
      <w:r>
        <w:rPr>
          <w:rFonts w:hint="eastAsia" w:cs="宋体"/>
          <w:color w:val="auto"/>
          <w:highlight w:val="none"/>
          <w:lang w:val="en-US" w:eastAsia="zh-CN"/>
        </w:rPr>
        <w:t>。</w:t>
      </w:r>
    </w:p>
    <w:p w14:paraId="7F925CFE">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13.</w:t>
      </w:r>
      <w:r>
        <w:rPr>
          <w:rFonts w:hint="eastAsia" w:ascii="宋体" w:hAnsi="宋体" w:eastAsia="宋体" w:cs="宋体"/>
          <w:color w:val="auto"/>
          <w:highlight w:val="none"/>
          <w:lang w:val="en-US" w:eastAsia="zh-CN"/>
        </w:rPr>
        <w:t>乙方承诺对于履行本协议过程中获知的甲方及有关第三方的未公开信息、乙方提供的评审业务成果予以保密，未经甲方书面同意，乙方不得透露给任何第三方。本条约定的乙方的保密义务的期限为长期，不因本协议的变更、解除、终止而失效。</w:t>
      </w:r>
    </w:p>
    <w:p w14:paraId="2474BDF3">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14.</w:t>
      </w:r>
      <w:r>
        <w:rPr>
          <w:rFonts w:hint="eastAsia" w:ascii="宋体" w:hAnsi="宋体" w:eastAsia="宋体" w:cs="宋体"/>
          <w:color w:val="auto"/>
          <w:highlight w:val="none"/>
          <w:lang w:val="en-US" w:eastAsia="zh-CN"/>
        </w:rPr>
        <w:t>乙方在履行本协议过程中及其提供的评审业务成果不得侵犯他人的合法权利，否则相应责任由乙方自行承担，给甲方造成损失的，甲方有权向乙方追偿。</w:t>
      </w:r>
    </w:p>
    <w:p w14:paraId="3D517195">
      <w:pPr>
        <w:pStyle w:val="22"/>
        <w:numPr>
          <w:ilvl w:val="255"/>
          <w:numId w:val="0"/>
        </w:numPr>
        <w:snapToGrid w:val="0"/>
        <w:spacing w:line="360" w:lineRule="auto"/>
        <w:ind w:firstLine="480" w:firstLineChars="200"/>
        <w:rPr>
          <w:rFonts w:hint="eastAsia" w:ascii="宋体" w:hAnsi="宋体" w:eastAsia="宋体" w:cs="宋体"/>
          <w:color w:val="auto"/>
          <w:highlight w:val="none"/>
          <w:lang w:val="en-US" w:eastAsia="zh-CN"/>
        </w:rPr>
      </w:pPr>
      <w:r>
        <w:rPr>
          <w:rFonts w:hint="eastAsia" w:cs="宋体"/>
          <w:color w:val="auto"/>
          <w:highlight w:val="none"/>
          <w:lang w:val="en-US" w:eastAsia="zh-CN"/>
        </w:rPr>
        <w:t>15.</w:t>
      </w:r>
      <w:r>
        <w:rPr>
          <w:rFonts w:hint="eastAsia" w:ascii="宋体" w:hAnsi="宋体" w:eastAsia="宋体" w:cs="宋体"/>
          <w:color w:val="auto"/>
          <w:highlight w:val="none"/>
          <w:lang w:val="en-US" w:eastAsia="zh-CN"/>
        </w:rPr>
        <w:t>乙方提供的评审业务成果的知识产权及所有权属于甲方，未经甲方同意，乙方不得擅自使用或向第三方提供。</w:t>
      </w:r>
    </w:p>
    <w:p w14:paraId="5071BA6F">
      <w:pPr>
        <w:pStyle w:val="23"/>
        <w:rPr>
          <w:rFonts w:hint="default"/>
          <w:color w:val="auto"/>
          <w:highlight w:val="none"/>
          <w:lang w:val="en-US" w:eastAsia="zh-CN"/>
        </w:rPr>
      </w:pPr>
      <w:r>
        <w:rPr>
          <w:rFonts w:hint="eastAsia" w:cs="宋体"/>
          <w:color w:val="auto"/>
          <w:highlight w:val="none"/>
          <w:lang w:val="en-US" w:eastAsia="zh-CN"/>
        </w:rPr>
        <w:t>16.</w:t>
      </w:r>
      <w:r>
        <w:rPr>
          <w:rFonts w:hint="default" w:cs="宋体"/>
          <w:color w:val="auto"/>
          <w:highlight w:val="none"/>
          <w:lang w:eastAsia="zh-CN"/>
          <w:woUserID w:val="1"/>
        </w:rPr>
        <w:t>从投标文件中拟派团队人员中选取，</w:t>
      </w:r>
      <w:r>
        <w:rPr>
          <w:rFonts w:hint="eastAsia" w:ascii="宋体" w:hAnsi="宋体" w:eastAsia="宋体" w:cs="宋体"/>
          <w:snapToGrid/>
          <w:color w:val="auto"/>
          <w:kern w:val="2"/>
          <w:sz w:val="24"/>
          <w:szCs w:val="24"/>
          <w:highlight w:val="none"/>
          <w:lang w:val="en-US" w:eastAsia="zh-CN" w:bidi="ar-SA"/>
        </w:rPr>
        <w:t>派驻      名要求</w:t>
      </w:r>
      <w:r>
        <w:rPr>
          <w:rFonts w:hint="default" w:ascii="宋体" w:hAnsi="宋体" w:eastAsia="宋体" w:cs="宋体"/>
          <w:snapToGrid/>
          <w:color w:val="auto"/>
          <w:kern w:val="2"/>
          <w:sz w:val="24"/>
          <w:szCs w:val="24"/>
          <w:highlight w:val="none"/>
          <w:lang w:val="en-US" w:eastAsia="zh-CN" w:bidi="ar-SA"/>
        </w:rPr>
        <w:t>具有5年及以上从事造价行业相关工作经验且为一级注册造价师的工程师,</w:t>
      </w:r>
      <w:r>
        <w:rPr>
          <w:rFonts w:hint="eastAsia" w:ascii="宋体" w:hAnsi="宋体" w:eastAsia="宋体" w:cs="宋体"/>
          <w:snapToGrid/>
          <w:color w:val="auto"/>
          <w:kern w:val="2"/>
          <w:sz w:val="24"/>
          <w:szCs w:val="24"/>
          <w:highlight w:val="none"/>
          <w:lang w:val="en-US" w:eastAsia="zh-CN" w:bidi="ar-SA"/>
        </w:rPr>
        <w:t>该人员驻点期限以框架协议期为上限，最终以实际需求为准</w:t>
      </w:r>
      <w:r>
        <w:rPr>
          <w:rFonts w:hint="default" w:ascii="宋体" w:hAnsi="宋体" w:eastAsia="宋体" w:cs="宋体"/>
          <w:snapToGrid/>
          <w:color w:val="auto"/>
          <w:kern w:val="2"/>
          <w:sz w:val="24"/>
          <w:szCs w:val="24"/>
          <w:highlight w:val="none"/>
          <w:lang w:val="en-US" w:eastAsia="zh-CN" w:bidi="ar-SA"/>
        </w:rPr>
        <w:t>。</w:t>
      </w:r>
      <w:r>
        <w:rPr>
          <w:rFonts w:hint="eastAsia" w:ascii="宋体" w:hAnsi="宋体" w:eastAsia="宋体" w:cs="宋体"/>
          <w:snapToGrid/>
          <w:color w:val="auto"/>
          <w:kern w:val="2"/>
          <w:sz w:val="24"/>
          <w:szCs w:val="24"/>
          <w:highlight w:val="none"/>
          <w:lang w:val="en-US" w:eastAsia="zh-CN" w:bidi="ar-SA"/>
        </w:rPr>
        <w:t>无特殊情况，不得更换，如遇特殊情况需更换人员的，需经征集人同意后方能更换，更换人员具备的评审经验及资质条件不得低于征集文件约定条件。如派驻人员不符合征集人要求的，征集人有权要求供应商调换派驻人员</w:t>
      </w:r>
      <w:r>
        <w:rPr>
          <w:rFonts w:hint="eastAsia" w:ascii="宋体" w:hAnsi="宋体" w:eastAsia="宋体" w:cs="宋体"/>
          <w:strike w:val="0"/>
          <w:dstrike w:val="0"/>
          <w:snapToGrid/>
          <w:color w:val="auto"/>
          <w:kern w:val="2"/>
          <w:sz w:val="24"/>
          <w:szCs w:val="24"/>
          <w:highlight w:val="none"/>
          <w:lang w:val="en-US" w:eastAsia="zh-CN" w:bidi="ar-SA"/>
        </w:rPr>
        <w:t>，</w:t>
      </w:r>
      <w:r>
        <w:rPr>
          <w:rFonts w:hint="eastAsia" w:ascii="宋体" w:hAnsi="宋体" w:eastAsia="宋体" w:cs="宋体"/>
          <w:snapToGrid/>
          <w:color w:val="auto"/>
          <w:kern w:val="2"/>
          <w:sz w:val="24"/>
          <w:szCs w:val="24"/>
          <w:highlight w:val="none"/>
          <w:lang w:val="en-US" w:eastAsia="zh-CN" w:bidi="ar-SA"/>
        </w:rPr>
        <w:t>直至符合征集人要求为止。</w:t>
      </w:r>
      <w:r>
        <w:rPr>
          <w:rFonts w:hint="eastAsia" w:ascii="宋体" w:hAnsi="宋体" w:eastAsia="宋体" w:cs="宋体"/>
          <w:strike w:val="0"/>
          <w:dstrike w:val="0"/>
          <w:snapToGrid/>
          <w:color w:val="auto"/>
          <w:kern w:val="2"/>
          <w:sz w:val="24"/>
          <w:szCs w:val="24"/>
          <w:highlight w:val="none"/>
          <w:lang w:val="en-US" w:eastAsia="zh-CN" w:bidi="ar-SA"/>
        </w:rPr>
        <w:t>派驻人员的费用</w:t>
      </w:r>
      <w:r>
        <w:rPr>
          <w:rFonts w:hint="eastAsia" w:cs="宋体"/>
          <w:strike w:val="0"/>
          <w:dstrike w:val="0"/>
          <w:snapToGrid/>
          <w:color w:val="auto"/>
          <w:kern w:val="2"/>
          <w:sz w:val="24"/>
          <w:szCs w:val="24"/>
          <w:highlight w:val="none"/>
          <w:lang w:val="en-US" w:eastAsia="zh-CN" w:bidi="ar-SA"/>
        </w:rPr>
        <w:t>按458元/半天•人计。</w:t>
      </w:r>
    </w:p>
    <w:p w14:paraId="1D01B707">
      <w:pPr>
        <w:widowControl/>
        <w:numPr>
          <w:ilvl w:val="0"/>
          <w:numId w:val="0"/>
        </w:numPr>
        <w:spacing w:line="360" w:lineRule="auto"/>
        <w:ind w:leftChars="200"/>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lang w:eastAsia="zh-CN"/>
        </w:rPr>
        <w:t>六、</w:t>
      </w:r>
      <w:r>
        <w:rPr>
          <w:rFonts w:hint="eastAsia" w:ascii="宋体" w:hAnsi="宋体" w:eastAsia="宋体" w:cs="宋体"/>
          <w:b/>
          <w:color w:val="auto"/>
          <w:kern w:val="0"/>
          <w:sz w:val="24"/>
          <w:highlight w:val="none"/>
        </w:rPr>
        <w:t>审核时间要求</w:t>
      </w:r>
    </w:p>
    <w:p w14:paraId="4EDC0F84">
      <w:pPr>
        <w:pStyle w:val="22"/>
        <w:numPr>
          <w:ilvl w:val="255"/>
          <w:numId w:val="0"/>
        </w:numPr>
        <w:spacing w:line="360" w:lineRule="auto"/>
        <w:ind w:firstLine="480" w:firstLineChars="200"/>
        <w:rPr>
          <w:rFonts w:hint="eastAsia" w:ascii="宋体" w:hAnsi="宋体" w:eastAsia="宋体" w:cs="宋体"/>
          <w:color w:val="auto"/>
          <w:kern w:val="2"/>
          <w:highlight w:val="none"/>
        </w:rPr>
      </w:pPr>
      <w:r>
        <w:rPr>
          <w:rFonts w:hint="eastAsia" w:ascii="宋体" w:hAnsi="宋体" w:eastAsia="宋体" w:cs="宋体"/>
          <w:color w:val="auto"/>
          <w:kern w:val="2"/>
          <w:highlight w:val="none"/>
        </w:rPr>
        <w:t>乙方应按下表时间完成项目评审，不能在规定时间完成评审，应及时向甲方报告，并说明原因；对甲方提出的需调整计划时间节点的特殊项目，乙方应采取强有力的措施确保在甲方规定的时间完成项目审核。</w:t>
      </w:r>
    </w:p>
    <w:tbl>
      <w:tblPr>
        <w:tblStyle w:val="51"/>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816"/>
        <w:gridCol w:w="2936"/>
        <w:gridCol w:w="1959"/>
      </w:tblGrid>
      <w:tr w14:paraId="6D2B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624" w:type="dxa"/>
            <w:gridSpan w:val="2"/>
            <w:vAlign w:val="center"/>
          </w:tcPr>
          <w:p w14:paraId="20363A72">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评审项目类型及送审额</w:t>
            </w:r>
          </w:p>
        </w:tc>
        <w:tc>
          <w:tcPr>
            <w:tcW w:w="2936" w:type="dxa"/>
            <w:vAlign w:val="center"/>
          </w:tcPr>
          <w:p w14:paraId="2CD752B4">
            <w:pPr>
              <w:tabs>
                <w:tab w:val="left" w:pos="0"/>
              </w:tabs>
              <w:spacing w:line="240" w:lineRule="auto"/>
              <w:ind w:firstLine="840" w:firstLineChars="400"/>
              <w:rPr>
                <w:rFonts w:hint="eastAsia" w:ascii="宋体" w:hAnsi="宋体" w:eastAsia="宋体" w:cs="Helvetica"/>
                <w:color w:val="auto"/>
                <w:kern w:val="0"/>
                <w:highlight w:val="none"/>
                <w:lang w:val="en-US" w:eastAsia="zh-CN"/>
              </w:rPr>
            </w:pPr>
            <w:r>
              <w:rPr>
                <w:rFonts w:hint="eastAsia" w:ascii="宋体" w:hAnsi="宋体" w:eastAsia="宋体" w:cs="Helvetica"/>
                <w:color w:val="auto"/>
                <w:kern w:val="0"/>
                <w:highlight w:val="none"/>
                <w:lang w:val="en-US" w:eastAsia="zh-CN"/>
              </w:rPr>
              <w:t>期限</w:t>
            </w:r>
          </w:p>
        </w:tc>
        <w:tc>
          <w:tcPr>
            <w:tcW w:w="1959" w:type="dxa"/>
            <w:vAlign w:val="center"/>
          </w:tcPr>
          <w:p w14:paraId="36EFC414">
            <w:pPr>
              <w:tabs>
                <w:tab w:val="left" w:pos="0"/>
              </w:tabs>
              <w:spacing w:line="240" w:lineRule="auto"/>
              <w:ind w:firstLine="0" w:firstLineChars="0"/>
              <w:jc w:val="center"/>
              <w:rPr>
                <w:rFonts w:hint="default" w:ascii="宋体" w:hAnsi="宋体" w:eastAsia="宋体" w:cs="Helvetica"/>
                <w:color w:val="auto"/>
                <w:kern w:val="0"/>
                <w:highlight w:val="none"/>
                <w:lang w:val="en-US" w:eastAsia="zh-CN"/>
              </w:rPr>
            </w:pPr>
            <w:r>
              <w:rPr>
                <w:rFonts w:hint="eastAsia" w:ascii="宋体" w:hAnsi="宋体" w:eastAsia="宋体" w:cs="Helvetica"/>
                <w:color w:val="auto"/>
                <w:kern w:val="0"/>
                <w:highlight w:val="none"/>
                <w:lang w:val="en-US" w:eastAsia="zh-CN"/>
              </w:rPr>
              <w:t>是否适用本协议</w:t>
            </w:r>
          </w:p>
        </w:tc>
      </w:tr>
      <w:tr w14:paraId="0509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08" w:type="dxa"/>
            <w:vAlign w:val="center"/>
          </w:tcPr>
          <w:p w14:paraId="527CFB40">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概算</w:t>
            </w:r>
          </w:p>
          <w:p w14:paraId="0B01E90A">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复核</w:t>
            </w:r>
          </w:p>
        </w:tc>
        <w:tc>
          <w:tcPr>
            <w:tcW w:w="2816" w:type="dxa"/>
            <w:vAlign w:val="center"/>
          </w:tcPr>
          <w:p w14:paraId="0941B63B">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所有项目</w:t>
            </w:r>
          </w:p>
        </w:tc>
        <w:tc>
          <w:tcPr>
            <w:tcW w:w="2936" w:type="dxa"/>
            <w:vAlign w:val="center"/>
          </w:tcPr>
          <w:p w14:paraId="43707305">
            <w:pPr>
              <w:tabs>
                <w:tab w:val="left" w:pos="0"/>
              </w:tabs>
              <w:spacing w:line="240" w:lineRule="auto"/>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从收到完整资料8个工作日</w:t>
            </w:r>
          </w:p>
        </w:tc>
        <w:tc>
          <w:tcPr>
            <w:tcW w:w="1959" w:type="dxa"/>
            <w:vAlign w:val="center"/>
          </w:tcPr>
          <w:p w14:paraId="0695124E">
            <w:pPr>
              <w:tabs>
                <w:tab w:val="left" w:pos="0"/>
              </w:tabs>
              <w:spacing w:line="240" w:lineRule="auto"/>
              <w:jc w:val="center"/>
              <w:rPr>
                <w:rFonts w:hint="default" w:ascii="宋体" w:hAnsi="宋体" w:eastAsia="宋体" w:cs="Helvetica"/>
                <w:color w:val="auto"/>
                <w:kern w:val="0"/>
                <w:highlight w:val="none"/>
                <w:lang w:val="en-US"/>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 xml:space="preserve">是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否</w:t>
            </w:r>
          </w:p>
        </w:tc>
      </w:tr>
      <w:tr w14:paraId="70BB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08" w:type="dxa"/>
            <w:vMerge w:val="restart"/>
            <w:vAlign w:val="center"/>
          </w:tcPr>
          <w:p w14:paraId="1363535C">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结算</w:t>
            </w:r>
          </w:p>
          <w:p w14:paraId="212715DD">
            <w:pPr>
              <w:tabs>
                <w:tab w:val="left" w:pos="0"/>
              </w:tabs>
              <w:spacing w:line="240" w:lineRule="auto"/>
              <w:jc w:val="center"/>
              <w:rPr>
                <w:rFonts w:hint="eastAsia" w:ascii="宋体" w:hAnsi="宋体" w:eastAsia="宋体" w:cs="Helvetica"/>
                <w:color w:val="auto"/>
                <w:kern w:val="0"/>
                <w:highlight w:val="none"/>
              </w:rPr>
            </w:pPr>
            <w:r>
              <w:rPr>
                <w:rFonts w:hint="eastAsia" w:ascii="宋体" w:hAnsi="宋体" w:eastAsia="宋体" w:cs="Helvetica"/>
                <w:color w:val="auto"/>
                <w:kern w:val="0"/>
                <w:highlight w:val="none"/>
              </w:rPr>
              <w:t>全面</w:t>
            </w:r>
          </w:p>
          <w:p w14:paraId="4A0B3115">
            <w:pPr>
              <w:tabs>
                <w:tab w:val="left" w:pos="0"/>
              </w:tabs>
              <w:spacing w:line="240" w:lineRule="auto"/>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复核</w:t>
            </w:r>
          </w:p>
        </w:tc>
        <w:tc>
          <w:tcPr>
            <w:tcW w:w="2816" w:type="dxa"/>
            <w:vAlign w:val="center"/>
          </w:tcPr>
          <w:p w14:paraId="7968F852">
            <w:pPr>
              <w:tabs>
                <w:tab w:val="left" w:pos="0"/>
              </w:tabs>
              <w:spacing w:line="240" w:lineRule="auto"/>
              <w:ind w:firstLine="0" w:firstLineChars="0"/>
              <w:jc w:val="center"/>
              <w:rPr>
                <w:rFonts w:ascii="宋体" w:hAnsi="宋体" w:eastAsia="宋体" w:cs="Helvetica"/>
                <w:color w:val="auto"/>
                <w:kern w:val="0"/>
                <w:highlight w:val="none"/>
                <w:lang w:eastAsia="en-US"/>
              </w:rPr>
            </w:pPr>
            <w:r>
              <w:rPr>
                <w:rFonts w:hint="eastAsia" w:ascii="宋体" w:hAnsi="宋体" w:eastAsia="宋体" w:cs="Helvetica"/>
                <w:color w:val="auto"/>
                <w:kern w:val="0"/>
                <w:highlight w:val="none"/>
              </w:rPr>
              <w:t>送审1000万元-</w:t>
            </w:r>
            <w:r>
              <w:rPr>
                <w:rFonts w:hint="eastAsia" w:ascii="宋体" w:hAnsi="宋体" w:eastAsia="宋体" w:cs="Helvetica"/>
                <w:color w:val="auto"/>
                <w:kern w:val="0"/>
                <w:highlight w:val="none"/>
                <w:lang w:val="en-US" w:eastAsia="zh-CN"/>
              </w:rPr>
              <w:t>5</w:t>
            </w:r>
            <w:r>
              <w:rPr>
                <w:rFonts w:hint="eastAsia" w:ascii="宋体" w:hAnsi="宋体" w:eastAsia="宋体" w:cs="Helvetica"/>
                <w:color w:val="auto"/>
                <w:kern w:val="0"/>
                <w:highlight w:val="none"/>
              </w:rPr>
              <w:t>000万元（含）</w:t>
            </w:r>
          </w:p>
        </w:tc>
        <w:tc>
          <w:tcPr>
            <w:tcW w:w="2936" w:type="dxa"/>
            <w:vAlign w:val="center"/>
          </w:tcPr>
          <w:p w14:paraId="3E56B8F3">
            <w:pPr>
              <w:tabs>
                <w:tab w:val="left" w:pos="0"/>
              </w:tabs>
              <w:spacing w:line="240" w:lineRule="auto"/>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eastAsia" w:ascii="宋体" w:hAnsi="宋体" w:eastAsia="宋体" w:cs="Helvetica"/>
                <w:color w:val="auto"/>
                <w:kern w:val="0"/>
                <w:highlight w:val="none"/>
                <w:lang w:val="en-US" w:eastAsia="zh-CN"/>
              </w:rPr>
              <w:t>36</w:t>
            </w:r>
            <w:r>
              <w:rPr>
                <w:rFonts w:hint="eastAsia" w:ascii="宋体" w:hAnsi="宋体" w:eastAsia="宋体" w:cs="Helvetica"/>
                <w:color w:val="auto"/>
                <w:kern w:val="0"/>
                <w:highlight w:val="none"/>
              </w:rPr>
              <w:t>天</w:t>
            </w:r>
          </w:p>
        </w:tc>
        <w:tc>
          <w:tcPr>
            <w:tcW w:w="1959" w:type="dxa"/>
            <w:vMerge w:val="restart"/>
            <w:vAlign w:val="center"/>
          </w:tcPr>
          <w:p w14:paraId="68594A29">
            <w:pPr>
              <w:tabs>
                <w:tab w:val="left" w:pos="0"/>
              </w:tabs>
              <w:spacing w:line="240" w:lineRule="auto"/>
              <w:jc w:val="center"/>
              <w:rPr>
                <w:rFonts w:hint="eastAsia" w:ascii="宋体" w:hAnsi="宋体" w:eastAsia="宋体" w:cs="Helvetica"/>
                <w:color w:val="auto"/>
                <w:kern w:val="0"/>
                <w:highlight w:val="none"/>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 xml:space="preserve">是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否</w:t>
            </w:r>
          </w:p>
        </w:tc>
      </w:tr>
      <w:tr w14:paraId="0D1D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08" w:type="dxa"/>
            <w:vMerge w:val="continue"/>
            <w:vAlign w:val="center"/>
          </w:tcPr>
          <w:p w14:paraId="46DFBE2A">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73ABD4B2">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送审额5000万-10000万元（含）</w:t>
            </w:r>
          </w:p>
        </w:tc>
        <w:tc>
          <w:tcPr>
            <w:tcW w:w="2936" w:type="dxa"/>
            <w:vAlign w:val="center"/>
          </w:tcPr>
          <w:p w14:paraId="1A27A6EC">
            <w:pPr>
              <w:tabs>
                <w:tab w:val="left" w:pos="0"/>
              </w:tabs>
              <w:spacing w:line="240" w:lineRule="auto"/>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eastAsia" w:ascii="宋体" w:hAnsi="宋体" w:eastAsia="宋体" w:cs="Helvetica"/>
                <w:color w:val="auto"/>
                <w:kern w:val="0"/>
                <w:highlight w:val="none"/>
                <w:lang w:val="en-US" w:eastAsia="zh-CN"/>
              </w:rPr>
              <w:t>54</w:t>
            </w:r>
            <w:r>
              <w:rPr>
                <w:rFonts w:hint="eastAsia" w:ascii="宋体" w:hAnsi="宋体" w:eastAsia="宋体" w:cs="Helvetica"/>
                <w:color w:val="auto"/>
                <w:kern w:val="0"/>
                <w:highlight w:val="none"/>
              </w:rPr>
              <w:t>天</w:t>
            </w:r>
          </w:p>
        </w:tc>
        <w:tc>
          <w:tcPr>
            <w:tcW w:w="1959" w:type="dxa"/>
            <w:vMerge w:val="continue"/>
            <w:vAlign w:val="center"/>
          </w:tcPr>
          <w:p w14:paraId="0ADB3506">
            <w:pPr>
              <w:tabs>
                <w:tab w:val="left" w:pos="0"/>
              </w:tabs>
              <w:spacing w:line="240" w:lineRule="auto"/>
              <w:jc w:val="center"/>
              <w:rPr>
                <w:rFonts w:hint="eastAsia" w:ascii="宋体" w:hAnsi="宋体" w:eastAsia="宋体" w:cs="Helvetica"/>
                <w:color w:val="auto"/>
                <w:kern w:val="0"/>
                <w:highlight w:val="none"/>
              </w:rPr>
            </w:pPr>
          </w:p>
        </w:tc>
      </w:tr>
      <w:tr w14:paraId="40E1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08" w:type="dxa"/>
            <w:vMerge w:val="continue"/>
            <w:vAlign w:val="center"/>
          </w:tcPr>
          <w:p w14:paraId="13DF0D63">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7CEF244A">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送审额10000万元-</w:t>
            </w:r>
            <w:r>
              <w:rPr>
                <w:rFonts w:hint="eastAsia" w:ascii="宋体" w:hAnsi="宋体" w:eastAsia="宋体" w:cs="Helvetica"/>
                <w:color w:val="auto"/>
                <w:kern w:val="0"/>
                <w:highlight w:val="none"/>
                <w:lang w:val="en-US" w:eastAsia="zh-CN"/>
              </w:rPr>
              <w:t>50</w:t>
            </w:r>
            <w:r>
              <w:rPr>
                <w:rFonts w:hint="eastAsia" w:ascii="宋体" w:hAnsi="宋体" w:eastAsia="宋体" w:cs="Helvetica"/>
                <w:color w:val="auto"/>
                <w:kern w:val="0"/>
                <w:highlight w:val="none"/>
              </w:rPr>
              <w:t>000万元（含）</w:t>
            </w:r>
          </w:p>
        </w:tc>
        <w:tc>
          <w:tcPr>
            <w:tcW w:w="2936" w:type="dxa"/>
            <w:vAlign w:val="center"/>
          </w:tcPr>
          <w:p w14:paraId="52DAFE60">
            <w:pPr>
              <w:tabs>
                <w:tab w:val="left" w:pos="0"/>
              </w:tabs>
              <w:spacing w:line="240" w:lineRule="auto"/>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eastAsia" w:ascii="宋体" w:hAnsi="宋体" w:eastAsia="宋体" w:cs="Helvetica"/>
                <w:color w:val="auto"/>
                <w:kern w:val="0"/>
                <w:highlight w:val="none"/>
                <w:lang w:val="en-US" w:eastAsia="zh-CN"/>
              </w:rPr>
              <w:t>72</w:t>
            </w:r>
            <w:r>
              <w:rPr>
                <w:rFonts w:hint="eastAsia" w:ascii="宋体" w:hAnsi="宋体" w:eastAsia="宋体" w:cs="Helvetica"/>
                <w:color w:val="auto"/>
                <w:kern w:val="0"/>
                <w:highlight w:val="none"/>
              </w:rPr>
              <w:t>天</w:t>
            </w:r>
          </w:p>
        </w:tc>
        <w:tc>
          <w:tcPr>
            <w:tcW w:w="1959" w:type="dxa"/>
            <w:vMerge w:val="continue"/>
            <w:vAlign w:val="center"/>
          </w:tcPr>
          <w:p w14:paraId="3DEAC8BF">
            <w:pPr>
              <w:tabs>
                <w:tab w:val="left" w:pos="0"/>
              </w:tabs>
              <w:spacing w:line="240" w:lineRule="auto"/>
              <w:jc w:val="center"/>
              <w:rPr>
                <w:rFonts w:hint="eastAsia" w:ascii="宋体" w:hAnsi="宋体" w:eastAsia="宋体" w:cs="Helvetica"/>
                <w:color w:val="auto"/>
                <w:kern w:val="0"/>
                <w:highlight w:val="none"/>
              </w:rPr>
            </w:pPr>
          </w:p>
        </w:tc>
      </w:tr>
      <w:tr w14:paraId="378A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808" w:type="dxa"/>
            <w:vMerge w:val="continue"/>
            <w:vAlign w:val="center"/>
          </w:tcPr>
          <w:p w14:paraId="13DCB7EE">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253AEDC2">
            <w:pPr>
              <w:tabs>
                <w:tab w:val="left" w:pos="0"/>
              </w:tabs>
              <w:spacing w:line="240" w:lineRule="auto"/>
              <w:ind w:firstLine="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w:t>
            </w:r>
            <w:r>
              <w:rPr>
                <w:rFonts w:hint="eastAsia" w:ascii="宋体" w:hAnsi="宋体" w:eastAsia="宋体" w:cs="Helvetica"/>
                <w:color w:val="auto"/>
                <w:kern w:val="0"/>
                <w:highlight w:val="none"/>
                <w:lang w:val="en-US" w:eastAsia="zh-CN"/>
              </w:rPr>
              <w:t>50</w:t>
            </w:r>
            <w:r>
              <w:rPr>
                <w:rFonts w:hint="eastAsia" w:ascii="宋体" w:hAnsi="宋体" w:eastAsia="宋体" w:cs="Helvetica"/>
                <w:color w:val="auto"/>
                <w:kern w:val="0"/>
                <w:highlight w:val="none"/>
              </w:rPr>
              <w:t>000万元以上</w:t>
            </w:r>
          </w:p>
        </w:tc>
        <w:tc>
          <w:tcPr>
            <w:tcW w:w="2936" w:type="dxa"/>
            <w:vAlign w:val="center"/>
          </w:tcPr>
          <w:p w14:paraId="53E3EDD4">
            <w:pPr>
              <w:tabs>
                <w:tab w:val="left" w:pos="0"/>
              </w:tabs>
              <w:spacing w:line="240" w:lineRule="auto"/>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eastAsia" w:ascii="宋体" w:hAnsi="宋体" w:eastAsia="宋体" w:cs="Helvetica"/>
                <w:color w:val="auto"/>
                <w:kern w:val="0"/>
                <w:highlight w:val="none"/>
                <w:lang w:val="en-US" w:eastAsia="zh-CN"/>
              </w:rPr>
              <w:t>90</w:t>
            </w:r>
            <w:r>
              <w:rPr>
                <w:rFonts w:hint="eastAsia" w:ascii="宋体" w:hAnsi="宋体" w:eastAsia="宋体" w:cs="Helvetica"/>
                <w:color w:val="auto"/>
                <w:kern w:val="0"/>
                <w:highlight w:val="none"/>
              </w:rPr>
              <w:t>天</w:t>
            </w:r>
          </w:p>
        </w:tc>
        <w:tc>
          <w:tcPr>
            <w:tcW w:w="1959" w:type="dxa"/>
            <w:vMerge w:val="continue"/>
            <w:vAlign w:val="center"/>
          </w:tcPr>
          <w:p w14:paraId="44324089">
            <w:pPr>
              <w:tabs>
                <w:tab w:val="left" w:pos="0"/>
              </w:tabs>
              <w:spacing w:line="240" w:lineRule="auto"/>
              <w:jc w:val="center"/>
              <w:rPr>
                <w:rFonts w:hint="eastAsia" w:ascii="宋体" w:hAnsi="宋体" w:eastAsia="宋体" w:cs="Helvetica"/>
                <w:color w:val="auto"/>
                <w:kern w:val="0"/>
                <w:highlight w:val="none"/>
              </w:rPr>
            </w:pPr>
          </w:p>
        </w:tc>
      </w:tr>
      <w:tr w14:paraId="3E8A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4" w:type="dxa"/>
            <w:gridSpan w:val="2"/>
            <w:vAlign w:val="center"/>
          </w:tcPr>
          <w:p w14:paraId="477690FB">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评审项目类型及送审额</w:t>
            </w:r>
          </w:p>
        </w:tc>
        <w:tc>
          <w:tcPr>
            <w:tcW w:w="2936" w:type="dxa"/>
            <w:vAlign w:val="center"/>
          </w:tcPr>
          <w:p w14:paraId="22AB5F95">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lang w:val="en-US" w:eastAsia="zh-CN"/>
              </w:rPr>
              <w:t>期限</w:t>
            </w:r>
          </w:p>
        </w:tc>
        <w:tc>
          <w:tcPr>
            <w:tcW w:w="1959" w:type="dxa"/>
            <w:vAlign w:val="center"/>
          </w:tcPr>
          <w:p w14:paraId="127532CD">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lang w:val="en-US" w:eastAsia="zh-CN"/>
              </w:rPr>
              <w:t>是否适用本协议</w:t>
            </w:r>
          </w:p>
        </w:tc>
      </w:tr>
      <w:tr w14:paraId="003C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8" w:type="dxa"/>
            <w:vMerge w:val="restart"/>
            <w:vAlign w:val="center"/>
          </w:tcPr>
          <w:p w14:paraId="0C07D7C2">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结算</w:t>
            </w:r>
          </w:p>
          <w:p w14:paraId="00C443CD">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初核</w:t>
            </w:r>
          </w:p>
        </w:tc>
        <w:tc>
          <w:tcPr>
            <w:tcW w:w="2816" w:type="dxa"/>
            <w:vAlign w:val="center"/>
          </w:tcPr>
          <w:p w14:paraId="1C38BDE3">
            <w:pPr>
              <w:tabs>
                <w:tab w:val="left" w:pos="0"/>
              </w:tabs>
              <w:spacing w:line="240" w:lineRule="auto"/>
              <w:ind w:firstLine="0" w:firstLineChars="0"/>
              <w:jc w:val="center"/>
              <w:rPr>
                <w:rFonts w:ascii="宋体" w:hAnsi="宋体" w:eastAsia="宋体" w:cs="Helvetica"/>
                <w:color w:val="auto"/>
                <w:kern w:val="0"/>
                <w:highlight w:val="none"/>
                <w:lang w:eastAsia="en-US"/>
              </w:rPr>
            </w:pPr>
            <w:r>
              <w:rPr>
                <w:rFonts w:hint="eastAsia" w:ascii="宋体" w:hAnsi="宋体" w:eastAsia="宋体" w:cs="Helvetica"/>
                <w:color w:val="auto"/>
                <w:kern w:val="0"/>
                <w:highlight w:val="none"/>
              </w:rPr>
              <w:t>送审1000万元-</w:t>
            </w:r>
            <w:r>
              <w:rPr>
                <w:rFonts w:hint="eastAsia" w:ascii="宋体" w:hAnsi="宋体" w:eastAsia="宋体" w:cs="Helvetica"/>
                <w:color w:val="auto"/>
                <w:kern w:val="0"/>
                <w:highlight w:val="none"/>
                <w:lang w:val="en-US" w:eastAsia="zh-CN"/>
              </w:rPr>
              <w:t>5</w:t>
            </w:r>
            <w:r>
              <w:rPr>
                <w:rFonts w:hint="eastAsia" w:ascii="宋体" w:hAnsi="宋体" w:eastAsia="宋体" w:cs="Helvetica"/>
                <w:color w:val="auto"/>
                <w:kern w:val="0"/>
                <w:highlight w:val="none"/>
              </w:rPr>
              <w:t>000万元（含）</w:t>
            </w:r>
          </w:p>
        </w:tc>
        <w:tc>
          <w:tcPr>
            <w:tcW w:w="2936" w:type="dxa"/>
            <w:vAlign w:val="center"/>
          </w:tcPr>
          <w:p w14:paraId="51BEE593">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default" w:ascii="宋体" w:hAnsi="宋体" w:eastAsia="宋体" w:cs="Helvetica"/>
                <w:color w:val="auto"/>
                <w:kern w:val="0"/>
                <w:highlight w:val="none"/>
                <w:lang w:val="en-US"/>
              </w:rPr>
              <w:t>60</w:t>
            </w:r>
            <w:r>
              <w:rPr>
                <w:rFonts w:hint="eastAsia" w:ascii="宋体" w:hAnsi="宋体" w:eastAsia="宋体" w:cs="Helvetica"/>
                <w:color w:val="auto"/>
                <w:kern w:val="0"/>
                <w:highlight w:val="none"/>
              </w:rPr>
              <w:t>天</w:t>
            </w:r>
          </w:p>
        </w:tc>
        <w:tc>
          <w:tcPr>
            <w:tcW w:w="1959" w:type="dxa"/>
            <w:vMerge w:val="restart"/>
            <w:vAlign w:val="center"/>
          </w:tcPr>
          <w:p w14:paraId="770832AB">
            <w:pPr>
              <w:tabs>
                <w:tab w:val="left" w:pos="0"/>
              </w:tabs>
              <w:spacing w:line="240" w:lineRule="auto"/>
              <w:ind w:firstLine="0" w:firstLineChars="0"/>
              <w:jc w:val="center"/>
              <w:rPr>
                <w:rFonts w:hint="eastAsia" w:ascii="宋体" w:hAnsi="宋体" w:eastAsia="宋体" w:cs="Helvetica"/>
                <w:color w:val="auto"/>
                <w:kern w:val="0"/>
                <w:highlight w:val="none"/>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 xml:space="preserve">是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否</w:t>
            </w:r>
          </w:p>
        </w:tc>
      </w:tr>
      <w:tr w14:paraId="75FF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8" w:type="dxa"/>
            <w:vMerge w:val="continue"/>
            <w:vAlign w:val="center"/>
          </w:tcPr>
          <w:p w14:paraId="39457C84">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4D9A9D64">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送审额5000万-10000万元（含）</w:t>
            </w:r>
          </w:p>
        </w:tc>
        <w:tc>
          <w:tcPr>
            <w:tcW w:w="2936" w:type="dxa"/>
            <w:vAlign w:val="center"/>
          </w:tcPr>
          <w:p w14:paraId="773CD053">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default" w:ascii="宋体" w:hAnsi="宋体" w:eastAsia="宋体" w:cs="Helvetica"/>
                <w:color w:val="auto"/>
                <w:kern w:val="0"/>
                <w:highlight w:val="none"/>
                <w:lang w:val="en-US"/>
              </w:rPr>
              <w:t>9</w:t>
            </w:r>
            <w:r>
              <w:rPr>
                <w:rFonts w:hint="eastAsia" w:ascii="宋体" w:hAnsi="宋体" w:eastAsia="宋体" w:cs="Helvetica"/>
                <w:color w:val="auto"/>
                <w:kern w:val="0"/>
                <w:highlight w:val="none"/>
              </w:rPr>
              <w:t>0天</w:t>
            </w:r>
          </w:p>
        </w:tc>
        <w:tc>
          <w:tcPr>
            <w:tcW w:w="1959" w:type="dxa"/>
            <w:vMerge w:val="continue"/>
            <w:vAlign w:val="center"/>
          </w:tcPr>
          <w:p w14:paraId="47759C40">
            <w:pPr>
              <w:tabs>
                <w:tab w:val="left" w:pos="0"/>
              </w:tabs>
              <w:spacing w:line="240" w:lineRule="auto"/>
              <w:ind w:firstLine="480" w:firstLineChars="0"/>
              <w:jc w:val="center"/>
              <w:rPr>
                <w:rFonts w:hint="eastAsia" w:ascii="宋体" w:hAnsi="宋体" w:eastAsia="宋体" w:cs="Helvetica"/>
                <w:color w:val="auto"/>
                <w:kern w:val="0"/>
                <w:highlight w:val="none"/>
              </w:rPr>
            </w:pPr>
          </w:p>
        </w:tc>
      </w:tr>
      <w:tr w14:paraId="56D0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8" w:type="dxa"/>
            <w:vMerge w:val="continue"/>
            <w:vAlign w:val="center"/>
          </w:tcPr>
          <w:p w14:paraId="1B11FD28">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26438FA0">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送审额10000万元-</w:t>
            </w:r>
            <w:r>
              <w:rPr>
                <w:rFonts w:hint="eastAsia" w:ascii="宋体" w:hAnsi="宋体" w:eastAsia="宋体" w:cs="Helvetica"/>
                <w:color w:val="auto"/>
                <w:kern w:val="0"/>
                <w:highlight w:val="none"/>
                <w:lang w:val="en-US" w:eastAsia="zh-CN"/>
              </w:rPr>
              <w:t>50</w:t>
            </w:r>
            <w:r>
              <w:rPr>
                <w:rFonts w:hint="eastAsia" w:ascii="宋体" w:hAnsi="宋体" w:eastAsia="宋体" w:cs="Helvetica"/>
                <w:color w:val="auto"/>
                <w:kern w:val="0"/>
                <w:highlight w:val="none"/>
              </w:rPr>
              <w:t>000万元（含）</w:t>
            </w:r>
          </w:p>
        </w:tc>
        <w:tc>
          <w:tcPr>
            <w:tcW w:w="2936" w:type="dxa"/>
            <w:vAlign w:val="center"/>
          </w:tcPr>
          <w:p w14:paraId="1926A16C">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default" w:ascii="宋体" w:hAnsi="宋体" w:eastAsia="宋体" w:cs="Helvetica"/>
                <w:color w:val="auto"/>
                <w:kern w:val="0"/>
                <w:highlight w:val="none"/>
                <w:lang w:val="en-US"/>
              </w:rPr>
              <w:t>120</w:t>
            </w:r>
            <w:r>
              <w:rPr>
                <w:rFonts w:hint="eastAsia" w:ascii="宋体" w:hAnsi="宋体" w:eastAsia="宋体" w:cs="Helvetica"/>
                <w:color w:val="auto"/>
                <w:kern w:val="0"/>
                <w:highlight w:val="none"/>
              </w:rPr>
              <w:t>天</w:t>
            </w:r>
          </w:p>
        </w:tc>
        <w:tc>
          <w:tcPr>
            <w:tcW w:w="1959" w:type="dxa"/>
            <w:vMerge w:val="continue"/>
            <w:vAlign w:val="center"/>
          </w:tcPr>
          <w:p w14:paraId="4E71FF91">
            <w:pPr>
              <w:tabs>
                <w:tab w:val="left" w:pos="0"/>
              </w:tabs>
              <w:spacing w:line="240" w:lineRule="auto"/>
              <w:ind w:firstLine="480" w:firstLineChars="0"/>
              <w:jc w:val="center"/>
              <w:rPr>
                <w:rFonts w:hint="eastAsia" w:ascii="宋体" w:hAnsi="宋体" w:eastAsia="宋体" w:cs="Helvetica"/>
                <w:color w:val="auto"/>
                <w:kern w:val="0"/>
                <w:highlight w:val="none"/>
              </w:rPr>
            </w:pPr>
          </w:p>
        </w:tc>
      </w:tr>
      <w:tr w14:paraId="5DA8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8" w:type="dxa"/>
            <w:vMerge w:val="continue"/>
            <w:vAlign w:val="center"/>
          </w:tcPr>
          <w:p w14:paraId="480F8038">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7AC1DAAF">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w:t>
            </w:r>
            <w:r>
              <w:rPr>
                <w:rFonts w:hint="eastAsia" w:ascii="宋体" w:hAnsi="宋体" w:eastAsia="宋体" w:cs="Helvetica"/>
                <w:color w:val="auto"/>
                <w:kern w:val="0"/>
                <w:highlight w:val="none"/>
                <w:lang w:val="en-US" w:eastAsia="zh-CN"/>
              </w:rPr>
              <w:t>50</w:t>
            </w:r>
            <w:r>
              <w:rPr>
                <w:rFonts w:hint="eastAsia" w:ascii="宋体" w:hAnsi="宋体" w:eastAsia="宋体" w:cs="Helvetica"/>
                <w:color w:val="auto"/>
                <w:kern w:val="0"/>
                <w:highlight w:val="none"/>
              </w:rPr>
              <w:t>000万元以上</w:t>
            </w:r>
          </w:p>
        </w:tc>
        <w:tc>
          <w:tcPr>
            <w:tcW w:w="2936" w:type="dxa"/>
            <w:vAlign w:val="center"/>
          </w:tcPr>
          <w:p w14:paraId="2E347FD7">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default" w:ascii="宋体" w:hAnsi="宋体" w:eastAsia="宋体" w:cs="Helvetica"/>
                <w:color w:val="auto"/>
                <w:kern w:val="0"/>
                <w:highlight w:val="none"/>
                <w:lang w:val="en-US"/>
              </w:rPr>
              <w:t>150</w:t>
            </w:r>
            <w:r>
              <w:rPr>
                <w:rFonts w:hint="eastAsia" w:ascii="宋体" w:hAnsi="宋体" w:eastAsia="宋体" w:cs="Helvetica"/>
                <w:color w:val="auto"/>
                <w:kern w:val="0"/>
                <w:highlight w:val="none"/>
              </w:rPr>
              <w:t>天</w:t>
            </w:r>
          </w:p>
        </w:tc>
        <w:tc>
          <w:tcPr>
            <w:tcW w:w="1959" w:type="dxa"/>
            <w:vMerge w:val="continue"/>
            <w:vAlign w:val="center"/>
          </w:tcPr>
          <w:p w14:paraId="6E46AA20">
            <w:pPr>
              <w:tabs>
                <w:tab w:val="left" w:pos="0"/>
              </w:tabs>
              <w:spacing w:line="240" w:lineRule="auto"/>
              <w:ind w:firstLine="480" w:firstLineChars="0"/>
              <w:jc w:val="center"/>
              <w:rPr>
                <w:rFonts w:hint="eastAsia" w:ascii="宋体" w:hAnsi="宋体" w:eastAsia="宋体" w:cs="Helvetica"/>
                <w:color w:val="auto"/>
                <w:kern w:val="0"/>
                <w:highlight w:val="none"/>
              </w:rPr>
            </w:pPr>
          </w:p>
        </w:tc>
      </w:tr>
      <w:tr w14:paraId="31ED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4" w:type="dxa"/>
            <w:gridSpan w:val="2"/>
            <w:vAlign w:val="center"/>
          </w:tcPr>
          <w:p w14:paraId="0C6CC403">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评审项目类型及送审额</w:t>
            </w:r>
          </w:p>
        </w:tc>
        <w:tc>
          <w:tcPr>
            <w:tcW w:w="2936" w:type="dxa"/>
            <w:vAlign w:val="center"/>
          </w:tcPr>
          <w:p w14:paraId="74FC0661">
            <w:pPr>
              <w:tabs>
                <w:tab w:val="left" w:pos="0"/>
              </w:tabs>
              <w:spacing w:line="240" w:lineRule="auto"/>
              <w:ind w:firstLine="0" w:firstLineChars="0"/>
              <w:jc w:val="center"/>
              <w:rPr>
                <w:rFonts w:hint="eastAsia" w:ascii="宋体" w:hAnsi="宋体" w:eastAsia="宋体" w:cs="Helvetica"/>
                <w:color w:val="auto"/>
                <w:kern w:val="0"/>
                <w:highlight w:val="none"/>
                <w:lang w:eastAsia="zh-CN"/>
              </w:rPr>
            </w:pPr>
            <w:r>
              <w:rPr>
                <w:rFonts w:hint="eastAsia" w:ascii="宋体" w:hAnsi="宋体" w:eastAsia="宋体" w:cs="Helvetica"/>
                <w:color w:val="auto"/>
                <w:kern w:val="0"/>
                <w:highlight w:val="none"/>
                <w:lang w:val="en-US" w:eastAsia="zh-CN"/>
              </w:rPr>
              <w:t>期限</w:t>
            </w:r>
          </w:p>
        </w:tc>
        <w:tc>
          <w:tcPr>
            <w:tcW w:w="1959" w:type="dxa"/>
            <w:vAlign w:val="center"/>
          </w:tcPr>
          <w:p w14:paraId="6F68E979">
            <w:pPr>
              <w:tabs>
                <w:tab w:val="left" w:pos="0"/>
              </w:tabs>
              <w:spacing w:line="240" w:lineRule="auto"/>
              <w:ind w:firstLine="0" w:firstLineChars="0"/>
              <w:jc w:val="both"/>
              <w:rPr>
                <w:rFonts w:hint="eastAsia" w:ascii="宋体" w:hAnsi="宋体" w:eastAsia="宋体" w:cs="Helvetica"/>
                <w:color w:val="auto"/>
                <w:kern w:val="0"/>
                <w:highlight w:val="none"/>
                <w:lang w:eastAsia="zh-CN"/>
              </w:rPr>
            </w:pPr>
            <w:r>
              <w:rPr>
                <w:rFonts w:hint="eastAsia" w:ascii="宋体" w:hAnsi="宋体" w:eastAsia="宋体" w:cs="Helvetica"/>
                <w:color w:val="auto"/>
                <w:kern w:val="0"/>
                <w:highlight w:val="none"/>
                <w:lang w:val="en-US" w:eastAsia="zh-CN"/>
              </w:rPr>
              <w:t>是否适用本协议</w:t>
            </w:r>
          </w:p>
        </w:tc>
      </w:tr>
      <w:tr w14:paraId="7EEC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8" w:type="dxa"/>
            <w:vMerge w:val="restart"/>
            <w:vAlign w:val="center"/>
          </w:tcPr>
          <w:p w14:paraId="4B10F89F">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结算</w:t>
            </w:r>
          </w:p>
          <w:p w14:paraId="71B19D5B">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复核</w:t>
            </w:r>
          </w:p>
        </w:tc>
        <w:tc>
          <w:tcPr>
            <w:tcW w:w="2816" w:type="dxa"/>
            <w:vAlign w:val="center"/>
          </w:tcPr>
          <w:p w14:paraId="4D61806C">
            <w:pPr>
              <w:tabs>
                <w:tab w:val="left" w:pos="0"/>
              </w:tabs>
              <w:spacing w:line="240" w:lineRule="auto"/>
              <w:ind w:firstLine="0" w:firstLineChars="0"/>
              <w:jc w:val="center"/>
              <w:rPr>
                <w:rFonts w:ascii="宋体" w:hAnsi="宋体" w:eastAsia="宋体" w:cs="Helvetica"/>
                <w:color w:val="auto"/>
                <w:kern w:val="0"/>
                <w:highlight w:val="none"/>
                <w:lang w:eastAsia="en-US"/>
              </w:rPr>
            </w:pPr>
            <w:r>
              <w:rPr>
                <w:rFonts w:hint="eastAsia" w:ascii="宋体" w:hAnsi="宋体" w:eastAsia="宋体" w:cs="Helvetica"/>
                <w:color w:val="auto"/>
                <w:kern w:val="0"/>
                <w:highlight w:val="none"/>
              </w:rPr>
              <w:t>送审1000万元-</w:t>
            </w:r>
            <w:r>
              <w:rPr>
                <w:rFonts w:hint="eastAsia" w:ascii="宋体" w:hAnsi="宋体" w:eastAsia="宋体" w:cs="Helvetica"/>
                <w:color w:val="auto"/>
                <w:kern w:val="0"/>
                <w:highlight w:val="none"/>
                <w:lang w:val="en-US" w:eastAsia="zh-CN"/>
              </w:rPr>
              <w:t>5</w:t>
            </w:r>
            <w:r>
              <w:rPr>
                <w:rFonts w:hint="eastAsia" w:ascii="宋体" w:hAnsi="宋体" w:eastAsia="宋体" w:cs="Helvetica"/>
                <w:color w:val="auto"/>
                <w:kern w:val="0"/>
                <w:highlight w:val="none"/>
              </w:rPr>
              <w:t>000万元（含）</w:t>
            </w:r>
          </w:p>
        </w:tc>
        <w:tc>
          <w:tcPr>
            <w:tcW w:w="2936" w:type="dxa"/>
            <w:vAlign w:val="center"/>
          </w:tcPr>
          <w:p w14:paraId="618BC683">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default" w:ascii="宋体" w:hAnsi="宋体" w:eastAsia="宋体" w:cs="Helvetica"/>
                <w:color w:val="auto"/>
                <w:kern w:val="0"/>
                <w:highlight w:val="none"/>
                <w:lang w:val="en-US"/>
              </w:rPr>
              <w:t>12</w:t>
            </w:r>
            <w:r>
              <w:rPr>
                <w:rFonts w:hint="eastAsia" w:ascii="宋体" w:hAnsi="宋体" w:eastAsia="宋体" w:cs="Helvetica"/>
                <w:color w:val="auto"/>
                <w:kern w:val="0"/>
                <w:highlight w:val="none"/>
              </w:rPr>
              <w:t>天</w:t>
            </w:r>
          </w:p>
        </w:tc>
        <w:tc>
          <w:tcPr>
            <w:tcW w:w="1959" w:type="dxa"/>
            <w:vMerge w:val="restart"/>
            <w:vAlign w:val="center"/>
          </w:tcPr>
          <w:p w14:paraId="127BD731">
            <w:pPr>
              <w:tabs>
                <w:tab w:val="left" w:pos="0"/>
              </w:tabs>
              <w:spacing w:line="240" w:lineRule="auto"/>
              <w:ind w:firstLine="0" w:firstLineChars="0"/>
              <w:jc w:val="center"/>
              <w:rPr>
                <w:rFonts w:hint="eastAsia" w:ascii="宋体" w:hAnsi="宋体" w:eastAsia="宋体" w:cs="Helvetica"/>
                <w:color w:val="auto"/>
                <w:kern w:val="0"/>
                <w:highlight w:val="none"/>
              </w:rPr>
            </w:pP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 xml:space="preserve">是  </w:t>
            </w:r>
            <w:r>
              <w:rPr>
                <w:rFonts w:hint="eastAsia" w:ascii="宋体" w:hAnsi="宋体" w:eastAsia="宋体" w:cs="Times New Roman"/>
                <w:color w:val="auto"/>
                <w:highlight w:val="none"/>
                <w:lang w:val="en-US" w:eastAsia="zh-CN"/>
              </w:rPr>
              <w:sym w:font="Wingdings 2" w:char="00A3"/>
            </w:r>
            <w:r>
              <w:rPr>
                <w:rFonts w:hint="eastAsia" w:ascii="宋体" w:hAnsi="宋体" w:eastAsia="宋体" w:cs="Times New Roman"/>
                <w:color w:val="auto"/>
                <w:highlight w:val="none"/>
                <w:lang w:val="en-US" w:eastAsia="zh-CN"/>
              </w:rPr>
              <w:t>否</w:t>
            </w:r>
          </w:p>
        </w:tc>
      </w:tr>
      <w:tr w14:paraId="2E18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08" w:type="dxa"/>
            <w:vMerge w:val="continue"/>
            <w:vAlign w:val="center"/>
          </w:tcPr>
          <w:p w14:paraId="68040AD2">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63ECDDFF">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送审额5000万-10000万元（含）</w:t>
            </w:r>
          </w:p>
        </w:tc>
        <w:tc>
          <w:tcPr>
            <w:tcW w:w="2936" w:type="dxa"/>
            <w:vAlign w:val="center"/>
          </w:tcPr>
          <w:p w14:paraId="45ED2E07">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从收到完整资料1</w:t>
            </w:r>
            <w:r>
              <w:rPr>
                <w:rFonts w:hint="default" w:ascii="宋体" w:hAnsi="宋体" w:eastAsia="宋体" w:cs="Helvetica"/>
                <w:color w:val="auto"/>
                <w:kern w:val="0"/>
                <w:highlight w:val="none"/>
                <w:lang w:val="en-US"/>
              </w:rPr>
              <w:t>8</w:t>
            </w:r>
            <w:r>
              <w:rPr>
                <w:rFonts w:hint="eastAsia" w:ascii="宋体" w:hAnsi="宋体" w:eastAsia="宋体" w:cs="Helvetica"/>
                <w:color w:val="auto"/>
                <w:kern w:val="0"/>
                <w:highlight w:val="none"/>
              </w:rPr>
              <w:t>天</w:t>
            </w:r>
          </w:p>
        </w:tc>
        <w:tc>
          <w:tcPr>
            <w:tcW w:w="1959" w:type="dxa"/>
            <w:vMerge w:val="continue"/>
            <w:vAlign w:val="center"/>
          </w:tcPr>
          <w:p w14:paraId="5F90F4FF">
            <w:pPr>
              <w:tabs>
                <w:tab w:val="left" w:pos="0"/>
              </w:tabs>
              <w:spacing w:line="240" w:lineRule="auto"/>
              <w:ind w:firstLine="480" w:firstLineChars="0"/>
              <w:jc w:val="center"/>
              <w:rPr>
                <w:rFonts w:hint="eastAsia" w:ascii="宋体" w:hAnsi="宋体" w:eastAsia="宋体" w:cs="Helvetica"/>
                <w:color w:val="auto"/>
                <w:kern w:val="0"/>
                <w:highlight w:val="none"/>
              </w:rPr>
            </w:pPr>
          </w:p>
        </w:tc>
      </w:tr>
      <w:tr w14:paraId="30B6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8" w:type="dxa"/>
            <w:vMerge w:val="continue"/>
            <w:vAlign w:val="center"/>
          </w:tcPr>
          <w:p w14:paraId="3B96338A">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659DD5CA">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送审额10000万元-</w:t>
            </w:r>
            <w:r>
              <w:rPr>
                <w:rFonts w:hint="eastAsia" w:ascii="宋体" w:hAnsi="宋体" w:eastAsia="宋体" w:cs="Helvetica"/>
                <w:color w:val="auto"/>
                <w:kern w:val="0"/>
                <w:highlight w:val="none"/>
                <w:lang w:val="en-US" w:eastAsia="zh-CN"/>
              </w:rPr>
              <w:t>50</w:t>
            </w:r>
            <w:r>
              <w:rPr>
                <w:rFonts w:hint="eastAsia" w:ascii="宋体" w:hAnsi="宋体" w:eastAsia="宋体" w:cs="Helvetica"/>
                <w:color w:val="auto"/>
                <w:kern w:val="0"/>
                <w:highlight w:val="none"/>
              </w:rPr>
              <w:t>000万元（含）</w:t>
            </w:r>
          </w:p>
        </w:tc>
        <w:tc>
          <w:tcPr>
            <w:tcW w:w="2936" w:type="dxa"/>
            <w:vAlign w:val="center"/>
          </w:tcPr>
          <w:p w14:paraId="23AC2E7D">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default" w:ascii="宋体" w:hAnsi="宋体" w:eastAsia="宋体" w:cs="Helvetica"/>
                <w:color w:val="auto"/>
                <w:kern w:val="0"/>
                <w:highlight w:val="none"/>
                <w:lang w:val="en-US"/>
              </w:rPr>
              <w:t>24</w:t>
            </w:r>
            <w:r>
              <w:rPr>
                <w:rFonts w:hint="eastAsia" w:ascii="宋体" w:hAnsi="宋体" w:eastAsia="宋体" w:cs="Helvetica"/>
                <w:color w:val="auto"/>
                <w:kern w:val="0"/>
                <w:highlight w:val="none"/>
              </w:rPr>
              <w:t>天</w:t>
            </w:r>
          </w:p>
        </w:tc>
        <w:tc>
          <w:tcPr>
            <w:tcW w:w="1959" w:type="dxa"/>
            <w:vMerge w:val="continue"/>
            <w:vAlign w:val="center"/>
          </w:tcPr>
          <w:p w14:paraId="4E5108C9">
            <w:pPr>
              <w:tabs>
                <w:tab w:val="left" w:pos="0"/>
              </w:tabs>
              <w:spacing w:line="240" w:lineRule="auto"/>
              <w:ind w:firstLine="480" w:firstLineChars="0"/>
              <w:jc w:val="center"/>
              <w:rPr>
                <w:rFonts w:hint="eastAsia" w:ascii="宋体" w:hAnsi="宋体" w:eastAsia="宋体" w:cs="Helvetica"/>
                <w:color w:val="auto"/>
                <w:kern w:val="0"/>
                <w:highlight w:val="none"/>
              </w:rPr>
            </w:pPr>
          </w:p>
        </w:tc>
      </w:tr>
      <w:tr w14:paraId="36C7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8" w:type="dxa"/>
            <w:vMerge w:val="continue"/>
            <w:vAlign w:val="center"/>
          </w:tcPr>
          <w:p w14:paraId="08ECE592">
            <w:pPr>
              <w:tabs>
                <w:tab w:val="left" w:pos="0"/>
              </w:tabs>
              <w:spacing w:line="240" w:lineRule="auto"/>
              <w:ind w:firstLine="480"/>
              <w:jc w:val="center"/>
              <w:rPr>
                <w:rFonts w:ascii="宋体" w:hAnsi="宋体" w:eastAsia="宋体" w:cs="Helvetica"/>
                <w:color w:val="auto"/>
                <w:kern w:val="0"/>
                <w:highlight w:val="none"/>
              </w:rPr>
            </w:pPr>
          </w:p>
        </w:tc>
        <w:tc>
          <w:tcPr>
            <w:tcW w:w="2816" w:type="dxa"/>
            <w:vAlign w:val="center"/>
          </w:tcPr>
          <w:p w14:paraId="5188E875">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送审额</w:t>
            </w:r>
            <w:r>
              <w:rPr>
                <w:rFonts w:hint="eastAsia" w:ascii="宋体" w:hAnsi="宋体" w:eastAsia="宋体" w:cs="Helvetica"/>
                <w:color w:val="auto"/>
                <w:kern w:val="0"/>
                <w:highlight w:val="none"/>
                <w:lang w:val="en-US" w:eastAsia="zh-CN"/>
              </w:rPr>
              <w:t>50</w:t>
            </w:r>
            <w:r>
              <w:rPr>
                <w:rFonts w:hint="eastAsia" w:ascii="宋体" w:hAnsi="宋体" w:eastAsia="宋体" w:cs="Helvetica"/>
                <w:color w:val="auto"/>
                <w:kern w:val="0"/>
                <w:highlight w:val="none"/>
              </w:rPr>
              <w:t>000万元以上</w:t>
            </w:r>
          </w:p>
        </w:tc>
        <w:tc>
          <w:tcPr>
            <w:tcW w:w="2936" w:type="dxa"/>
            <w:vAlign w:val="center"/>
          </w:tcPr>
          <w:p w14:paraId="3E303CE0">
            <w:pPr>
              <w:tabs>
                <w:tab w:val="left" w:pos="0"/>
              </w:tabs>
              <w:spacing w:line="240" w:lineRule="auto"/>
              <w:ind w:firstLine="0" w:firstLineChars="0"/>
              <w:jc w:val="center"/>
              <w:rPr>
                <w:rFonts w:ascii="宋体" w:hAnsi="宋体" w:eastAsia="宋体" w:cs="Helvetica"/>
                <w:color w:val="auto"/>
                <w:kern w:val="0"/>
                <w:highlight w:val="none"/>
              </w:rPr>
            </w:pPr>
            <w:r>
              <w:rPr>
                <w:rFonts w:hint="eastAsia" w:ascii="宋体" w:hAnsi="宋体" w:eastAsia="宋体" w:cs="Helvetica"/>
                <w:color w:val="auto"/>
                <w:kern w:val="0"/>
                <w:highlight w:val="none"/>
              </w:rPr>
              <w:t>从收到完整资料</w:t>
            </w:r>
            <w:r>
              <w:rPr>
                <w:rFonts w:hint="default" w:ascii="宋体" w:hAnsi="宋体" w:eastAsia="宋体" w:cs="Helvetica"/>
                <w:color w:val="auto"/>
                <w:kern w:val="0"/>
                <w:highlight w:val="none"/>
                <w:lang w:val="en-US"/>
              </w:rPr>
              <w:t>30</w:t>
            </w:r>
            <w:r>
              <w:rPr>
                <w:rFonts w:hint="eastAsia" w:ascii="宋体" w:hAnsi="宋体" w:eastAsia="宋体" w:cs="Helvetica"/>
                <w:color w:val="auto"/>
                <w:kern w:val="0"/>
                <w:highlight w:val="none"/>
              </w:rPr>
              <w:t>天</w:t>
            </w:r>
          </w:p>
        </w:tc>
        <w:tc>
          <w:tcPr>
            <w:tcW w:w="1959" w:type="dxa"/>
            <w:vMerge w:val="continue"/>
            <w:vAlign w:val="center"/>
          </w:tcPr>
          <w:p w14:paraId="5C59D22D">
            <w:pPr>
              <w:tabs>
                <w:tab w:val="left" w:pos="0"/>
              </w:tabs>
              <w:spacing w:line="240" w:lineRule="auto"/>
              <w:ind w:firstLine="480" w:firstLineChars="0"/>
              <w:jc w:val="center"/>
              <w:rPr>
                <w:rFonts w:hint="eastAsia" w:ascii="宋体" w:hAnsi="宋体" w:eastAsia="宋体" w:cs="Helvetica"/>
                <w:color w:val="auto"/>
                <w:kern w:val="0"/>
                <w:highlight w:val="none"/>
              </w:rPr>
            </w:pPr>
          </w:p>
        </w:tc>
      </w:tr>
      <w:tr w14:paraId="667A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9" w:type="dxa"/>
            <w:gridSpan w:val="4"/>
            <w:vAlign w:val="center"/>
          </w:tcPr>
          <w:p w14:paraId="66AD080C">
            <w:pPr>
              <w:tabs>
                <w:tab w:val="left" w:pos="0"/>
              </w:tabs>
              <w:spacing w:line="240" w:lineRule="auto"/>
              <w:ind w:firstLine="0"/>
              <w:jc w:val="left"/>
              <w:rPr>
                <w:rFonts w:hint="eastAsia" w:ascii="宋体" w:hAnsi="宋体" w:eastAsia="宋体" w:cs="Helvetica"/>
                <w:b/>
                <w:bCs/>
                <w:color w:val="auto"/>
                <w:kern w:val="0"/>
                <w:highlight w:val="none"/>
              </w:rPr>
            </w:pPr>
            <w:r>
              <w:rPr>
                <w:rFonts w:hint="eastAsia" w:ascii="宋体" w:hAnsi="宋体" w:eastAsia="宋体" w:cs="Helvetica"/>
                <w:b/>
                <w:bCs/>
                <w:color w:val="auto"/>
                <w:kern w:val="0"/>
                <w:highlight w:val="none"/>
              </w:rPr>
              <w:t>注：1.从收到完整的项目资料之日起算，上述审核时限除概算复核为工作日外，其余均为法定节假日除外的日历天。</w:t>
            </w:r>
          </w:p>
          <w:p w14:paraId="68F5FCDE">
            <w:pPr>
              <w:tabs>
                <w:tab w:val="left" w:pos="0"/>
              </w:tabs>
              <w:spacing w:line="240" w:lineRule="auto"/>
              <w:ind w:firstLine="480"/>
              <w:rPr>
                <w:rFonts w:hint="eastAsia" w:ascii="宋体" w:hAnsi="宋体" w:eastAsia="宋体" w:cs="Helvetica"/>
                <w:b/>
                <w:bCs/>
                <w:color w:val="auto"/>
                <w:kern w:val="0"/>
                <w:highlight w:val="none"/>
              </w:rPr>
            </w:pPr>
            <w:r>
              <w:rPr>
                <w:rFonts w:hint="eastAsia" w:ascii="宋体" w:hAnsi="宋体" w:eastAsia="宋体" w:cs="Helvetica"/>
                <w:b/>
                <w:bCs/>
                <w:color w:val="auto"/>
                <w:kern w:val="0"/>
                <w:highlight w:val="none"/>
              </w:rPr>
              <w:t>2.上述审核时限要求是指完成各项目类型所需工作（进入下一个审核环节前所有工作），并上传政府投资项目评审系统。</w:t>
            </w:r>
          </w:p>
        </w:tc>
      </w:tr>
    </w:tbl>
    <w:p w14:paraId="7F2B2A21">
      <w:pPr>
        <w:widowControl/>
        <w:spacing w:line="500" w:lineRule="exact"/>
        <w:ind w:firstLine="482" w:firstLineChars="200"/>
        <w:rPr>
          <w:rFonts w:ascii="宋体" w:hAnsi="宋体" w:eastAsia="宋体"/>
          <w:color w:val="auto"/>
          <w:highlight w:val="none"/>
        </w:rPr>
      </w:pPr>
      <w:r>
        <w:rPr>
          <w:rFonts w:hint="eastAsia" w:ascii="宋体" w:hAnsi="宋体" w:eastAsia="宋体" w:cs="宋体"/>
          <w:b/>
          <w:color w:val="auto"/>
          <w:kern w:val="0"/>
          <w:sz w:val="24"/>
          <w:highlight w:val="none"/>
          <w:lang w:eastAsia="zh-CN"/>
        </w:rPr>
        <w:t>七</w:t>
      </w:r>
      <w:r>
        <w:rPr>
          <w:rFonts w:hint="eastAsia" w:ascii="宋体" w:hAnsi="宋体" w:eastAsia="宋体" w:cs="宋体"/>
          <w:b/>
          <w:color w:val="auto"/>
          <w:kern w:val="0"/>
          <w:sz w:val="24"/>
          <w:highlight w:val="none"/>
        </w:rPr>
        <w:t>、审核费用及支付</w:t>
      </w:r>
    </w:p>
    <w:p w14:paraId="21B5D7D1">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1.基本费具体计费标准如下：</w:t>
      </w:r>
    </w:p>
    <w:p w14:paraId="54A54FA2">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sym w:font="Wingdings 2" w:char="00A3"/>
      </w:r>
      <w:r>
        <w:rPr>
          <w:rFonts w:hint="eastAsia" w:ascii="宋体" w:hAnsi="宋体" w:eastAsia="宋体" w:cs="宋体"/>
          <w:color w:val="auto"/>
          <w:kern w:val="2"/>
          <w:sz w:val="24"/>
          <w:szCs w:val="24"/>
          <w:highlight w:val="none"/>
          <w:lang w:val="en-US" w:eastAsia="zh-CN" w:bidi="ar-SA"/>
        </w:rPr>
        <w:t>概算审核的收费按征集文件《基准收费标准》（附表1）</w:t>
      </w:r>
      <w:r>
        <w:rPr>
          <w:rFonts w:hint="eastAsia" w:cs="宋体"/>
          <w:color w:val="auto"/>
          <w:kern w:val="2"/>
          <w:sz w:val="24"/>
          <w:szCs w:val="24"/>
          <w:highlight w:val="none"/>
          <w:lang w:val="en-US" w:eastAsia="zh-CN" w:bidi="ar-SA"/>
        </w:rPr>
        <w:t>优惠</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none"/>
          <w:lang w:val="en-US" w:eastAsia="zh-CN" w:bidi="ar-SA"/>
        </w:rPr>
        <w:t>%</w:t>
      </w:r>
      <w:r>
        <w:rPr>
          <w:rFonts w:hint="eastAsia" w:cs="宋体"/>
          <w:color w:val="auto"/>
          <w:kern w:val="2"/>
          <w:sz w:val="24"/>
          <w:szCs w:val="24"/>
          <w:highlight w:val="none"/>
          <w:u w:val="none"/>
          <w:lang w:val="en-US" w:eastAsia="zh-CN" w:bidi="ar-SA"/>
        </w:rPr>
        <w:t>进行</w:t>
      </w:r>
      <w:r>
        <w:rPr>
          <w:rFonts w:hint="eastAsia" w:ascii="宋体" w:hAnsi="宋体" w:eastAsia="宋体" w:cs="宋体"/>
          <w:color w:val="auto"/>
          <w:kern w:val="2"/>
          <w:sz w:val="24"/>
          <w:szCs w:val="24"/>
          <w:highlight w:val="none"/>
          <w:lang w:val="en-US" w:eastAsia="zh-CN" w:bidi="ar-SA"/>
        </w:rPr>
        <w:t>结算。</w:t>
      </w:r>
    </w:p>
    <w:p w14:paraId="3D7B96EE">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sym w:font="Wingdings 2" w:char="00A3"/>
      </w:r>
      <w:r>
        <w:rPr>
          <w:rFonts w:hint="eastAsia" w:ascii="宋体" w:hAnsi="宋体" w:eastAsia="宋体" w:cs="宋体"/>
          <w:color w:val="auto"/>
          <w:kern w:val="2"/>
          <w:sz w:val="24"/>
          <w:szCs w:val="24"/>
          <w:highlight w:val="none"/>
          <w:lang w:val="en-US" w:eastAsia="zh-CN" w:bidi="ar-SA"/>
        </w:rPr>
        <w:t>结算初核的收费按征集文件《基准收费标准》（附表1）</w:t>
      </w:r>
      <w:r>
        <w:rPr>
          <w:rFonts w:hint="eastAsia" w:cs="宋体"/>
          <w:color w:val="auto"/>
          <w:kern w:val="2"/>
          <w:sz w:val="24"/>
          <w:szCs w:val="24"/>
          <w:highlight w:val="none"/>
          <w:lang w:val="en-US" w:eastAsia="zh-CN" w:bidi="ar-SA"/>
        </w:rPr>
        <w:t>优惠</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none"/>
          <w:lang w:val="en-US" w:eastAsia="zh-CN" w:bidi="ar-SA"/>
        </w:rPr>
        <w:t>%</w:t>
      </w:r>
      <w:r>
        <w:rPr>
          <w:rFonts w:hint="eastAsia" w:cs="宋体"/>
          <w:color w:val="auto"/>
          <w:kern w:val="2"/>
          <w:sz w:val="24"/>
          <w:szCs w:val="24"/>
          <w:highlight w:val="none"/>
          <w:u w:val="none"/>
          <w:lang w:val="en-US" w:eastAsia="zh-CN" w:bidi="ar-SA"/>
        </w:rPr>
        <w:t>进行</w:t>
      </w:r>
      <w:r>
        <w:rPr>
          <w:rFonts w:hint="eastAsia" w:ascii="宋体" w:hAnsi="宋体" w:eastAsia="宋体" w:cs="宋体"/>
          <w:color w:val="auto"/>
          <w:kern w:val="2"/>
          <w:sz w:val="24"/>
          <w:szCs w:val="24"/>
          <w:highlight w:val="none"/>
          <w:lang w:val="en-US" w:eastAsia="zh-CN" w:bidi="ar-SA"/>
        </w:rPr>
        <w:t>结算。</w:t>
      </w:r>
    </w:p>
    <w:p w14:paraId="7812E6D4">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sym w:font="Wingdings 2" w:char="00A3"/>
      </w:r>
      <w:r>
        <w:rPr>
          <w:rFonts w:hint="eastAsia" w:ascii="宋体" w:hAnsi="宋体" w:eastAsia="宋体" w:cs="宋体"/>
          <w:color w:val="auto"/>
          <w:kern w:val="2"/>
          <w:sz w:val="24"/>
          <w:szCs w:val="24"/>
          <w:highlight w:val="none"/>
          <w:lang w:val="en-US" w:eastAsia="zh-CN" w:bidi="ar-SA"/>
        </w:rPr>
        <w:t>结算复核、结算全面复核收费按征集文件《基准收费标准》（附表1）</w:t>
      </w:r>
      <w:r>
        <w:rPr>
          <w:rFonts w:hint="eastAsia" w:cs="宋体"/>
          <w:color w:val="auto"/>
          <w:kern w:val="2"/>
          <w:sz w:val="24"/>
          <w:szCs w:val="24"/>
          <w:highlight w:val="none"/>
          <w:lang w:val="en-US" w:eastAsia="zh-CN" w:bidi="ar-SA"/>
        </w:rPr>
        <w:t>优惠</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u w:val="none"/>
          <w:lang w:val="en-US" w:eastAsia="zh-CN" w:bidi="ar-SA"/>
        </w:rPr>
        <w:t>%</w:t>
      </w:r>
      <w:r>
        <w:rPr>
          <w:rFonts w:hint="eastAsia" w:cs="宋体"/>
          <w:color w:val="auto"/>
          <w:kern w:val="2"/>
          <w:sz w:val="24"/>
          <w:szCs w:val="24"/>
          <w:highlight w:val="none"/>
          <w:u w:val="none"/>
          <w:lang w:val="en-US" w:eastAsia="zh-CN" w:bidi="ar-SA"/>
        </w:rPr>
        <w:t>进行</w:t>
      </w:r>
      <w:r>
        <w:rPr>
          <w:rFonts w:hint="eastAsia" w:ascii="宋体" w:hAnsi="宋体" w:eastAsia="宋体" w:cs="宋体"/>
          <w:color w:val="auto"/>
          <w:kern w:val="2"/>
          <w:sz w:val="24"/>
          <w:szCs w:val="24"/>
          <w:highlight w:val="none"/>
          <w:lang w:val="en-US" w:eastAsia="zh-CN" w:bidi="ar-SA"/>
        </w:rPr>
        <w:t>结算。</w:t>
      </w:r>
    </w:p>
    <w:p w14:paraId="67539643">
      <w:pPr>
        <w:pStyle w:val="22"/>
        <w:numPr>
          <w:ilvl w:val="255"/>
          <w:numId w:val="0"/>
        </w:num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2.结算初核、结算复核、结算全面复核追加费具体计费标准如下：</w:t>
      </w:r>
    </w:p>
    <w:p w14:paraId="6C0739D4">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追加费按征集文件《基准收费标准》（附表1）的规定计取，若初、复核（或全面复核）的追加费总额超出项目追加费的，以项目追加费为上限，同时优先保障复核单位的追加费。</w:t>
      </w:r>
    </w:p>
    <w:p w14:paraId="3414DCB5">
      <w:pPr>
        <w:pStyle w:val="22"/>
        <w:numPr>
          <w:ilvl w:val="255"/>
          <w:numId w:val="0"/>
        </w:num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项目追加费=[(核减额-送审额*5%）]*5% +核增额*5% </w:t>
      </w:r>
    </w:p>
    <w:p w14:paraId="0CB0438D">
      <w:pPr>
        <w:pStyle w:val="22"/>
        <w:numPr>
          <w:ilvl w:val="255"/>
          <w:numId w:val="0"/>
        </w:num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若公式中核减额-送审额*5%≤0时，核减部分追加费按0计取，不与核增部分进行抵销。</w:t>
      </w:r>
    </w:p>
    <w:p w14:paraId="5C7391C2">
      <w:pPr>
        <w:pStyle w:val="22"/>
        <w:numPr>
          <w:ilvl w:val="255"/>
          <w:numId w:val="0"/>
        </w:numPr>
        <w:spacing w:line="360" w:lineRule="auto"/>
        <w:ind w:left="0" w:leftChars="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应付结算审价费=基本审价费+追加审价费</w:t>
      </w:r>
    </w:p>
    <w:p w14:paraId="70D6880E">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kern w:val="2"/>
          <w:sz w:val="24"/>
          <w:highlight w:val="none"/>
        </w:rPr>
        <w:t>单个项目</w:t>
      </w:r>
      <w:r>
        <w:rPr>
          <w:rFonts w:hint="eastAsia" w:ascii="宋体" w:hAnsi="宋体" w:cs="宋体"/>
          <w:color w:val="auto"/>
          <w:kern w:val="2"/>
          <w:sz w:val="24"/>
          <w:highlight w:val="none"/>
          <w:lang w:eastAsia="zh-CN"/>
        </w:rPr>
        <w:t>基本审计费</w:t>
      </w:r>
      <w:r>
        <w:rPr>
          <w:rFonts w:hint="eastAsia" w:ascii="宋体" w:hAnsi="宋体" w:eastAsia="宋体" w:cs="宋体"/>
          <w:color w:val="auto"/>
          <w:kern w:val="2"/>
          <w:sz w:val="24"/>
          <w:highlight w:val="none"/>
        </w:rPr>
        <w:t>高于等于49.99万元则按49.99万元计取</w:t>
      </w:r>
      <w:r>
        <w:rPr>
          <w:rFonts w:hint="eastAsia" w:ascii="宋体" w:hAnsi="宋体" w:eastAsia="宋体" w:cs="宋体"/>
          <w:color w:val="auto"/>
          <w:kern w:val="2"/>
          <w:sz w:val="24"/>
          <w:highlight w:val="none"/>
          <w:lang w:eastAsia="zh-CN"/>
        </w:rPr>
        <w:t>，</w:t>
      </w:r>
      <w:r>
        <w:rPr>
          <w:rFonts w:hint="eastAsia" w:ascii="宋体" w:hAnsi="宋体" w:eastAsia="宋体" w:cs="宋体"/>
          <w:color w:val="auto"/>
          <w:kern w:val="2"/>
          <w:sz w:val="24"/>
          <w:highlight w:val="none"/>
          <w:lang w:val="en-US" w:eastAsia="zh-CN"/>
        </w:rPr>
        <w:t>超出部分由乙方自行承担</w:t>
      </w:r>
      <w:r>
        <w:rPr>
          <w:rFonts w:hint="eastAsia" w:ascii="宋体" w:hAnsi="宋体" w:eastAsia="宋体" w:cs="宋体"/>
          <w:color w:val="auto"/>
          <w:kern w:val="2"/>
          <w:sz w:val="24"/>
          <w:highlight w:val="none"/>
        </w:rPr>
        <w:t>。</w:t>
      </w:r>
    </w:p>
    <w:p w14:paraId="54C2FE7B">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4.当审核误差率≤对应的承诺误差率，不扣应付审价费；当承诺误差率&lt;审核误差率≤规定的审核综合误差率，按应付审价费的</w:t>
      </w:r>
      <w:r>
        <w:rPr>
          <w:rFonts w:hint="eastAsia" w:cs="宋体"/>
          <w:color w:val="auto"/>
          <w:kern w:val="2"/>
          <w:sz w:val="24"/>
          <w:szCs w:val="24"/>
          <w:highlight w:val="none"/>
          <w:lang w:val="en-US" w:eastAsia="zh-CN" w:bidi="ar-SA"/>
        </w:rPr>
        <w:t>30%</w:t>
      </w:r>
      <w:r>
        <w:rPr>
          <w:rFonts w:hint="eastAsia" w:ascii="宋体" w:hAnsi="宋体" w:eastAsia="宋体" w:cs="宋体"/>
          <w:color w:val="auto"/>
          <w:kern w:val="2"/>
          <w:sz w:val="24"/>
          <w:szCs w:val="24"/>
          <w:highlight w:val="none"/>
          <w:lang w:val="en-US" w:eastAsia="zh-CN" w:bidi="ar-SA"/>
        </w:rPr>
        <w:t>计算；审核误差率&gt;规定的审核综合误差率，全额扣减应付审价费。</w:t>
      </w:r>
    </w:p>
    <w:p w14:paraId="54C1BBF5">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综合误差率是指因工程量计算错误、单价取定和调整错误、措施项目计算和调整错误、其他项目及规费和税金取定、计算错误等累计误差与修正后的结算审查结论性总额的比率。上述所指的累计误差是核增额与核减额的绝对值的累加。</w:t>
      </w:r>
    </w:p>
    <w:p w14:paraId="25B7BF3B">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规定的概算审核综合误差率为8%</w:t>
      </w:r>
    </w:p>
    <w:p w14:paraId="1E368A9F">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规定的结算审核综合误差率为3%</w:t>
      </w:r>
    </w:p>
    <w:p w14:paraId="23B07BE2">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kern w:val="2"/>
          <w:highlight w:val="none"/>
        </w:rPr>
        <w:t>评审费由甲方支付，按</w:t>
      </w:r>
      <w:r>
        <w:rPr>
          <w:rFonts w:hint="eastAsia" w:ascii="宋体" w:hAnsi="宋体" w:eastAsia="宋体" w:cs="宋体"/>
          <w:color w:val="auto"/>
          <w:kern w:val="2"/>
          <w:highlight w:val="none"/>
          <w:lang w:val="en-US" w:eastAsia="zh-CN"/>
        </w:rPr>
        <w:t>季</w:t>
      </w:r>
      <w:r>
        <w:rPr>
          <w:rFonts w:hint="eastAsia" w:ascii="宋体" w:hAnsi="宋体" w:eastAsia="宋体" w:cs="宋体"/>
          <w:color w:val="auto"/>
          <w:kern w:val="2"/>
          <w:highlight w:val="none"/>
        </w:rPr>
        <w:t>支付，</w:t>
      </w:r>
      <w:r>
        <w:rPr>
          <w:rFonts w:hint="eastAsia" w:ascii="宋体" w:hAnsi="宋体" w:eastAsia="宋体" w:cs="宋体"/>
          <w:snapToGrid/>
          <w:color w:val="auto"/>
          <w:kern w:val="2"/>
          <w:sz w:val="24"/>
          <w:szCs w:val="24"/>
          <w:highlight w:val="none"/>
          <w:lang w:val="en-US" w:eastAsia="zh-CN" w:bidi="ar-SA"/>
        </w:rPr>
        <w:t>具体付费时间按区财政局年度预算安排为准，其中代收代缴部分以实际上缴时间为准。</w:t>
      </w:r>
      <w:r>
        <w:rPr>
          <w:rFonts w:hint="eastAsia" w:ascii="宋体" w:hAnsi="宋体" w:eastAsia="宋体" w:cs="宋体"/>
          <w:color w:val="auto"/>
          <w:kern w:val="2"/>
          <w:highlight w:val="none"/>
        </w:rPr>
        <w:t>乙方不得再向其他单位收取任何费用。甲方付款前，乙方应当向甲方开具相应金额的符合甲方要求的增值税发票，税费已包含在</w:t>
      </w:r>
      <w:r>
        <w:rPr>
          <w:rFonts w:hint="eastAsia" w:ascii="宋体" w:hAnsi="宋体" w:eastAsia="宋体" w:cs="宋体"/>
          <w:color w:val="auto"/>
          <w:kern w:val="2"/>
          <w:highlight w:val="none"/>
          <w:lang w:val="en-US" w:eastAsia="zh-CN"/>
        </w:rPr>
        <w:t>审价</w:t>
      </w:r>
      <w:r>
        <w:rPr>
          <w:rFonts w:hint="eastAsia" w:ascii="宋体" w:hAnsi="宋体" w:eastAsia="宋体" w:cs="宋体"/>
          <w:color w:val="auto"/>
          <w:kern w:val="2"/>
          <w:highlight w:val="none"/>
        </w:rPr>
        <w:t>费内。</w:t>
      </w:r>
    </w:p>
    <w:p w14:paraId="1ADD45F5">
      <w:pPr>
        <w:pStyle w:val="22"/>
        <w:numPr>
          <w:ilvl w:val="255"/>
          <w:numId w:val="0"/>
        </w:num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6.如遇国家政策调整，审核费另行确定。</w:t>
      </w:r>
    </w:p>
    <w:p w14:paraId="1FA136DE">
      <w:pPr>
        <w:pStyle w:val="22"/>
        <w:spacing w:line="500" w:lineRule="exact"/>
        <w:ind w:left="480" w:firstLine="0" w:firstLineChars="0"/>
        <w:rPr>
          <w:rFonts w:ascii="宋体" w:hAnsi="宋体" w:eastAsia="宋体"/>
          <w:b/>
          <w:bCs/>
          <w:color w:val="auto"/>
          <w:kern w:val="0"/>
          <w:highlight w:val="none"/>
        </w:rPr>
      </w:pPr>
      <w:r>
        <w:rPr>
          <w:rFonts w:hint="eastAsia" w:ascii="宋体" w:hAnsi="宋体" w:eastAsia="宋体"/>
          <w:b/>
          <w:bCs/>
          <w:color w:val="auto"/>
          <w:kern w:val="0"/>
          <w:highlight w:val="none"/>
          <w:lang w:eastAsia="zh-CN"/>
        </w:rPr>
        <w:t>八</w:t>
      </w:r>
      <w:r>
        <w:rPr>
          <w:rFonts w:hint="eastAsia" w:ascii="宋体" w:hAnsi="宋体" w:eastAsia="宋体"/>
          <w:b/>
          <w:bCs/>
          <w:color w:val="auto"/>
          <w:kern w:val="0"/>
          <w:highlight w:val="none"/>
        </w:rPr>
        <w:t>、违约责任</w:t>
      </w:r>
    </w:p>
    <w:p w14:paraId="7B6E32D2">
      <w:pPr>
        <w:pStyle w:val="22"/>
        <w:numPr>
          <w:ilvl w:val="255"/>
          <w:numId w:val="0"/>
        </w:numPr>
        <w:spacing w:line="360" w:lineRule="auto"/>
        <w:rPr>
          <w:rFonts w:hint="eastAsia" w:ascii="宋体" w:hAnsi="宋体" w:eastAsia="宋体" w:cs="宋体"/>
          <w:color w:val="auto"/>
          <w:kern w:val="2"/>
          <w:highlight w:val="none"/>
        </w:rPr>
      </w:pPr>
      <w:r>
        <w:rPr>
          <w:rFonts w:hint="eastAsia" w:ascii="宋体" w:hAnsi="宋体" w:eastAsia="宋体" w:cs="宋体"/>
          <w:color w:val="auto"/>
          <w:kern w:val="2"/>
          <w:highlight w:val="none"/>
        </w:rPr>
        <w:t>1.因乙方原因导致审核结果有严重错误或者审核人员滥用职权、徇私舞弊、玩忽职守，造成甲方经济损失的，甲方有权提前解除本协议</w:t>
      </w:r>
      <w:r>
        <w:rPr>
          <w:rFonts w:hint="eastAsia" w:ascii="宋体" w:hAnsi="宋体" w:eastAsia="宋体" w:cs="宋体"/>
          <w:color w:val="auto"/>
          <w:kern w:val="2"/>
          <w:highlight w:val="none"/>
          <w:lang w:val="en-US" w:eastAsia="zh-CN"/>
        </w:rPr>
        <w:t>及具体项目协议</w:t>
      </w:r>
      <w:r>
        <w:rPr>
          <w:rFonts w:hint="eastAsia" w:ascii="宋体" w:hAnsi="宋体" w:eastAsia="宋体" w:cs="宋体"/>
          <w:color w:val="auto"/>
          <w:kern w:val="2"/>
          <w:highlight w:val="none"/>
        </w:rPr>
        <w:t>，不予支付相应审</w:t>
      </w:r>
      <w:r>
        <w:rPr>
          <w:rFonts w:hint="eastAsia" w:ascii="宋体" w:hAnsi="宋体" w:eastAsia="宋体" w:cs="宋体"/>
          <w:color w:val="auto"/>
          <w:kern w:val="2"/>
          <w:highlight w:val="none"/>
          <w:lang w:val="en-US" w:eastAsia="zh-CN"/>
        </w:rPr>
        <w:t>价</w:t>
      </w:r>
      <w:r>
        <w:rPr>
          <w:rFonts w:hint="eastAsia" w:ascii="宋体" w:hAnsi="宋体" w:eastAsia="宋体" w:cs="宋体"/>
          <w:color w:val="auto"/>
          <w:kern w:val="2"/>
          <w:highlight w:val="none"/>
        </w:rPr>
        <w:t>费，同时乙方应承担相应的经济损失。</w:t>
      </w:r>
    </w:p>
    <w:p w14:paraId="416EDFE6">
      <w:pPr>
        <w:pStyle w:val="22"/>
        <w:numPr>
          <w:ilvl w:val="255"/>
          <w:numId w:val="0"/>
        </w:numPr>
        <w:spacing w:line="360" w:lineRule="auto"/>
        <w:rPr>
          <w:rFonts w:hint="eastAsia" w:ascii="宋体" w:hAnsi="宋体" w:eastAsia="宋体" w:cs="宋体"/>
          <w:color w:val="auto"/>
          <w:kern w:val="2"/>
          <w:highlight w:val="none"/>
        </w:rPr>
      </w:pPr>
      <w:r>
        <w:rPr>
          <w:rFonts w:hint="eastAsia" w:ascii="宋体" w:hAnsi="宋体" w:eastAsia="宋体" w:cs="宋体"/>
          <w:color w:val="auto"/>
          <w:kern w:val="2"/>
          <w:highlight w:val="none"/>
        </w:rPr>
        <w:t>2.乙方如擅自毁约，甲方有权视情况提请有关部门取消其承接钱塘新区审核业务的资格，并要求乙方承担甲方的相应损失。</w:t>
      </w:r>
    </w:p>
    <w:p w14:paraId="4E68B5D4">
      <w:pPr>
        <w:pStyle w:val="22"/>
        <w:spacing w:line="500" w:lineRule="exact"/>
        <w:ind w:left="480" w:firstLine="0" w:firstLineChars="0"/>
        <w:rPr>
          <w:rFonts w:hint="eastAsia" w:ascii="宋体" w:hAnsi="宋体" w:eastAsia="宋体" w:cs="Times New Roman"/>
          <w:b/>
          <w:bCs/>
          <w:color w:val="auto"/>
          <w:kern w:val="0"/>
          <w:highlight w:val="none"/>
          <w:lang w:eastAsia="zh-CN"/>
        </w:rPr>
      </w:pPr>
      <w:r>
        <w:rPr>
          <w:rFonts w:hint="eastAsia" w:ascii="宋体" w:hAnsi="宋体" w:eastAsia="宋体" w:cs="Times New Roman"/>
          <w:b/>
          <w:bCs/>
          <w:color w:val="auto"/>
          <w:kern w:val="0"/>
          <w:highlight w:val="none"/>
          <w:lang w:eastAsia="zh-CN"/>
        </w:rPr>
        <w:t>九、协议的有效期限</w:t>
      </w:r>
    </w:p>
    <w:p w14:paraId="21A5A4C4">
      <w:pPr>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从   年   月   日起至   年   月   日。协议到期后，乙方仍应按本协议完成已接受委托的评审工作。</w:t>
      </w:r>
    </w:p>
    <w:p w14:paraId="284E4153">
      <w:pPr>
        <w:pStyle w:val="22"/>
        <w:spacing w:line="500" w:lineRule="exact"/>
        <w:ind w:left="480" w:firstLine="0" w:firstLineChars="0"/>
        <w:rPr>
          <w:rFonts w:hint="eastAsia" w:ascii="宋体" w:hAnsi="宋体" w:eastAsia="宋体" w:cs="Times New Roman"/>
          <w:b/>
          <w:bCs/>
          <w:color w:val="auto"/>
          <w:kern w:val="0"/>
          <w:highlight w:val="none"/>
          <w:lang w:eastAsia="zh-CN"/>
        </w:rPr>
      </w:pPr>
      <w:r>
        <w:rPr>
          <w:rFonts w:hint="eastAsia" w:ascii="宋体" w:hAnsi="宋体" w:eastAsia="宋体" w:cs="Times New Roman"/>
          <w:b/>
          <w:bCs/>
          <w:color w:val="auto"/>
          <w:kern w:val="0"/>
          <w:highlight w:val="none"/>
          <w:lang w:eastAsia="zh-CN"/>
        </w:rPr>
        <w:t>十、其它</w:t>
      </w:r>
    </w:p>
    <w:p w14:paraId="25A04665">
      <w:pPr>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1.本项目为财政部门授权甲方组织政府投资项目委托评审工作，对委托评审的质量及其他履约情况进行考核，乙方应当遵守《钱塘区限额以上政府投资项目委托评审管理细则》（钱评审发〔202</w:t>
      </w: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〕1号）</w:t>
      </w:r>
      <w:r>
        <w:rPr>
          <w:rFonts w:hint="eastAsia" w:ascii="宋体" w:hAnsi="宋体" w:cs="宋体"/>
          <w:color w:val="auto"/>
          <w:kern w:val="2"/>
          <w:sz w:val="24"/>
          <w:highlight w:val="none"/>
          <w:lang w:eastAsia="zh-CN"/>
        </w:rPr>
        <w:t>（注：有新文件出台，按新文件）</w:t>
      </w:r>
      <w:r>
        <w:rPr>
          <w:rFonts w:hint="eastAsia" w:ascii="宋体" w:hAnsi="宋体" w:eastAsia="宋体" w:cs="宋体"/>
          <w:color w:val="auto"/>
          <w:kern w:val="2"/>
          <w:sz w:val="24"/>
          <w:szCs w:val="24"/>
          <w:highlight w:val="none"/>
          <w:lang w:val="en-US" w:eastAsia="zh-CN" w:bidi="ar-SA"/>
        </w:rPr>
        <w:t>有关中介机构的相关规定。乙方违反相关规定的，甲方或财政部门有权按规定直接追究乙方相应责任。本协议内容与上级文件规定不一致的，双方同意按上级文件规定执行。</w:t>
      </w:r>
    </w:p>
    <w:p w14:paraId="67028D4A">
      <w:pPr>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2.202</w:t>
      </w:r>
      <w:r>
        <w:rPr>
          <w:rFonts w:hint="eastAsia" w:ascii="宋体" w:hAnsi="宋体" w:cs="宋体"/>
          <w:color w:val="auto"/>
          <w:kern w:val="2"/>
          <w:sz w:val="24"/>
          <w:szCs w:val="24"/>
          <w:highlight w:val="none"/>
          <w:lang w:val="en-US" w:eastAsia="zh-CN" w:bidi="ar-SA"/>
        </w:rPr>
        <w:t>6</w:t>
      </w:r>
      <w:r>
        <w:rPr>
          <w:rFonts w:hint="eastAsia" w:ascii="宋体" w:hAnsi="宋体" w:eastAsia="宋体" w:cs="宋体"/>
          <w:color w:val="auto"/>
          <w:kern w:val="2"/>
          <w:sz w:val="24"/>
          <w:szCs w:val="24"/>
          <w:highlight w:val="none"/>
          <w:lang w:val="en-US" w:eastAsia="zh-CN" w:bidi="ar-SA"/>
        </w:rPr>
        <w:t>~202</w:t>
      </w: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年度政府投资项目工程造价咨询服务采购项目征集文件和乙方的投标文件、中标通知书等为本协议及与项目业主签订造价咨询合同的组成部分，双方均应遵照执行。</w:t>
      </w:r>
    </w:p>
    <w:p w14:paraId="17934D48">
      <w:pPr>
        <w:snapToGrid/>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3.乙方无正当理由，不得主动退出本框架协议，无故退出的单位禁止其参与下一次框架协议的签订同时也不得作为非入围供应商承接本区域内相关项目。</w:t>
      </w:r>
    </w:p>
    <w:p w14:paraId="3C78ECE9">
      <w:pPr>
        <w:snapToGrid/>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4.本协议有效期内，甲方有权根据实际需要补充征集供商（征集方式不变）。</w:t>
      </w:r>
    </w:p>
    <w:p w14:paraId="3168A003">
      <w:pPr>
        <w:snapToGrid/>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5.乙方为入围供应商。本协议的签署不代表委托乙方实施工程造价咨询服务。具体的工程造价咨询服务由甲方采用直接选定法确定服务单位。乙方自愿承担无任务委托的风险。</w:t>
      </w:r>
    </w:p>
    <w:p w14:paraId="4FDFB351">
      <w:pPr>
        <w:snapToGrid w:val="0"/>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6.本协议履行过程中发生的任何争议，双方当事人可进行协商；协商不成的，任何一方可向甲方所在地有管辖权的人民法院起诉。</w:t>
      </w:r>
    </w:p>
    <w:p w14:paraId="0D3AC9B6">
      <w:pPr>
        <w:snapToGrid w:val="0"/>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7.本协议未尽的事宜，均遵照国家有关法律、法规，双方另行协商议定补充条款。</w:t>
      </w:r>
    </w:p>
    <w:p w14:paraId="3F524C40">
      <w:pPr>
        <w:snapToGrid w:val="0"/>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8.本协议经甲方、乙方法定代表人或其委托人签字并加盖双方公章。</w:t>
      </w:r>
    </w:p>
    <w:p w14:paraId="75F08BF8">
      <w:pPr>
        <w:snapToGrid w:val="0"/>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9.本协议一式</w:t>
      </w:r>
      <w:r>
        <w:rPr>
          <w:rFonts w:hint="eastAsia" w:ascii="宋体" w:hAnsi="宋体" w:cs="宋体"/>
          <w:color w:val="auto"/>
          <w:kern w:val="2"/>
          <w:sz w:val="24"/>
          <w:szCs w:val="24"/>
          <w:highlight w:val="none"/>
          <w:lang w:val="en-US" w:eastAsia="zh-CN" w:bidi="ar-SA"/>
        </w:rPr>
        <w:t>肆</w:t>
      </w:r>
      <w:r>
        <w:rPr>
          <w:rFonts w:hint="eastAsia" w:ascii="宋体" w:hAnsi="宋体" w:eastAsia="宋体" w:cs="宋体"/>
          <w:color w:val="auto"/>
          <w:kern w:val="2"/>
          <w:sz w:val="24"/>
          <w:szCs w:val="24"/>
          <w:highlight w:val="none"/>
          <w:lang w:val="en-US" w:eastAsia="zh-CN" w:bidi="ar-SA"/>
        </w:rPr>
        <w:t>份，甲方乙方各执二份。</w:t>
      </w:r>
    </w:p>
    <w:p w14:paraId="0F0CF39A">
      <w:pPr>
        <w:snapToGrid w:val="0"/>
        <w:spacing w:line="500" w:lineRule="exact"/>
        <w:ind w:firstLine="480" w:firstLineChars="200"/>
        <w:rPr>
          <w:rFonts w:hint="eastAsia" w:ascii="宋体" w:hAnsi="宋体" w:eastAsia="宋体" w:cs="宋体"/>
          <w:color w:val="auto"/>
          <w:kern w:val="2"/>
          <w:sz w:val="24"/>
          <w:szCs w:val="24"/>
          <w:highlight w:val="none"/>
          <w:lang w:val="en-US" w:eastAsia="zh-CN" w:bidi="ar-SA"/>
        </w:rPr>
      </w:pPr>
    </w:p>
    <w:p w14:paraId="56D30563">
      <w:pPr>
        <w:snapToGrid w:val="0"/>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附件：</w:t>
      </w:r>
    </w:p>
    <w:p w14:paraId="75B241B1">
      <w:pPr>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1、附表1《基准收费标准》</w:t>
      </w:r>
    </w:p>
    <w:p w14:paraId="762E2A44">
      <w:pPr>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钱塘区限额以上政府投资项目委托评审管理细则</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钱评审发[202</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]1号</w:t>
      </w:r>
      <w:r>
        <w:rPr>
          <w:rFonts w:hint="eastAsia" w:ascii="宋体" w:hAnsi="宋体" w:eastAsia="宋体" w:cs="宋体"/>
          <w:color w:val="auto"/>
          <w:sz w:val="24"/>
          <w:highlight w:val="none"/>
          <w:lang w:eastAsia="zh-CN"/>
        </w:rPr>
        <w:t>）</w:t>
      </w:r>
    </w:p>
    <w:tbl>
      <w:tblPr>
        <w:tblStyle w:val="51"/>
        <w:tblpPr w:leftFromText="180" w:rightFromText="180" w:vertAnchor="text" w:horzAnchor="page" w:tblpX="1450" w:tblpY="570"/>
        <w:tblOverlap w:val="never"/>
        <w:tblW w:w="9638" w:type="dxa"/>
        <w:tblInd w:w="0" w:type="dxa"/>
        <w:tblLayout w:type="fixed"/>
        <w:tblCellMar>
          <w:top w:w="0" w:type="dxa"/>
          <w:left w:w="108" w:type="dxa"/>
          <w:bottom w:w="0" w:type="dxa"/>
          <w:right w:w="108" w:type="dxa"/>
        </w:tblCellMar>
      </w:tblPr>
      <w:tblGrid>
        <w:gridCol w:w="4819"/>
        <w:gridCol w:w="4819"/>
      </w:tblGrid>
      <w:tr w14:paraId="7F3F77CA">
        <w:tblPrEx>
          <w:tblCellMar>
            <w:top w:w="0" w:type="dxa"/>
            <w:left w:w="108" w:type="dxa"/>
            <w:bottom w:w="0" w:type="dxa"/>
            <w:right w:w="108" w:type="dxa"/>
          </w:tblCellMar>
        </w:tblPrEx>
        <w:tc>
          <w:tcPr>
            <w:tcW w:w="4819" w:type="dxa"/>
          </w:tcPr>
          <w:p w14:paraId="37384623">
            <w:pPr>
              <w:widowControl/>
              <w:spacing w:line="500" w:lineRule="exact"/>
              <w:ind w:left="0" w:leftChars="0" w:firstLine="480" w:firstLineChars="200"/>
              <w:rPr>
                <w:rFonts w:hint="eastAsia" w:ascii="宋体" w:hAnsi="宋体" w:eastAsia="宋体" w:cs="宋体"/>
                <w:color w:val="auto"/>
                <w:kern w:val="2"/>
                <w:sz w:val="24"/>
                <w:szCs w:val="24"/>
                <w:highlight w:val="none"/>
                <w:lang w:val="en-US" w:eastAsia="zh-CN" w:bidi="ar-SA"/>
              </w:rPr>
            </w:pPr>
          </w:p>
          <w:p w14:paraId="3FC07B78">
            <w:pPr>
              <w:widowControl/>
              <w:spacing w:line="500" w:lineRule="exact"/>
              <w:ind w:left="0" w:leftChars="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甲方（盖章）：杭州市钱塘区政府投资项目评审服务中心</w:t>
            </w:r>
          </w:p>
        </w:tc>
        <w:tc>
          <w:tcPr>
            <w:tcW w:w="4819" w:type="dxa"/>
          </w:tcPr>
          <w:p w14:paraId="33796FE2">
            <w:pPr>
              <w:widowControl/>
              <w:spacing w:line="500" w:lineRule="exact"/>
              <w:ind w:left="0" w:leftChars="0" w:firstLine="480" w:firstLineChars="200"/>
              <w:rPr>
                <w:rFonts w:hint="eastAsia" w:ascii="宋体" w:hAnsi="宋体" w:eastAsia="宋体" w:cs="宋体"/>
                <w:color w:val="auto"/>
                <w:kern w:val="2"/>
                <w:sz w:val="24"/>
                <w:szCs w:val="24"/>
                <w:highlight w:val="none"/>
                <w:lang w:val="en-US" w:eastAsia="zh-CN" w:bidi="ar-SA"/>
              </w:rPr>
            </w:pPr>
          </w:p>
          <w:p w14:paraId="01AF7E53">
            <w:pPr>
              <w:widowControl/>
              <w:spacing w:line="500" w:lineRule="exact"/>
              <w:ind w:left="0" w:leftChars="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乙方（盖章）： </w:t>
            </w:r>
          </w:p>
        </w:tc>
      </w:tr>
      <w:tr w14:paraId="41458076">
        <w:tblPrEx>
          <w:tblCellMar>
            <w:top w:w="0" w:type="dxa"/>
            <w:left w:w="108" w:type="dxa"/>
            <w:bottom w:w="0" w:type="dxa"/>
            <w:right w:w="108" w:type="dxa"/>
          </w:tblCellMar>
        </w:tblPrEx>
        <w:tc>
          <w:tcPr>
            <w:tcW w:w="4819" w:type="dxa"/>
          </w:tcPr>
          <w:p w14:paraId="5CC26BEF">
            <w:pPr>
              <w:widowControl/>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法人代表或受委托人（签字）：</w:t>
            </w:r>
          </w:p>
        </w:tc>
        <w:tc>
          <w:tcPr>
            <w:tcW w:w="4819" w:type="dxa"/>
          </w:tcPr>
          <w:p w14:paraId="404A8A68">
            <w:pPr>
              <w:widowControl/>
              <w:spacing w:line="50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法人代表或受委托人（签字）：</w:t>
            </w:r>
          </w:p>
        </w:tc>
      </w:tr>
      <w:tr w14:paraId="01F27577">
        <w:tblPrEx>
          <w:tblCellMar>
            <w:top w:w="0" w:type="dxa"/>
            <w:left w:w="108" w:type="dxa"/>
            <w:bottom w:w="0" w:type="dxa"/>
            <w:right w:w="108" w:type="dxa"/>
          </w:tblCellMar>
        </w:tblPrEx>
        <w:tc>
          <w:tcPr>
            <w:tcW w:w="4819" w:type="dxa"/>
          </w:tcPr>
          <w:p w14:paraId="06EC4729">
            <w:pPr>
              <w:widowControl/>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联系电话：</w:t>
            </w:r>
          </w:p>
        </w:tc>
        <w:tc>
          <w:tcPr>
            <w:tcW w:w="4819" w:type="dxa"/>
          </w:tcPr>
          <w:p w14:paraId="3BE9B37D">
            <w:pPr>
              <w:widowControl/>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联系电话：</w:t>
            </w:r>
          </w:p>
        </w:tc>
      </w:tr>
      <w:tr w14:paraId="0C7DCD4E">
        <w:tblPrEx>
          <w:tblCellMar>
            <w:top w:w="0" w:type="dxa"/>
            <w:left w:w="108" w:type="dxa"/>
            <w:bottom w:w="0" w:type="dxa"/>
            <w:right w:w="108" w:type="dxa"/>
          </w:tblCellMar>
        </w:tblPrEx>
        <w:tc>
          <w:tcPr>
            <w:tcW w:w="4819" w:type="dxa"/>
          </w:tcPr>
          <w:p w14:paraId="1BEB9810">
            <w:pPr>
              <w:widowControl/>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签订日期：     年   月   日</w:t>
            </w:r>
          </w:p>
        </w:tc>
        <w:tc>
          <w:tcPr>
            <w:tcW w:w="4819" w:type="dxa"/>
          </w:tcPr>
          <w:p w14:paraId="5F07939E">
            <w:pPr>
              <w:widowControl/>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签订日期：     年   月   日</w:t>
            </w:r>
          </w:p>
        </w:tc>
      </w:tr>
    </w:tbl>
    <w:p w14:paraId="0E060038">
      <w:pPr>
        <w:widowControl/>
        <w:spacing w:line="360" w:lineRule="auto"/>
        <w:rPr>
          <w:rFonts w:hint="eastAsia" w:ascii="宋体" w:hAnsi="宋体" w:cs="宋体"/>
          <w:color w:val="auto"/>
          <w:kern w:val="0"/>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color w:val="auto"/>
          <w:kern w:val="0"/>
          <w:sz w:val="24"/>
          <w:highlight w:val="none"/>
        </w:rPr>
        <w:t xml:space="preserve">                                  </w:t>
      </w:r>
    </w:p>
    <w:p w14:paraId="6B08DC95">
      <w:pPr>
        <w:pStyle w:val="20"/>
        <w:rPr>
          <w:rFonts w:hAnsi="宋体" w:eastAsia="宋体" w:cs="宋体"/>
          <w:color w:val="auto"/>
          <w:szCs w:val="24"/>
          <w:highlight w:val="none"/>
          <w:lang w:val="en-US"/>
        </w:rPr>
      </w:pPr>
      <w:r>
        <w:rPr>
          <w:rFonts w:hint="eastAsia" w:hAnsi="宋体" w:eastAsia="宋体" w:cs="宋体"/>
          <w:color w:val="auto"/>
          <w:szCs w:val="24"/>
          <w:highlight w:val="none"/>
          <w:lang w:val="en-US"/>
        </w:rPr>
        <w:t>附</w:t>
      </w:r>
      <w:r>
        <w:rPr>
          <w:rFonts w:hint="eastAsia" w:hAnsi="宋体" w:eastAsia="宋体" w:cs="宋体"/>
          <w:color w:val="auto"/>
          <w:szCs w:val="24"/>
          <w:highlight w:val="none"/>
          <w:lang w:val="en-US" w:eastAsia="zh-CN"/>
        </w:rPr>
        <w:t>表</w:t>
      </w:r>
      <w:r>
        <w:rPr>
          <w:rFonts w:hint="eastAsia" w:hAnsi="宋体" w:eastAsia="宋体" w:cs="宋体"/>
          <w:color w:val="auto"/>
          <w:szCs w:val="24"/>
          <w:highlight w:val="none"/>
          <w:lang w:val="en-US"/>
        </w:rPr>
        <w:t xml:space="preserve">1 </w:t>
      </w:r>
    </w:p>
    <w:tbl>
      <w:tblPr>
        <w:tblStyle w:val="51"/>
        <w:tblW w:w="15335" w:type="dxa"/>
        <w:jc w:val="center"/>
        <w:tblLayout w:type="fixed"/>
        <w:tblCellMar>
          <w:top w:w="0" w:type="dxa"/>
          <w:left w:w="0" w:type="dxa"/>
          <w:bottom w:w="0" w:type="dxa"/>
          <w:right w:w="0" w:type="dxa"/>
        </w:tblCellMar>
      </w:tblPr>
      <w:tblGrid>
        <w:gridCol w:w="485"/>
        <w:gridCol w:w="1206"/>
        <w:gridCol w:w="819"/>
        <w:gridCol w:w="1881"/>
        <w:gridCol w:w="915"/>
        <w:gridCol w:w="975"/>
        <w:gridCol w:w="1020"/>
        <w:gridCol w:w="1080"/>
        <w:gridCol w:w="1065"/>
        <w:gridCol w:w="1065"/>
        <w:gridCol w:w="1275"/>
        <w:gridCol w:w="1275"/>
        <w:gridCol w:w="1335"/>
        <w:gridCol w:w="939"/>
      </w:tblGrid>
      <w:tr w14:paraId="1895741D">
        <w:tblPrEx>
          <w:tblCellMar>
            <w:top w:w="0" w:type="dxa"/>
            <w:left w:w="0" w:type="dxa"/>
            <w:bottom w:w="0" w:type="dxa"/>
            <w:right w:w="0" w:type="dxa"/>
          </w:tblCellMar>
        </w:tblPrEx>
        <w:trPr>
          <w:trHeight w:val="540" w:hRule="atLeast"/>
          <w:jc w:val="center"/>
        </w:trPr>
        <w:tc>
          <w:tcPr>
            <w:tcW w:w="15335" w:type="dxa"/>
            <w:gridSpan w:val="14"/>
            <w:tcBorders>
              <w:top w:val="nil"/>
              <w:left w:val="nil"/>
              <w:bottom w:val="single" w:color="000000" w:sz="18" w:space="0"/>
              <w:right w:val="nil"/>
            </w:tcBorders>
            <w:noWrap/>
            <w:tcMar>
              <w:top w:w="15" w:type="dxa"/>
              <w:left w:w="15" w:type="dxa"/>
              <w:right w:w="15" w:type="dxa"/>
            </w:tcMar>
            <w:vAlign w:val="center"/>
          </w:tcPr>
          <w:p w14:paraId="2AF8D5CA">
            <w:pPr>
              <w:keepNext w:val="0"/>
              <w:keepLines w:val="0"/>
              <w:widowControl/>
              <w:suppressLineNumbers w:val="0"/>
              <w:ind w:firstLine="6486" w:firstLineChars="1800"/>
              <w:jc w:val="left"/>
              <w:textAlignment w:val="center"/>
              <w:rPr>
                <w:rFonts w:hint="eastAsia" w:ascii="宋体" w:hAnsi="宋体" w:eastAsia="宋体" w:cs="宋体"/>
                <w:b/>
                <w:i w:val="0"/>
                <w:color w:val="auto"/>
                <w:sz w:val="32"/>
                <w:szCs w:val="32"/>
                <w:highlight w:val="none"/>
                <w:u w:val="none"/>
              </w:rPr>
            </w:pPr>
            <w:r>
              <w:rPr>
                <w:rFonts w:hint="eastAsia" w:ascii="华文中宋" w:hAnsi="华文中宋" w:eastAsia="华文中宋" w:cs="华文中宋"/>
                <w:b/>
                <w:i w:val="0"/>
                <w:color w:val="auto"/>
                <w:kern w:val="0"/>
                <w:sz w:val="36"/>
                <w:szCs w:val="36"/>
                <w:highlight w:val="none"/>
                <w:u w:val="none"/>
                <w:lang w:val="en-US" w:eastAsia="zh-CN" w:bidi="ar"/>
              </w:rPr>
              <w:t>基准收费标准</w:t>
            </w:r>
            <w:r>
              <w:rPr>
                <w:rFonts w:hint="eastAsia" w:ascii="宋体" w:hAnsi="宋体" w:eastAsia="宋体" w:cs="宋体"/>
                <w:b/>
                <w:i w:val="0"/>
                <w:color w:val="auto"/>
                <w:kern w:val="0"/>
                <w:sz w:val="32"/>
                <w:szCs w:val="32"/>
                <w:highlight w:val="none"/>
                <w:u w:val="none"/>
                <w:lang w:val="en-US" w:eastAsia="zh-CN" w:bidi="ar"/>
              </w:rPr>
              <w:t xml:space="preserve">                            </w:t>
            </w:r>
            <w:r>
              <w:rPr>
                <w:rFonts w:hint="eastAsia" w:ascii="宋体" w:hAnsi="宋体" w:eastAsia="宋体" w:cs="宋体"/>
                <w:i w:val="0"/>
                <w:color w:val="auto"/>
                <w:kern w:val="0"/>
                <w:sz w:val="22"/>
                <w:szCs w:val="22"/>
                <w:highlight w:val="none"/>
                <w:u w:val="none"/>
                <w:lang w:val="en-US" w:eastAsia="zh-CN" w:bidi="ar"/>
              </w:rPr>
              <w:t>费率：‰</w:t>
            </w:r>
          </w:p>
        </w:tc>
      </w:tr>
      <w:tr w14:paraId="6B9519E5">
        <w:tblPrEx>
          <w:tblCellMar>
            <w:top w:w="0" w:type="dxa"/>
            <w:left w:w="0" w:type="dxa"/>
            <w:bottom w:w="0" w:type="dxa"/>
            <w:right w:w="0" w:type="dxa"/>
          </w:tblCellMar>
        </w:tblPrEx>
        <w:trPr>
          <w:trHeight w:val="315" w:hRule="atLeast"/>
          <w:jc w:val="center"/>
        </w:trPr>
        <w:tc>
          <w:tcPr>
            <w:tcW w:w="485" w:type="dxa"/>
            <w:vMerge w:val="restart"/>
            <w:tcBorders>
              <w:top w:val="single" w:color="000000" w:sz="18" w:space="0"/>
              <w:left w:val="single" w:color="000000" w:sz="18" w:space="0"/>
              <w:bottom w:val="single" w:color="000000" w:sz="4" w:space="0"/>
              <w:right w:val="single" w:color="000000" w:sz="4" w:space="0"/>
            </w:tcBorders>
            <w:noWrap/>
            <w:tcMar>
              <w:top w:w="15" w:type="dxa"/>
              <w:left w:w="15" w:type="dxa"/>
              <w:right w:w="15" w:type="dxa"/>
            </w:tcMar>
            <w:vAlign w:val="center"/>
          </w:tcPr>
          <w:p w14:paraId="16ED298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序号</w:t>
            </w:r>
          </w:p>
        </w:tc>
        <w:tc>
          <w:tcPr>
            <w:tcW w:w="2025" w:type="dxa"/>
            <w:gridSpan w:val="2"/>
            <w:vMerge w:val="restart"/>
            <w:tcBorders>
              <w:top w:val="single" w:color="000000" w:sz="18" w:space="0"/>
              <w:left w:val="single" w:color="000000" w:sz="4" w:space="0"/>
              <w:bottom w:val="single" w:color="000000" w:sz="4" w:space="0"/>
              <w:right w:val="single" w:color="000000" w:sz="4" w:space="0"/>
            </w:tcBorders>
            <w:noWrap/>
            <w:tcMar>
              <w:top w:w="15" w:type="dxa"/>
              <w:left w:w="15" w:type="dxa"/>
              <w:right w:w="15" w:type="dxa"/>
            </w:tcMar>
            <w:vAlign w:val="center"/>
          </w:tcPr>
          <w:p w14:paraId="0227D5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咨询项目</w:t>
            </w:r>
          </w:p>
        </w:tc>
        <w:tc>
          <w:tcPr>
            <w:tcW w:w="1881" w:type="dxa"/>
            <w:vMerge w:val="restart"/>
            <w:tcBorders>
              <w:top w:val="single" w:color="000000" w:sz="18" w:space="0"/>
              <w:left w:val="single" w:color="000000" w:sz="4" w:space="0"/>
              <w:bottom w:val="single" w:color="000000" w:sz="4" w:space="0"/>
              <w:right w:val="single" w:color="000000" w:sz="4" w:space="0"/>
            </w:tcBorders>
            <w:noWrap/>
            <w:tcMar>
              <w:top w:w="15" w:type="dxa"/>
              <w:left w:w="15" w:type="dxa"/>
              <w:right w:w="15" w:type="dxa"/>
            </w:tcMar>
            <w:vAlign w:val="center"/>
          </w:tcPr>
          <w:p w14:paraId="61D59C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收费基数</w:t>
            </w:r>
          </w:p>
        </w:tc>
        <w:tc>
          <w:tcPr>
            <w:tcW w:w="10944" w:type="dxa"/>
            <w:gridSpan w:val="10"/>
            <w:tcBorders>
              <w:top w:val="single" w:color="000000" w:sz="18" w:space="0"/>
              <w:left w:val="single" w:color="000000" w:sz="4" w:space="0"/>
              <w:bottom w:val="single" w:color="000000" w:sz="4" w:space="0"/>
              <w:right w:val="single" w:color="000000" w:sz="18" w:space="0"/>
            </w:tcBorders>
            <w:noWrap/>
            <w:tcMar>
              <w:top w:w="15" w:type="dxa"/>
              <w:left w:w="15" w:type="dxa"/>
              <w:right w:w="15" w:type="dxa"/>
            </w:tcMar>
            <w:vAlign w:val="center"/>
          </w:tcPr>
          <w:p w14:paraId="03F849A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分档累进计费标准</w:t>
            </w:r>
          </w:p>
        </w:tc>
      </w:tr>
      <w:tr w14:paraId="229C238C">
        <w:tblPrEx>
          <w:tblCellMar>
            <w:top w:w="0" w:type="dxa"/>
            <w:left w:w="0" w:type="dxa"/>
            <w:bottom w:w="0" w:type="dxa"/>
            <w:right w:w="0" w:type="dxa"/>
          </w:tblCellMar>
        </w:tblPrEx>
        <w:trPr>
          <w:trHeight w:val="0" w:hRule="atLeast"/>
          <w:jc w:val="center"/>
        </w:trPr>
        <w:tc>
          <w:tcPr>
            <w:tcW w:w="485" w:type="dxa"/>
            <w:vMerge w:val="continue"/>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1B0A4F4C">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202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1E79A4">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18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2BBD7">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3A72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100</w:t>
            </w:r>
          </w:p>
          <w:p w14:paraId="52E43C7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万元以内</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5EDB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101-500</w:t>
            </w:r>
          </w:p>
          <w:p w14:paraId="72CD2F35">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w:t>
            </w:r>
          </w:p>
        </w:tc>
        <w:tc>
          <w:tcPr>
            <w:tcW w:w="1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9127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501—1000</w:t>
            </w:r>
          </w:p>
          <w:p w14:paraId="2BC4ADF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CDC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1001—2000万元</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DC52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2001—5000万元</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AFA0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5001-10000</w:t>
            </w:r>
          </w:p>
          <w:p w14:paraId="2868453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万元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97EB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10001-50000</w:t>
            </w:r>
          </w:p>
          <w:p w14:paraId="750080C9">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万元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30D1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50001-100000万元</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0E5D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100000-150000万元</w:t>
            </w:r>
          </w:p>
        </w:tc>
        <w:tc>
          <w:tcPr>
            <w:tcW w:w="939" w:type="dxa"/>
            <w:tcBorders>
              <w:top w:val="single" w:color="000000" w:sz="4" w:space="0"/>
              <w:left w:val="single" w:color="000000" w:sz="4" w:space="0"/>
              <w:bottom w:val="single" w:color="000000" w:sz="4" w:space="0"/>
              <w:right w:val="single" w:color="000000" w:sz="18" w:space="0"/>
            </w:tcBorders>
            <w:noWrap w:val="0"/>
            <w:tcMar>
              <w:top w:w="15" w:type="dxa"/>
              <w:left w:w="15" w:type="dxa"/>
              <w:right w:w="15" w:type="dxa"/>
            </w:tcMar>
            <w:vAlign w:val="center"/>
          </w:tcPr>
          <w:p w14:paraId="312C1300">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150000</w:t>
            </w:r>
          </w:p>
          <w:p w14:paraId="4C1290C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万元以上</w:t>
            </w:r>
          </w:p>
        </w:tc>
      </w:tr>
      <w:tr w14:paraId="160C0DC5">
        <w:tblPrEx>
          <w:tblCellMar>
            <w:top w:w="0" w:type="dxa"/>
            <w:left w:w="0" w:type="dxa"/>
            <w:bottom w:w="0" w:type="dxa"/>
            <w:right w:w="0" w:type="dxa"/>
          </w:tblCellMar>
        </w:tblPrEx>
        <w:trPr>
          <w:trHeight w:val="970" w:hRule="atLeast"/>
          <w:jc w:val="center"/>
        </w:trPr>
        <w:tc>
          <w:tcPr>
            <w:tcW w:w="485" w:type="dxa"/>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4105B92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02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3AFA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设计概算审核</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9A49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送审概算价</w:t>
            </w: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6422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1.02</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8AD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0.90</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504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0.78</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465C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0.66</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8B8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0.50</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F51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0.45</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398B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0.32</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2B8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0.24</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D7E1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0.16</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2613D3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0.12</w:t>
            </w:r>
          </w:p>
        </w:tc>
      </w:tr>
      <w:tr w14:paraId="42E9B39A">
        <w:tblPrEx>
          <w:tblCellMar>
            <w:top w:w="0" w:type="dxa"/>
            <w:left w:w="0" w:type="dxa"/>
            <w:bottom w:w="0" w:type="dxa"/>
            <w:right w:w="0" w:type="dxa"/>
          </w:tblCellMar>
        </w:tblPrEx>
        <w:trPr>
          <w:trHeight w:val="905" w:hRule="atLeast"/>
          <w:jc w:val="center"/>
        </w:trPr>
        <w:tc>
          <w:tcPr>
            <w:tcW w:w="485" w:type="dxa"/>
            <w:vMerge w:val="restart"/>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0F7E5E5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DD9F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工程结</w:t>
            </w:r>
          </w:p>
          <w:p w14:paraId="50D354B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算</w:t>
            </w:r>
            <w:r>
              <w:rPr>
                <w:rFonts w:hint="eastAsia" w:ascii="宋体" w:hAnsi="宋体" w:cs="宋体"/>
                <w:i w:val="0"/>
                <w:color w:val="auto"/>
                <w:kern w:val="0"/>
                <w:sz w:val="20"/>
                <w:szCs w:val="20"/>
                <w:highlight w:val="none"/>
                <w:u w:val="none"/>
                <w:lang w:val="en-US" w:eastAsia="zh-CN" w:bidi="ar"/>
              </w:rPr>
              <w:t>全面复核</w:t>
            </w:r>
          </w:p>
        </w:tc>
        <w:tc>
          <w:tcPr>
            <w:tcW w:w="8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FCBC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基本收费</w:t>
            </w:r>
          </w:p>
        </w:tc>
        <w:tc>
          <w:tcPr>
            <w:tcW w:w="188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BD848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送审工程造价</w:t>
            </w: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DA8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2.8</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AC0B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18AF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FB3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1.9</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DF2A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1.28</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A5A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仿宋"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1.04</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A0ED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仿宋"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0.60</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242A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0.40</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6FC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0.30</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0C9506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0.20</w:t>
            </w:r>
          </w:p>
        </w:tc>
      </w:tr>
      <w:tr w14:paraId="5C23A42D">
        <w:tblPrEx>
          <w:tblCellMar>
            <w:top w:w="0" w:type="dxa"/>
            <w:left w:w="0" w:type="dxa"/>
            <w:bottom w:w="0" w:type="dxa"/>
            <w:right w:w="0" w:type="dxa"/>
          </w:tblCellMar>
        </w:tblPrEx>
        <w:trPr>
          <w:trHeight w:val="905" w:hRule="atLeast"/>
          <w:jc w:val="center"/>
        </w:trPr>
        <w:tc>
          <w:tcPr>
            <w:tcW w:w="485" w:type="dxa"/>
            <w:vMerge w:val="continue"/>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7CC9021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cs="宋体"/>
                <w:i w:val="0"/>
                <w:color w:val="auto"/>
                <w:kern w:val="0"/>
                <w:sz w:val="20"/>
                <w:szCs w:val="20"/>
                <w:highlight w:val="none"/>
                <w:u w:val="none"/>
                <w:lang w:val="en-US" w:eastAsia="zh-CN" w:bidi="ar"/>
              </w:rPr>
            </w:pP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1598D">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工程结算初核、复核</w:t>
            </w:r>
          </w:p>
        </w:tc>
        <w:tc>
          <w:tcPr>
            <w:tcW w:w="8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78F29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8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810EE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7BE0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1.4</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7532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1.25</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5064D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AFF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0.95</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76A9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0.64</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C70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0.52</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A9AC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0.30</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C4F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0.20</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063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0.15</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235FB2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0.10</w:t>
            </w:r>
          </w:p>
        </w:tc>
      </w:tr>
      <w:tr w14:paraId="233A10CB">
        <w:tblPrEx>
          <w:tblCellMar>
            <w:top w:w="0" w:type="dxa"/>
            <w:left w:w="0" w:type="dxa"/>
            <w:bottom w:w="0" w:type="dxa"/>
            <w:right w:w="0" w:type="dxa"/>
          </w:tblCellMar>
        </w:tblPrEx>
        <w:trPr>
          <w:trHeight w:val="905" w:hRule="atLeast"/>
          <w:jc w:val="center"/>
        </w:trPr>
        <w:tc>
          <w:tcPr>
            <w:tcW w:w="485" w:type="dxa"/>
            <w:vMerge w:val="continue"/>
            <w:tcBorders>
              <w:top w:val="single" w:color="000000" w:sz="4" w:space="0"/>
              <w:left w:val="single" w:color="000000" w:sz="18" w:space="0"/>
              <w:bottom w:val="single" w:color="000000" w:sz="18" w:space="0"/>
              <w:right w:val="single" w:color="000000" w:sz="4" w:space="0"/>
            </w:tcBorders>
            <w:noWrap/>
            <w:tcMar>
              <w:top w:w="15" w:type="dxa"/>
              <w:left w:w="15" w:type="dxa"/>
              <w:right w:w="15" w:type="dxa"/>
            </w:tcMar>
            <w:vAlign w:val="center"/>
          </w:tcPr>
          <w:p w14:paraId="57449D6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cs="宋体"/>
                <w:i w:val="0"/>
                <w:color w:val="auto"/>
                <w:kern w:val="0"/>
                <w:sz w:val="20"/>
                <w:szCs w:val="20"/>
                <w:highlight w:val="none"/>
                <w:u w:val="none"/>
                <w:lang w:val="en-US" w:eastAsia="zh-CN" w:bidi="ar"/>
              </w:rPr>
            </w:pPr>
          </w:p>
        </w:tc>
        <w:tc>
          <w:tcPr>
            <w:tcW w:w="2025" w:type="dxa"/>
            <w:gridSpan w:val="2"/>
            <w:tcBorders>
              <w:top w:val="single" w:color="000000" w:sz="4" w:space="0"/>
              <w:left w:val="single" w:color="000000" w:sz="4" w:space="0"/>
              <w:bottom w:val="single" w:color="000000" w:sz="18" w:space="0"/>
              <w:right w:val="single" w:color="000000" w:sz="4" w:space="0"/>
            </w:tcBorders>
            <w:noWrap w:val="0"/>
            <w:tcMar>
              <w:top w:w="15" w:type="dxa"/>
              <w:left w:w="15" w:type="dxa"/>
              <w:right w:w="15" w:type="dxa"/>
            </w:tcMar>
            <w:vAlign w:val="center"/>
          </w:tcPr>
          <w:p w14:paraId="4C1EE12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追加费用</w:t>
            </w:r>
          </w:p>
        </w:tc>
        <w:tc>
          <w:tcPr>
            <w:tcW w:w="1881" w:type="dxa"/>
            <w:tcBorders>
              <w:top w:val="single" w:color="000000" w:sz="4" w:space="0"/>
              <w:left w:val="single" w:color="000000" w:sz="4" w:space="0"/>
              <w:bottom w:val="single" w:color="000000" w:sz="18" w:space="0"/>
              <w:right w:val="single" w:color="000000" w:sz="4" w:space="0"/>
            </w:tcBorders>
            <w:noWrap/>
            <w:tcMar>
              <w:top w:w="15" w:type="dxa"/>
              <w:left w:w="15" w:type="dxa"/>
              <w:right w:w="15" w:type="dxa"/>
            </w:tcMar>
            <w:vAlign w:val="center"/>
          </w:tcPr>
          <w:p w14:paraId="5B9F7A6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核增额及超过5%以外的核减额</w:t>
            </w:r>
          </w:p>
        </w:tc>
        <w:tc>
          <w:tcPr>
            <w:tcW w:w="10944" w:type="dxa"/>
            <w:gridSpan w:val="10"/>
            <w:tcBorders>
              <w:top w:val="single" w:color="000000" w:sz="4" w:space="0"/>
              <w:left w:val="single" w:color="000000" w:sz="4" w:space="0"/>
              <w:bottom w:val="single" w:color="000000" w:sz="18" w:space="0"/>
              <w:right w:val="single" w:color="000000" w:sz="18" w:space="0"/>
            </w:tcBorders>
            <w:noWrap/>
            <w:tcMar>
              <w:top w:w="15" w:type="dxa"/>
              <w:left w:w="15" w:type="dxa"/>
              <w:right w:w="15" w:type="dxa"/>
            </w:tcMar>
            <w:vAlign w:val="center"/>
          </w:tcPr>
          <w:p w14:paraId="6C194B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5%</w:t>
            </w:r>
          </w:p>
        </w:tc>
      </w:tr>
    </w:tbl>
    <w:p w14:paraId="320E6A9C">
      <w:pPr>
        <w:pStyle w:val="3"/>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说明：</w:t>
      </w:r>
    </w:p>
    <w:p w14:paraId="36797665">
      <w:pPr>
        <w:pStyle w:val="3"/>
        <w:rPr>
          <w:rFonts w:hint="default" w:ascii="宋体" w:hAnsi="仿宋_GB2312" w:eastAsia="黑体" w:cs="仿宋_GB2312"/>
          <w:b w:val="0"/>
          <w:bCs w:val="0"/>
          <w:snapToGrid w:val="0"/>
          <w:color w:val="auto"/>
          <w:kern w:val="2"/>
          <w:sz w:val="21"/>
          <w:szCs w:val="21"/>
          <w:highlight w:val="none"/>
          <w:lang w:val="en-US" w:eastAsia="zh-CN" w:bidi="ar-SA"/>
        </w:rPr>
      </w:pPr>
      <w:r>
        <w:rPr>
          <w:rFonts w:hint="eastAsia" w:ascii="宋体" w:hAnsi="仿宋_GB2312" w:eastAsia="黑体" w:cs="仿宋_GB2312"/>
          <w:b w:val="0"/>
          <w:bCs w:val="0"/>
          <w:snapToGrid w:val="0"/>
          <w:color w:val="auto"/>
          <w:kern w:val="2"/>
          <w:sz w:val="21"/>
          <w:szCs w:val="21"/>
          <w:highlight w:val="none"/>
          <w:lang w:val="en-US" w:eastAsia="zh-CN" w:bidi="ar-SA"/>
        </w:rPr>
        <w:t>1.每个咨询服务项目按上表计算不足2000元的，按2000元收费；单个项目基本审价费高于等于 49.99 万元则按 49.99 万元计取。</w:t>
      </w:r>
    </w:p>
    <w:p w14:paraId="6DEAC92B">
      <w:pPr>
        <w:pStyle w:val="20"/>
        <w:rPr>
          <w:rFonts w:ascii="宋体" w:hAnsi="宋体" w:cs="宋体"/>
          <w:color w:val="auto"/>
          <w:sz w:val="28"/>
          <w:szCs w:val="28"/>
          <w:highlight w:val="none"/>
        </w:rPr>
        <w:sectPr>
          <w:headerReference r:id="rId12" w:type="default"/>
          <w:footerReference r:id="rId13" w:type="default"/>
          <w:pgSz w:w="16838" w:h="11906" w:orient="landscape"/>
          <w:pgMar w:top="1803" w:right="1440" w:bottom="1803" w:left="1440" w:header="930" w:footer="992" w:gutter="0"/>
          <w:pgBorders>
            <w:top w:val="none" w:sz="0" w:space="0"/>
            <w:left w:val="none" w:sz="0" w:space="0"/>
            <w:bottom w:val="none" w:sz="0" w:space="0"/>
            <w:right w:val="none" w:sz="0" w:space="0"/>
          </w:pgBorders>
          <w:cols w:space="720" w:num="1"/>
          <w:docGrid w:linePitch="319" w:charSpace="0"/>
        </w:sectPr>
      </w:pPr>
      <w:r>
        <w:rPr>
          <w:rFonts w:hint="eastAsia" w:hAnsi="仿宋_GB2312" w:cs="仿宋_GB2312"/>
          <w:color w:val="auto"/>
          <w:sz w:val="21"/>
          <w:szCs w:val="21"/>
          <w:highlight w:val="none"/>
          <w:lang w:val="en-US" w:eastAsia="zh-CN"/>
        </w:rPr>
        <w:t>2.设计概算编制或复核的收费基数不含征（借）地拆迁安置补偿费，但设计概算编制或审核的工作内容应包含征（借）地拆迁安置补偿费（如有）</w:t>
      </w:r>
      <w:r>
        <w:rPr>
          <w:rFonts w:hint="eastAsia" w:hAnsi="仿宋_GB2312" w:cs="仿宋_GB2312"/>
          <w:color w:val="auto"/>
          <w:sz w:val="20"/>
          <w:szCs w:val="20"/>
          <w:highlight w:val="none"/>
          <w:lang w:val="en-US" w:eastAsia="zh-CN"/>
        </w:rPr>
        <w:t>的审</w:t>
      </w:r>
      <w:r>
        <w:rPr>
          <w:rFonts w:hint="eastAsia" w:hAnsi="仿宋_GB2312" w:cs="仿宋_GB2312"/>
          <w:color w:val="auto"/>
          <w:sz w:val="21"/>
          <w:szCs w:val="21"/>
          <w:highlight w:val="none"/>
          <w:lang w:val="en-US" w:eastAsia="zh-CN"/>
        </w:rPr>
        <w:t>核。3.驻场人员的费用按458元/半天•人计。</w:t>
      </w:r>
    </w:p>
    <w:p w14:paraId="6EA2EC6A">
      <w:pPr>
        <w:widowControl/>
        <w:spacing w:before="156" w:after="156" w:line="360" w:lineRule="auto"/>
        <w:ind w:firstLine="321"/>
        <w:rPr>
          <w:rFonts w:ascii="黑体" w:hAnsi="黑体" w:eastAsia="黑体" w:cs="Arial"/>
          <w:b/>
          <w:bCs/>
          <w:color w:val="auto"/>
          <w:sz w:val="32"/>
          <w:szCs w:val="32"/>
          <w:highlight w:val="none"/>
        </w:rPr>
      </w:pPr>
      <w:bookmarkStart w:id="45" w:name="_Hlt68073093"/>
      <w:bookmarkEnd w:id="45"/>
      <w:bookmarkStart w:id="46" w:name="_Hlt68072998"/>
      <w:bookmarkEnd w:id="46"/>
      <w:bookmarkStart w:id="47" w:name="_Hlt68403820"/>
      <w:bookmarkEnd w:id="47"/>
      <w:bookmarkStart w:id="48" w:name="_Toc331685783"/>
      <w:r>
        <w:rPr>
          <w:rFonts w:hint="eastAsia" w:ascii="黑体" w:hAnsi="黑体" w:eastAsia="黑体" w:cs="Arial"/>
          <w:b/>
          <w:bCs/>
          <w:color w:val="auto"/>
          <w:spacing w:val="11"/>
          <w:kern w:val="0"/>
          <w:sz w:val="32"/>
          <w:szCs w:val="32"/>
          <w:highlight w:val="none"/>
          <w:fitText w:val="8448" w:id="661331759"/>
        </w:rPr>
        <w:t>202</w:t>
      </w:r>
      <w:r>
        <w:rPr>
          <w:rFonts w:hint="eastAsia" w:ascii="黑体" w:hAnsi="黑体" w:eastAsia="黑体" w:cs="Arial"/>
          <w:b/>
          <w:bCs/>
          <w:color w:val="auto"/>
          <w:spacing w:val="11"/>
          <w:kern w:val="0"/>
          <w:sz w:val="32"/>
          <w:szCs w:val="32"/>
          <w:highlight w:val="none"/>
          <w:fitText w:val="8448" w:id="661331759"/>
          <w:lang w:val="en-US" w:eastAsia="zh-CN"/>
        </w:rPr>
        <w:t>6</w:t>
      </w:r>
      <w:r>
        <w:rPr>
          <w:rFonts w:hint="eastAsia" w:ascii="黑体" w:hAnsi="黑体" w:eastAsia="黑体" w:cs="Arial"/>
          <w:b/>
          <w:bCs/>
          <w:color w:val="auto"/>
          <w:spacing w:val="11"/>
          <w:kern w:val="0"/>
          <w:sz w:val="32"/>
          <w:szCs w:val="32"/>
          <w:highlight w:val="none"/>
          <w:fitText w:val="8448" w:id="661331759"/>
        </w:rPr>
        <w:t>-202</w:t>
      </w:r>
      <w:r>
        <w:rPr>
          <w:rFonts w:hint="eastAsia" w:ascii="黑体" w:hAnsi="黑体" w:eastAsia="黑体" w:cs="Arial"/>
          <w:b/>
          <w:bCs/>
          <w:color w:val="auto"/>
          <w:spacing w:val="11"/>
          <w:kern w:val="0"/>
          <w:sz w:val="32"/>
          <w:szCs w:val="32"/>
          <w:highlight w:val="none"/>
          <w:fitText w:val="8448" w:id="661331759"/>
          <w:lang w:val="en-US" w:eastAsia="zh-CN"/>
        </w:rPr>
        <w:t>8</w:t>
      </w:r>
      <w:r>
        <w:rPr>
          <w:rFonts w:hint="eastAsia" w:ascii="黑体" w:hAnsi="黑体" w:eastAsia="黑体" w:cs="Arial"/>
          <w:b/>
          <w:bCs/>
          <w:color w:val="auto"/>
          <w:spacing w:val="11"/>
          <w:kern w:val="0"/>
          <w:sz w:val="32"/>
          <w:szCs w:val="32"/>
          <w:highlight w:val="none"/>
          <w:fitText w:val="8448" w:id="661331759"/>
        </w:rPr>
        <w:t>年度政府投资项目工程造价咨询服务采购项</w:t>
      </w:r>
      <w:r>
        <w:rPr>
          <w:rFonts w:hint="eastAsia" w:ascii="黑体" w:hAnsi="黑体" w:eastAsia="黑体" w:cs="Arial"/>
          <w:b/>
          <w:bCs/>
          <w:color w:val="auto"/>
          <w:spacing w:val="2"/>
          <w:kern w:val="0"/>
          <w:sz w:val="32"/>
          <w:szCs w:val="32"/>
          <w:highlight w:val="none"/>
          <w:fitText w:val="8448" w:id="661331759"/>
        </w:rPr>
        <w:t>目</w:t>
      </w:r>
    </w:p>
    <w:p w14:paraId="57AF6B2E">
      <w:pPr>
        <w:widowControl/>
        <w:spacing w:line="360" w:lineRule="auto"/>
        <w:jc w:val="center"/>
        <w:rPr>
          <w:rFonts w:ascii="黑体" w:hAnsi="黑体" w:eastAsia="黑体" w:cs="Arial"/>
          <w:b/>
          <w:bCs/>
          <w:color w:val="auto"/>
          <w:sz w:val="32"/>
          <w:szCs w:val="32"/>
          <w:highlight w:val="none"/>
        </w:rPr>
      </w:pPr>
      <w:r>
        <w:rPr>
          <w:rFonts w:hint="eastAsia" w:ascii="黑体" w:hAnsi="黑体" w:eastAsia="黑体" w:cs="Arial"/>
          <w:b/>
          <w:bCs/>
          <w:color w:val="auto"/>
          <w:sz w:val="32"/>
          <w:szCs w:val="32"/>
          <w:highlight w:val="none"/>
          <w:lang w:val="en-US" w:eastAsia="zh-CN"/>
        </w:rPr>
        <w:t>初核</w:t>
      </w:r>
      <w:r>
        <w:rPr>
          <w:rFonts w:hint="eastAsia" w:ascii="黑体" w:hAnsi="黑体" w:eastAsia="黑体" w:cs="Arial"/>
          <w:b/>
          <w:bCs/>
          <w:color w:val="auto"/>
          <w:sz w:val="32"/>
          <w:szCs w:val="32"/>
          <w:highlight w:val="none"/>
        </w:rPr>
        <w:t>协议书</w:t>
      </w:r>
    </w:p>
    <w:p w14:paraId="3CB6D878">
      <w:pPr>
        <w:widowControl/>
        <w:spacing w:line="520" w:lineRule="exact"/>
        <w:rPr>
          <w:rFonts w:hint="eastAsia" w:ascii="仿宋_GB2312" w:hAnsi="宋体" w:eastAsia="仿宋_GB2312" w:cs="Arial"/>
          <w:color w:val="auto"/>
          <w:sz w:val="28"/>
          <w:szCs w:val="28"/>
          <w:highlight w:val="none"/>
        </w:rPr>
      </w:pPr>
    </w:p>
    <w:p w14:paraId="74E7D7C0">
      <w:pPr>
        <w:widowControl/>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 xml:space="preserve">甲方（委托方）：杭州市钱塘区政府投资项目评审服务中心                   </w:t>
      </w:r>
    </w:p>
    <w:p w14:paraId="1970497B">
      <w:pPr>
        <w:widowControl/>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乙方（受托方）：</w:t>
      </w:r>
      <w:r>
        <w:rPr>
          <w:rFonts w:hint="eastAsia" w:ascii="宋体" w:hAnsi="宋体" w:eastAsia="宋体" w:cs="宋体"/>
          <w:color w:val="auto"/>
          <w:kern w:val="2"/>
          <w:sz w:val="24"/>
          <w:highlight w:val="none"/>
          <w:u w:val="none"/>
          <w:lang w:val="en-US" w:eastAsia="zh-CN"/>
        </w:rPr>
        <w:t xml:space="preserve">                                   </w:t>
      </w:r>
      <w:r>
        <w:rPr>
          <w:rFonts w:hint="eastAsia" w:ascii="宋体" w:hAnsi="宋体" w:eastAsia="宋体" w:cs="宋体"/>
          <w:color w:val="auto"/>
          <w:kern w:val="2"/>
          <w:sz w:val="24"/>
          <w:highlight w:val="none"/>
        </w:rPr>
        <w:t xml:space="preserve">                                         </w:t>
      </w:r>
    </w:p>
    <w:p w14:paraId="66E5DD4C">
      <w:pPr>
        <w:widowControl/>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经过</w:t>
      </w:r>
      <w:r>
        <w:rPr>
          <w:rFonts w:hint="eastAsia" w:ascii="宋体" w:hAnsi="宋体" w:eastAsia="宋体" w:cs="宋体"/>
          <w:color w:val="auto"/>
          <w:kern w:val="2"/>
          <w:sz w:val="24"/>
          <w:highlight w:val="none"/>
          <w:lang w:val="en-US" w:eastAsia="zh-CN"/>
        </w:rPr>
        <w:t>框架协议</w:t>
      </w:r>
      <w:r>
        <w:rPr>
          <w:rFonts w:hint="eastAsia" w:ascii="宋体" w:hAnsi="宋体" w:eastAsia="宋体" w:cs="宋体"/>
          <w:color w:val="auto"/>
          <w:kern w:val="2"/>
          <w:sz w:val="24"/>
          <w:highlight w:val="none"/>
        </w:rPr>
        <w:t>招标，确定乙方为</w:t>
      </w:r>
      <w:r>
        <w:rPr>
          <w:rFonts w:hint="eastAsia" w:ascii="宋体" w:hAnsi="宋体" w:eastAsia="宋体" w:cs="宋体"/>
          <w:color w:val="auto"/>
          <w:kern w:val="2"/>
          <w:sz w:val="24"/>
          <w:highlight w:val="none"/>
          <w:u w:val="none"/>
          <w:lang w:val="en-US" w:eastAsia="zh-CN"/>
        </w:rPr>
        <w:t xml:space="preserve">                                 入围</w:t>
      </w:r>
      <w:r>
        <w:rPr>
          <w:rFonts w:hint="eastAsia" w:ascii="宋体" w:hAnsi="宋体" w:eastAsia="宋体" w:cs="宋体"/>
          <w:color w:val="auto"/>
          <w:kern w:val="2"/>
          <w:sz w:val="24"/>
          <w:highlight w:val="none"/>
        </w:rPr>
        <w:t>单位，</w:t>
      </w:r>
      <w:r>
        <w:rPr>
          <w:rFonts w:hint="eastAsia" w:ascii="宋体" w:hAnsi="宋体" w:eastAsia="宋体" w:cs="宋体"/>
          <w:color w:val="auto"/>
          <w:kern w:val="2"/>
          <w:sz w:val="24"/>
          <w:highlight w:val="none"/>
          <w:lang w:val="en-US" w:eastAsia="zh-CN"/>
        </w:rPr>
        <w:t>并于</w:t>
      </w:r>
      <w:r>
        <w:rPr>
          <w:rFonts w:hint="eastAsia" w:ascii="宋体" w:hAnsi="宋体" w:eastAsia="宋体" w:cs="宋体"/>
          <w:color w:val="auto"/>
          <w:kern w:val="2"/>
          <w:sz w:val="24"/>
          <w:highlight w:val="none"/>
          <w:u w:val="none"/>
          <w:lang w:val="en-US" w:eastAsia="zh-CN"/>
        </w:rPr>
        <w:t xml:space="preserve">       </w:t>
      </w:r>
      <w:r>
        <w:rPr>
          <w:rFonts w:hint="eastAsia" w:ascii="宋体" w:hAnsi="宋体" w:eastAsia="宋体" w:cs="宋体"/>
          <w:color w:val="auto"/>
          <w:kern w:val="2"/>
          <w:sz w:val="24"/>
          <w:highlight w:val="none"/>
          <w:lang w:val="en-US" w:eastAsia="zh-CN"/>
        </w:rPr>
        <w:t>年</w:t>
      </w:r>
      <w:r>
        <w:rPr>
          <w:rFonts w:hint="eastAsia" w:ascii="宋体" w:hAnsi="宋体" w:eastAsia="宋体" w:cs="宋体"/>
          <w:color w:val="auto"/>
          <w:kern w:val="2"/>
          <w:sz w:val="24"/>
          <w:highlight w:val="none"/>
          <w:u w:val="none"/>
          <w:lang w:val="en-US" w:eastAsia="zh-CN"/>
        </w:rPr>
        <w:t xml:space="preserve">    </w:t>
      </w:r>
      <w:r>
        <w:rPr>
          <w:rFonts w:hint="eastAsia" w:ascii="宋体" w:hAnsi="宋体" w:eastAsia="宋体" w:cs="宋体"/>
          <w:color w:val="auto"/>
          <w:kern w:val="2"/>
          <w:sz w:val="24"/>
          <w:highlight w:val="none"/>
          <w:lang w:val="en-US" w:eastAsia="zh-CN"/>
        </w:rPr>
        <w:t>月</w:t>
      </w:r>
      <w:r>
        <w:rPr>
          <w:rFonts w:hint="eastAsia" w:ascii="宋体" w:hAnsi="宋体" w:eastAsia="宋体" w:cs="宋体"/>
          <w:color w:val="auto"/>
          <w:kern w:val="2"/>
          <w:sz w:val="24"/>
          <w:highlight w:val="none"/>
          <w:u w:val="none"/>
          <w:lang w:val="en-US" w:eastAsia="zh-CN"/>
        </w:rPr>
        <w:t xml:space="preserve">    </w:t>
      </w:r>
      <w:r>
        <w:rPr>
          <w:rFonts w:hint="eastAsia" w:ascii="宋体" w:hAnsi="宋体" w:eastAsia="宋体" w:cs="宋体"/>
          <w:color w:val="auto"/>
          <w:kern w:val="2"/>
          <w:sz w:val="24"/>
          <w:highlight w:val="none"/>
          <w:lang w:val="en-US" w:eastAsia="zh-CN"/>
        </w:rPr>
        <w:t>日签署《</w:t>
      </w:r>
      <w:r>
        <w:rPr>
          <w:rFonts w:hint="eastAsia" w:ascii="宋体" w:hAnsi="宋体" w:cs="宋体"/>
          <w:color w:val="auto"/>
          <w:kern w:val="2"/>
          <w:sz w:val="24"/>
          <w:highlight w:val="none"/>
          <w:lang w:eastAsia="zh-CN"/>
        </w:rPr>
        <w:t>杭州市钱塘区2026-2028年政府投资项目</w:t>
      </w:r>
      <w:r>
        <w:rPr>
          <w:rFonts w:hint="eastAsia" w:ascii="宋体" w:hAnsi="宋体" w:eastAsia="宋体" w:cs="宋体"/>
          <w:color w:val="auto"/>
          <w:kern w:val="2"/>
          <w:sz w:val="24"/>
          <w:highlight w:val="none"/>
        </w:rPr>
        <w:t>工程造价咨询服务采购项目服务框架协议</w:t>
      </w:r>
      <w:r>
        <w:rPr>
          <w:rFonts w:hint="eastAsia" w:ascii="宋体" w:hAnsi="宋体" w:eastAsia="宋体" w:cs="宋体"/>
          <w:color w:val="auto"/>
          <w:kern w:val="2"/>
          <w:sz w:val="24"/>
          <w:highlight w:val="none"/>
          <w:lang w:val="en-US" w:eastAsia="zh-CN"/>
        </w:rPr>
        <w:t>》。</w:t>
      </w:r>
      <w:r>
        <w:rPr>
          <w:rFonts w:hint="eastAsia" w:asciiTheme="minorEastAsia" w:hAnsiTheme="minorEastAsia" w:eastAsiaTheme="minorEastAsia" w:cstheme="minorEastAsia"/>
          <w:color w:val="auto"/>
          <w:kern w:val="0"/>
          <w:sz w:val="24"/>
          <w:highlight w:val="none"/>
        </w:rPr>
        <w:t>通过直接选定——单轮“不放回简单随机”抽签方式</w:t>
      </w:r>
      <w:r>
        <w:rPr>
          <w:rFonts w:hint="eastAsia" w:ascii="宋体" w:hAnsi="宋体" w:eastAsia="宋体" w:cs="宋体"/>
          <w:color w:val="auto"/>
          <w:kern w:val="2"/>
          <w:sz w:val="24"/>
          <w:highlight w:val="none"/>
          <w:lang w:val="en-US" w:eastAsia="zh-CN"/>
        </w:rPr>
        <w:t>，甲方确定乙方为</w:t>
      </w:r>
      <w:r>
        <w:rPr>
          <w:rFonts w:hint="eastAsia" w:ascii="宋体" w:hAnsi="宋体" w:eastAsia="宋体" w:cs="宋体"/>
          <w:color w:val="auto"/>
          <w:kern w:val="2"/>
          <w:sz w:val="24"/>
          <w:highlight w:val="none"/>
          <w:u w:val="none"/>
          <w:lang w:val="en-US" w:eastAsia="zh-CN"/>
        </w:rPr>
        <w:t xml:space="preserve">                    </w:t>
      </w:r>
      <w:r>
        <w:rPr>
          <w:rFonts w:hint="eastAsia" w:ascii="宋体" w:hAnsi="宋体" w:eastAsia="宋体" w:cs="宋体"/>
          <w:color w:val="auto"/>
          <w:kern w:val="2"/>
          <w:sz w:val="24"/>
          <w:highlight w:val="none"/>
          <w:lang w:val="en-US" w:eastAsia="zh-CN"/>
        </w:rPr>
        <w:t>项目实施单位，</w:t>
      </w:r>
      <w:r>
        <w:rPr>
          <w:rFonts w:hint="eastAsia" w:ascii="宋体" w:hAnsi="宋体" w:eastAsia="宋体" w:cs="宋体"/>
          <w:color w:val="auto"/>
          <w:kern w:val="2"/>
          <w:sz w:val="24"/>
          <w:highlight w:val="none"/>
        </w:rPr>
        <w:t>为明确双方权利义务，经协商一致，签订本协议书。</w:t>
      </w:r>
    </w:p>
    <w:p w14:paraId="2B3ABE69">
      <w:pPr>
        <w:widowControl/>
        <w:spacing w:line="500" w:lineRule="exact"/>
        <w:ind w:firstLine="482" w:firstLineChars="200"/>
        <w:rPr>
          <w:rFonts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lang w:eastAsia="zh-CN"/>
        </w:rPr>
        <w:t>一</w:t>
      </w:r>
      <w:r>
        <w:rPr>
          <w:rFonts w:hint="eastAsia" w:asciiTheme="minorEastAsia" w:hAnsiTheme="minorEastAsia" w:eastAsiaTheme="minorEastAsia"/>
          <w:b/>
          <w:color w:val="auto"/>
          <w:kern w:val="0"/>
          <w:sz w:val="24"/>
          <w:highlight w:val="none"/>
        </w:rPr>
        <w:t>、服务内容</w:t>
      </w:r>
    </w:p>
    <w:p w14:paraId="0EE0139E">
      <w:pPr>
        <w:widowControl/>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政府投资项目概算审核、结算初核及其他类型的造价咨询服务</w:t>
      </w:r>
      <w:r>
        <w:rPr>
          <w:rFonts w:hint="eastAsia" w:ascii="宋体" w:hAnsi="宋体" w:eastAsia="宋体" w:cs="宋体"/>
          <w:bCs w:val="0"/>
          <w:color w:val="auto"/>
          <w:sz w:val="24"/>
          <w:highlight w:val="none"/>
        </w:rPr>
        <w:t>。</w:t>
      </w:r>
    </w:p>
    <w:p w14:paraId="3B112704">
      <w:pPr>
        <w:widowControl/>
        <w:spacing w:line="500" w:lineRule="exact"/>
        <w:ind w:firstLine="482" w:firstLineChars="200"/>
        <w:rPr>
          <w:rFonts w:hint="eastAsia" w:cs="Times New Roman" w:asciiTheme="minorEastAsia" w:hAnsiTheme="minorEastAsia" w:eastAsiaTheme="minorEastAsia"/>
          <w:b/>
          <w:color w:val="auto"/>
          <w:kern w:val="0"/>
          <w:sz w:val="24"/>
          <w:highlight w:val="none"/>
        </w:rPr>
      </w:pPr>
      <w:r>
        <w:rPr>
          <w:rFonts w:hint="eastAsia" w:asciiTheme="minorEastAsia" w:hAnsiTheme="minorEastAsia" w:eastAsiaTheme="minorEastAsia"/>
          <w:b/>
          <w:color w:val="auto"/>
          <w:kern w:val="0"/>
          <w:sz w:val="24"/>
          <w:highlight w:val="none"/>
          <w:lang w:eastAsia="zh-CN"/>
        </w:rPr>
        <w:t>二</w:t>
      </w:r>
      <w:r>
        <w:rPr>
          <w:rFonts w:hint="eastAsia" w:asciiTheme="minorEastAsia" w:hAnsiTheme="minorEastAsia" w:eastAsiaTheme="minorEastAsia"/>
          <w:b/>
          <w:color w:val="auto"/>
          <w:kern w:val="0"/>
          <w:sz w:val="24"/>
          <w:highlight w:val="none"/>
        </w:rPr>
        <w:t>、下列文件均为本协议的组成部分：</w:t>
      </w:r>
    </w:p>
    <w:p w14:paraId="21E28199">
      <w:pPr>
        <w:widowControl/>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2"/>
          <w:sz w:val="24"/>
          <w:highlight w:val="none"/>
        </w:rPr>
        <w:t>1</w:t>
      </w:r>
      <w:r>
        <w:rPr>
          <w:rFonts w:hint="eastAsia" w:ascii="宋体" w:hAnsi="宋体" w:eastAsia="宋体" w:cs="宋体"/>
          <w:color w:val="auto"/>
          <w:kern w:val="2"/>
          <w:sz w:val="24"/>
          <w:highlight w:val="none"/>
          <w:lang w:eastAsia="zh-CN"/>
        </w:rPr>
        <w:t>、</w:t>
      </w:r>
      <w:r>
        <w:rPr>
          <w:rFonts w:hint="eastAsia" w:ascii="宋体" w:hAnsi="宋体" w:eastAsia="宋体" w:cs="宋体"/>
          <w:color w:val="auto"/>
          <w:kern w:val="2"/>
          <w:sz w:val="24"/>
          <w:highlight w:val="none"/>
        </w:rPr>
        <w:t>本协议书</w:t>
      </w:r>
    </w:p>
    <w:p w14:paraId="3E730B8F">
      <w:pPr>
        <w:widowControl/>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2、</w:t>
      </w:r>
      <w:r>
        <w:rPr>
          <w:rFonts w:hint="eastAsia" w:ascii="宋体" w:hAnsi="宋体" w:cs="宋体"/>
          <w:color w:val="auto"/>
          <w:kern w:val="2"/>
          <w:sz w:val="24"/>
          <w:highlight w:val="none"/>
          <w:lang w:val="en-US" w:eastAsia="zh-CN"/>
        </w:rPr>
        <w:t>入围</w:t>
      </w:r>
      <w:r>
        <w:rPr>
          <w:rFonts w:hint="eastAsia" w:ascii="宋体" w:hAnsi="宋体" w:eastAsia="宋体" w:cs="宋体"/>
          <w:color w:val="auto"/>
          <w:kern w:val="2"/>
          <w:sz w:val="24"/>
          <w:highlight w:val="none"/>
        </w:rPr>
        <w:t>/成交通知书</w:t>
      </w:r>
    </w:p>
    <w:p w14:paraId="62B6323C">
      <w:pPr>
        <w:widowControl/>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3、《钱塘区限额以上政府投资项目委托评审管理细则》（钱评审发〔202</w:t>
      </w:r>
      <w:r>
        <w:rPr>
          <w:rFonts w:hint="eastAsia" w:ascii="宋体" w:hAnsi="宋体" w:cs="宋体"/>
          <w:color w:val="auto"/>
          <w:kern w:val="2"/>
          <w:sz w:val="24"/>
          <w:highlight w:val="none"/>
          <w:lang w:val="en-US" w:eastAsia="zh-CN"/>
        </w:rPr>
        <w:t>4</w:t>
      </w:r>
      <w:r>
        <w:rPr>
          <w:rFonts w:hint="eastAsia" w:ascii="宋体" w:hAnsi="宋体" w:eastAsia="宋体" w:cs="宋体"/>
          <w:color w:val="auto"/>
          <w:kern w:val="2"/>
          <w:sz w:val="24"/>
          <w:highlight w:val="none"/>
        </w:rPr>
        <w:t xml:space="preserve">〕1号） </w:t>
      </w:r>
      <w:r>
        <w:rPr>
          <w:rFonts w:hint="eastAsia" w:ascii="宋体" w:hAnsi="宋体" w:cs="宋体"/>
          <w:color w:val="auto"/>
          <w:kern w:val="2"/>
          <w:sz w:val="24"/>
          <w:highlight w:val="none"/>
          <w:lang w:eastAsia="zh-CN"/>
        </w:rPr>
        <w:t>（注：有新文件出台，按新文件）</w:t>
      </w:r>
    </w:p>
    <w:p w14:paraId="7001B90F">
      <w:pPr>
        <w:widowControl/>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4、</w:t>
      </w:r>
      <w:r>
        <w:rPr>
          <w:rFonts w:hint="eastAsia" w:ascii="宋体" w:hAnsi="宋体" w:eastAsia="宋体" w:cs="宋体"/>
          <w:color w:val="auto"/>
          <w:kern w:val="2"/>
          <w:sz w:val="24"/>
          <w:highlight w:val="none"/>
          <w:lang w:val="en-US" w:eastAsia="zh-CN"/>
        </w:rPr>
        <w:t>征集</w:t>
      </w:r>
      <w:r>
        <w:rPr>
          <w:rFonts w:hint="eastAsia" w:ascii="宋体" w:hAnsi="宋体" w:eastAsia="宋体" w:cs="宋体"/>
          <w:color w:val="auto"/>
          <w:kern w:val="2"/>
          <w:sz w:val="24"/>
          <w:highlight w:val="none"/>
        </w:rPr>
        <w:t>文件</w:t>
      </w:r>
    </w:p>
    <w:p w14:paraId="4651CFE5">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5、</w:t>
      </w:r>
      <w:r>
        <w:rPr>
          <w:rFonts w:hint="eastAsia" w:ascii="宋体" w:hAnsi="宋体" w:cs="宋体"/>
          <w:color w:val="auto"/>
          <w:kern w:val="2"/>
          <w:sz w:val="24"/>
          <w:highlight w:val="none"/>
          <w:lang w:val="en-US" w:eastAsia="zh-CN"/>
        </w:rPr>
        <w:t>入围单位</w:t>
      </w:r>
      <w:r>
        <w:rPr>
          <w:rFonts w:hint="eastAsia" w:ascii="宋体" w:hAnsi="宋体" w:eastAsia="宋体" w:cs="宋体"/>
          <w:color w:val="auto"/>
          <w:kern w:val="2"/>
          <w:sz w:val="24"/>
          <w:highlight w:val="none"/>
        </w:rPr>
        <w:t>投标文件</w:t>
      </w:r>
    </w:p>
    <w:p w14:paraId="3D7B8E11">
      <w:pPr>
        <w:widowControl/>
        <w:snapToGrid w:val="0"/>
        <w:spacing w:line="5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highlight w:val="none"/>
          <w:lang w:val="en-US" w:eastAsia="zh-CN"/>
        </w:rPr>
        <w:t>6、《</w:t>
      </w:r>
      <w:r>
        <w:rPr>
          <w:rFonts w:hint="eastAsia" w:ascii="宋体" w:hAnsi="宋体" w:cs="宋体"/>
          <w:color w:val="auto"/>
          <w:kern w:val="2"/>
          <w:sz w:val="24"/>
          <w:highlight w:val="none"/>
          <w:lang w:eastAsia="zh-CN"/>
        </w:rPr>
        <w:t>杭州市钱塘区2026-2028年政府投资项目</w:t>
      </w:r>
      <w:r>
        <w:rPr>
          <w:rFonts w:hint="eastAsia" w:ascii="宋体" w:hAnsi="宋体" w:eastAsia="宋体" w:cs="宋体"/>
          <w:color w:val="auto"/>
          <w:kern w:val="2"/>
          <w:sz w:val="24"/>
          <w:highlight w:val="none"/>
        </w:rPr>
        <w:t>工程造价咨询服务采购项目服务框架协议</w:t>
      </w:r>
      <w:r>
        <w:rPr>
          <w:rFonts w:hint="eastAsia" w:ascii="宋体" w:hAnsi="宋体" w:eastAsia="宋体" w:cs="宋体"/>
          <w:color w:val="auto"/>
          <w:kern w:val="2"/>
          <w:sz w:val="24"/>
          <w:highlight w:val="none"/>
          <w:lang w:val="en-US" w:eastAsia="zh-CN"/>
        </w:rPr>
        <w:t>》</w:t>
      </w:r>
    </w:p>
    <w:p w14:paraId="4EA96726">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cs="宋体"/>
          <w:color w:val="auto"/>
          <w:sz w:val="24"/>
          <w:highlight w:val="none"/>
        </w:rPr>
        <w:t>本协议书未尽之处，包括但不限于评审小组、派驻、保密、考核、人员及报告质量要求、违约、合同解除等事宜，按照甲方要求及上述文件执行。上述文件有冲突之处，效力以排序在前为优。</w:t>
      </w:r>
    </w:p>
    <w:p w14:paraId="02B01289">
      <w:pPr>
        <w:widowControl/>
        <w:adjustRightInd/>
        <w:snapToGrid w:val="0"/>
        <w:spacing w:line="500" w:lineRule="exact"/>
        <w:ind w:firstLine="480" w:firstLineChars="200"/>
        <w:rPr>
          <w:rFonts w:hint="eastAsia" w:ascii="宋体" w:hAnsi="宋体" w:eastAsia="宋体" w:cs="宋体"/>
          <w:color w:val="auto"/>
          <w:kern w:val="2"/>
          <w:sz w:val="24"/>
          <w:highlight w:val="none"/>
        </w:rPr>
      </w:pPr>
    </w:p>
    <w:p w14:paraId="76A1BD6D">
      <w:pPr>
        <w:widowControl/>
        <w:adjustRightInd/>
        <w:snapToGrid w:val="0"/>
        <w:spacing w:line="500" w:lineRule="exact"/>
        <w:ind w:firstLine="480" w:firstLineChars="200"/>
        <w:rPr>
          <w:rFonts w:hint="eastAsia" w:ascii="宋体" w:hAnsi="宋体" w:eastAsia="宋体" w:cs="宋体"/>
          <w:color w:val="auto"/>
          <w:kern w:val="2"/>
          <w:sz w:val="24"/>
          <w:highlight w:val="none"/>
        </w:rPr>
      </w:pPr>
    </w:p>
    <w:p w14:paraId="3B9272E2">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本协议签订之后的补充协议、会议纪要、法律及政策文件变更了上述文件内容的，变更后的内容效力优先，且以最新的补充协议、会议纪要、法律及政策文件等为准。</w:t>
      </w:r>
    </w:p>
    <w:p w14:paraId="259CF18F">
      <w:pPr>
        <w:widowControl/>
        <w:adjustRightInd/>
        <w:snapToGrid w:val="0"/>
        <w:spacing w:line="500" w:lineRule="exact"/>
        <w:ind w:firstLine="482" w:firstLineChars="200"/>
        <w:rPr>
          <w:rFonts w:hint="eastAsia" w:ascii="宋体" w:hAnsi="宋体" w:eastAsia="宋体" w:cs="宋体"/>
          <w:b/>
          <w:bCs/>
          <w:color w:val="auto"/>
          <w:kern w:val="2"/>
          <w:sz w:val="24"/>
          <w:highlight w:val="none"/>
        </w:rPr>
      </w:pPr>
      <w:r>
        <w:rPr>
          <w:rFonts w:hint="eastAsia" w:ascii="宋体" w:hAnsi="宋体" w:eastAsia="宋体" w:cs="宋体"/>
          <w:b/>
          <w:bCs/>
          <w:color w:val="auto"/>
          <w:kern w:val="2"/>
          <w:sz w:val="24"/>
          <w:highlight w:val="none"/>
          <w:lang w:eastAsia="zh-CN"/>
        </w:rPr>
        <w:t>三</w:t>
      </w:r>
      <w:r>
        <w:rPr>
          <w:rFonts w:hint="eastAsia" w:ascii="宋体" w:hAnsi="宋体" w:eastAsia="宋体" w:cs="宋体"/>
          <w:b/>
          <w:bCs/>
          <w:color w:val="auto"/>
          <w:kern w:val="2"/>
          <w:sz w:val="24"/>
          <w:highlight w:val="none"/>
        </w:rPr>
        <w:t>、甲方的权利和义务</w:t>
      </w:r>
    </w:p>
    <w:p w14:paraId="4777E6DE">
      <w:pPr>
        <w:widowControl/>
        <w:adjustRightInd/>
        <w:snapToGrid w:val="0"/>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w:t>
      </w:r>
      <w:r>
        <w:rPr>
          <w:rFonts w:ascii="宋体" w:hAnsi="宋体" w:cs="宋体"/>
          <w:color w:val="auto"/>
          <w:sz w:val="24"/>
          <w:highlight w:val="none"/>
        </w:rPr>
        <w:t>甲方负责将被审核项目的资料移交给乙方。</w:t>
      </w:r>
    </w:p>
    <w:p w14:paraId="2D78B1B4">
      <w:pPr>
        <w:widowControl/>
        <w:adjustRightInd/>
        <w:snapToGrid w:val="0"/>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w:t>
      </w:r>
      <w:r>
        <w:rPr>
          <w:rFonts w:ascii="宋体" w:hAnsi="宋体" w:cs="宋体"/>
          <w:color w:val="auto"/>
          <w:sz w:val="24"/>
          <w:highlight w:val="none"/>
        </w:rPr>
        <w:t>甲方</w:t>
      </w:r>
      <w:r>
        <w:rPr>
          <w:rFonts w:hint="eastAsia" w:ascii="宋体" w:hAnsi="宋体" w:cs="宋体"/>
          <w:color w:val="auto"/>
          <w:sz w:val="24"/>
          <w:highlight w:val="none"/>
        </w:rPr>
        <w:t>有权</w:t>
      </w:r>
      <w:r>
        <w:rPr>
          <w:rFonts w:ascii="宋体" w:hAnsi="宋体" w:cs="宋体"/>
          <w:color w:val="auto"/>
          <w:sz w:val="24"/>
          <w:highlight w:val="none"/>
        </w:rPr>
        <w:t>对乙方的审核质量、履约情况和现场工作进行监督管理及考核。</w:t>
      </w:r>
    </w:p>
    <w:p w14:paraId="4C54F4B5">
      <w:pPr>
        <w:widowControl/>
        <w:adjustRightInd/>
        <w:snapToGrid w:val="0"/>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w:t>
      </w:r>
      <w:r>
        <w:rPr>
          <w:rFonts w:ascii="宋体" w:hAnsi="宋体" w:cs="宋体"/>
          <w:color w:val="auto"/>
          <w:sz w:val="24"/>
          <w:highlight w:val="none"/>
        </w:rPr>
        <w:t xml:space="preserve">甲方负责做好乙方与被审核单位之间的沟通及重大争议问题的协调。 </w:t>
      </w:r>
    </w:p>
    <w:p w14:paraId="5A0A9437">
      <w:pPr>
        <w:widowControl/>
        <w:adjustRightInd/>
        <w:snapToGrid w:val="0"/>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w:t>
      </w:r>
      <w:r>
        <w:rPr>
          <w:rFonts w:ascii="宋体" w:hAnsi="宋体" w:cs="宋体"/>
          <w:color w:val="auto"/>
          <w:sz w:val="24"/>
          <w:highlight w:val="none"/>
        </w:rPr>
        <w:t>甲方有权要求乙方提供阶段性成果的书面说明；有权复核或全面复核乙方的评审结论，并出具复评结果。</w:t>
      </w:r>
    </w:p>
    <w:p w14:paraId="39198E56">
      <w:pPr>
        <w:widowControl/>
        <w:adjustRightInd/>
        <w:snapToGrid w:val="0"/>
        <w:spacing w:line="500" w:lineRule="exact"/>
        <w:ind w:firstLine="480" w:firstLineChars="200"/>
        <w:rPr>
          <w:rFonts w:hint="eastAsia"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w:t>
      </w:r>
      <w:r>
        <w:rPr>
          <w:rFonts w:ascii="宋体" w:hAnsi="宋体" w:cs="宋体"/>
          <w:color w:val="auto"/>
          <w:sz w:val="24"/>
          <w:highlight w:val="none"/>
        </w:rPr>
        <w:t>甲方按《钱塘区限额以上政府投资项目委托评审管理细则》（钱评审发〔202</w:t>
      </w:r>
      <w:r>
        <w:rPr>
          <w:rFonts w:hint="eastAsia" w:ascii="宋体" w:hAnsi="宋体" w:cs="宋体"/>
          <w:color w:val="auto"/>
          <w:sz w:val="24"/>
          <w:highlight w:val="none"/>
          <w:lang w:val="en-US" w:eastAsia="zh-CN"/>
        </w:rPr>
        <w:t>4</w:t>
      </w:r>
      <w:r>
        <w:rPr>
          <w:rFonts w:ascii="宋体" w:hAnsi="宋体" w:cs="宋体"/>
          <w:color w:val="auto"/>
          <w:sz w:val="24"/>
          <w:highlight w:val="none"/>
        </w:rPr>
        <w:t>〕1号）对乙方进行管理考核，如本协议履行过程中出台新文件的，按新文件执行。</w:t>
      </w:r>
    </w:p>
    <w:p w14:paraId="0F3457A5">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ascii="宋体" w:hAnsi="宋体" w:cs="宋体"/>
          <w:color w:val="auto"/>
          <w:sz w:val="24"/>
          <w:highlight w:val="none"/>
        </w:rPr>
        <w:t>6、甲方有权以书面通知的方式提前终止委托关系。非因乙方违约原因导致甲方提前书面通知终止的，甲方应就乙方已经完成的工作量按实与乙方结算。因乙方违约原因导致甲方提前书面通知终止的，按本协议约定的违约责任处理</w:t>
      </w:r>
      <w:r>
        <w:rPr>
          <w:rFonts w:hint="default" w:ascii="宋体" w:hAnsi="宋体" w:eastAsia="宋体" w:cs="宋体"/>
          <w:color w:val="auto"/>
          <w:kern w:val="2"/>
          <w:sz w:val="24"/>
          <w:highlight w:val="none"/>
        </w:rPr>
        <w:t>。</w:t>
      </w:r>
    </w:p>
    <w:p w14:paraId="00A2B40D">
      <w:pPr>
        <w:widowControl/>
        <w:adjustRightInd/>
        <w:snapToGrid w:val="0"/>
        <w:spacing w:line="500" w:lineRule="exact"/>
        <w:ind w:firstLine="482" w:firstLineChars="200"/>
        <w:rPr>
          <w:rFonts w:hint="eastAsia" w:ascii="宋体" w:hAnsi="宋体" w:eastAsia="宋体" w:cs="宋体"/>
          <w:b/>
          <w:bCs/>
          <w:color w:val="auto"/>
          <w:kern w:val="2"/>
          <w:sz w:val="24"/>
          <w:highlight w:val="none"/>
        </w:rPr>
      </w:pPr>
      <w:r>
        <w:rPr>
          <w:rFonts w:hint="eastAsia" w:ascii="宋体" w:hAnsi="宋体" w:eastAsia="宋体" w:cs="宋体"/>
          <w:b/>
          <w:bCs/>
          <w:color w:val="auto"/>
          <w:sz w:val="24"/>
          <w:highlight w:val="none"/>
          <w:lang w:eastAsia="zh-CN"/>
        </w:rPr>
        <w:t>四</w:t>
      </w:r>
      <w:r>
        <w:rPr>
          <w:rFonts w:hint="eastAsia" w:ascii="宋体" w:hAnsi="宋体" w:eastAsia="宋体" w:cs="宋体"/>
          <w:b/>
          <w:bCs/>
          <w:color w:val="auto"/>
          <w:sz w:val="24"/>
          <w:highlight w:val="none"/>
        </w:rPr>
        <w:t>、乙方的</w:t>
      </w:r>
      <w:r>
        <w:rPr>
          <w:rFonts w:hint="eastAsia" w:ascii="宋体" w:hAnsi="宋体" w:eastAsia="宋体" w:cs="宋体"/>
          <w:b/>
          <w:bCs/>
          <w:color w:val="auto"/>
          <w:kern w:val="2"/>
          <w:sz w:val="24"/>
          <w:highlight w:val="none"/>
        </w:rPr>
        <w:t>权利和义务</w:t>
      </w:r>
    </w:p>
    <w:p w14:paraId="49977998">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自觉遵守财政部《财政投资评审管理规定》、建设部《工程造价咨询企业管理办法》、浙江省建设工程造价管理总站《浙江省建设工程造价咨询执业操作规程》、以及钱塘区最新文件等有关规定，严格执行评审廉政纪律和职业道德，保守评审秘密和工程资料数据的秘密。</w:t>
      </w:r>
    </w:p>
    <w:p w14:paraId="1BA58297">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2、乙方可以要求甲方提供与委托内容有关的资料。</w:t>
      </w:r>
    </w:p>
    <w:p w14:paraId="3BB9B5C3">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3、乙方在审核服务期间，有到工程现场勘查和调查取证的权利。</w:t>
      </w:r>
    </w:p>
    <w:p w14:paraId="78AD0515">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4、乙方可以要求甲方对有关问题作出解释和补充有关资料。</w:t>
      </w:r>
    </w:p>
    <w:p w14:paraId="5C0FBD50">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乙方审核人员在审核时，应当客观公正、实事求是、遵守国家(省、市)各项技术规范与计算规则，并保持严谨、稳健、负责的职业态度，保证报告的真实性及合法性。项目审核中，应严格遵守审核纪律、规范审核行为。</w:t>
      </w:r>
    </w:p>
    <w:p w14:paraId="4DF042F8">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乙方应严格按照甲方的有关规定和要求实施工程咨询服务，接受甲方的指导、监督和管理，同时按甲方的质量、进度格式要求及时提供审核结果、发表审核意见、反映审核中的主要问题、并提出加强管理的建议，并提供审核事项相关的评审资料。</w:t>
      </w:r>
    </w:p>
    <w:p w14:paraId="017F3DD5">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7、在协议履行期间，乙方应按甲方要求开展工作，在工作中遵循公平、公正、公开、合法、独立的原则，认真、细致、周到的进行服务。</w:t>
      </w:r>
    </w:p>
    <w:p w14:paraId="78EEEEAF">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8、甲方将审核资料移交给乙方后，乙方有义务对所有资料进行妥善保管，确保评审结束后完整移交送审资料。</w:t>
      </w:r>
    </w:p>
    <w:p w14:paraId="40EB191B">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非涉及项目回避的，乙方不能拒绝或推托甲方分派的项目。如乙方确实无法承担该项业务，应在接收送审资料前提交书面说明，甲方将该项业务另行分派。该类情况在本轮协议期内不得超过两次，否则取消其后续承接评审业务的资格。</w:t>
      </w:r>
    </w:p>
    <w:p w14:paraId="26DCE719">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cs="宋体"/>
          <w:color w:val="auto"/>
          <w:sz w:val="24"/>
          <w:highlight w:val="none"/>
        </w:rPr>
        <w:t>10、乙方在承接甲方委托的任何一个评审项目时，都须提供该项目具体参与评审人员与乙方签订的书面劳动合同及在本单位缴纳的社保证明书面资料，否则甲方有权提前解除本协议，并不予支付该项目评审费用。</w:t>
      </w:r>
    </w:p>
    <w:p w14:paraId="30D169A1">
      <w:pPr>
        <w:widowControl/>
        <w:adjustRightInd/>
        <w:snapToGrid w:val="0"/>
        <w:spacing w:line="500" w:lineRule="exact"/>
        <w:ind w:firstLine="48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五</w:t>
      </w:r>
      <w:r>
        <w:rPr>
          <w:rFonts w:hint="eastAsia" w:ascii="宋体" w:hAnsi="宋体" w:eastAsia="宋体" w:cs="宋体"/>
          <w:b/>
          <w:bCs/>
          <w:color w:val="auto"/>
          <w:sz w:val="24"/>
          <w:highlight w:val="none"/>
        </w:rPr>
        <w:t>、乙方的责任</w:t>
      </w:r>
    </w:p>
    <w:p w14:paraId="0EE1CBD6">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乙方应确保项目评审工作质量，按征集文件时间要求完成评审工作。项目评审应当严格遵守国家的有关法律、法规、制度及有关执业规范要求，乙方对评审意见的真实性、完整性、合法性、准确性负法律责任。乙方出具的评审报告只向甲方提供，不得自行提供给施工单位、建设单位或其他单位，对提供虚假评审报告或自行对外提供评审报告的，甲方可终止本协议，情节严重的，将依法追究乙方和相关责任人的法律责任。</w:t>
      </w:r>
    </w:p>
    <w:p w14:paraId="49C418F6">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2、乙方应建立三级复核制度，并在提交评审稿的同时提交内部复核流程意见单（需要三级签字盖章并签署明确复核意见）。</w:t>
      </w:r>
    </w:p>
    <w:p w14:paraId="1B2764E7">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3、在完成项目评审时，乙方需出具评审报告，并按要求做好造价指标统计，并在15日内按照相关法律法规要求做好资料归档工作。</w:t>
      </w:r>
    </w:p>
    <w:p w14:paraId="2924BCD0">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4、乙方有下列情形之一的，经甲方核实，甲方可立即全面终止本协议的执行，乙方造成损失的应当赔偿损失。甲方同时提请有关部门追究有关当事人的责任：</w:t>
      </w:r>
    </w:p>
    <w:p w14:paraId="77DC944C">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4.1没有按照甲方及《钱塘区限额以上政府投资项目委托评审管理细则》（钱评审发〔202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〕1号）文件（注：有新文件出台，按新文件）规定审核程序和步骤开展工作，导致审核结果产生负面影响的，或重大违纪违规问题应当披露而未披露的；</w:t>
      </w:r>
    </w:p>
    <w:p w14:paraId="285F8F53">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4.2发生将委托的审核业务转包、分包给其他单位或个人；</w:t>
      </w:r>
    </w:p>
    <w:p w14:paraId="16B6163E">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4.3不履行回避义务，接受相关单位委托，承担与甲方有利益冲突的业务；</w:t>
      </w:r>
    </w:p>
    <w:p w14:paraId="2F8FE9B9">
      <w:pPr>
        <w:widowControl/>
        <w:adjustRightInd/>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4.4其他违反法律、行政法规、制度及有关执业规范要求等行为；</w:t>
      </w:r>
    </w:p>
    <w:p w14:paraId="59E5CF4D">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4.5法律规定可解除合同的情形</w:t>
      </w:r>
    </w:p>
    <w:p w14:paraId="46F8FFF3">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乙方承诺对于履行本协议过程中获知的甲方及有关第三方的未公开信息、乙方提供的评审业务成果予以保密，未经甲方书面同意，乙方不得透露给任何第三方。本条约定的乙方的保密义务的期限为长期，不因本协议的变更、解除、终止而失效。</w:t>
      </w:r>
    </w:p>
    <w:p w14:paraId="161C4D06">
      <w:pPr>
        <w:widowControl/>
        <w:adjustRightInd/>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6、乙方在履行本协议过程中及其提供的评审业务成果不得侵犯他人的合法权利，否则相应责任由乙方自行承担，给甲方造成损失的，甲方有权向乙方追偿。</w:t>
      </w:r>
    </w:p>
    <w:p w14:paraId="59073E4C">
      <w:pPr>
        <w:widowControl/>
        <w:adjustRightInd/>
        <w:snapToGrid w:val="0"/>
        <w:spacing w:line="500" w:lineRule="exact"/>
        <w:ind w:firstLine="480" w:firstLineChars="200"/>
        <w:rPr>
          <w:rFonts w:hint="default" w:ascii="宋体" w:hAnsi="宋体" w:eastAsia="宋体" w:cs="宋体"/>
          <w:bCs w:val="0"/>
          <w:color w:val="auto"/>
          <w:kern w:val="2"/>
          <w:sz w:val="24"/>
          <w:highlight w:val="none"/>
        </w:rPr>
      </w:pPr>
      <w:r>
        <w:rPr>
          <w:rFonts w:hint="eastAsia" w:ascii="宋体" w:hAnsi="宋体" w:cs="宋体"/>
          <w:color w:val="auto"/>
          <w:sz w:val="24"/>
          <w:highlight w:val="none"/>
        </w:rPr>
        <w:t>7、乙方提供的评审业务成果的知识产权及所有权属于甲方，未经甲方同意，乙方不得擅自使用或向第三方提供。</w:t>
      </w:r>
    </w:p>
    <w:p w14:paraId="67C33D33">
      <w:pPr>
        <w:widowControl/>
        <w:adjustRightInd/>
        <w:snapToGrid w:val="0"/>
        <w:spacing w:line="500" w:lineRule="exact"/>
        <w:ind w:firstLine="482" w:firstLineChars="200"/>
        <w:rPr>
          <w:rFonts w:hint="eastAsia" w:ascii="宋体" w:hAnsi="宋体" w:eastAsia="宋体" w:cs="宋体"/>
          <w:b/>
          <w:bCs/>
          <w:color w:val="auto"/>
          <w:kern w:val="2"/>
          <w:sz w:val="24"/>
          <w:highlight w:val="none"/>
        </w:rPr>
      </w:pPr>
      <w:r>
        <w:rPr>
          <w:rFonts w:hint="eastAsia" w:ascii="宋体" w:hAnsi="宋体" w:eastAsia="宋体" w:cs="宋体"/>
          <w:b/>
          <w:bCs/>
          <w:color w:val="auto"/>
          <w:kern w:val="2"/>
          <w:sz w:val="24"/>
          <w:highlight w:val="none"/>
          <w:lang w:eastAsia="zh-CN"/>
        </w:rPr>
        <w:t>六</w:t>
      </w:r>
      <w:r>
        <w:rPr>
          <w:rFonts w:hint="eastAsia" w:ascii="宋体" w:hAnsi="宋体" w:eastAsia="宋体" w:cs="宋体"/>
          <w:b/>
          <w:bCs/>
          <w:color w:val="auto"/>
          <w:kern w:val="2"/>
          <w:sz w:val="24"/>
          <w:highlight w:val="none"/>
        </w:rPr>
        <w:t>、审核时间要求</w:t>
      </w:r>
    </w:p>
    <w:p w14:paraId="442873E5">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乙方应按下表时间完成项目评审，不能在规定时间完成评审，应及时向甲方报告，并说明原因；对甲方提出的需调整计划时间节点的特殊项目，乙方应采取强有力的措施确保在甲方规定的时间完成项目审核。</w:t>
      </w:r>
    </w:p>
    <w:tbl>
      <w:tblPr>
        <w:tblStyle w:val="51"/>
        <w:tblW w:w="8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144"/>
        <w:gridCol w:w="3600"/>
      </w:tblGrid>
      <w:tr w14:paraId="1C8D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350" w:type="dxa"/>
            <w:gridSpan w:val="2"/>
            <w:vAlign w:val="center"/>
          </w:tcPr>
          <w:p w14:paraId="74F3A3DC">
            <w:pPr>
              <w:tabs>
                <w:tab w:val="left" w:pos="0"/>
              </w:tabs>
              <w:spacing w:line="240" w:lineRule="exact"/>
              <w:ind w:firstLine="1050" w:firstLineChars="5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评审项目类型及送审额</w:t>
            </w:r>
          </w:p>
        </w:tc>
        <w:tc>
          <w:tcPr>
            <w:tcW w:w="3600" w:type="dxa"/>
            <w:vAlign w:val="center"/>
          </w:tcPr>
          <w:p w14:paraId="58DEC129">
            <w:pPr>
              <w:tabs>
                <w:tab w:val="left" w:pos="0"/>
              </w:tabs>
              <w:spacing w:line="240" w:lineRule="exact"/>
              <w:ind w:firstLine="840" w:firstLineChars="400"/>
              <w:rPr>
                <w:rFonts w:cs="Helvetica" w:asciiTheme="minorEastAsia" w:hAnsiTheme="minorEastAsia" w:eastAsiaTheme="minorEastAsia"/>
                <w:color w:val="auto"/>
                <w:kern w:val="0"/>
                <w:highlight w:val="none"/>
              </w:rPr>
            </w:pPr>
          </w:p>
        </w:tc>
      </w:tr>
      <w:tr w14:paraId="25B6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206" w:type="dxa"/>
            <w:vAlign w:val="center"/>
          </w:tcPr>
          <w:p w14:paraId="131759A9">
            <w:pPr>
              <w:tabs>
                <w:tab w:val="left" w:pos="0"/>
              </w:tabs>
              <w:spacing w:line="240" w:lineRule="exact"/>
              <w:ind w:firstLine="210" w:firstLineChars="10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概算</w:t>
            </w:r>
          </w:p>
          <w:p w14:paraId="25A55DD8">
            <w:pPr>
              <w:tabs>
                <w:tab w:val="left" w:pos="0"/>
              </w:tabs>
              <w:spacing w:line="240" w:lineRule="exact"/>
              <w:ind w:firstLine="210" w:firstLineChars="10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复核</w:t>
            </w:r>
          </w:p>
        </w:tc>
        <w:tc>
          <w:tcPr>
            <w:tcW w:w="4144" w:type="dxa"/>
            <w:vAlign w:val="center"/>
          </w:tcPr>
          <w:p w14:paraId="75CBE0CC">
            <w:pPr>
              <w:tabs>
                <w:tab w:val="left" w:pos="0"/>
              </w:tabs>
              <w:spacing w:line="240" w:lineRule="exact"/>
              <w:ind w:firstLine="1260" w:firstLineChars="60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所有项目</w:t>
            </w:r>
          </w:p>
        </w:tc>
        <w:tc>
          <w:tcPr>
            <w:tcW w:w="3600" w:type="dxa"/>
            <w:vAlign w:val="center"/>
          </w:tcPr>
          <w:p w14:paraId="48E00872">
            <w:pPr>
              <w:tabs>
                <w:tab w:val="left" w:pos="0"/>
              </w:tabs>
              <w:spacing w:line="240" w:lineRule="exact"/>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从收到完整资料8个工作日</w:t>
            </w:r>
          </w:p>
        </w:tc>
      </w:tr>
      <w:tr w14:paraId="7251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50" w:type="dxa"/>
            <w:gridSpan w:val="2"/>
            <w:vAlign w:val="center"/>
          </w:tcPr>
          <w:p w14:paraId="46F3C60B">
            <w:pPr>
              <w:tabs>
                <w:tab w:val="left" w:pos="0"/>
              </w:tabs>
              <w:spacing w:line="240" w:lineRule="exact"/>
              <w:ind w:firstLine="1050" w:firstLineChars="5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评审项目类型及送审额</w:t>
            </w:r>
          </w:p>
        </w:tc>
        <w:tc>
          <w:tcPr>
            <w:tcW w:w="3600" w:type="dxa"/>
            <w:vAlign w:val="center"/>
          </w:tcPr>
          <w:p w14:paraId="19B93835">
            <w:pPr>
              <w:tabs>
                <w:tab w:val="left" w:pos="0"/>
              </w:tabs>
              <w:spacing w:line="240" w:lineRule="exact"/>
              <w:ind w:firstLine="840" w:firstLineChars="400"/>
              <w:jc w:val="center"/>
              <w:rPr>
                <w:rFonts w:cs="Helvetica" w:asciiTheme="minorEastAsia" w:hAnsiTheme="minorEastAsia" w:eastAsiaTheme="minorEastAsia"/>
                <w:color w:val="auto"/>
                <w:kern w:val="0"/>
                <w:highlight w:val="none"/>
              </w:rPr>
            </w:pPr>
          </w:p>
        </w:tc>
      </w:tr>
      <w:tr w14:paraId="585F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6" w:type="dxa"/>
            <w:vMerge w:val="restart"/>
            <w:vAlign w:val="center"/>
          </w:tcPr>
          <w:p w14:paraId="147FABD9">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结算</w:t>
            </w:r>
          </w:p>
          <w:p w14:paraId="171D73FA">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初核</w:t>
            </w:r>
          </w:p>
        </w:tc>
        <w:tc>
          <w:tcPr>
            <w:tcW w:w="4144" w:type="dxa"/>
            <w:vAlign w:val="center"/>
          </w:tcPr>
          <w:p w14:paraId="3E163372">
            <w:pPr>
              <w:tabs>
                <w:tab w:val="left" w:pos="0"/>
              </w:tabs>
              <w:spacing w:line="240" w:lineRule="exact"/>
              <w:ind w:firstLine="210" w:firstLineChars="100"/>
              <w:jc w:val="center"/>
              <w:rPr>
                <w:rFonts w:cs="Helvetica" w:asciiTheme="minorEastAsia" w:hAnsiTheme="minorEastAsia" w:eastAsiaTheme="minorEastAsia"/>
                <w:color w:val="auto"/>
                <w:kern w:val="0"/>
                <w:highlight w:val="none"/>
                <w:lang w:eastAsia="en-US"/>
              </w:rPr>
            </w:pPr>
            <w:r>
              <w:rPr>
                <w:rFonts w:hint="eastAsia" w:cs="Helvetica" w:asciiTheme="minorEastAsia" w:hAnsiTheme="minorEastAsia" w:eastAsiaTheme="minorEastAsia"/>
                <w:color w:val="auto"/>
                <w:kern w:val="0"/>
                <w:highlight w:val="none"/>
              </w:rPr>
              <w:t>送审1000万元-</w:t>
            </w:r>
            <w:r>
              <w:rPr>
                <w:rFonts w:hint="eastAsia" w:cs="Helvetica" w:asciiTheme="minorEastAsia" w:hAnsiTheme="minorEastAsia" w:eastAsiaTheme="minorEastAsia"/>
                <w:color w:val="auto"/>
                <w:kern w:val="0"/>
                <w:highlight w:val="none"/>
                <w:lang w:val="en-US" w:eastAsia="zh-CN"/>
              </w:rPr>
              <w:t>5</w:t>
            </w:r>
            <w:r>
              <w:rPr>
                <w:rFonts w:hint="eastAsia" w:cs="Helvetica" w:asciiTheme="minorEastAsia" w:hAnsiTheme="minorEastAsia" w:eastAsiaTheme="minorEastAsia"/>
                <w:color w:val="auto"/>
                <w:kern w:val="0"/>
                <w:highlight w:val="none"/>
              </w:rPr>
              <w:t>000万元（含）</w:t>
            </w:r>
          </w:p>
        </w:tc>
        <w:tc>
          <w:tcPr>
            <w:tcW w:w="3600" w:type="dxa"/>
            <w:vAlign w:val="center"/>
          </w:tcPr>
          <w:p w14:paraId="70FAC91C">
            <w:pPr>
              <w:tabs>
                <w:tab w:val="left" w:pos="0"/>
              </w:tabs>
              <w:spacing w:line="240" w:lineRule="exact"/>
              <w:ind w:firstLine="688" w:firstLineChars="328"/>
              <w:jc w:val="both"/>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default" w:cs="Helvetica" w:asciiTheme="minorEastAsia" w:hAnsiTheme="minorEastAsia" w:eastAsiaTheme="minorEastAsia"/>
                <w:color w:val="auto"/>
                <w:kern w:val="0"/>
                <w:highlight w:val="none"/>
                <w:lang w:val="en-US"/>
              </w:rPr>
              <w:t>60</w:t>
            </w:r>
            <w:r>
              <w:rPr>
                <w:rFonts w:hint="eastAsia" w:cs="Helvetica" w:asciiTheme="minorEastAsia" w:hAnsiTheme="minorEastAsia" w:eastAsiaTheme="minorEastAsia"/>
                <w:color w:val="auto"/>
                <w:kern w:val="0"/>
                <w:highlight w:val="none"/>
              </w:rPr>
              <w:t>天</w:t>
            </w:r>
          </w:p>
        </w:tc>
      </w:tr>
      <w:tr w14:paraId="505F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6" w:type="dxa"/>
            <w:vMerge w:val="continue"/>
            <w:vAlign w:val="center"/>
          </w:tcPr>
          <w:p w14:paraId="6651167B">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164F3A2B">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送审额5000万-10000万元（含）</w:t>
            </w:r>
          </w:p>
        </w:tc>
        <w:tc>
          <w:tcPr>
            <w:tcW w:w="3600" w:type="dxa"/>
            <w:vAlign w:val="center"/>
          </w:tcPr>
          <w:p w14:paraId="4C18A890">
            <w:pPr>
              <w:tabs>
                <w:tab w:val="left" w:pos="0"/>
              </w:tabs>
              <w:spacing w:line="240" w:lineRule="exact"/>
              <w:ind w:firstLine="688" w:firstLineChars="328"/>
              <w:jc w:val="both"/>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default" w:cs="Helvetica" w:asciiTheme="minorEastAsia" w:hAnsiTheme="minorEastAsia" w:eastAsiaTheme="minorEastAsia"/>
                <w:color w:val="auto"/>
                <w:kern w:val="0"/>
                <w:highlight w:val="none"/>
                <w:lang w:val="en-US"/>
              </w:rPr>
              <w:t>9</w:t>
            </w:r>
            <w:r>
              <w:rPr>
                <w:rFonts w:hint="eastAsia" w:cs="Helvetica" w:asciiTheme="minorEastAsia" w:hAnsiTheme="minorEastAsia" w:eastAsiaTheme="minorEastAsia"/>
                <w:color w:val="auto"/>
                <w:kern w:val="0"/>
                <w:highlight w:val="none"/>
              </w:rPr>
              <w:t>0天</w:t>
            </w:r>
          </w:p>
        </w:tc>
      </w:tr>
      <w:tr w14:paraId="42EF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6" w:type="dxa"/>
            <w:vMerge w:val="continue"/>
            <w:vAlign w:val="center"/>
          </w:tcPr>
          <w:p w14:paraId="20BF8CD7">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18113FE9">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送审额10000万元-</w:t>
            </w:r>
            <w:r>
              <w:rPr>
                <w:rFonts w:hint="eastAsia" w:cs="Helvetica" w:asciiTheme="minorEastAsia" w:hAnsiTheme="minorEastAsia" w:eastAsiaTheme="minorEastAsia"/>
                <w:color w:val="auto"/>
                <w:kern w:val="0"/>
                <w:highlight w:val="none"/>
                <w:lang w:val="en-US" w:eastAsia="zh-CN"/>
              </w:rPr>
              <w:t>50</w:t>
            </w:r>
            <w:r>
              <w:rPr>
                <w:rFonts w:hint="eastAsia" w:cs="Helvetica" w:asciiTheme="minorEastAsia" w:hAnsiTheme="minorEastAsia" w:eastAsiaTheme="minorEastAsia"/>
                <w:color w:val="auto"/>
                <w:kern w:val="0"/>
                <w:highlight w:val="none"/>
              </w:rPr>
              <w:t>000万元（含）</w:t>
            </w:r>
          </w:p>
        </w:tc>
        <w:tc>
          <w:tcPr>
            <w:tcW w:w="3600" w:type="dxa"/>
            <w:vAlign w:val="center"/>
          </w:tcPr>
          <w:p w14:paraId="17F9BA7C">
            <w:pPr>
              <w:tabs>
                <w:tab w:val="left" w:pos="0"/>
              </w:tabs>
              <w:spacing w:line="240" w:lineRule="exact"/>
              <w:ind w:firstLine="688" w:firstLineChars="328"/>
              <w:jc w:val="both"/>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default" w:cs="Helvetica" w:asciiTheme="minorEastAsia" w:hAnsiTheme="minorEastAsia" w:eastAsiaTheme="minorEastAsia"/>
                <w:color w:val="auto"/>
                <w:kern w:val="0"/>
                <w:highlight w:val="none"/>
                <w:lang w:val="en-US"/>
              </w:rPr>
              <w:t>120</w:t>
            </w:r>
            <w:r>
              <w:rPr>
                <w:rFonts w:hint="eastAsia" w:cs="Helvetica" w:asciiTheme="minorEastAsia" w:hAnsiTheme="minorEastAsia" w:eastAsiaTheme="minorEastAsia"/>
                <w:color w:val="auto"/>
                <w:kern w:val="0"/>
                <w:highlight w:val="none"/>
              </w:rPr>
              <w:t>天</w:t>
            </w:r>
          </w:p>
        </w:tc>
      </w:tr>
      <w:tr w14:paraId="5B2E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6" w:type="dxa"/>
            <w:vMerge w:val="continue"/>
            <w:vAlign w:val="center"/>
          </w:tcPr>
          <w:p w14:paraId="5B10F19D">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4FA775EE">
            <w:pPr>
              <w:tabs>
                <w:tab w:val="left" w:pos="0"/>
              </w:tabs>
              <w:spacing w:line="240" w:lineRule="exact"/>
              <w:ind w:firstLine="480" w:firstLineChars="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w:t>
            </w:r>
            <w:r>
              <w:rPr>
                <w:rFonts w:hint="eastAsia" w:cs="Helvetica" w:asciiTheme="minorEastAsia" w:hAnsiTheme="minorEastAsia" w:eastAsiaTheme="minorEastAsia"/>
                <w:color w:val="auto"/>
                <w:kern w:val="0"/>
                <w:highlight w:val="none"/>
                <w:lang w:val="en-US" w:eastAsia="zh-CN"/>
              </w:rPr>
              <w:t>50</w:t>
            </w:r>
            <w:r>
              <w:rPr>
                <w:rFonts w:hint="eastAsia" w:cs="Helvetica" w:asciiTheme="minorEastAsia" w:hAnsiTheme="minorEastAsia" w:eastAsiaTheme="minorEastAsia"/>
                <w:color w:val="auto"/>
                <w:kern w:val="0"/>
                <w:highlight w:val="none"/>
              </w:rPr>
              <w:t>000万元以上</w:t>
            </w:r>
          </w:p>
        </w:tc>
        <w:tc>
          <w:tcPr>
            <w:tcW w:w="3600" w:type="dxa"/>
            <w:vAlign w:val="center"/>
          </w:tcPr>
          <w:p w14:paraId="7F840934">
            <w:pPr>
              <w:tabs>
                <w:tab w:val="left" w:pos="0"/>
              </w:tabs>
              <w:spacing w:line="240" w:lineRule="exact"/>
              <w:ind w:firstLine="688" w:firstLineChars="328"/>
              <w:jc w:val="both"/>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default" w:cs="Helvetica" w:asciiTheme="minorEastAsia" w:hAnsiTheme="minorEastAsia" w:eastAsiaTheme="minorEastAsia"/>
                <w:color w:val="auto"/>
                <w:kern w:val="0"/>
                <w:highlight w:val="none"/>
                <w:lang w:val="en-US"/>
              </w:rPr>
              <w:t>150</w:t>
            </w:r>
            <w:r>
              <w:rPr>
                <w:rFonts w:hint="eastAsia" w:cs="Helvetica" w:asciiTheme="minorEastAsia" w:hAnsiTheme="minorEastAsia" w:eastAsiaTheme="minorEastAsia"/>
                <w:color w:val="auto"/>
                <w:kern w:val="0"/>
                <w:highlight w:val="none"/>
              </w:rPr>
              <w:t>天</w:t>
            </w:r>
          </w:p>
        </w:tc>
      </w:tr>
      <w:tr w14:paraId="216F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50" w:type="dxa"/>
            <w:gridSpan w:val="3"/>
            <w:vAlign w:val="center"/>
          </w:tcPr>
          <w:p w14:paraId="6578B876">
            <w:pPr>
              <w:tabs>
                <w:tab w:val="left" w:pos="0"/>
              </w:tabs>
              <w:spacing w:line="360" w:lineRule="auto"/>
              <w:ind w:firstLine="480"/>
              <w:rPr>
                <w:rFonts w:hint="eastAsia" w:cs="Helvetica" w:asciiTheme="minorEastAsia" w:hAnsiTheme="minorEastAsia" w:eastAsiaTheme="minorEastAsia"/>
                <w:b/>
                <w:bCs/>
                <w:color w:val="auto"/>
                <w:kern w:val="0"/>
                <w:highlight w:val="none"/>
              </w:rPr>
            </w:pPr>
            <w:r>
              <w:rPr>
                <w:rFonts w:hint="eastAsia" w:cs="Helvetica" w:asciiTheme="minorEastAsia" w:hAnsiTheme="minorEastAsia" w:eastAsiaTheme="minorEastAsia"/>
                <w:b/>
                <w:bCs/>
                <w:color w:val="auto"/>
                <w:kern w:val="0"/>
                <w:highlight w:val="none"/>
              </w:rPr>
              <w:t>注：1.从收到完整的项目资料之日起算，上述审核时限除概算复核为工作日外，其余均为法定节假日除外的日历天。</w:t>
            </w:r>
          </w:p>
          <w:p w14:paraId="55455240">
            <w:pPr>
              <w:tabs>
                <w:tab w:val="left" w:pos="0"/>
              </w:tabs>
              <w:spacing w:line="360" w:lineRule="auto"/>
              <w:ind w:firstLine="48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b/>
                <w:bCs/>
                <w:color w:val="auto"/>
                <w:kern w:val="0"/>
                <w:highlight w:val="none"/>
              </w:rPr>
              <w:t>2.上述审核时限要求是指完成各项目类型所需工作（进入下一个审核环节前所有工作），并上传政府投资项目评审系统。</w:t>
            </w:r>
          </w:p>
        </w:tc>
      </w:tr>
    </w:tbl>
    <w:p w14:paraId="22AC1E9A">
      <w:pPr>
        <w:widowControl/>
        <w:adjustRightInd/>
        <w:snapToGrid w:val="0"/>
        <w:spacing w:line="500" w:lineRule="exact"/>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kern w:val="2"/>
          <w:sz w:val="24"/>
          <w:highlight w:val="none"/>
          <w:lang w:eastAsia="zh-CN"/>
        </w:rPr>
        <w:t>七</w:t>
      </w:r>
      <w:r>
        <w:rPr>
          <w:rFonts w:hint="eastAsia" w:ascii="宋体" w:hAnsi="宋体" w:eastAsia="宋体" w:cs="宋体"/>
          <w:b/>
          <w:bCs/>
          <w:color w:val="auto"/>
          <w:kern w:val="2"/>
          <w:sz w:val="24"/>
          <w:highlight w:val="none"/>
        </w:rPr>
        <w:t>、审核费用及支付</w:t>
      </w:r>
    </w:p>
    <w:p w14:paraId="335D0A1D">
      <w:pPr>
        <w:widowControl/>
        <w:adjustRightInd/>
        <w:snapToGrid w:val="0"/>
        <w:spacing w:line="50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2"/>
          <w:sz w:val="24"/>
          <w:highlight w:val="none"/>
        </w:rPr>
        <w:t>1</w:t>
      </w:r>
      <w:r>
        <w:rPr>
          <w:rFonts w:hint="eastAsia" w:ascii="宋体" w:hAnsi="宋体" w:cs="宋体"/>
          <w:b w:val="0"/>
          <w:bCs w:val="0"/>
          <w:color w:val="auto"/>
          <w:kern w:val="2"/>
          <w:sz w:val="24"/>
          <w:highlight w:val="none"/>
          <w:lang w:eastAsia="zh-CN"/>
        </w:rPr>
        <w:t>、</w:t>
      </w:r>
      <w:r>
        <w:rPr>
          <w:rFonts w:hint="eastAsia" w:ascii="宋体" w:hAnsi="宋体" w:eastAsia="宋体" w:cs="宋体"/>
          <w:b w:val="0"/>
          <w:bCs w:val="0"/>
          <w:color w:val="auto"/>
          <w:kern w:val="2"/>
          <w:sz w:val="24"/>
          <w:highlight w:val="none"/>
        </w:rPr>
        <w:t>基本费具体计费标准如下：</w:t>
      </w:r>
    </w:p>
    <w:p w14:paraId="7A217BF8">
      <w:pPr>
        <w:pStyle w:val="22"/>
        <w:numPr>
          <w:ilvl w:val="255"/>
          <w:numId w:val="0"/>
        </w:numPr>
        <w:spacing w:line="360" w:lineRule="auto"/>
        <w:ind w:left="479" w:leftChars="228"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kern w:val="2"/>
          <w:sz w:val="24"/>
          <w:highlight w:val="none"/>
        </w:rPr>
        <w:t>概算审核的收费</w:t>
      </w:r>
      <w:r>
        <w:rPr>
          <w:rFonts w:hint="eastAsia" w:ascii="宋体" w:hAnsi="宋体" w:eastAsia="宋体" w:cs="宋体"/>
          <w:color w:val="auto"/>
          <w:kern w:val="2"/>
          <w:sz w:val="24"/>
          <w:szCs w:val="24"/>
          <w:highlight w:val="none"/>
          <w:lang w:val="en-US" w:eastAsia="zh-CN" w:bidi="ar-SA"/>
        </w:rPr>
        <w:t>按征集文件《基准收费标准》（附表1）</w:t>
      </w:r>
      <w:r>
        <w:rPr>
          <w:rFonts w:hint="eastAsia" w:cs="宋体"/>
          <w:color w:val="auto"/>
          <w:kern w:val="2"/>
          <w:sz w:val="24"/>
          <w:szCs w:val="24"/>
          <w:highlight w:val="none"/>
          <w:lang w:val="en-US" w:eastAsia="zh-CN" w:bidi="ar-SA"/>
        </w:rPr>
        <w:t>优惠</w:t>
      </w:r>
      <w:r>
        <w:rPr>
          <w:rFonts w:hint="eastAsia" w:ascii="宋体" w:hAnsi="宋体" w:eastAsia="宋体" w:cs="宋体"/>
          <w:color w:val="auto"/>
          <w:kern w:val="2"/>
          <w:sz w:val="24"/>
          <w:szCs w:val="24"/>
          <w:highlight w:val="none"/>
          <w:u w:val="none"/>
          <w:lang w:val="en-US" w:eastAsia="zh-CN" w:bidi="ar-SA"/>
        </w:rPr>
        <w:t xml:space="preserve">   %</w:t>
      </w:r>
      <w:r>
        <w:rPr>
          <w:rFonts w:hint="eastAsia" w:cs="宋体"/>
          <w:color w:val="auto"/>
          <w:kern w:val="2"/>
          <w:sz w:val="24"/>
          <w:szCs w:val="24"/>
          <w:highlight w:val="none"/>
          <w:u w:val="none"/>
          <w:lang w:val="en-US" w:eastAsia="zh-CN" w:bidi="ar-SA"/>
        </w:rPr>
        <w:t>进行</w:t>
      </w:r>
      <w:r>
        <w:rPr>
          <w:rFonts w:hint="eastAsia" w:ascii="宋体" w:hAnsi="宋体" w:eastAsia="宋体" w:cs="宋体"/>
          <w:color w:val="auto"/>
          <w:kern w:val="2"/>
          <w:sz w:val="24"/>
          <w:szCs w:val="24"/>
          <w:highlight w:val="none"/>
          <w:lang w:val="en-US" w:eastAsia="zh-CN" w:bidi="ar-SA"/>
        </w:rPr>
        <w:t>结算</w:t>
      </w:r>
    </w:p>
    <w:p w14:paraId="49F29D01">
      <w:pPr>
        <w:pStyle w:val="22"/>
        <w:numPr>
          <w:ilvl w:val="255"/>
          <w:numId w:val="0"/>
        </w:numPr>
        <w:spacing w:line="360" w:lineRule="auto"/>
        <w:ind w:left="479" w:leftChars="228" w:firstLine="0" w:firstLineChars="0"/>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结算初核的收费</w:t>
      </w:r>
      <w:r>
        <w:rPr>
          <w:rFonts w:hint="eastAsia" w:ascii="宋体" w:hAnsi="宋体" w:eastAsia="宋体" w:cs="宋体"/>
          <w:color w:val="auto"/>
          <w:kern w:val="2"/>
          <w:sz w:val="24"/>
          <w:szCs w:val="24"/>
          <w:highlight w:val="none"/>
          <w:lang w:val="en-US" w:eastAsia="zh-CN" w:bidi="ar-SA"/>
        </w:rPr>
        <w:t>按征集文件《基准收费标准》（附表1）</w:t>
      </w:r>
      <w:r>
        <w:rPr>
          <w:rFonts w:hint="eastAsia" w:cs="宋体"/>
          <w:color w:val="auto"/>
          <w:kern w:val="2"/>
          <w:sz w:val="24"/>
          <w:szCs w:val="24"/>
          <w:highlight w:val="none"/>
          <w:lang w:val="en-US" w:eastAsia="zh-CN" w:bidi="ar-SA"/>
        </w:rPr>
        <w:t>优惠</w:t>
      </w:r>
      <w:r>
        <w:rPr>
          <w:rFonts w:hint="eastAsia" w:ascii="宋体" w:hAnsi="宋体" w:eastAsia="宋体" w:cs="宋体"/>
          <w:color w:val="auto"/>
          <w:kern w:val="2"/>
          <w:sz w:val="24"/>
          <w:szCs w:val="24"/>
          <w:highlight w:val="none"/>
          <w:u w:val="none"/>
          <w:lang w:val="en-US" w:eastAsia="zh-CN" w:bidi="ar-SA"/>
        </w:rPr>
        <w:t xml:space="preserve">   %</w:t>
      </w:r>
      <w:r>
        <w:rPr>
          <w:rFonts w:hint="eastAsia" w:cs="宋体"/>
          <w:color w:val="auto"/>
          <w:kern w:val="2"/>
          <w:sz w:val="24"/>
          <w:szCs w:val="24"/>
          <w:highlight w:val="none"/>
          <w:u w:val="none"/>
          <w:lang w:val="en-US" w:eastAsia="zh-CN" w:bidi="ar-SA"/>
        </w:rPr>
        <w:t>进行</w:t>
      </w:r>
      <w:r>
        <w:rPr>
          <w:rFonts w:hint="eastAsia" w:ascii="宋体" w:hAnsi="宋体" w:eastAsia="宋体" w:cs="宋体"/>
          <w:color w:val="auto"/>
          <w:kern w:val="2"/>
          <w:sz w:val="24"/>
          <w:szCs w:val="24"/>
          <w:highlight w:val="none"/>
          <w:lang w:val="en-US" w:eastAsia="zh-CN" w:bidi="ar-SA"/>
        </w:rPr>
        <w:t>结算</w:t>
      </w:r>
      <w:r>
        <w:rPr>
          <w:rFonts w:hint="eastAsia" w:ascii="宋体" w:hAnsi="宋体" w:eastAsia="宋体" w:cs="宋体"/>
          <w:b w:val="0"/>
          <w:bCs w:val="0"/>
          <w:color w:val="auto"/>
          <w:kern w:val="2"/>
          <w:sz w:val="24"/>
          <w:highlight w:val="none"/>
        </w:rPr>
        <w:t>。</w:t>
      </w:r>
    </w:p>
    <w:p w14:paraId="275995C0">
      <w:pPr>
        <w:widowControl/>
        <w:adjustRightInd/>
        <w:snapToGrid w:val="0"/>
        <w:spacing w:line="500" w:lineRule="exact"/>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2"/>
          <w:sz w:val="24"/>
          <w:highlight w:val="none"/>
        </w:rPr>
        <w:t>2</w:t>
      </w:r>
      <w:r>
        <w:rPr>
          <w:rFonts w:hint="eastAsia" w:ascii="宋体" w:hAnsi="宋体" w:cs="宋体"/>
          <w:b w:val="0"/>
          <w:bCs w:val="0"/>
          <w:color w:val="auto"/>
          <w:kern w:val="2"/>
          <w:sz w:val="24"/>
          <w:highlight w:val="none"/>
          <w:lang w:eastAsia="zh-CN"/>
        </w:rPr>
        <w:t>、</w:t>
      </w:r>
      <w:r>
        <w:rPr>
          <w:rFonts w:hint="eastAsia" w:ascii="宋体" w:hAnsi="宋体" w:eastAsia="宋体" w:cs="宋体"/>
          <w:b w:val="0"/>
          <w:bCs w:val="0"/>
          <w:color w:val="auto"/>
          <w:kern w:val="2"/>
          <w:sz w:val="24"/>
          <w:highlight w:val="none"/>
        </w:rPr>
        <w:t>结算初核具体计费标准如下：</w:t>
      </w:r>
    </w:p>
    <w:p w14:paraId="4DCB7998">
      <w:pPr>
        <w:widowControl/>
        <w:adjustRightInd/>
        <w:snapToGrid w:val="0"/>
        <w:spacing w:line="500" w:lineRule="exact"/>
        <w:ind w:firstLine="480" w:firstLineChars="200"/>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追加费按</w:t>
      </w:r>
      <w:r>
        <w:rPr>
          <w:rFonts w:hint="eastAsia" w:ascii="宋体" w:hAnsi="宋体" w:eastAsia="宋体" w:cs="宋体"/>
          <w:b w:val="0"/>
          <w:bCs w:val="0"/>
          <w:color w:val="auto"/>
          <w:sz w:val="24"/>
          <w:highlight w:val="none"/>
        </w:rPr>
        <w:t>招标文件《</w:t>
      </w:r>
      <w:r>
        <w:rPr>
          <w:rFonts w:hint="eastAsia" w:ascii="宋体" w:hAnsi="宋体" w:eastAsia="宋体" w:cs="宋体"/>
          <w:b w:val="0"/>
          <w:bCs w:val="0"/>
          <w:color w:val="auto"/>
          <w:kern w:val="2"/>
          <w:sz w:val="24"/>
          <w:highlight w:val="none"/>
        </w:rPr>
        <w:t>基准收费标准</w:t>
      </w:r>
      <w:r>
        <w:rPr>
          <w:rFonts w:hint="eastAsia" w:ascii="宋体" w:hAnsi="宋体" w:eastAsia="宋体" w:cs="宋体"/>
          <w:b w:val="0"/>
          <w:bCs w:val="0"/>
          <w:color w:val="auto"/>
          <w:sz w:val="24"/>
          <w:highlight w:val="none"/>
        </w:rPr>
        <w:t>》（附表1）的</w:t>
      </w:r>
      <w:r>
        <w:rPr>
          <w:rFonts w:hint="eastAsia" w:ascii="宋体" w:hAnsi="宋体" w:eastAsia="宋体" w:cs="宋体"/>
          <w:b w:val="0"/>
          <w:bCs w:val="0"/>
          <w:color w:val="auto"/>
          <w:kern w:val="2"/>
          <w:sz w:val="24"/>
          <w:highlight w:val="none"/>
        </w:rPr>
        <w:t>规定计取，若初、复核（或全面复核）的追加费总额超出项目追加费的，以项目追加费为上限，同时优先保障复核单位的追加费。</w:t>
      </w:r>
    </w:p>
    <w:p w14:paraId="7B515459">
      <w:pPr>
        <w:widowControl/>
        <w:adjustRightInd/>
        <w:snapToGrid w:val="0"/>
        <w:spacing w:line="500" w:lineRule="exact"/>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 xml:space="preserve">项目追加费=[(核减额-送审额*5%）]*5% +核增额*5% </w:t>
      </w:r>
    </w:p>
    <w:p w14:paraId="34A52199">
      <w:pPr>
        <w:widowControl/>
        <w:adjustRightInd/>
        <w:snapToGrid w:val="0"/>
        <w:spacing w:line="500" w:lineRule="exact"/>
        <w:jc w:val="left"/>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若公式中核减额-送审额*5%≤0时，核减部分追加费按0计取，不与核增部分进行抵销。</w:t>
      </w:r>
    </w:p>
    <w:p w14:paraId="34E52114">
      <w:pPr>
        <w:widowControl/>
        <w:adjustRightInd/>
        <w:snapToGrid w:val="0"/>
        <w:spacing w:line="500" w:lineRule="exact"/>
        <w:ind w:left="210" w:leftChars="100" w:firstLine="480" w:firstLineChars="200"/>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 xml:space="preserve">  应付结算审价费=基本审价费+追加审价费</w:t>
      </w:r>
    </w:p>
    <w:p w14:paraId="4FD836D8">
      <w:pPr>
        <w:widowControl/>
        <w:adjustRightInd/>
        <w:snapToGrid w:val="0"/>
        <w:spacing w:line="500" w:lineRule="exact"/>
        <w:ind w:firstLine="480" w:firstLineChars="200"/>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3</w:t>
      </w:r>
      <w:r>
        <w:rPr>
          <w:rFonts w:hint="eastAsia" w:ascii="宋体" w:hAnsi="宋体" w:cs="宋体"/>
          <w:b w:val="0"/>
          <w:bCs w:val="0"/>
          <w:color w:val="auto"/>
          <w:kern w:val="2"/>
          <w:sz w:val="24"/>
          <w:highlight w:val="none"/>
          <w:lang w:eastAsia="zh-CN"/>
        </w:rPr>
        <w:t>、</w:t>
      </w:r>
      <w:r>
        <w:rPr>
          <w:rFonts w:hint="eastAsia" w:ascii="宋体" w:hAnsi="宋体" w:eastAsia="宋体" w:cs="宋体"/>
          <w:b w:val="0"/>
          <w:bCs w:val="0"/>
          <w:color w:val="auto"/>
          <w:kern w:val="2"/>
          <w:sz w:val="24"/>
          <w:highlight w:val="none"/>
        </w:rPr>
        <w:t>当审核误差率≤对应的承诺误差率，不扣应付审价费；当承诺误差率&lt;审核误差率≤规定的审核综合误差率，按应付审价费的</w:t>
      </w:r>
      <w:r>
        <w:rPr>
          <w:rFonts w:hint="eastAsia" w:ascii="宋体" w:hAnsi="宋体" w:cs="宋体"/>
          <w:b w:val="0"/>
          <w:bCs w:val="0"/>
          <w:color w:val="auto"/>
          <w:sz w:val="24"/>
          <w:highlight w:val="none"/>
          <w:u w:val="none"/>
          <w:lang w:val="en-US" w:eastAsia="zh-CN"/>
        </w:rPr>
        <w:t>30%</w:t>
      </w:r>
      <w:r>
        <w:rPr>
          <w:rFonts w:hint="eastAsia" w:ascii="宋体" w:hAnsi="宋体" w:eastAsia="宋体" w:cs="宋体"/>
          <w:b w:val="0"/>
          <w:bCs w:val="0"/>
          <w:color w:val="auto"/>
          <w:kern w:val="2"/>
          <w:sz w:val="24"/>
          <w:highlight w:val="none"/>
        </w:rPr>
        <w:t>计算；审核误差率&gt;规定的审核综合误差率，全额扣减应付审价费。</w:t>
      </w:r>
    </w:p>
    <w:p w14:paraId="64D1C3A8">
      <w:pPr>
        <w:widowControl/>
        <w:adjustRightInd/>
        <w:snapToGrid w:val="0"/>
        <w:spacing w:line="500" w:lineRule="exact"/>
        <w:ind w:firstLine="480" w:firstLineChars="200"/>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综合误差率是指因工程量计算错误、单价取定和调整错误、措施项目计算和调整错误、其他项目及规费和税金取定、计算错误等累计误差与修正后的结算审查结论性总额的比率。上述所指的累计误差是核增额与核减额的绝对值的累加。</w:t>
      </w:r>
    </w:p>
    <w:p w14:paraId="140F77A4">
      <w:pPr>
        <w:keepNext w:val="0"/>
        <w:keepLines w:val="0"/>
        <w:pageBreakBefore w:val="0"/>
        <w:widowControl/>
        <w:kinsoku/>
        <w:wordWrap/>
        <w:overflowPunct/>
        <w:topLinePunct w:val="0"/>
        <w:autoSpaceDE/>
        <w:autoSpaceDN/>
        <w:bidi w:val="0"/>
        <w:adjustRightInd/>
        <w:snapToGrid w:val="0"/>
        <w:spacing w:line="500" w:lineRule="exact"/>
        <w:ind w:firstLine="480" w:firstLineChars="200"/>
        <w:textAlignment w:val="auto"/>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规定的概算审核综合误差率为</w:t>
      </w:r>
      <w:r>
        <w:rPr>
          <w:rFonts w:hint="eastAsia" w:ascii="宋体" w:hAnsi="宋体" w:eastAsia="宋体" w:cs="宋体"/>
          <w:b w:val="0"/>
          <w:bCs w:val="0"/>
          <w:color w:val="auto"/>
          <w:kern w:val="2"/>
          <w:sz w:val="24"/>
          <w:highlight w:val="none"/>
          <w:lang w:val="en-US" w:eastAsia="zh-CN"/>
        </w:rPr>
        <w:t>8</w:t>
      </w:r>
      <w:r>
        <w:rPr>
          <w:rFonts w:hint="eastAsia" w:ascii="宋体" w:hAnsi="宋体" w:eastAsia="宋体" w:cs="宋体"/>
          <w:b w:val="0"/>
          <w:bCs w:val="0"/>
          <w:color w:val="auto"/>
          <w:kern w:val="2"/>
          <w:sz w:val="24"/>
          <w:highlight w:val="none"/>
        </w:rPr>
        <w:t>%</w:t>
      </w:r>
    </w:p>
    <w:p w14:paraId="2AEA4D8B">
      <w:pPr>
        <w:pStyle w:val="63"/>
        <w:keepNext w:val="0"/>
        <w:keepLines w:val="0"/>
        <w:pageBreakBefore w:val="0"/>
        <w:widowControl/>
        <w:kinsoku/>
        <w:wordWrap/>
        <w:overflowPunct/>
        <w:topLinePunct w:val="0"/>
        <w:autoSpaceDE/>
        <w:autoSpaceDN/>
        <w:bidi w:val="0"/>
        <w:adjustRightInd/>
        <w:spacing w:line="500" w:lineRule="exact"/>
        <w:textAlignment w:val="auto"/>
        <w:rPr>
          <w:rFonts w:hint="eastAsia" w:ascii="宋体" w:hAnsi="宋体" w:eastAsia="宋体" w:cs="宋体"/>
          <w:b w:val="0"/>
          <w:bCs w:val="0"/>
          <w:color w:val="auto"/>
          <w:sz w:val="24"/>
          <w:highlight w:val="none"/>
        </w:rPr>
      </w:pPr>
      <w:r>
        <w:rPr>
          <w:rFonts w:hint="eastAsia" w:cs="宋体"/>
          <w:b w:val="0"/>
          <w:bCs w:val="0"/>
          <w:color w:val="auto"/>
          <w:kern w:val="2"/>
          <w:sz w:val="24"/>
          <w:highlight w:val="none"/>
          <w:lang w:val="en-US" w:eastAsia="zh-CN"/>
        </w:rPr>
        <w:t xml:space="preserve">    </w:t>
      </w:r>
      <w:r>
        <w:rPr>
          <w:rFonts w:hint="eastAsia" w:ascii="宋体" w:hAnsi="宋体" w:eastAsia="宋体" w:cs="宋体"/>
          <w:b w:val="0"/>
          <w:bCs w:val="0"/>
          <w:color w:val="auto"/>
          <w:kern w:val="2"/>
          <w:sz w:val="24"/>
          <w:highlight w:val="none"/>
        </w:rPr>
        <w:t>规定的结算审核综合误差率为3%</w:t>
      </w:r>
    </w:p>
    <w:p w14:paraId="5824F8FF">
      <w:pPr>
        <w:widowControl/>
        <w:adjustRightInd/>
        <w:snapToGrid w:val="0"/>
        <w:spacing w:line="500" w:lineRule="exact"/>
        <w:ind w:firstLine="480" w:firstLineChars="200"/>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4</w:t>
      </w:r>
      <w:r>
        <w:rPr>
          <w:rFonts w:hint="eastAsia" w:ascii="宋体" w:hAnsi="宋体" w:cs="宋体"/>
          <w:b w:val="0"/>
          <w:bCs w:val="0"/>
          <w:color w:val="auto"/>
          <w:kern w:val="2"/>
          <w:sz w:val="24"/>
          <w:highlight w:val="none"/>
          <w:lang w:eastAsia="zh-CN"/>
        </w:rPr>
        <w:t>、</w:t>
      </w:r>
      <w:r>
        <w:rPr>
          <w:rFonts w:hint="eastAsia" w:ascii="宋体" w:hAnsi="宋体" w:eastAsia="宋体" w:cs="宋体"/>
          <w:b w:val="0"/>
          <w:bCs w:val="0"/>
          <w:color w:val="auto"/>
          <w:kern w:val="2"/>
          <w:sz w:val="24"/>
          <w:highlight w:val="none"/>
        </w:rPr>
        <w:t>评审费由甲方支付，按</w:t>
      </w:r>
      <w:r>
        <w:rPr>
          <w:rFonts w:hint="eastAsia" w:ascii="宋体" w:hAnsi="宋体" w:eastAsia="宋体" w:cs="宋体"/>
          <w:b w:val="0"/>
          <w:bCs w:val="0"/>
          <w:color w:val="auto"/>
          <w:kern w:val="2"/>
          <w:sz w:val="24"/>
          <w:highlight w:val="none"/>
          <w:lang w:val="en-US" w:eastAsia="zh-CN"/>
        </w:rPr>
        <w:t>季</w:t>
      </w:r>
      <w:r>
        <w:rPr>
          <w:rFonts w:hint="eastAsia" w:ascii="宋体" w:hAnsi="宋体" w:eastAsia="宋体" w:cs="宋体"/>
          <w:b w:val="0"/>
          <w:bCs w:val="0"/>
          <w:color w:val="auto"/>
          <w:kern w:val="2"/>
          <w:sz w:val="24"/>
          <w:highlight w:val="none"/>
        </w:rPr>
        <w:t>支付，</w:t>
      </w:r>
      <w:r>
        <w:rPr>
          <w:rFonts w:hint="eastAsia" w:ascii="宋体" w:hAnsi="宋体" w:eastAsia="宋体" w:cs="宋体"/>
          <w:b w:val="0"/>
          <w:bCs w:val="0"/>
          <w:snapToGrid/>
          <w:color w:val="auto"/>
          <w:kern w:val="2"/>
          <w:sz w:val="24"/>
          <w:szCs w:val="24"/>
          <w:highlight w:val="none"/>
          <w:lang w:val="en-US" w:eastAsia="zh-CN" w:bidi="ar-SA"/>
        </w:rPr>
        <w:t>具体付费时间按区财政局年度预算安排为准，其中代收代缴部分以实际上缴时间为准。</w:t>
      </w:r>
      <w:r>
        <w:rPr>
          <w:rFonts w:hint="eastAsia" w:ascii="宋体" w:hAnsi="宋体" w:eastAsia="宋体" w:cs="宋体"/>
          <w:b w:val="0"/>
          <w:bCs w:val="0"/>
          <w:color w:val="auto"/>
          <w:kern w:val="2"/>
          <w:sz w:val="24"/>
          <w:highlight w:val="none"/>
        </w:rPr>
        <w:t>乙方不得再向其他单位收取任何费用。甲方付款前，乙方应当向甲方开具相应金额的符合甲方要求的增值税发票，税费已包含在</w:t>
      </w:r>
      <w:r>
        <w:rPr>
          <w:rFonts w:hint="eastAsia" w:ascii="宋体" w:hAnsi="宋体" w:eastAsia="宋体" w:cs="宋体"/>
          <w:b w:val="0"/>
          <w:bCs w:val="0"/>
          <w:color w:val="auto"/>
          <w:kern w:val="2"/>
          <w:sz w:val="24"/>
          <w:highlight w:val="none"/>
          <w:lang w:val="en-US" w:eastAsia="zh-CN"/>
        </w:rPr>
        <w:t>审价</w:t>
      </w:r>
      <w:r>
        <w:rPr>
          <w:rFonts w:hint="eastAsia" w:ascii="宋体" w:hAnsi="宋体" w:eastAsia="宋体" w:cs="宋体"/>
          <w:b w:val="0"/>
          <w:bCs w:val="0"/>
          <w:color w:val="auto"/>
          <w:kern w:val="2"/>
          <w:sz w:val="24"/>
          <w:highlight w:val="none"/>
        </w:rPr>
        <w:t>费内。</w:t>
      </w:r>
    </w:p>
    <w:p w14:paraId="6813C17E">
      <w:pPr>
        <w:widowControl/>
        <w:adjustRightInd/>
        <w:snapToGrid w:val="0"/>
        <w:spacing w:line="500" w:lineRule="exact"/>
        <w:ind w:firstLine="480" w:firstLineChars="200"/>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5</w:t>
      </w:r>
      <w:r>
        <w:rPr>
          <w:rFonts w:hint="eastAsia" w:ascii="宋体" w:hAnsi="宋体" w:cs="宋体"/>
          <w:b w:val="0"/>
          <w:bCs w:val="0"/>
          <w:color w:val="auto"/>
          <w:kern w:val="2"/>
          <w:sz w:val="24"/>
          <w:highlight w:val="none"/>
          <w:lang w:eastAsia="zh-CN"/>
        </w:rPr>
        <w:t>、</w:t>
      </w:r>
      <w:r>
        <w:rPr>
          <w:rFonts w:hint="eastAsia" w:ascii="宋体" w:hAnsi="宋体" w:eastAsia="宋体" w:cs="宋体"/>
          <w:b w:val="0"/>
          <w:bCs w:val="0"/>
          <w:color w:val="auto"/>
          <w:kern w:val="2"/>
          <w:sz w:val="24"/>
          <w:highlight w:val="none"/>
        </w:rPr>
        <w:t>如遇国家政策调整，审核费另行确定。</w:t>
      </w:r>
    </w:p>
    <w:p w14:paraId="0CFD0499">
      <w:pPr>
        <w:widowControl/>
        <w:adjustRightInd/>
        <w:snapToGrid w:val="0"/>
        <w:spacing w:line="500" w:lineRule="exact"/>
        <w:ind w:left="480" w:firstLine="482" w:firstLineChars="200"/>
        <w:rPr>
          <w:rFonts w:hint="eastAsia" w:ascii="宋体" w:hAnsi="宋体" w:eastAsia="宋体" w:cs="宋体"/>
          <w:b/>
          <w:bCs/>
          <w:color w:val="auto"/>
          <w:kern w:val="2"/>
          <w:sz w:val="24"/>
          <w:highlight w:val="none"/>
        </w:rPr>
      </w:pPr>
      <w:r>
        <w:rPr>
          <w:rFonts w:hint="eastAsia" w:ascii="宋体" w:hAnsi="宋体" w:eastAsia="宋体" w:cs="宋体"/>
          <w:b/>
          <w:bCs/>
          <w:color w:val="auto"/>
          <w:kern w:val="2"/>
          <w:sz w:val="24"/>
          <w:highlight w:val="none"/>
          <w:lang w:eastAsia="zh-CN"/>
        </w:rPr>
        <w:t>八</w:t>
      </w:r>
      <w:r>
        <w:rPr>
          <w:rFonts w:hint="eastAsia" w:ascii="宋体" w:hAnsi="宋体" w:eastAsia="宋体" w:cs="宋体"/>
          <w:b/>
          <w:bCs/>
          <w:color w:val="auto"/>
          <w:kern w:val="2"/>
          <w:sz w:val="24"/>
          <w:highlight w:val="none"/>
        </w:rPr>
        <w:t>、违约责任</w:t>
      </w:r>
    </w:p>
    <w:p w14:paraId="03150462">
      <w:pPr>
        <w:widowControl/>
        <w:adjustRightInd/>
        <w:snapToGrid w:val="0"/>
        <w:spacing w:line="500" w:lineRule="exact"/>
        <w:ind w:firstLine="480" w:firstLineChars="200"/>
        <w:rPr>
          <w:rFonts w:hint="eastAsia" w:ascii="宋体" w:hAnsi="宋体" w:eastAsia="宋体" w:cs="宋体"/>
          <w:b w:val="0"/>
          <w:bCs w:val="0"/>
          <w:color w:val="auto"/>
          <w:kern w:val="2"/>
          <w:sz w:val="24"/>
          <w:highlight w:val="none"/>
        </w:rPr>
      </w:pPr>
      <w:r>
        <w:rPr>
          <w:rFonts w:hint="eastAsia" w:ascii="宋体" w:hAnsi="宋体" w:eastAsia="宋体" w:cs="宋体"/>
          <w:b w:val="0"/>
          <w:bCs w:val="0"/>
          <w:color w:val="auto"/>
          <w:kern w:val="2"/>
          <w:sz w:val="24"/>
          <w:highlight w:val="none"/>
        </w:rPr>
        <w:t>1</w:t>
      </w:r>
      <w:r>
        <w:rPr>
          <w:rFonts w:hint="eastAsia" w:ascii="宋体" w:hAnsi="宋体" w:cs="宋体"/>
          <w:b w:val="0"/>
          <w:bCs w:val="0"/>
          <w:color w:val="auto"/>
          <w:kern w:val="2"/>
          <w:sz w:val="24"/>
          <w:highlight w:val="none"/>
          <w:lang w:eastAsia="zh-CN"/>
        </w:rPr>
        <w:t>、</w:t>
      </w:r>
      <w:r>
        <w:rPr>
          <w:rFonts w:hint="eastAsia" w:ascii="宋体" w:hAnsi="宋体" w:eastAsia="宋体" w:cs="宋体"/>
          <w:b w:val="0"/>
          <w:bCs w:val="0"/>
          <w:color w:val="auto"/>
          <w:kern w:val="2"/>
          <w:sz w:val="24"/>
          <w:highlight w:val="none"/>
        </w:rPr>
        <w:t>因乙方原因导致审核结果有严重错误或者审核人员滥用职权、徇私舞弊、玩忽职守，造成甲方经济损失的，甲方有权提前解除本协议，不予支付相应审</w:t>
      </w:r>
      <w:r>
        <w:rPr>
          <w:rFonts w:hint="eastAsia" w:ascii="宋体" w:hAnsi="宋体" w:eastAsia="宋体" w:cs="宋体"/>
          <w:b w:val="0"/>
          <w:bCs w:val="0"/>
          <w:color w:val="auto"/>
          <w:kern w:val="2"/>
          <w:sz w:val="24"/>
          <w:highlight w:val="none"/>
          <w:lang w:val="en-US" w:eastAsia="zh-CN"/>
        </w:rPr>
        <w:t>价</w:t>
      </w:r>
      <w:r>
        <w:rPr>
          <w:rFonts w:hint="eastAsia" w:ascii="宋体" w:hAnsi="宋体" w:eastAsia="宋体" w:cs="宋体"/>
          <w:b w:val="0"/>
          <w:bCs w:val="0"/>
          <w:color w:val="auto"/>
          <w:kern w:val="2"/>
          <w:sz w:val="24"/>
          <w:highlight w:val="none"/>
        </w:rPr>
        <w:t>费，同时乙方应承担相应的经济损失。</w:t>
      </w:r>
    </w:p>
    <w:p w14:paraId="7DAFADE1">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2</w:t>
      </w:r>
      <w:r>
        <w:rPr>
          <w:rFonts w:hint="eastAsia" w:ascii="宋体" w:hAnsi="宋体" w:cs="宋体"/>
          <w:color w:val="auto"/>
          <w:kern w:val="2"/>
          <w:sz w:val="24"/>
          <w:highlight w:val="none"/>
          <w:lang w:eastAsia="zh-CN"/>
        </w:rPr>
        <w:t>、</w:t>
      </w:r>
      <w:r>
        <w:rPr>
          <w:rFonts w:hint="eastAsia" w:ascii="宋体" w:hAnsi="宋体" w:eastAsia="宋体" w:cs="宋体"/>
          <w:color w:val="auto"/>
          <w:kern w:val="2"/>
          <w:sz w:val="24"/>
          <w:highlight w:val="none"/>
        </w:rPr>
        <w:t>乙方如擅自毁约，甲方有权视情况提请有关部门取消其承接钱塘新区审核业务的资格，并要求乙方承担甲方的相应损失。</w:t>
      </w:r>
    </w:p>
    <w:p w14:paraId="6D82AB66">
      <w:pPr>
        <w:widowControl/>
        <w:adjustRightInd/>
        <w:snapToGrid w:val="0"/>
        <w:spacing w:line="500" w:lineRule="exact"/>
        <w:ind w:firstLine="482" w:firstLineChars="200"/>
        <w:rPr>
          <w:rFonts w:hint="eastAsia" w:ascii="宋体" w:hAnsi="宋体" w:eastAsia="宋体" w:cs="宋体"/>
          <w:b/>
          <w:bCs/>
          <w:color w:val="auto"/>
          <w:kern w:val="2"/>
          <w:sz w:val="24"/>
          <w:highlight w:val="none"/>
        </w:rPr>
      </w:pPr>
      <w:r>
        <w:rPr>
          <w:rFonts w:hint="eastAsia" w:ascii="宋体" w:hAnsi="宋体" w:eastAsia="宋体" w:cs="宋体"/>
          <w:b/>
          <w:bCs/>
          <w:color w:val="auto"/>
          <w:kern w:val="2"/>
          <w:sz w:val="24"/>
          <w:highlight w:val="none"/>
          <w:lang w:eastAsia="zh-CN"/>
        </w:rPr>
        <w:t>九</w:t>
      </w:r>
      <w:r>
        <w:rPr>
          <w:rFonts w:hint="eastAsia" w:ascii="宋体" w:hAnsi="宋体" w:eastAsia="宋体" w:cs="宋体"/>
          <w:b/>
          <w:bCs/>
          <w:color w:val="auto"/>
          <w:kern w:val="2"/>
          <w:sz w:val="24"/>
          <w:highlight w:val="none"/>
        </w:rPr>
        <w:t>、其它</w:t>
      </w:r>
    </w:p>
    <w:p w14:paraId="55984413">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1</w:t>
      </w:r>
      <w:r>
        <w:rPr>
          <w:rFonts w:hint="eastAsia" w:ascii="宋体" w:hAnsi="宋体" w:cs="宋体"/>
          <w:color w:val="auto"/>
          <w:kern w:val="2"/>
          <w:sz w:val="24"/>
          <w:highlight w:val="none"/>
          <w:lang w:eastAsia="zh-CN"/>
        </w:rPr>
        <w:t>、</w:t>
      </w:r>
      <w:r>
        <w:rPr>
          <w:rFonts w:hint="eastAsia" w:ascii="宋体" w:hAnsi="宋体" w:eastAsia="宋体" w:cs="宋体"/>
          <w:color w:val="auto"/>
          <w:kern w:val="2"/>
          <w:sz w:val="24"/>
          <w:highlight w:val="none"/>
        </w:rPr>
        <w:t>本项目为财政部门授权甲方组织政府投资项目委托评审工作，对委托评审的质量及其他履约情况进行考核，乙方应当遵守《钱塘区限额以上政府投资项目委托评审管理细则》（钱评审发〔202</w:t>
      </w:r>
      <w:r>
        <w:rPr>
          <w:rFonts w:hint="eastAsia" w:ascii="宋体" w:hAnsi="宋体" w:cs="宋体"/>
          <w:color w:val="auto"/>
          <w:kern w:val="2"/>
          <w:sz w:val="24"/>
          <w:highlight w:val="none"/>
          <w:lang w:val="en-US" w:eastAsia="zh-CN"/>
        </w:rPr>
        <w:t>4</w:t>
      </w:r>
      <w:r>
        <w:rPr>
          <w:rFonts w:hint="eastAsia" w:ascii="宋体" w:hAnsi="宋体" w:eastAsia="宋体" w:cs="宋体"/>
          <w:color w:val="auto"/>
          <w:kern w:val="2"/>
          <w:sz w:val="24"/>
          <w:highlight w:val="none"/>
        </w:rPr>
        <w:t>〕1号）</w:t>
      </w:r>
      <w:r>
        <w:rPr>
          <w:rFonts w:hint="eastAsia" w:ascii="宋体" w:hAnsi="宋体" w:cs="宋体"/>
          <w:color w:val="auto"/>
          <w:kern w:val="2"/>
          <w:sz w:val="24"/>
          <w:highlight w:val="none"/>
          <w:lang w:eastAsia="zh-CN"/>
        </w:rPr>
        <w:t>（注：有新文件出台，按新文件）</w:t>
      </w:r>
      <w:r>
        <w:rPr>
          <w:rFonts w:hint="eastAsia" w:ascii="宋体" w:hAnsi="宋体" w:eastAsia="宋体" w:cs="宋体"/>
          <w:color w:val="auto"/>
          <w:kern w:val="2"/>
          <w:sz w:val="24"/>
          <w:highlight w:val="none"/>
        </w:rPr>
        <w:t>有关中介机构的相关规定。乙方违反相关规定的，甲方或财政部门有权按规定直接追究乙方相应责任。本协议内容与上级文件规定不一致的，双方同意按上级文件规定执行。</w:t>
      </w:r>
    </w:p>
    <w:p w14:paraId="563CC670">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lang w:val="en-US" w:eastAsia="zh-CN"/>
        </w:rPr>
        <w:t>2</w:t>
      </w:r>
      <w:r>
        <w:rPr>
          <w:rFonts w:hint="eastAsia" w:ascii="宋体" w:hAnsi="宋体" w:cs="宋体"/>
          <w:color w:val="auto"/>
          <w:kern w:val="2"/>
          <w:sz w:val="24"/>
          <w:highlight w:val="none"/>
          <w:lang w:eastAsia="zh-CN"/>
        </w:rPr>
        <w:t>、</w:t>
      </w:r>
      <w:r>
        <w:rPr>
          <w:rFonts w:hint="eastAsia" w:ascii="宋体" w:hAnsi="宋体" w:eastAsia="宋体" w:cs="宋体"/>
          <w:color w:val="auto"/>
          <w:kern w:val="2"/>
          <w:sz w:val="24"/>
          <w:highlight w:val="none"/>
        </w:rPr>
        <w:t>本协议未尽的事宜，均遵照国家有关法律、法规，双方另行协商议定补充条款。</w:t>
      </w:r>
    </w:p>
    <w:p w14:paraId="04F268F7">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lang w:val="en-US" w:eastAsia="zh-CN"/>
        </w:rPr>
        <w:t>3</w:t>
      </w:r>
      <w:r>
        <w:rPr>
          <w:rFonts w:hint="eastAsia" w:ascii="宋体" w:hAnsi="宋体" w:cs="宋体"/>
          <w:color w:val="auto"/>
          <w:kern w:val="2"/>
          <w:sz w:val="24"/>
          <w:highlight w:val="none"/>
          <w:lang w:eastAsia="zh-CN"/>
        </w:rPr>
        <w:t>、</w:t>
      </w:r>
      <w:r>
        <w:rPr>
          <w:rFonts w:hint="eastAsia" w:ascii="宋体" w:hAnsi="宋体" w:eastAsia="宋体" w:cs="宋体"/>
          <w:color w:val="auto"/>
          <w:kern w:val="2"/>
          <w:sz w:val="24"/>
          <w:highlight w:val="none"/>
        </w:rPr>
        <w:t>本</w:t>
      </w:r>
      <w:r>
        <w:rPr>
          <w:rFonts w:hint="eastAsia" w:ascii="宋体" w:hAnsi="宋体" w:eastAsia="宋体" w:cs="宋体"/>
          <w:color w:val="auto"/>
          <w:kern w:val="2"/>
          <w:sz w:val="24"/>
          <w:highlight w:val="none"/>
          <w:lang w:val="en-US" w:eastAsia="zh-CN"/>
        </w:rPr>
        <w:t>协议</w:t>
      </w:r>
      <w:r>
        <w:rPr>
          <w:rFonts w:hint="eastAsia" w:ascii="宋体" w:hAnsi="宋体" w:eastAsia="宋体" w:cs="宋体"/>
          <w:color w:val="auto"/>
          <w:kern w:val="2"/>
          <w:sz w:val="24"/>
          <w:highlight w:val="none"/>
        </w:rPr>
        <w:t>履行过程中发生的任何争议，双方当事人</w:t>
      </w:r>
      <w:r>
        <w:rPr>
          <w:rFonts w:hint="eastAsia" w:ascii="宋体" w:hAnsi="宋体" w:eastAsia="宋体" w:cs="宋体"/>
          <w:color w:val="auto"/>
          <w:kern w:val="2"/>
          <w:sz w:val="24"/>
          <w:szCs w:val="24"/>
          <w:highlight w:val="none"/>
          <w:lang w:val="en-US" w:eastAsia="zh-CN" w:bidi="ar-SA"/>
        </w:rPr>
        <w:t>可进行协商；协商不成的，任何一方可</w:t>
      </w:r>
      <w:r>
        <w:rPr>
          <w:rFonts w:hint="eastAsia" w:ascii="宋体" w:hAnsi="宋体" w:eastAsia="宋体" w:cs="宋体"/>
          <w:color w:val="auto"/>
          <w:kern w:val="2"/>
          <w:sz w:val="24"/>
          <w:highlight w:val="none"/>
        </w:rPr>
        <w:t>向甲方所在地有管辖权的人民法院起诉。</w:t>
      </w:r>
    </w:p>
    <w:p w14:paraId="14A0ECB4">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lang w:val="en-US" w:eastAsia="zh-CN"/>
        </w:rPr>
        <w:t>4</w:t>
      </w:r>
      <w:r>
        <w:rPr>
          <w:rFonts w:hint="eastAsia" w:ascii="宋体" w:hAnsi="宋体" w:cs="宋体"/>
          <w:color w:val="auto"/>
          <w:kern w:val="2"/>
          <w:sz w:val="24"/>
          <w:highlight w:val="none"/>
          <w:lang w:val="en-US" w:eastAsia="zh-CN"/>
        </w:rPr>
        <w:t>、</w:t>
      </w:r>
      <w:r>
        <w:rPr>
          <w:rFonts w:hint="eastAsia" w:ascii="宋体" w:hAnsi="宋体" w:eastAsia="宋体" w:cs="宋体"/>
          <w:color w:val="auto"/>
          <w:kern w:val="2"/>
          <w:sz w:val="24"/>
          <w:highlight w:val="none"/>
        </w:rPr>
        <w:t>本</w:t>
      </w:r>
      <w:r>
        <w:rPr>
          <w:rFonts w:hint="eastAsia" w:ascii="宋体" w:hAnsi="宋体" w:eastAsia="宋体" w:cs="宋体"/>
          <w:color w:val="auto"/>
          <w:kern w:val="2"/>
          <w:sz w:val="24"/>
          <w:highlight w:val="none"/>
          <w:lang w:val="en-US" w:eastAsia="zh-CN"/>
        </w:rPr>
        <w:t>协议</w:t>
      </w:r>
      <w:r>
        <w:rPr>
          <w:rFonts w:hint="eastAsia" w:ascii="宋体" w:hAnsi="宋体" w:eastAsia="宋体" w:cs="宋体"/>
          <w:color w:val="auto"/>
          <w:kern w:val="2"/>
          <w:sz w:val="24"/>
          <w:highlight w:val="none"/>
        </w:rPr>
        <w:t>经甲方、乙方法定代表人或其委托人签字并加盖双方公章。</w:t>
      </w:r>
    </w:p>
    <w:p w14:paraId="16020C3E">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lang w:val="en-US" w:eastAsia="zh-CN"/>
        </w:rPr>
        <w:t>5</w:t>
      </w:r>
      <w:r>
        <w:rPr>
          <w:rFonts w:hint="eastAsia" w:ascii="宋体" w:hAnsi="宋体" w:cs="宋体"/>
          <w:color w:val="auto"/>
          <w:kern w:val="2"/>
          <w:sz w:val="24"/>
          <w:highlight w:val="none"/>
          <w:lang w:eastAsia="zh-CN"/>
        </w:rPr>
        <w:t>、</w:t>
      </w:r>
      <w:r>
        <w:rPr>
          <w:rFonts w:hint="eastAsia" w:ascii="宋体" w:hAnsi="宋体" w:eastAsia="宋体" w:cs="宋体"/>
          <w:color w:val="auto"/>
          <w:kern w:val="2"/>
          <w:sz w:val="24"/>
          <w:highlight w:val="none"/>
        </w:rPr>
        <w:t>本协议一式</w:t>
      </w:r>
      <w:r>
        <w:rPr>
          <w:rFonts w:hint="eastAsia" w:ascii="宋体" w:hAnsi="宋体" w:cs="宋体"/>
          <w:color w:val="auto"/>
          <w:kern w:val="2"/>
          <w:sz w:val="24"/>
          <w:highlight w:val="none"/>
          <w:lang w:val="en-US" w:eastAsia="zh-CN"/>
        </w:rPr>
        <w:t>肆</w:t>
      </w:r>
      <w:r>
        <w:rPr>
          <w:rFonts w:hint="eastAsia" w:ascii="宋体" w:hAnsi="宋体" w:eastAsia="宋体" w:cs="宋体"/>
          <w:color w:val="auto"/>
          <w:kern w:val="2"/>
          <w:sz w:val="24"/>
          <w:highlight w:val="none"/>
        </w:rPr>
        <w:t>份，甲方乙方各执二份。</w:t>
      </w:r>
    </w:p>
    <w:tbl>
      <w:tblPr>
        <w:tblStyle w:val="51"/>
        <w:tblpPr w:leftFromText="180" w:rightFromText="180" w:vertAnchor="text" w:horzAnchor="page" w:tblpX="1450" w:tblpY="570"/>
        <w:tblOverlap w:val="never"/>
        <w:tblW w:w="9638" w:type="dxa"/>
        <w:tblInd w:w="0" w:type="dxa"/>
        <w:tblLayout w:type="fixed"/>
        <w:tblCellMar>
          <w:top w:w="0" w:type="dxa"/>
          <w:left w:w="108" w:type="dxa"/>
          <w:bottom w:w="0" w:type="dxa"/>
          <w:right w:w="108" w:type="dxa"/>
        </w:tblCellMar>
      </w:tblPr>
      <w:tblGrid>
        <w:gridCol w:w="4819"/>
        <w:gridCol w:w="4819"/>
      </w:tblGrid>
      <w:tr w14:paraId="69469D86">
        <w:tblPrEx>
          <w:tblCellMar>
            <w:top w:w="0" w:type="dxa"/>
            <w:left w:w="108" w:type="dxa"/>
            <w:bottom w:w="0" w:type="dxa"/>
            <w:right w:w="108" w:type="dxa"/>
          </w:tblCellMar>
        </w:tblPrEx>
        <w:tc>
          <w:tcPr>
            <w:tcW w:w="4819" w:type="dxa"/>
          </w:tcPr>
          <w:p w14:paraId="3D50C784">
            <w:pPr>
              <w:widowControl/>
              <w:adjustRightInd/>
              <w:snapToGrid w:val="0"/>
              <w:spacing w:line="500" w:lineRule="exact"/>
              <w:ind w:left="0" w:leftChars="0"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甲方（盖章）：杭州市钱塘区政府投资项目评审服务中心</w:t>
            </w:r>
          </w:p>
        </w:tc>
        <w:tc>
          <w:tcPr>
            <w:tcW w:w="4819" w:type="dxa"/>
          </w:tcPr>
          <w:p w14:paraId="59C07F03">
            <w:pPr>
              <w:widowControl/>
              <w:adjustRightInd/>
              <w:snapToGrid w:val="0"/>
              <w:spacing w:line="500" w:lineRule="exact"/>
              <w:ind w:left="0" w:leftChars="0"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 xml:space="preserve">乙方（盖章）： </w:t>
            </w:r>
          </w:p>
        </w:tc>
      </w:tr>
      <w:tr w14:paraId="308F9BE7">
        <w:tblPrEx>
          <w:tblCellMar>
            <w:top w:w="0" w:type="dxa"/>
            <w:left w:w="108" w:type="dxa"/>
            <w:bottom w:w="0" w:type="dxa"/>
            <w:right w:w="108" w:type="dxa"/>
          </w:tblCellMar>
        </w:tblPrEx>
        <w:tc>
          <w:tcPr>
            <w:tcW w:w="4819" w:type="dxa"/>
          </w:tcPr>
          <w:p w14:paraId="7B00262F">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法人代表或受委托人（签字）：</w:t>
            </w:r>
          </w:p>
        </w:tc>
        <w:tc>
          <w:tcPr>
            <w:tcW w:w="4819" w:type="dxa"/>
          </w:tcPr>
          <w:p w14:paraId="7808C1B2">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法人代表或受委托人（签字）：</w:t>
            </w:r>
          </w:p>
        </w:tc>
      </w:tr>
      <w:tr w14:paraId="7E4526CC">
        <w:tblPrEx>
          <w:tblCellMar>
            <w:top w:w="0" w:type="dxa"/>
            <w:left w:w="108" w:type="dxa"/>
            <w:bottom w:w="0" w:type="dxa"/>
            <w:right w:w="108" w:type="dxa"/>
          </w:tblCellMar>
        </w:tblPrEx>
        <w:tc>
          <w:tcPr>
            <w:tcW w:w="4819" w:type="dxa"/>
          </w:tcPr>
          <w:p w14:paraId="7E2ADC9C">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联系电话：</w:t>
            </w:r>
          </w:p>
        </w:tc>
        <w:tc>
          <w:tcPr>
            <w:tcW w:w="4819" w:type="dxa"/>
          </w:tcPr>
          <w:p w14:paraId="12F4E723">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联系电话：</w:t>
            </w:r>
          </w:p>
        </w:tc>
      </w:tr>
      <w:tr w14:paraId="24720701">
        <w:tblPrEx>
          <w:tblCellMar>
            <w:top w:w="0" w:type="dxa"/>
            <w:left w:w="108" w:type="dxa"/>
            <w:bottom w:w="0" w:type="dxa"/>
            <w:right w:w="108" w:type="dxa"/>
          </w:tblCellMar>
        </w:tblPrEx>
        <w:tc>
          <w:tcPr>
            <w:tcW w:w="4819" w:type="dxa"/>
          </w:tcPr>
          <w:p w14:paraId="51717A28">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签订日期：     年   月   日</w:t>
            </w:r>
          </w:p>
        </w:tc>
        <w:tc>
          <w:tcPr>
            <w:tcW w:w="4819" w:type="dxa"/>
          </w:tcPr>
          <w:p w14:paraId="56A053AF">
            <w:pPr>
              <w:widowControl/>
              <w:adjustRightInd/>
              <w:snapToGrid w:val="0"/>
              <w:spacing w:line="500" w:lineRule="exact"/>
              <w:ind w:firstLine="480" w:firstLineChars="200"/>
              <w:rPr>
                <w:rFonts w:hint="eastAsia" w:ascii="宋体" w:hAnsi="宋体" w:eastAsia="宋体" w:cs="宋体"/>
                <w:color w:val="auto"/>
                <w:kern w:val="2"/>
                <w:sz w:val="24"/>
                <w:highlight w:val="none"/>
              </w:rPr>
            </w:pPr>
            <w:r>
              <w:rPr>
                <w:rFonts w:hint="eastAsia" w:ascii="宋体" w:hAnsi="宋体" w:eastAsia="宋体" w:cs="宋体"/>
                <w:color w:val="auto"/>
                <w:kern w:val="2"/>
                <w:sz w:val="24"/>
                <w:highlight w:val="none"/>
              </w:rPr>
              <w:t>签订日期：     年   月   日</w:t>
            </w:r>
          </w:p>
        </w:tc>
      </w:tr>
    </w:tbl>
    <w:p w14:paraId="2C67A49C">
      <w:pPr>
        <w:snapToGrid w:val="0"/>
        <w:spacing w:line="520" w:lineRule="exact"/>
        <w:ind w:firstLine="420" w:firstLineChars="200"/>
        <w:rPr>
          <w:rFonts w:cs="宋体" w:asciiTheme="minorEastAsia" w:hAnsiTheme="minorEastAsia" w:eastAsiaTheme="minorEastAsia"/>
          <w:color w:val="auto"/>
          <w:kern w:val="0"/>
          <w:highlight w:val="none"/>
        </w:rPr>
      </w:pPr>
    </w:p>
    <w:p w14:paraId="45B859DB">
      <w:pPr>
        <w:widowControl/>
        <w:spacing w:line="520" w:lineRule="exact"/>
        <w:rPr>
          <w:rFonts w:asciiTheme="minorEastAsia" w:hAnsiTheme="minorEastAsia" w:eastAsiaTheme="minorEastAsia"/>
          <w:color w:val="auto"/>
          <w:kern w:val="0"/>
          <w:highlight w:val="none"/>
        </w:rPr>
        <w:sectPr>
          <w:headerReference r:id="rId15" w:type="first"/>
          <w:footerReference r:id="rId17" w:type="first"/>
          <w:headerReference r:id="rId14" w:type="default"/>
          <w:footerReference r:id="rId16" w:type="default"/>
          <w:pgSz w:w="11906" w:h="16838"/>
          <w:pgMar w:top="1418" w:right="1701" w:bottom="1418" w:left="1701" w:header="851" w:footer="992" w:gutter="0"/>
          <w:pgBorders>
            <w:top w:val="none" w:sz="0" w:space="0"/>
            <w:left w:val="none" w:sz="0" w:space="0"/>
            <w:bottom w:val="none" w:sz="0" w:space="0"/>
            <w:right w:val="none" w:sz="0" w:space="0"/>
          </w:pgBorders>
          <w:cols w:space="720" w:num="1"/>
          <w:titlePg/>
          <w:docGrid w:linePitch="312" w:charSpace="0"/>
        </w:sectPr>
      </w:pPr>
    </w:p>
    <w:bookmarkEnd w:id="48"/>
    <w:p w14:paraId="6ADC4BA9">
      <w:pPr>
        <w:pStyle w:val="20"/>
        <w:rPr>
          <w:rFonts w:hAnsi="宋体" w:eastAsia="宋体" w:cs="宋体"/>
          <w:color w:val="auto"/>
          <w:szCs w:val="24"/>
          <w:highlight w:val="none"/>
          <w:lang w:val="en-US"/>
        </w:rPr>
      </w:pPr>
      <w:r>
        <w:rPr>
          <w:rFonts w:hint="eastAsia" w:hAnsi="宋体" w:eastAsia="宋体" w:cs="宋体"/>
          <w:color w:val="auto"/>
          <w:szCs w:val="24"/>
          <w:highlight w:val="none"/>
          <w:lang w:val="en-US"/>
        </w:rPr>
        <w:t>附</w:t>
      </w:r>
      <w:r>
        <w:rPr>
          <w:rFonts w:hint="eastAsia" w:hAnsi="宋体" w:eastAsia="宋体" w:cs="宋体"/>
          <w:color w:val="auto"/>
          <w:szCs w:val="24"/>
          <w:highlight w:val="none"/>
          <w:lang w:val="en-US" w:eastAsia="zh-CN"/>
        </w:rPr>
        <w:t>表</w:t>
      </w:r>
      <w:r>
        <w:rPr>
          <w:rFonts w:hint="eastAsia" w:hAnsi="宋体" w:eastAsia="宋体" w:cs="宋体"/>
          <w:color w:val="auto"/>
          <w:szCs w:val="24"/>
          <w:highlight w:val="none"/>
          <w:lang w:val="en-US"/>
        </w:rPr>
        <w:t xml:space="preserve">1 </w:t>
      </w:r>
    </w:p>
    <w:tbl>
      <w:tblPr>
        <w:tblStyle w:val="51"/>
        <w:tblW w:w="15335" w:type="dxa"/>
        <w:jc w:val="center"/>
        <w:tblLayout w:type="fixed"/>
        <w:tblCellMar>
          <w:top w:w="0" w:type="dxa"/>
          <w:left w:w="0" w:type="dxa"/>
          <w:bottom w:w="0" w:type="dxa"/>
          <w:right w:w="0" w:type="dxa"/>
        </w:tblCellMar>
      </w:tblPr>
      <w:tblGrid>
        <w:gridCol w:w="485"/>
        <w:gridCol w:w="1206"/>
        <w:gridCol w:w="819"/>
        <w:gridCol w:w="1881"/>
        <w:gridCol w:w="915"/>
        <w:gridCol w:w="975"/>
        <w:gridCol w:w="1020"/>
        <w:gridCol w:w="1080"/>
        <w:gridCol w:w="1065"/>
        <w:gridCol w:w="1065"/>
        <w:gridCol w:w="1275"/>
        <w:gridCol w:w="1275"/>
        <w:gridCol w:w="1335"/>
        <w:gridCol w:w="939"/>
      </w:tblGrid>
      <w:tr w14:paraId="14A5384B">
        <w:tblPrEx>
          <w:tblCellMar>
            <w:top w:w="0" w:type="dxa"/>
            <w:left w:w="0" w:type="dxa"/>
            <w:bottom w:w="0" w:type="dxa"/>
            <w:right w:w="0" w:type="dxa"/>
          </w:tblCellMar>
        </w:tblPrEx>
        <w:trPr>
          <w:trHeight w:val="540" w:hRule="atLeast"/>
          <w:jc w:val="center"/>
        </w:trPr>
        <w:tc>
          <w:tcPr>
            <w:tcW w:w="15335" w:type="dxa"/>
            <w:gridSpan w:val="14"/>
            <w:tcBorders>
              <w:top w:val="nil"/>
              <w:left w:val="nil"/>
              <w:bottom w:val="single" w:color="000000" w:sz="18" w:space="0"/>
              <w:right w:val="nil"/>
            </w:tcBorders>
            <w:noWrap/>
            <w:tcMar>
              <w:top w:w="15" w:type="dxa"/>
              <w:left w:w="15" w:type="dxa"/>
              <w:right w:w="15" w:type="dxa"/>
            </w:tcMar>
            <w:vAlign w:val="center"/>
          </w:tcPr>
          <w:p w14:paraId="6E3978E0">
            <w:pPr>
              <w:keepNext w:val="0"/>
              <w:keepLines w:val="0"/>
              <w:widowControl/>
              <w:suppressLineNumbers w:val="0"/>
              <w:ind w:firstLine="6486" w:firstLineChars="1800"/>
              <w:jc w:val="left"/>
              <w:textAlignment w:val="center"/>
              <w:rPr>
                <w:rFonts w:hint="eastAsia" w:ascii="宋体" w:hAnsi="宋体" w:eastAsia="宋体" w:cs="宋体"/>
                <w:b/>
                <w:i w:val="0"/>
                <w:color w:val="auto"/>
                <w:sz w:val="32"/>
                <w:szCs w:val="32"/>
                <w:highlight w:val="none"/>
                <w:u w:val="none"/>
              </w:rPr>
            </w:pPr>
            <w:r>
              <w:rPr>
                <w:rFonts w:hint="eastAsia" w:ascii="华文中宋" w:hAnsi="华文中宋" w:eastAsia="华文中宋" w:cs="华文中宋"/>
                <w:b/>
                <w:i w:val="0"/>
                <w:color w:val="auto"/>
                <w:kern w:val="0"/>
                <w:sz w:val="36"/>
                <w:szCs w:val="36"/>
                <w:highlight w:val="none"/>
                <w:u w:val="none"/>
                <w:lang w:val="en-US" w:eastAsia="zh-CN" w:bidi="ar"/>
              </w:rPr>
              <w:t>基准收费标准</w:t>
            </w:r>
            <w:r>
              <w:rPr>
                <w:rFonts w:hint="eastAsia" w:ascii="宋体" w:hAnsi="宋体" w:eastAsia="宋体" w:cs="宋体"/>
                <w:b/>
                <w:i w:val="0"/>
                <w:color w:val="auto"/>
                <w:kern w:val="0"/>
                <w:sz w:val="32"/>
                <w:szCs w:val="32"/>
                <w:highlight w:val="none"/>
                <w:u w:val="none"/>
                <w:lang w:val="en-US" w:eastAsia="zh-CN" w:bidi="ar"/>
              </w:rPr>
              <w:t xml:space="preserve">                            </w:t>
            </w:r>
            <w:r>
              <w:rPr>
                <w:rFonts w:hint="eastAsia" w:ascii="宋体" w:hAnsi="宋体" w:eastAsia="宋体" w:cs="宋体"/>
                <w:i w:val="0"/>
                <w:color w:val="auto"/>
                <w:kern w:val="0"/>
                <w:sz w:val="22"/>
                <w:szCs w:val="22"/>
                <w:highlight w:val="none"/>
                <w:u w:val="none"/>
                <w:lang w:val="en-US" w:eastAsia="zh-CN" w:bidi="ar"/>
              </w:rPr>
              <w:t>费率：‰</w:t>
            </w:r>
          </w:p>
        </w:tc>
      </w:tr>
      <w:tr w14:paraId="14A7057C">
        <w:tblPrEx>
          <w:tblCellMar>
            <w:top w:w="0" w:type="dxa"/>
            <w:left w:w="0" w:type="dxa"/>
            <w:bottom w:w="0" w:type="dxa"/>
            <w:right w:w="0" w:type="dxa"/>
          </w:tblCellMar>
        </w:tblPrEx>
        <w:trPr>
          <w:trHeight w:val="315" w:hRule="atLeast"/>
          <w:jc w:val="center"/>
        </w:trPr>
        <w:tc>
          <w:tcPr>
            <w:tcW w:w="485" w:type="dxa"/>
            <w:vMerge w:val="restart"/>
            <w:tcBorders>
              <w:top w:val="single" w:color="000000" w:sz="18" w:space="0"/>
              <w:left w:val="single" w:color="000000" w:sz="18" w:space="0"/>
              <w:bottom w:val="single" w:color="000000" w:sz="4" w:space="0"/>
              <w:right w:val="single" w:color="000000" w:sz="4" w:space="0"/>
            </w:tcBorders>
            <w:noWrap/>
            <w:tcMar>
              <w:top w:w="15" w:type="dxa"/>
              <w:left w:w="15" w:type="dxa"/>
              <w:right w:w="15" w:type="dxa"/>
            </w:tcMar>
            <w:vAlign w:val="center"/>
          </w:tcPr>
          <w:p w14:paraId="267A3BB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序号</w:t>
            </w:r>
          </w:p>
        </w:tc>
        <w:tc>
          <w:tcPr>
            <w:tcW w:w="2025" w:type="dxa"/>
            <w:gridSpan w:val="2"/>
            <w:vMerge w:val="restart"/>
            <w:tcBorders>
              <w:top w:val="single" w:color="000000" w:sz="18" w:space="0"/>
              <w:left w:val="single" w:color="000000" w:sz="4" w:space="0"/>
              <w:bottom w:val="single" w:color="000000" w:sz="4" w:space="0"/>
              <w:right w:val="single" w:color="000000" w:sz="4" w:space="0"/>
            </w:tcBorders>
            <w:noWrap/>
            <w:tcMar>
              <w:top w:w="15" w:type="dxa"/>
              <w:left w:w="15" w:type="dxa"/>
              <w:right w:w="15" w:type="dxa"/>
            </w:tcMar>
            <w:vAlign w:val="center"/>
          </w:tcPr>
          <w:p w14:paraId="185108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咨询项目</w:t>
            </w:r>
          </w:p>
        </w:tc>
        <w:tc>
          <w:tcPr>
            <w:tcW w:w="1881" w:type="dxa"/>
            <w:vMerge w:val="restart"/>
            <w:tcBorders>
              <w:top w:val="single" w:color="000000" w:sz="18" w:space="0"/>
              <w:left w:val="single" w:color="000000" w:sz="4" w:space="0"/>
              <w:bottom w:val="single" w:color="000000" w:sz="4" w:space="0"/>
              <w:right w:val="single" w:color="000000" w:sz="4" w:space="0"/>
            </w:tcBorders>
            <w:noWrap/>
            <w:tcMar>
              <w:top w:w="15" w:type="dxa"/>
              <w:left w:w="15" w:type="dxa"/>
              <w:right w:w="15" w:type="dxa"/>
            </w:tcMar>
            <w:vAlign w:val="center"/>
          </w:tcPr>
          <w:p w14:paraId="08CF760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收费基数</w:t>
            </w:r>
          </w:p>
        </w:tc>
        <w:tc>
          <w:tcPr>
            <w:tcW w:w="10944" w:type="dxa"/>
            <w:gridSpan w:val="10"/>
            <w:tcBorders>
              <w:top w:val="single" w:color="000000" w:sz="18" w:space="0"/>
              <w:left w:val="single" w:color="000000" w:sz="4" w:space="0"/>
              <w:bottom w:val="single" w:color="000000" w:sz="4" w:space="0"/>
              <w:right w:val="single" w:color="000000" w:sz="18" w:space="0"/>
            </w:tcBorders>
            <w:noWrap/>
            <w:tcMar>
              <w:top w:w="15" w:type="dxa"/>
              <w:left w:w="15" w:type="dxa"/>
              <w:right w:w="15" w:type="dxa"/>
            </w:tcMar>
            <w:vAlign w:val="center"/>
          </w:tcPr>
          <w:p w14:paraId="66D2E9F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分档累进计费标准</w:t>
            </w:r>
          </w:p>
        </w:tc>
      </w:tr>
      <w:tr w14:paraId="3E71F3D0">
        <w:tblPrEx>
          <w:tblCellMar>
            <w:top w:w="0" w:type="dxa"/>
            <w:left w:w="0" w:type="dxa"/>
            <w:bottom w:w="0" w:type="dxa"/>
            <w:right w:w="0" w:type="dxa"/>
          </w:tblCellMar>
        </w:tblPrEx>
        <w:trPr>
          <w:trHeight w:val="0" w:hRule="atLeast"/>
          <w:jc w:val="center"/>
        </w:trPr>
        <w:tc>
          <w:tcPr>
            <w:tcW w:w="485" w:type="dxa"/>
            <w:vMerge w:val="continue"/>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6D296F80">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202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F0B80">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18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31FC8">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3A05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100</w:t>
            </w:r>
          </w:p>
          <w:p w14:paraId="38AC686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万元以内</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026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101-500</w:t>
            </w:r>
          </w:p>
          <w:p w14:paraId="3516777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w:t>
            </w:r>
          </w:p>
        </w:tc>
        <w:tc>
          <w:tcPr>
            <w:tcW w:w="1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700A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501—1000</w:t>
            </w:r>
          </w:p>
          <w:p w14:paraId="08648E6C">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E68C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1001—2000万元</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C162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2001—5000万元</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92FD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5001-10000</w:t>
            </w:r>
          </w:p>
          <w:p w14:paraId="09AFCFF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万元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F5396">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10001-50000</w:t>
            </w:r>
          </w:p>
          <w:p w14:paraId="4494310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万元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9566A">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50001-100000万元</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A0CA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100000-150000万元</w:t>
            </w:r>
          </w:p>
        </w:tc>
        <w:tc>
          <w:tcPr>
            <w:tcW w:w="939" w:type="dxa"/>
            <w:tcBorders>
              <w:top w:val="single" w:color="000000" w:sz="4" w:space="0"/>
              <w:left w:val="single" w:color="000000" w:sz="4" w:space="0"/>
              <w:bottom w:val="single" w:color="000000" w:sz="4" w:space="0"/>
              <w:right w:val="single" w:color="000000" w:sz="18" w:space="0"/>
            </w:tcBorders>
            <w:noWrap w:val="0"/>
            <w:tcMar>
              <w:top w:w="15" w:type="dxa"/>
              <w:left w:w="15" w:type="dxa"/>
              <w:right w:w="15" w:type="dxa"/>
            </w:tcMar>
            <w:vAlign w:val="center"/>
          </w:tcPr>
          <w:p w14:paraId="76797AE7">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150000</w:t>
            </w:r>
          </w:p>
          <w:p w14:paraId="5DE41DE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万元以上</w:t>
            </w:r>
          </w:p>
        </w:tc>
      </w:tr>
      <w:tr w14:paraId="274DA0AD">
        <w:tblPrEx>
          <w:tblCellMar>
            <w:top w:w="0" w:type="dxa"/>
            <w:left w:w="0" w:type="dxa"/>
            <w:bottom w:w="0" w:type="dxa"/>
            <w:right w:w="0" w:type="dxa"/>
          </w:tblCellMar>
        </w:tblPrEx>
        <w:trPr>
          <w:trHeight w:val="970" w:hRule="atLeast"/>
          <w:jc w:val="center"/>
        </w:trPr>
        <w:tc>
          <w:tcPr>
            <w:tcW w:w="485" w:type="dxa"/>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04A4C37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02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E6AE1">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设计概算审核</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6761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送审概算价</w:t>
            </w: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913B0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1.02</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92C8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0.90</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7D58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0.78</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BE903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0.66</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598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0.50</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F3F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0.45</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A8C5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0.32</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6DF4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0.24</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9990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0.16</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3C01C7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0.12</w:t>
            </w:r>
          </w:p>
        </w:tc>
      </w:tr>
      <w:tr w14:paraId="4BC719AA">
        <w:tblPrEx>
          <w:tblCellMar>
            <w:top w:w="0" w:type="dxa"/>
            <w:left w:w="0" w:type="dxa"/>
            <w:bottom w:w="0" w:type="dxa"/>
            <w:right w:w="0" w:type="dxa"/>
          </w:tblCellMar>
        </w:tblPrEx>
        <w:trPr>
          <w:trHeight w:val="905" w:hRule="atLeast"/>
          <w:jc w:val="center"/>
        </w:trPr>
        <w:tc>
          <w:tcPr>
            <w:tcW w:w="485" w:type="dxa"/>
            <w:vMerge w:val="restart"/>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37A217A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DB29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工程结</w:t>
            </w:r>
          </w:p>
          <w:p w14:paraId="2F37C0F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算</w:t>
            </w:r>
            <w:r>
              <w:rPr>
                <w:rFonts w:hint="eastAsia" w:ascii="宋体" w:hAnsi="宋体" w:cs="宋体"/>
                <w:i w:val="0"/>
                <w:color w:val="auto"/>
                <w:kern w:val="0"/>
                <w:sz w:val="20"/>
                <w:szCs w:val="20"/>
                <w:highlight w:val="none"/>
                <w:u w:val="none"/>
                <w:lang w:val="en-US" w:eastAsia="zh-CN" w:bidi="ar"/>
              </w:rPr>
              <w:t>全面复核</w:t>
            </w:r>
          </w:p>
        </w:tc>
        <w:tc>
          <w:tcPr>
            <w:tcW w:w="8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F70BC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基本收费</w:t>
            </w:r>
          </w:p>
        </w:tc>
        <w:tc>
          <w:tcPr>
            <w:tcW w:w="188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DBC5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送审工程造价</w:t>
            </w: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D2A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2.8</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DC4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EA8F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1F33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1.9</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FEA8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1.28</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B67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仿宋"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1.04</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83A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仿宋"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0.60</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238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0.40</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79AB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0.30</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2A2DD2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0.20</w:t>
            </w:r>
          </w:p>
        </w:tc>
      </w:tr>
      <w:tr w14:paraId="360828FC">
        <w:tblPrEx>
          <w:tblCellMar>
            <w:top w:w="0" w:type="dxa"/>
            <w:left w:w="0" w:type="dxa"/>
            <w:bottom w:w="0" w:type="dxa"/>
            <w:right w:w="0" w:type="dxa"/>
          </w:tblCellMar>
        </w:tblPrEx>
        <w:trPr>
          <w:trHeight w:val="905" w:hRule="atLeast"/>
          <w:jc w:val="center"/>
        </w:trPr>
        <w:tc>
          <w:tcPr>
            <w:tcW w:w="485" w:type="dxa"/>
            <w:vMerge w:val="continue"/>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6201551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cs="宋体"/>
                <w:i w:val="0"/>
                <w:color w:val="auto"/>
                <w:kern w:val="0"/>
                <w:sz w:val="20"/>
                <w:szCs w:val="20"/>
                <w:highlight w:val="none"/>
                <w:u w:val="none"/>
                <w:lang w:val="en-US" w:eastAsia="zh-CN" w:bidi="ar"/>
              </w:rPr>
            </w:pP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D4F0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工程结算初核、复核</w:t>
            </w:r>
          </w:p>
        </w:tc>
        <w:tc>
          <w:tcPr>
            <w:tcW w:w="8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E65A7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8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E759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89B3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1.4</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8EE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1.25</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CEE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A06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0.95</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44C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0.64</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2A6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0.52</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D86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0.30</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9470A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0.20</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298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0.15</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7AA71C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0.10</w:t>
            </w:r>
          </w:p>
        </w:tc>
      </w:tr>
      <w:tr w14:paraId="4ED38D39">
        <w:tblPrEx>
          <w:tblCellMar>
            <w:top w:w="0" w:type="dxa"/>
            <w:left w:w="0" w:type="dxa"/>
            <w:bottom w:w="0" w:type="dxa"/>
            <w:right w:w="0" w:type="dxa"/>
          </w:tblCellMar>
        </w:tblPrEx>
        <w:trPr>
          <w:trHeight w:val="905" w:hRule="atLeast"/>
          <w:jc w:val="center"/>
        </w:trPr>
        <w:tc>
          <w:tcPr>
            <w:tcW w:w="485" w:type="dxa"/>
            <w:vMerge w:val="continue"/>
            <w:tcBorders>
              <w:top w:val="single" w:color="000000" w:sz="4" w:space="0"/>
              <w:left w:val="single" w:color="000000" w:sz="18" w:space="0"/>
              <w:bottom w:val="single" w:color="000000" w:sz="18" w:space="0"/>
              <w:right w:val="single" w:color="000000" w:sz="4" w:space="0"/>
            </w:tcBorders>
            <w:noWrap/>
            <w:tcMar>
              <w:top w:w="15" w:type="dxa"/>
              <w:left w:w="15" w:type="dxa"/>
              <w:right w:w="15" w:type="dxa"/>
            </w:tcMar>
            <w:vAlign w:val="center"/>
          </w:tcPr>
          <w:p w14:paraId="1F0DE01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cs="宋体"/>
                <w:i w:val="0"/>
                <w:color w:val="auto"/>
                <w:kern w:val="0"/>
                <w:sz w:val="20"/>
                <w:szCs w:val="20"/>
                <w:highlight w:val="none"/>
                <w:u w:val="none"/>
                <w:lang w:val="en-US" w:eastAsia="zh-CN" w:bidi="ar"/>
              </w:rPr>
            </w:pPr>
          </w:p>
        </w:tc>
        <w:tc>
          <w:tcPr>
            <w:tcW w:w="2025" w:type="dxa"/>
            <w:gridSpan w:val="2"/>
            <w:tcBorders>
              <w:top w:val="single" w:color="000000" w:sz="4" w:space="0"/>
              <w:left w:val="single" w:color="000000" w:sz="4" w:space="0"/>
              <w:bottom w:val="single" w:color="000000" w:sz="18" w:space="0"/>
              <w:right w:val="single" w:color="000000" w:sz="4" w:space="0"/>
            </w:tcBorders>
            <w:noWrap w:val="0"/>
            <w:tcMar>
              <w:top w:w="15" w:type="dxa"/>
              <w:left w:w="15" w:type="dxa"/>
              <w:right w:w="15" w:type="dxa"/>
            </w:tcMar>
            <w:vAlign w:val="center"/>
          </w:tcPr>
          <w:p w14:paraId="24389BA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追加费用</w:t>
            </w:r>
          </w:p>
        </w:tc>
        <w:tc>
          <w:tcPr>
            <w:tcW w:w="1881" w:type="dxa"/>
            <w:tcBorders>
              <w:top w:val="single" w:color="000000" w:sz="4" w:space="0"/>
              <w:left w:val="single" w:color="000000" w:sz="4" w:space="0"/>
              <w:bottom w:val="single" w:color="000000" w:sz="18" w:space="0"/>
              <w:right w:val="single" w:color="000000" w:sz="4" w:space="0"/>
            </w:tcBorders>
            <w:noWrap/>
            <w:tcMar>
              <w:top w:w="15" w:type="dxa"/>
              <w:left w:w="15" w:type="dxa"/>
              <w:right w:w="15" w:type="dxa"/>
            </w:tcMar>
            <w:vAlign w:val="center"/>
          </w:tcPr>
          <w:p w14:paraId="726ED6A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核增额及超过5%以外的核减额</w:t>
            </w:r>
          </w:p>
        </w:tc>
        <w:tc>
          <w:tcPr>
            <w:tcW w:w="10944" w:type="dxa"/>
            <w:gridSpan w:val="10"/>
            <w:tcBorders>
              <w:top w:val="single" w:color="000000" w:sz="4" w:space="0"/>
              <w:left w:val="single" w:color="000000" w:sz="4" w:space="0"/>
              <w:bottom w:val="single" w:color="000000" w:sz="18" w:space="0"/>
              <w:right w:val="single" w:color="000000" w:sz="18" w:space="0"/>
            </w:tcBorders>
            <w:noWrap/>
            <w:tcMar>
              <w:top w:w="15" w:type="dxa"/>
              <w:left w:w="15" w:type="dxa"/>
              <w:right w:w="15" w:type="dxa"/>
            </w:tcMar>
            <w:vAlign w:val="center"/>
          </w:tcPr>
          <w:p w14:paraId="692C67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5%</w:t>
            </w:r>
          </w:p>
        </w:tc>
      </w:tr>
    </w:tbl>
    <w:p w14:paraId="16813222">
      <w:pPr>
        <w:pStyle w:val="3"/>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说明：</w:t>
      </w:r>
    </w:p>
    <w:p w14:paraId="23CEA74D">
      <w:pPr>
        <w:pStyle w:val="3"/>
        <w:rPr>
          <w:rFonts w:hint="default" w:ascii="宋体" w:hAnsi="仿宋_GB2312" w:eastAsia="黑体" w:cs="仿宋_GB2312"/>
          <w:b w:val="0"/>
          <w:bCs w:val="0"/>
          <w:snapToGrid w:val="0"/>
          <w:color w:val="auto"/>
          <w:kern w:val="2"/>
          <w:sz w:val="21"/>
          <w:szCs w:val="21"/>
          <w:highlight w:val="none"/>
          <w:lang w:val="en-US" w:eastAsia="zh-CN" w:bidi="ar-SA"/>
        </w:rPr>
      </w:pPr>
      <w:r>
        <w:rPr>
          <w:rFonts w:hint="eastAsia" w:ascii="宋体" w:hAnsi="仿宋_GB2312" w:eastAsia="黑体" w:cs="仿宋_GB2312"/>
          <w:b w:val="0"/>
          <w:bCs w:val="0"/>
          <w:snapToGrid w:val="0"/>
          <w:color w:val="auto"/>
          <w:kern w:val="2"/>
          <w:sz w:val="21"/>
          <w:szCs w:val="21"/>
          <w:highlight w:val="none"/>
          <w:lang w:val="en-US" w:eastAsia="zh-CN" w:bidi="ar-SA"/>
        </w:rPr>
        <w:t>1.每个咨询服务项目按上表计算不足2000元的，按2000元收费；单个项目基本审价费高于等于 49.99 万元则按 49.99 万元计取。</w:t>
      </w:r>
    </w:p>
    <w:p w14:paraId="0DE29181">
      <w:pPr>
        <w:pStyle w:val="20"/>
        <w:rPr>
          <w:rFonts w:ascii="宋体" w:hAnsi="宋体" w:cs="宋体"/>
          <w:color w:val="auto"/>
          <w:sz w:val="28"/>
          <w:szCs w:val="28"/>
          <w:highlight w:val="none"/>
        </w:rPr>
        <w:sectPr>
          <w:headerReference r:id="rId18" w:type="default"/>
          <w:footerReference r:id="rId19" w:type="default"/>
          <w:pgSz w:w="16838" w:h="11906" w:orient="landscape"/>
          <w:pgMar w:top="1803" w:right="1440" w:bottom="1803" w:left="1440" w:header="930" w:footer="992" w:gutter="0"/>
          <w:pgBorders>
            <w:top w:val="none" w:sz="0" w:space="0"/>
            <w:left w:val="none" w:sz="0" w:space="0"/>
            <w:bottom w:val="none" w:sz="0" w:space="0"/>
            <w:right w:val="none" w:sz="0" w:space="0"/>
          </w:pgBorders>
          <w:cols w:space="720" w:num="1"/>
          <w:docGrid w:linePitch="319" w:charSpace="0"/>
        </w:sectPr>
      </w:pPr>
      <w:r>
        <w:rPr>
          <w:rFonts w:hint="eastAsia" w:hAnsi="仿宋_GB2312" w:cs="仿宋_GB2312"/>
          <w:color w:val="auto"/>
          <w:sz w:val="21"/>
          <w:szCs w:val="21"/>
          <w:highlight w:val="none"/>
          <w:lang w:val="en-US" w:eastAsia="zh-CN"/>
        </w:rPr>
        <w:t>2.设计概算编制或复核的收费基数不含征（借）地拆迁安置补偿费，但设计概算编制或审核的工作内容应包含征（借）地拆迁安置补偿费（如有）</w:t>
      </w:r>
      <w:r>
        <w:rPr>
          <w:rFonts w:hint="eastAsia" w:hAnsi="仿宋_GB2312" w:cs="仿宋_GB2312"/>
          <w:color w:val="auto"/>
          <w:sz w:val="20"/>
          <w:szCs w:val="20"/>
          <w:highlight w:val="none"/>
          <w:lang w:val="en-US" w:eastAsia="zh-CN"/>
        </w:rPr>
        <w:t>的审</w:t>
      </w:r>
      <w:r>
        <w:rPr>
          <w:rFonts w:hint="eastAsia" w:hAnsi="仿宋_GB2312" w:cs="仿宋_GB2312"/>
          <w:color w:val="auto"/>
          <w:sz w:val="21"/>
          <w:szCs w:val="21"/>
          <w:highlight w:val="none"/>
          <w:lang w:val="en-US" w:eastAsia="zh-CN"/>
        </w:rPr>
        <w:t>核。</w:t>
      </w:r>
    </w:p>
    <w:p w14:paraId="2E411582">
      <w:pPr>
        <w:widowControl/>
        <w:spacing w:before="156" w:after="156" w:line="360" w:lineRule="auto"/>
        <w:ind w:firstLine="321"/>
        <w:rPr>
          <w:rFonts w:ascii="黑体" w:hAnsi="黑体" w:eastAsia="黑体" w:cs="Arial"/>
          <w:b/>
          <w:bCs/>
          <w:color w:val="auto"/>
          <w:sz w:val="32"/>
          <w:szCs w:val="32"/>
          <w:highlight w:val="none"/>
        </w:rPr>
      </w:pPr>
      <w:r>
        <w:rPr>
          <w:rFonts w:hint="eastAsia" w:ascii="黑体" w:hAnsi="黑体" w:eastAsia="黑体" w:cs="Arial"/>
          <w:b/>
          <w:bCs/>
          <w:color w:val="auto"/>
          <w:spacing w:val="11"/>
          <w:kern w:val="0"/>
          <w:sz w:val="32"/>
          <w:szCs w:val="32"/>
          <w:highlight w:val="none"/>
          <w:fitText w:val="8448" w:id="50467754"/>
        </w:rPr>
        <w:t>202</w:t>
      </w:r>
      <w:r>
        <w:rPr>
          <w:rFonts w:hint="eastAsia" w:ascii="黑体" w:hAnsi="黑体" w:eastAsia="黑体" w:cs="Arial"/>
          <w:b/>
          <w:bCs/>
          <w:color w:val="auto"/>
          <w:spacing w:val="11"/>
          <w:kern w:val="0"/>
          <w:sz w:val="32"/>
          <w:szCs w:val="32"/>
          <w:highlight w:val="none"/>
          <w:fitText w:val="8448" w:id="50467754"/>
          <w:lang w:val="en-US" w:eastAsia="zh-CN"/>
        </w:rPr>
        <w:t>6</w:t>
      </w:r>
      <w:r>
        <w:rPr>
          <w:rFonts w:hint="eastAsia" w:ascii="黑体" w:hAnsi="黑体" w:eastAsia="黑体" w:cs="Arial"/>
          <w:b/>
          <w:bCs/>
          <w:color w:val="auto"/>
          <w:spacing w:val="11"/>
          <w:kern w:val="0"/>
          <w:sz w:val="32"/>
          <w:szCs w:val="32"/>
          <w:highlight w:val="none"/>
          <w:fitText w:val="8448" w:id="50467754"/>
        </w:rPr>
        <w:t>-202</w:t>
      </w:r>
      <w:r>
        <w:rPr>
          <w:rFonts w:hint="eastAsia" w:ascii="黑体" w:hAnsi="黑体" w:eastAsia="黑体" w:cs="Arial"/>
          <w:b/>
          <w:bCs/>
          <w:color w:val="auto"/>
          <w:spacing w:val="11"/>
          <w:kern w:val="0"/>
          <w:sz w:val="32"/>
          <w:szCs w:val="32"/>
          <w:highlight w:val="none"/>
          <w:fitText w:val="8448" w:id="50467754"/>
          <w:lang w:val="en-US" w:eastAsia="zh-CN"/>
        </w:rPr>
        <w:t>8</w:t>
      </w:r>
      <w:r>
        <w:rPr>
          <w:rFonts w:hint="eastAsia" w:ascii="黑体" w:hAnsi="黑体" w:eastAsia="黑体" w:cs="Arial"/>
          <w:b/>
          <w:bCs/>
          <w:color w:val="auto"/>
          <w:spacing w:val="11"/>
          <w:kern w:val="0"/>
          <w:sz w:val="32"/>
          <w:szCs w:val="32"/>
          <w:highlight w:val="none"/>
          <w:fitText w:val="8448" w:id="50467754"/>
        </w:rPr>
        <w:t>年度政府投资项目工程造价咨询服务采购项</w:t>
      </w:r>
      <w:r>
        <w:rPr>
          <w:rFonts w:hint="eastAsia" w:ascii="黑体" w:hAnsi="黑体" w:eastAsia="黑体" w:cs="Arial"/>
          <w:b/>
          <w:bCs/>
          <w:color w:val="auto"/>
          <w:spacing w:val="2"/>
          <w:kern w:val="0"/>
          <w:sz w:val="32"/>
          <w:szCs w:val="32"/>
          <w:highlight w:val="none"/>
          <w:fitText w:val="8448" w:id="50467754"/>
        </w:rPr>
        <w:t>目</w:t>
      </w:r>
    </w:p>
    <w:p w14:paraId="53F114B3">
      <w:pPr>
        <w:widowControl/>
        <w:spacing w:line="360" w:lineRule="auto"/>
        <w:jc w:val="center"/>
        <w:rPr>
          <w:rFonts w:ascii="黑体" w:hAnsi="黑体" w:eastAsia="黑体" w:cs="Arial"/>
          <w:b/>
          <w:bCs/>
          <w:color w:val="auto"/>
          <w:sz w:val="32"/>
          <w:szCs w:val="32"/>
          <w:highlight w:val="none"/>
        </w:rPr>
      </w:pPr>
      <w:r>
        <w:rPr>
          <w:rFonts w:hint="eastAsia" w:ascii="黑体" w:hAnsi="黑体" w:eastAsia="黑体" w:cs="Arial"/>
          <w:b/>
          <w:bCs/>
          <w:color w:val="auto"/>
          <w:sz w:val="32"/>
          <w:szCs w:val="32"/>
          <w:highlight w:val="none"/>
          <w:lang w:val="en-US" w:eastAsia="zh-CN"/>
        </w:rPr>
        <w:t>复核</w:t>
      </w:r>
      <w:r>
        <w:rPr>
          <w:rFonts w:hint="eastAsia" w:ascii="黑体" w:hAnsi="黑体" w:eastAsia="黑体" w:cs="Arial"/>
          <w:b/>
          <w:bCs/>
          <w:color w:val="auto"/>
          <w:sz w:val="32"/>
          <w:szCs w:val="32"/>
          <w:highlight w:val="none"/>
        </w:rPr>
        <w:t>协议书</w:t>
      </w:r>
    </w:p>
    <w:p w14:paraId="2D1013BE">
      <w:pPr>
        <w:widowControl/>
        <w:spacing w:line="520" w:lineRule="exact"/>
        <w:rPr>
          <w:rFonts w:hint="eastAsia" w:ascii="仿宋_GB2312" w:hAnsi="宋体" w:eastAsia="仿宋_GB2312" w:cs="Arial"/>
          <w:color w:val="auto"/>
          <w:sz w:val="28"/>
          <w:szCs w:val="28"/>
          <w:highlight w:val="none"/>
        </w:rPr>
      </w:pPr>
    </w:p>
    <w:p w14:paraId="00E671A8">
      <w:pPr>
        <w:widowControl/>
        <w:spacing w:line="5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甲方（委托方）：杭州市钱塘区政府投资项目评审服务中心                   </w:t>
      </w:r>
    </w:p>
    <w:p w14:paraId="16B19668">
      <w:pPr>
        <w:widowControl/>
        <w:spacing w:line="5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乙方（受托方）：</w:t>
      </w:r>
      <w:r>
        <w:rPr>
          <w:rFonts w:hint="eastAsia" w:asciiTheme="minorEastAsia" w:hAnsiTheme="minorEastAsia" w:eastAsiaTheme="minorEastAsia" w:cstheme="minorEastAsia"/>
          <w:color w:val="auto"/>
          <w:kern w:val="0"/>
          <w:sz w:val="24"/>
          <w:highlight w:val="none"/>
          <w:u w:val="single"/>
          <w:lang w:val="en-US" w:eastAsia="zh-CN"/>
        </w:rPr>
        <w:t xml:space="preserve">                                </w:t>
      </w:r>
      <w:r>
        <w:rPr>
          <w:rFonts w:hint="eastAsia" w:asciiTheme="minorEastAsia" w:hAnsiTheme="minorEastAsia" w:eastAsiaTheme="minorEastAsia" w:cstheme="minorEastAsia"/>
          <w:color w:val="auto"/>
          <w:kern w:val="0"/>
          <w:sz w:val="24"/>
          <w:highlight w:val="none"/>
        </w:rPr>
        <w:t xml:space="preserve">       </w:t>
      </w:r>
    </w:p>
    <w:p w14:paraId="6EFB3193">
      <w:pPr>
        <w:widowControl/>
        <w:spacing w:line="500" w:lineRule="exact"/>
        <w:ind w:firstLine="64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经过</w:t>
      </w:r>
      <w:r>
        <w:rPr>
          <w:rFonts w:hint="eastAsia" w:asciiTheme="minorEastAsia" w:hAnsiTheme="minorEastAsia" w:eastAsiaTheme="minorEastAsia" w:cstheme="minorEastAsia"/>
          <w:color w:val="auto"/>
          <w:kern w:val="0"/>
          <w:sz w:val="24"/>
          <w:highlight w:val="none"/>
          <w:lang w:val="en-US" w:eastAsia="zh-CN"/>
        </w:rPr>
        <w:t>框架协议</w:t>
      </w:r>
      <w:r>
        <w:rPr>
          <w:rFonts w:hint="eastAsia" w:asciiTheme="minorEastAsia" w:hAnsiTheme="minorEastAsia" w:eastAsiaTheme="minorEastAsia" w:cstheme="minorEastAsia"/>
          <w:color w:val="auto"/>
          <w:kern w:val="0"/>
          <w:sz w:val="24"/>
          <w:highlight w:val="none"/>
        </w:rPr>
        <w:t>招标，确定乙方为</w:t>
      </w:r>
      <w:r>
        <w:rPr>
          <w:rFonts w:hint="eastAsia" w:asciiTheme="minorEastAsia" w:hAnsiTheme="minorEastAsia" w:eastAsiaTheme="minorEastAsia" w:cstheme="minorEastAsia"/>
          <w:color w:val="auto"/>
          <w:kern w:val="0"/>
          <w:sz w:val="24"/>
          <w:highlight w:val="none"/>
          <w:u w:val="single"/>
          <w:lang w:val="en-US"/>
        </w:rPr>
        <w:t xml:space="preserve">                                   </w:t>
      </w:r>
      <w:r>
        <w:rPr>
          <w:rFonts w:hint="eastAsia" w:asciiTheme="minorEastAsia" w:hAnsiTheme="minorEastAsia" w:eastAsiaTheme="minorEastAsia" w:cstheme="minorEastAsia"/>
          <w:color w:val="auto"/>
          <w:kern w:val="0"/>
          <w:sz w:val="24"/>
          <w:highlight w:val="none"/>
          <w:u w:val="single"/>
          <w:lang w:val="en-US" w:eastAsia="zh-CN"/>
        </w:rPr>
        <w:t>入围</w:t>
      </w:r>
      <w:r>
        <w:rPr>
          <w:rFonts w:hint="eastAsia" w:asciiTheme="minorEastAsia" w:hAnsiTheme="minorEastAsia" w:eastAsiaTheme="minorEastAsia" w:cstheme="minorEastAsia"/>
          <w:color w:val="auto"/>
          <w:kern w:val="0"/>
          <w:sz w:val="24"/>
          <w:highlight w:val="none"/>
        </w:rPr>
        <w:t>单位，并于       年    月    日签署《</w:t>
      </w:r>
      <w:r>
        <w:rPr>
          <w:rFonts w:hint="eastAsia" w:asciiTheme="minorEastAsia" w:hAnsiTheme="minorEastAsia" w:eastAsiaTheme="minorEastAsia" w:cstheme="minorEastAsia"/>
          <w:color w:val="auto"/>
          <w:kern w:val="0"/>
          <w:sz w:val="24"/>
          <w:highlight w:val="none"/>
          <w:lang w:eastAsia="zh-CN"/>
        </w:rPr>
        <w:t>杭州市钱塘区2026-2028年政府投资项目</w:t>
      </w:r>
      <w:r>
        <w:rPr>
          <w:rFonts w:hint="eastAsia" w:asciiTheme="minorEastAsia" w:hAnsiTheme="minorEastAsia" w:eastAsiaTheme="minorEastAsia" w:cstheme="minorEastAsia"/>
          <w:color w:val="auto"/>
          <w:kern w:val="0"/>
          <w:sz w:val="24"/>
          <w:highlight w:val="none"/>
        </w:rPr>
        <w:t>工程造价咨询服务采购项目服务框架协议》。通过直接选定——单轮“不放回简单随机”抽签方式，甲方确定乙方为                    项目实施单位，为明确双方权利义务，经协商一致，签订本协议书。</w:t>
      </w:r>
    </w:p>
    <w:p w14:paraId="5DC1B31A">
      <w:pPr>
        <w:widowControl/>
        <w:spacing w:line="500" w:lineRule="exact"/>
        <w:ind w:firstLine="482" w:firstLineChars="200"/>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lang w:eastAsia="zh-CN"/>
        </w:rPr>
        <w:t>一</w:t>
      </w:r>
      <w:r>
        <w:rPr>
          <w:rFonts w:hint="eastAsia" w:asciiTheme="minorEastAsia" w:hAnsiTheme="minorEastAsia" w:eastAsiaTheme="minorEastAsia" w:cstheme="minorEastAsia"/>
          <w:b/>
          <w:color w:val="auto"/>
          <w:kern w:val="0"/>
          <w:sz w:val="24"/>
          <w:highlight w:val="none"/>
        </w:rPr>
        <w:t>、服务内容</w:t>
      </w:r>
    </w:p>
    <w:p w14:paraId="45817D99">
      <w:pPr>
        <w:snapToGrid w:val="0"/>
        <w:spacing w:line="500" w:lineRule="exact"/>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Cs/>
          <w:color w:val="auto"/>
          <w:sz w:val="24"/>
          <w:highlight w:val="none"/>
        </w:rPr>
        <w:t>政府投资项目概算审核、结算复核、结算全面复核及其他类型的造价咨询服务。</w:t>
      </w:r>
    </w:p>
    <w:p w14:paraId="42C4C81A">
      <w:pPr>
        <w:widowControl/>
        <w:spacing w:line="500" w:lineRule="exact"/>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kern w:val="0"/>
          <w:sz w:val="24"/>
          <w:highlight w:val="none"/>
          <w:lang w:eastAsia="zh-CN"/>
        </w:rPr>
        <w:t>二</w:t>
      </w:r>
      <w:r>
        <w:rPr>
          <w:rFonts w:hint="eastAsia" w:asciiTheme="minorEastAsia" w:hAnsiTheme="minorEastAsia" w:eastAsiaTheme="minorEastAsia" w:cstheme="minorEastAsia"/>
          <w:b/>
          <w:color w:val="auto"/>
          <w:kern w:val="0"/>
          <w:sz w:val="24"/>
          <w:highlight w:val="none"/>
        </w:rPr>
        <w:t>、下列文件均为本协议的组成部分：</w:t>
      </w:r>
    </w:p>
    <w:p w14:paraId="2B7F6868">
      <w:pPr>
        <w:snapToGrid w:val="0"/>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1. 本协议书</w:t>
      </w:r>
    </w:p>
    <w:p w14:paraId="40B755D7">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r>
        <w:rPr>
          <w:rFonts w:hint="eastAsia" w:asciiTheme="minorEastAsia" w:hAnsiTheme="minorEastAsia" w:eastAsiaTheme="minorEastAsia" w:cstheme="minorEastAsia"/>
          <w:color w:val="auto"/>
          <w:kern w:val="0"/>
          <w:sz w:val="24"/>
          <w:highlight w:val="none"/>
          <w:lang w:val="en-US" w:eastAsia="zh-CN"/>
        </w:rPr>
        <w:t>入围</w:t>
      </w:r>
      <w:r>
        <w:rPr>
          <w:rFonts w:hint="eastAsia" w:asciiTheme="minorEastAsia" w:hAnsiTheme="minorEastAsia" w:eastAsiaTheme="minorEastAsia" w:cstheme="minorEastAsia"/>
          <w:color w:val="auto"/>
          <w:kern w:val="0"/>
          <w:sz w:val="24"/>
          <w:highlight w:val="none"/>
        </w:rPr>
        <w:t>/成交通知书</w:t>
      </w:r>
    </w:p>
    <w:p w14:paraId="120B6DF8">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3、《钱塘区限额以上政府投资项目委托评审管理细则》（钱评审发〔202</w:t>
      </w: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rPr>
        <w:t>〕1号）</w:t>
      </w:r>
      <w:r>
        <w:rPr>
          <w:rFonts w:hint="eastAsia" w:ascii="宋体" w:hAnsi="宋体" w:cs="宋体"/>
          <w:color w:val="auto"/>
          <w:kern w:val="2"/>
          <w:sz w:val="24"/>
          <w:highlight w:val="none"/>
          <w:lang w:eastAsia="zh-CN"/>
        </w:rPr>
        <w:t>（注：有新文件出台，按新文件）</w:t>
      </w:r>
    </w:p>
    <w:p w14:paraId="2BB434BE">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w:t>
      </w:r>
      <w:r>
        <w:rPr>
          <w:rFonts w:hint="eastAsia" w:asciiTheme="minorEastAsia" w:hAnsiTheme="minorEastAsia" w:eastAsiaTheme="minorEastAsia" w:cstheme="minorEastAsia"/>
          <w:color w:val="auto"/>
          <w:kern w:val="0"/>
          <w:sz w:val="24"/>
          <w:highlight w:val="none"/>
          <w:lang w:val="en-US" w:eastAsia="zh-CN"/>
        </w:rPr>
        <w:t>征集</w:t>
      </w:r>
      <w:r>
        <w:rPr>
          <w:rFonts w:hint="eastAsia" w:asciiTheme="minorEastAsia" w:hAnsiTheme="minorEastAsia" w:eastAsiaTheme="minorEastAsia" w:cstheme="minorEastAsia"/>
          <w:color w:val="auto"/>
          <w:kern w:val="0"/>
          <w:sz w:val="24"/>
          <w:highlight w:val="none"/>
        </w:rPr>
        <w:t>文件</w:t>
      </w:r>
    </w:p>
    <w:p w14:paraId="1F87EFD6">
      <w:pPr>
        <w:adjustRightInd/>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5、</w:t>
      </w:r>
      <w:r>
        <w:rPr>
          <w:rFonts w:hint="eastAsia" w:asciiTheme="minorEastAsia" w:hAnsiTheme="minorEastAsia" w:eastAsiaTheme="minorEastAsia" w:cstheme="minorEastAsia"/>
          <w:color w:val="auto"/>
          <w:kern w:val="0"/>
          <w:sz w:val="24"/>
          <w:highlight w:val="none"/>
          <w:lang w:val="en-US" w:eastAsia="zh-CN"/>
        </w:rPr>
        <w:t>入围</w:t>
      </w:r>
      <w:r>
        <w:rPr>
          <w:rFonts w:hint="eastAsia" w:asciiTheme="minorEastAsia" w:hAnsiTheme="minorEastAsia" w:eastAsiaTheme="minorEastAsia" w:cstheme="minorEastAsia"/>
          <w:color w:val="auto"/>
          <w:kern w:val="0"/>
          <w:sz w:val="24"/>
          <w:highlight w:val="none"/>
        </w:rPr>
        <w:t>单位投标文件</w:t>
      </w:r>
    </w:p>
    <w:p w14:paraId="23447E69">
      <w:pPr>
        <w:pStyle w:val="2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highlight w:val="none"/>
          <w:lang w:val="en-US" w:eastAsia="zh-CN"/>
        </w:rPr>
        <w:t>6、《</w:t>
      </w:r>
      <w:r>
        <w:rPr>
          <w:rFonts w:hint="eastAsia" w:asciiTheme="minorEastAsia" w:hAnsiTheme="minorEastAsia" w:eastAsiaTheme="minorEastAsia" w:cstheme="minorEastAsia"/>
          <w:color w:val="auto"/>
          <w:kern w:val="0"/>
          <w:highlight w:val="none"/>
          <w:lang w:eastAsia="zh-CN"/>
        </w:rPr>
        <w:t>杭州市钱塘区2026-2028年政府投资项目</w:t>
      </w:r>
      <w:r>
        <w:rPr>
          <w:rFonts w:hint="eastAsia" w:asciiTheme="minorEastAsia" w:hAnsiTheme="minorEastAsia" w:eastAsiaTheme="minorEastAsia" w:cstheme="minorEastAsia"/>
          <w:color w:val="auto"/>
          <w:kern w:val="0"/>
          <w:highlight w:val="none"/>
        </w:rPr>
        <w:t>工程造价咨询服务采购项目服务框架协议</w:t>
      </w:r>
      <w:r>
        <w:rPr>
          <w:rFonts w:hint="eastAsia" w:asciiTheme="minorEastAsia" w:hAnsiTheme="minorEastAsia" w:eastAsiaTheme="minorEastAsia" w:cstheme="minorEastAsia"/>
          <w:color w:val="auto"/>
          <w:kern w:val="0"/>
          <w:highlight w:val="none"/>
          <w:lang w:val="en-US" w:eastAsia="zh-CN"/>
        </w:rPr>
        <w:t>》</w:t>
      </w:r>
    </w:p>
    <w:p w14:paraId="5302DA6F">
      <w:pPr>
        <w:adjustRightInd/>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本协议书未尽之处，包括但不限于评审小组、派驻、保密、考核、人员及报告质量要求、违约、合同解除等事宜，按照甲方要求及上述文件执行。上述文件有冲突之处，效力以排序在前为优。</w:t>
      </w:r>
    </w:p>
    <w:p w14:paraId="282DFC43">
      <w:pPr>
        <w:adjustRightInd/>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本协议签订之后的补充协议、会议纪要、法律及政策文件变更了上述文件内容的，变更后的内容效力优先，且以最新的补充协议、会议纪要、法律及政策文件等为准。</w:t>
      </w:r>
    </w:p>
    <w:p w14:paraId="48A61EC7">
      <w:pPr>
        <w:snapToGrid w:val="0"/>
        <w:spacing w:line="500" w:lineRule="exact"/>
        <w:ind w:firstLine="482" w:firstLineChars="200"/>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lang w:eastAsia="zh-CN"/>
        </w:rPr>
        <w:t>三</w:t>
      </w:r>
      <w:r>
        <w:rPr>
          <w:rFonts w:hint="eastAsia" w:asciiTheme="minorEastAsia" w:hAnsiTheme="minorEastAsia" w:eastAsiaTheme="minorEastAsia" w:cstheme="minorEastAsia"/>
          <w:b/>
          <w:bCs/>
          <w:color w:val="auto"/>
          <w:kern w:val="0"/>
          <w:sz w:val="24"/>
          <w:highlight w:val="none"/>
        </w:rPr>
        <w:t>、甲方的权利和义务</w:t>
      </w:r>
    </w:p>
    <w:p w14:paraId="3ED77A12">
      <w:pPr>
        <w:widowControl/>
        <w:adjustRightInd/>
        <w:spacing w:line="500" w:lineRule="exact"/>
        <w:ind w:firstLine="64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1、甲方负责将被审核项目的资料移交给乙方。</w:t>
      </w:r>
    </w:p>
    <w:p w14:paraId="491F228E">
      <w:pPr>
        <w:widowControl/>
        <w:adjustRightInd/>
        <w:spacing w:line="500" w:lineRule="exact"/>
        <w:ind w:firstLine="64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2、甲方有权对乙方的审核质量、履约情况和现场工作进行监督管理及考核。</w:t>
      </w:r>
    </w:p>
    <w:p w14:paraId="2A73A4AC">
      <w:pPr>
        <w:widowControl/>
        <w:adjustRightInd/>
        <w:spacing w:line="500" w:lineRule="exact"/>
        <w:ind w:firstLine="64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3、甲方负责做好乙方与被审核单位之间的沟通及重大争议问题的协调。 </w:t>
      </w:r>
    </w:p>
    <w:p w14:paraId="7B50A53F">
      <w:pPr>
        <w:widowControl/>
        <w:adjustRightInd/>
        <w:spacing w:line="500" w:lineRule="exact"/>
        <w:ind w:firstLine="64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4、甲方有权要求乙方提供阶段性成果的书面说明；有权复核或全面复核乙方的评审结论，并出具复评结果。</w:t>
      </w:r>
    </w:p>
    <w:p w14:paraId="45B5C89F">
      <w:pPr>
        <w:widowControl/>
        <w:spacing w:line="500" w:lineRule="exact"/>
        <w:ind w:firstLine="64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5、甲方按《钱塘区限额以上政府投资项目委托评审管理细则》（钱评审发〔202</w:t>
      </w: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rPr>
        <w:t>〕1号）对乙方进行管理考核，如本协议履行过程中出台新文件的，按新文件执行。</w:t>
      </w:r>
    </w:p>
    <w:p w14:paraId="234AAC49">
      <w:pPr>
        <w:widowControl/>
        <w:spacing w:line="500" w:lineRule="exact"/>
        <w:ind w:firstLine="64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6、甲方有权以书面通知的方式提前终止委托关系。非因乙方违约原因导致甲方提前书面通知终止的，甲方应就乙方已经完成的工作量按实与乙方结算。因乙方违约原因导致甲方提前书面通知终止的，按本协议约定的违约责任处理。</w:t>
      </w:r>
    </w:p>
    <w:p w14:paraId="2DC19ED2">
      <w:pPr>
        <w:snapToGrid w:val="0"/>
        <w:spacing w:line="500" w:lineRule="exact"/>
        <w:ind w:firstLine="482" w:firstLineChars="200"/>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bCs/>
          <w:color w:val="auto"/>
          <w:sz w:val="24"/>
          <w:highlight w:val="none"/>
          <w:lang w:eastAsia="zh-CN"/>
        </w:rPr>
        <w:t>四</w:t>
      </w:r>
      <w:r>
        <w:rPr>
          <w:rFonts w:hint="eastAsia" w:asciiTheme="minorEastAsia" w:hAnsiTheme="minorEastAsia" w:eastAsiaTheme="minorEastAsia" w:cstheme="minorEastAsia"/>
          <w:b/>
          <w:bCs/>
          <w:color w:val="auto"/>
          <w:sz w:val="24"/>
          <w:highlight w:val="none"/>
        </w:rPr>
        <w:t>、乙方的</w:t>
      </w:r>
      <w:r>
        <w:rPr>
          <w:rFonts w:hint="eastAsia" w:asciiTheme="minorEastAsia" w:hAnsiTheme="minorEastAsia" w:eastAsiaTheme="minorEastAsia" w:cstheme="minorEastAsia"/>
          <w:b/>
          <w:bCs/>
          <w:color w:val="auto"/>
          <w:kern w:val="0"/>
          <w:sz w:val="24"/>
          <w:highlight w:val="none"/>
        </w:rPr>
        <w:t>权利</w:t>
      </w:r>
      <w:r>
        <w:rPr>
          <w:rFonts w:hint="eastAsia" w:asciiTheme="minorEastAsia" w:hAnsiTheme="minorEastAsia" w:eastAsiaTheme="minorEastAsia" w:cstheme="minorEastAsia"/>
          <w:b/>
          <w:color w:val="auto"/>
          <w:kern w:val="0"/>
          <w:sz w:val="24"/>
          <w:highlight w:val="none"/>
        </w:rPr>
        <w:t>和义务</w:t>
      </w:r>
    </w:p>
    <w:p w14:paraId="2FB6AC09">
      <w:pPr>
        <w:snapToGrid w:val="0"/>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自觉遵守财政部《财政投资评审管理规定》、建设部《工程造价咨询企业管理办法》、浙江省建设工程造价管理总站《浙江省建设工程造价咨询执业操作规程》、以及钱塘区最新文件等有关规定，严格执行评审廉政纪律和职业道德，保守评审秘密和工程资料数据的秘密。</w:t>
      </w:r>
    </w:p>
    <w:p w14:paraId="1FADB908">
      <w:pPr>
        <w:snapToGrid w:val="0"/>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2、乙方可以要求甲方提供与委托内容有关的资料。</w:t>
      </w:r>
    </w:p>
    <w:p w14:paraId="589CCAC0">
      <w:pPr>
        <w:snapToGrid w:val="0"/>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3、乙方在审核服务期间，有到工程现场勘查和调查取证的权利。</w:t>
      </w:r>
    </w:p>
    <w:p w14:paraId="532DADDB">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4、乙方可以要求甲方对有关问题作出解释和补充有关资料。</w:t>
      </w:r>
    </w:p>
    <w:p w14:paraId="3A696FAE">
      <w:pPr>
        <w:widowControl/>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乙方审核人员在审核时，应当客观公正、实事求是、遵守国家(省、市)各项技术规范与计算规则，并保持严谨、稳健、负责的职业态度，保证报告的真实性及合法性。项目审核中，应严格遵守审核纪律、规范审核行为。</w:t>
      </w:r>
    </w:p>
    <w:p w14:paraId="75B6B039">
      <w:pPr>
        <w:snapToGrid w:val="0"/>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乙方应严格按照甲方的有关规定和要求实施工程咨询服务，接受甲方的指导、监督和管理，同时按甲方的质量、进度格式要求及时提供审核结果、发表审核意见、反映审核中的主要问题、并提出加强管理的建议，并提供审核事项相关的评审资料。</w:t>
      </w:r>
    </w:p>
    <w:p w14:paraId="25F10774">
      <w:pPr>
        <w:snapToGrid w:val="0"/>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7、在协议履行期间，乙方应按甲方要求开展工作，在工作中遵循公平、公正、公开、合法、独立的原则，认真、细致、周到的进行服务。</w:t>
      </w:r>
    </w:p>
    <w:p w14:paraId="3654E308">
      <w:pPr>
        <w:tabs>
          <w:tab w:val="left" w:pos="720"/>
        </w:tabs>
        <w:spacing w:line="500" w:lineRule="exact"/>
        <w:ind w:firstLine="477" w:firstLineChars="19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8、甲方将审核</w:t>
      </w:r>
      <w:r>
        <w:rPr>
          <w:rFonts w:hint="eastAsia" w:asciiTheme="minorEastAsia" w:hAnsiTheme="minorEastAsia" w:eastAsiaTheme="minorEastAsia" w:cstheme="minorEastAsia"/>
          <w:color w:val="auto"/>
          <w:sz w:val="24"/>
          <w:highlight w:val="none"/>
        </w:rPr>
        <w:t>资料移交给乙方后，乙方有义务对所有资料进行妥善保管，确保评审结束后完整移交送审资料。</w:t>
      </w:r>
    </w:p>
    <w:p w14:paraId="5299636D">
      <w:pPr>
        <w:tabs>
          <w:tab w:val="left" w:pos="720"/>
        </w:tabs>
        <w:spacing w:line="500" w:lineRule="exact"/>
        <w:ind w:firstLine="477" w:firstLineChars="199"/>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9、非涉及项目回避的，乙方不能拒绝或推托甲方分派的项目。如乙方确实无法承担该项业务，应在接收送审资料前提交书面说明，甲方将该项业务另行分派。该类情况在本轮协议期内不得超过两次，否则取消其后续承接评审业务的资格。</w:t>
      </w:r>
    </w:p>
    <w:p w14:paraId="6F8DD375">
      <w:pPr>
        <w:tabs>
          <w:tab w:val="left" w:pos="720"/>
        </w:tabs>
        <w:spacing w:line="500" w:lineRule="exact"/>
        <w:ind w:firstLine="477" w:firstLineChars="199"/>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10、乙方在承接甲方委托的任何一个评审项目时，都须提供该项目具体参与评审人员与乙方签订的书面劳动合同及在本单位缴纳的的社保证明书面资料，否则甲方有权提前解除本协议，并不予支付该项目评审费用。</w:t>
      </w:r>
    </w:p>
    <w:p w14:paraId="53475E12">
      <w:pPr>
        <w:pStyle w:val="22"/>
        <w:spacing w:line="500" w:lineRule="exact"/>
        <w:ind w:firstLine="482"/>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eastAsia="zh-CN"/>
        </w:rPr>
        <w:t>五</w:t>
      </w:r>
      <w:r>
        <w:rPr>
          <w:rFonts w:hint="eastAsia" w:asciiTheme="minorEastAsia" w:hAnsiTheme="minorEastAsia" w:eastAsiaTheme="minorEastAsia" w:cstheme="minorEastAsia"/>
          <w:b/>
          <w:bCs/>
          <w:color w:val="auto"/>
          <w:highlight w:val="none"/>
        </w:rPr>
        <w:t>、乙方的责任</w:t>
      </w:r>
    </w:p>
    <w:p w14:paraId="630BDDA3">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乙方应确保项目评审工作质量，按甲方及</w:t>
      </w:r>
      <w:r>
        <w:rPr>
          <w:rFonts w:hint="eastAsia" w:asciiTheme="minorEastAsia" w:hAnsiTheme="minorEastAsia" w:eastAsiaTheme="minorEastAsia" w:cstheme="minorEastAsia"/>
          <w:color w:val="auto"/>
          <w:kern w:val="0"/>
          <w:sz w:val="24"/>
          <w:highlight w:val="none"/>
          <w:lang w:eastAsia="zh-CN"/>
        </w:rPr>
        <w:t>征集</w:t>
      </w:r>
      <w:r>
        <w:rPr>
          <w:rFonts w:hint="eastAsia" w:asciiTheme="minorEastAsia" w:hAnsiTheme="minorEastAsia" w:eastAsiaTheme="minorEastAsia" w:cstheme="minorEastAsia"/>
          <w:color w:val="auto"/>
          <w:kern w:val="0"/>
          <w:sz w:val="24"/>
          <w:highlight w:val="none"/>
        </w:rPr>
        <w:t>文件时间要求完成评审工作。项目评审应当严格遵守国家的有关法律、法规、制度及有关执业规范要求，乙方对评审意见的真实性、完整性、合法性、准确性负法律责任。乙方出具的评审报告只向甲方提供，不得自行提供给施工单位、建设单位或其他单位，对提供虚假评审报告或自行对外提供评审报告的，甲方可终止</w:t>
      </w:r>
      <w:r>
        <w:rPr>
          <w:rFonts w:hint="eastAsia" w:asciiTheme="minorEastAsia" w:hAnsiTheme="minorEastAsia" w:eastAsiaTheme="minorEastAsia" w:cstheme="minorEastAsia"/>
          <w:color w:val="auto"/>
          <w:kern w:val="0"/>
          <w:sz w:val="24"/>
          <w:highlight w:val="none"/>
          <w:lang w:val="en-US" w:eastAsia="zh-CN"/>
        </w:rPr>
        <w:t>本</w:t>
      </w:r>
      <w:r>
        <w:rPr>
          <w:rFonts w:hint="eastAsia" w:asciiTheme="minorEastAsia" w:hAnsiTheme="minorEastAsia" w:eastAsiaTheme="minorEastAsia" w:cstheme="minorEastAsia"/>
          <w:color w:val="auto"/>
          <w:kern w:val="0"/>
          <w:sz w:val="24"/>
          <w:highlight w:val="none"/>
        </w:rPr>
        <w:t>协议，情节严重的，将依法追究乙方和相关责任人的法律责任。</w:t>
      </w:r>
    </w:p>
    <w:p w14:paraId="03920F4E">
      <w:pPr>
        <w:tabs>
          <w:tab w:val="left" w:pos="720"/>
        </w:tabs>
        <w:spacing w:line="500" w:lineRule="exact"/>
        <w:ind w:firstLine="477" w:firstLineChars="199"/>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乙方应建立三级复核制度，并在提交评审稿的同时提交内部复核流程意见单（需要三级签字盖章并签署明确复核意见）。</w:t>
      </w:r>
    </w:p>
    <w:p w14:paraId="69D148F1">
      <w:pPr>
        <w:tabs>
          <w:tab w:val="left" w:pos="720"/>
        </w:tabs>
        <w:spacing w:line="500" w:lineRule="exact"/>
        <w:ind w:firstLine="477" w:firstLineChars="199"/>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在完成项目评审时，乙方需出具评审报告，并按要求做好造价指标统计，并在15日内按照相关法律法规要求做好资料归档工作。</w:t>
      </w:r>
    </w:p>
    <w:p w14:paraId="393CA79D">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kern w:val="0"/>
          <w:sz w:val="24"/>
          <w:highlight w:val="none"/>
        </w:rPr>
        <w:t>乙方有下列情形之一的，经甲方核实，甲方可立即全面终止</w:t>
      </w:r>
      <w:r>
        <w:rPr>
          <w:rFonts w:hint="eastAsia" w:asciiTheme="minorEastAsia" w:hAnsiTheme="minorEastAsia" w:eastAsiaTheme="minorEastAsia" w:cstheme="minorEastAsia"/>
          <w:color w:val="auto"/>
          <w:kern w:val="0"/>
          <w:sz w:val="24"/>
          <w:highlight w:val="none"/>
          <w:lang w:val="en-US" w:eastAsia="zh-CN"/>
        </w:rPr>
        <w:t>本协议</w:t>
      </w:r>
      <w:r>
        <w:rPr>
          <w:rFonts w:hint="eastAsia" w:asciiTheme="minorEastAsia" w:hAnsiTheme="minorEastAsia" w:eastAsiaTheme="minorEastAsia" w:cstheme="minorEastAsia"/>
          <w:color w:val="auto"/>
          <w:kern w:val="0"/>
          <w:sz w:val="24"/>
          <w:highlight w:val="none"/>
        </w:rPr>
        <w:t>的执行，</w:t>
      </w:r>
      <w:r>
        <w:rPr>
          <w:rFonts w:hint="eastAsia" w:asciiTheme="minorEastAsia" w:hAnsiTheme="minorEastAsia" w:eastAsiaTheme="minorEastAsia" w:cstheme="minorEastAsia"/>
          <w:color w:val="auto"/>
          <w:kern w:val="0"/>
          <w:sz w:val="24"/>
          <w:highlight w:val="none"/>
          <w:lang w:val="en-US" w:eastAsia="zh-CN"/>
        </w:rPr>
        <w:t>乙方</w:t>
      </w:r>
      <w:r>
        <w:rPr>
          <w:rFonts w:hint="eastAsia" w:asciiTheme="minorEastAsia" w:hAnsiTheme="minorEastAsia" w:eastAsiaTheme="minorEastAsia" w:cstheme="minorEastAsia"/>
          <w:color w:val="auto"/>
          <w:kern w:val="0"/>
          <w:sz w:val="24"/>
          <w:highlight w:val="none"/>
        </w:rPr>
        <w:t>造成损失的应当赔偿损失。</w:t>
      </w:r>
      <w:r>
        <w:rPr>
          <w:rFonts w:hint="eastAsia" w:asciiTheme="minorEastAsia" w:hAnsiTheme="minorEastAsia" w:eastAsiaTheme="minorEastAsia" w:cstheme="minorEastAsia"/>
          <w:color w:val="auto"/>
          <w:kern w:val="0"/>
          <w:sz w:val="24"/>
          <w:highlight w:val="none"/>
          <w:lang w:val="en-US" w:eastAsia="zh-CN"/>
        </w:rPr>
        <w:t>甲方</w:t>
      </w:r>
      <w:r>
        <w:rPr>
          <w:rFonts w:hint="eastAsia" w:asciiTheme="minorEastAsia" w:hAnsiTheme="minorEastAsia" w:eastAsiaTheme="minorEastAsia" w:cstheme="minorEastAsia"/>
          <w:color w:val="auto"/>
          <w:kern w:val="0"/>
          <w:sz w:val="24"/>
          <w:highlight w:val="none"/>
        </w:rPr>
        <w:t>同时提请有关部门追究有关当事人的责任：</w:t>
      </w:r>
    </w:p>
    <w:p w14:paraId="34C6FBC3">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rPr>
        <w:t>.1没有按照甲方及《钱塘区限额以上政府投资项目委托评审管理细则》（钱评审发〔202</w:t>
      </w: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rPr>
        <w:t>〕1号）文件</w:t>
      </w:r>
      <w:r>
        <w:rPr>
          <w:rFonts w:hint="eastAsia" w:ascii="宋体" w:hAnsi="宋体" w:cs="宋体"/>
          <w:color w:val="auto"/>
          <w:kern w:val="2"/>
          <w:sz w:val="24"/>
          <w:highlight w:val="none"/>
          <w:lang w:eastAsia="zh-CN"/>
        </w:rPr>
        <w:t>（注：有新文件出台，按新文件）</w:t>
      </w:r>
      <w:r>
        <w:rPr>
          <w:rFonts w:hint="eastAsia" w:asciiTheme="minorEastAsia" w:hAnsiTheme="minorEastAsia" w:eastAsiaTheme="minorEastAsia" w:cstheme="minorEastAsia"/>
          <w:color w:val="auto"/>
          <w:kern w:val="0"/>
          <w:sz w:val="24"/>
          <w:highlight w:val="none"/>
        </w:rPr>
        <w:t>规定审核程序和步骤开展工作，导致</w:t>
      </w:r>
      <w:r>
        <w:rPr>
          <w:rFonts w:hint="eastAsia" w:asciiTheme="minorEastAsia" w:hAnsiTheme="minorEastAsia" w:eastAsiaTheme="minorEastAsia" w:cstheme="minorEastAsia"/>
          <w:color w:val="auto"/>
          <w:sz w:val="24"/>
          <w:highlight w:val="none"/>
        </w:rPr>
        <w:t>审核</w:t>
      </w:r>
      <w:r>
        <w:rPr>
          <w:rFonts w:hint="eastAsia" w:asciiTheme="minorEastAsia" w:hAnsiTheme="minorEastAsia" w:eastAsiaTheme="minorEastAsia" w:cstheme="minorEastAsia"/>
          <w:color w:val="auto"/>
          <w:kern w:val="0"/>
          <w:sz w:val="24"/>
          <w:highlight w:val="none"/>
        </w:rPr>
        <w:t>结果产生负面影响的，或重大违纪违规问题应当披露而未披露的；</w:t>
      </w:r>
    </w:p>
    <w:p w14:paraId="0CBCF324">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rPr>
        <w:t>.2发生将委托的审核业务转包给其他单位或个人；</w:t>
      </w:r>
    </w:p>
    <w:p w14:paraId="79E865D3">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rPr>
        <w:t>.3不履行回避义务，接受相关单位委托，承担与甲方有利益冲突的业务；</w:t>
      </w:r>
    </w:p>
    <w:p w14:paraId="29F0726D">
      <w:pPr>
        <w:snapToGrid w:val="0"/>
        <w:spacing w:line="500" w:lineRule="exact"/>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rPr>
        <w:t>.4</w:t>
      </w:r>
      <w:r>
        <w:rPr>
          <w:rFonts w:hint="eastAsia" w:asciiTheme="minorEastAsia" w:hAnsiTheme="minorEastAsia" w:eastAsiaTheme="minorEastAsia" w:cstheme="minorEastAsia"/>
          <w:color w:val="auto"/>
          <w:sz w:val="24"/>
          <w:highlight w:val="none"/>
        </w:rPr>
        <w:t>其他违反法律、行政法规、</w:t>
      </w:r>
      <w:r>
        <w:rPr>
          <w:rFonts w:hint="eastAsia" w:asciiTheme="minorEastAsia" w:hAnsiTheme="minorEastAsia" w:eastAsiaTheme="minorEastAsia" w:cstheme="minorEastAsia"/>
          <w:color w:val="auto"/>
          <w:kern w:val="0"/>
          <w:sz w:val="24"/>
          <w:highlight w:val="none"/>
        </w:rPr>
        <w:t>制度及有关执业规范要求</w:t>
      </w:r>
      <w:r>
        <w:rPr>
          <w:rFonts w:hint="eastAsia" w:asciiTheme="minorEastAsia" w:hAnsiTheme="minorEastAsia" w:eastAsiaTheme="minorEastAsia" w:cstheme="minorEastAsia"/>
          <w:color w:val="auto"/>
          <w:sz w:val="24"/>
          <w:highlight w:val="none"/>
        </w:rPr>
        <w:t>等行为</w:t>
      </w:r>
      <w:r>
        <w:rPr>
          <w:rFonts w:hint="eastAsia" w:asciiTheme="minorEastAsia" w:hAnsiTheme="minorEastAsia" w:eastAsiaTheme="minorEastAsia" w:cstheme="minorEastAsia"/>
          <w:color w:val="auto"/>
          <w:sz w:val="24"/>
          <w:highlight w:val="none"/>
          <w:lang w:eastAsia="zh-CN"/>
        </w:rPr>
        <w:t>。</w:t>
      </w:r>
    </w:p>
    <w:p w14:paraId="532C2A0F">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乙方承诺对于履行本协议过程中获知的甲方及有关第三方的未公开信息、乙方提供的评审业务成果予以保密，未经甲方书面同意，乙方不得透露给任何第三方</w:t>
      </w:r>
      <w:r>
        <w:rPr>
          <w:rFonts w:hint="eastAsia" w:asciiTheme="minorEastAsia" w:hAnsiTheme="minorEastAsia" w:eastAsiaTheme="minorEastAsia" w:cstheme="minorEastAsia"/>
          <w:color w:val="auto"/>
          <w:kern w:val="0"/>
          <w:sz w:val="24"/>
          <w:highlight w:val="none"/>
        </w:rPr>
        <w:t>。本条约定的乙方的保密义务的期限为长期，不因本协议的变更、解除、终止而失效。</w:t>
      </w:r>
    </w:p>
    <w:p w14:paraId="408B165D">
      <w:pPr>
        <w:pStyle w:val="22"/>
        <w:spacing w:line="500" w:lineRule="exact"/>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lang w:val="en-US" w:eastAsia="zh-CN"/>
        </w:rPr>
        <w:t>6、</w:t>
      </w:r>
      <w:r>
        <w:rPr>
          <w:rFonts w:hint="eastAsia" w:asciiTheme="minorEastAsia" w:hAnsiTheme="minorEastAsia" w:eastAsiaTheme="minorEastAsia" w:cstheme="minorEastAsia"/>
          <w:bCs/>
          <w:color w:val="auto"/>
          <w:kern w:val="0"/>
          <w:sz w:val="24"/>
          <w:highlight w:val="none"/>
        </w:rPr>
        <w:t>乙方在履行本协议过程中及其提供的评审业务成果不得侵犯他人的合法权利，否则相应责任由乙方自行承担，给甲方造成损失的，甲方有权向乙方追偿。</w:t>
      </w:r>
    </w:p>
    <w:p w14:paraId="37B110B3">
      <w:pPr>
        <w:snapToGrid w:val="0"/>
        <w:spacing w:line="500" w:lineRule="exact"/>
        <w:ind w:firstLine="480" w:firstLineChars="200"/>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lang w:val="en-US" w:eastAsia="zh-CN"/>
        </w:rPr>
        <w:t>7、</w:t>
      </w:r>
      <w:r>
        <w:rPr>
          <w:rFonts w:hint="eastAsia" w:asciiTheme="minorEastAsia" w:hAnsiTheme="minorEastAsia" w:eastAsiaTheme="minorEastAsia" w:cstheme="minorEastAsia"/>
          <w:bCs/>
          <w:color w:val="auto"/>
          <w:kern w:val="0"/>
          <w:sz w:val="24"/>
          <w:highlight w:val="none"/>
        </w:rPr>
        <w:t>乙方提供的评审</w:t>
      </w:r>
      <w:r>
        <w:rPr>
          <w:rFonts w:hint="eastAsia" w:asciiTheme="minorEastAsia" w:hAnsiTheme="minorEastAsia" w:eastAsiaTheme="minorEastAsia" w:cstheme="minorEastAsia"/>
          <w:color w:val="auto"/>
          <w:sz w:val="24"/>
          <w:highlight w:val="none"/>
        </w:rPr>
        <w:t>业务成果</w:t>
      </w:r>
      <w:r>
        <w:rPr>
          <w:rFonts w:hint="eastAsia" w:asciiTheme="minorEastAsia" w:hAnsiTheme="minorEastAsia" w:eastAsiaTheme="minorEastAsia" w:cstheme="minorEastAsia"/>
          <w:bCs/>
          <w:color w:val="auto"/>
          <w:kern w:val="0"/>
          <w:sz w:val="24"/>
          <w:highlight w:val="none"/>
        </w:rPr>
        <w:t>的知识产权及所有权属于甲方，未经甲方同意，乙方不得擅自使用或向第三方提供。</w:t>
      </w:r>
    </w:p>
    <w:p w14:paraId="37114CCB">
      <w:pPr>
        <w:widowControl/>
        <w:spacing w:line="500" w:lineRule="exac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lang w:eastAsia="zh-CN"/>
        </w:rPr>
        <w:t>六</w:t>
      </w:r>
      <w:r>
        <w:rPr>
          <w:rFonts w:hint="eastAsia" w:asciiTheme="minorEastAsia" w:hAnsiTheme="minorEastAsia" w:eastAsiaTheme="minorEastAsia" w:cstheme="minorEastAsia"/>
          <w:b/>
          <w:color w:val="auto"/>
          <w:kern w:val="0"/>
          <w:sz w:val="24"/>
          <w:highlight w:val="none"/>
        </w:rPr>
        <w:t>、审核时间要求</w:t>
      </w:r>
    </w:p>
    <w:p w14:paraId="499282F3">
      <w:pPr>
        <w:pStyle w:val="22"/>
        <w:spacing w:line="500" w:lineRule="exac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乙方应按下表时间完成项目评审，不能在规定时间完成评审，应及时向甲方报告，并说明原因；对甲方提出的需调整计划时间节点的特殊项目，乙方应采取强有力的措施确保在甲方规定的时间完成项目审核。</w:t>
      </w:r>
    </w:p>
    <w:tbl>
      <w:tblPr>
        <w:tblStyle w:val="51"/>
        <w:tblW w:w="8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144"/>
        <w:gridCol w:w="3600"/>
      </w:tblGrid>
      <w:tr w14:paraId="03FD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350" w:type="dxa"/>
            <w:gridSpan w:val="2"/>
            <w:vAlign w:val="center"/>
          </w:tcPr>
          <w:p w14:paraId="0B77E650">
            <w:pPr>
              <w:tabs>
                <w:tab w:val="left" w:pos="0"/>
              </w:tabs>
              <w:spacing w:line="240" w:lineRule="exact"/>
              <w:ind w:firstLine="1050" w:firstLineChars="5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评审项目类型及送审额</w:t>
            </w:r>
          </w:p>
        </w:tc>
        <w:tc>
          <w:tcPr>
            <w:tcW w:w="3600" w:type="dxa"/>
            <w:vAlign w:val="center"/>
          </w:tcPr>
          <w:p w14:paraId="701B2709">
            <w:pPr>
              <w:tabs>
                <w:tab w:val="left" w:pos="0"/>
              </w:tabs>
              <w:spacing w:line="240" w:lineRule="exact"/>
              <w:ind w:firstLine="840" w:firstLineChars="400"/>
              <w:rPr>
                <w:rFonts w:cs="Helvetica" w:asciiTheme="minorEastAsia" w:hAnsiTheme="minorEastAsia" w:eastAsiaTheme="minorEastAsia"/>
                <w:color w:val="auto"/>
                <w:kern w:val="0"/>
                <w:highlight w:val="none"/>
              </w:rPr>
            </w:pPr>
          </w:p>
        </w:tc>
      </w:tr>
      <w:tr w14:paraId="3D72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206" w:type="dxa"/>
            <w:vAlign w:val="center"/>
          </w:tcPr>
          <w:p w14:paraId="0CA9E97C">
            <w:pPr>
              <w:tabs>
                <w:tab w:val="left" w:pos="0"/>
              </w:tabs>
              <w:spacing w:line="240" w:lineRule="exact"/>
              <w:ind w:firstLine="210" w:firstLineChars="10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概算</w:t>
            </w:r>
          </w:p>
          <w:p w14:paraId="2159BF8A">
            <w:pPr>
              <w:tabs>
                <w:tab w:val="left" w:pos="0"/>
              </w:tabs>
              <w:spacing w:line="240" w:lineRule="exact"/>
              <w:ind w:firstLine="210" w:firstLineChars="10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复核</w:t>
            </w:r>
          </w:p>
        </w:tc>
        <w:tc>
          <w:tcPr>
            <w:tcW w:w="4144" w:type="dxa"/>
            <w:vAlign w:val="center"/>
          </w:tcPr>
          <w:p w14:paraId="5FDF3174">
            <w:pPr>
              <w:tabs>
                <w:tab w:val="left" w:pos="0"/>
              </w:tabs>
              <w:spacing w:line="240" w:lineRule="exact"/>
              <w:ind w:firstLine="1260" w:firstLineChars="60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所有项目</w:t>
            </w:r>
          </w:p>
        </w:tc>
        <w:tc>
          <w:tcPr>
            <w:tcW w:w="3600" w:type="dxa"/>
            <w:vAlign w:val="center"/>
          </w:tcPr>
          <w:p w14:paraId="7D03EE06">
            <w:pPr>
              <w:tabs>
                <w:tab w:val="left" w:pos="0"/>
              </w:tabs>
              <w:spacing w:line="240" w:lineRule="exact"/>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从收到完整资料8个工作日</w:t>
            </w:r>
          </w:p>
        </w:tc>
      </w:tr>
      <w:tr w14:paraId="74B4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206" w:type="dxa"/>
            <w:vMerge w:val="restart"/>
            <w:vAlign w:val="center"/>
          </w:tcPr>
          <w:p w14:paraId="2F4D6110">
            <w:pPr>
              <w:tabs>
                <w:tab w:val="left" w:pos="0"/>
              </w:tabs>
              <w:spacing w:line="240" w:lineRule="exact"/>
              <w:ind w:firstLine="210" w:firstLineChars="10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结算</w:t>
            </w:r>
          </w:p>
          <w:p w14:paraId="6EF937C5">
            <w:pPr>
              <w:tabs>
                <w:tab w:val="left" w:pos="0"/>
              </w:tabs>
              <w:spacing w:line="240" w:lineRule="exact"/>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全面复核</w:t>
            </w:r>
          </w:p>
        </w:tc>
        <w:tc>
          <w:tcPr>
            <w:tcW w:w="4144" w:type="dxa"/>
            <w:vAlign w:val="center"/>
          </w:tcPr>
          <w:p w14:paraId="6F62735F">
            <w:pPr>
              <w:tabs>
                <w:tab w:val="left" w:pos="0"/>
              </w:tabs>
              <w:spacing w:line="240" w:lineRule="exact"/>
              <w:ind w:firstLine="210" w:firstLineChars="100"/>
              <w:jc w:val="center"/>
              <w:rPr>
                <w:rFonts w:cs="Helvetica" w:asciiTheme="minorEastAsia" w:hAnsiTheme="minorEastAsia" w:eastAsiaTheme="minorEastAsia"/>
                <w:color w:val="auto"/>
                <w:kern w:val="0"/>
                <w:highlight w:val="none"/>
                <w:lang w:eastAsia="en-US"/>
              </w:rPr>
            </w:pPr>
            <w:r>
              <w:rPr>
                <w:rFonts w:hint="eastAsia" w:cs="Helvetica" w:asciiTheme="minorEastAsia" w:hAnsiTheme="minorEastAsia" w:eastAsiaTheme="minorEastAsia"/>
                <w:color w:val="auto"/>
                <w:kern w:val="0"/>
                <w:highlight w:val="none"/>
              </w:rPr>
              <w:t>送审1000万元-</w:t>
            </w:r>
            <w:r>
              <w:rPr>
                <w:rFonts w:hint="eastAsia" w:cs="Helvetica" w:asciiTheme="minorEastAsia" w:hAnsiTheme="minorEastAsia" w:eastAsiaTheme="minorEastAsia"/>
                <w:color w:val="auto"/>
                <w:kern w:val="0"/>
                <w:highlight w:val="none"/>
                <w:lang w:val="en-US" w:eastAsia="zh-CN"/>
              </w:rPr>
              <w:t>5</w:t>
            </w:r>
            <w:r>
              <w:rPr>
                <w:rFonts w:hint="eastAsia" w:cs="Helvetica" w:asciiTheme="minorEastAsia" w:hAnsiTheme="minorEastAsia" w:eastAsiaTheme="minorEastAsia"/>
                <w:color w:val="auto"/>
                <w:kern w:val="0"/>
                <w:highlight w:val="none"/>
              </w:rPr>
              <w:t>000万元（含）</w:t>
            </w:r>
          </w:p>
        </w:tc>
        <w:tc>
          <w:tcPr>
            <w:tcW w:w="3600" w:type="dxa"/>
            <w:vAlign w:val="center"/>
          </w:tcPr>
          <w:p w14:paraId="0B7EA997">
            <w:pPr>
              <w:tabs>
                <w:tab w:val="left" w:pos="0"/>
              </w:tabs>
              <w:spacing w:line="240" w:lineRule="exact"/>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eastAsia" w:cs="Helvetica" w:asciiTheme="minorEastAsia" w:hAnsiTheme="minorEastAsia" w:eastAsiaTheme="minorEastAsia"/>
                <w:color w:val="auto"/>
                <w:kern w:val="0"/>
                <w:highlight w:val="none"/>
                <w:lang w:val="en-US" w:eastAsia="zh-CN"/>
              </w:rPr>
              <w:t>36</w:t>
            </w:r>
            <w:r>
              <w:rPr>
                <w:rFonts w:hint="eastAsia" w:cs="Helvetica" w:asciiTheme="minorEastAsia" w:hAnsiTheme="minorEastAsia" w:eastAsiaTheme="minorEastAsia"/>
                <w:color w:val="auto"/>
                <w:kern w:val="0"/>
                <w:highlight w:val="none"/>
              </w:rPr>
              <w:t>天</w:t>
            </w:r>
          </w:p>
        </w:tc>
      </w:tr>
      <w:tr w14:paraId="5650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06" w:type="dxa"/>
            <w:vMerge w:val="continue"/>
            <w:vAlign w:val="center"/>
          </w:tcPr>
          <w:p w14:paraId="3754274F">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4043052D">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送审额5000万-10000万元（含）</w:t>
            </w:r>
          </w:p>
        </w:tc>
        <w:tc>
          <w:tcPr>
            <w:tcW w:w="3600" w:type="dxa"/>
            <w:vAlign w:val="center"/>
          </w:tcPr>
          <w:p w14:paraId="13F99D67">
            <w:pPr>
              <w:tabs>
                <w:tab w:val="left" w:pos="0"/>
              </w:tabs>
              <w:spacing w:line="240" w:lineRule="exact"/>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eastAsia" w:cs="Helvetica" w:asciiTheme="minorEastAsia" w:hAnsiTheme="minorEastAsia" w:eastAsiaTheme="minorEastAsia"/>
                <w:color w:val="auto"/>
                <w:kern w:val="0"/>
                <w:highlight w:val="none"/>
                <w:lang w:val="en-US" w:eastAsia="zh-CN"/>
              </w:rPr>
              <w:t>54</w:t>
            </w:r>
            <w:r>
              <w:rPr>
                <w:rFonts w:hint="eastAsia" w:cs="Helvetica" w:asciiTheme="minorEastAsia" w:hAnsiTheme="minorEastAsia" w:eastAsiaTheme="minorEastAsia"/>
                <w:color w:val="auto"/>
                <w:kern w:val="0"/>
                <w:highlight w:val="none"/>
              </w:rPr>
              <w:t>天</w:t>
            </w:r>
          </w:p>
        </w:tc>
      </w:tr>
      <w:tr w14:paraId="4637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206" w:type="dxa"/>
            <w:vMerge w:val="continue"/>
            <w:vAlign w:val="center"/>
          </w:tcPr>
          <w:p w14:paraId="6C78F493">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1E57C84D">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送审额10000万元-</w:t>
            </w:r>
            <w:r>
              <w:rPr>
                <w:rFonts w:hint="eastAsia" w:cs="Helvetica" w:asciiTheme="minorEastAsia" w:hAnsiTheme="minorEastAsia" w:eastAsiaTheme="minorEastAsia"/>
                <w:color w:val="auto"/>
                <w:kern w:val="0"/>
                <w:highlight w:val="none"/>
                <w:lang w:val="en-US" w:eastAsia="zh-CN"/>
              </w:rPr>
              <w:t>50</w:t>
            </w:r>
            <w:r>
              <w:rPr>
                <w:rFonts w:hint="eastAsia" w:cs="Helvetica" w:asciiTheme="minorEastAsia" w:hAnsiTheme="minorEastAsia" w:eastAsiaTheme="minorEastAsia"/>
                <w:color w:val="auto"/>
                <w:kern w:val="0"/>
                <w:highlight w:val="none"/>
              </w:rPr>
              <w:t>000万元（含）</w:t>
            </w:r>
          </w:p>
        </w:tc>
        <w:tc>
          <w:tcPr>
            <w:tcW w:w="3600" w:type="dxa"/>
            <w:vAlign w:val="center"/>
          </w:tcPr>
          <w:p w14:paraId="4A3B6CF7">
            <w:pPr>
              <w:tabs>
                <w:tab w:val="left" w:pos="0"/>
              </w:tabs>
              <w:spacing w:line="240" w:lineRule="exact"/>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eastAsia" w:cs="Helvetica" w:asciiTheme="minorEastAsia" w:hAnsiTheme="minorEastAsia" w:eastAsiaTheme="minorEastAsia"/>
                <w:color w:val="auto"/>
                <w:kern w:val="0"/>
                <w:highlight w:val="none"/>
                <w:lang w:val="en-US" w:eastAsia="zh-CN"/>
              </w:rPr>
              <w:t>72</w:t>
            </w:r>
            <w:r>
              <w:rPr>
                <w:rFonts w:hint="eastAsia" w:cs="Helvetica" w:asciiTheme="minorEastAsia" w:hAnsiTheme="minorEastAsia" w:eastAsiaTheme="minorEastAsia"/>
                <w:color w:val="auto"/>
                <w:kern w:val="0"/>
                <w:highlight w:val="none"/>
              </w:rPr>
              <w:t>天</w:t>
            </w:r>
          </w:p>
        </w:tc>
      </w:tr>
      <w:tr w14:paraId="36A9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206" w:type="dxa"/>
            <w:vMerge w:val="continue"/>
            <w:vAlign w:val="center"/>
          </w:tcPr>
          <w:p w14:paraId="02CCB37D">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5247E6E5">
            <w:pPr>
              <w:tabs>
                <w:tab w:val="left" w:pos="0"/>
              </w:tabs>
              <w:spacing w:line="240" w:lineRule="exact"/>
              <w:ind w:firstLine="48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w:t>
            </w:r>
            <w:r>
              <w:rPr>
                <w:rFonts w:hint="eastAsia" w:cs="Helvetica" w:asciiTheme="minorEastAsia" w:hAnsiTheme="minorEastAsia" w:eastAsiaTheme="minorEastAsia"/>
                <w:color w:val="auto"/>
                <w:kern w:val="0"/>
                <w:highlight w:val="none"/>
                <w:lang w:val="en-US" w:eastAsia="zh-CN"/>
              </w:rPr>
              <w:t>50</w:t>
            </w:r>
            <w:r>
              <w:rPr>
                <w:rFonts w:hint="eastAsia" w:cs="Helvetica" w:asciiTheme="minorEastAsia" w:hAnsiTheme="minorEastAsia" w:eastAsiaTheme="minorEastAsia"/>
                <w:color w:val="auto"/>
                <w:kern w:val="0"/>
                <w:highlight w:val="none"/>
              </w:rPr>
              <w:t>000万元以上</w:t>
            </w:r>
          </w:p>
        </w:tc>
        <w:tc>
          <w:tcPr>
            <w:tcW w:w="3600" w:type="dxa"/>
            <w:vAlign w:val="center"/>
          </w:tcPr>
          <w:p w14:paraId="45032CB5">
            <w:pPr>
              <w:tabs>
                <w:tab w:val="left" w:pos="0"/>
              </w:tabs>
              <w:spacing w:line="240" w:lineRule="exact"/>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eastAsia" w:cs="Helvetica" w:asciiTheme="minorEastAsia" w:hAnsiTheme="minorEastAsia" w:eastAsiaTheme="minorEastAsia"/>
                <w:color w:val="auto"/>
                <w:kern w:val="0"/>
                <w:highlight w:val="none"/>
                <w:lang w:val="en-US" w:eastAsia="zh-CN"/>
              </w:rPr>
              <w:t>90</w:t>
            </w:r>
            <w:r>
              <w:rPr>
                <w:rFonts w:hint="eastAsia" w:cs="Helvetica" w:asciiTheme="minorEastAsia" w:hAnsiTheme="minorEastAsia" w:eastAsiaTheme="minorEastAsia"/>
                <w:color w:val="auto"/>
                <w:kern w:val="0"/>
                <w:highlight w:val="none"/>
              </w:rPr>
              <w:t>天</w:t>
            </w:r>
          </w:p>
        </w:tc>
      </w:tr>
      <w:tr w14:paraId="13CC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50" w:type="dxa"/>
            <w:gridSpan w:val="2"/>
            <w:vAlign w:val="center"/>
          </w:tcPr>
          <w:p w14:paraId="2942F12C">
            <w:pPr>
              <w:tabs>
                <w:tab w:val="left" w:pos="0"/>
              </w:tabs>
              <w:spacing w:line="240" w:lineRule="exact"/>
              <w:ind w:firstLine="1050" w:firstLineChars="5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评审项目类型及送审额</w:t>
            </w:r>
          </w:p>
        </w:tc>
        <w:tc>
          <w:tcPr>
            <w:tcW w:w="3600" w:type="dxa"/>
            <w:vAlign w:val="center"/>
          </w:tcPr>
          <w:p w14:paraId="22F53583">
            <w:pPr>
              <w:tabs>
                <w:tab w:val="left" w:pos="0"/>
              </w:tabs>
              <w:spacing w:line="240" w:lineRule="exact"/>
              <w:ind w:firstLine="480"/>
              <w:jc w:val="center"/>
              <w:rPr>
                <w:rFonts w:cs="Helvetica" w:asciiTheme="minorEastAsia" w:hAnsiTheme="minorEastAsia" w:eastAsiaTheme="minorEastAsia"/>
                <w:color w:val="auto"/>
                <w:kern w:val="0"/>
                <w:highlight w:val="none"/>
              </w:rPr>
            </w:pPr>
          </w:p>
        </w:tc>
      </w:tr>
      <w:tr w14:paraId="0D62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6" w:type="dxa"/>
            <w:vMerge w:val="restart"/>
            <w:vAlign w:val="center"/>
          </w:tcPr>
          <w:p w14:paraId="706470B8">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结算</w:t>
            </w:r>
          </w:p>
          <w:p w14:paraId="5D1263FB">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复核</w:t>
            </w:r>
          </w:p>
        </w:tc>
        <w:tc>
          <w:tcPr>
            <w:tcW w:w="4144" w:type="dxa"/>
            <w:vAlign w:val="center"/>
          </w:tcPr>
          <w:p w14:paraId="70209F97">
            <w:pPr>
              <w:tabs>
                <w:tab w:val="left" w:pos="0"/>
              </w:tabs>
              <w:spacing w:line="240" w:lineRule="exact"/>
              <w:ind w:firstLine="210" w:firstLineChars="100"/>
              <w:jc w:val="center"/>
              <w:rPr>
                <w:rFonts w:cs="Helvetica" w:asciiTheme="minorEastAsia" w:hAnsiTheme="minorEastAsia" w:eastAsiaTheme="minorEastAsia"/>
                <w:color w:val="auto"/>
                <w:kern w:val="0"/>
                <w:highlight w:val="none"/>
                <w:lang w:eastAsia="en-US"/>
              </w:rPr>
            </w:pPr>
            <w:r>
              <w:rPr>
                <w:rFonts w:hint="eastAsia" w:cs="Helvetica" w:asciiTheme="minorEastAsia" w:hAnsiTheme="minorEastAsia" w:eastAsiaTheme="minorEastAsia"/>
                <w:color w:val="auto"/>
                <w:kern w:val="0"/>
                <w:highlight w:val="none"/>
              </w:rPr>
              <w:t>送审1000万元-</w:t>
            </w:r>
            <w:r>
              <w:rPr>
                <w:rFonts w:hint="eastAsia" w:cs="Helvetica" w:asciiTheme="minorEastAsia" w:hAnsiTheme="minorEastAsia" w:eastAsiaTheme="minorEastAsia"/>
                <w:color w:val="auto"/>
                <w:kern w:val="0"/>
                <w:highlight w:val="none"/>
                <w:lang w:val="en-US" w:eastAsia="zh-CN"/>
              </w:rPr>
              <w:t>5</w:t>
            </w:r>
            <w:r>
              <w:rPr>
                <w:rFonts w:hint="eastAsia" w:cs="Helvetica" w:asciiTheme="minorEastAsia" w:hAnsiTheme="minorEastAsia" w:eastAsiaTheme="minorEastAsia"/>
                <w:color w:val="auto"/>
                <w:kern w:val="0"/>
                <w:highlight w:val="none"/>
              </w:rPr>
              <w:t>000万元（含）</w:t>
            </w:r>
          </w:p>
        </w:tc>
        <w:tc>
          <w:tcPr>
            <w:tcW w:w="3600" w:type="dxa"/>
            <w:vAlign w:val="center"/>
          </w:tcPr>
          <w:p w14:paraId="1F43C1A2">
            <w:pPr>
              <w:tabs>
                <w:tab w:val="left" w:pos="0"/>
              </w:tabs>
              <w:spacing w:line="240" w:lineRule="exact"/>
              <w:ind w:firstLine="688" w:firstLineChars="328"/>
              <w:jc w:val="both"/>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default" w:cs="Helvetica" w:asciiTheme="minorEastAsia" w:hAnsiTheme="minorEastAsia" w:eastAsiaTheme="minorEastAsia"/>
                <w:color w:val="auto"/>
                <w:kern w:val="0"/>
                <w:highlight w:val="none"/>
                <w:lang w:val="en-US"/>
              </w:rPr>
              <w:t>12</w:t>
            </w:r>
            <w:r>
              <w:rPr>
                <w:rFonts w:hint="eastAsia" w:cs="Helvetica" w:asciiTheme="minorEastAsia" w:hAnsiTheme="minorEastAsia" w:eastAsiaTheme="minorEastAsia"/>
                <w:color w:val="auto"/>
                <w:kern w:val="0"/>
                <w:highlight w:val="none"/>
              </w:rPr>
              <w:t>天</w:t>
            </w:r>
          </w:p>
        </w:tc>
      </w:tr>
      <w:tr w14:paraId="73F7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206" w:type="dxa"/>
            <w:vMerge w:val="continue"/>
            <w:vAlign w:val="center"/>
          </w:tcPr>
          <w:p w14:paraId="57DE5170">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5B93B5EA">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送审额5000万-10000万元（含）</w:t>
            </w:r>
          </w:p>
        </w:tc>
        <w:tc>
          <w:tcPr>
            <w:tcW w:w="3600" w:type="dxa"/>
            <w:vAlign w:val="center"/>
          </w:tcPr>
          <w:p w14:paraId="51C72247">
            <w:pPr>
              <w:tabs>
                <w:tab w:val="left" w:pos="0"/>
              </w:tabs>
              <w:spacing w:line="240" w:lineRule="exact"/>
              <w:ind w:firstLine="688" w:firstLineChars="328"/>
              <w:jc w:val="both"/>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从收到完整资料1</w:t>
            </w:r>
            <w:r>
              <w:rPr>
                <w:rFonts w:hint="default" w:cs="Helvetica" w:asciiTheme="minorEastAsia" w:hAnsiTheme="minorEastAsia" w:eastAsiaTheme="minorEastAsia"/>
                <w:color w:val="auto"/>
                <w:kern w:val="0"/>
                <w:highlight w:val="none"/>
                <w:lang w:val="en-US"/>
              </w:rPr>
              <w:t>8</w:t>
            </w:r>
            <w:r>
              <w:rPr>
                <w:rFonts w:hint="eastAsia" w:cs="Helvetica" w:asciiTheme="minorEastAsia" w:hAnsiTheme="minorEastAsia" w:eastAsiaTheme="minorEastAsia"/>
                <w:color w:val="auto"/>
                <w:kern w:val="0"/>
                <w:highlight w:val="none"/>
              </w:rPr>
              <w:t>天</w:t>
            </w:r>
          </w:p>
        </w:tc>
      </w:tr>
      <w:tr w14:paraId="26EF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6" w:type="dxa"/>
            <w:vMerge w:val="continue"/>
            <w:vAlign w:val="center"/>
          </w:tcPr>
          <w:p w14:paraId="431702E5">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7167D3A0">
            <w:pPr>
              <w:tabs>
                <w:tab w:val="left" w:pos="0"/>
              </w:tabs>
              <w:spacing w:line="240" w:lineRule="exact"/>
              <w:ind w:firstLine="210" w:firstLineChars="10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送审额10000万元-</w:t>
            </w:r>
            <w:r>
              <w:rPr>
                <w:rFonts w:hint="eastAsia" w:cs="Helvetica" w:asciiTheme="minorEastAsia" w:hAnsiTheme="minorEastAsia" w:eastAsiaTheme="minorEastAsia"/>
                <w:color w:val="auto"/>
                <w:kern w:val="0"/>
                <w:highlight w:val="none"/>
                <w:lang w:val="en-US" w:eastAsia="zh-CN"/>
              </w:rPr>
              <w:t>50</w:t>
            </w:r>
            <w:r>
              <w:rPr>
                <w:rFonts w:hint="eastAsia" w:cs="Helvetica" w:asciiTheme="minorEastAsia" w:hAnsiTheme="minorEastAsia" w:eastAsiaTheme="minorEastAsia"/>
                <w:color w:val="auto"/>
                <w:kern w:val="0"/>
                <w:highlight w:val="none"/>
              </w:rPr>
              <w:t>000万元（含）</w:t>
            </w:r>
          </w:p>
        </w:tc>
        <w:tc>
          <w:tcPr>
            <w:tcW w:w="3600" w:type="dxa"/>
            <w:vAlign w:val="center"/>
          </w:tcPr>
          <w:p w14:paraId="34437DE5">
            <w:pPr>
              <w:tabs>
                <w:tab w:val="left" w:pos="0"/>
              </w:tabs>
              <w:spacing w:line="240" w:lineRule="exact"/>
              <w:ind w:firstLine="688" w:firstLineChars="328"/>
              <w:jc w:val="both"/>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default" w:cs="Helvetica" w:asciiTheme="minorEastAsia" w:hAnsiTheme="minorEastAsia" w:eastAsiaTheme="minorEastAsia"/>
                <w:color w:val="auto"/>
                <w:kern w:val="0"/>
                <w:highlight w:val="none"/>
                <w:lang w:val="en-US"/>
              </w:rPr>
              <w:t>24</w:t>
            </w:r>
            <w:r>
              <w:rPr>
                <w:rFonts w:hint="eastAsia" w:cs="Helvetica" w:asciiTheme="minorEastAsia" w:hAnsiTheme="minorEastAsia" w:eastAsiaTheme="minorEastAsia"/>
                <w:color w:val="auto"/>
                <w:kern w:val="0"/>
                <w:highlight w:val="none"/>
              </w:rPr>
              <w:t>天</w:t>
            </w:r>
          </w:p>
        </w:tc>
      </w:tr>
      <w:tr w14:paraId="3D714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206" w:type="dxa"/>
            <w:vMerge w:val="continue"/>
            <w:vAlign w:val="center"/>
          </w:tcPr>
          <w:p w14:paraId="2EE68631">
            <w:pPr>
              <w:tabs>
                <w:tab w:val="left" w:pos="0"/>
              </w:tabs>
              <w:spacing w:line="240" w:lineRule="exact"/>
              <w:ind w:firstLine="480"/>
              <w:jc w:val="center"/>
              <w:rPr>
                <w:rFonts w:cs="Helvetica" w:asciiTheme="minorEastAsia" w:hAnsiTheme="minorEastAsia" w:eastAsiaTheme="minorEastAsia"/>
                <w:color w:val="auto"/>
                <w:kern w:val="0"/>
                <w:highlight w:val="none"/>
              </w:rPr>
            </w:pPr>
          </w:p>
        </w:tc>
        <w:tc>
          <w:tcPr>
            <w:tcW w:w="4144" w:type="dxa"/>
            <w:vAlign w:val="center"/>
          </w:tcPr>
          <w:p w14:paraId="0D2BCD80">
            <w:pPr>
              <w:tabs>
                <w:tab w:val="left" w:pos="0"/>
              </w:tabs>
              <w:spacing w:line="240" w:lineRule="exact"/>
              <w:ind w:firstLine="480" w:firstLineChars="0"/>
              <w:jc w:val="center"/>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送审额</w:t>
            </w:r>
            <w:r>
              <w:rPr>
                <w:rFonts w:hint="eastAsia" w:cs="Helvetica" w:asciiTheme="minorEastAsia" w:hAnsiTheme="minorEastAsia" w:eastAsiaTheme="minorEastAsia"/>
                <w:color w:val="auto"/>
                <w:kern w:val="0"/>
                <w:highlight w:val="none"/>
                <w:lang w:val="en-US" w:eastAsia="zh-CN"/>
              </w:rPr>
              <w:t>50</w:t>
            </w:r>
            <w:r>
              <w:rPr>
                <w:rFonts w:hint="eastAsia" w:cs="Helvetica" w:asciiTheme="minorEastAsia" w:hAnsiTheme="minorEastAsia" w:eastAsiaTheme="minorEastAsia"/>
                <w:color w:val="auto"/>
                <w:kern w:val="0"/>
                <w:highlight w:val="none"/>
              </w:rPr>
              <w:t>000万元以上</w:t>
            </w:r>
          </w:p>
        </w:tc>
        <w:tc>
          <w:tcPr>
            <w:tcW w:w="3600" w:type="dxa"/>
            <w:vAlign w:val="center"/>
          </w:tcPr>
          <w:p w14:paraId="79AA3E02">
            <w:pPr>
              <w:tabs>
                <w:tab w:val="left" w:pos="0"/>
              </w:tabs>
              <w:spacing w:line="240" w:lineRule="exact"/>
              <w:ind w:firstLine="688" w:firstLineChars="328"/>
              <w:jc w:val="both"/>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color w:val="auto"/>
                <w:kern w:val="0"/>
                <w:highlight w:val="none"/>
              </w:rPr>
              <w:t>从收到完整资料</w:t>
            </w:r>
            <w:r>
              <w:rPr>
                <w:rFonts w:hint="default" w:cs="Helvetica" w:asciiTheme="minorEastAsia" w:hAnsiTheme="minorEastAsia" w:eastAsiaTheme="minorEastAsia"/>
                <w:color w:val="auto"/>
                <w:kern w:val="0"/>
                <w:highlight w:val="none"/>
                <w:lang w:val="en-US"/>
              </w:rPr>
              <w:t>30</w:t>
            </w:r>
            <w:r>
              <w:rPr>
                <w:rFonts w:hint="eastAsia" w:cs="Helvetica" w:asciiTheme="minorEastAsia" w:hAnsiTheme="minorEastAsia" w:eastAsiaTheme="minorEastAsia"/>
                <w:color w:val="auto"/>
                <w:kern w:val="0"/>
                <w:highlight w:val="none"/>
              </w:rPr>
              <w:t>天</w:t>
            </w:r>
          </w:p>
        </w:tc>
      </w:tr>
      <w:tr w14:paraId="3F7F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50" w:type="dxa"/>
            <w:gridSpan w:val="3"/>
            <w:vAlign w:val="center"/>
          </w:tcPr>
          <w:p w14:paraId="0503A63F">
            <w:pPr>
              <w:tabs>
                <w:tab w:val="left" w:pos="0"/>
              </w:tabs>
              <w:spacing w:line="360" w:lineRule="auto"/>
              <w:ind w:firstLine="480"/>
              <w:rPr>
                <w:rFonts w:hint="eastAsia" w:cs="Helvetica" w:asciiTheme="minorEastAsia" w:hAnsiTheme="minorEastAsia" w:eastAsiaTheme="minorEastAsia"/>
                <w:b/>
                <w:bCs/>
                <w:color w:val="auto"/>
                <w:kern w:val="0"/>
                <w:highlight w:val="none"/>
              </w:rPr>
            </w:pPr>
            <w:r>
              <w:rPr>
                <w:rFonts w:hint="eastAsia" w:cs="Helvetica" w:asciiTheme="minorEastAsia" w:hAnsiTheme="minorEastAsia" w:eastAsiaTheme="minorEastAsia"/>
                <w:b/>
                <w:bCs/>
                <w:color w:val="auto"/>
                <w:kern w:val="0"/>
                <w:highlight w:val="none"/>
              </w:rPr>
              <w:t>注：1.从收到完整的项目资料之日起算，上述审核时限除概算复核为工作日外，其余均为法定节假日除外的日历天。</w:t>
            </w:r>
          </w:p>
          <w:p w14:paraId="1EFDA04A">
            <w:pPr>
              <w:tabs>
                <w:tab w:val="left" w:pos="0"/>
              </w:tabs>
              <w:spacing w:line="360" w:lineRule="auto"/>
              <w:ind w:firstLine="843" w:firstLineChars="400"/>
              <w:rPr>
                <w:rFonts w:cs="Helvetica" w:asciiTheme="minorEastAsia" w:hAnsiTheme="minorEastAsia" w:eastAsiaTheme="minorEastAsia"/>
                <w:color w:val="auto"/>
                <w:kern w:val="0"/>
                <w:highlight w:val="none"/>
              </w:rPr>
            </w:pPr>
            <w:r>
              <w:rPr>
                <w:rFonts w:hint="eastAsia" w:cs="Helvetica" w:asciiTheme="minorEastAsia" w:hAnsiTheme="minorEastAsia" w:eastAsiaTheme="minorEastAsia"/>
                <w:b/>
                <w:bCs/>
                <w:color w:val="auto"/>
                <w:kern w:val="0"/>
                <w:highlight w:val="none"/>
              </w:rPr>
              <w:t>2.上述审核时限要求是指完成各项目类型所需工作（进入下一个审核环节前所有工作），并上传政府投资项目评审系统。</w:t>
            </w:r>
          </w:p>
        </w:tc>
      </w:tr>
    </w:tbl>
    <w:p w14:paraId="676A4E27">
      <w:pPr>
        <w:widowControl/>
        <w:spacing w:line="500" w:lineRule="exact"/>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kern w:val="0"/>
          <w:sz w:val="24"/>
          <w:highlight w:val="none"/>
          <w:lang w:eastAsia="zh-CN"/>
        </w:rPr>
        <w:t>七</w:t>
      </w:r>
      <w:r>
        <w:rPr>
          <w:rFonts w:hint="eastAsia" w:asciiTheme="minorEastAsia" w:hAnsiTheme="minorEastAsia" w:eastAsiaTheme="minorEastAsia" w:cstheme="minorEastAsia"/>
          <w:b/>
          <w:color w:val="auto"/>
          <w:kern w:val="0"/>
          <w:sz w:val="24"/>
          <w:highlight w:val="none"/>
        </w:rPr>
        <w:t>、审核费用及支付</w:t>
      </w:r>
    </w:p>
    <w:p w14:paraId="0815ADAB">
      <w:pPr>
        <w:spacing w:line="500" w:lineRule="exact"/>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基本费具体计费标准如下：</w:t>
      </w:r>
    </w:p>
    <w:p w14:paraId="0E928107">
      <w:pPr>
        <w:pStyle w:val="22"/>
        <w:numPr>
          <w:ilvl w:val="255"/>
          <w:numId w:val="0"/>
        </w:num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Theme="minorEastAsia" w:hAnsiTheme="minorEastAsia" w:eastAsiaTheme="minorEastAsia" w:cstheme="minorEastAsia"/>
          <w:color w:val="auto"/>
          <w:kern w:val="0"/>
          <w:sz w:val="24"/>
          <w:highlight w:val="none"/>
        </w:rPr>
        <w:t>（1）概算审核的收费</w:t>
      </w:r>
      <w:r>
        <w:rPr>
          <w:rFonts w:hint="eastAsia" w:ascii="宋体" w:hAnsi="宋体" w:eastAsia="宋体" w:cs="宋体"/>
          <w:color w:val="auto"/>
          <w:kern w:val="2"/>
          <w:sz w:val="24"/>
          <w:szCs w:val="24"/>
          <w:highlight w:val="none"/>
          <w:lang w:val="en-US" w:eastAsia="zh-CN" w:bidi="ar-SA"/>
        </w:rPr>
        <w:t>按征集文件《基准收费标准》（附表1）</w:t>
      </w:r>
      <w:r>
        <w:rPr>
          <w:rFonts w:hint="eastAsia" w:cs="宋体"/>
          <w:color w:val="auto"/>
          <w:kern w:val="2"/>
          <w:sz w:val="24"/>
          <w:szCs w:val="24"/>
          <w:highlight w:val="none"/>
          <w:lang w:val="en-US" w:eastAsia="zh-CN" w:bidi="ar-SA"/>
        </w:rPr>
        <w:t>优惠</w:t>
      </w:r>
      <w:r>
        <w:rPr>
          <w:rFonts w:hint="eastAsia" w:ascii="宋体" w:hAnsi="宋体" w:eastAsia="宋体" w:cs="宋体"/>
          <w:color w:val="auto"/>
          <w:kern w:val="2"/>
          <w:sz w:val="24"/>
          <w:szCs w:val="24"/>
          <w:highlight w:val="none"/>
          <w:u w:val="none"/>
          <w:lang w:val="en-US" w:eastAsia="zh-CN" w:bidi="ar-SA"/>
        </w:rPr>
        <w:t xml:space="preserve">   %</w:t>
      </w:r>
      <w:r>
        <w:rPr>
          <w:rFonts w:hint="eastAsia" w:cs="宋体"/>
          <w:color w:val="auto"/>
          <w:kern w:val="2"/>
          <w:sz w:val="24"/>
          <w:szCs w:val="24"/>
          <w:highlight w:val="none"/>
          <w:u w:val="none"/>
          <w:lang w:val="en-US" w:eastAsia="zh-CN" w:bidi="ar-SA"/>
        </w:rPr>
        <w:t>进行</w:t>
      </w:r>
      <w:r>
        <w:rPr>
          <w:rFonts w:hint="eastAsia" w:ascii="宋体" w:hAnsi="宋体" w:eastAsia="宋体" w:cs="宋体"/>
          <w:color w:val="auto"/>
          <w:kern w:val="2"/>
          <w:sz w:val="24"/>
          <w:szCs w:val="24"/>
          <w:highlight w:val="none"/>
          <w:lang w:val="en-US" w:eastAsia="zh-CN" w:bidi="ar-SA"/>
        </w:rPr>
        <w:t>结算。</w:t>
      </w:r>
    </w:p>
    <w:p w14:paraId="659D0D91">
      <w:pPr>
        <w:pStyle w:val="22"/>
        <w:numPr>
          <w:ilvl w:val="255"/>
          <w:numId w:val="0"/>
        </w:numPr>
        <w:spacing w:line="360" w:lineRule="auto"/>
        <w:ind w:firstLine="480" w:firstLineChars="200"/>
        <w:rPr>
          <w:rFonts w:hint="eastAsia" w:asciiTheme="minorEastAsia" w:hAnsiTheme="minorEastAsia" w:eastAsiaTheme="minorEastAsia" w:cstheme="minorEastAsia"/>
          <w:color w:val="auto"/>
          <w:kern w:val="0"/>
          <w:sz w:val="24"/>
          <w:highlight w:val="none"/>
          <w:lang w:eastAsia="zh-CN"/>
        </w:rPr>
      </w:pP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2</w:t>
      </w:r>
      <w:r>
        <w:rPr>
          <w:rFonts w:hint="eastAsia" w:asciiTheme="minorEastAsia" w:hAnsiTheme="minorEastAsia" w:eastAsiaTheme="minorEastAsia" w:cstheme="minorEastAsia"/>
          <w:color w:val="auto"/>
          <w:kern w:val="0"/>
          <w:sz w:val="24"/>
          <w:highlight w:val="none"/>
        </w:rPr>
        <w:t>）结算复核</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结算全面复核收费收费</w:t>
      </w:r>
      <w:r>
        <w:rPr>
          <w:rFonts w:hint="eastAsia" w:ascii="宋体" w:hAnsi="宋体" w:eastAsia="宋体" w:cs="宋体"/>
          <w:color w:val="auto"/>
          <w:kern w:val="2"/>
          <w:sz w:val="24"/>
          <w:szCs w:val="24"/>
          <w:highlight w:val="none"/>
          <w:lang w:val="en-US" w:eastAsia="zh-CN" w:bidi="ar-SA"/>
        </w:rPr>
        <w:t>按征集文件《基准收费标准》（附表1）</w:t>
      </w:r>
      <w:r>
        <w:rPr>
          <w:rFonts w:hint="eastAsia" w:cs="宋体"/>
          <w:color w:val="auto"/>
          <w:kern w:val="2"/>
          <w:sz w:val="24"/>
          <w:szCs w:val="24"/>
          <w:highlight w:val="none"/>
          <w:lang w:val="en-US" w:eastAsia="zh-CN" w:bidi="ar-SA"/>
        </w:rPr>
        <w:t>优惠</w:t>
      </w:r>
      <w:r>
        <w:rPr>
          <w:rFonts w:hint="eastAsia" w:ascii="宋体" w:hAnsi="宋体" w:eastAsia="宋体" w:cs="宋体"/>
          <w:color w:val="auto"/>
          <w:kern w:val="2"/>
          <w:sz w:val="24"/>
          <w:szCs w:val="24"/>
          <w:highlight w:val="none"/>
          <w:u w:val="none"/>
          <w:lang w:val="en-US" w:eastAsia="zh-CN" w:bidi="ar-SA"/>
        </w:rPr>
        <w:t xml:space="preserve">   %</w:t>
      </w:r>
      <w:r>
        <w:rPr>
          <w:rFonts w:hint="eastAsia" w:cs="宋体"/>
          <w:color w:val="auto"/>
          <w:kern w:val="2"/>
          <w:sz w:val="24"/>
          <w:szCs w:val="24"/>
          <w:highlight w:val="none"/>
          <w:u w:val="none"/>
          <w:lang w:val="en-US" w:eastAsia="zh-CN" w:bidi="ar-SA"/>
        </w:rPr>
        <w:t>进行</w:t>
      </w:r>
      <w:r>
        <w:rPr>
          <w:rFonts w:hint="eastAsia" w:ascii="宋体" w:hAnsi="宋体" w:eastAsia="宋体" w:cs="宋体"/>
          <w:color w:val="auto"/>
          <w:kern w:val="2"/>
          <w:sz w:val="24"/>
          <w:szCs w:val="24"/>
          <w:highlight w:val="none"/>
          <w:lang w:val="en-US" w:eastAsia="zh-CN" w:bidi="ar-SA"/>
        </w:rPr>
        <w:t>结算。</w:t>
      </w:r>
    </w:p>
    <w:p w14:paraId="41D64707">
      <w:pPr>
        <w:pStyle w:val="22"/>
        <w:spacing w:line="5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结算复核、结算全面复核追加费具体计费标准如下：</w:t>
      </w:r>
    </w:p>
    <w:p w14:paraId="0F757DB9">
      <w:pPr>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追加费按</w:t>
      </w:r>
      <w:r>
        <w:rPr>
          <w:rFonts w:hint="eastAsia" w:asciiTheme="minorEastAsia" w:hAnsiTheme="minorEastAsia" w:eastAsiaTheme="minorEastAsia" w:cstheme="minorEastAsia"/>
          <w:color w:val="auto"/>
          <w:sz w:val="24"/>
          <w:highlight w:val="none"/>
        </w:rPr>
        <w:t>招标文件《</w:t>
      </w:r>
      <w:r>
        <w:rPr>
          <w:rFonts w:hint="eastAsia" w:asciiTheme="minorEastAsia" w:hAnsiTheme="minorEastAsia" w:eastAsiaTheme="minorEastAsia" w:cstheme="minorEastAsia"/>
          <w:color w:val="auto"/>
          <w:kern w:val="0"/>
          <w:sz w:val="24"/>
          <w:highlight w:val="none"/>
        </w:rPr>
        <w:t>基准收费标准</w:t>
      </w:r>
      <w:r>
        <w:rPr>
          <w:rFonts w:hint="eastAsia" w:asciiTheme="minorEastAsia" w:hAnsiTheme="minorEastAsia" w:eastAsiaTheme="minorEastAsia" w:cstheme="minorEastAsia"/>
          <w:color w:val="auto"/>
          <w:sz w:val="24"/>
          <w:highlight w:val="none"/>
        </w:rPr>
        <w:t>》（附表1）的</w:t>
      </w:r>
      <w:r>
        <w:rPr>
          <w:rFonts w:hint="eastAsia" w:asciiTheme="minorEastAsia" w:hAnsiTheme="minorEastAsia" w:eastAsiaTheme="minorEastAsia" w:cstheme="minorEastAsia"/>
          <w:color w:val="auto"/>
          <w:kern w:val="0"/>
          <w:sz w:val="24"/>
          <w:highlight w:val="none"/>
        </w:rPr>
        <w:t>规定计取，若初、复核（或全面复核）的追加费总额超出项目追加费的，以项目追加费为上限，同时优先保障复核单位的追加费。</w:t>
      </w:r>
    </w:p>
    <w:p w14:paraId="2374DED1">
      <w:pPr>
        <w:pStyle w:val="22"/>
        <w:spacing w:line="500" w:lineRule="exac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项目追加费=[(核减额-送审额*5%）]*5% +核增额*5% </w:t>
      </w:r>
    </w:p>
    <w:p w14:paraId="270BD6B1">
      <w:pPr>
        <w:pStyle w:val="22"/>
        <w:spacing w:line="500" w:lineRule="exac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若公式中核减额-送审额*5%≤0时，核减部分追加费按0计取，不与核增部分进行抵销。</w:t>
      </w:r>
    </w:p>
    <w:p w14:paraId="77A12582">
      <w:pPr>
        <w:pStyle w:val="22"/>
        <w:spacing w:line="500" w:lineRule="exact"/>
        <w:ind w:left="450" w:leftChars="100" w:hanging="240" w:hangingChars="1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  应付结算审价费=基本审价费+追加审价费</w:t>
      </w:r>
    </w:p>
    <w:p w14:paraId="21A2C7FE">
      <w:pPr>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当审核误差率≤对应的承诺误差率，不扣应付审价费；当承诺误差率&lt;审核误差率≤规定的审核综合误差率，按应付审价费的</w:t>
      </w:r>
      <w:r>
        <w:rPr>
          <w:rFonts w:hint="eastAsia" w:asciiTheme="minorEastAsia" w:hAnsiTheme="minorEastAsia" w:eastAsiaTheme="minorEastAsia" w:cstheme="minorEastAsia"/>
          <w:color w:val="auto"/>
          <w:sz w:val="24"/>
          <w:highlight w:val="none"/>
          <w:u w:val="single"/>
          <w:lang w:val="en-US" w:eastAsia="zh-CN"/>
        </w:rPr>
        <w:t>30%</w:t>
      </w:r>
      <w:r>
        <w:rPr>
          <w:rFonts w:hint="eastAsia" w:asciiTheme="minorEastAsia" w:hAnsiTheme="minorEastAsia" w:eastAsiaTheme="minorEastAsia" w:cstheme="minorEastAsia"/>
          <w:color w:val="auto"/>
          <w:kern w:val="0"/>
          <w:sz w:val="24"/>
          <w:highlight w:val="none"/>
        </w:rPr>
        <w:t>计算；审核误差率&gt;规定的审核综合误差率，全额扣减应付审价费。</w:t>
      </w:r>
    </w:p>
    <w:p w14:paraId="3C96D112">
      <w:pPr>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综合误差率是指因工程量计算错误、单价取定和调整错误、措施项目计算和调整错误、其他项目及规费和税金取定、计算错误等累计误差与修正后的结算审查结论性总额的比率。上述所指的累计误差是核增额与核减额的绝对值的累加。</w:t>
      </w:r>
    </w:p>
    <w:p w14:paraId="2A106646">
      <w:pPr>
        <w:keepNext w:val="0"/>
        <w:keepLines w:val="0"/>
        <w:pageBreakBefore w:val="0"/>
        <w:kinsoku/>
        <w:wordWrap/>
        <w:overflowPunct/>
        <w:topLinePunct w:val="0"/>
        <w:autoSpaceDE/>
        <w:autoSpaceDN/>
        <w:bidi w:val="0"/>
        <w:snapToGrid/>
        <w:spacing w:line="500" w:lineRule="exact"/>
        <w:ind w:firstLine="480" w:firstLineChars="200"/>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规定的概算审核综合误差率为</w:t>
      </w:r>
      <w:r>
        <w:rPr>
          <w:rFonts w:hint="eastAsia" w:asciiTheme="minorEastAsia" w:hAnsiTheme="minorEastAsia" w:eastAsiaTheme="minorEastAsia" w:cstheme="minorEastAsia"/>
          <w:color w:val="auto"/>
          <w:kern w:val="0"/>
          <w:sz w:val="24"/>
          <w:highlight w:val="none"/>
          <w:lang w:val="en-US"/>
        </w:rPr>
        <w:t>8</w:t>
      </w:r>
      <w:r>
        <w:rPr>
          <w:rFonts w:hint="eastAsia" w:asciiTheme="minorEastAsia" w:hAnsiTheme="minorEastAsia" w:eastAsiaTheme="minorEastAsia" w:cstheme="minorEastAsia"/>
          <w:color w:val="auto"/>
          <w:kern w:val="0"/>
          <w:sz w:val="24"/>
          <w:highlight w:val="none"/>
        </w:rPr>
        <w:t>%</w:t>
      </w:r>
    </w:p>
    <w:p w14:paraId="27F982AF">
      <w:pPr>
        <w:pStyle w:val="63"/>
        <w:keepNext w:val="0"/>
        <w:keepLines w:val="0"/>
        <w:pageBreakBefore w:val="0"/>
        <w:kinsoku/>
        <w:wordWrap/>
        <w:overflowPunct/>
        <w:topLinePunct w:val="0"/>
        <w:autoSpaceDE/>
        <w:autoSpaceDN/>
        <w:bidi w:val="0"/>
        <w:snapToGrid/>
        <w:spacing w:line="50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规定的结算审核综合误差率为3%</w:t>
      </w:r>
    </w:p>
    <w:p w14:paraId="09E20BD7">
      <w:pPr>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评审费由甲方支付，按</w:t>
      </w:r>
      <w:r>
        <w:rPr>
          <w:rFonts w:hint="eastAsia" w:asciiTheme="minorEastAsia" w:hAnsiTheme="minorEastAsia" w:eastAsiaTheme="minorEastAsia" w:cstheme="minorEastAsia"/>
          <w:color w:val="auto"/>
          <w:kern w:val="0"/>
          <w:sz w:val="24"/>
          <w:highlight w:val="none"/>
          <w:lang w:val="en-US" w:eastAsia="zh-CN"/>
        </w:rPr>
        <w:t>季</w:t>
      </w:r>
      <w:r>
        <w:rPr>
          <w:rFonts w:hint="eastAsia" w:asciiTheme="minorEastAsia" w:hAnsiTheme="minorEastAsia" w:eastAsiaTheme="minorEastAsia" w:cstheme="minorEastAsia"/>
          <w:color w:val="auto"/>
          <w:kern w:val="0"/>
          <w:sz w:val="24"/>
          <w:highlight w:val="none"/>
        </w:rPr>
        <w:t>支付，</w:t>
      </w:r>
      <w:r>
        <w:rPr>
          <w:rFonts w:hint="eastAsia" w:asciiTheme="minorEastAsia" w:hAnsiTheme="minorEastAsia" w:eastAsiaTheme="minorEastAsia" w:cstheme="minorEastAsia"/>
          <w:snapToGrid/>
          <w:color w:val="auto"/>
          <w:kern w:val="2"/>
          <w:sz w:val="24"/>
          <w:szCs w:val="24"/>
          <w:highlight w:val="none"/>
          <w:lang w:val="en-US" w:eastAsia="zh-CN" w:bidi="ar-SA"/>
        </w:rPr>
        <w:t>具体付费时间按区财政局年度预算安排为准，其中代收代缴部分以实际上缴时间为准。</w:t>
      </w:r>
      <w:r>
        <w:rPr>
          <w:rFonts w:hint="eastAsia" w:asciiTheme="minorEastAsia" w:hAnsiTheme="minorEastAsia" w:eastAsiaTheme="minorEastAsia" w:cstheme="minorEastAsia"/>
          <w:color w:val="auto"/>
          <w:kern w:val="0"/>
          <w:sz w:val="24"/>
          <w:highlight w:val="none"/>
        </w:rPr>
        <w:t>乙方不得再向其他单位收取任何费用。甲方付款前，乙方应当向甲方开具相应金额的符合甲方要求的增值税发票，税费已包含在</w:t>
      </w:r>
      <w:r>
        <w:rPr>
          <w:rFonts w:hint="eastAsia" w:asciiTheme="minorEastAsia" w:hAnsiTheme="minorEastAsia" w:eastAsiaTheme="minorEastAsia" w:cstheme="minorEastAsia"/>
          <w:color w:val="auto"/>
          <w:kern w:val="0"/>
          <w:sz w:val="24"/>
          <w:highlight w:val="none"/>
          <w:lang w:val="en-US" w:eastAsia="zh-CN"/>
        </w:rPr>
        <w:t>审价</w:t>
      </w:r>
      <w:r>
        <w:rPr>
          <w:rFonts w:hint="eastAsia" w:asciiTheme="minorEastAsia" w:hAnsiTheme="minorEastAsia" w:eastAsiaTheme="minorEastAsia" w:cstheme="minorEastAsia"/>
          <w:color w:val="auto"/>
          <w:kern w:val="0"/>
          <w:sz w:val="24"/>
          <w:highlight w:val="none"/>
        </w:rPr>
        <w:t>费内。</w:t>
      </w:r>
    </w:p>
    <w:p w14:paraId="7B436D77">
      <w:pPr>
        <w:pStyle w:val="22"/>
        <w:spacing w:line="500" w:lineRule="exac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5</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如遇国家政策调整，审核费另行确定。</w:t>
      </w:r>
    </w:p>
    <w:p w14:paraId="222903C6">
      <w:pPr>
        <w:pStyle w:val="22"/>
        <w:spacing w:line="500" w:lineRule="exact"/>
        <w:ind w:left="480" w:firstLine="0" w:firstLineChars="0"/>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lang w:eastAsia="zh-CN"/>
        </w:rPr>
        <w:t>八</w:t>
      </w:r>
      <w:r>
        <w:rPr>
          <w:rFonts w:hint="eastAsia" w:asciiTheme="minorEastAsia" w:hAnsiTheme="minorEastAsia" w:eastAsiaTheme="minorEastAsia" w:cstheme="minorEastAsia"/>
          <w:b/>
          <w:bCs/>
          <w:color w:val="auto"/>
          <w:kern w:val="0"/>
          <w:highlight w:val="none"/>
        </w:rPr>
        <w:t>、违约责任</w:t>
      </w:r>
    </w:p>
    <w:p w14:paraId="0B8D2DE5">
      <w:pPr>
        <w:pStyle w:val="22"/>
        <w:spacing w:line="500" w:lineRule="exac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因乙方原因导致审核结果有严重错误或者审核人员滥用职权、徇私舞弊、玩忽职守，造成甲方经济损失的，甲方有权提前解除本协议，不予支付相应审</w:t>
      </w:r>
      <w:r>
        <w:rPr>
          <w:rFonts w:hint="eastAsia" w:asciiTheme="minorEastAsia" w:hAnsiTheme="minorEastAsia" w:eastAsiaTheme="minorEastAsia" w:cstheme="minorEastAsia"/>
          <w:color w:val="auto"/>
          <w:kern w:val="0"/>
          <w:highlight w:val="none"/>
          <w:lang w:val="en-US" w:eastAsia="zh-CN"/>
        </w:rPr>
        <w:t>价</w:t>
      </w:r>
      <w:r>
        <w:rPr>
          <w:rFonts w:hint="eastAsia" w:asciiTheme="minorEastAsia" w:hAnsiTheme="minorEastAsia" w:eastAsiaTheme="minorEastAsia" w:cstheme="minorEastAsia"/>
          <w:color w:val="auto"/>
          <w:kern w:val="0"/>
          <w:highlight w:val="none"/>
        </w:rPr>
        <w:t>费，同时乙方应承担相应的经济损失。</w:t>
      </w:r>
    </w:p>
    <w:p w14:paraId="389ADDA8">
      <w:pPr>
        <w:pStyle w:val="22"/>
        <w:spacing w:line="500" w:lineRule="exac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2</w:t>
      </w:r>
      <w:r>
        <w:rPr>
          <w:rFonts w:hint="eastAsia" w:asciiTheme="minorEastAsia" w:hAnsiTheme="minorEastAsia" w:eastAsiaTheme="minorEastAsia" w:cstheme="minorEastAsia"/>
          <w:color w:val="auto"/>
          <w:kern w:val="0"/>
          <w:highlight w:val="none"/>
          <w:lang w:eastAsia="zh-CN"/>
        </w:rPr>
        <w:t>、</w:t>
      </w:r>
      <w:r>
        <w:rPr>
          <w:rFonts w:hint="eastAsia" w:asciiTheme="minorEastAsia" w:hAnsiTheme="minorEastAsia" w:eastAsiaTheme="minorEastAsia" w:cstheme="minorEastAsia"/>
          <w:color w:val="auto"/>
          <w:kern w:val="0"/>
          <w:highlight w:val="none"/>
        </w:rPr>
        <w:t>乙方如擅自毁约，甲方有权视情况提请有关部门取消其承接钱塘新区审核业务的资格，并要求乙方承担甲方的相应损失。</w:t>
      </w:r>
    </w:p>
    <w:p w14:paraId="4CD7E9E9">
      <w:pPr>
        <w:widowControl/>
        <w:spacing w:line="500" w:lineRule="exact"/>
        <w:ind w:firstLine="480"/>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bCs/>
          <w:color w:val="auto"/>
          <w:kern w:val="0"/>
          <w:sz w:val="24"/>
          <w:highlight w:val="none"/>
          <w:lang w:eastAsia="zh-CN"/>
        </w:rPr>
        <w:t>九</w:t>
      </w:r>
      <w:r>
        <w:rPr>
          <w:rFonts w:hint="eastAsia" w:asciiTheme="minorEastAsia" w:hAnsiTheme="minorEastAsia" w:eastAsiaTheme="minorEastAsia" w:cstheme="minorEastAsia"/>
          <w:b/>
          <w:bCs/>
          <w:color w:val="auto"/>
          <w:kern w:val="0"/>
          <w:sz w:val="24"/>
          <w:highlight w:val="none"/>
        </w:rPr>
        <w:t>、</w:t>
      </w:r>
      <w:r>
        <w:rPr>
          <w:rFonts w:hint="eastAsia" w:asciiTheme="minorEastAsia" w:hAnsiTheme="minorEastAsia" w:eastAsiaTheme="minorEastAsia" w:cstheme="minorEastAsia"/>
          <w:b/>
          <w:color w:val="auto"/>
          <w:kern w:val="0"/>
          <w:sz w:val="24"/>
          <w:highlight w:val="none"/>
        </w:rPr>
        <w:t>其它</w:t>
      </w:r>
    </w:p>
    <w:p w14:paraId="42D28170">
      <w:pPr>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本项目为财政部门授权甲方组织政府投资项目委托评审工作，对委托评审的质量及其他履约情况进行考核，乙方应当遵守</w:t>
      </w:r>
      <w:r>
        <w:rPr>
          <w:rFonts w:hint="eastAsia" w:asciiTheme="minorEastAsia" w:hAnsiTheme="minorEastAsia" w:eastAsiaTheme="minorEastAsia" w:cstheme="minorEastAsia"/>
          <w:color w:val="auto"/>
          <w:sz w:val="24"/>
          <w:highlight w:val="none"/>
        </w:rPr>
        <w:t>《钱塘区限额以上政府投资项目委托评审管理细则》（钱评审发〔202</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〕1号）</w:t>
      </w:r>
      <w:r>
        <w:rPr>
          <w:rFonts w:hint="eastAsia" w:ascii="宋体" w:hAnsi="宋体" w:cs="宋体"/>
          <w:color w:val="auto"/>
          <w:kern w:val="2"/>
          <w:sz w:val="24"/>
          <w:highlight w:val="none"/>
          <w:lang w:eastAsia="zh-CN"/>
        </w:rPr>
        <w:t>（注：有新文件出台，按新文件）</w:t>
      </w:r>
      <w:r>
        <w:rPr>
          <w:rFonts w:hint="eastAsia" w:asciiTheme="minorEastAsia" w:hAnsiTheme="minorEastAsia" w:eastAsiaTheme="minorEastAsia" w:cstheme="minorEastAsia"/>
          <w:color w:val="auto"/>
          <w:kern w:val="0"/>
          <w:sz w:val="24"/>
          <w:highlight w:val="none"/>
        </w:rPr>
        <w:t>有关中介机构的相关规定。乙方违反相关规定的，甲方或财政部门有权按规定直接追究乙方相应责任。本协议内容与上级文件规定不一致的，双方同意按上级文件规定执行。</w:t>
      </w:r>
    </w:p>
    <w:p w14:paraId="717BB4EB">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本</w:t>
      </w:r>
      <w:r>
        <w:rPr>
          <w:rFonts w:hint="eastAsia" w:asciiTheme="minorEastAsia" w:hAnsiTheme="minorEastAsia" w:eastAsiaTheme="minorEastAsia" w:cstheme="minorEastAsia"/>
          <w:color w:val="auto"/>
          <w:kern w:val="0"/>
          <w:sz w:val="24"/>
          <w:highlight w:val="none"/>
          <w:lang w:val="en-US" w:eastAsia="zh-CN"/>
        </w:rPr>
        <w:t>协议</w:t>
      </w:r>
      <w:r>
        <w:rPr>
          <w:rFonts w:hint="eastAsia" w:asciiTheme="minorEastAsia" w:hAnsiTheme="minorEastAsia" w:eastAsiaTheme="minorEastAsia" w:cstheme="minorEastAsia"/>
          <w:color w:val="auto"/>
          <w:kern w:val="0"/>
          <w:sz w:val="24"/>
          <w:highlight w:val="none"/>
        </w:rPr>
        <w:t>履行过程中发生的任何争议，双方当事人</w:t>
      </w:r>
      <w:r>
        <w:rPr>
          <w:rFonts w:hint="eastAsia" w:asciiTheme="minorEastAsia" w:hAnsiTheme="minorEastAsia" w:eastAsiaTheme="minorEastAsia" w:cstheme="minorEastAsia"/>
          <w:color w:val="auto"/>
          <w:kern w:val="0"/>
          <w:sz w:val="24"/>
          <w:szCs w:val="24"/>
          <w:highlight w:val="none"/>
          <w:lang w:val="en-US" w:eastAsia="zh-CN" w:bidi="ar-SA"/>
        </w:rPr>
        <w:t>可进行协商；协商不成的，任何一方可</w:t>
      </w:r>
      <w:r>
        <w:rPr>
          <w:rFonts w:hint="eastAsia" w:asciiTheme="minorEastAsia" w:hAnsiTheme="minorEastAsia" w:eastAsiaTheme="minorEastAsia" w:cstheme="minorEastAsia"/>
          <w:color w:val="auto"/>
          <w:kern w:val="0"/>
          <w:sz w:val="24"/>
          <w:highlight w:val="none"/>
        </w:rPr>
        <w:t>向甲方所在地有管辖权的人民法院起诉。</w:t>
      </w:r>
    </w:p>
    <w:p w14:paraId="63603D16">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lang w:val="en-US" w:eastAsia="zh-CN"/>
        </w:rPr>
      </w:pPr>
      <w:r>
        <w:rPr>
          <w:rFonts w:hint="eastAsia" w:asciiTheme="minorEastAsia" w:hAnsiTheme="minorEastAsia" w:eastAsiaTheme="minorEastAsia" w:cstheme="minorEastAsia"/>
          <w:color w:val="auto"/>
          <w:kern w:val="0"/>
          <w:sz w:val="24"/>
          <w:highlight w:val="none"/>
          <w:lang w:val="en-US" w:eastAsia="zh-CN"/>
        </w:rPr>
        <w:t>3、</w:t>
      </w:r>
      <w:r>
        <w:rPr>
          <w:rFonts w:hint="eastAsia" w:asciiTheme="minorEastAsia" w:hAnsiTheme="minorEastAsia" w:eastAsiaTheme="minorEastAsia" w:cstheme="minorEastAsia"/>
          <w:color w:val="auto"/>
          <w:kern w:val="0"/>
          <w:sz w:val="24"/>
          <w:highlight w:val="none"/>
        </w:rPr>
        <w:t>本协议未尽的事宜，均遵照国家有关法律、法规，双方另行协商议定补充条款。</w:t>
      </w:r>
    </w:p>
    <w:p w14:paraId="3ACB54EA">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4、</w:t>
      </w:r>
      <w:r>
        <w:rPr>
          <w:rFonts w:hint="eastAsia" w:asciiTheme="minorEastAsia" w:hAnsiTheme="minorEastAsia" w:eastAsiaTheme="minorEastAsia" w:cstheme="minorEastAsia"/>
          <w:color w:val="auto"/>
          <w:kern w:val="0"/>
          <w:sz w:val="24"/>
          <w:highlight w:val="none"/>
        </w:rPr>
        <w:t>本协议经甲方、乙方法定代表人或其委托人签字并加盖双方公章。</w:t>
      </w:r>
    </w:p>
    <w:p w14:paraId="610CDE55">
      <w:pPr>
        <w:snapToGrid w:val="0"/>
        <w:spacing w:line="50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5</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本协议一式</w:t>
      </w:r>
      <w:r>
        <w:rPr>
          <w:rFonts w:hint="eastAsia" w:asciiTheme="minorEastAsia" w:hAnsiTheme="minorEastAsia" w:eastAsiaTheme="minorEastAsia" w:cstheme="minorEastAsia"/>
          <w:color w:val="auto"/>
          <w:kern w:val="0"/>
          <w:sz w:val="24"/>
          <w:highlight w:val="none"/>
          <w:lang w:val="en-US" w:eastAsia="zh-CN"/>
        </w:rPr>
        <w:t>肆</w:t>
      </w:r>
      <w:r>
        <w:rPr>
          <w:rFonts w:hint="eastAsia" w:asciiTheme="minorEastAsia" w:hAnsiTheme="minorEastAsia" w:eastAsiaTheme="minorEastAsia" w:cstheme="minorEastAsia"/>
          <w:color w:val="auto"/>
          <w:kern w:val="0"/>
          <w:sz w:val="24"/>
          <w:highlight w:val="none"/>
        </w:rPr>
        <w:t>份，甲方乙方各执二份。</w:t>
      </w:r>
    </w:p>
    <w:tbl>
      <w:tblPr>
        <w:tblStyle w:val="51"/>
        <w:tblpPr w:leftFromText="180" w:rightFromText="180" w:vertAnchor="text" w:horzAnchor="page" w:tblpX="1450" w:tblpY="570"/>
        <w:tblOverlap w:val="never"/>
        <w:tblW w:w="9638" w:type="dxa"/>
        <w:tblInd w:w="0" w:type="dxa"/>
        <w:tblLayout w:type="fixed"/>
        <w:tblCellMar>
          <w:top w:w="0" w:type="dxa"/>
          <w:left w:w="108" w:type="dxa"/>
          <w:bottom w:w="0" w:type="dxa"/>
          <w:right w:w="108" w:type="dxa"/>
        </w:tblCellMar>
      </w:tblPr>
      <w:tblGrid>
        <w:gridCol w:w="4819"/>
        <w:gridCol w:w="4819"/>
      </w:tblGrid>
      <w:tr w14:paraId="6BDF2CDE">
        <w:tc>
          <w:tcPr>
            <w:tcW w:w="4819" w:type="dxa"/>
          </w:tcPr>
          <w:p w14:paraId="43157AB0">
            <w:pPr>
              <w:widowControl/>
              <w:spacing w:line="520" w:lineRule="exact"/>
              <w:ind w:left="2130" w:leftChars="100" w:hanging="1920" w:hangingChars="8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甲方（盖章）：杭州市钱塘区政府投资项目评审服务中心</w:t>
            </w:r>
          </w:p>
        </w:tc>
        <w:tc>
          <w:tcPr>
            <w:tcW w:w="4819" w:type="dxa"/>
          </w:tcPr>
          <w:p w14:paraId="487F2E02">
            <w:pPr>
              <w:widowControl/>
              <w:spacing w:line="520" w:lineRule="exact"/>
              <w:ind w:left="2340" w:leftChars="200" w:hanging="1920" w:hangingChars="8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乙方（盖章）：</w:t>
            </w:r>
          </w:p>
        </w:tc>
      </w:tr>
      <w:tr w14:paraId="2D90A32C">
        <w:tblPrEx>
          <w:tblCellMar>
            <w:top w:w="0" w:type="dxa"/>
            <w:left w:w="108" w:type="dxa"/>
            <w:bottom w:w="0" w:type="dxa"/>
            <w:right w:w="108" w:type="dxa"/>
          </w:tblCellMar>
        </w:tblPrEx>
        <w:tc>
          <w:tcPr>
            <w:tcW w:w="4819" w:type="dxa"/>
          </w:tcPr>
          <w:p w14:paraId="09D22DBB">
            <w:pPr>
              <w:widowControl/>
              <w:spacing w:line="520" w:lineRule="exact"/>
              <w:ind w:firstLine="240" w:firstLine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法人代表或受委托人（签字）：</w:t>
            </w:r>
          </w:p>
        </w:tc>
        <w:tc>
          <w:tcPr>
            <w:tcW w:w="4819" w:type="dxa"/>
          </w:tcPr>
          <w:p w14:paraId="1DB713EC">
            <w:pPr>
              <w:widowControl/>
              <w:spacing w:line="52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法人代表或受委托人（签字）：</w:t>
            </w:r>
          </w:p>
        </w:tc>
      </w:tr>
      <w:tr w14:paraId="0BE00908">
        <w:tblPrEx>
          <w:tblCellMar>
            <w:top w:w="0" w:type="dxa"/>
            <w:left w:w="108" w:type="dxa"/>
            <w:bottom w:w="0" w:type="dxa"/>
            <w:right w:w="108" w:type="dxa"/>
          </w:tblCellMar>
        </w:tblPrEx>
        <w:tc>
          <w:tcPr>
            <w:tcW w:w="4819" w:type="dxa"/>
          </w:tcPr>
          <w:p w14:paraId="6FA32497">
            <w:pPr>
              <w:widowControl/>
              <w:spacing w:line="520" w:lineRule="exact"/>
              <w:ind w:firstLine="240" w:firstLine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联系电话：</w:t>
            </w:r>
          </w:p>
        </w:tc>
        <w:tc>
          <w:tcPr>
            <w:tcW w:w="4819" w:type="dxa"/>
          </w:tcPr>
          <w:p w14:paraId="49388270">
            <w:pPr>
              <w:widowControl/>
              <w:spacing w:line="52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联系电话：</w:t>
            </w:r>
          </w:p>
        </w:tc>
      </w:tr>
      <w:tr w14:paraId="322D744C">
        <w:tblPrEx>
          <w:tblCellMar>
            <w:top w:w="0" w:type="dxa"/>
            <w:left w:w="108" w:type="dxa"/>
            <w:bottom w:w="0" w:type="dxa"/>
            <w:right w:w="108" w:type="dxa"/>
          </w:tblCellMar>
        </w:tblPrEx>
        <w:tc>
          <w:tcPr>
            <w:tcW w:w="4819" w:type="dxa"/>
          </w:tcPr>
          <w:p w14:paraId="55F57CA6">
            <w:pPr>
              <w:widowControl/>
              <w:spacing w:line="520" w:lineRule="exact"/>
              <w:ind w:firstLine="240" w:firstLine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签订日期：     年   月   日</w:t>
            </w:r>
          </w:p>
        </w:tc>
        <w:tc>
          <w:tcPr>
            <w:tcW w:w="4819" w:type="dxa"/>
          </w:tcPr>
          <w:p w14:paraId="249B379B">
            <w:pPr>
              <w:widowControl/>
              <w:spacing w:line="520" w:lineRule="exact"/>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签订日期：     年   月   日</w:t>
            </w:r>
          </w:p>
        </w:tc>
      </w:tr>
    </w:tbl>
    <w:p w14:paraId="799B8089">
      <w:pPr>
        <w:pStyle w:val="23"/>
        <w:ind w:left="480" w:firstLine="420"/>
        <w:rPr>
          <w:rFonts w:hint="eastAsia" w:asciiTheme="minorEastAsia" w:hAnsiTheme="minorEastAsia" w:eastAsiaTheme="minorEastAsia" w:cstheme="minorEastAsia"/>
          <w:color w:val="auto"/>
          <w:highlight w:val="none"/>
        </w:rPr>
      </w:pPr>
    </w:p>
    <w:p w14:paraId="4FA46BF1">
      <w:pPr>
        <w:pStyle w:val="23"/>
        <w:ind w:left="480" w:firstLine="420"/>
        <w:rPr>
          <w:rFonts w:hint="eastAsia" w:asciiTheme="minorEastAsia" w:hAnsiTheme="minorEastAsia" w:eastAsiaTheme="minorEastAsia" w:cstheme="minorEastAsia"/>
          <w:color w:val="auto"/>
          <w:highlight w:val="none"/>
        </w:rPr>
        <w:sectPr>
          <w:footerReference r:id="rId21" w:type="first"/>
          <w:footerReference r:id="rId20" w:type="default"/>
          <w:pgSz w:w="11906" w:h="16838"/>
          <w:pgMar w:top="1418" w:right="1701" w:bottom="1418" w:left="1701" w:header="851" w:footer="992" w:gutter="0"/>
          <w:pgBorders>
            <w:top w:val="none" w:sz="0" w:space="0"/>
            <w:left w:val="none" w:sz="0" w:space="0"/>
            <w:bottom w:val="none" w:sz="0" w:space="0"/>
            <w:right w:val="none" w:sz="0" w:space="0"/>
          </w:pgBorders>
          <w:cols w:space="720" w:num="1"/>
          <w:titlePg/>
          <w:docGrid w:linePitch="312" w:charSpace="0"/>
        </w:sectPr>
      </w:pPr>
    </w:p>
    <w:p w14:paraId="5D618B2B">
      <w:pPr>
        <w:pStyle w:val="20"/>
        <w:rPr>
          <w:rFonts w:hAnsi="宋体" w:eastAsia="宋体" w:cs="宋体"/>
          <w:color w:val="auto"/>
          <w:szCs w:val="24"/>
          <w:highlight w:val="none"/>
          <w:lang w:val="en-US"/>
        </w:rPr>
      </w:pPr>
      <w:r>
        <w:rPr>
          <w:rFonts w:hint="eastAsia" w:hAnsi="宋体" w:eastAsia="宋体" w:cs="宋体"/>
          <w:color w:val="auto"/>
          <w:szCs w:val="24"/>
          <w:highlight w:val="none"/>
          <w:lang w:val="en-US"/>
        </w:rPr>
        <w:t>附</w:t>
      </w:r>
      <w:r>
        <w:rPr>
          <w:rFonts w:hint="eastAsia" w:hAnsi="宋体" w:eastAsia="宋体" w:cs="宋体"/>
          <w:color w:val="auto"/>
          <w:szCs w:val="24"/>
          <w:highlight w:val="none"/>
          <w:lang w:val="en-US" w:eastAsia="zh-CN"/>
        </w:rPr>
        <w:t>表</w:t>
      </w:r>
      <w:r>
        <w:rPr>
          <w:rFonts w:hint="eastAsia" w:hAnsi="宋体" w:eastAsia="宋体" w:cs="宋体"/>
          <w:color w:val="auto"/>
          <w:szCs w:val="24"/>
          <w:highlight w:val="none"/>
          <w:lang w:val="en-US"/>
        </w:rPr>
        <w:t xml:space="preserve">1 </w:t>
      </w:r>
    </w:p>
    <w:tbl>
      <w:tblPr>
        <w:tblStyle w:val="51"/>
        <w:tblW w:w="15335" w:type="dxa"/>
        <w:jc w:val="center"/>
        <w:tblLayout w:type="fixed"/>
        <w:tblCellMar>
          <w:top w:w="0" w:type="dxa"/>
          <w:left w:w="0" w:type="dxa"/>
          <w:bottom w:w="0" w:type="dxa"/>
          <w:right w:w="0" w:type="dxa"/>
        </w:tblCellMar>
      </w:tblPr>
      <w:tblGrid>
        <w:gridCol w:w="485"/>
        <w:gridCol w:w="1206"/>
        <w:gridCol w:w="819"/>
        <w:gridCol w:w="1881"/>
        <w:gridCol w:w="915"/>
        <w:gridCol w:w="975"/>
        <w:gridCol w:w="1020"/>
        <w:gridCol w:w="1080"/>
        <w:gridCol w:w="1065"/>
        <w:gridCol w:w="1065"/>
        <w:gridCol w:w="1275"/>
        <w:gridCol w:w="1275"/>
        <w:gridCol w:w="1335"/>
        <w:gridCol w:w="939"/>
      </w:tblGrid>
      <w:tr w14:paraId="5768C3CA">
        <w:tblPrEx>
          <w:tblCellMar>
            <w:top w:w="0" w:type="dxa"/>
            <w:left w:w="0" w:type="dxa"/>
            <w:bottom w:w="0" w:type="dxa"/>
            <w:right w:w="0" w:type="dxa"/>
          </w:tblCellMar>
        </w:tblPrEx>
        <w:trPr>
          <w:trHeight w:val="540" w:hRule="atLeast"/>
          <w:jc w:val="center"/>
        </w:trPr>
        <w:tc>
          <w:tcPr>
            <w:tcW w:w="15335" w:type="dxa"/>
            <w:gridSpan w:val="14"/>
            <w:tcBorders>
              <w:top w:val="nil"/>
              <w:left w:val="nil"/>
              <w:bottom w:val="single" w:color="000000" w:sz="18" w:space="0"/>
              <w:right w:val="nil"/>
            </w:tcBorders>
            <w:noWrap/>
            <w:tcMar>
              <w:top w:w="15" w:type="dxa"/>
              <w:left w:w="15" w:type="dxa"/>
              <w:right w:w="15" w:type="dxa"/>
            </w:tcMar>
            <w:vAlign w:val="center"/>
          </w:tcPr>
          <w:p w14:paraId="74C13469">
            <w:pPr>
              <w:keepNext w:val="0"/>
              <w:keepLines w:val="0"/>
              <w:widowControl/>
              <w:suppressLineNumbers w:val="0"/>
              <w:ind w:firstLine="6486" w:firstLineChars="1800"/>
              <w:jc w:val="left"/>
              <w:textAlignment w:val="center"/>
              <w:rPr>
                <w:rFonts w:hint="eastAsia" w:ascii="宋体" w:hAnsi="宋体" w:eastAsia="宋体" w:cs="宋体"/>
                <w:b/>
                <w:i w:val="0"/>
                <w:color w:val="auto"/>
                <w:sz w:val="32"/>
                <w:szCs w:val="32"/>
                <w:highlight w:val="none"/>
                <w:u w:val="none"/>
              </w:rPr>
            </w:pPr>
            <w:r>
              <w:rPr>
                <w:rFonts w:hint="eastAsia" w:ascii="华文中宋" w:hAnsi="华文中宋" w:eastAsia="华文中宋" w:cs="华文中宋"/>
                <w:b/>
                <w:i w:val="0"/>
                <w:color w:val="auto"/>
                <w:kern w:val="0"/>
                <w:sz w:val="36"/>
                <w:szCs w:val="36"/>
                <w:highlight w:val="none"/>
                <w:u w:val="none"/>
                <w:lang w:val="en-US" w:eastAsia="zh-CN" w:bidi="ar"/>
              </w:rPr>
              <w:t>基准收费标准</w:t>
            </w:r>
            <w:r>
              <w:rPr>
                <w:rFonts w:hint="eastAsia" w:ascii="宋体" w:hAnsi="宋体" w:eastAsia="宋体" w:cs="宋体"/>
                <w:b/>
                <w:i w:val="0"/>
                <w:color w:val="auto"/>
                <w:kern w:val="0"/>
                <w:sz w:val="32"/>
                <w:szCs w:val="32"/>
                <w:highlight w:val="none"/>
                <w:u w:val="none"/>
                <w:lang w:val="en-US" w:eastAsia="zh-CN" w:bidi="ar"/>
              </w:rPr>
              <w:t xml:space="preserve">                            </w:t>
            </w:r>
            <w:r>
              <w:rPr>
                <w:rFonts w:hint="eastAsia" w:ascii="宋体" w:hAnsi="宋体" w:eastAsia="宋体" w:cs="宋体"/>
                <w:i w:val="0"/>
                <w:color w:val="auto"/>
                <w:kern w:val="0"/>
                <w:sz w:val="22"/>
                <w:szCs w:val="22"/>
                <w:highlight w:val="none"/>
                <w:u w:val="none"/>
                <w:lang w:val="en-US" w:eastAsia="zh-CN" w:bidi="ar"/>
              </w:rPr>
              <w:t>费率：‰</w:t>
            </w:r>
          </w:p>
        </w:tc>
      </w:tr>
      <w:tr w14:paraId="242CCB89">
        <w:tblPrEx>
          <w:tblCellMar>
            <w:top w:w="0" w:type="dxa"/>
            <w:left w:w="0" w:type="dxa"/>
            <w:bottom w:w="0" w:type="dxa"/>
            <w:right w:w="0" w:type="dxa"/>
          </w:tblCellMar>
        </w:tblPrEx>
        <w:trPr>
          <w:trHeight w:val="315" w:hRule="atLeast"/>
          <w:jc w:val="center"/>
        </w:trPr>
        <w:tc>
          <w:tcPr>
            <w:tcW w:w="485" w:type="dxa"/>
            <w:vMerge w:val="restart"/>
            <w:tcBorders>
              <w:top w:val="single" w:color="000000" w:sz="18" w:space="0"/>
              <w:left w:val="single" w:color="000000" w:sz="18" w:space="0"/>
              <w:bottom w:val="single" w:color="000000" w:sz="4" w:space="0"/>
              <w:right w:val="single" w:color="000000" w:sz="4" w:space="0"/>
            </w:tcBorders>
            <w:noWrap/>
            <w:tcMar>
              <w:top w:w="15" w:type="dxa"/>
              <w:left w:w="15" w:type="dxa"/>
              <w:right w:w="15" w:type="dxa"/>
            </w:tcMar>
            <w:vAlign w:val="center"/>
          </w:tcPr>
          <w:p w14:paraId="512E1D9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序号</w:t>
            </w:r>
          </w:p>
        </w:tc>
        <w:tc>
          <w:tcPr>
            <w:tcW w:w="2025" w:type="dxa"/>
            <w:gridSpan w:val="2"/>
            <w:vMerge w:val="restart"/>
            <w:tcBorders>
              <w:top w:val="single" w:color="000000" w:sz="18" w:space="0"/>
              <w:left w:val="single" w:color="000000" w:sz="4" w:space="0"/>
              <w:bottom w:val="single" w:color="000000" w:sz="4" w:space="0"/>
              <w:right w:val="single" w:color="000000" w:sz="4" w:space="0"/>
            </w:tcBorders>
            <w:noWrap/>
            <w:tcMar>
              <w:top w:w="15" w:type="dxa"/>
              <w:left w:w="15" w:type="dxa"/>
              <w:right w:w="15" w:type="dxa"/>
            </w:tcMar>
            <w:vAlign w:val="center"/>
          </w:tcPr>
          <w:p w14:paraId="67B671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咨询项目</w:t>
            </w:r>
          </w:p>
        </w:tc>
        <w:tc>
          <w:tcPr>
            <w:tcW w:w="1881" w:type="dxa"/>
            <w:vMerge w:val="restart"/>
            <w:tcBorders>
              <w:top w:val="single" w:color="000000" w:sz="18" w:space="0"/>
              <w:left w:val="single" w:color="000000" w:sz="4" w:space="0"/>
              <w:bottom w:val="single" w:color="000000" w:sz="4" w:space="0"/>
              <w:right w:val="single" w:color="000000" w:sz="4" w:space="0"/>
            </w:tcBorders>
            <w:noWrap/>
            <w:tcMar>
              <w:top w:w="15" w:type="dxa"/>
              <w:left w:w="15" w:type="dxa"/>
              <w:right w:w="15" w:type="dxa"/>
            </w:tcMar>
            <w:vAlign w:val="center"/>
          </w:tcPr>
          <w:p w14:paraId="37F157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收费基数</w:t>
            </w:r>
          </w:p>
        </w:tc>
        <w:tc>
          <w:tcPr>
            <w:tcW w:w="10944" w:type="dxa"/>
            <w:gridSpan w:val="10"/>
            <w:tcBorders>
              <w:top w:val="single" w:color="000000" w:sz="18" w:space="0"/>
              <w:left w:val="single" w:color="000000" w:sz="4" w:space="0"/>
              <w:bottom w:val="single" w:color="000000" w:sz="4" w:space="0"/>
              <w:right w:val="single" w:color="000000" w:sz="18" w:space="0"/>
            </w:tcBorders>
            <w:noWrap/>
            <w:tcMar>
              <w:top w:w="15" w:type="dxa"/>
              <w:left w:w="15" w:type="dxa"/>
              <w:right w:w="15" w:type="dxa"/>
            </w:tcMar>
            <w:vAlign w:val="center"/>
          </w:tcPr>
          <w:p w14:paraId="5A80DB7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分档累进计费标准</w:t>
            </w:r>
          </w:p>
        </w:tc>
      </w:tr>
      <w:tr w14:paraId="7A53D9AF">
        <w:tblPrEx>
          <w:tblCellMar>
            <w:top w:w="0" w:type="dxa"/>
            <w:left w:w="0" w:type="dxa"/>
            <w:bottom w:w="0" w:type="dxa"/>
            <w:right w:w="0" w:type="dxa"/>
          </w:tblCellMar>
        </w:tblPrEx>
        <w:trPr>
          <w:trHeight w:val="0" w:hRule="atLeast"/>
          <w:jc w:val="center"/>
        </w:trPr>
        <w:tc>
          <w:tcPr>
            <w:tcW w:w="485" w:type="dxa"/>
            <w:vMerge w:val="continue"/>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22FE4BF0">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2025" w:type="dxa"/>
            <w:gridSpan w:val="2"/>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1A00D">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18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D124CA">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color w:val="auto"/>
                <w:sz w:val="20"/>
                <w:szCs w:val="20"/>
                <w:highlight w:val="none"/>
                <w:u w:val="none"/>
              </w:rPr>
            </w:pPr>
          </w:p>
        </w:tc>
        <w:tc>
          <w:tcPr>
            <w:tcW w:w="9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9511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100</w:t>
            </w:r>
          </w:p>
          <w:p w14:paraId="082D324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万元以内</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ACCEF">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101-500</w:t>
            </w:r>
          </w:p>
          <w:p w14:paraId="6947880D">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w:t>
            </w:r>
          </w:p>
        </w:tc>
        <w:tc>
          <w:tcPr>
            <w:tcW w:w="1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68D4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501—1000</w:t>
            </w:r>
          </w:p>
          <w:p w14:paraId="7A771D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万元</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2D6C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1001—2000万元</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166D8">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rPr>
            </w:pPr>
            <w:r>
              <w:rPr>
                <w:rFonts w:hint="eastAsia" w:ascii="黑体" w:hAnsi="黑体" w:eastAsia="黑体" w:cs="黑体"/>
                <w:i w:val="0"/>
                <w:color w:val="auto"/>
                <w:kern w:val="0"/>
                <w:sz w:val="20"/>
                <w:szCs w:val="20"/>
                <w:highlight w:val="none"/>
                <w:u w:val="none"/>
                <w:lang w:val="en-US" w:eastAsia="zh-CN" w:bidi="ar"/>
              </w:rPr>
              <w:t>2001—5000万元</w:t>
            </w:r>
          </w:p>
        </w:tc>
        <w:tc>
          <w:tcPr>
            <w:tcW w:w="1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E122B">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5001-10000</w:t>
            </w:r>
          </w:p>
          <w:p w14:paraId="080364A2">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万元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8E18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10001-50000</w:t>
            </w:r>
          </w:p>
          <w:p w14:paraId="5D33332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kern w:val="0"/>
                <w:sz w:val="20"/>
                <w:szCs w:val="20"/>
                <w:highlight w:val="none"/>
                <w:u w:val="none"/>
                <w:lang w:val="en-US" w:eastAsia="zh-CN" w:bidi="ar"/>
              </w:rPr>
            </w:pPr>
            <w:r>
              <w:rPr>
                <w:rFonts w:hint="eastAsia" w:ascii="黑体" w:hAnsi="黑体" w:eastAsia="黑体" w:cs="黑体"/>
                <w:i w:val="0"/>
                <w:color w:val="auto"/>
                <w:kern w:val="0"/>
                <w:sz w:val="20"/>
                <w:szCs w:val="20"/>
                <w:highlight w:val="none"/>
                <w:u w:val="none"/>
                <w:lang w:val="en-US" w:eastAsia="zh-CN" w:bidi="ar"/>
              </w:rPr>
              <w:t>万元</w:t>
            </w:r>
          </w:p>
        </w:tc>
        <w:tc>
          <w:tcPr>
            <w:tcW w:w="12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78451">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50001-100000万元</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840AE">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100000-150000万元</w:t>
            </w:r>
          </w:p>
        </w:tc>
        <w:tc>
          <w:tcPr>
            <w:tcW w:w="939" w:type="dxa"/>
            <w:tcBorders>
              <w:top w:val="single" w:color="000000" w:sz="4" w:space="0"/>
              <w:left w:val="single" w:color="000000" w:sz="4" w:space="0"/>
              <w:bottom w:val="single" w:color="000000" w:sz="4" w:space="0"/>
              <w:right w:val="single" w:color="000000" w:sz="18" w:space="0"/>
            </w:tcBorders>
            <w:noWrap w:val="0"/>
            <w:tcMar>
              <w:top w:w="15" w:type="dxa"/>
              <w:left w:w="15" w:type="dxa"/>
              <w:right w:w="15" w:type="dxa"/>
            </w:tcMar>
            <w:vAlign w:val="center"/>
          </w:tcPr>
          <w:p w14:paraId="1FA8E944">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eastAsia"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150000</w:t>
            </w:r>
          </w:p>
          <w:p w14:paraId="566F1F23">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center"/>
              <w:textAlignment w:val="center"/>
              <w:rPr>
                <w:rFonts w:hint="default" w:ascii="黑体" w:hAnsi="黑体" w:eastAsia="黑体" w:cs="黑体"/>
                <w:i w:val="0"/>
                <w:color w:val="auto"/>
                <w:sz w:val="20"/>
                <w:szCs w:val="20"/>
                <w:highlight w:val="none"/>
                <w:u w:val="none"/>
                <w:lang w:val="en-US" w:eastAsia="zh-CN"/>
              </w:rPr>
            </w:pPr>
            <w:r>
              <w:rPr>
                <w:rFonts w:hint="eastAsia" w:ascii="黑体" w:hAnsi="黑体" w:eastAsia="黑体" w:cs="黑体"/>
                <w:i w:val="0"/>
                <w:color w:val="auto"/>
                <w:sz w:val="20"/>
                <w:szCs w:val="20"/>
                <w:highlight w:val="none"/>
                <w:u w:val="none"/>
                <w:lang w:val="en-US" w:eastAsia="zh-CN"/>
              </w:rPr>
              <w:t>万元以上</w:t>
            </w:r>
          </w:p>
        </w:tc>
      </w:tr>
      <w:tr w14:paraId="72DA81AA">
        <w:tblPrEx>
          <w:tblCellMar>
            <w:top w:w="0" w:type="dxa"/>
            <w:left w:w="0" w:type="dxa"/>
            <w:bottom w:w="0" w:type="dxa"/>
            <w:right w:w="0" w:type="dxa"/>
          </w:tblCellMar>
        </w:tblPrEx>
        <w:trPr>
          <w:trHeight w:val="970" w:hRule="atLeast"/>
          <w:jc w:val="center"/>
        </w:trPr>
        <w:tc>
          <w:tcPr>
            <w:tcW w:w="485" w:type="dxa"/>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032D1D4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1</w:t>
            </w:r>
          </w:p>
        </w:tc>
        <w:tc>
          <w:tcPr>
            <w:tcW w:w="202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9AC2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设计概算审核</w:t>
            </w:r>
          </w:p>
        </w:tc>
        <w:tc>
          <w:tcPr>
            <w:tcW w:w="1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5D07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送审概算价</w:t>
            </w: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E3CA3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1.02</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A6F5B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0.90</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D69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0.78</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1F82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0.66</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5D10B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rPr>
            </w:pPr>
            <w:r>
              <w:rPr>
                <w:rFonts w:hint="eastAsia" w:ascii="宋体" w:hAnsi="宋体" w:cs="宋体"/>
                <w:i w:val="0"/>
                <w:color w:val="auto"/>
                <w:kern w:val="0"/>
                <w:sz w:val="20"/>
                <w:szCs w:val="20"/>
                <w:highlight w:val="none"/>
                <w:u w:val="none"/>
                <w:lang w:val="en-US" w:eastAsia="zh-CN" w:bidi="ar"/>
              </w:rPr>
              <w:t>0.50</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FC8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0.45</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5AE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0.32</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3D12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0.24</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3F6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0.16</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4CC82A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0.12</w:t>
            </w:r>
          </w:p>
        </w:tc>
      </w:tr>
      <w:tr w14:paraId="6071C972">
        <w:tblPrEx>
          <w:tblCellMar>
            <w:top w:w="0" w:type="dxa"/>
            <w:left w:w="0" w:type="dxa"/>
            <w:bottom w:w="0" w:type="dxa"/>
            <w:right w:w="0" w:type="dxa"/>
          </w:tblCellMar>
        </w:tblPrEx>
        <w:trPr>
          <w:trHeight w:val="905" w:hRule="atLeast"/>
          <w:jc w:val="center"/>
        </w:trPr>
        <w:tc>
          <w:tcPr>
            <w:tcW w:w="485" w:type="dxa"/>
            <w:vMerge w:val="restart"/>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22ECC21D">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w:t>
            </w: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D7E3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工程结</w:t>
            </w:r>
          </w:p>
          <w:p w14:paraId="7BA7B0F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算</w:t>
            </w:r>
            <w:r>
              <w:rPr>
                <w:rFonts w:hint="eastAsia" w:ascii="宋体" w:hAnsi="宋体" w:cs="宋体"/>
                <w:i w:val="0"/>
                <w:color w:val="auto"/>
                <w:kern w:val="0"/>
                <w:sz w:val="20"/>
                <w:szCs w:val="20"/>
                <w:highlight w:val="none"/>
                <w:u w:val="none"/>
                <w:lang w:val="en-US" w:eastAsia="zh-CN" w:bidi="ar"/>
              </w:rPr>
              <w:t>全面复核</w:t>
            </w:r>
          </w:p>
        </w:tc>
        <w:tc>
          <w:tcPr>
            <w:tcW w:w="819"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906A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基本收费</w:t>
            </w:r>
          </w:p>
        </w:tc>
        <w:tc>
          <w:tcPr>
            <w:tcW w:w="188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E3FC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送审工程造价</w:t>
            </w: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898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2.8</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E76C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9A7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188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1.9</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26B1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kern w:val="0"/>
                <w:sz w:val="20"/>
                <w:szCs w:val="20"/>
                <w:highlight w:val="none"/>
                <w:u w:val="none"/>
                <w:lang w:val="en-US" w:eastAsia="zh-CN" w:bidi="ar"/>
              </w:rPr>
              <w:t>1.28</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A13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仿宋"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1.04</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6C2BD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仿宋"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0.60</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BA53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0.40</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537E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sz w:val="20"/>
                <w:szCs w:val="20"/>
                <w:highlight w:val="none"/>
                <w:u w:val="none"/>
                <w:lang w:val="en-US" w:eastAsia="zh-CN"/>
              </w:rPr>
            </w:pPr>
            <w:r>
              <w:rPr>
                <w:rFonts w:hint="eastAsia" w:ascii="宋体" w:hAnsi="宋体" w:cs="宋体"/>
                <w:i w:val="0"/>
                <w:color w:val="auto"/>
                <w:sz w:val="20"/>
                <w:szCs w:val="20"/>
                <w:highlight w:val="none"/>
                <w:u w:val="none"/>
                <w:lang w:val="en-US" w:eastAsia="zh-CN"/>
              </w:rPr>
              <w:t>0.30</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51F4C6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2"/>
                <w:sz w:val="20"/>
                <w:szCs w:val="20"/>
                <w:highlight w:val="none"/>
                <w:u w:val="none"/>
                <w:lang w:val="en-US" w:eastAsia="zh-CN" w:bidi="ar-SA"/>
              </w:rPr>
            </w:pPr>
            <w:r>
              <w:rPr>
                <w:rFonts w:hint="eastAsia" w:ascii="宋体" w:hAnsi="宋体" w:cs="宋体"/>
                <w:i w:val="0"/>
                <w:color w:val="auto"/>
                <w:sz w:val="20"/>
                <w:szCs w:val="20"/>
                <w:highlight w:val="none"/>
                <w:u w:val="none"/>
                <w:lang w:val="en-US" w:eastAsia="zh-CN"/>
              </w:rPr>
              <w:t>0.20</w:t>
            </w:r>
          </w:p>
        </w:tc>
      </w:tr>
      <w:tr w14:paraId="3F959ED9">
        <w:tblPrEx>
          <w:tblCellMar>
            <w:top w:w="0" w:type="dxa"/>
            <w:left w:w="0" w:type="dxa"/>
            <w:bottom w:w="0" w:type="dxa"/>
            <w:right w:w="0" w:type="dxa"/>
          </w:tblCellMar>
        </w:tblPrEx>
        <w:trPr>
          <w:trHeight w:val="905" w:hRule="atLeast"/>
          <w:jc w:val="center"/>
        </w:trPr>
        <w:tc>
          <w:tcPr>
            <w:tcW w:w="485" w:type="dxa"/>
            <w:vMerge w:val="continue"/>
            <w:tcBorders>
              <w:top w:val="single" w:color="000000" w:sz="4" w:space="0"/>
              <w:left w:val="single" w:color="000000" w:sz="18" w:space="0"/>
              <w:bottom w:val="single" w:color="000000" w:sz="4" w:space="0"/>
              <w:right w:val="single" w:color="000000" w:sz="4" w:space="0"/>
            </w:tcBorders>
            <w:noWrap/>
            <w:tcMar>
              <w:top w:w="15" w:type="dxa"/>
              <w:left w:w="15" w:type="dxa"/>
              <w:right w:w="15" w:type="dxa"/>
            </w:tcMar>
            <w:vAlign w:val="center"/>
          </w:tcPr>
          <w:p w14:paraId="1546D89D">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cs="宋体"/>
                <w:i w:val="0"/>
                <w:color w:val="auto"/>
                <w:kern w:val="0"/>
                <w:sz w:val="20"/>
                <w:szCs w:val="20"/>
                <w:highlight w:val="none"/>
                <w:u w:val="none"/>
                <w:lang w:val="en-US" w:eastAsia="zh-CN" w:bidi="ar"/>
              </w:rPr>
            </w:pPr>
          </w:p>
        </w:tc>
        <w:tc>
          <w:tcPr>
            <w:tcW w:w="12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4613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工程结算初核、复核</w:t>
            </w:r>
          </w:p>
        </w:tc>
        <w:tc>
          <w:tcPr>
            <w:tcW w:w="819"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DD8A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18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24A83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0"/>
                <w:sz w:val="20"/>
                <w:szCs w:val="20"/>
                <w:highlight w:val="none"/>
                <w:u w:val="none"/>
                <w:lang w:val="en-US" w:eastAsia="zh-CN" w:bidi="ar"/>
              </w:rPr>
            </w:pPr>
          </w:p>
        </w:tc>
        <w:tc>
          <w:tcPr>
            <w:tcW w:w="9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8D5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1.4</w:t>
            </w:r>
          </w:p>
        </w:tc>
        <w:tc>
          <w:tcPr>
            <w:tcW w:w="9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CDA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1.25</w:t>
            </w:r>
          </w:p>
        </w:tc>
        <w:tc>
          <w:tcPr>
            <w:tcW w:w="10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13D09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CCE5A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0.95</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27DC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0.64</w:t>
            </w:r>
          </w:p>
        </w:tc>
        <w:tc>
          <w:tcPr>
            <w:tcW w:w="10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CF0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0.52</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11FE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0.30</w:t>
            </w:r>
          </w:p>
        </w:tc>
        <w:tc>
          <w:tcPr>
            <w:tcW w:w="127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0A3C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0.20</w:t>
            </w:r>
          </w:p>
        </w:tc>
        <w:tc>
          <w:tcPr>
            <w:tcW w:w="13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44F2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0.15</w:t>
            </w:r>
          </w:p>
        </w:tc>
        <w:tc>
          <w:tcPr>
            <w:tcW w:w="939" w:type="dxa"/>
            <w:tcBorders>
              <w:top w:val="single" w:color="000000" w:sz="4" w:space="0"/>
              <w:left w:val="single" w:color="000000" w:sz="4" w:space="0"/>
              <w:bottom w:val="single" w:color="000000" w:sz="4" w:space="0"/>
              <w:right w:val="single" w:color="000000" w:sz="18" w:space="0"/>
            </w:tcBorders>
            <w:noWrap/>
            <w:tcMar>
              <w:top w:w="15" w:type="dxa"/>
              <w:left w:w="15" w:type="dxa"/>
              <w:right w:w="15" w:type="dxa"/>
            </w:tcMar>
            <w:vAlign w:val="center"/>
          </w:tcPr>
          <w:p w14:paraId="050225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color w:val="auto"/>
                <w:kern w:val="0"/>
                <w:sz w:val="20"/>
                <w:szCs w:val="20"/>
                <w:highlight w:val="none"/>
                <w:u w:val="none"/>
                <w:lang w:val="en-US" w:eastAsia="zh-CN" w:bidi="ar"/>
              </w:rPr>
              <w:t>0.10</w:t>
            </w:r>
          </w:p>
        </w:tc>
      </w:tr>
      <w:tr w14:paraId="019A7853">
        <w:tblPrEx>
          <w:tblCellMar>
            <w:top w:w="0" w:type="dxa"/>
            <w:left w:w="0" w:type="dxa"/>
            <w:bottom w:w="0" w:type="dxa"/>
            <w:right w:w="0" w:type="dxa"/>
          </w:tblCellMar>
        </w:tblPrEx>
        <w:trPr>
          <w:trHeight w:val="905" w:hRule="atLeast"/>
          <w:jc w:val="center"/>
        </w:trPr>
        <w:tc>
          <w:tcPr>
            <w:tcW w:w="485" w:type="dxa"/>
            <w:vMerge w:val="continue"/>
            <w:tcBorders>
              <w:top w:val="single" w:color="000000" w:sz="4" w:space="0"/>
              <w:left w:val="single" w:color="000000" w:sz="18" w:space="0"/>
              <w:bottom w:val="single" w:color="000000" w:sz="18" w:space="0"/>
              <w:right w:val="single" w:color="000000" w:sz="4" w:space="0"/>
            </w:tcBorders>
            <w:noWrap/>
            <w:tcMar>
              <w:top w:w="15" w:type="dxa"/>
              <w:left w:w="15" w:type="dxa"/>
              <w:right w:w="15" w:type="dxa"/>
            </w:tcMar>
            <w:vAlign w:val="center"/>
          </w:tcPr>
          <w:p w14:paraId="448DDA3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cs="宋体"/>
                <w:i w:val="0"/>
                <w:color w:val="auto"/>
                <w:kern w:val="0"/>
                <w:sz w:val="20"/>
                <w:szCs w:val="20"/>
                <w:highlight w:val="none"/>
                <w:u w:val="none"/>
                <w:lang w:val="en-US" w:eastAsia="zh-CN" w:bidi="ar"/>
              </w:rPr>
            </w:pPr>
          </w:p>
        </w:tc>
        <w:tc>
          <w:tcPr>
            <w:tcW w:w="2025" w:type="dxa"/>
            <w:gridSpan w:val="2"/>
            <w:tcBorders>
              <w:top w:val="single" w:color="000000" w:sz="4" w:space="0"/>
              <w:left w:val="single" w:color="000000" w:sz="4" w:space="0"/>
              <w:bottom w:val="single" w:color="000000" w:sz="18" w:space="0"/>
              <w:right w:val="single" w:color="000000" w:sz="4" w:space="0"/>
            </w:tcBorders>
            <w:noWrap w:val="0"/>
            <w:tcMar>
              <w:top w:w="15" w:type="dxa"/>
              <w:left w:w="15" w:type="dxa"/>
              <w:right w:w="15" w:type="dxa"/>
            </w:tcMar>
            <w:vAlign w:val="center"/>
          </w:tcPr>
          <w:p w14:paraId="7F0672FD">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追加费用</w:t>
            </w:r>
          </w:p>
        </w:tc>
        <w:tc>
          <w:tcPr>
            <w:tcW w:w="1881" w:type="dxa"/>
            <w:tcBorders>
              <w:top w:val="single" w:color="000000" w:sz="4" w:space="0"/>
              <w:left w:val="single" w:color="000000" w:sz="4" w:space="0"/>
              <w:bottom w:val="single" w:color="000000" w:sz="18" w:space="0"/>
              <w:right w:val="single" w:color="000000" w:sz="4" w:space="0"/>
            </w:tcBorders>
            <w:noWrap/>
            <w:tcMar>
              <w:top w:w="15" w:type="dxa"/>
              <w:left w:w="15" w:type="dxa"/>
              <w:right w:w="15" w:type="dxa"/>
            </w:tcMar>
            <w:vAlign w:val="center"/>
          </w:tcPr>
          <w:p w14:paraId="3CC9C6C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color w:val="auto"/>
                <w:kern w:val="0"/>
                <w:sz w:val="20"/>
                <w:szCs w:val="20"/>
                <w:highlight w:val="none"/>
                <w:u w:val="none"/>
                <w:lang w:val="en-US" w:eastAsia="zh-CN" w:bidi="ar"/>
              </w:rPr>
              <w:t>核增额及超过5%以外的核减额</w:t>
            </w:r>
          </w:p>
        </w:tc>
        <w:tc>
          <w:tcPr>
            <w:tcW w:w="10944" w:type="dxa"/>
            <w:gridSpan w:val="10"/>
            <w:tcBorders>
              <w:top w:val="single" w:color="000000" w:sz="4" w:space="0"/>
              <w:left w:val="single" w:color="000000" w:sz="4" w:space="0"/>
              <w:bottom w:val="single" w:color="000000" w:sz="18" w:space="0"/>
              <w:right w:val="single" w:color="000000" w:sz="18" w:space="0"/>
            </w:tcBorders>
            <w:noWrap/>
            <w:tcMar>
              <w:top w:w="15" w:type="dxa"/>
              <w:left w:w="15" w:type="dxa"/>
              <w:right w:w="15" w:type="dxa"/>
            </w:tcMar>
            <w:vAlign w:val="center"/>
          </w:tcPr>
          <w:p w14:paraId="57BEB7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i w:val="0"/>
                <w:color w:val="auto"/>
                <w:sz w:val="20"/>
                <w:szCs w:val="20"/>
                <w:highlight w:val="none"/>
                <w:u w:val="none"/>
                <w:lang w:val="en-US" w:eastAsia="zh-CN"/>
              </w:rPr>
            </w:pPr>
            <w:r>
              <w:rPr>
                <w:rFonts w:hint="eastAsia" w:ascii="宋体" w:hAnsi="宋体" w:eastAsia="宋体" w:cs="宋体"/>
                <w:i w:val="0"/>
                <w:color w:val="auto"/>
                <w:kern w:val="0"/>
                <w:sz w:val="20"/>
                <w:szCs w:val="20"/>
                <w:highlight w:val="none"/>
                <w:u w:val="none"/>
                <w:lang w:val="en-US" w:eastAsia="zh-CN" w:bidi="ar"/>
              </w:rPr>
              <w:t>5%</w:t>
            </w:r>
          </w:p>
        </w:tc>
      </w:tr>
    </w:tbl>
    <w:p w14:paraId="7BE021DF">
      <w:pPr>
        <w:pStyle w:val="3"/>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说明：</w:t>
      </w:r>
    </w:p>
    <w:p w14:paraId="01625783">
      <w:pPr>
        <w:pStyle w:val="3"/>
        <w:rPr>
          <w:rFonts w:hint="default" w:ascii="宋体" w:hAnsi="仿宋_GB2312" w:eastAsia="黑体" w:cs="仿宋_GB2312"/>
          <w:b w:val="0"/>
          <w:bCs w:val="0"/>
          <w:snapToGrid w:val="0"/>
          <w:color w:val="auto"/>
          <w:kern w:val="2"/>
          <w:sz w:val="21"/>
          <w:szCs w:val="21"/>
          <w:highlight w:val="none"/>
          <w:lang w:val="en-US" w:eastAsia="zh-CN" w:bidi="ar-SA"/>
        </w:rPr>
      </w:pPr>
      <w:r>
        <w:rPr>
          <w:rFonts w:hint="eastAsia" w:ascii="宋体" w:hAnsi="仿宋_GB2312" w:eastAsia="黑体" w:cs="仿宋_GB2312"/>
          <w:b w:val="0"/>
          <w:bCs w:val="0"/>
          <w:snapToGrid w:val="0"/>
          <w:color w:val="auto"/>
          <w:kern w:val="2"/>
          <w:sz w:val="21"/>
          <w:szCs w:val="21"/>
          <w:highlight w:val="none"/>
          <w:lang w:val="en-US" w:eastAsia="zh-CN" w:bidi="ar-SA"/>
        </w:rPr>
        <w:t>1.每个咨询服务项目按上表计算不足2000元的，按2000元收费；单个项目基本审价费高于等于 49.99 万元则按 49.99 万元计取。</w:t>
      </w:r>
    </w:p>
    <w:p w14:paraId="6DD427E3">
      <w:pPr>
        <w:pStyle w:val="20"/>
        <w:rPr>
          <w:rFonts w:ascii="宋体" w:hAnsi="宋体" w:cs="宋体"/>
          <w:color w:val="auto"/>
          <w:sz w:val="28"/>
          <w:szCs w:val="28"/>
          <w:highlight w:val="none"/>
        </w:rPr>
        <w:sectPr>
          <w:headerReference r:id="rId22" w:type="default"/>
          <w:footerReference r:id="rId23" w:type="default"/>
          <w:pgSz w:w="16838" w:h="11906" w:orient="landscape"/>
          <w:pgMar w:top="1803" w:right="1440" w:bottom="1803" w:left="1440" w:header="930" w:footer="992" w:gutter="0"/>
          <w:pgBorders>
            <w:top w:val="none" w:sz="0" w:space="0"/>
            <w:left w:val="none" w:sz="0" w:space="0"/>
            <w:bottom w:val="none" w:sz="0" w:space="0"/>
            <w:right w:val="none" w:sz="0" w:space="0"/>
          </w:pgBorders>
          <w:cols w:space="720" w:num="1"/>
          <w:docGrid w:linePitch="319" w:charSpace="0"/>
        </w:sectPr>
      </w:pPr>
      <w:r>
        <w:rPr>
          <w:rFonts w:hint="eastAsia" w:hAnsi="仿宋_GB2312" w:cs="仿宋_GB2312"/>
          <w:color w:val="auto"/>
          <w:sz w:val="21"/>
          <w:szCs w:val="21"/>
          <w:highlight w:val="none"/>
          <w:lang w:val="en-US" w:eastAsia="zh-CN"/>
        </w:rPr>
        <w:t>2.设计概算编制或复核的收费基数不含征（借）地拆迁安置补偿费，但设计概算编制或审核的工作内容应包含征（借）地拆迁安置补偿费（如有）</w:t>
      </w:r>
      <w:r>
        <w:rPr>
          <w:rFonts w:hint="eastAsia" w:hAnsi="仿宋_GB2312" w:cs="仿宋_GB2312"/>
          <w:color w:val="auto"/>
          <w:sz w:val="20"/>
          <w:szCs w:val="20"/>
          <w:highlight w:val="none"/>
          <w:lang w:val="en-US" w:eastAsia="zh-CN"/>
        </w:rPr>
        <w:t>的审</w:t>
      </w:r>
      <w:r>
        <w:rPr>
          <w:rFonts w:hint="eastAsia" w:hAnsi="仿宋_GB2312" w:cs="仿宋_GB2312"/>
          <w:color w:val="auto"/>
          <w:sz w:val="21"/>
          <w:szCs w:val="21"/>
          <w:highlight w:val="none"/>
          <w:lang w:val="en-US" w:eastAsia="zh-CN"/>
        </w:rPr>
        <w:t>核。</w:t>
      </w:r>
    </w:p>
    <w:p w14:paraId="331AFB06">
      <w:pPr>
        <w:snapToGrid w:val="0"/>
        <w:spacing w:line="360" w:lineRule="auto"/>
        <w:jc w:val="center"/>
        <w:outlineLvl w:val="0"/>
        <w:rPr>
          <w:rFonts w:ascii="宋体" w:hAnsi="宋体" w:cs="宋体"/>
          <w:b/>
          <w:color w:val="auto"/>
          <w:sz w:val="36"/>
          <w:highlight w:val="none"/>
        </w:rPr>
      </w:pPr>
      <w:r>
        <w:rPr>
          <w:rFonts w:hint="eastAsia" w:ascii="宋体" w:hAnsi="宋体" w:cs="宋体"/>
          <w:b/>
          <w:color w:val="auto"/>
          <w:sz w:val="36"/>
          <w:highlight w:val="none"/>
        </w:rPr>
        <w:t>第六部分应提交的有关格式范例</w:t>
      </w:r>
    </w:p>
    <w:p w14:paraId="20B407E8">
      <w:pPr>
        <w:spacing w:line="360" w:lineRule="auto"/>
        <w:ind w:firstLine="480" w:firstLineChars="200"/>
        <w:rPr>
          <w:rFonts w:ascii="宋体" w:hAnsi="宋体" w:cs="宋体"/>
          <w:color w:val="auto"/>
          <w:sz w:val="24"/>
          <w:highlight w:val="none"/>
        </w:rPr>
      </w:pPr>
    </w:p>
    <w:p w14:paraId="17B1BAD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供应商按照以下格式编制响应文件。</w:t>
      </w:r>
    </w:p>
    <w:p w14:paraId="1895FEC1">
      <w:pPr>
        <w:spacing w:line="360" w:lineRule="auto"/>
        <w:rPr>
          <w:rFonts w:ascii="宋体" w:hAnsi="宋体" w:cs="宋体"/>
          <w:color w:val="auto"/>
          <w:sz w:val="36"/>
          <w:szCs w:val="36"/>
          <w:highlight w:val="none"/>
        </w:rPr>
      </w:pPr>
    </w:p>
    <w:p w14:paraId="35C23D73">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26F9A81B">
      <w:pPr>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EDC5E77">
      <w:pPr>
        <w:spacing w:line="360" w:lineRule="auto"/>
        <w:jc w:val="center"/>
        <w:rPr>
          <w:rFonts w:ascii="宋体" w:hAnsi="宋体" w:cs="宋体"/>
          <w:b/>
          <w:color w:val="auto"/>
          <w:kern w:val="0"/>
          <w:sz w:val="36"/>
          <w:szCs w:val="36"/>
          <w:highlight w:val="none"/>
        </w:rPr>
      </w:pPr>
    </w:p>
    <w:p w14:paraId="092B47A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331D0CE6">
      <w:pPr>
        <w:snapToGrid w:val="0"/>
        <w:spacing w:line="360" w:lineRule="auto"/>
        <w:rPr>
          <w:rFonts w:hint="eastAsia" w:ascii="宋体" w:hAnsi="宋体" w:cs="宋体"/>
          <w:color w:val="auto"/>
          <w:sz w:val="24"/>
          <w:highlight w:val="none"/>
        </w:rPr>
        <w:sectPr>
          <w:headerReference r:id="rId25" w:type="first"/>
          <w:footerReference r:id="rId27" w:type="first"/>
          <w:headerReference r:id="rId24" w:type="default"/>
          <w:footerReference r:id="rId26" w:type="default"/>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5F05574C">
      <w:pPr>
        <w:snapToGrid w:val="0"/>
        <w:spacing w:line="360" w:lineRule="auto"/>
        <w:ind w:right="480"/>
        <w:jc w:val="center"/>
        <w:outlineLvl w:val="2"/>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一、符合参加政府采购活动应当具备的一般条件的承诺函</w:t>
      </w:r>
    </w:p>
    <w:p w14:paraId="57A4B5FB">
      <w:pPr>
        <w:snapToGrid w:val="0"/>
        <w:spacing w:line="360" w:lineRule="auto"/>
        <w:rPr>
          <w:rFonts w:ascii="宋体" w:hAnsi="宋体" w:cs="宋体"/>
          <w:color w:val="auto"/>
          <w:sz w:val="24"/>
          <w:highlight w:val="none"/>
          <w:u w:val="single"/>
        </w:rPr>
      </w:pPr>
    </w:p>
    <w:p w14:paraId="47B478F3">
      <w:pPr>
        <w:snapToGrid w:val="0"/>
        <w:spacing w:line="360" w:lineRule="auto"/>
        <w:rPr>
          <w:rFonts w:ascii="宋体" w:hAnsi="宋体" w:cs="宋体"/>
          <w:color w:val="auto"/>
          <w:kern w:val="0"/>
          <w:sz w:val="24"/>
          <w:highlight w:val="none"/>
          <w:u w:val="single"/>
        </w:rPr>
      </w:pPr>
      <w:r>
        <w:rPr>
          <w:rFonts w:hint="eastAsia" w:ascii="宋体" w:hAnsi="宋体" w:cs="宋体"/>
          <w:color w:val="auto"/>
          <w:sz w:val="24"/>
          <w:highlight w:val="none"/>
          <w:u w:val="single"/>
        </w:rPr>
        <w:t>杭州市</w:t>
      </w:r>
      <w:r>
        <w:rPr>
          <w:rFonts w:hint="eastAsia" w:ascii="宋体" w:hAnsi="宋体" w:cs="宋体"/>
          <w:color w:val="auto"/>
          <w:sz w:val="24"/>
          <w:highlight w:val="none"/>
          <w:u w:val="single"/>
          <w:lang w:eastAsia="zh-CN"/>
        </w:rPr>
        <w:t>钱塘区政府投资项目评审服务中心</w:t>
      </w:r>
      <w:r>
        <w:rPr>
          <w:rFonts w:hint="eastAsia" w:ascii="宋体" w:hAnsi="宋体" w:cs="宋体"/>
          <w:color w:val="auto"/>
          <w:kern w:val="0"/>
          <w:sz w:val="24"/>
          <w:highlight w:val="none"/>
          <w:u w:val="single"/>
          <w:lang w:val="zh-CN"/>
        </w:rPr>
        <w:t>：</w:t>
      </w:r>
    </w:p>
    <w:p w14:paraId="2EACEC5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杭州市钱塘区2026-2028年政府投资项目</w:t>
      </w:r>
      <w:r>
        <w:rPr>
          <w:rFonts w:hint="eastAsia" w:ascii="宋体" w:hAnsi="宋体" w:cs="宋体"/>
          <w:color w:val="auto"/>
          <w:sz w:val="24"/>
          <w:highlight w:val="none"/>
          <w:u w:val="single"/>
        </w:rPr>
        <w:t xml:space="preserve">工程造价咨询服务采购项目 </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】政府采购活动，郑重承诺：</w:t>
      </w:r>
    </w:p>
    <w:p w14:paraId="1EFD659C">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18C2237">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4C44C937">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20FBEF87">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3、具有履行合同所必需的场地、设备和专业技术能力；</w:t>
      </w:r>
    </w:p>
    <w:p w14:paraId="7C317B54">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690333D">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5、参加本次政府采购活动前三年内，在经营活动中没有重大违法记录；</w:t>
      </w:r>
    </w:p>
    <w:p w14:paraId="0B81B5D6">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2D4CFA2">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（二）未被信用中国（www.creditchina.gov.cn)、中国政府采购网（www.ccgp.gov.cn）列入失信被执行人名单、重大税收违法案件当事人名单、政府采购严重违法失信行为记录名单。</w:t>
      </w:r>
    </w:p>
    <w:p w14:paraId="0A0F8711">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（三）不存在以下情况：</w:t>
      </w:r>
    </w:p>
    <w:p w14:paraId="4A689E24">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497C3650">
      <w:pPr>
        <w:snapToGrid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1A6E0F1F">
      <w:pPr>
        <w:snapToGrid w:val="0"/>
        <w:spacing w:line="360" w:lineRule="auto"/>
        <w:ind w:firstLine="3360" w:firstLineChars="1400"/>
        <w:rPr>
          <w:rFonts w:ascii="宋体" w:hAnsi="宋体" w:cs="宋体"/>
          <w:color w:val="auto"/>
          <w:kern w:val="0"/>
          <w:sz w:val="24"/>
          <w:highlight w:val="none"/>
          <w:lang w:val="zh-CN"/>
        </w:rPr>
      </w:pPr>
    </w:p>
    <w:p w14:paraId="49AC8A14">
      <w:pPr>
        <w:snapToGrid w:val="0"/>
        <w:spacing w:line="360" w:lineRule="auto"/>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lang w:val="zh-CN"/>
        </w:rPr>
        <w:t>响应供应商名称(电子签名)：</w:t>
      </w:r>
    </w:p>
    <w:p w14:paraId="396B7D6D">
      <w:pPr>
        <w:snapToGrid w:val="0"/>
        <w:spacing w:line="360" w:lineRule="auto"/>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   日</w:t>
      </w:r>
    </w:p>
    <w:p w14:paraId="0950BA3F">
      <w:pPr>
        <w:widowControl/>
        <w:spacing w:line="360" w:lineRule="auto"/>
        <w:ind w:firstLine="643" w:firstLineChars="200"/>
        <w:jc w:val="center"/>
        <w:outlineLvl w:val="2"/>
        <w:rPr>
          <w:rFonts w:hint="eastAsia" w:ascii="宋体" w:hAnsi="宋体" w:cs="宋体"/>
          <w:b/>
          <w:color w:val="auto"/>
          <w:kern w:val="0"/>
          <w:sz w:val="32"/>
          <w:szCs w:val="32"/>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4D856088">
      <w:pPr>
        <w:spacing w:line="360" w:lineRule="auto"/>
        <w:ind w:right="420"/>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38B2273F">
      <w:pPr>
        <w:spacing w:line="360" w:lineRule="auto"/>
        <w:jc w:val="center"/>
        <w:rPr>
          <w:rFonts w:ascii="宋体" w:hAnsi="宋体" w:cs="宋体"/>
          <w:b/>
          <w:color w:val="auto"/>
          <w:kern w:val="0"/>
          <w:sz w:val="24"/>
          <w:highlight w:val="none"/>
        </w:rPr>
      </w:pPr>
    </w:p>
    <w:p w14:paraId="5ABFE6C2">
      <w:pPr>
        <w:spacing w:line="360" w:lineRule="auto"/>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4A15C89A">
      <w:pPr>
        <w:snapToGrid w:val="0"/>
        <w:spacing w:line="360" w:lineRule="auto"/>
        <w:ind w:left="17" w:hanging="16" w:hangingChars="7"/>
        <w:rPr>
          <w:rFonts w:ascii="宋体" w:hAnsi="宋体" w:cs="宋体"/>
          <w:color w:val="auto"/>
          <w:highlight w:val="none"/>
        </w:rPr>
      </w:pPr>
      <w:r>
        <w:rPr>
          <w:rFonts w:hint="eastAsia" w:ascii="宋体" w:hAnsi="宋体" w:cs="宋体"/>
          <w:color w:val="auto"/>
          <w:sz w:val="24"/>
          <w:highlight w:val="none"/>
        </w:rPr>
        <w:t>（1）</w:t>
      </w:r>
      <w:r>
        <w:rPr>
          <w:rFonts w:hint="eastAsia" w:ascii="宋体" w:hAnsi="宋体" w:cs="宋体"/>
          <w:color w:val="auto"/>
          <w:kern w:val="0"/>
          <w:sz w:val="24"/>
          <w:highlight w:val="none"/>
        </w:rPr>
        <w:t>响应</w:t>
      </w:r>
      <w:r>
        <w:rPr>
          <w:rFonts w:hint="eastAsia" w:ascii="宋体" w:hAnsi="宋体" w:cs="宋体"/>
          <w:color w:val="auto"/>
          <w:sz w:val="24"/>
          <w:highlight w:val="none"/>
        </w:rPr>
        <w:t>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EAF30C7">
      <w:pPr>
        <w:snapToGrid w:val="0"/>
        <w:spacing w:line="360" w:lineRule="auto"/>
        <w:ind w:left="17" w:hanging="16" w:hangingChars="7"/>
        <w:rPr>
          <w:rFonts w:ascii="宋体" w:hAnsi="宋体" w:cs="宋体"/>
          <w:color w:val="auto"/>
          <w:highlight w:val="none"/>
        </w:rPr>
      </w:pPr>
      <w:r>
        <w:rPr>
          <w:rFonts w:hint="eastAsia" w:ascii="宋体" w:hAnsi="宋体" w:cs="宋体"/>
          <w:color w:val="auto"/>
          <w:sz w:val="24"/>
          <w:highlight w:val="none"/>
        </w:rPr>
        <w:t>（3）符合性审查资料</w:t>
      </w:r>
      <w:r>
        <w:rPr>
          <w:rFonts w:hint="eastAsia" w:ascii="宋体" w:hAnsi="宋体" w:cs="宋体"/>
          <w:color w:val="auto"/>
          <w:highlight w:val="none"/>
        </w:rPr>
        <w:t>……………………………………………………………………（页码）</w:t>
      </w:r>
    </w:p>
    <w:p w14:paraId="75DDAB8D">
      <w:pPr>
        <w:snapToGrid w:val="0"/>
        <w:spacing w:line="360" w:lineRule="auto"/>
        <w:ind w:left="17" w:hanging="16" w:hangingChars="7"/>
        <w:rPr>
          <w:rFonts w:ascii="宋体" w:hAnsi="宋体" w:cs="宋体"/>
          <w:color w:val="auto"/>
          <w:highlight w:val="none"/>
        </w:rPr>
      </w:pPr>
      <w:r>
        <w:rPr>
          <w:rFonts w:hint="eastAsia" w:ascii="宋体" w:hAnsi="宋体" w:cs="宋体"/>
          <w:color w:val="auto"/>
          <w:sz w:val="24"/>
          <w:highlight w:val="none"/>
        </w:rPr>
        <w:t>（4）评标标准相应的商务技术资料</w:t>
      </w:r>
      <w:r>
        <w:rPr>
          <w:rFonts w:hint="eastAsia" w:ascii="宋体" w:hAnsi="宋体" w:cs="宋体"/>
          <w:color w:val="auto"/>
          <w:highlight w:val="none"/>
        </w:rPr>
        <w:t>…………………………………………………（页码）</w:t>
      </w:r>
    </w:p>
    <w:p w14:paraId="4263F99F">
      <w:pPr>
        <w:snapToGrid w:val="0"/>
        <w:spacing w:line="360" w:lineRule="auto"/>
        <w:ind w:left="17" w:hanging="16" w:hangingChars="7"/>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kern w:val="0"/>
          <w:sz w:val="24"/>
          <w:highlight w:val="none"/>
        </w:rPr>
        <w:t>响应</w:t>
      </w:r>
      <w:r>
        <w:rPr>
          <w:rFonts w:hint="eastAsia" w:ascii="宋体" w:hAnsi="宋体" w:cs="宋体"/>
          <w:color w:val="auto"/>
          <w:sz w:val="24"/>
          <w:highlight w:val="none"/>
        </w:rPr>
        <w:t>标的清</w:t>
      </w:r>
      <w:r>
        <w:rPr>
          <w:rFonts w:hint="eastAsia" w:ascii="宋体" w:hAnsi="宋体" w:cs="宋体"/>
          <w:color w:val="auto"/>
          <w:sz w:val="24"/>
          <w:highlight w:val="none"/>
          <w:lang w:eastAsia="zh-CN"/>
        </w:rPr>
        <w:t>（如果有）</w:t>
      </w:r>
      <w:r>
        <w:rPr>
          <w:rFonts w:hint="eastAsia" w:ascii="宋体" w:hAnsi="宋体" w:cs="宋体"/>
          <w:color w:val="auto"/>
          <w:sz w:val="24"/>
          <w:highlight w:val="none"/>
        </w:rPr>
        <w:t>…………………………………………………（页码）</w:t>
      </w:r>
    </w:p>
    <w:p w14:paraId="277337B6">
      <w:pPr>
        <w:snapToGrid w:val="0"/>
        <w:spacing w:line="360" w:lineRule="auto"/>
        <w:ind w:left="17" w:hanging="16" w:hangingChars="7"/>
        <w:rPr>
          <w:rFonts w:ascii="宋体" w:hAnsi="宋体" w:cs="宋体"/>
          <w:color w:val="auto"/>
          <w:highlight w:val="none"/>
        </w:rPr>
      </w:pPr>
      <w:r>
        <w:rPr>
          <w:rFonts w:hint="eastAsia" w:ascii="宋体" w:hAnsi="宋体" w:cs="宋体"/>
          <w:color w:val="auto"/>
          <w:sz w:val="24"/>
          <w:highlight w:val="none"/>
        </w:rPr>
        <w:t>（6）商务技术偏离表</w:t>
      </w:r>
      <w:r>
        <w:rPr>
          <w:rFonts w:hint="eastAsia" w:ascii="宋体" w:hAnsi="宋体" w:cs="宋体"/>
          <w:color w:val="auto"/>
          <w:highlight w:val="none"/>
        </w:rPr>
        <w:t>……………………………………………………………………（页码）</w:t>
      </w:r>
    </w:p>
    <w:p w14:paraId="746ECAA1">
      <w:pPr>
        <w:snapToGrid w:val="0"/>
        <w:spacing w:line="360" w:lineRule="auto"/>
        <w:ind w:left="17" w:hanging="16" w:hangingChars="7"/>
        <w:rPr>
          <w:rFonts w:hint="eastAsia" w:ascii="宋体" w:hAnsi="宋体" w:cs="宋体"/>
          <w:color w:val="auto"/>
          <w:highlight w:val="none"/>
        </w:rPr>
      </w:pPr>
      <w:r>
        <w:rPr>
          <w:rFonts w:hint="eastAsia" w:ascii="宋体" w:hAnsi="宋体" w:cs="宋体"/>
          <w:color w:val="auto"/>
          <w:sz w:val="24"/>
          <w:highlight w:val="none"/>
          <w:lang w:val="zh-CN"/>
        </w:rPr>
        <w:t>（</w:t>
      </w:r>
      <w:r>
        <w:rPr>
          <w:rFonts w:hint="eastAsia" w:ascii="宋体" w:hAnsi="宋体" w:cs="宋体"/>
          <w:color w:val="auto"/>
          <w:sz w:val="24"/>
          <w:highlight w:val="none"/>
        </w:rPr>
        <w:t>7</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7FC0D20">
      <w:pPr>
        <w:pStyle w:val="63"/>
        <w:rPr>
          <w:rFonts w:hint="default" w:eastAsia="宋体"/>
          <w:color w:val="auto"/>
          <w:highlight w:val="none"/>
          <w:lang w:val="en-US" w:eastAsia="zh-CN"/>
        </w:rPr>
      </w:pPr>
      <w:r>
        <w:rPr>
          <w:rFonts w:hint="eastAsia" w:cs="宋体"/>
          <w:color w:val="auto"/>
          <w:highlight w:val="none"/>
          <w:lang w:eastAsia="zh-CN"/>
        </w:rPr>
        <w:t>（</w:t>
      </w:r>
      <w:r>
        <w:rPr>
          <w:rFonts w:hint="eastAsia" w:cs="宋体"/>
          <w:color w:val="auto"/>
          <w:highlight w:val="none"/>
          <w:lang w:val="en-US" w:eastAsia="zh-CN"/>
        </w:rPr>
        <w:t>8）审核误差率承书</w:t>
      </w:r>
      <w:r>
        <w:rPr>
          <w:rFonts w:hint="eastAsia" w:ascii="宋体" w:hAnsi="宋体" w:cs="宋体"/>
          <w:color w:val="auto"/>
          <w:highlight w:val="none"/>
        </w:rPr>
        <w:t>…………………………………………………………（页码）</w:t>
      </w:r>
    </w:p>
    <w:p w14:paraId="43931993">
      <w:pPr>
        <w:snapToGrid w:val="0"/>
        <w:spacing w:line="360" w:lineRule="auto"/>
        <w:jc w:val="center"/>
        <w:outlineLvl w:val="2"/>
        <w:rPr>
          <w:rFonts w:hint="eastAsia" w:ascii="宋体" w:hAnsi="宋体" w:cs="宋体"/>
          <w:b/>
          <w:color w:val="auto"/>
          <w:kern w:val="0"/>
          <w:sz w:val="32"/>
          <w:szCs w:val="32"/>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26F87C45">
      <w:pPr>
        <w:snapToGrid w:val="0"/>
        <w:spacing w:line="360" w:lineRule="auto"/>
        <w:jc w:val="center"/>
        <w:outlineLvl w:val="2"/>
        <w:rPr>
          <w:rFonts w:ascii="宋体" w:hAnsi="宋体" w:cs="宋体"/>
          <w:b/>
          <w:color w:val="auto"/>
          <w:sz w:val="32"/>
          <w:szCs w:val="32"/>
          <w:highlight w:val="none"/>
        </w:rPr>
      </w:pPr>
      <w:r>
        <w:rPr>
          <w:rFonts w:hint="eastAsia" w:ascii="宋体" w:hAnsi="宋体" w:cs="宋体"/>
          <w:b/>
          <w:color w:val="auto"/>
          <w:kern w:val="0"/>
          <w:sz w:val="32"/>
          <w:szCs w:val="32"/>
          <w:highlight w:val="none"/>
        </w:rPr>
        <w:t>一、</w:t>
      </w:r>
      <w:r>
        <w:rPr>
          <w:rFonts w:hint="eastAsia" w:ascii="宋体" w:hAnsi="宋体" w:cs="宋体"/>
          <w:b/>
          <w:color w:val="auto"/>
          <w:sz w:val="32"/>
          <w:szCs w:val="32"/>
          <w:highlight w:val="none"/>
        </w:rPr>
        <w:t>响应函</w:t>
      </w:r>
    </w:p>
    <w:p w14:paraId="334AC64E">
      <w:pPr>
        <w:snapToGrid w:val="0"/>
        <w:spacing w:line="360" w:lineRule="auto"/>
        <w:rPr>
          <w:rFonts w:ascii="宋体" w:hAnsi="宋体" w:cs="宋体"/>
          <w:color w:val="auto"/>
          <w:kern w:val="0"/>
          <w:sz w:val="24"/>
          <w:highlight w:val="none"/>
          <w:u w:val="single"/>
        </w:rPr>
      </w:pPr>
      <w:r>
        <w:rPr>
          <w:rFonts w:hint="eastAsia" w:ascii="宋体" w:hAnsi="宋体" w:cs="宋体"/>
          <w:color w:val="auto"/>
          <w:sz w:val="24"/>
          <w:highlight w:val="none"/>
          <w:u w:val="single"/>
        </w:rPr>
        <w:t>杭州市</w:t>
      </w:r>
      <w:r>
        <w:rPr>
          <w:rFonts w:hint="eastAsia" w:ascii="宋体" w:hAnsi="宋体" w:cs="宋体"/>
          <w:color w:val="auto"/>
          <w:sz w:val="24"/>
          <w:highlight w:val="none"/>
          <w:u w:val="single"/>
          <w:lang w:eastAsia="zh-CN"/>
        </w:rPr>
        <w:t>钱塘区政府投资项目评审服务中心</w:t>
      </w:r>
      <w:r>
        <w:rPr>
          <w:rFonts w:hint="eastAsia" w:ascii="宋体" w:hAnsi="宋体" w:cs="宋体"/>
          <w:color w:val="auto"/>
          <w:kern w:val="0"/>
          <w:sz w:val="24"/>
          <w:highlight w:val="none"/>
          <w:u w:val="single"/>
          <w:lang w:val="zh-CN"/>
        </w:rPr>
        <w:t>：</w:t>
      </w:r>
    </w:p>
    <w:p w14:paraId="7BF41A6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杭州市钱塘区2026-2028年政府投资项目</w:t>
      </w:r>
      <w:r>
        <w:rPr>
          <w:rFonts w:hint="eastAsia" w:ascii="宋体" w:hAnsi="宋体" w:cs="宋体"/>
          <w:color w:val="auto"/>
          <w:sz w:val="24"/>
          <w:highlight w:val="none"/>
          <w:u w:val="single"/>
        </w:rPr>
        <w:t xml:space="preserve">工程造价咨询服务采购项目 </w:t>
      </w:r>
      <w:r>
        <w:rPr>
          <w:rFonts w:hint="eastAsia" w:ascii="宋体" w:hAnsi="宋体" w:cs="宋体"/>
          <w:color w:val="auto"/>
          <w:sz w:val="24"/>
          <w:highlight w:val="none"/>
        </w:rPr>
        <w:t>【项目编号：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 xml:space="preserve"> 】征集的有关活动，并对此项目进行</w:t>
      </w:r>
      <w:r>
        <w:rPr>
          <w:rFonts w:hint="eastAsia" w:ascii="宋体" w:hAnsi="宋体" w:cs="宋体"/>
          <w:color w:val="auto"/>
          <w:kern w:val="0"/>
          <w:sz w:val="24"/>
          <w:highlight w:val="none"/>
        </w:rPr>
        <w:t>响应</w:t>
      </w:r>
      <w:r>
        <w:rPr>
          <w:rFonts w:hint="eastAsia" w:ascii="宋体" w:hAnsi="宋体" w:cs="宋体"/>
          <w:color w:val="auto"/>
          <w:sz w:val="24"/>
          <w:highlight w:val="none"/>
        </w:rPr>
        <w:t>。为此：</w:t>
      </w:r>
    </w:p>
    <w:p w14:paraId="1BB8626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w:t>
      </w:r>
      <w:r>
        <w:rPr>
          <w:rFonts w:hint="eastAsia" w:ascii="宋体" w:hAnsi="宋体" w:cs="宋体"/>
          <w:color w:val="auto"/>
          <w:kern w:val="0"/>
          <w:sz w:val="24"/>
          <w:highlight w:val="none"/>
        </w:rPr>
        <w:t>响应</w:t>
      </w:r>
      <w:r>
        <w:rPr>
          <w:rFonts w:hint="eastAsia" w:ascii="宋体" w:hAnsi="宋体" w:cs="宋体"/>
          <w:color w:val="auto"/>
          <w:sz w:val="24"/>
          <w:highlight w:val="none"/>
        </w:rPr>
        <w:t>有效期从提交响应文件的截止之日起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本响应文件在</w:t>
      </w:r>
      <w:r>
        <w:rPr>
          <w:rFonts w:hint="eastAsia" w:ascii="宋体" w:hAnsi="宋体" w:cs="宋体"/>
          <w:color w:val="auto"/>
          <w:kern w:val="0"/>
          <w:sz w:val="24"/>
          <w:highlight w:val="none"/>
        </w:rPr>
        <w:t>响应</w:t>
      </w:r>
      <w:r>
        <w:rPr>
          <w:rFonts w:hint="eastAsia" w:ascii="宋体" w:hAnsi="宋体" w:cs="宋体"/>
          <w:color w:val="auto"/>
          <w:sz w:val="24"/>
          <w:highlight w:val="none"/>
        </w:rPr>
        <w:t>有效期满之前均具有约束力。</w:t>
      </w:r>
    </w:p>
    <w:p w14:paraId="58CA713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2、我方的响应文件包括以下内容：</w:t>
      </w:r>
    </w:p>
    <w:p w14:paraId="6F0BD3C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1E670D10">
      <w:pPr>
        <w:snapToGrid w:val="0"/>
        <w:spacing w:line="360" w:lineRule="auto"/>
        <w:ind w:left="0" w:leftChars="0" w:firstLine="720" w:firstLineChars="300"/>
        <w:rPr>
          <w:rFonts w:ascii="宋体" w:hAnsi="宋体" w:cs="宋体"/>
          <w:color w:val="auto"/>
          <w:sz w:val="24"/>
          <w:highlight w:val="none"/>
        </w:rPr>
      </w:pPr>
      <w:r>
        <w:rPr>
          <w:rFonts w:hint="eastAsia" w:ascii="宋体" w:hAnsi="宋体" w:cs="宋体"/>
          <w:color w:val="auto"/>
          <w:sz w:val="24"/>
          <w:highlight w:val="none"/>
        </w:rPr>
        <w:t>2.1.1承诺函。</w:t>
      </w:r>
    </w:p>
    <w:p w14:paraId="263C42C8">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2商务技术</w:t>
      </w:r>
      <w:r>
        <w:rPr>
          <w:rFonts w:hint="eastAsia" w:ascii="宋体" w:hAnsi="宋体" w:cs="宋体"/>
          <w:color w:val="auto"/>
          <w:sz w:val="24"/>
          <w:highlight w:val="none"/>
          <w:lang w:val="zh-CN"/>
        </w:rPr>
        <w:t>文件：</w:t>
      </w:r>
    </w:p>
    <w:p w14:paraId="7A829A7A">
      <w:pPr>
        <w:snapToGrid w:val="0"/>
        <w:spacing w:line="360" w:lineRule="auto"/>
        <w:ind w:left="0" w:leftChars="0" w:firstLine="720" w:firstLineChars="300"/>
        <w:rPr>
          <w:rFonts w:ascii="宋体" w:hAnsi="宋体" w:cs="宋体"/>
          <w:color w:val="auto"/>
          <w:sz w:val="24"/>
          <w:highlight w:val="none"/>
        </w:rPr>
      </w:pPr>
      <w:r>
        <w:rPr>
          <w:rFonts w:hint="eastAsia" w:ascii="宋体" w:hAnsi="宋体" w:cs="宋体"/>
          <w:color w:val="auto"/>
          <w:sz w:val="24"/>
          <w:highlight w:val="none"/>
        </w:rPr>
        <w:t>2.2.1</w:t>
      </w:r>
      <w:r>
        <w:rPr>
          <w:rFonts w:hint="eastAsia" w:ascii="宋体" w:hAnsi="宋体" w:cs="宋体"/>
          <w:color w:val="auto"/>
          <w:kern w:val="0"/>
          <w:sz w:val="24"/>
          <w:highlight w:val="none"/>
        </w:rPr>
        <w:t>响应</w:t>
      </w:r>
      <w:r>
        <w:rPr>
          <w:rFonts w:hint="eastAsia" w:ascii="宋体" w:hAnsi="宋体" w:cs="宋体"/>
          <w:color w:val="auto"/>
          <w:sz w:val="24"/>
          <w:highlight w:val="none"/>
        </w:rPr>
        <w:t>函；</w:t>
      </w:r>
    </w:p>
    <w:p w14:paraId="205E3CBF">
      <w:pPr>
        <w:snapToGrid w:val="0"/>
        <w:spacing w:line="360" w:lineRule="auto"/>
        <w:ind w:left="0" w:leftChars="0" w:firstLine="720" w:firstLineChars="3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4672C57">
      <w:pPr>
        <w:snapToGrid w:val="0"/>
        <w:spacing w:line="360" w:lineRule="auto"/>
        <w:ind w:left="0" w:leftChars="0" w:firstLine="720" w:firstLineChars="300"/>
        <w:rPr>
          <w:rFonts w:ascii="宋体" w:hAnsi="宋体" w:cs="宋体"/>
          <w:color w:val="auto"/>
          <w:sz w:val="24"/>
          <w:highlight w:val="none"/>
        </w:rPr>
      </w:pPr>
      <w:r>
        <w:rPr>
          <w:rFonts w:hint="eastAsia" w:ascii="宋体" w:hAnsi="宋体" w:cs="宋体"/>
          <w:color w:val="auto"/>
          <w:sz w:val="24"/>
          <w:highlight w:val="none"/>
        </w:rPr>
        <w:t>2.2.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符合性审查资料；</w:t>
      </w:r>
    </w:p>
    <w:p w14:paraId="2BD4162D">
      <w:pPr>
        <w:snapToGrid w:val="0"/>
        <w:spacing w:line="360" w:lineRule="auto"/>
        <w:ind w:left="0" w:leftChars="0" w:firstLine="720" w:firstLineChars="300"/>
        <w:rPr>
          <w:rFonts w:ascii="宋体" w:hAnsi="宋体" w:cs="宋体"/>
          <w:color w:val="auto"/>
          <w:sz w:val="24"/>
          <w:highlight w:val="none"/>
        </w:rPr>
      </w:pPr>
      <w:r>
        <w:rPr>
          <w:rFonts w:hint="eastAsia" w:ascii="宋体" w:hAnsi="宋体" w:cs="宋体"/>
          <w:color w:val="auto"/>
          <w:sz w:val="24"/>
          <w:highlight w:val="none"/>
        </w:rPr>
        <w:t>2.2.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评标标准相应的商务技术资料；</w:t>
      </w:r>
    </w:p>
    <w:p w14:paraId="3EEBC904">
      <w:pPr>
        <w:snapToGrid w:val="0"/>
        <w:spacing w:line="360" w:lineRule="auto"/>
        <w:ind w:left="0" w:leftChars="0" w:firstLine="720" w:firstLineChars="300"/>
        <w:rPr>
          <w:rFonts w:ascii="宋体" w:hAnsi="宋体" w:cs="宋体"/>
          <w:color w:val="auto"/>
          <w:sz w:val="24"/>
          <w:highlight w:val="none"/>
        </w:rPr>
      </w:pPr>
      <w:r>
        <w:rPr>
          <w:rFonts w:hint="eastAsia" w:ascii="宋体" w:hAnsi="宋体" w:cs="宋体"/>
          <w:color w:val="auto"/>
          <w:sz w:val="24"/>
          <w:highlight w:val="none"/>
        </w:rPr>
        <w:t>2.2.</w:t>
      </w:r>
      <w:r>
        <w:rPr>
          <w:rFonts w:hint="eastAsia" w:ascii="宋体" w:hAnsi="宋体" w:cs="宋体"/>
          <w:color w:val="auto"/>
          <w:sz w:val="24"/>
          <w:highlight w:val="none"/>
          <w:lang w:val="en-US" w:eastAsia="zh-CN"/>
        </w:rPr>
        <w:t>5</w:t>
      </w:r>
      <w:r>
        <w:rPr>
          <w:rFonts w:hint="eastAsia" w:ascii="宋体" w:hAnsi="宋体" w:cs="宋体"/>
          <w:color w:val="auto"/>
          <w:kern w:val="0"/>
          <w:sz w:val="24"/>
          <w:highlight w:val="none"/>
        </w:rPr>
        <w:t>响应</w:t>
      </w:r>
      <w:r>
        <w:rPr>
          <w:rFonts w:hint="eastAsia" w:ascii="宋体" w:hAnsi="宋体" w:cs="宋体"/>
          <w:color w:val="auto"/>
          <w:sz w:val="24"/>
          <w:highlight w:val="none"/>
        </w:rPr>
        <w:t>标的清单</w:t>
      </w:r>
      <w:r>
        <w:rPr>
          <w:rFonts w:hint="eastAsia" w:ascii="宋体" w:hAnsi="宋体" w:cs="宋体"/>
          <w:color w:val="auto"/>
          <w:sz w:val="24"/>
          <w:highlight w:val="none"/>
          <w:lang w:eastAsia="zh-CN"/>
        </w:rPr>
        <w:t>（如果有）</w:t>
      </w:r>
      <w:r>
        <w:rPr>
          <w:rFonts w:hint="eastAsia" w:ascii="宋体" w:hAnsi="宋体" w:cs="宋体"/>
          <w:color w:val="auto"/>
          <w:sz w:val="24"/>
          <w:highlight w:val="none"/>
        </w:rPr>
        <w:t>；</w:t>
      </w:r>
    </w:p>
    <w:p w14:paraId="1AB6A0FB">
      <w:pPr>
        <w:snapToGrid w:val="0"/>
        <w:spacing w:line="360" w:lineRule="auto"/>
        <w:ind w:left="0" w:leftChars="0" w:firstLine="720" w:firstLineChars="300"/>
        <w:rPr>
          <w:rFonts w:ascii="宋体" w:hAnsi="宋体" w:cs="宋体"/>
          <w:color w:val="auto"/>
          <w:sz w:val="24"/>
          <w:highlight w:val="none"/>
        </w:rPr>
      </w:pPr>
      <w:r>
        <w:rPr>
          <w:rFonts w:hint="eastAsia" w:ascii="宋体" w:hAnsi="宋体" w:cs="宋体"/>
          <w:color w:val="auto"/>
          <w:sz w:val="24"/>
          <w:highlight w:val="none"/>
        </w:rPr>
        <w:t>2.2.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商务技术偏离表；</w:t>
      </w:r>
    </w:p>
    <w:p w14:paraId="2B81F6DE">
      <w:pPr>
        <w:snapToGrid w:val="0"/>
        <w:spacing w:line="360" w:lineRule="auto"/>
        <w:ind w:left="0" w:leftChars="0" w:firstLine="720" w:firstLineChars="3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lang w:val="zh-CN"/>
        </w:rPr>
        <w:t>政府采购供应商廉洁自律承诺书；</w:t>
      </w:r>
    </w:p>
    <w:p w14:paraId="4533855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378C11D8">
      <w:pPr>
        <w:snapToGrid w:val="0"/>
        <w:spacing w:line="460" w:lineRule="exact"/>
        <w:ind w:left="420" w:leftChars="200"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2.3.1投标(开标)一览表</w:t>
      </w:r>
      <w:r>
        <w:rPr>
          <w:rFonts w:hint="eastAsia" w:ascii="宋体" w:hAnsi="宋体" w:cs="宋体"/>
          <w:color w:val="auto"/>
          <w:sz w:val="24"/>
          <w:highlight w:val="none"/>
          <w:lang w:eastAsia="zh-CN"/>
        </w:rPr>
        <w:t>。</w:t>
      </w:r>
    </w:p>
    <w:p w14:paraId="48C7C0CD">
      <w:pPr>
        <w:snapToGrid w:val="0"/>
        <w:spacing w:line="460" w:lineRule="exact"/>
        <w:ind w:left="420" w:leftChars="200"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报价情况说明（如果有）</w:t>
      </w:r>
      <w:r>
        <w:rPr>
          <w:rFonts w:hint="eastAsia" w:ascii="宋体" w:hAnsi="宋体" w:cs="宋体"/>
          <w:color w:val="auto"/>
          <w:sz w:val="24"/>
          <w:highlight w:val="none"/>
          <w:lang w:eastAsia="zh-CN"/>
        </w:rPr>
        <w:t>。</w:t>
      </w:r>
    </w:p>
    <w:p w14:paraId="0CE3C334">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3、我方承诺除商务技术偏离表列出的偏离外，我方响应征集文件的全部要求。对</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文件中材料的真实性、合法性负责，积极配合</w:t>
      </w:r>
      <w:r>
        <w:rPr>
          <w:rFonts w:hint="eastAsia" w:ascii="宋体" w:hAnsi="宋体" w:cs="宋体"/>
          <w:color w:val="auto"/>
          <w:sz w:val="24"/>
          <w:highlight w:val="none"/>
          <w:lang w:val="en-US" w:eastAsia="zh-CN"/>
        </w:rPr>
        <w:t>征集</w:t>
      </w:r>
      <w:r>
        <w:rPr>
          <w:rFonts w:hint="eastAsia" w:ascii="宋体" w:hAnsi="宋体" w:cs="宋体"/>
          <w:color w:val="auto"/>
          <w:sz w:val="24"/>
          <w:highlight w:val="none"/>
        </w:rPr>
        <w:t>人复核</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文件中的资料。</w:t>
      </w:r>
    </w:p>
    <w:p w14:paraId="35C046E3">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4、如我方入围，我方承诺：</w:t>
      </w:r>
    </w:p>
    <w:p w14:paraId="7F839191">
      <w:pPr>
        <w:snapToGrid w:val="0"/>
        <w:spacing w:line="460" w:lineRule="exact"/>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4.1在收到入围通知书后，在入围通知书规定的期限内与你方签订合同； </w:t>
      </w:r>
    </w:p>
    <w:p w14:paraId="70A3B1C6">
      <w:pPr>
        <w:snapToGrid w:val="0"/>
        <w:spacing w:line="460" w:lineRule="exact"/>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EF97A64">
      <w:pPr>
        <w:snapToGrid w:val="0"/>
        <w:spacing w:line="460" w:lineRule="exact"/>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4.3按照征集文件要求提交履约保证金； </w:t>
      </w:r>
    </w:p>
    <w:p w14:paraId="53B28D89">
      <w:pPr>
        <w:snapToGrid w:val="0"/>
        <w:spacing w:line="460" w:lineRule="exact"/>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6EC237D">
      <w:pPr>
        <w:numPr>
          <w:ilvl w:val="0"/>
          <w:numId w:val="10"/>
        </w:numPr>
        <w:snapToGrid/>
        <w:spacing w:line="360" w:lineRule="auto"/>
        <w:ind w:left="0" w:leftChars="0" w:firstLine="480" w:firstLineChars="200"/>
        <w:rPr>
          <w:rFonts w:hint="eastAsia" w:ascii="宋体" w:hAnsi="宋体" w:eastAsia="宋体" w:cs="宋体"/>
          <w:i w:val="0"/>
          <w:caps w:val="0"/>
          <w:color w:val="auto"/>
          <w:spacing w:val="0"/>
          <w:sz w:val="24"/>
          <w:szCs w:val="24"/>
          <w:highlight w:val="none"/>
          <w:shd w:val="clear" w:color="auto" w:fill="FFFFFF"/>
          <w:lang w:val="en-US" w:eastAsia="zh-CN"/>
        </w:rPr>
      </w:pP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07E51B5F">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DEC2B09">
      <w:pPr>
        <w:spacing w:line="360" w:lineRule="auto"/>
        <w:ind w:firstLine="0" w:firstLineChars="0"/>
        <w:rPr>
          <w:rFonts w:ascii="宋体" w:hAnsi="宋体" w:cs="宋体"/>
          <w:color w:val="auto"/>
          <w:sz w:val="24"/>
          <w:highlight w:val="none"/>
        </w:rPr>
      </w:pP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响应供应商</w:t>
      </w:r>
      <w:r>
        <w:rPr>
          <w:rFonts w:hint="eastAsia" w:ascii="宋体" w:hAnsi="宋体" w:cs="宋体"/>
          <w:color w:val="auto"/>
          <w:sz w:val="24"/>
          <w:highlight w:val="none"/>
        </w:rPr>
        <w:t>名称（电子签名）：</w:t>
      </w:r>
    </w:p>
    <w:p w14:paraId="2597002C">
      <w:pPr>
        <w:spacing w:line="360" w:lineRule="auto"/>
        <w:ind w:firstLine="3360" w:firstLineChars="1400"/>
        <w:rPr>
          <w:rFonts w:ascii="宋体" w:hAnsi="宋体" w:cs="宋体"/>
          <w:color w:val="auto"/>
          <w:sz w:val="24"/>
          <w:highlight w:val="none"/>
        </w:rPr>
      </w:pPr>
      <w:r>
        <w:rPr>
          <w:rFonts w:hint="eastAsia" w:ascii="宋体" w:hAnsi="宋体" w:cs="宋体"/>
          <w:color w:val="auto"/>
          <w:sz w:val="24"/>
          <w:highlight w:val="none"/>
        </w:rPr>
        <w:t>日期：  年   月   日</w:t>
      </w:r>
    </w:p>
    <w:p w14:paraId="238B5CE9">
      <w:pPr>
        <w:jc w:val="center"/>
        <w:outlineLvl w:val="2"/>
        <w:rPr>
          <w:rFonts w:hint="eastAsia" w:ascii="宋体" w:hAnsi="宋体" w:cs="宋体"/>
          <w:b/>
          <w:color w:val="auto"/>
          <w:kern w:val="0"/>
          <w:sz w:val="32"/>
          <w:szCs w:val="32"/>
          <w:highlight w:val="none"/>
          <w:lang w:val="zh-CN"/>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0BB44DCF">
      <w:pPr>
        <w:jc w:val="center"/>
        <w:outlineLvl w:val="2"/>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4D0DE920">
      <w:pPr>
        <w:snapToGrid w:val="0"/>
        <w:spacing w:line="360" w:lineRule="auto"/>
        <w:rPr>
          <w:rFonts w:ascii="宋体" w:hAnsi="宋体" w:cs="宋体"/>
          <w:color w:val="auto"/>
          <w:sz w:val="24"/>
          <w:highlight w:val="none"/>
        </w:rPr>
      </w:pPr>
    </w:p>
    <w:p w14:paraId="38D6499F">
      <w:pPr>
        <w:snapToGrid w:val="0"/>
        <w:spacing w:line="360" w:lineRule="auto"/>
        <w:jc w:val="center"/>
        <w:rPr>
          <w:rFonts w:ascii="宋体" w:hAnsi="宋体" w:cs="宋体"/>
          <w:color w:val="auto"/>
          <w:highlight w:val="none"/>
        </w:rPr>
      </w:pPr>
      <w:r>
        <w:rPr>
          <w:rFonts w:hint="eastAsia" w:ascii="宋体" w:hAnsi="宋体" w:cs="宋体"/>
          <w:b/>
          <w:color w:val="auto"/>
          <w:kern w:val="0"/>
          <w:sz w:val="32"/>
          <w:szCs w:val="32"/>
          <w:highlight w:val="none"/>
          <w:lang w:val="zh-CN"/>
        </w:rPr>
        <w:t>授权委托书</w:t>
      </w:r>
    </w:p>
    <w:p w14:paraId="70ADFA2B">
      <w:pPr>
        <w:snapToGrid w:val="0"/>
        <w:spacing w:line="360" w:lineRule="auto"/>
        <w:rPr>
          <w:rFonts w:ascii="宋体" w:hAnsi="宋体" w:cs="宋体"/>
          <w:color w:val="auto"/>
          <w:kern w:val="0"/>
          <w:sz w:val="24"/>
          <w:highlight w:val="none"/>
          <w:u w:val="single"/>
        </w:rPr>
      </w:pPr>
      <w:r>
        <w:rPr>
          <w:rFonts w:hint="eastAsia" w:ascii="宋体" w:hAnsi="宋体" w:cs="宋体"/>
          <w:color w:val="auto"/>
          <w:sz w:val="24"/>
          <w:highlight w:val="none"/>
          <w:u w:val="single"/>
        </w:rPr>
        <w:t>杭州市</w:t>
      </w:r>
      <w:r>
        <w:rPr>
          <w:rFonts w:hint="eastAsia" w:ascii="宋体" w:hAnsi="宋体" w:cs="宋体"/>
          <w:color w:val="auto"/>
          <w:sz w:val="24"/>
          <w:highlight w:val="none"/>
          <w:u w:val="single"/>
          <w:lang w:eastAsia="zh-CN"/>
        </w:rPr>
        <w:t>钱塘区政府投资项目评审服务中心</w:t>
      </w:r>
      <w:r>
        <w:rPr>
          <w:rFonts w:hint="eastAsia" w:ascii="宋体" w:hAnsi="宋体" w:cs="宋体"/>
          <w:color w:val="auto"/>
          <w:kern w:val="0"/>
          <w:sz w:val="24"/>
          <w:highlight w:val="none"/>
          <w:u w:val="single"/>
          <w:lang w:val="zh-CN"/>
        </w:rPr>
        <w:t>：</w:t>
      </w:r>
    </w:p>
    <w:p w14:paraId="7C44493C">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委托（姓名）为我方代理人（身份证号码：</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杭州市钱塘区2026-2028年政府投资项目</w:t>
      </w:r>
      <w:r>
        <w:rPr>
          <w:rFonts w:hint="eastAsia" w:ascii="宋体" w:hAnsi="宋体" w:cs="宋体"/>
          <w:color w:val="auto"/>
          <w:sz w:val="24"/>
          <w:highlight w:val="none"/>
          <w:u w:val="single"/>
        </w:rPr>
        <w:t xml:space="preserve">工程造价咨询服务采购项目 </w:t>
      </w: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政府采购</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的一切事项，其法律后果由我方承担。</w:t>
      </w:r>
    </w:p>
    <w:p w14:paraId="132259B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202</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202</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A1E2B7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特此告知。</w:t>
      </w:r>
    </w:p>
    <w:p w14:paraId="0FF9B903">
      <w:pPr>
        <w:snapToGrid w:val="0"/>
        <w:spacing w:line="360" w:lineRule="auto"/>
        <w:rPr>
          <w:rFonts w:ascii="宋体" w:hAnsi="宋体" w:cs="宋体"/>
          <w:color w:val="auto"/>
          <w:kern w:val="0"/>
          <w:sz w:val="24"/>
          <w:highlight w:val="none"/>
          <w:lang w:val="zh-CN"/>
        </w:rPr>
      </w:pPr>
    </w:p>
    <w:p w14:paraId="30B45E7C">
      <w:pPr>
        <w:snapToGrid w:val="0"/>
        <w:spacing w:line="360" w:lineRule="auto"/>
        <w:ind w:firstLine="3360" w:firstLineChars="1400"/>
        <w:rPr>
          <w:rFonts w:ascii="宋体" w:hAnsi="宋体" w:cs="宋体"/>
          <w:color w:val="auto"/>
          <w:kern w:val="0"/>
          <w:sz w:val="24"/>
          <w:highlight w:val="none"/>
        </w:rPr>
      </w:pPr>
      <w:r>
        <w:rPr>
          <w:rFonts w:hint="eastAsia" w:ascii="宋体" w:hAnsi="宋体" w:cs="宋体"/>
          <w:color w:val="auto"/>
          <w:kern w:val="0"/>
          <w:sz w:val="24"/>
          <w:highlight w:val="none"/>
          <w:lang w:val="zh-CN"/>
        </w:rPr>
        <w:t>响应供应商名称(电子签名)：</w:t>
      </w:r>
    </w:p>
    <w:p w14:paraId="098D6770">
      <w:pPr>
        <w:snapToGrid w:val="0"/>
        <w:spacing w:line="360" w:lineRule="auto"/>
        <w:ind w:firstLine="3360" w:firstLineChars="1400"/>
        <w:rPr>
          <w:rFonts w:hint="eastAsia" w:ascii="宋体" w:hAnsi="宋体" w:cs="宋体"/>
          <w:color w:val="auto"/>
          <w:kern w:val="0"/>
          <w:sz w:val="24"/>
          <w:highlight w:val="none"/>
          <w:lang w:val="zh-CN"/>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r>
        <w:rPr>
          <w:rFonts w:hint="eastAsia" w:ascii="宋体" w:hAnsi="宋体" w:cs="宋体"/>
          <w:color w:val="auto"/>
          <w:kern w:val="0"/>
          <w:sz w:val="24"/>
          <w:highlight w:val="none"/>
          <w:lang w:val="zh-CN"/>
        </w:rPr>
        <w:t>日期：  年  月   日</w:t>
      </w:r>
    </w:p>
    <w:p w14:paraId="02302BCB">
      <w:pPr>
        <w:autoSpaceDE w:val="0"/>
        <w:autoSpaceDN w:val="0"/>
        <w:spacing w:line="360" w:lineRule="auto"/>
        <w:jc w:val="center"/>
        <w:rPr>
          <w:rFonts w:ascii="宋体" w:hAnsi="宋体" w:cs="宋体"/>
          <w:b/>
          <w:color w:val="auto"/>
          <w:sz w:val="30"/>
          <w:szCs w:val="30"/>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的身份证明（适用于法定代表人、单位负责人或者自然人本人代表供应商参加响应）</w:t>
      </w:r>
    </w:p>
    <w:p w14:paraId="02D31866">
      <w:pPr>
        <w:pStyle w:val="727"/>
        <w:spacing w:line="360" w:lineRule="auto"/>
        <w:rPr>
          <w:rFonts w:hAnsi="宋体" w:cs="宋体"/>
          <w:bCs/>
          <w:color w:val="auto"/>
          <w:sz w:val="24"/>
          <w:highlight w:val="none"/>
        </w:rPr>
      </w:pPr>
    </w:p>
    <w:p w14:paraId="4277C45A">
      <w:pPr>
        <w:pStyle w:val="727"/>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51"/>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336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0AD2FF0">
            <w:pPr>
              <w:pStyle w:val="727"/>
              <w:adjustRightInd w:val="0"/>
              <w:spacing w:line="360" w:lineRule="auto"/>
              <w:rPr>
                <w:rFonts w:hAnsi="宋体" w:cs="宋体"/>
                <w:bCs/>
                <w:color w:val="auto"/>
                <w:sz w:val="24"/>
                <w:highlight w:val="none"/>
              </w:rPr>
            </w:pPr>
          </w:p>
          <w:p w14:paraId="5611C0BF">
            <w:pPr>
              <w:pStyle w:val="727"/>
              <w:adjustRightInd w:val="0"/>
              <w:spacing w:line="360" w:lineRule="auto"/>
              <w:rPr>
                <w:rFonts w:hAnsi="宋体" w:cs="宋体"/>
                <w:bCs/>
                <w:color w:val="auto"/>
                <w:sz w:val="24"/>
                <w:highlight w:val="none"/>
              </w:rPr>
            </w:pPr>
            <w:r>
              <w:rPr>
                <w:rFonts w:hint="eastAsia" w:hAnsi="宋体" w:cs="宋体"/>
                <w:bCs/>
                <w:color w:val="auto"/>
                <w:sz w:val="24"/>
                <w:highlight w:val="none"/>
              </w:rPr>
              <w:t>正面：</w:t>
            </w:r>
          </w:p>
          <w:p w14:paraId="6F9E4B44">
            <w:pPr>
              <w:pStyle w:val="727"/>
              <w:adjustRightInd w:val="0"/>
              <w:spacing w:line="360" w:lineRule="auto"/>
              <w:rPr>
                <w:rFonts w:hAnsi="宋体" w:cs="宋体"/>
                <w:bCs/>
                <w:color w:val="auto"/>
                <w:sz w:val="24"/>
                <w:highlight w:val="none"/>
              </w:rPr>
            </w:pPr>
          </w:p>
          <w:p w14:paraId="356D0E40">
            <w:pPr>
              <w:pStyle w:val="727"/>
              <w:adjustRightInd w:val="0"/>
              <w:spacing w:line="360" w:lineRule="auto"/>
              <w:rPr>
                <w:rFonts w:hAnsi="宋体" w:cs="宋体"/>
                <w:bCs/>
                <w:color w:val="auto"/>
                <w:sz w:val="24"/>
                <w:highlight w:val="none"/>
              </w:rPr>
            </w:pPr>
          </w:p>
          <w:p w14:paraId="05DF5CA0">
            <w:pPr>
              <w:pStyle w:val="727"/>
              <w:adjustRightInd w:val="0"/>
              <w:spacing w:line="360" w:lineRule="auto"/>
              <w:rPr>
                <w:rFonts w:hAnsi="宋体" w:cs="宋体"/>
                <w:bCs/>
                <w:color w:val="auto"/>
                <w:sz w:val="24"/>
                <w:highlight w:val="none"/>
              </w:rPr>
            </w:pPr>
          </w:p>
          <w:p w14:paraId="33819D08">
            <w:pPr>
              <w:pStyle w:val="727"/>
              <w:adjustRightInd w:val="0"/>
              <w:spacing w:line="360" w:lineRule="auto"/>
              <w:rPr>
                <w:rFonts w:hAnsi="宋体" w:cs="宋体"/>
                <w:bCs/>
                <w:color w:val="auto"/>
                <w:sz w:val="24"/>
                <w:highlight w:val="none"/>
              </w:rPr>
            </w:pPr>
            <w:r>
              <w:rPr>
                <w:rFonts w:hint="eastAsia" w:hAnsi="宋体" w:cs="宋体"/>
                <w:bCs/>
                <w:color w:val="auto"/>
                <w:sz w:val="24"/>
                <w:highlight w:val="none"/>
              </w:rPr>
              <w:t>反面：</w:t>
            </w:r>
          </w:p>
          <w:p w14:paraId="1918AD26">
            <w:pPr>
              <w:pStyle w:val="727"/>
              <w:adjustRightInd w:val="0"/>
              <w:spacing w:line="360" w:lineRule="auto"/>
              <w:rPr>
                <w:rFonts w:hAnsi="宋体" w:cs="宋体"/>
                <w:bCs/>
                <w:color w:val="auto"/>
                <w:sz w:val="24"/>
                <w:highlight w:val="none"/>
              </w:rPr>
            </w:pPr>
          </w:p>
        </w:tc>
      </w:tr>
    </w:tbl>
    <w:p w14:paraId="4DF5E5DC">
      <w:pPr>
        <w:snapToGrid w:val="0"/>
        <w:spacing w:line="360" w:lineRule="auto"/>
        <w:ind w:firstLine="576"/>
        <w:jc w:val="center"/>
        <w:rPr>
          <w:rFonts w:ascii="宋体" w:hAnsi="宋体" w:cs="宋体"/>
          <w:color w:val="auto"/>
          <w:kern w:val="0"/>
          <w:sz w:val="24"/>
          <w:highlight w:val="none"/>
          <w:lang w:val="zh-CN"/>
        </w:rPr>
      </w:pPr>
    </w:p>
    <w:p w14:paraId="50B3AA1F">
      <w:pPr>
        <w:spacing w:line="360" w:lineRule="auto"/>
        <w:ind w:firstLine="3360" w:firstLineChars="14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响应供应商名称(电子签名)：</w:t>
      </w:r>
    </w:p>
    <w:p w14:paraId="3D4DECDB">
      <w:pPr>
        <w:spacing w:line="360" w:lineRule="auto"/>
        <w:ind w:firstLine="3360" w:firstLineChars="14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36B5F87E">
      <w:pPr>
        <w:jc w:val="center"/>
        <w:rPr>
          <w:rFonts w:ascii="宋体" w:hAnsi="宋体" w:cs="宋体"/>
          <w:b/>
          <w:color w:val="auto"/>
          <w:kern w:val="0"/>
          <w:sz w:val="32"/>
          <w:szCs w:val="32"/>
          <w:highlight w:val="none"/>
        </w:rPr>
      </w:pPr>
    </w:p>
    <w:p w14:paraId="4BAC11DF">
      <w:pPr>
        <w:jc w:val="center"/>
        <w:rPr>
          <w:rFonts w:ascii="宋体" w:hAnsi="宋体" w:cs="宋体"/>
          <w:b/>
          <w:color w:val="auto"/>
          <w:kern w:val="0"/>
          <w:sz w:val="32"/>
          <w:szCs w:val="32"/>
          <w:highlight w:val="none"/>
        </w:rPr>
      </w:pPr>
    </w:p>
    <w:p w14:paraId="376D6F7B">
      <w:pPr>
        <w:widowControl/>
        <w:adjustRightInd/>
        <w:jc w:val="left"/>
        <w:rPr>
          <w:rFonts w:ascii="宋体" w:hAnsi="宋体" w:cs="宋体"/>
          <w:b/>
          <w:color w:val="auto"/>
          <w:kern w:val="0"/>
          <w:sz w:val="32"/>
          <w:szCs w:val="32"/>
          <w:highlight w:val="none"/>
          <w:lang w:val="zh-CN"/>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2C652E29">
      <w:pPr>
        <w:jc w:val="center"/>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三</w:t>
      </w:r>
      <w:r>
        <w:rPr>
          <w:rFonts w:hint="eastAsia" w:ascii="宋体" w:hAnsi="宋体" w:cs="宋体"/>
          <w:b/>
          <w:color w:val="auto"/>
          <w:kern w:val="0"/>
          <w:sz w:val="32"/>
          <w:szCs w:val="32"/>
          <w:highlight w:val="none"/>
        </w:rPr>
        <w:t>、符合性审查资料</w:t>
      </w:r>
    </w:p>
    <w:p w14:paraId="25089D07">
      <w:pPr>
        <w:jc w:val="center"/>
        <w:rPr>
          <w:rFonts w:ascii="宋体" w:hAnsi="宋体" w:cs="宋体"/>
          <w:b/>
          <w:color w:val="auto"/>
          <w:kern w:val="0"/>
          <w:sz w:val="32"/>
          <w:szCs w:val="32"/>
          <w:highlight w:val="none"/>
        </w:rPr>
      </w:pPr>
    </w:p>
    <w:p w14:paraId="6EC8E901">
      <w:pPr>
        <w:pStyle w:val="3"/>
        <w:rPr>
          <w:rFonts w:ascii="宋体" w:hAnsi="宋体" w:eastAsia="宋体" w:cs="宋体"/>
          <w:b w:val="0"/>
          <w:color w:val="auto"/>
          <w:sz w:val="24"/>
          <w:szCs w:val="21"/>
          <w:highlight w:val="none"/>
          <w:lang w:val="en-US"/>
        </w:rPr>
      </w:pPr>
      <w:r>
        <w:rPr>
          <w:rFonts w:hint="eastAsia" w:ascii="宋体" w:hAnsi="宋体" w:eastAsia="宋体" w:cs="宋体"/>
          <w:b w:val="0"/>
          <w:color w:val="auto"/>
          <w:sz w:val="24"/>
          <w:szCs w:val="21"/>
          <w:highlight w:val="none"/>
          <w:lang w:val="en-US"/>
        </w:rPr>
        <w:t>项目名称：</w:t>
      </w:r>
      <w:r>
        <w:rPr>
          <w:rFonts w:hint="eastAsia" w:ascii="宋体" w:hAnsi="宋体" w:eastAsia="宋体" w:cs="宋体"/>
          <w:b w:val="0"/>
          <w:color w:val="auto"/>
          <w:sz w:val="24"/>
          <w:szCs w:val="21"/>
          <w:highlight w:val="none"/>
          <w:lang w:val="en-US" w:eastAsia="zh-CN"/>
        </w:rPr>
        <w:t>杭州市钱塘区2026-2028年政府投资项目</w:t>
      </w:r>
      <w:r>
        <w:rPr>
          <w:rFonts w:hint="eastAsia" w:ascii="宋体" w:hAnsi="宋体" w:eastAsia="宋体" w:cs="宋体"/>
          <w:b w:val="0"/>
          <w:color w:val="auto"/>
          <w:sz w:val="24"/>
          <w:szCs w:val="21"/>
          <w:highlight w:val="none"/>
          <w:lang w:val="en-US"/>
        </w:rPr>
        <w:t>工程造价咨询服务采购项目</w:t>
      </w:r>
    </w:p>
    <w:p w14:paraId="09E7EA24">
      <w:pPr>
        <w:pStyle w:val="3"/>
        <w:rPr>
          <w:rFonts w:hint="default" w:ascii="宋体" w:hAnsi="宋体" w:eastAsia="宋体" w:cs="宋体"/>
          <w:b w:val="0"/>
          <w:color w:val="auto"/>
          <w:sz w:val="24"/>
          <w:szCs w:val="21"/>
          <w:highlight w:val="none"/>
          <w:lang w:val="en-US" w:eastAsia="zh-CN"/>
        </w:rPr>
      </w:pPr>
      <w:r>
        <w:rPr>
          <w:rFonts w:hint="eastAsia" w:ascii="宋体" w:hAnsi="宋体" w:eastAsia="宋体" w:cs="宋体"/>
          <w:b w:val="0"/>
          <w:color w:val="auto"/>
          <w:sz w:val="24"/>
          <w:szCs w:val="21"/>
          <w:highlight w:val="none"/>
          <w:lang w:val="en-US"/>
        </w:rPr>
        <w:t>项目编号：</w:t>
      </w:r>
    </w:p>
    <w:tbl>
      <w:tblPr>
        <w:tblStyle w:val="51"/>
        <w:tblW w:w="140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6389"/>
        <w:gridCol w:w="4623"/>
        <w:gridCol w:w="2183"/>
      </w:tblGrid>
      <w:tr w14:paraId="305A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847" w:type="dxa"/>
            <w:vAlign w:val="center"/>
          </w:tcPr>
          <w:p w14:paraId="0417306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6389" w:type="dxa"/>
            <w:vAlign w:val="center"/>
          </w:tcPr>
          <w:p w14:paraId="0F97E228">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4623" w:type="dxa"/>
            <w:vAlign w:val="center"/>
          </w:tcPr>
          <w:p w14:paraId="47098A83">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2183" w:type="dxa"/>
            <w:vAlign w:val="center"/>
          </w:tcPr>
          <w:p w14:paraId="4B05C17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响应文件中的</w:t>
            </w:r>
          </w:p>
          <w:p w14:paraId="2D13E28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01DD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47" w:type="dxa"/>
            <w:vAlign w:val="center"/>
          </w:tcPr>
          <w:p w14:paraId="59816D02">
            <w:pPr>
              <w:jc w:val="both"/>
              <w:rPr>
                <w:rFonts w:ascii="宋体" w:hAnsi="宋体" w:cs="宋体"/>
                <w:color w:val="auto"/>
                <w:sz w:val="24"/>
                <w:highlight w:val="none"/>
              </w:rPr>
            </w:pPr>
            <w:r>
              <w:rPr>
                <w:rFonts w:hint="eastAsia" w:ascii="宋体" w:hAnsi="宋体" w:cs="宋体"/>
                <w:color w:val="auto"/>
                <w:sz w:val="24"/>
                <w:highlight w:val="none"/>
              </w:rPr>
              <w:t>1</w:t>
            </w:r>
          </w:p>
        </w:tc>
        <w:tc>
          <w:tcPr>
            <w:tcW w:w="6389" w:type="dxa"/>
            <w:vAlign w:val="center"/>
          </w:tcPr>
          <w:p w14:paraId="171E0022">
            <w:pPr>
              <w:spacing w:line="360" w:lineRule="auto"/>
              <w:jc w:val="both"/>
              <w:rPr>
                <w:rFonts w:ascii="宋体" w:hAnsi="宋体" w:cs="宋体"/>
                <w:color w:val="auto"/>
                <w:sz w:val="24"/>
                <w:highlight w:val="none"/>
              </w:rPr>
            </w:pPr>
            <w:r>
              <w:rPr>
                <w:rFonts w:hint="eastAsia" w:ascii="宋体" w:hAnsi="宋体" w:cs="宋体"/>
                <w:color w:val="auto"/>
                <w:sz w:val="24"/>
                <w:highlight w:val="none"/>
              </w:rPr>
              <w:t>响应文件按照征集文件要求签署、盖章。</w:t>
            </w:r>
          </w:p>
        </w:tc>
        <w:tc>
          <w:tcPr>
            <w:tcW w:w="4623" w:type="dxa"/>
            <w:vAlign w:val="center"/>
          </w:tcPr>
          <w:p w14:paraId="6871E21E">
            <w:pPr>
              <w:jc w:val="both"/>
              <w:rPr>
                <w:rFonts w:ascii="宋体" w:hAnsi="宋体" w:cs="宋体"/>
                <w:color w:val="auto"/>
                <w:sz w:val="24"/>
                <w:highlight w:val="none"/>
              </w:rPr>
            </w:pPr>
            <w:r>
              <w:rPr>
                <w:rFonts w:hint="eastAsia" w:ascii="宋体" w:hAnsi="宋体" w:cs="宋体"/>
                <w:color w:val="auto"/>
                <w:sz w:val="24"/>
                <w:highlight w:val="none"/>
              </w:rPr>
              <w:t>需要使用电子签名或者签字盖章的响应文件的组成部分</w:t>
            </w:r>
          </w:p>
        </w:tc>
        <w:tc>
          <w:tcPr>
            <w:tcW w:w="2183" w:type="dxa"/>
            <w:vAlign w:val="center"/>
          </w:tcPr>
          <w:p w14:paraId="2AA79D11">
            <w:pPr>
              <w:jc w:val="both"/>
              <w:rPr>
                <w:rFonts w:ascii="宋体" w:hAnsi="宋体" w:cs="宋体"/>
                <w:color w:val="auto"/>
                <w:sz w:val="24"/>
                <w:highlight w:val="none"/>
              </w:rPr>
            </w:pPr>
            <w:r>
              <w:rPr>
                <w:rFonts w:hint="eastAsia" w:ascii="宋体" w:hAnsi="宋体" w:cs="宋体"/>
                <w:color w:val="auto"/>
                <w:sz w:val="24"/>
                <w:highlight w:val="none"/>
              </w:rPr>
              <w:t>见响应文件</w:t>
            </w:r>
          </w:p>
          <w:p w14:paraId="479107BF">
            <w:pPr>
              <w:jc w:val="both"/>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页</w:t>
            </w:r>
          </w:p>
        </w:tc>
      </w:tr>
      <w:tr w14:paraId="3AFA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47" w:type="dxa"/>
            <w:vAlign w:val="center"/>
          </w:tcPr>
          <w:p w14:paraId="63088B78">
            <w:pPr>
              <w:spacing w:line="360" w:lineRule="auto"/>
              <w:jc w:val="both"/>
              <w:rPr>
                <w:rFonts w:ascii="宋体" w:hAnsi="宋体" w:cs="宋体"/>
                <w:color w:val="auto"/>
                <w:sz w:val="24"/>
                <w:highlight w:val="none"/>
              </w:rPr>
            </w:pPr>
            <w:r>
              <w:rPr>
                <w:rFonts w:hint="eastAsia" w:ascii="宋体" w:hAnsi="宋体" w:cs="宋体"/>
                <w:color w:val="auto"/>
                <w:sz w:val="24"/>
                <w:highlight w:val="none"/>
              </w:rPr>
              <w:t>2</w:t>
            </w:r>
          </w:p>
        </w:tc>
        <w:tc>
          <w:tcPr>
            <w:tcW w:w="6389" w:type="dxa"/>
            <w:vAlign w:val="center"/>
          </w:tcPr>
          <w:p w14:paraId="0ED92C17">
            <w:pPr>
              <w:spacing w:line="360" w:lineRule="auto"/>
              <w:jc w:val="both"/>
              <w:rPr>
                <w:rFonts w:ascii="宋体" w:hAnsi="宋体" w:cs="宋体"/>
                <w:color w:val="auto"/>
                <w:sz w:val="24"/>
                <w:highlight w:val="none"/>
              </w:rPr>
            </w:pPr>
            <w:r>
              <w:rPr>
                <w:rFonts w:hint="eastAsia" w:ascii="宋体" w:hAnsi="宋体" w:cs="宋体"/>
                <w:color w:val="auto"/>
                <w:sz w:val="24"/>
                <w:highlight w:val="none"/>
              </w:rPr>
              <w:t>征集人拟采购的产品属于政府强制采购的节能产品品目清单范围的，供应商按征集文件要求提供国家确定的认证机构出具的、处于有效期之内的节能产品认证证书。</w:t>
            </w:r>
          </w:p>
        </w:tc>
        <w:tc>
          <w:tcPr>
            <w:tcW w:w="4623" w:type="dxa"/>
            <w:vAlign w:val="center"/>
          </w:tcPr>
          <w:p w14:paraId="286B2C4D">
            <w:pPr>
              <w:jc w:val="both"/>
              <w:rPr>
                <w:rFonts w:ascii="宋体" w:hAnsi="宋体" w:cs="宋体"/>
                <w:color w:val="auto"/>
                <w:sz w:val="24"/>
                <w:highlight w:val="none"/>
              </w:rPr>
            </w:pPr>
            <w:r>
              <w:rPr>
                <w:rFonts w:hint="eastAsia" w:ascii="宋体" w:hAnsi="宋体" w:cs="宋体"/>
                <w:color w:val="auto"/>
                <w:sz w:val="24"/>
                <w:highlight w:val="none"/>
              </w:rPr>
              <w:t>节能产品认证证书（本项目拟采购的产品不属于政府强制采购的节能产品品目清单范围的，无需提供）</w:t>
            </w:r>
          </w:p>
        </w:tc>
        <w:tc>
          <w:tcPr>
            <w:tcW w:w="2183" w:type="dxa"/>
            <w:vAlign w:val="center"/>
          </w:tcPr>
          <w:p w14:paraId="4660C74D">
            <w:pPr>
              <w:jc w:val="both"/>
              <w:rPr>
                <w:rFonts w:ascii="宋体" w:hAnsi="宋体" w:cs="宋体"/>
                <w:color w:val="auto"/>
                <w:sz w:val="24"/>
                <w:highlight w:val="none"/>
              </w:rPr>
            </w:pPr>
            <w:r>
              <w:rPr>
                <w:rFonts w:hint="eastAsia" w:ascii="宋体" w:hAnsi="宋体" w:cs="宋体"/>
                <w:color w:val="auto"/>
                <w:sz w:val="24"/>
                <w:highlight w:val="none"/>
              </w:rPr>
              <w:t>见响应文件</w:t>
            </w:r>
          </w:p>
          <w:p w14:paraId="1217D8C7">
            <w:pPr>
              <w:pStyle w:val="3"/>
              <w:jc w:val="both"/>
              <w:rPr>
                <w:rFonts w:ascii="宋体" w:hAnsi="宋体" w:eastAsia="宋体" w:cs="宋体"/>
                <w:color w:val="auto"/>
                <w:highlight w:val="none"/>
                <w:lang w:val="en-US"/>
              </w:rPr>
            </w:pPr>
            <w:r>
              <w:rPr>
                <w:rFonts w:hint="eastAsia" w:ascii="宋体" w:hAnsi="宋体" w:eastAsia="宋体" w:cs="宋体"/>
                <w:b w:val="0"/>
                <w:bCs w:val="0"/>
                <w:color w:val="auto"/>
                <w:sz w:val="24"/>
                <w:szCs w:val="24"/>
                <w:highlight w:val="none"/>
                <w:lang w:val="en-US"/>
              </w:rPr>
              <w:t>第</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val="en-US"/>
              </w:rPr>
              <w:t>页</w:t>
            </w:r>
          </w:p>
        </w:tc>
      </w:tr>
      <w:tr w14:paraId="5E96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47" w:type="dxa"/>
            <w:vAlign w:val="center"/>
          </w:tcPr>
          <w:p w14:paraId="6977C6AE">
            <w:pPr>
              <w:jc w:val="both"/>
              <w:rPr>
                <w:rFonts w:ascii="宋体" w:hAnsi="宋体" w:cs="宋体"/>
                <w:color w:val="auto"/>
                <w:sz w:val="24"/>
                <w:highlight w:val="none"/>
              </w:rPr>
            </w:pPr>
            <w:r>
              <w:rPr>
                <w:rFonts w:hint="eastAsia" w:ascii="宋体" w:hAnsi="宋体" w:cs="宋体"/>
                <w:color w:val="auto"/>
                <w:sz w:val="24"/>
                <w:highlight w:val="none"/>
              </w:rPr>
              <w:t>3</w:t>
            </w:r>
          </w:p>
        </w:tc>
        <w:tc>
          <w:tcPr>
            <w:tcW w:w="6389" w:type="dxa"/>
            <w:vAlign w:val="center"/>
          </w:tcPr>
          <w:p w14:paraId="121E3AB8">
            <w:pPr>
              <w:spacing w:line="360" w:lineRule="auto"/>
              <w:jc w:val="both"/>
              <w:rPr>
                <w:rFonts w:ascii="宋体" w:hAnsi="宋体" w:cs="宋体"/>
                <w:color w:val="auto"/>
                <w:sz w:val="24"/>
                <w:highlight w:val="none"/>
              </w:rPr>
            </w:pPr>
            <w:r>
              <w:rPr>
                <w:rFonts w:hint="eastAsia" w:ascii="宋体" w:hAnsi="宋体" w:cs="宋体"/>
                <w:color w:val="auto"/>
                <w:sz w:val="24"/>
                <w:highlight w:val="none"/>
              </w:rPr>
              <w:t>响应文件中承诺的</w:t>
            </w:r>
            <w:r>
              <w:rPr>
                <w:rFonts w:hint="eastAsia" w:ascii="宋体" w:hAnsi="宋体" w:cs="宋体"/>
                <w:color w:val="auto"/>
                <w:kern w:val="0"/>
                <w:sz w:val="24"/>
                <w:highlight w:val="none"/>
              </w:rPr>
              <w:t>响应</w:t>
            </w:r>
            <w:r>
              <w:rPr>
                <w:rFonts w:hint="eastAsia" w:ascii="宋体" w:hAnsi="宋体" w:cs="宋体"/>
                <w:color w:val="auto"/>
                <w:sz w:val="24"/>
                <w:highlight w:val="none"/>
              </w:rPr>
              <w:t>有效期不少于征集文件中载明的</w:t>
            </w:r>
            <w:r>
              <w:rPr>
                <w:rFonts w:hint="eastAsia" w:ascii="宋体" w:hAnsi="宋体" w:cs="宋体"/>
                <w:color w:val="auto"/>
                <w:kern w:val="0"/>
                <w:sz w:val="24"/>
                <w:highlight w:val="none"/>
              </w:rPr>
              <w:t>响应</w:t>
            </w:r>
            <w:r>
              <w:rPr>
                <w:rFonts w:hint="eastAsia" w:ascii="宋体" w:hAnsi="宋体" w:cs="宋体"/>
                <w:color w:val="auto"/>
                <w:sz w:val="24"/>
                <w:highlight w:val="none"/>
              </w:rPr>
              <w:t>有效期。</w:t>
            </w:r>
          </w:p>
        </w:tc>
        <w:tc>
          <w:tcPr>
            <w:tcW w:w="4623" w:type="dxa"/>
            <w:vAlign w:val="center"/>
          </w:tcPr>
          <w:p w14:paraId="40C469DA">
            <w:pPr>
              <w:jc w:val="both"/>
              <w:rPr>
                <w:rFonts w:ascii="宋体" w:hAnsi="宋体" w:cs="宋体"/>
                <w:color w:val="auto"/>
                <w:sz w:val="24"/>
                <w:highlight w:val="none"/>
              </w:rPr>
            </w:pPr>
            <w:r>
              <w:rPr>
                <w:rFonts w:hint="eastAsia" w:ascii="宋体" w:hAnsi="宋体" w:cs="宋体"/>
                <w:color w:val="auto"/>
                <w:kern w:val="0"/>
                <w:sz w:val="24"/>
                <w:highlight w:val="none"/>
              </w:rPr>
              <w:t>响应</w:t>
            </w:r>
            <w:r>
              <w:rPr>
                <w:rFonts w:hint="eastAsia" w:ascii="宋体" w:hAnsi="宋体" w:cs="宋体"/>
                <w:color w:val="auto"/>
                <w:sz w:val="24"/>
                <w:highlight w:val="none"/>
              </w:rPr>
              <w:t>函</w:t>
            </w:r>
          </w:p>
        </w:tc>
        <w:tc>
          <w:tcPr>
            <w:tcW w:w="2183" w:type="dxa"/>
            <w:vAlign w:val="center"/>
          </w:tcPr>
          <w:p w14:paraId="620D5963">
            <w:pPr>
              <w:jc w:val="both"/>
              <w:rPr>
                <w:rFonts w:hint="eastAsia" w:ascii="宋体" w:hAnsi="宋体" w:cs="宋体"/>
                <w:color w:val="auto"/>
                <w:sz w:val="24"/>
                <w:highlight w:val="none"/>
              </w:rPr>
            </w:pPr>
            <w:r>
              <w:rPr>
                <w:rFonts w:hint="eastAsia" w:ascii="宋体" w:hAnsi="宋体" w:cs="宋体"/>
                <w:color w:val="auto"/>
                <w:sz w:val="24"/>
                <w:highlight w:val="none"/>
              </w:rPr>
              <w:t>见响应文件</w:t>
            </w:r>
          </w:p>
          <w:p w14:paraId="29449049">
            <w:pPr>
              <w:jc w:val="both"/>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页</w:t>
            </w:r>
          </w:p>
        </w:tc>
      </w:tr>
      <w:tr w14:paraId="7672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47" w:type="dxa"/>
            <w:vAlign w:val="center"/>
          </w:tcPr>
          <w:p w14:paraId="6907C05D">
            <w:pPr>
              <w:jc w:val="both"/>
              <w:rPr>
                <w:rFonts w:ascii="宋体" w:hAnsi="宋体" w:cs="宋体"/>
                <w:color w:val="auto"/>
                <w:sz w:val="24"/>
                <w:highlight w:val="none"/>
              </w:rPr>
            </w:pPr>
            <w:r>
              <w:rPr>
                <w:rFonts w:hint="eastAsia" w:ascii="宋体" w:hAnsi="宋体" w:cs="宋体"/>
                <w:color w:val="auto"/>
                <w:sz w:val="24"/>
                <w:highlight w:val="none"/>
              </w:rPr>
              <w:t>4</w:t>
            </w:r>
          </w:p>
        </w:tc>
        <w:tc>
          <w:tcPr>
            <w:tcW w:w="6389" w:type="dxa"/>
            <w:vAlign w:val="center"/>
          </w:tcPr>
          <w:p w14:paraId="0DA8DDFE">
            <w:pPr>
              <w:spacing w:line="360" w:lineRule="auto"/>
              <w:jc w:val="both"/>
              <w:rPr>
                <w:rFonts w:ascii="宋体" w:hAnsi="宋体" w:cs="宋体"/>
                <w:color w:val="auto"/>
                <w:sz w:val="24"/>
                <w:highlight w:val="none"/>
              </w:rPr>
            </w:pPr>
            <w:r>
              <w:rPr>
                <w:rFonts w:hint="eastAsia" w:ascii="宋体" w:hAnsi="宋体" w:cs="宋体"/>
                <w:color w:val="auto"/>
                <w:sz w:val="24"/>
                <w:highlight w:val="none"/>
              </w:rPr>
              <w:t>响应文件满足征集文件的其它实质性要求。</w:t>
            </w:r>
          </w:p>
        </w:tc>
        <w:tc>
          <w:tcPr>
            <w:tcW w:w="4623" w:type="dxa"/>
            <w:vAlign w:val="center"/>
          </w:tcPr>
          <w:p w14:paraId="5E75DC1E">
            <w:pPr>
              <w:jc w:val="both"/>
              <w:rPr>
                <w:rFonts w:ascii="宋体" w:hAnsi="宋体" w:cs="宋体"/>
                <w:color w:val="auto"/>
                <w:sz w:val="24"/>
                <w:highlight w:val="none"/>
              </w:rPr>
            </w:pPr>
            <w:r>
              <w:rPr>
                <w:rFonts w:hint="eastAsia" w:ascii="宋体" w:hAnsi="宋体" w:cs="宋体"/>
                <w:color w:val="auto"/>
                <w:kern w:val="0"/>
                <w:sz w:val="24"/>
                <w:highlight w:val="none"/>
              </w:rPr>
              <w:t>征集文件其它实质性要求相应的材料（“▲”系指实质性要求条款，征集文件无其它实质性要求的，无需提供）</w:t>
            </w:r>
          </w:p>
        </w:tc>
        <w:tc>
          <w:tcPr>
            <w:tcW w:w="2183" w:type="dxa"/>
            <w:vAlign w:val="center"/>
          </w:tcPr>
          <w:p w14:paraId="66542713">
            <w:pPr>
              <w:jc w:val="both"/>
              <w:rPr>
                <w:rFonts w:hint="eastAsia" w:ascii="宋体" w:hAnsi="宋体" w:cs="宋体"/>
                <w:color w:val="auto"/>
                <w:sz w:val="24"/>
                <w:highlight w:val="none"/>
              </w:rPr>
            </w:pPr>
            <w:r>
              <w:rPr>
                <w:rFonts w:hint="eastAsia" w:ascii="宋体" w:hAnsi="宋体" w:cs="宋体"/>
                <w:color w:val="auto"/>
                <w:sz w:val="24"/>
                <w:highlight w:val="none"/>
              </w:rPr>
              <w:t>见响应文件</w:t>
            </w:r>
          </w:p>
          <w:p w14:paraId="7C392D4D">
            <w:pPr>
              <w:jc w:val="both"/>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页</w:t>
            </w:r>
          </w:p>
        </w:tc>
      </w:tr>
    </w:tbl>
    <w:p w14:paraId="273DA440">
      <w:pPr>
        <w:rPr>
          <w:rFonts w:hint="eastAsia" w:ascii="宋体" w:hAnsi="宋体" w:cs="宋体"/>
          <w:b/>
          <w:color w:val="auto"/>
          <w:kern w:val="0"/>
          <w:sz w:val="32"/>
          <w:szCs w:val="32"/>
          <w:highlight w:val="none"/>
          <w:lang w:eastAsia="zh-CN"/>
        </w:rPr>
        <w:sectPr>
          <w:headerReference r:id="rId28" w:type="first"/>
          <w:pgSz w:w="16838" w:h="11906" w:orient="landscape"/>
          <w:pgMar w:top="1803" w:right="1440" w:bottom="1803" w:left="1440" w:header="851" w:footer="992" w:gutter="0"/>
          <w:pgBorders>
            <w:top w:val="none" w:sz="0" w:space="0"/>
            <w:left w:val="none" w:sz="0" w:space="0"/>
            <w:bottom w:val="none" w:sz="0" w:space="0"/>
            <w:right w:val="none" w:sz="0" w:space="0"/>
          </w:pgBorders>
          <w:cols w:space="0" w:num="1"/>
          <w:titlePg/>
          <w:docGrid w:linePitch="312" w:charSpace="0"/>
        </w:sectPr>
      </w:pPr>
    </w:p>
    <w:p w14:paraId="65341CA0">
      <w:pPr>
        <w:jc w:val="center"/>
        <w:rPr>
          <w:rFonts w:ascii="宋体" w:hAnsi="宋体" w:cs="宋体"/>
          <w:color w:val="auto"/>
          <w:highlight w:val="none"/>
        </w:rPr>
      </w:pPr>
      <w:r>
        <w:rPr>
          <w:rFonts w:hint="eastAsia" w:ascii="宋体" w:hAnsi="宋体" w:cs="宋体"/>
          <w:b/>
          <w:color w:val="auto"/>
          <w:kern w:val="0"/>
          <w:sz w:val="32"/>
          <w:szCs w:val="32"/>
          <w:highlight w:val="none"/>
          <w:lang w:eastAsia="zh-CN"/>
        </w:rPr>
        <w:t>四</w:t>
      </w:r>
      <w:r>
        <w:rPr>
          <w:rFonts w:hint="eastAsia" w:ascii="宋体" w:hAnsi="宋体" w:cs="宋体"/>
          <w:b/>
          <w:color w:val="auto"/>
          <w:kern w:val="0"/>
          <w:sz w:val="32"/>
          <w:szCs w:val="32"/>
          <w:highlight w:val="none"/>
        </w:rPr>
        <w:t>、评标标准相应的商务技术资料</w:t>
      </w:r>
    </w:p>
    <w:p w14:paraId="20ECDDB8">
      <w:pPr>
        <w:snapToGrid w:val="0"/>
        <w:spacing w:line="360" w:lineRule="auto"/>
        <w:jc w:val="left"/>
        <w:rPr>
          <w:rFonts w:ascii="宋体" w:hAnsi="宋体" w:cs="宋体"/>
          <w:b/>
          <w:color w:val="auto"/>
          <w:sz w:val="24"/>
          <w:highlight w:val="none"/>
        </w:rPr>
      </w:pPr>
    </w:p>
    <w:p w14:paraId="5A83FE68">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（按征集文件第四部分评标办法前附表中“响应文件中评标标准相应的商务技术资料目录”提供资料）</w:t>
      </w:r>
    </w:p>
    <w:p w14:paraId="76013AD1">
      <w:pPr>
        <w:pStyle w:val="22"/>
        <w:numPr>
          <w:ilvl w:val="0"/>
          <w:numId w:val="11"/>
        </w:numPr>
        <w:ind w:left="0" w:leftChars="0" w:firstLine="0" w:firstLineChars="0"/>
        <w:rPr>
          <w:rFonts w:hint="eastAsia" w:cs="宋体"/>
          <w:b/>
          <w:color w:val="auto"/>
          <w:sz w:val="24"/>
          <w:highlight w:val="none"/>
          <w:lang w:val="en-US" w:eastAsia="zh-CN"/>
        </w:rPr>
      </w:pPr>
      <w:r>
        <w:rPr>
          <w:rFonts w:hint="eastAsia" w:ascii="宋体" w:hAnsi="宋体" w:cs="宋体"/>
          <w:b/>
          <w:color w:val="auto"/>
          <w:sz w:val="24"/>
          <w:highlight w:val="none"/>
        </w:rPr>
        <w:t>供应商满足评标办法前附表第</w:t>
      </w:r>
      <w:r>
        <w:rPr>
          <w:rFonts w:hint="eastAsia" w:cs="宋体"/>
          <w:b/>
          <w:color w:val="auto"/>
          <w:sz w:val="24"/>
          <w:highlight w:val="none"/>
          <w:lang w:val="en-US" w:eastAsia="zh-CN"/>
        </w:rPr>
        <w:t>1项质量管理体系认证</w:t>
      </w:r>
    </w:p>
    <w:p w14:paraId="690E6489">
      <w:pPr>
        <w:pStyle w:val="23"/>
        <w:numPr>
          <w:ilvl w:val="0"/>
          <w:numId w:val="0"/>
        </w:numPr>
        <w:rPr>
          <w:rFonts w:hint="eastAsia" w:ascii="宋体" w:hAnsi="宋体" w:cs="宋体"/>
          <w:color w:val="auto"/>
          <w:sz w:val="24"/>
          <w:highlight w:val="none"/>
        </w:rPr>
      </w:pPr>
      <w:r>
        <w:rPr>
          <w:rFonts w:hint="eastAsia"/>
          <w:color w:val="auto"/>
          <w:highlight w:val="none"/>
          <w:lang w:val="en-US" w:eastAsia="zh-CN"/>
        </w:rPr>
        <w:t>1.1是否</w:t>
      </w:r>
      <w:r>
        <w:rPr>
          <w:rFonts w:hint="eastAsia" w:ascii="宋体" w:hAnsi="宋体" w:cs="宋体"/>
          <w:color w:val="auto"/>
          <w:sz w:val="24"/>
          <w:highlight w:val="none"/>
        </w:rPr>
        <w:t>具有有效的质量管理体系认证</w:t>
      </w:r>
    </w:p>
    <w:p w14:paraId="788BBE83">
      <w:pPr>
        <w:pStyle w:val="23"/>
        <w:numPr>
          <w:ilvl w:val="0"/>
          <w:numId w:val="0"/>
        </w:numPr>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color w:val="auto"/>
          <w:highlight w:val="none"/>
          <w:lang w:val="en-US" w:eastAsia="zh-CN"/>
        </w:rPr>
        <w:t>是否</w:t>
      </w:r>
      <w:r>
        <w:rPr>
          <w:rFonts w:hint="eastAsia" w:ascii="宋体" w:hAnsi="宋体" w:cs="宋体"/>
          <w:color w:val="auto"/>
          <w:sz w:val="24"/>
          <w:highlight w:val="none"/>
        </w:rPr>
        <w:t>具有有效的环境管理体系认证</w:t>
      </w:r>
    </w:p>
    <w:p w14:paraId="2C4E3593">
      <w:pPr>
        <w:pStyle w:val="23"/>
        <w:numPr>
          <w:ilvl w:val="0"/>
          <w:numId w:val="0"/>
        </w:numPr>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color w:val="auto"/>
          <w:highlight w:val="none"/>
          <w:lang w:val="en-US" w:eastAsia="zh-CN"/>
        </w:rPr>
        <w:t>是否</w:t>
      </w:r>
      <w:r>
        <w:rPr>
          <w:rFonts w:hint="eastAsia" w:ascii="宋体" w:hAnsi="宋体" w:cs="宋体"/>
          <w:color w:val="auto"/>
          <w:sz w:val="24"/>
          <w:highlight w:val="none"/>
        </w:rPr>
        <w:t>具有有效的职业健康安全管理体系认证</w:t>
      </w:r>
    </w:p>
    <w:p w14:paraId="71E898F6">
      <w:pPr>
        <w:pStyle w:val="23"/>
        <w:numPr>
          <w:ilvl w:val="0"/>
          <w:numId w:val="0"/>
        </w:numPr>
        <w:rPr>
          <w:rFonts w:hint="default" w:ascii="宋体" w:hAnsi="宋体" w:cs="宋体"/>
          <w:color w:val="auto"/>
          <w:sz w:val="24"/>
          <w:highlight w:val="none"/>
          <w:lang w:val="en-US" w:eastAsia="zh-CN"/>
        </w:rPr>
      </w:pPr>
    </w:p>
    <w:p w14:paraId="1B883581">
      <w:pPr>
        <w:snapToGrid w:val="0"/>
        <w:spacing w:line="360" w:lineRule="auto"/>
        <w:jc w:val="left"/>
        <w:rPr>
          <w:rFonts w:ascii="宋体" w:hAnsi="宋体" w:eastAsia="宋体" w:cs="宋体"/>
          <w:color w:val="auto"/>
          <w:highlight w:val="none"/>
        </w:rPr>
      </w:pP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项的类似项目</w:t>
      </w:r>
      <w:r>
        <w:rPr>
          <w:rFonts w:hint="eastAsia" w:ascii="宋体" w:hAnsi="宋体" w:cs="宋体"/>
          <w:b/>
          <w:color w:val="auto"/>
          <w:sz w:val="24"/>
          <w:highlight w:val="none"/>
          <w:lang w:val="zh-CN"/>
        </w:rPr>
        <w:t>业绩</w:t>
      </w:r>
      <w:r>
        <w:rPr>
          <w:rFonts w:hint="eastAsia" w:ascii="宋体" w:hAnsi="宋体" w:cs="宋体"/>
          <w:b/>
          <w:color w:val="auto"/>
          <w:sz w:val="24"/>
          <w:highlight w:val="none"/>
        </w:rPr>
        <w:t>表</w:t>
      </w:r>
    </w:p>
    <w:tbl>
      <w:tblPr>
        <w:tblStyle w:val="51"/>
        <w:tblW w:w="14311" w:type="dxa"/>
        <w:tblInd w:w="108" w:type="dxa"/>
        <w:tblLayout w:type="fixed"/>
        <w:tblCellMar>
          <w:top w:w="0" w:type="dxa"/>
          <w:left w:w="108" w:type="dxa"/>
          <w:bottom w:w="0" w:type="dxa"/>
          <w:right w:w="108" w:type="dxa"/>
        </w:tblCellMar>
      </w:tblPr>
      <w:tblGrid>
        <w:gridCol w:w="907"/>
        <w:gridCol w:w="1424"/>
        <w:gridCol w:w="1867"/>
        <w:gridCol w:w="1372"/>
        <w:gridCol w:w="1622"/>
        <w:gridCol w:w="1835"/>
        <w:gridCol w:w="1950"/>
        <w:gridCol w:w="1667"/>
        <w:gridCol w:w="1667"/>
      </w:tblGrid>
      <w:tr w14:paraId="481C0104">
        <w:tblPrEx>
          <w:tblCellMar>
            <w:top w:w="0" w:type="dxa"/>
            <w:left w:w="108" w:type="dxa"/>
            <w:bottom w:w="0" w:type="dxa"/>
            <w:right w:w="108" w:type="dxa"/>
          </w:tblCellMar>
        </w:tblPrEx>
        <w:trPr>
          <w:trHeight w:val="1268" w:hRule="atLeast"/>
        </w:trPr>
        <w:tc>
          <w:tcPr>
            <w:tcW w:w="907" w:type="dxa"/>
            <w:tcBorders>
              <w:top w:val="single" w:color="auto" w:sz="6" w:space="0"/>
              <w:left w:val="single" w:color="auto" w:sz="6" w:space="0"/>
              <w:bottom w:val="single" w:color="auto" w:sz="6" w:space="0"/>
              <w:right w:val="single" w:color="auto" w:sz="6" w:space="0"/>
            </w:tcBorders>
            <w:vAlign w:val="center"/>
          </w:tcPr>
          <w:p w14:paraId="2179C501">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424" w:type="dxa"/>
            <w:tcBorders>
              <w:top w:val="single" w:color="auto" w:sz="6" w:space="0"/>
              <w:left w:val="single" w:color="auto" w:sz="6" w:space="0"/>
              <w:bottom w:val="single" w:color="auto" w:sz="6" w:space="0"/>
              <w:right w:val="single" w:color="auto" w:sz="6" w:space="0"/>
            </w:tcBorders>
            <w:vAlign w:val="center"/>
          </w:tcPr>
          <w:p w14:paraId="014A446E">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867" w:type="dxa"/>
            <w:tcBorders>
              <w:top w:val="single" w:color="auto" w:sz="6" w:space="0"/>
              <w:left w:val="single" w:color="auto" w:sz="6" w:space="0"/>
              <w:bottom w:val="single" w:color="auto" w:sz="6" w:space="0"/>
              <w:right w:val="single" w:color="auto" w:sz="6" w:space="0"/>
            </w:tcBorders>
            <w:vAlign w:val="center"/>
          </w:tcPr>
          <w:p w14:paraId="3ADAAAB1">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委托合同签订时间</w:t>
            </w:r>
          </w:p>
        </w:tc>
        <w:tc>
          <w:tcPr>
            <w:tcW w:w="1372" w:type="dxa"/>
            <w:tcBorders>
              <w:top w:val="single" w:color="auto" w:sz="6" w:space="0"/>
              <w:left w:val="single" w:color="auto" w:sz="6" w:space="0"/>
              <w:bottom w:val="single" w:color="auto" w:sz="6" w:space="0"/>
              <w:right w:val="single" w:color="auto" w:sz="6" w:space="0"/>
            </w:tcBorders>
            <w:vAlign w:val="center"/>
          </w:tcPr>
          <w:p w14:paraId="49AFC7A4">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委托单位</w:t>
            </w:r>
          </w:p>
        </w:tc>
        <w:tc>
          <w:tcPr>
            <w:tcW w:w="1622" w:type="dxa"/>
            <w:tcBorders>
              <w:top w:val="single" w:color="auto" w:sz="6" w:space="0"/>
              <w:left w:val="single" w:color="auto" w:sz="6" w:space="0"/>
              <w:bottom w:val="single" w:color="auto" w:sz="6" w:space="0"/>
              <w:right w:val="single" w:color="auto" w:sz="6" w:space="0"/>
            </w:tcBorders>
            <w:vAlign w:val="center"/>
          </w:tcPr>
          <w:p w14:paraId="670EBC35">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委托单位联系人及电话</w:t>
            </w:r>
          </w:p>
        </w:tc>
        <w:tc>
          <w:tcPr>
            <w:tcW w:w="1835" w:type="dxa"/>
            <w:tcBorders>
              <w:top w:val="single" w:color="auto" w:sz="6" w:space="0"/>
              <w:left w:val="single" w:color="auto" w:sz="6" w:space="0"/>
              <w:bottom w:val="single" w:color="auto" w:sz="6" w:space="0"/>
              <w:right w:val="single" w:color="auto" w:sz="6" w:space="0"/>
            </w:tcBorders>
            <w:vAlign w:val="center"/>
          </w:tcPr>
          <w:p w14:paraId="250358A5">
            <w:pPr>
              <w:autoSpaceDE w:val="0"/>
              <w:autoSpaceDN w:val="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eastAsia="zh-CN"/>
              </w:rPr>
              <w:t>核减率</w:t>
            </w:r>
            <w:r>
              <w:rPr>
                <w:rFonts w:hint="eastAsia" w:ascii="宋体" w:hAnsi="宋体" w:cs="宋体"/>
                <w:color w:val="auto"/>
                <w:sz w:val="24"/>
                <w:highlight w:val="none"/>
                <w:lang w:val="en-US" w:eastAsia="zh-CN"/>
              </w:rPr>
              <w:t>/核增率</w:t>
            </w:r>
          </w:p>
        </w:tc>
        <w:tc>
          <w:tcPr>
            <w:tcW w:w="1950" w:type="dxa"/>
            <w:tcBorders>
              <w:top w:val="single" w:color="auto" w:sz="6" w:space="0"/>
              <w:left w:val="single" w:color="auto" w:sz="6" w:space="0"/>
              <w:bottom w:val="single" w:color="auto" w:sz="6" w:space="0"/>
              <w:right w:val="single" w:color="auto" w:sz="6" w:space="0"/>
            </w:tcBorders>
            <w:vAlign w:val="center"/>
          </w:tcPr>
          <w:p w14:paraId="0A62D572">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自有材料是否按评标办法前附表第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条要求全要素核验</w:t>
            </w:r>
          </w:p>
        </w:tc>
        <w:tc>
          <w:tcPr>
            <w:tcW w:w="1667" w:type="dxa"/>
            <w:tcBorders>
              <w:top w:val="single" w:color="auto" w:sz="6" w:space="0"/>
              <w:left w:val="single" w:color="auto" w:sz="6" w:space="0"/>
              <w:bottom w:val="single" w:color="auto" w:sz="6" w:space="0"/>
              <w:right w:val="single" w:color="auto" w:sz="6" w:space="0"/>
            </w:tcBorders>
            <w:vAlign w:val="center"/>
          </w:tcPr>
          <w:p w14:paraId="213DD5E5">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自有材料名称（如合同、验收等）</w:t>
            </w:r>
          </w:p>
        </w:tc>
        <w:tc>
          <w:tcPr>
            <w:tcW w:w="1667" w:type="dxa"/>
            <w:tcBorders>
              <w:top w:val="single" w:color="auto" w:sz="6" w:space="0"/>
              <w:left w:val="single" w:color="auto" w:sz="6" w:space="0"/>
              <w:bottom w:val="single" w:color="auto" w:sz="6" w:space="0"/>
              <w:right w:val="single" w:color="auto" w:sz="6" w:space="0"/>
            </w:tcBorders>
            <w:vAlign w:val="center"/>
          </w:tcPr>
          <w:p w14:paraId="7A40AF4A">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备注</w:t>
            </w:r>
          </w:p>
        </w:tc>
      </w:tr>
      <w:tr w14:paraId="3593D126">
        <w:tblPrEx>
          <w:tblCellMar>
            <w:top w:w="0" w:type="dxa"/>
            <w:left w:w="108" w:type="dxa"/>
            <w:bottom w:w="0" w:type="dxa"/>
            <w:right w:w="108" w:type="dxa"/>
          </w:tblCellMar>
        </w:tblPrEx>
        <w:trPr>
          <w:trHeight w:val="690" w:hRule="atLeast"/>
        </w:trPr>
        <w:tc>
          <w:tcPr>
            <w:tcW w:w="907" w:type="dxa"/>
            <w:tcBorders>
              <w:top w:val="single" w:color="auto" w:sz="6" w:space="0"/>
              <w:left w:val="single" w:color="auto" w:sz="6" w:space="0"/>
              <w:bottom w:val="single" w:color="auto" w:sz="6" w:space="0"/>
              <w:right w:val="single" w:color="auto" w:sz="6" w:space="0"/>
            </w:tcBorders>
            <w:vAlign w:val="center"/>
          </w:tcPr>
          <w:p w14:paraId="3CFA315F">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1</w:t>
            </w:r>
          </w:p>
        </w:tc>
        <w:tc>
          <w:tcPr>
            <w:tcW w:w="1424" w:type="dxa"/>
            <w:tcBorders>
              <w:top w:val="single" w:color="auto" w:sz="6" w:space="0"/>
              <w:left w:val="single" w:color="auto" w:sz="6" w:space="0"/>
              <w:bottom w:val="single" w:color="auto" w:sz="6" w:space="0"/>
              <w:right w:val="single" w:color="auto" w:sz="6" w:space="0"/>
            </w:tcBorders>
          </w:tcPr>
          <w:p w14:paraId="41F3B773">
            <w:pPr>
              <w:autoSpaceDE w:val="0"/>
              <w:autoSpaceDN w:val="0"/>
              <w:jc w:val="center"/>
              <w:rPr>
                <w:rFonts w:ascii="宋体" w:hAnsi="宋体" w:cs="宋体"/>
                <w:color w:val="auto"/>
                <w:sz w:val="24"/>
                <w:highlight w:val="none"/>
              </w:rPr>
            </w:pPr>
          </w:p>
        </w:tc>
        <w:tc>
          <w:tcPr>
            <w:tcW w:w="1867" w:type="dxa"/>
            <w:tcBorders>
              <w:top w:val="single" w:color="auto" w:sz="6" w:space="0"/>
              <w:left w:val="single" w:color="auto" w:sz="6" w:space="0"/>
              <w:bottom w:val="single" w:color="auto" w:sz="6" w:space="0"/>
              <w:right w:val="single" w:color="auto" w:sz="6" w:space="0"/>
            </w:tcBorders>
          </w:tcPr>
          <w:p w14:paraId="41536CC1">
            <w:pPr>
              <w:autoSpaceDE w:val="0"/>
              <w:autoSpaceDN w:val="0"/>
              <w:jc w:val="center"/>
              <w:rPr>
                <w:rFonts w:ascii="宋体" w:hAnsi="宋体" w:cs="宋体"/>
                <w:color w:val="auto"/>
                <w:sz w:val="24"/>
                <w:highlight w:val="none"/>
              </w:rPr>
            </w:pPr>
          </w:p>
        </w:tc>
        <w:tc>
          <w:tcPr>
            <w:tcW w:w="1372" w:type="dxa"/>
            <w:tcBorders>
              <w:top w:val="single" w:color="auto" w:sz="6" w:space="0"/>
              <w:left w:val="single" w:color="auto" w:sz="6" w:space="0"/>
              <w:bottom w:val="single" w:color="auto" w:sz="6" w:space="0"/>
              <w:right w:val="single" w:color="auto" w:sz="6" w:space="0"/>
            </w:tcBorders>
          </w:tcPr>
          <w:p w14:paraId="64537C4E">
            <w:pPr>
              <w:autoSpaceDE w:val="0"/>
              <w:autoSpaceDN w:val="0"/>
              <w:jc w:val="center"/>
              <w:rPr>
                <w:rFonts w:ascii="宋体" w:hAnsi="宋体" w:cs="宋体"/>
                <w:color w:val="auto"/>
                <w:sz w:val="24"/>
                <w:highlight w:val="none"/>
              </w:rPr>
            </w:pPr>
          </w:p>
        </w:tc>
        <w:tc>
          <w:tcPr>
            <w:tcW w:w="1622" w:type="dxa"/>
            <w:tcBorders>
              <w:top w:val="single" w:color="auto" w:sz="6" w:space="0"/>
              <w:left w:val="single" w:color="auto" w:sz="6" w:space="0"/>
              <w:bottom w:val="single" w:color="auto" w:sz="6" w:space="0"/>
              <w:right w:val="single" w:color="auto" w:sz="6" w:space="0"/>
            </w:tcBorders>
          </w:tcPr>
          <w:p w14:paraId="4D3BE6CB">
            <w:pPr>
              <w:autoSpaceDE w:val="0"/>
              <w:autoSpaceDN w:val="0"/>
              <w:jc w:val="center"/>
              <w:rPr>
                <w:rFonts w:ascii="宋体" w:hAnsi="宋体" w:cs="宋体"/>
                <w:color w:val="auto"/>
                <w:sz w:val="24"/>
                <w:highlight w:val="none"/>
              </w:rPr>
            </w:pPr>
          </w:p>
        </w:tc>
        <w:tc>
          <w:tcPr>
            <w:tcW w:w="1835" w:type="dxa"/>
            <w:tcBorders>
              <w:top w:val="single" w:color="auto" w:sz="6" w:space="0"/>
              <w:left w:val="single" w:color="auto" w:sz="6" w:space="0"/>
              <w:bottom w:val="single" w:color="auto" w:sz="6" w:space="0"/>
              <w:right w:val="single" w:color="auto" w:sz="6" w:space="0"/>
            </w:tcBorders>
          </w:tcPr>
          <w:p w14:paraId="465F43CA">
            <w:pPr>
              <w:autoSpaceDE w:val="0"/>
              <w:autoSpaceDN w:val="0"/>
              <w:jc w:val="center"/>
              <w:rPr>
                <w:rFonts w:ascii="宋体" w:hAnsi="宋体" w:cs="宋体"/>
                <w:color w:val="auto"/>
                <w:sz w:val="24"/>
                <w:highlight w:val="none"/>
              </w:rPr>
            </w:pPr>
          </w:p>
        </w:tc>
        <w:tc>
          <w:tcPr>
            <w:tcW w:w="1950" w:type="dxa"/>
            <w:tcBorders>
              <w:top w:val="single" w:color="auto" w:sz="6" w:space="0"/>
              <w:left w:val="single" w:color="auto" w:sz="6" w:space="0"/>
              <w:bottom w:val="single" w:color="auto" w:sz="6" w:space="0"/>
              <w:right w:val="single" w:color="auto" w:sz="6" w:space="0"/>
            </w:tcBorders>
          </w:tcPr>
          <w:p w14:paraId="73E577E2">
            <w:pPr>
              <w:autoSpaceDE w:val="0"/>
              <w:autoSpaceDN w:val="0"/>
              <w:jc w:val="center"/>
              <w:rPr>
                <w:rFonts w:ascii="宋体" w:hAnsi="宋体" w:cs="宋体"/>
                <w:color w:val="auto"/>
                <w:sz w:val="24"/>
                <w:highlight w:val="none"/>
              </w:rPr>
            </w:pPr>
          </w:p>
        </w:tc>
        <w:tc>
          <w:tcPr>
            <w:tcW w:w="1667" w:type="dxa"/>
            <w:tcBorders>
              <w:top w:val="single" w:color="auto" w:sz="6" w:space="0"/>
              <w:left w:val="single" w:color="auto" w:sz="6" w:space="0"/>
              <w:bottom w:val="single" w:color="auto" w:sz="6" w:space="0"/>
              <w:right w:val="single" w:color="auto" w:sz="6" w:space="0"/>
            </w:tcBorders>
          </w:tcPr>
          <w:p w14:paraId="0ADA8BDD">
            <w:pPr>
              <w:autoSpaceDE w:val="0"/>
              <w:autoSpaceDN w:val="0"/>
              <w:jc w:val="center"/>
              <w:rPr>
                <w:rFonts w:ascii="宋体" w:hAnsi="宋体" w:cs="宋体"/>
                <w:color w:val="auto"/>
                <w:sz w:val="24"/>
                <w:highlight w:val="none"/>
              </w:rPr>
            </w:pPr>
          </w:p>
        </w:tc>
        <w:tc>
          <w:tcPr>
            <w:tcW w:w="1667" w:type="dxa"/>
            <w:tcBorders>
              <w:top w:val="single" w:color="auto" w:sz="6" w:space="0"/>
              <w:left w:val="single" w:color="auto" w:sz="6" w:space="0"/>
              <w:bottom w:val="single" w:color="auto" w:sz="6" w:space="0"/>
              <w:right w:val="single" w:color="auto" w:sz="6" w:space="0"/>
            </w:tcBorders>
          </w:tcPr>
          <w:p w14:paraId="64531B1D">
            <w:pPr>
              <w:autoSpaceDE w:val="0"/>
              <w:autoSpaceDN w:val="0"/>
              <w:jc w:val="center"/>
              <w:rPr>
                <w:rFonts w:ascii="宋体" w:hAnsi="宋体" w:cs="宋体"/>
                <w:color w:val="auto"/>
                <w:sz w:val="24"/>
                <w:highlight w:val="none"/>
              </w:rPr>
            </w:pPr>
          </w:p>
        </w:tc>
      </w:tr>
      <w:tr w14:paraId="1C6C94D1">
        <w:tblPrEx>
          <w:tblCellMar>
            <w:top w:w="0" w:type="dxa"/>
            <w:left w:w="108" w:type="dxa"/>
            <w:bottom w:w="0" w:type="dxa"/>
            <w:right w:w="108" w:type="dxa"/>
          </w:tblCellMar>
        </w:tblPrEx>
        <w:trPr>
          <w:trHeight w:val="676" w:hRule="atLeast"/>
        </w:trPr>
        <w:tc>
          <w:tcPr>
            <w:tcW w:w="907" w:type="dxa"/>
            <w:tcBorders>
              <w:top w:val="single" w:color="auto" w:sz="6" w:space="0"/>
              <w:left w:val="single" w:color="auto" w:sz="6" w:space="0"/>
              <w:bottom w:val="single" w:color="auto" w:sz="6" w:space="0"/>
              <w:right w:val="single" w:color="auto" w:sz="6" w:space="0"/>
            </w:tcBorders>
            <w:vAlign w:val="center"/>
          </w:tcPr>
          <w:p w14:paraId="5A9058D4">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2</w:t>
            </w:r>
          </w:p>
        </w:tc>
        <w:tc>
          <w:tcPr>
            <w:tcW w:w="1424" w:type="dxa"/>
            <w:tcBorders>
              <w:top w:val="single" w:color="auto" w:sz="6" w:space="0"/>
              <w:left w:val="single" w:color="auto" w:sz="6" w:space="0"/>
              <w:bottom w:val="single" w:color="auto" w:sz="6" w:space="0"/>
              <w:right w:val="single" w:color="auto" w:sz="6" w:space="0"/>
            </w:tcBorders>
          </w:tcPr>
          <w:p w14:paraId="1116908F">
            <w:pPr>
              <w:autoSpaceDE w:val="0"/>
              <w:autoSpaceDN w:val="0"/>
              <w:jc w:val="center"/>
              <w:rPr>
                <w:rFonts w:ascii="宋体" w:hAnsi="宋体" w:cs="宋体"/>
                <w:color w:val="auto"/>
                <w:sz w:val="24"/>
                <w:highlight w:val="none"/>
              </w:rPr>
            </w:pPr>
          </w:p>
        </w:tc>
        <w:tc>
          <w:tcPr>
            <w:tcW w:w="1867" w:type="dxa"/>
            <w:tcBorders>
              <w:top w:val="single" w:color="auto" w:sz="6" w:space="0"/>
              <w:left w:val="single" w:color="auto" w:sz="6" w:space="0"/>
              <w:bottom w:val="single" w:color="auto" w:sz="6" w:space="0"/>
              <w:right w:val="single" w:color="auto" w:sz="6" w:space="0"/>
            </w:tcBorders>
          </w:tcPr>
          <w:p w14:paraId="23CA6EC2">
            <w:pPr>
              <w:autoSpaceDE w:val="0"/>
              <w:autoSpaceDN w:val="0"/>
              <w:jc w:val="center"/>
              <w:rPr>
                <w:rFonts w:ascii="宋体" w:hAnsi="宋体" w:cs="宋体"/>
                <w:color w:val="auto"/>
                <w:sz w:val="24"/>
                <w:highlight w:val="none"/>
              </w:rPr>
            </w:pPr>
          </w:p>
        </w:tc>
        <w:tc>
          <w:tcPr>
            <w:tcW w:w="1372" w:type="dxa"/>
            <w:tcBorders>
              <w:top w:val="single" w:color="auto" w:sz="6" w:space="0"/>
              <w:left w:val="single" w:color="auto" w:sz="6" w:space="0"/>
              <w:bottom w:val="single" w:color="auto" w:sz="6" w:space="0"/>
              <w:right w:val="single" w:color="auto" w:sz="6" w:space="0"/>
            </w:tcBorders>
          </w:tcPr>
          <w:p w14:paraId="775DB37B">
            <w:pPr>
              <w:autoSpaceDE w:val="0"/>
              <w:autoSpaceDN w:val="0"/>
              <w:jc w:val="center"/>
              <w:rPr>
                <w:rFonts w:ascii="宋体" w:hAnsi="宋体" w:cs="宋体"/>
                <w:color w:val="auto"/>
                <w:sz w:val="24"/>
                <w:highlight w:val="none"/>
              </w:rPr>
            </w:pPr>
          </w:p>
        </w:tc>
        <w:tc>
          <w:tcPr>
            <w:tcW w:w="1622" w:type="dxa"/>
            <w:tcBorders>
              <w:top w:val="single" w:color="auto" w:sz="6" w:space="0"/>
              <w:left w:val="single" w:color="auto" w:sz="6" w:space="0"/>
              <w:bottom w:val="single" w:color="auto" w:sz="6" w:space="0"/>
              <w:right w:val="single" w:color="auto" w:sz="6" w:space="0"/>
            </w:tcBorders>
          </w:tcPr>
          <w:p w14:paraId="3DFC74D9">
            <w:pPr>
              <w:autoSpaceDE w:val="0"/>
              <w:autoSpaceDN w:val="0"/>
              <w:jc w:val="center"/>
              <w:rPr>
                <w:rFonts w:ascii="宋体" w:hAnsi="宋体" w:cs="宋体"/>
                <w:color w:val="auto"/>
                <w:sz w:val="24"/>
                <w:highlight w:val="none"/>
              </w:rPr>
            </w:pPr>
          </w:p>
        </w:tc>
        <w:tc>
          <w:tcPr>
            <w:tcW w:w="1835" w:type="dxa"/>
            <w:tcBorders>
              <w:top w:val="single" w:color="auto" w:sz="6" w:space="0"/>
              <w:left w:val="single" w:color="auto" w:sz="6" w:space="0"/>
              <w:bottom w:val="single" w:color="auto" w:sz="6" w:space="0"/>
              <w:right w:val="single" w:color="auto" w:sz="6" w:space="0"/>
            </w:tcBorders>
          </w:tcPr>
          <w:p w14:paraId="19A2359B">
            <w:pPr>
              <w:autoSpaceDE w:val="0"/>
              <w:autoSpaceDN w:val="0"/>
              <w:jc w:val="center"/>
              <w:rPr>
                <w:rFonts w:ascii="宋体" w:hAnsi="宋体" w:cs="宋体"/>
                <w:color w:val="auto"/>
                <w:sz w:val="24"/>
                <w:highlight w:val="none"/>
              </w:rPr>
            </w:pPr>
          </w:p>
        </w:tc>
        <w:tc>
          <w:tcPr>
            <w:tcW w:w="1950" w:type="dxa"/>
            <w:tcBorders>
              <w:top w:val="single" w:color="auto" w:sz="6" w:space="0"/>
              <w:left w:val="single" w:color="auto" w:sz="6" w:space="0"/>
              <w:bottom w:val="single" w:color="auto" w:sz="6" w:space="0"/>
              <w:right w:val="single" w:color="auto" w:sz="6" w:space="0"/>
            </w:tcBorders>
          </w:tcPr>
          <w:p w14:paraId="5E2936C2">
            <w:pPr>
              <w:autoSpaceDE w:val="0"/>
              <w:autoSpaceDN w:val="0"/>
              <w:jc w:val="center"/>
              <w:rPr>
                <w:rFonts w:ascii="宋体" w:hAnsi="宋体" w:cs="宋体"/>
                <w:color w:val="auto"/>
                <w:sz w:val="24"/>
                <w:highlight w:val="none"/>
              </w:rPr>
            </w:pPr>
          </w:p>
        </w:tc>
        <w:tc>
          <w:tcPr>
            <w:tcW w:w="1667" w:type="dxa"/>
            <w:tcBorders>
              <w:top w:val="single" w:color="auto" w:sz="6" w:space="0"/>
              <w:left w:val="single" w:color="auto" w:sz="6" w:space="0"/>
              <w:bottom w:val="single" w:color="auto" w:sz="6" w:space="0"/>
              <w:right w:val="single" w:color="auto" w:sz="6" w:space="0"/>
            </w:tcBorders>
          </w:tcPr>
          <w:p w14:paraId="5B977100">
            <w:pPr>
              <w:autoSpaceDE w:val="0"/>
              <w:autoSpaceDN w:val="0"/>
              <w:jc w:val="center"/>
              <w:rPr>
                <w:rFonts w:ascii="宋体" w:hAnsi="宋体" w:cs="宋体"/>
                <w:color w:val="auto"/>
                <w:sz w:val="24"/>
                <w:highlight w:val="none"/>
              </w:rPr>
            </w:pPr>
          </w:p>
        </w:tc>
        <w:tc>
          <w:tcPr>
            <w:tcW w:w="1667" w:type="dxa"/>
            <w:tcBorders>
              <w:top w:val="single" w:color="auto" w:sz="6" w:space="0"/>
              <w:left w:val="single" w:color="auto" w:sz="6" w:space="0"/>
              <w:bottom w:val="single" w:color="auto" w:sz="6" w:space="0"/>
              <w:right w:val="single" w:color="auto" w:sz="6" w:space="0"/>
            </w:tcBorders>
          </w:tcPr>
          <w:p w14:paraId="1B3A4166">
            <w:pPr>
              <w:autoSpaceDE w:val="0"/>
              <w:autoSpaceDN w:val="0"/>
              <w:jc w:val="center"/>
              <w:rPr>
                <w:rFonts w:ascii="宋体" w:hAnsi="宋体" w:cs="宋体"/>
                <w:color w:val="auto"/>
                <w:sz w:val="24"/>
                <w:highlight w:val="none"/>
              </w:rPr>
            </w:pPr>
          </w:p>
        </w:tc>
      </w:tr>
      <w:tr w14:paraId="700BA5F6">
        <w:tblPrEx>
          <w:tblCellMar>
            <w:top w:w="0" w:type="dxa"/>
            <w:left w:w="108" w:type="dxa"/>
            <w:bottom w:w="0" w:type="dxa"/>
            <w:right w:w="108" w:type="dxa"/>
          </w:tblCellMar>
        </w:tblPrEx>
        <w:trPr>
          <w:trHeight w:val="954" w:hRule="atLeast"/>
        </w:trPr>
        <w:tc>
          <w:tcPr>
            <w:tcW w:w="907" w:type="dxa"/>
            <w:tcBorders>
              <w:top w:val="single" w:color="auto" w:sz="6" w:space="0"/>
              <w:left w:val="single" w:color="auto" w:sz="6" w:space="0"/>
              <w:bottom w:val="single" w:color="auto" w:sz="6" w:space="0"/>
              <w:right w:val="single" w:color="auto" w:sz="6" w:space="0"/>
            </w:tcBorders>
            <w:vAlign w:val="center"/>
          </w:tcPr>
          <w:p w14:paraId="17DAF94C">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w:t>
            </w:r>
          </w:p>
        </w:tc>
        <w:tc>
          <w:tcPr>
            <w:tcW w:w="1424" w:type="dxa"/>
            <w:tcBorders>
              <w:top w:val="single" w:color="auto" w:sz="6" w:space="0"/>
              <w:left w:val="single" w:color="auto" w:sz="6" w:space="0"/>
              <w:bottom w:val="single" w:color="auto" w:sz="6" w:space="0"/>
              <w:right w:val="single" w:color="auto" w:sz="6" w:space="0"/>
            </w:tcBorders>
          </w:tcPr>
          <w:p w14:paraId="4591D212">
            <w:pPr>
              <w:autoSpaceDE w:val="0"/>
              <w:autoSpaceDN w:val="0"/>
              <w:jc w:val="center"/>
              <w:rPr>
                <w:rFonts w:ascii="宋体" w:hAnsi="宋体" w:cs="宋体"/>
                <w:color w:val="auto"/>
                <w:sz w:val="24"/>
                <w:highlight w:val="none"/>
              </w:rPr>
            </w:pPr>
          </w:p>
        </w:tc>
        <w:tc>
          <w:tcPr>
            <w:tcW w:w="1867" w:type="dxa"/>
            <w:tcBorders>
              <w:top w:val="single" w:color="auto" w:sz="6" w:space="0"/>
              <w:left w:val="single" w:color="auto" w:sz="6" w:space="0"/>
              <w:bottom w:val="single" w:color="auto" w:sz="6" w:space="0"/>
              <w:right w:val="single" w:color="auto" w:sz="6" w:space="0"/>
            </w:tcBorders>
          </w:tcPr>
          <w:p w14:paraId="57465486">
            <w:pPr>
              <w:autoSpaceDE w:val="0"/>
              <w:autoSpaceDN w:val="0"/>
              <w:jc w:val="center"/>
              <w:rPr>
                <w:rFonts w:ascii="宋体" w:hAnsi="宋体" w:cs="宋体"/>
                <w:color w:val="auto"/>
                <w:sz w:val="24"/>
                <w:highlight w:val="none"/>
              </w:rPr>
            </w:pPr>
          </w:p>
        </w:tc>
        <w:tc>
          <w:tcPr>
            <w:tcW w:w="1372" w:type="dxa"/>
            <w:tcBorders>
              <w:top w:val="single" w:color="auto" w:sz="6" w:space="0"/>
              <w:left w:val="single" w:color="auto" w:sz="6" w:space="0"/>
              <w:bottom w:val="single" w:color="auto" w:sz="6" w:space="0"/>
              <w:right w:val="single" w:color="auto" w:sz="6" w:space="0"/>
            </w:tcBorders>
          </w:tcPr>
          <w:p w14:paraId="522E4D66">
            <w:pPr>
              <w:autoSpaceDE w:val="0"/>
              <w:autoSpaceDN w:val="0"/>
              <w:jc w:val="center"/>
              <w:rPr>
                <w:rFonts w:ascii="宋体" w:hAnsi="宋体" w:cs="宋体"/>
                <w:color w:val="auto"/>
                <w:sz w:val="24"/>
                <w:highlight w:val="none"/>
              </w:rPr>
            </w:pPr>
          </w:p>
        </w:tc>
        <w:tc>
          <w:tcPr>
            <w:tcW w:w="1622" w:type="dxa"/>
            <w:tcBorders>
              <w:top w:val="single" w:color="auto" w:sz="6" w:space="0"/>
              <w:left w:val="single" w:color="auto" w:sz="6" w:space="0"/>
              <w:bottom w:val="single" w:color="auto" w:sz="6" w:space="0"/>
              <w:right w:val="single" w:color="auto" w:sz="6" w:space="0"/>
            </w:tcBorders>
          </w:tcPr>
          <w:p w14:paraId="08AE20FF">
            <w:pPr>
              <w:autoSpaceDE w:val="0"/>
              <w:autoSpaceDN w:val="0"/>
              <w:jc w:val="center"/>
              <w:rPr>
                <w:rFonts w:ascii="宋体" w:hAnsi="宋体" w:cs="宋体"/>
                <w:color w:val="auto"/>
                <w:sz w:val="24"/>
                <w:highlight w:val="none"/>
              </w:rPr>
            </w:pPr>
          </w:p>
        </w:tc>
        <w:tc>
          <w:tcPr>
            <w:tcW w:w="1835" w:type="dxa"/>
            <w:tcBorders>
              <w:top w:val="single" w:color="auto" w:sz="6" w:space="0"/>
              <w:left w:val="single" w:color="auto" w:sz="6" w:space="0"/>
              <w:bottom w:val="single" w:color="auto" w:sz="6" w:space="0"/>
              <w:right w:val="single" w:color="auto" w:sz="6" w:space="0"/>
            </w:tcBorders>
          </w:tcPr>
          <w:p w14:paraId="6FA00E68">
            <w:pPr>
              <w:autoSpaceDE w:val="0"/>
              <w:autoSpaceDN w:val="0"/>
              <w:jc w:val="center"/>
              <w:rPr>
                <w:rFonts w:ascii="宋体" w:hAnsi="宋体" w:cs="宋体"/>
                <w:color w:val="auto"/>
                <w:sz w:val="24"/>
                <w:highlight w:val="none"/>
              </w:rPr>
            </w:pPr>
          </w:p>
        </w:tc>
        <w:tc>
          <w:tcPr>
            <w:tcW w:w="1950" w:type="dxa"/>
            <w:tcBorders>
              <w:top w:val="single" w:color="auto" w:sz="6" w:space="0"/>
              <w:left w:val="single" w:color="auto" w:sz="6" w:space="0"/>
              <w:bottom w:val="single" w:color="auto" w:sz="6" w:space="0"/>
              <w:right w:val="single" w:color="auto" w:sz="6" w:space="0"/>
            </w:tcBorders>
          </w:tcPr>
          <w:p w14:paraId="7B0C3274">
            <w:pPr>
              <w:autoSpaceDE w:val="0"/>
              <w:autoSpaceDN w:val="0"/>
              <w:jc w:val="center"/>
              <w:rPr>
                <w:rFonts w:ascii="宋体" w:hAnsi="宋体" w:cs="宋体"/>
                <w:color w:val="auto"/>
                <w:sz w:val="24"/>
                <w:highlight w:val="none"/>
              </w:rPr>
            </w:pPr>
          </w:p>
        </w:tc>
        <w:tc>
          <w:tcPr>
            <w:tcW w:w="1667" w:type="dxa"/>
            <w:tcBorders>
              <w:top w:val="single" w:color="auto" w:sz="6" w:space="0"/>
              <w:left w:val="single" w:color="auto" w:sz="6" w:space="0"/>
              <w:bottom w:val="single" w:color="auto" w:sz="6" w:space="0"/>
              <w:right w:val="single" w:color="auto" w:sz="6" w:space="0"/>
            </w:tcBorders>
          </w:tcPr>
          <w:p w14:paraId="49542439">
            <w:pPr>
              <w:autoSpaceDE w:val="0"/>
              <w:autoSpaceDN w:val="0"/>
              <w:jc w:val="center"/>
              <w:rPr>
                <w:rFonts w:ascii="宋体" w:hAnsi="宋体" w:cs="宋体"/>
                <w:color w:val="auto"/>
                <w:sz w:val="24"/>
                <w:highlight w:val="none"/>
              </w:rPr>
            </w:pPr>
          </w:p>
        </w:tc>
        <w:tc>
          <w:tcPr>
            <w:tcW w:w="1667" w:type="dxa"/>
            <w:tcBorders>
              <w:top w:val="single" w:color="auto" w:sz="6" w:space="0"/>
              <w:left w:val="single" w:color="auto" w:sz="6" w:space="0"/>
              <w:bottom w:val="single" w:color="auto" w:sz="6" w:space="0"/>
              <w:right w:val="single" w:color="auto" w:sz="6" w:space="0"/>
            </w:tcBorders>
          </w:tcPr>
          <w:p w14:paraId="226BF634">
            <w:pPr>
              <w:autoSpaceDE w:val="0"/>
              <w:autoSpaceDN w:val="0"/>
              <w:jc w:val="center"/>
              <w:rPr>
                <w:rFonts w:ascii="宋体" w:hAnsi="宋体" w:cs="宋体"/>
                <w:color w:val="auto"/>
                <w:sz w:val="24"/>
                <w:highlight w:val="none"/>
              </w:rPr>
            </w:pPr>
          </w:p>
        </w:tc>
      </w:tr>
    </w:tbl>
    <w:p w14:paraId="5CBDC973">
      <w:pPr>
        <w:autoSpaceDE w:val="0"/>
        <w:autoSpaceDN w:val="0"/>
        <w:spacing w:line="360" w:lineRule="auto"/>
        <w:rPr>
          <w:rFonts w:hint="eastAsia" w:ascii="宋体" w:hAnsi="宋体" w:cs="宋体"/>
          <w:b/>
          <w:bCs/>
          <w:color w:val="auto"/>
          <w:sz w:val="24"/>
          <w:highlight w:val="none"/>
        </w:rPr>
      </w:pPr>
    </w:p>
    <w:p w14:paraId="518A4EF9">
      <w:pPr>
        <w:autoSpaceDE w:val="0"/>
        <w:autoSpaceDN w:val="0"/>
        <w:spacing w:line="360" w:lineRule="auto"/>
        <w:rPr>
          <w:rFonts w:ascii="宋体" w:hAnsi="宋体" w:cs="宋体"/>
          <w:color w:val="auto"/>
          <w:sz w:val="24"/>
          <w:highlight w:val="none"/>
        </w:rPr>
      </w:pPr>
      <w:r>
        <w:rPr>
          <w:rFonts w:hint="eastAsia" w:ascii="宋体" w:hAnsi="宋体" w:cs="宋体"/>
          <w:b/>
          <w:bCs/>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.委托单位应为政府投资项目价款审核相关部门，如财政部门、住建部门等。</w:t>
      </w:r>
    </w:p>
    <w:p w14:paraId="5B01C9E7">
      <w:pPr>
        <w:spacing w:line="360" w:lineRule="auto"/>
        <w:ind w:firstLine="420" w:firstLineChars="175"/>
        <w:outlineLvl w:val="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.供应商应对照评标办法前附表第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条要求的要素，填写《供应商满足评标办法第</w:t>
      </w:r>
      <w:r>
        <w:rPr>
          <w:rFonts w:hint="eastAsia" w:ascii="宋体" w:hAnsi="宋体" w:cs="宋体"/>
          <w:color w:val="auto"/>
          <w:sz w:val="24"/>
          <w:highlight w:val="none"/>
          <w:lang w:eastAsia="zh-CN"/>
        </w:rPr>
        <w:t>二</w:t>
      </w:r>
      <w:r>
        <w:rPr>
          <w:rFonts w:hint="eastAsia" w:ascii="宋体" w:hAnsi="宋体" w:cs="宋体"/>
          <w:color w:val="auto"/>
          <w:sz w:val="24"/>
          <w:highlight w:val="none"/>
        </w:rPr>
        <w:t>条的类似项目业绩表》，并核验自有相关证明材料并填写完整，填写不完整或有明显错误的评标委员会均不予认可，可能按虚假应标予以废标并通报采购监督管理部门。</w:t>
      </w:r>
    </w:p>
    <w:p w14:paraId="5A512733">
      <w:pPr>
        <w:autoSpaceDE w:val="0"/>
        <w:autoSpaceDN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.供应商应按本表内容填写相关信息，不得随意修改表格内容，且须随表提交相应的证明文件（表中明确的自有材料）。</w:t>
      </w:r>
    </w:p>
    <w:p w14:paraId="2272E241">
      <w:pPr>
        <w:autoSpaceDE w:val="0"/>
        <w:autoSpaceDN w:val="0"/>
        <w:spacing w:line="360" w:lineRule="auto"/>
        <w:ind w:firstLine="420" w:firstLineChars="175"/>
        <w:rPr>
          <w:rFonts w:ascii="宋体" w:hAnsi="宋体" w:cs="宋体"/>
          <w:b/>
          <w:bCs/>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如发现供应商存在提供虚假材料谋取中标、成交的情形的，且征集人将把情况报政府采购监督管理部门，并按照《中华人民共和国政府采购法》第七十七条规定，中标、成交无效，并可能承担“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等法律责任。</w:t>
      </w:r>
    </w:p>
    <w:p w14:paraId="70D7CA03">
      <w:pPr>
        <w:autoSpaceDE w:val="0"/>
        <w:autoSpaceDN w:val="0"/>
        <w:spacing w:line="360" w:lineRule="auto"/>
        <w:rPr>
          <w:rFonts w:ascii="宋体" w:hAnsi="宋体" w:cs="宋体"/>
          <w:b/>
          <w:bCs/>
          <w:color w:val="auto"/>
          <w:sz w:val="24"/>
          <w:highlight w:val="none"/>
        </w:rPr>
      </w:pPr>
    </w:p>
    <w:p w14:paraId="313AEB09">
      <w:pPr>
        <w:autoSpaceDE w:val="0"/>
        <w:autoSpaceDN w:val="0"/>
        <w:spacing w:line="360" w:lineRule="auto"/>
        <w:rPr>
          <w:rFonts w:ascii="宋体" w:hAnsi="宋体" w:cs="宋体"/>
          <w:b/>
          <w:bCs/>
          <w:color w:val="auto"/>
          <w:sz w:val="24"/>
          <w:highlight w:val="none"/>
        </w:rPr>
      </w:pPr>
    </w:p>
    <w:p w14:paraId="1AFD1A93">
      <w:pPr>
        <w:spacing w:line="360" w:lineRule="auto"/>
        <w:ind w:firstLine="8640" w:firstLineChars="3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响应供应商名称(电子签名)：</w:t>
      </w:r>
    </w:p>
    <w:p w14:paraId="153F4A0F">
      <w:pPr>
        <w:spacing w:line="360" w:lineRule="auto"/>
        <w:ind w:firstLine="8880" w:firstLineChars="37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4C8F7577">
      <w:pPr>
        <w:spacing w:line="240" w:lineRule="auto"/>
        <w:ind w:firstLine="0" w:firstLineChars="0"/>
        <w:rPr>
          <w:rFonts w:hint="eastAsia" w:ascii="宋体" w:hAnsi="宋体" w:cs="宋体"/>
          <w:b/>
          <w:bCs/>
          <w:color w:val="auto"/>
          <w:sz w:val="24"/>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titlePg/>
          <w:docGrid w:linePitch="312" w:charSpace="0"/>
        </w:sectPr>
      </w:pPr>
    </w:p>
    <w:p w14:paraId="74DCF66E">
      <w:pPr>
        <w:spacing w:line="240" w:lineRule="auto"/>
        <w:ind w:firstLine="0" w:firstLineChars="0"/>
        <w:rPr>
          <w:rFonts w:hint="default" w:ascii="宋体" w:hAnsi="宋体" w:cs="宋体"/>
          <w:b/>
          <w:bCs/>
          <w:color w:val="auto"/>
          <w:sz w:val="24"/>
          <w:highlight w:val="none"/>
          <w:lang w:val="en-US" w:eastAsia="zh-CN"/>
        </w:rPr>
      </w:pPr>
      <w:r>
        <w:rPr>
          <w:rFonts w:hint="eastAsia" w:ascii="宋体" w:hAnsi="宋体" w:cs="宋体"/>
          <w:b/>
          <w:bCs/>
          <w:color w:val="auto"/>
          <w:sz w:val="24"/>
          <w:highlight w:val="none"/>
          <w:lang w:val="en-US" w:eastAsia="zh-CN"/>
        </w:rPr>
        <w:t>3.项目团队</w:t>
      </w:r>
    </w:p>
    <w:p w14:paraId="3B15BBE9">
      <w:pPr>
        <w:spacing w:line="240" w:lineRule="auto"/>
        <w:ind w:firstLine="0" w:firstLineChars="0"/>
        <w:rPr>
          <w:rFonts w:ascii="宋体" w:hAnsi="宋体" w:cs="宋体"/>
          <w:b/>
          <w:bCs/>
          <w:color w:val="auto"/>
          <w:sz w:val="30"/>
          <w:szCs w:val="30"/>
          <w:highlight w:val="none"/>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1</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项的</w:t>
      </w:r>
      <w:r>
        <w:rPr>
          <w:rFonts w:hint="eastAsia" w:ascii="宋体" w:hAnsi="宋体" w:cs="宋体"/>
          <w:b/>
          <w:bCs/>
          <w:color w:val="auto"/>
          <w:sz w:val="24"/>
          <w:highlight w:val="none"/>
        </w:rPr>
        <w:t>项目负责人情况表</w:t>
      </w:r>
    </w:p>
    <w:tbl>
      <w:tblPr>
        <w:tblStyle w:val="52"/>
        <w:tblW w:w="13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316"/>
        <w:gridCol w:w="2317"/>
        <w:gridCol w:w="1534"/>
        <w:gridCol w:w="3126"/>
        <w:gridCol w:w="2440"/>
      </w:tblGrid>
      <w:tr w14:paraId="75D8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2" w:type="dxa"/>
            <w:gridSpan w:val="6"/>
          </w:tcPr>
          <w:p w14:paraId="37A3FEED">
            <w:pPr>
              <w:pStyle w:val="23"/>
              <w:ind w:firstLine="480"/>
              <w:jc w:val="center"/>
              <w:rPr>
                <w:rFonts w:cs="宋体"/>
                <w:color w:val="auto"/>
                <w:highlight w:val="none"/>
              </w:rPr>
            </w:pPr>
            <w:r>
              <w:rPr>
                <w:rFonts w:hint="eastAsia" w:cs="宋体"/>
                <w:color w:val="auto"/>
                <w:highlight w:val="none"/>
              </w:rPr>
              <w:t>项目负责人情况表</w:t>
            </w:r>
          </w:p>
        </w:tc>
      </w:tr>
      <w:tr w14:paraId="2E49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Align w:val="center"/>
          </w:tcPr>
          <w:p w14:paraId="35D59D6D">
            <w:pPr>
              <w:pStyle w:val="23"/>
              <w:ind w:firstLine="0" w:firstLineChars="0"/>
              <w:jc w:val="left"/>
              <w:rPr>
                <w:rFonts w:cs="宋体"/>
                <w:color w:val="auto"/>
                <w:highlight w:val="none"/>
              </w:rPr>
            </w:pPr>
            <w:r>
              <w:rPr>
                <w:rFonts w:hint="eastAsia" w:cs="宋体"/>
                <w:color w:val="auto"/>
                <w:highlight w:val="none"/>
              </w:rPr>
              <w:t>姓名</w:t>
            </w:r>
          </w:p>
        </w:tc>
        <w:tc>
          <w:tcPr>
            <w:tcW w:w="2316" w:type="dxa"/>
            <w:vAlign w:val="center"/>
          </w:tcPr>
          <w:p w14:paraId="26900EC7">
            <w:pPr>
              <w:pStyle w:val="23"/>
              <w:ind w:firstLine="480"/>
              <w:jc w:val="center"/>
              <w:rPr>
                <w:rFonts w:cs="宋体"/>
                <w:color w:val="auto"/>
                <w:highlight w:val="none"/>
              </w:rPr>
            </w:pPr>
          </w:p>
        </w:tc>
        <w:tc>
          <w:tcPr>
            <w:tcW w:w="2317" w:type="dxa"/>
            <w:vAlign w:val="center"/>
          </w:tcPr>
          <w:p w14:paraId="734D0657">
            <w:pPr>
              <w:pStyle w:val="23"/>
              <w:ind w:firstLine="0" w:firstLineChars="0"/>
              <w:jc w:val="left"/>
              <w:rPr>
                <w:rFonts w:cs="宋体"/>
                <w:color w:val="auto"/>
                <w:highlight w:val="none"/>
              </w:rPr>
            </w:pPr>
            <w:r>
              <w:rPr>
                <w:rFonts w:hint="eastAsia" w:cs="宋体"/>
                <w:color w:val="auto"/>
                <w:highlight w:val="none"/>
              </w:rPr>
              <w:t>身份证号</w:t>
            </w:r>
          </w:p>
        </w:tc>
        <w:tc>
          <w:tcPr>
            <w:tcW w:w="1534" w:type="dxa"/>
            <w:vAlign w:val="center"/>
          </w:tcPr>
          <w:p w14:paraId="492BA837">
            <w:pPr>
              <w:pStyle w:val="23"/>
              <w:ind w:firstLine="480"/>
              <w:jc w:val="center"/>
              <w:rPr>
                <w:rFonts w:cs="宋体"/>
                <w:color w:val="auto"/>
                <w:highlight w:val="none"/>
              </w:rPr>
            </w:pPr>
          </w:p>
        </w:tc>
        <w:tc>
          <w:tcPr>
            <w:tcW w:w="3126" w:type="dxa"/>
            <w:vAlign w:val="center"/>
          </w:tcPr>
          <w:p w14:paraId="39C6308F">
            <w:pPr>
              <w:pStyle w:val="23"/>
              <w:ind w:firstLine="0" w:firstLineChars="0"/>
              <w:jc w:val="left"/>
              <w:rPr>
                <w:rFonts w:cs="宋体"/>
                <w:color w:val="auto"/>
                <w:highlight w:val="none"/>
              </w:rPr>
            </w:pPr>
            <w:r>
              <w:rPr>
                <w:rFonts w:hint="eastAsia" w:cs="宋体"/>
                <w:color w:val="auto"/>
                <w:highlight w:val="none"/>
              </w:rPr>
              <w:t>学历及专业</w:t>
            </w:r>
          </w:p>
        </w:tc>
        <w:tc>
          <w:tcPr>
            <w:tcW w:w="2440" w:type="dxa"/>
          </w:tcPr>
          <w:p w14:paraId="4A410DAB">
            <w:pPr>
              <w:pStyle w:val="23"/>
              <w:ind w:firstLine="480"/>
              <w:rPr>
                <w:rFonts w:cs="宋体"/>
                <w:color w:val="auto"/>
                <w:highlight w:val="none"/>
              </w:rPr>
            </w:pPr>
          </w:p>
        </w:tc>
      </w:tr>
      <w:tr w14:paraId="382B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Align w:val="center"/>
          </w:tcPr>
          <w:p w14:paraId="13481192">
            <w:pPr>
              <w:pStyle w:val="23"/>
              <w:ind w:firstLine="0" w:firstLineChars="0"/>
              <w:jc w:val="left"/>
              <w:rPr>
                <w:rFonts w:hint="eastAsia" w:eastAsia="宋体" w:cs="宋体"/>
                <w:color w:val="auto"/>
                <w:highlight w:val="none"/>
                <w:lang w:eastAsia="zh-CN"/>
              </w:rPr>
            </w:pPr>
            <w:r>
              <w:rPr>
                <w:rFonts w:hint="eastAsia" w:cs="宋体"/>
                <w:color w:val="auto"/>
                <w:highlight w:val="none"/>
              </w:rPr>
              <w:t>是</w:t>
            </w:r>
            <w:r>
              <w:rPr>
                <w:rFonts w:hint="eastAsia" w:cs="宋体"/>
                <w:color w:val="auto"/>
                <w:highlight w:val="none"/>
                <w:lang w:eastAsia="zh-CN"/>
              </w:rPr>
              <w:t>否</w:t>
            </w:r>
            <w:r>
              <w:rPr>
                <w:rFonts w:hint="eastAsia" w:cs="宋体"/>
                <w:color w:val="auto"/>
                <w:highlight w:val="none"/>
              </w:rPr>
              <w:t>本单位在职人员</w:t>
            </w:r>
          </w:p>
        </w:tc>
        <w:tc>
          <w:tcPr>
            <w:tcW w:w="2316" w:type="dxa"/>
            <w:vAlign w:val="center"/>
          </w:tcPr>
          <w:p w14:paraId="4D1082BE">
            <w:pPr>
              <w:pStyle w:val="23"/>
              <w:ind w:firstLine="480"/>
              <w:jc w:val="center"/>
              <w:rPr>
                <w:rFonts w:cs="宋体"/>
                <w:color w:val="auto"/>
                <w:highlight w:val="none"/>
              </w:rPr>
            </w:pPr>
          </w:p>
        </w:tc>
        <w:tc>
          <w:tcPr>
            <w:tcW w:w="2317" w:type="dxa"/>
            <w:vAlign w:val="center"/>
          </w:tcPr>
          <w:p w14:paraId="25B30764">
            <w:pPr>
              <w:pStyle w:val="23"/>
              <w:ind w:firstLine="0" w:firstLineChars="0"/>
              <w:jc w:val="left"/>
              <w:rPr>
                <w:rFonts w:cs="宋体"/>
                <w:color w:val="auto"/>
                <w:highlight w:val="none"/>
              </w:rPr>
            </w:pPr>
            <w:r>
              <w:rPr>
                <w:rFonts w:hint="eastAsia" w:cs="宋体"/>
                <w:color w:val="auto"/>
                <w:highlight w:val="none"/>
              </w:rPr>
              <w:t>本单位入职时间</w:t>
            </w:r>
          </w:p>
        </w:tc>
        <w:tc>
          <w:tcPr>
            <w:tcW w:w="7100" w:type="dxa"/>
            <w:gridSpan w:val="3"/>
            <w:vAlign w:val="center"/>
          </w:tcPr>
          <w:p w14:paraId="39A499DC">
            <w:pPr>
              <w:pStyle w:val="23"/>
              <w:ind w:firstLine="480"/>
              <w:rPr>
                <w:rFonts w:cs="宋体"/>
                <w:color w:val="auto"/>
                <w:highlight w:val="none"/>
              </w:rPr>
            </w:pPr>
          </w:p>
        </w:tc>
      </w:tr>
      <w:tr w14:paraId="5763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929" w:type="dxa"/>
            <w:vAlign w:val="center"/>
          </w:tcPr>
          <w:p w14:paraId="0801B917">
            <w:pPr>
              <w:pStyle w:val="23"/>
              <w:ind w:firstLine="0" w:firstLineChars="0"/>
              <w:jc w:val="left"/>
              <w:rPr>
                <w:rFonts w:cs="宋体"/>
                <w:color w:val="auto"/>
                <w:highlight w:val="none"/>
              </w:rPr>
            </w:pPr>
            <w:r>
              <w:rPr>
                <w:rFonts w:hint="eastAsia" w:cs="宋体"/>
                <w:color w:val="auto"/>
                <w:highlight w:val="none"/>
              </w:rPr>
              <w:t>技术职称级别</w:t>
            </w:r>
          </w:p>
        </w:tc>
        <w:tc>
          <w:tcPr>
            <w:tcW w:w="2316" w:type="dxa"/>
            <w:vAlign w:val="center"/>
          </w:tcPr>
          <w:p w14:paraId="68F64618">
            <w:pPr>
              <w:pStyle w:val="23"/>
              <w:ind w:firstLine="480"/>
              <w:jc w:val="center"/>
              <w:rPr>
                <w:rFonts w:cs="宋体"/>
                <w:color w:val="auto"/>
                <w:highlight w:val="none"/>
              </w:rPr>
            </w:pPr>
          </w:p>
        </w:tc>
        <w:tc>
          <w:tcPr>
            <w:tcW w:w="2317" w:type="dxa"/>
            <w:vAlign w:val="center"/>
          </w:tcPr>
          <w:p w14:paraId="51D32E4D">
            <w:pPr>
              <w:pStyle w:val="23"/>
              <w:ind w:firstLine="0" w:firstLineChars="0"/>
              <w:jc w:val="left"/>
              <w:rPr>
                <w:rFonts w:cs="宋体"/>
                <w:color w:val="auto"/>
                <w:highlight w:val="none"/>
              </w:rPr>
            </w:pPr>
            <w:r>
              <w:rPr>
                <w:rFonts w:hint="eastAsia" w:cs="宋体"/>
                <w:color w:val="auto"/>
                <w:highlight w:val="none"/>
              </w:rPr>
              <w:t>技术职称专业</w:t>
            </w:r>
          </w:p>
        </w:tc>
        <w:tc>
          <w:tcPr>
            <w:tcW w:w="1534" w:type="dxa"/>
            <w:vAlign w:val="center"/>
          </w:tcPr>
          <w:p w14:paraId="701FA256">
            <w:pPr>
              <w:pStyle w:val="23"/>
              <w:ind w:firstLine="480"/>
              <w:jc w:val="center"/>
              <w:rPr>
                <w:rFonts w:cs="宋体"/>
                <w:color w:val="auto"/>
                <w:highlight w:val="none"/>
              </w:rPr>
            </w:pPr>
          </w:p>
        </w:tc>
        <w:tc>
          <w:tcPr>
            <w:tcW w:w="3126" w:type="dxa"/>
            <w:vAlign w:val="center"/>
          </w:tcPr>
          <w:p w14:paraId="0CB0F05B">
            <w:pPr>
              <w:pStyle w:val="23"/>
              <w:ind w:firstLine="0" w:firstLineChars="0"/>
              <w:jc w:val="left"/>
              <w:rPr>
                <w:rFonts w:cs="宋体"/>
                <w:color w:val="auto"/>
                <w:highlight w:val="none"/>
              </w:rPr>
            </w:pPr>
            <w:r>
              <w:rPr>
                <w:rFonts w:hint="eastAsia" w:cs="宋体"/>
                <w:color w:val="auto"/>
                <w:highlight w:val="none"/>
              </w:rPr>
              <w:t>技术职称证书编号</w:t>
            </w:r>
          </w:p>
        </w:tc>
        <w:tc>
          <w:tcPr>
            <w:tcW w:w="2440" w:type="dxa"/>
          </w:tcPr>
          <w:p w14:paraId="221A41DF">
            <w:pPr>
              <w:pStyle w:val="23"/>
              <w:ind w:firstLine="480"/>
              <w:rPr>
                <w:rFonts w:cs="宋体"/>
                <w:color w:val="auto"/>
                <w:highlight w:val="none"/>
              </w:rPr>
            </w:pPr>
          </w:p>
        </w:tc>
      </w:tr>
      <w:tr w14:paraId="7F9BE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Align w:val="center"/>
          </w:tcPr>
          <w:p w14:paraId="13E788B9">
            <w:pPr>
              <w:pStyle w:val="23"/>
              <w:ind w:firstLine="0" w:firstLineChars="0"/>
              <w:jc w:val="left"/>
              <w:rPr>
                <w:rFonts w:cs="宋体"/>
                <w:color w:val="auto"/>
                <w:highlight w:val="none"/>
              </w:rPr>
            </w:pPr>
            <w:r>
              <w:rPr>
                <w:rFonts w:hint="eastAsia" w:cs="宋体"/>
                <w:color w:val="auto"/>
                <w:kern w:val="0"/>
                <w:highlight w:val="none"/>
              </w:rPr>
              <w:t>注册造价工程师级别</w:t>
            </w:r>
          </w:p>
        </w:tc>
        <w:tc>
          <w:tcPr>
            <w:tcW w:w="2316" w:type="dxa"/>
            <w:vAlign w:val="center"/>
          </w:tcPr>
          <w:p w14:paraId="4DD0BC65">
            <w:pPr>
              <w:pStyle w:val="23"/>
              <w:ind w:firstLine="480"/>
              <w:jc w:val="center"/>
              <w:rPr>
                <w:rFonts w:cs="宋体"/>
                <w:color w:val="auto"/>
                <w:highlight w:val="none"/>
              </w:rPr>
            </w:pPr>
          </w:p>
        </w:tc>
        <w:tc>
          <w:tcPr>
            <w:tcW w:w="2317" w:type="dxa"/>
            <w:vAlign w:val="center"/>
          </w:tcPr>
          <w:p w14:paraId="13A0790D">
            <w:pPr>
              <w:pStyle w:val="23"/>
              <w:ind w:firstLine="0" w:firstLineChars="0"/>
              <w:jc w:val="left"/>
              <w:rPr>
                <w:rFonts w:cs="宋体"/>
                <w:color w:val="auto"/>
                <w:highlight w:val="none"/>
              </w:rPr>
            </w:pPr>
            <w:r>
              <w:rPr>
                <w:rFonts w:hint="eastAsia" w:cs="宋体"/>
                <w:color w:val="auto"/>
                <w:kern w:val="0"/>
                <w:highlight w:val="none"/>
              </w:rPr>
              <w:t>注册造价工程师注册专业</w:t>
            </w:r>
          </w:p>
        </w:tc>
        <w:tc>
          <w:tcPr>
            <w:tcW w:w="1534" w:type="dxa"/>
            <w:vAlign w:val="center"/>
          </w:tcPr>
          <w:p w14:paraId="48CC8033">
            <w:pPr>
              <w:pStyle w:val="23"/>
              <w:ind w:firstLine="480"/>
              <w:jc w:val="center"/>
              <w:rPr>
                <w:rFonts w:cs="宋体"/>
                <w:color w:val="auto"/>
                <w:highlight w:val="none"/>
              </w:rPr>
            </w:pPr>
          </w:p>
        </w:tc>
        <w:tc>
          <w:tcPr>
            <w:tcW w:w="3126" w:type="dxa"/>
            <w:vAlign w:val="center"/>
          </w:tcPr>
          <w:p w14:paraId="786C40B8">
            <w:pPr>
              <w:pStyle w:val="23"/>
              <w:ind w:firstLine="0" w:firstLineChars="0"/>
              <w:jc w:val="left"/>
              <w:rPr>
                <w:rFonts w:cs="宋体"/>
                <w:color w:val="auto"/>
                <w:highlight w:val="none"/>
              </w:rPr>
            </w:pPr>
            <w:r>
              <w:rPr>
                <w:rFonts w:hint="eastAsia" w:cs="宋体"/>
                <w:color w:val="auto"/>
                <w:kern w:val="0"/>
                <w:highlight w:val="none"/>
              </w:rPr>
              <w:t>注册造价工程师证书编号</w:t>
            </w:r>
          </w:p>
        </w:tc>
        <w:tc>
          <w:tcPr>
            <w:tcW w:w="2440" w:type="dxa"/>
          </w:tcPr>
          <w:p w14:paraId="51537E7A">
            <w:pPr>
              <w:pStyle w:val="23"/>
              <w:ind w:firstLine="480"/>
              <w:rPr>
                <w:rFonts w:cs="宋体"/>
                <w:color w:val="auto"/>
                <w:highlight w:val="none"/>
              </w:rPr>
            </w:pPr>
          </w:p>
        </w:tc>
      </w:tr>
      <w:tr w14:paraId="6FE3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5B06FFA8">
            <w:pPr>
              <w:pStyle w:val="23"/>
              <w:ind w:firstLine="0" w:firstLineChars="0"/>
              <w:rPr>
                <w:rFonts w:cs="宋体"/>
                <w:color w:val="auto"/>
                <w:highlight w:val="none"/>
              </w:rPr>
            </w:pPr>
            <w:r>
              <w:rPr>
                <w:rFonts w:hint="eastAsia" w:cs="宋体"/>
                <w:color w:val="auto"/>
                <w:kern w:val="0"/>
                <w:highlight w:val="none"/>
              </w:rPr>
              <w:t>造价资格证书最早注册时间</w:t>
            </w:r>
          </w:p>
        </w:tc>
        <w:tc>
          <w:tcPr>
            <w:tcW w:w="2316" w:type="dxa"/>
          </w:tcPr>
          <w:p w14:paraId="74A6B6D8">
            <w:pPr>
              <w:pStyle w:val="23"/>
              <w:ind w:firstLine="480"/>
              <w:rPr>
                <w:rFonts w:cs="宋体"/>
                <w:color w:val="auto"/>
                <w:highlight w:val="none"/>
              </w:rPr>
            </w:pPr>
          </w:p>
        </w:tc>
        <w:tc>
          <w:tcPr>
            <w:tcW w:w="2317" w:type="dxa"/>
          </w:tcPr>
          <w:p w14:paraId="1C422DB6">
            <w:pPr>
              <w:pStyle w:val="23"/>
              <w:ind w:firstLine="0" w:firstLineChars="0"/>
              <w:rPr>
                <w:rFonts w:cs="宋体"/>
                <w:color w:val="auto"/>
                <w:highlight w:val="none"/>
              </w:rPr>
            </w:pPr>
            <w:r>
              <w:rPr>
                <w:rFonts w:hint="eastAsia" w:cs="宋体"/>
                <w:color w:val="auto"/>
                <w:kern w:val="0"/>
                <w:highlight w:val="none"/>
              </w:rPr>
              <w:t>注册造价工程师证书颁发部门</w:t>
            </w:r>
          </w:p>
        </w:tc>
        <w:tc>
          <w:tcPr>
            <w:tcW w:w="1534" w:type="dxa"/>
          </w:tcPr>
          <w:p w14:paraId="79A2CE4F">
            <w:pPr>
              <w:pStyle w:val="23"/>
              <w:ind w:firstLine="480"/>
              <w:rPr>
                <w:rFonts w:cs="宋体"/>
                <w:color w:val="auto"/>
                <w:highlight w:val="none"/>
              </w:rPr>
            </w:pPr>
          </w:p>
        </w:tc>
        <w:tc>
          <w:tcPr>
            <w:tcW w:w="3126" w:type="dxa"/>
          </w:tcPr>
          <w:p w14:paraId="32C77B13">
            <w:pPr>
              <w:pStyle w:val="23"/>
              <w:ind w:left="0" w:leftChars="0" w:firstLine="0" w:firstLineChars="0"/>
              <w:jc w:val="both"/>
              <w:rPr>
                <w:rFonts w:hint="default" w:eastAsia="宋体" w:cs="宋体"/>
                <w:color w:val="auto"/>
                <w:highlight w:val="none"/>
                <w:lang w:val="en-US" w:eastAsia="zh-CN"/>
              </w:rPr>
            </w:pPr>
            <w:r>
              <w:rPr>
                <w:rFonts w:hint="eastAsia" w:cs="宋体"/>
                <w:color w:val="auto"/>
                <w:highlight w:val="none"/>
                <w:lang w:eastAsia="zh-CN"/>
              </w:rPr>
              <w:t>工程造价咨询相关从业年限</w:t>
            </w:r>
          </w:p>
        </w:tc>
        <w:tc>
          <w:tcPr>
            <w:tcW w:w="2440" w:type="dxa"/>
          </w:tcPr>
          <w:p w14:paraId="41989DAD">
            <w:pPr>
              <w:pStyle w:val="23"/>
              <w:ind w:firstLine="480"/>
              <w:rPr>
                <w:rFonts w:cs="宋体"/>
                <w:color w:val="auto"/>
                <w:highlight w:val="none"/>
              </w:rPr>
            </w:pPr>
          </w:p>
        </w:tc>
      </w:tr>
    </w:tbl>
    <w:p w14:paraId="20BD3A6C">
      <w:pPr>
        <w:spacing w:line="360" w:lineRule="auto"/>
        <w:ind w:firstLine="422" w:firstLineChars="175"/>
        <w:outlineLvl w:val="0"/>
        <w:rPr>
          <w:rFonts w:hint="eastAsia" w:ascii="宋体" w:hAnsi="宋体" w:cs="宋体"/>
          <w:b/>
          <w:bCs/>
          <w:color w:val="auto"/>
          <w:sz w:val="24"/>
          <w:highlight w:val="none"/>
        </w:rPr>
      </w:pPr>
      <w:r>
        <w:rPr>
          <w:rFonts w:hint="eastAsia" w:ascii="宋体" w:hAnsi="宋体" w:cs="宋体"/>
          <w:b/>
          <w:bCs/>
          <w:color w:val="auto"/>
          <w:sz w:val="24"/>
          <w:highlight w:val="none"/>
        </w:rPr>
        <w:t>注：</w:t>
      </w:r>
    </w:p>
    <w:p w14:paraId="3560D53F">
      <w:pPr>
        <w:spacing w:line="360" w:lineRule="auto"/>
        <w:ind w:firstLine="420" w:firstLineChars="175"/>
        <w:outlineLvl w:val="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.供应商应对照评标办法前附表第</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条要求的要素，填写《项目负责人情况表》，并核验自有相关证明材料并填写完整，填写不完整或有明显错误的评标委员会均不予认可，可能按虚假应标予以废标并通报采购监督管理部门。</w:t>
      </w:r>
    </w:p>
    <w:p w14:paraId="465C0365">
      <w:pPr>
        <w:autoSpaceDE w:val="0"/>
        <w:autoSpaceDN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.供应商应按本表内容填写相关信息，不得随意修改表格内容，且须随表提交相应的证明文件（表中明确的自有材料）。</w:t>
      </w:r>
    </w:p>
    <w:p w14:paraId="7669E255">
      <w:pPr>
        <w:autoSpaceDE w:val="0"/>
        <w:autoSpaceDN w:val="0"/>
        <w:spacing w:line="360" w:lineRule="auto"/>
        <w:ind w:firstLine="420" w:firstLineChars="175"/>
        <w:rPr>
          <w:rFonts w:ascii="宋体" w:hAnsi="宋体" w:cs="宋体"/>
          <w:b/>
          <w:bCs/>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如发现供应商存在提供虚假材料谋取中标、成交的情形的，且征集人将把情况报政府采购监督管理部门，并按照《中华人民共和国政府采购法》第七十七条规定，中标、成交无效，并可能承担“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等法律责任。</w:t>
      </w:r>
    </w:p>
    <w:p w14:paraId="0C89C69A">
      <w:pPr>
        <w:spacing w:line="360" w:lineRule="auto"/>
        <w:ind w:firstLine="3360" w:firstLineChars="1400"/>
        <w:rPr>
          <w:rFonts w:ascii="宋体" w:hAnsi="宋体" w:cs="宋体"/>
          <w:color w:val="auto"/>
          <w:kern w:val="0"/>
          <w:sz w:val="24"/>
          <w:highlight w:val="none"/>
          <w:lang w:val="zh-CN"/>
        </w:rPr>
      </w:pPr>
    </w:p>
    <w:p w14:paraId="698A9281">
      <w:pPr>
        <w:spacing w:line="360" w:lineRule="auto"/>
        <w:ind w:firstLine="3360" w:firstLineChars="1400"/>
        <w:rPr>
          <w:rFonts w:ascii="宋体" w:hAnsi="宋体" w:cs="宋体"/>
          <w:color w:val="auto"/>
          <w:kern w:val="0"/>
          <w:sz w:val="24"/>
          <w:highlight w:val="none"/>
          <w:lang w:val="zh-CN"/>
        </w:rPr>
      </w:pPr>
    </w:p>
    <w:p w14:paraId="0E15B5FC">
      <w:pPr>
        <w:spacing w:line="360" w:lineRule="auto"/>
        <w:ind w:firstLine="8160" w:firstLineChars="34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响应供应商名称(电子签名)：</w:t>
      </w:r>
    </w:p>
    <w:p w14:paraId="6C1F8F99">
      <w:pPr>
        <w:spacing w:line="360" w:lineRule="auto"/>
        <w:ind w:firstLine="8400" w:firstLineChars="35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FE43D1F">
      <w:pPr>
        <w:rPr>
          <w:rFonts w:ascii="宋体" w:hAnsi="宋体" w:cs="宋体"/>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titlePg/>
          <w:docGrid w:linePitch="312" w:charSpace="0"/>
        </w:sectPr>
      </w:pPr>
    </w:p>
    <w:p w14:paraId="1B1A8C29">
      <w:pPr>
        <w:rPr>
          <w:rFonts w:ascii="宋体" w:hAnsi="宋体" w:cs="宋体"/>
          <w:b/>
          <w:bCs/>
          <w:color w:val="auto"/>
          <w:sz w:val="30"/>
          <w:szCs w:val="30"/>
          <w:highlight w:val="none"/>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2</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项的</w:t>
      </w:r>
      <w:r>
        <w:rPr>
          <w:rFonts w:hint="eastAsia" w:ascii="宋体" w:hAnsi="宋体" w:cs="宋体"/>
          <w:b/>
          <w:bCs/>
          <w:color w:val="auto"/>
          <w:sz w:val="24"/>
          <w:highlight w:val="none"/>
        </w:rPr>
        <w:t>项目</w:t>
      </w:r>
      <w:r>
        <w:rPr>
          <w:rFonts w:hint="eastAsia" w:ascii="宋体" w:hAnsi="宋体" w:cs="宋体"/>
          <w:b/>
          <w:bCs/>
          <w:color w:val="auto"/>
          <w:sz w:val="24"/>
          <w:highlight w:val="none"/>
          <w:lang w:eastAsia="zh-CN"/>
        </w:rPr>
        <w:t>技术</w:t>
      </w:r>
      <w:r>
        <w:rPr>
          <w:rFonts w:hint="eastAsia" w:ascii="宋体" w:hAnsi="宋体" w:cs="宋体"/>
          <w:b/>
          <w:bCs/>
          <w:color w:val="auto"/>
          <w:sz w:val="24"/>
          <w:highlight w:val="none"/>
        </w:rPr>
        <w:t>负责人情况表</w:t>
      </w:r>
    </w:p>
    <w:tbl>
      <w:tblPr>
        <w:tblStyle w:val="52"/>
        <w:tblW w:w="13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316"/>
        <w:gridCol w:w="2317"/>
        <w:gridCol w:w="1534"/>
        <w:gridCol w:w="3126"/>
        <w:gridCol w:w="2440"/>
      </w:tblGrid>
      <w:tr w14:paraId="11DD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2" w:type="dxa"/>
            <w:gridSpan w:val="6"/>
          </w:tcPr>
          <w:p w14:paraId="511CD375">
            <w:pPr>
              <w:pStyle w:val="23"/>
              <w:ind w:firstLine="480"/>
              <w:jc w:val="center"/>
              <w:rPr>
                <w:rFonts w:cs="宋体"/>
                <w:color w:val="auto"/>
                <w:highlight w:val="none"/>
              </w:rPr>
            </w:pPr>
            <w:r>
              <w:rPr>
                <w:rFonts w:hint="eastAsia" w:cs="宋体"/>
                <w:color w:val="auto"/>
                <w:highlight w:val="none"/>
              </w:rPr>
              <w:t>项目</w:t>
            </w:r>
            <w:r>
              <w:rPr>
                <w:rFonts w:hint="eastAsia" w:cs="宋体"/>
                <w:color w:val="auto"/>
                <w:highlight w:val="none"/>
                <w:lang w:eastAsia="zh-CN"/>
              </w:rPr>
              <w:t>技术负责</w:t>
            </w:r>
            <w:r>
              <w:rPr>
                <w:rFonts w:hint="eastAsia" w:cs="宋体"/>
                <w:color w:val="auto"/>
                <w:highlight w:val="none"/>
              </w:rPr>
              <w:t>人情况表</w:t>
            </w:r>
          </w:p>
        </w:tc>
      </w:tr>
      <w:tr w14:paraId="2797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Align w:val="center"/>
          </w:tcPr>
          <w:p w14:paraId="39997B9D">
            <w:pPr>
              <w:pStyle w:val="23"/>
              <w:ind w:firstLine="0" w:firstLineChars="0"/>
              <w:jc w:val="left"/>
              <w:rPr>
                <w:rFonts w:cs="宋体"/>
                <w:color w:val="auto"/>
                <w:highlight w:val="none"/>
              </w:rPr>
            </w:pPr>
            <w:r>
              <w:rPr>
                <w:rFonts w:hint="eastAsia" w:cs="宋体"/>
                <w:color w:val="auto"/>
                <w:highlight w:val="none"/>
              </w:rPr>
              <w:t>姓名</w:t>
            </w:r>
          </w:p>
        </w:tc>
        <w:tc>
          <w:tcPr>
            <w:tcW w:w="2316" w:type="dxa"/>
            <w:vAlign w:val="center"/>
          </w:tcPr>
          <w:p w14:paraId="095D938D">
            <w:pPr>
              <w:pStyle w:val="23"/>
              <w:ind w:firstLine="480"/>
              <w:jc w:val="center"/>
              <w:rPr>
                <w:rFonts w:cs="宋体"/>
                <w:color w:val="auto"/>
                <w:highlight w:val="none"/>
              </w:rPr>
            </w:pPr>
          </w:p>
        </w:tc>
        <w:tc>
          <w:tcPr>
            <w:tcW w:w="2317" w:type="dxa"/>
            <w:vAlign w:val="center"/>
          </w:tcPr>
          <w:p w14:paraId="400147DF">
            <w:pPr>
              <w:pStyle w:val="23"/>
              <w:ind w:firstLine="0" w:firstLineChars="0"/>
              <w:jc w:val="left"/>
              <w:rPr>
                <w:rFonts w:cs="宋体"/>
                <w:color w:val="auto"/>
                <w:highlight w:val="none"/>
              </w:rPr>
            </w:pPr>
            <w:r>
              <w:rPr>
                <w:rFonts w:hint="eastAsia" w:cs="宋体"/>
                <w:color w:val="auto"/>
                <w:highlight w:val="none"/>
              </w:rPr>
              <w:t>身份证号</w:t>
            </w:r>
          </w:p>
        </w:tc>
        <w:tc>
          <w:tcPr>
            <w:tcW w:w="1534" w:type="dxa"/>
            <w:vAlign w:val="center"/>
          </w:tcPr>
          <w:p w14:paraId="37D09EAD">
            <w:pPr>
              <w:pStyle w:val="23"/>
              <w:ind w:firstLine="480"/>
              <w:jc w:val="center"/>
              <w:rPr>
                <w:rFonts w:cs="宋体"/>
                <w:color w:val="auto"/>
                <w:highlight w:val="none"/>
              </w:rPr>
            </w:pPr>
          </w:p>
        </w:tc>
        <w:tc>
          <w:tcPr>
            <w:tcW w:w="3126" w:type="dxa"/>
            <w:vAlign w:val="center"/>
          </w:tcPr>
          <w:p w14:paraId="4A6B6761">
            <w:pPr>
              <w:pStyle w:val="23"/>
              <w:ind w:firstLine="0" w:firstLineChars="0"/>
              <w:jc w:val="left"/>
              <w:rPr>
                <w:rFonts w:cs="宋体"/>
                <w:color w:val="auto"/>
                <w:highlight w:val="none"/>
              </w:rPr>
            </w:pPr>
            <w:r>
              <w:rPr>
                <w:rFonts w:hint="eastAsia" w:cs="宋体"/>
                <w:color w:val="auto"/>
                <w:highlight w:val="none"/>
              </w:rPr>
              <w:t>学历及专业</w:t>
            </w:r>
          </w:p>
        </w:tc>
        <w:tc>
          <w:tcPr>
            <w:tcW w:w="2440" w:type="dxa"/>
          </w:tcPr>
          <w:p w14:paraId="78351B62">
            <w:pPr>
              <w:pStyle w:val="23"/>
              <w:ind w:firstLine="480"/>
              <w:rPr>
                <w:rFonts w:cs="宋体"/>
                <w:color w:val="auto"/>
                <w:highlight w:val="none"/>
              </w:rPr>
            </w:pPr>
          </w:p>
        </w:tc>
      </w:tr>
      <w:tr w14:paraId="7E48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Align w:val="center"/>
          </w:tcPr>
          <w:p w14:paraId="00273836">
            <w:pPr>
              <w:pStyle w:val="23"/>
              <w:ind w:firstLine="0" w:firstLineChars="0"/>
              <w:jc w:val="left"/>
              <w:rPr>
                <w:rFonts w:hint="eastAsia" w:eastAsia="宋体" w:cs="宋体"/>
                <w:color w:val="auto"/>
                <w:highlight w:val="none"/>
                <w:lang w:eastAsia="zh-CN"/>
              </w:rPr>
            </w:pPr>
            <w:r>
              <w:rPr>
                <w:rFonts w:hint="eastAsia" w:cs="宋体"/>
                <w:color w:val="auto"/>
                <w:highlight w:val="none"/>
              </w:rPr>
              <w:t>是</w:t>
            </w:r>
            <w:r>
              <w:rPr>
                <w:rFonts w:hint="eastAsia" w:cs="宋体"/>
                <w:color w:val="auto"/>
                <w:highlight w:val="none"/>
                <w:lang w:eastAsia="zh-CN"/>
              </w:rPr>
              <w:t>否</w:t>
            </w:r>
            <w:r>
              <w:rPr>
                <w:rFonts w:hint="eastAsia" w:cs="宋体"/>
                <w:color w:val="auto"/>
                <w:highlight w:val="none"/>
              </w:rPr>
              <w:t>本单位在职人员</w:t>
            </w:r>
          </w:p>
        </w:tc>
        <w:tc>
          <w:tcPr>
            <w:tcW w:w="2316" w:type="dxa"/>
            <w:vAlign w:val="center"/>
          </w:tcPr>
          <w:p w14:paraId="62B0378E">
            <w:pPr>
              <w:pStyle w:val="23"/>
              <w:ind w:firstLine="480"/>
              <w:jc w:val="center"/>
              <w:rPr>
                <w:rFonts w:cs="宋体"/>
                <w:color w:val="auto"/>
                <w:highlight w:val="none"/>
              </w:rPr>
            </w:pPr>
          </w:p>
        </w:tc>
        <w:tc>
          <w:tcPr>
            <w:tcW w:w="2317" w:type="dxa"/>
            <w:vAlign w:val="center"/>
          </w:tcPr>
          <w:p w14:paraId="27DD1E77">
            <w:pPr>
              <w:pStyle w:val="23"/>
              <w:ind w:firstLine="0" w:firstLineChars="0"/>
              <w:jc w:val="left"/>
              <w:rPr>
                <w:rFonts w:cs="宋体"/>
                <w:color w:val="auto"/>
                <w:highlight w:val="none"/>
              </w:rPr>
            </w:pPr>
            <w:r>
              <w:rPr>
                <w:rFonts w:hint="eastAsia" w:cs="宋体"/>
                <w:color w:val="auto"/>
                <w:highlight w:val="none"/>
              </w:rPr>
              <w:t>本单位入职时间</w:t>
            </w:r>
          </w:p>
        </w:tc>
        <w:tc>
          <w:tcPr>
            <w:tcW w:w="7100" w:type="dxa"/>
            <w:gridSpan w:val="3"/>
            <w:vAlign w:val="center"/>
          </w:tcPr>
          <w:p w14:paraId="555A809F">
            <w:pPr>
              <w:pStyle w:val="23"/>
              <w:ind w:firstLine="480"/>
              <w:rPr>
                <w:rFonts w:cs="宋体"/>
                <w:color w:val="auto"/>
                <w:highlight w:val="none"/>
              </w:rPr>
            </w:pPr>
          </w:p>
        </w:tc>
      </w:tr>
      <w:tr w14:paraId="3986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929" w:type="dxa"/>
            <w:vAlign w:val="center"/>
          </w:tcPr>
          <w:p w14:paraId="33596607">
            <w:pPr>
              <w:pStyle w:val="23"/>
              <w:ind w:firstLine="0" w:firstLineChars="0"/>
              <w:jc w:val="left"/>
              <w:rPr>
                <w:rFonts w:cs="宋体"/>
                <w:color w:val="auto"/>
                <w:highlight w:val="none"/>
              </w:rPr>
            </w:pPr>
            <w:r>
              <w:rPr>
                <w:rFonts w:hint="eastAsia" w:cs="宋体"/>
                <w:color w:val="auto"/>
                <w:highlight w:val="none"/>
              </w:rPr>
              <w:t>技术职称级别</w:t>
            </w:r>
          </w:p>
        </w:tc>
        <w:tc>
          <w:tcPr>
            <w:tcW w:w="2316" w:type="dxa"/>
            <w:vAlign w:val="center"/>
          </w:tcPr>
          <w:p w14:paraId="5CF22830">
            <w:pPr>
              <w:pStyle w:val="23"/>
              <w:ind w:firstLine="480"/>
              <w:jc w:val="center"/>
              <w:rPr>
                <w:rFonts w:cs="宋体"/>
                <w:color w:val="auto"/>
                <w:highlight w:val="none"/>
              </w:rPr>
            </w:pPr>
          </w:p>
        </w:tc>
        <w:tc>
          <w:tcPr>
            <w:tcW w:w="2317" w:type="dxa"/>
            <w:vAlign w:val="center"/>
          </w:tcPr>
          <w:p w14:paraId="30355018">
            <w:pPr>
              <w:pStyle w:val="23"/>
              <w:ind w:firstLine="0" w:firstLineChars="0"/>
              <w:jc w:val="left"/>
              <w:rPr>
                <w:rFonts w:cs="宋体"/>
                <w:color w:val="auto"/>
                <w:highlight w:val="none"/>
              </w:rPr>
            </w:pPr>
            <w:r>
              <w:rPr>
                <w:rFonts w:hint="eastAsia" w:cs="宋体"/>
                <w:color w:val="auto"/>
                <w:highlight w:val="none"/>
              </w:rPr>
              <w:t>技术职称专业</w:t>
            </w:r>
          </w:p>
        </w:tc>
        <w:tc>
          <w:tcPr>
            <w:tcW w:w="1534" w:type="dxa"/>
            <w:vAlign w:val="center"/>
          </w:tcPr>
          <w:p w14:paraId="34F19409">
            <w:pPr>
              <w:pStyle w:val="23"/>
              <w:ind w:firstLine="480"/>
              <w:jc w:val="center"/>
              <w:rPr>
                <w:rFonts w:cs="宋体"/>
                <w:color w:val="auto"/>
                <w:highlight w:val="none"/>
              </w:rPr>
            </w:pPr>
          </w:p>
        </w:tc>
        <w:tc>
          <w:tcPr>
            <w:tcW w:w="3126" w:type="dxa"/>
            <w:vAlign w:val="center"/>
          </w:tcPr>
          <w:p w14:paraId="4A71A390">
            <w:pPr>
              <w:pStyle w:val="23"/>
              <w:ind w:firstLine="0" w:firstLineChars="0"/>
              <w:jc w:val="left"/>
              <w:rPr>
                <w:rFonts w:cs="宋体"/>
                <w:color w:val="auto"/>
                <w:highlight w:val="none"/>
              </w:rPr>
            </w:pPr>
            <w:r>
              <w:rPr>
                <w:rFonts w:hint="eastAsia" w:cs="宋体"/>
                <w:color w:val="auto"/>
                <w:highlight w:val="none"/>
              </w:rPr>
              <w:t>技术职称证书编号</w:t>
            </w:r>
          </w:p>
        </w:tc>
        <w:tc>
          <w:tcPr>
            <w:tcW w:w="2440" w:type="dxa"/>
          </w:tcPr>
          <w:p w14:paraId="710B17CC">
            <w:pPr>
              <w:pStyle w:val="23"/>
              <w:ind w:firstLine="480"/>
              <w:rPr>
                <w:rFonts w:cs="宋体"/>
                <w:color w:val="auto"/>
                <w:highlight w:val="none"/>
              </w:rPr>
            </w:pPr>
          </w:p>
        </w:tc>
      </w:tr>
      <w:tr w14:paraId="10D2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vAlign w:val="center"/>
          </w:tcPr>
          <w:p w14:paraId="1D6470A6">
            <w:pPr>
              <w:pStyle w:val="23"/>
              <w:ind w:firstLine="0" w:firstLineChars="0"/>
              <w:jc w:val="left"/>
              <w:rPr>
                <w:rFonts w:cs="宋体"/>
                <w:color w:val="auto"/>
                <w:highlight w:val="none"/>
              </w:rPr>
            </w:pPr>
            <w:r>
              <w:rPr>
                <w:rFonts w:hint="eastAsia" w:cs="宋体"/>
                <w:color w:val="auto"/>
                <w:kern w:val="0"/>
                <w:highlight w:val="none"/>
              </w:rPr>
              <w:t>注册造价工程师级别</w:t>
            </w:r>
          </w:p>
        </w:tc>
        <w:tc>
          <w:tcPr>
            <w:tcW w:w="2316" w:type="dxa"/>
            <w:vAlign w:val="center"/>
          </w:tcPr>
          <w:p w14:paraId="7CA46735">
            <w:pPr>
              <w:pStyle w:val="23"/>
              <w:ind w:firstLine="480"/>
              <w:jc w:val="center"/>
              <w:rPr>
                <w:rFonts w:cs="宋体"/>
                <w:color w:val="auto"/>
                <w:highlight w:val="none"/>
              </w:rPr>
            </w:pPr>
          </w:p>
        </w:tc>
        <w:tc>
          <w:tcPr>
            <w:tcW w:w="2317" w:type="dxa"/>
            <w:vAlign w:val="center"/>
          </w:tcPr>
          <w:p w14:paraId="10EAED15">
            <w:pPr>
              <w:pStyle w:val="23"/>
              <w:ind w:firstLine="0" w:firstLineChars="0"/>
              <w:jc w:val="left"/>
              <w:rPr>
                <w:rFonts w:cs="宋体"/>
                <w:color w:val="auto"/>
                <w:highlight w:val="none"/>
              </w:rPr>
            </w:pPr>
            <w:r>
              <w:rPr>
                <w:rFonts w:hint="eastAsia" w:cs="宋体"/>
                <w:color w:val="auto"/>
                <w:kern w:val="0"/>
                <w:highlight w:val="none"/>
              </w:rPr>
              <w:t>注册造价工程师注册专业</w:t>
            </w:r>
          </w:p>
        </w:tc>
        <w:tc>
          <w:tcPr>
            <w:tcW w:w="1534" w:type="dxa"/>
            <w:vAlign w:val="center"/>
          </w:tcPr>
          <w:p w14:paraId="1D7E9823">
            <w:pPr>
              <w:pStyle w:val="23"/>
              <w:ind w:firstLine="480"/>
              <w:jc w:val="center"/>
              <w:rPr>
                <w:rFonts w:cs="宋体"/>
                <w:color w:val="auto"/>
                <w:highlight w:val="none"/>
              </w:rPr>
            </w:pPr>
          </w:p>
        </w:tc>
        <w:tc>
          <w:tcPr>
            <w:tcW w:w="3126" w:type="dxa"/>
            <w:vAlign w:val="center"/>
          </w:tcPr>
          <w:p w14:paraId="2D9AED58">
            <w:pPr>
              <w:pStyle w:val="23"/>
              <w:ind w:firstLine="0" w:firstLineChars="0"/>
              <w:jc w:val="left"/>
              <w:rPr>
                <w:rFonts w:cs="宋体"/>
                <w:color w:val="auto"/>
                <w:highlight w:val="none"/>
              </w:rPr>
            </w:pPr>
            <w:r>
              <w:rPr>
                <w:rFonts w:hint="eastAsia" w:cs="宋体"/>
                <w:color w:val="auto"/>
                <w:kern w:val="0"/>
                <w:highlight w:val="none"/>
              </w:rPr>
              <w:t>注册造价工程师证书编号</w:t>
            </w:r>
          </w:p>
        </w:tc>
        <w:tc>
          <w:tcPr>
            <w:tcW w:w="2440" w:type="dxa"/>
          </w:tcPr>
          <w:p w14:paraId="73C60708">
            <w:pPr>
              <w:pStyle w:val="23"/>
              <w:ind w:firstLine="480"/>
              <w:rPr>
                <w:rFonts w:cs="宋体"/>
                <w:color w:val="auto"/>
                <w:highlight w:val="none"/>
              </w:rPr>
            </w:pPr>
          </w:p>
        </w:tc>
      </w:tr>
      <w:tr w14:paraId="7770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03F97573">
            <w:pPr>
              <w:pStyle w:val="23"/>
              <w:ind w:firstLine="0" w:firstLineChars="0"/>
              <w:rPr>
                <w:rFonts w:cs="宋体"/>
                <w:color w:val="auto"/>
                <w:highlight w:val="none"/>
              </w:rPr>
            </w:pPr>
            <w:r>
              <w:rPr>
                <w:rFonts w:hint="eastAsia" w:cs="宋体"/>
                <w:color w:val="auto"/>
                <w:kern w:val="0"/>
                <w:highlight w:val="none"/>
              </w:rPr>
              <w:t>造价资格证书最早注册时间</w:t>
            </w:r>
          </w:p>
        </w:tc>
        <w:tc>
          <w:tcPr>
            <w:tcW w:w="2316" w:type="dxa"/>
          </w:tcPr>
          <w:p w14:paraId="16122DA0">
            <w:pPr>
              <w:pStyle w:val="23"/>
              <w:ind w:firstLine="480"/>
              <w:rPr>
                <w:rFonts w:cs="宋体"/>
                <w:color w:val="auto"/>
                <w:highlight w:val="none"/>
              </w:rPr>
            </w:pPr>
          </w:p>
        </w:tc>
        <w:tc>
          <w:tcPr>
            <w:tcW w:w="2317" w:type="dxa"/>
          </w:tcPr>
          <w:p w14:paraId="2CE719F8">
            <w:pPr>
              <w:pStyle w:val="23"/>
              <w:ind w:firstLine="0" w:firstLineChars="0"/>
              <w:rPr>
                <w:rFonts w:cs="宋体"/>
                <w:color w:val="auto"/>
                <w:highlight w:val="none"/>
              </w:rPr>
            </w:pPr>
            <w:r>
              <w:rPr>
                <w:rFonts w:hint="eastAsia" w:cs="宋体"/>
                <w:color w:val="auto"/>
                <w:kern w:val="0"/>
                <w:highlight w:val="none"/>
              </w:rPr>
              <w:t>注册造价工程师证书颁发部门</w:t>
            </w:r>
          </w:p>
        </w:tc>
        <w:tc>
          <w:tcPr>
            <w:tcW w:w="1534" w:type="dxa"/>
          </w:tcPr>
          <w:p w14:paraId="20691DF5">
            <w:pPr>
              <w:pStyle w:val="23"/>
              <w:ind w:firstLine="480"/>
              <w:rPr>
                <w:rFonts w:cs="宋体"/>
                <w:color w:val="auto"/>
                <w:highlight w:val="none"/>
              </w:rPr>
            </w:pPr>
          </w:p>
        </w:tc>
        <w:tc>
          <w:tcPr>
            <w:tcW w:w="3126" w:type="dxa"/>
          </w:tcPr>
          <w:p w14:paraId="7997F515">
            <w:pPr>
              <w:pStyle w:val="23"/>
              <w:ind w:firstLine="0" w:firstLineChars="0"/>
              <w:rPr>
                <w:rFonts w:cs="宋体"/>
                <w:color w:val="auto"/>
                <w:highlight w:val="none"/>
              </w:rPr>
            </w:pPr>
            <w:r>
              <w:rPr>
                <w:rFonts w:hint="eastAsia" w:cs="宋体"/>
                <w:color w:val="auto"/>
                <w:highlight w:val="none"/>
                <w:lang w:eastAsia="zh-CN"/>
              </w:rPr>
              <w:t>工程造价咨询相关从业年限</w:t>
            </w:r>
          </w:p>
        </w:tc>
        <w:tc>
          <w:tcPr>
            <w:tcW w:w="2440" w:type="dxa"/>
          </w:tcPr>
          <w:p w14:paraId="7AC763AB">
            <w:pPr>
              <w:pStyle w:val="23"/>
              <w:ind w:firstLine="480"/>
              <w:rPr>
                <w:rFonts w:cs="宋体"/>
                <w:color w:val="auto"/>
                <w:highlight w:val="none"/>
              </w:rPr>
            </w:pPr>
          </w:p>
        </w:tc>
      </w:tr>
    </w:tbl>
    <w:p w14:paraId="4F50ED2D">
      <w:pPr>
        <w:spacing w:line="360" w:lineRule="auto"/>
        <w:ind w:firstLine="422" w:firstLineChars="175"/>
        <w:outlineLvl w:val="0"/>
        <w:rPr>
          <w:rFonts w:ascii="宋体" w:hAnsi="宋体" w:cs="宋体"/>
          <w:color w:val="auto"/>
          <w:sz w:val="24"/>
          <w:highlight w:val="none"/>
        </w:rPr>
      </w:pPr>
      <w:r>
        <w:rPr>
          <w:rFonts w:hint="eastAsia" w:ascii="宋体" w:hAnsi="宋体" w:cs="宋体"/>
          <w:b/>
          <w:bCs/>
          <w:color w:val="auto"/>
          <w:sz w:val="24"/>
          <w:highlight w:val="none"/>
        </w:rPr>
        <w:t>注：</w:t>
      </w:r>
    </w:p>
    <w:p w14:paraId="5D421CA0">
      <w:pPr>
        <w:spacing w:line="360" w:lineRule="auto"/>
        <w:ind w:firstLine="420" w:firstLineChars="175"/>
        <w:outlineLvl w:val="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.供应商应对照评标办法前附表第</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条要求的要素，填写《项目负责人情况表》，并核验自有相关证明材料并填写完整，填写不完整或有明显错误的评标委员会均不予认可，可能按虚假应标予以废标并通报采购监督管理部门。</w:t>
      </w:r>
    </w:p>
    <w:p w14:paraId="754394EC">
      <w:pPr>
        <w:autoSpaceDE w:val="0"/>
        <w:autoSpaceDN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.供应商应按本表内容填写相关信息，不得随意修改表格内容，且须随表提交相应的证明文件（表中明确的自有材料）。</w:t>
      </w:r>
    </w:p>
    <w:p w14:paraId="7F7B197B">
      <w:pPr>
        <w:autoSpaceDE w:val="0"/>
        <w:autoSpaceDN w:val="0"/>
        <w:spacing w:line="360" w:lineRule="auto"/>
        <w:ind w:firstLine="420" w:firstLineChars="175"/>
        <w:rPr>
          <w:rFonts w:ascii="宋体" w:hAnsi="宋体" w:cs="宋体"/>
          <w:b/>
          <w:bCs/>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如发现供应商存在提供虚假材料谋取中标、成交的情形的，且征集人将把情况报政府采购监督管理部门，并按照《中华人民共和国政府采购法》第七十七条规定，中标、成交无效，并可能承担“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等法律责任。</w:t>
      </w:r>
    </w:p>
    <w:p w14:paraId="08EA2087">
      <w:pPr>
        <w:spacing w:line="360" w:lineRule="auto"/>
        <w:ind w:firstLine="3360" w:firstLineChars="1400"/>
        <w:rPr>
          <w:rFonts w:ascii="宋体" w:hAnsi="宋体" w:cs="宋体"/>
          <w:color w:val="auto"/>
          <w:kern w:val="0"/>
          <w:sz w:val="24"/>
          <w:highlight w:val="none"/>
          <w:lang w:val="zh-CN"/>
        </w:rPr>
      </w:pPr>
    </w:p>
    <w:p w14:paraId="32C8E3E8">
      <w:pPr>
        <w:spacing w:line="360" w:lineRule="auto"/>
        <w:ind w:firstLine="3360" w:firstLineChars="1400"/>
        <w:rPr>
          <w:rFonts w:ascii="宋体" w:hAnsi="宋体" w:cs="宋体"/>
          <w:color w:val="auto"/>
          <w:kern w:val="0"/>
          <w:sz w:val="24"/>
          <w:highlight w:val="none"/>
          <w:lang w:val="zh-CN"/>
        </w:rPr>
      </w:pPr>
    </w:p>
    <w:p w14:paraId="4696087C">
      <w:pPr>
        <w:spacing w:line="360" w:lineRule="auto"/>
        <w:ind w:firstLine="8160" w:firstLineChars="34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响应供应商名称(电子签名)：</w:t>
      </w:r>
    </w:p>
    <w:p w14:paraId="29784146">
      <w:pPr>
        <w:spacing w:line="360" w:lineRule="auto"/>
        <w:ind w:firstLine="8400" w:firstLineChars="35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DD7C685">
      <w:pPr>
        <w:rPr>
          <w:rFonts w:ascii="宋体" w:hAnsi="宋体" w:cs="宋体"/>
          <w:color w:val="auto"/>
          <w:highlight w:val="none"/>
        </w:rPr>
        <w:sectPr>
          <w:headerReference r:id="rId29" w:type="first"/>
          <w:pgSz w:w="16838" w:h="11906" w:orient="landscape"/>
          <w:pgMar w:top="1803" w:right="1440" w:bottom="1803" w:left="1440" w:header="851" w:footer="992" w:gutter="0"/>
          <w:pgBorders>
            <w:top w:val="none" w:sz="0" w:space="0"/>
            <w:left w:val="none" w:sz="0" w:space="0"/>
            <w:bottom w:val="none" w:sz="0" w:space="0"/>
            <w:right w:val="none" w:sz="0" w:space="0"/>
          </w:pgBorders>
          <w:cols w:space="0" w:num="1"/>
          <w:titlePg/>
          <w:docGrid w:linePitch="312" w:charSpace="0"/>
        </w:sectPr>
      </w:pPr>
    </w:p>
    <w:p w14:paraId="3F22DDFD">
      <w:pPr>
        <w:rPr>
          <w:rFonts w:ascii="宋体" w:hAnsi="宋体" w:cs="宋体"/>
          <w:b/>
          <w:bCs/>
          <w:color w:val="auto"/>
          <w:sz w:val="24"/>
          <w:highlight w:val="none"/>
        </w:rPr>
      </w:pPr>
      <w:r>
        <w:rPr>
          <w:rFonts w:hint="eastAsia" w:ascii="宋体" w:hAnsi="宋体" w:cs="宋体"/>
          <w:b/>
          <w:bCs/>
          <w:color w:val="auto"/>
          <w:sz w:val="24"/>
          <w:highlight w:val="none"/>
          <w:lang w:val="en-US" w:eastAsia="zh-CN"/>
        </w:rPr>
        <w:t>3</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3</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项的</w:t>
      </w:r>
      <w:r>
        <w:rPr>
          <w:rFonts w:hint="eastAsia" w:ascii="宋体" w:hAnsi="宋体" w:cs="宋体"/>
          <w:b/>
          <w:bCs/>
          <w:color w:val="auto"/>
          <w:sz w:val="24"/>
          <w:highlight w:val="none"/>
        </w:rPr>
        <w:t>项目团队成员情况表（项目负责人和技术负责人都列入本表）</w:t>
      </w:r>
    </w:p>
    <w:tbl>
      <w:tblPr>
        <w:tblStyle w:val="51"/>
        <w:tblpPr w:leftFromText="180" w:rightFromText="180" w:vertAnchor="text" w:horzAnchor="page" w:tblpX="1539" w:tblpY="359"/>
        <w:tblOverlap w:val="never"/>
        <w:tblW w:w="4997" w:type="pct"/>
        <w:tblInd w:w="0" w:type="dxa"/>
        <w:tblLayout w:type="autofit"/>
        <w:tblCellMar>
          <w:top w:w="0" w:type="dxa"/>
          <w:left w:w="108" w:type="dxa"/>
          <w:bottom w:w="0" w:type="dxa"/>
          <w:right w:w="108" w:type="dxa"/>
        </w:tblCellMar>
      </w:tblPr>
      <w:tblGrid>
        <w:gridCol w:w="700"/>
        <w:gridCol w:w="768"/>
        <w:gridCol w:w="928"/>
        <w:gridCol w:w="2014"/>
        <w:gridCol w:w="1129"/>
        <w:gridCol w:w="1347"/>
        <w:gridCol w:w="1129"/>
        <w:gridCol w:w="1186"/>
        <w:gridCol w:w="1103"/>
        <w:gridCol w:w="1620"/>
        <w:gridCol w:w="1342"/>
        <w:gridCol w:w="899"/>
      </w:tblGrid>
      <w:tr w14:paraId="27C21188">
        <w:tblPrEx>
          <w:tblCellMar>
            <w:top w:w="0" w:type="dxa"/>
            <w:left w:w="108" w:type="dxa"/>
            <w:bottom w:w="0" w:type="dxa"/>
            <w:right w:w="108" w:type="dxa"/>
          </w:tblCellMar>
        </w:tblPrEx>
        <w:tc>
          <w:tcPr>
            <w:tcW w:w="247" w:type="pct"/>
            <w:tcBorders>
              <w:top w:val="single" w:color="auto" w:sz="6" w:space="0"/>
              <w:left w:val="single" w:color="auto" w:sz="6" w:space="0"/>
              <w:bottom w:val="single" w:color="auto" w:sz="6" w:space="0"/>
              <w:right w:val="single" w:color="auto" w:sz="6" w:space="0"/>
            </w:tcBorders>
            <w:vAlign w:val="center"/>
          </w:tcPr>
          <w:p w14:paraId="6EBCC836">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271" w:type="pct"/>
            <w:tcBorders>
              <w:top w:val="single" w:color="auto" w:sz="6" w:space="0"/>
              <w:left w:val="single" w:color="auto" w:sz="6" w:space="0"/>
              <w:bottom w:val="single" w:color="auto" w:sz="6" w:space="0"/>
              <w:right w:val="single" w:color="auto" w:sz="6" w:space="0"/>
            </w:tcBorders>
            <w:vAlign w:val="center"/>
          </w:tcPr>
          <w:p w14:paraId="448B0E91">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姓名</w:t>
            </w:r>
          </w:p>
        </w:tc>
        <w:tc>
          <w:tcPr>
            <w:tcW w:w="327" w:type="pct"/>
            <w:tcBorders>
              <w:top w:val="single" w:color="auto" w:sz="6" w:space="0"/>
              <w:left w:val="single" w:color="auto" w:sz="6" w:space="0"/>
              <w:bottom w:val="single" w:color="auto" w:sz="6" w:space="0"/>
              <w:right w:val="single" w:color="auto" w:sz="6" w:space="0"/>
            </w:tcBorders>
            <w:vAlign w:val="center"/>
          </w:tcPr>
          <w:p w14:paraId="5811ED8B">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身份证号</w:t>
            </w:r>
          </w:p>
        </w:tc>
        <w:tc>
          <w:tcPr>
            <w:tcW w:w="710" w:type="pct"/>
            <w:tcBorders>
              <w:top w:val="single" w:color="auto" w:sz="6" w:space="0"/>
              <w:left w:val="single" w:color="auto" w:sz="6" w:space="0"/>
              <w:bottom w:val="single" w:color="auto" w:sz="6" w:space="0"/>
              <w:right w:val="single" w:color="auto" w:sz="6" w:space="0"/>
            </w:tcBorders>
            <w:vAlign w:val="center"/>
          </w:tcPr>
          <w:p w14:paraId="3CA71FCE">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是否为本单位在职人员或实际持证在岗的退休返聘人员</w:t>
            </w:r>
          </w:p>
        </w:tc>
        <w:tc>
          <w:tcPr>
            <w:tcW w:w="398" w:type="pct"/>
            <w:tcBorders>
              <w:top w:val="single" w:color="auto" w:sz="6" w:space="0"/>
              <w:left w:val="single" w:color="auto" w:sz="6" w:space="0"/>
              <w:bottom w:val="single" w:color="auto" w:sz="6" w:space="0"/>
              <w:right w:val="single" w:color="auto" w:sz="6" w:space="0"/>
            </w:tcBorders>
            <w:vAlign w:val="center"/>
          </w:tcPr>
          <w:p w14:paraId="1D84D425">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技术职称证书号</w:t>
            </w:r>
          </w:p>
        </w:tc>
        <w:tc>
          <w:tcPr>
            <w:tcW w:w="475" w:type="pct"/>
            <w:tcBorders>
              <w:top w:val="single" w:color="auto" w:sz="6" w:space="0"/>
              <w:left w:val="single" w:color="auto" w:sz="6" w:space="0"/>
              <w:bottom w:val="single" w:color="auto" w:sz="6" w:space="0"/>
              <w:right w:val="single" w:color="auto" w:sz="6" w:space="0"/>
            </w:tcBorders>
            <w:vAlign w:val="center"/>
          </w:tcPr>
          <w:p w14:paraId="13B32EE8">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技术职称专业和级别</w:t>
            </w:r>
          </w:p>
        </w:tc>
        <w:tc>
          <w:tcPr>
            <w:tcW w:w="398" w:type="pct"/>
            <w:tcBorders>
              <w:top w:val="single" w:color="auto" w:sz="6" w:space="0"/>
              <w:left w:val="single" w:color="auto" w:sz="6" w:space="0"/>
              <w:bottom w:val="single" w:color="auto" w:sz="6" w:space="0"/>
              <w:right w:val="single" w:color="auto" w:sz="6" w:space="0"/>
            </w:tcBorders>
            <w:vAlign w:val="center"/>
          </w:tcPr>
          <w:p w14:paraId="25D3836C">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造价师资格证书号</w:t>
            </w:r>
          </w:p>
        </w:tc>
        <w:tc>
          <w:tcPr>
            <w:tcW w:w="418" w:type="pct"/>
            <w:tcBorders>
              <w:top w:val="single" w:color="auto" w:sz="6" w:space="0"/>
              <w:left w:val="single" w:color="auto" w:sz="6" w:space="0"/>
              <w:bottom w:val="single" w:color="auto" w:sz="6" w:space="0"/>
              <w:right w:val="single" w:color="auto" w:sz="6" w:space="0"/>
            </w:tcBorders>
            <w:vAlign w:val="center"/>
          </w:tcPr>
          <w:p w14:paraId="63D87FAB">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造价师资格级别</w:t>
            </w:r>
          </w:p>
        </w:tc>
        <w:tc>
          <w:tcPr>
            <w:tcW w:w="389" w:type="pct"/>
            <w:tcBorders>
              <w:top w:val="single" w:color="auto" w:sz="6" w:space="0"/>
              <w:left w:val="single" w:color="auto" w:sz="6" w:space="0"/>
              <w:bottom w:val="single" w:color="auto" w:sz="6" w:space="0"/>
              <w:right w:val="single" w:color="auto" w:sz="6" w:space="0"/>
            </w:tcBorders>
            <w:vAlign w:val="center"/>
          </w:tcPr>
          <w:p w14:paraId="7C715025">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造价师资格专业</w:t>
            </w:r>
          </w:p>
        </w:tc>
        <w:tc>
          <w:tcPr>
            <w:tcW w:w="571" w:type="pct"/>
            <w:tcBorders>
              <w:top w:val="single" w:color="auto" w:sz="6" w:space="0"/>
              <w:left w:val="single" w:color="auto" w:sz="6" w:space="0"/>
              <w:bottom w:val="single" w:color="auto" w:sz="6" w:space="0"/>
              <w:right w:val="single" w:color="auto" w:sz="4" w:space="0"/>
            </w:tcBorders>
            <w:vAlign w:val="center"/>
          </w:tcPr>
          <w:p w14:paraId="036B0F03">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供应商填写本表内容是否已按评标办法前附表第</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条要求全要素核验自有材料</w:t>
            </w:r>
          </w:p>
        </w:tc>
        <w:tc>
          <w:tcPr>
            <w:tcW w:w="473" w:type="pct"/>
            <w:tcBorders>
              <w:top w:val="single" w:color="auto" w:sz="4" w:space="0"/>
              <w:left w:val="single" w:color="auto" w:sz="4" w:space="0"/>
              <w:bottom w:val="single" w:color="auto" w:sz="4" w:space="0"/>
              <w:right w:val="single" w:color="auto" w:sz="4" w:space="0"/>
            </w:tcBorders>
            <w:vAlign w:val="center"/>
          </w:tcPr>
          <w:p w14:paraId="6B5F4E70">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自有证明材料名称（如证书、合同、验收单等）</w:t>
            </w:r>
          </w:p>
        </w:tc>
        <w:tc>
          <w:tcPr>
            <w:tcW w:w="317" w:type="pct"/>
            <w:tcBorders>
              <w:top w:val="single" w:color="auto" w:sz="4" w:space="0"/>
              <w:left w:val="single" w:color="auto" w:sz="4" w:space="0"/>
              <w:bottom w:val="single" w:color="auto" w:sz="4" w:space="0"/>
              <w:right w:val="single" w:color="auto" w:sz="4" w:space="0"/>
            </w:tcBorders>
            <w:vAlign w:val="center"/>
          </w:tcPr>
          <w:p w14:paraId="51745855">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备注（如有）</w:t>
            </w:r>
          </w:p>
        </w:tc>
      </w:tr>
      <w:tr w14:paraId="1C8B7848">
        <w:tblPrEx>
          <w:tblCellMar>
            <w:top w:w="0" w:type="dxa"/>
            <w:left w:w="108" w:type="dxa"/>
            <w:bottom w:w="0" w:type="dxa"/>
            <w:right w:w="108" w:type="dxa"/>
          </w:tblCellMar>
        </w:tblPrEx>
        <w:trPr>
          <w:trHeight w:val="473" w:hRule="atLeast"/>
        </w:trPr>
        <w:tc>
          <w:tcPr>
            <w:tcW w:w="247" w:type="pct"/>
            <w:tcBorders>
              <w:top w:val="single" w:color="auto" w:sz="6" w:space="0"/>
              <w:left w:val="single" w:color="auto" w:sz="6" w:space="0"/>
              <w:bottom w:val="single" w:color="auto" w:sz="6" w:space="0"/>
              <w:right w:val="single" w:color="auto" w:sz="6" w:space="0"/>
            </w:tcBorders>
          </w:tcPr>
          <w:p w14:paraId="37EDD197">
            <w:pPr>
              <w:autoSpaceDE w:val="0"/>
              <w:autoSpaceDN w:val="0"/>
              <w:jc w:val="center"/>
              <w:rPr>
                <w:rFonts w:ascii="宋体" w:hAnsi="宋体" w:cs="宋体"/>
                <w:color w:val="auto"/>
                <w:sz w:val="24"/>
                <w:highlight w:val="none"/>
              </w:rPr>
            </w:pPr>
          </w:p>
        </w:tc>
        <w:tc>
          <w:tcPr>
            <w:tcW w:w="271" w:type="pct"/>
            <w:tcBorders>
              <w:top w:val="single" w:color="auto" w:sz="6" w:space="0"/>
              <w:left w:val="single" w:color="auto" w:sz="6" w:space="0"/>
              <w:bottom w:val="single" w:color="auto" w:sz="6" w:space="0"/>
              <w:right w:val="single" w:color="auto" w:sz="6" w:space="0"/>
            </w:tcBorders>
          </w:tcPr>
          <w:p w14:paraId="2BBBAF1D">
            <w:pPr>
              <w:autoSpaceDE w:val="0"/>
              <w:autoSpaceDN w:val="0"/>
              <w:rPr>
                <w:rFonts w:ascii="宋体" w:hAnsi="宋体" w:cs="宋体"/>
                <w:color w:val="auto"/>
                <w:sz w:val="24"/>
                <w:highlight w:val="none"/>
              </w:rPr>
            </w:pPr>
          </w:p>
        </w:tc>
        <w:tc>
          <w:tcPr>
            <w:tcW w:w="327" w:type="pct"/>
            <w:tcBorders>
              <w:top w:val="single" w:color="auto" w:sz="6" w:space="0"/>
              <w:left w:val="single" w:color="auto" w:sz="6" w:space="0"/>
              <w:bottom w:val="single" w:color="auto" w:sz="6" w:space="0"/>
              <w:right w:val="single" w:color="auto" w:sz="6" w:space="0"/>
            </w:tcBorders>
          </w:tcPr>
          <w:p w14:paraId="72BCC1C1">
            <w:pPr>
              <w:autoSpaceDE w:val="0"/>
              <w:autoSpaceDN w:val="0"/>
              <w:rPr>
                <w:rFonts w:ascii="宋体" w:hAnsi="宋体" w:cs="宋体"/>
                <w:color w:val="auto"/>
                <w:sz w:val="24"/>
                <w:highlight w:val="none"/>
              </w:rPr>
            </w:pPr>
          </w:p>
        </w:tc>
        <w:tc>
          <w:tcPr>
            <w:tcW w:w="710" w:type="pct"/>
            <w:tcBorders>
              <w:top w:val="single" w:color="auto" w:sz="6" w:space="0"/>
              <w:left w:val="single" w:color="auto" w:sz="6" w:space="0"/>
              <w:bottom w:val="single" w:color="auto" w:sz="6" w:space="0"/>
              <w:right w:val="single" w:color="auto" w:sz="6" w:space="0"/>
            </w:tcBorders>
          </w:tcPr>
          <w:p w14:paraId="2402562C">
            <w:pPr>
              <w:autoSpaceDE w:val="0"/>
              <w:autoSpaceDN w:val="0"/>
              <w:rPr>
                <w:rFonts w:ascii="宋体" w:hAnsi="宋体" w:cs="宋体"/>
                <w:color w:val="auto"/>
                <w:sz w:val="24"/>
                <w:highlight w:val="none"/>
              </w:rPr>
            </w:pPr>
          </w:p>
        </w:tc>
        <w:tc>
          <w:tcPr>
            <w:tcW w:w="398" w:type="pct"/>
            <w:tcBorders>
              <w:top w:val="single" w:color="auto" w:sz="6" w:space="0"/>
              <w:left w:val="single" w:color="auto" w:sz="6" w:space="0"/>
              <w:bottom w:val="single" w:color="auto" w:sz="6" w:space="0"/>
              <w:right w:val="single" w:color="auto" w:sz="6" w:space="0"/>
            </w:tcBorders>
          </w:tcPr>
          <w:p w14:paraId="1A1C745E">
            <w:pPr>
              <w:autoSpaceDE w:val="0"/>
              <w:autoSpaceDN w:val="0"/>
              <w:rPr>
                <w:rFonts w:ascii="宋体" w:hAnsi="宋体" w:cs="宋体"/>
                <w:color w:val="auto"/>
                <w:sz w:val="24"/>
                <w:highlight w:val="none"/>
              </w:rPr>
            </w:pPr>
          </w:p>
        </w:tc>
        <w:tc>
          <w:tcPr>
            <w:tcW w:w="475" w:type="pct"/>
            <w:tcBorders>
              <w:top w:val="single" w:color="auto" w:sz="6" w:space="0"/>
              <w:left w:val="single" w:color="auto" w:sz="6" w:space="0"/>
              <w:bottom w:val="single" w:color="auto" w:sz="6" w:space="0"/>
              <w:right w:val="single" w:color="auto" w:sz="6" w:space="0"/>
            </w:tcBorders>
          </w:tcPr>
          <w:p w14:paraId="40E0DE01">
            <w:pPr>
              <w:autoSpaceDE w:val="0"/>
              <w:autoSpaceDN w:val="0"/>
              <w:rPr>
                <w:rFonts w:ascii="宋体" w:hAnsi="宋体" w:cs="宋体"/>
                <w:color w:val="auto"/>
                <w:sz w:val="24"/>
                <w:highlight w:val="none"/>
              </w:rPr>
            </w:pPr>
          </w:p>
        </w:tc>
        <w:tc>
          <w:tcPr>
            <w:tcW w:w="398" w:type="pct"/>
            <w:tcBorders>
              <w:top w:val="single" w:color="auto" w:sz="6" w:space="0"/>
              <w:left w:val="single" w:color="auto" w:sz="6" w:space="0"/>
              <w:bottom w:val="single" w:color="auto" w:sz="6" w:space="0"/>
              <w:right w:val="single" w:color="auto" w:sz="6" w:space="0"/>
            </w:tcBorders>
          </w:tcPr>
          <w:p w14:paraId="3D80A048">
            <w:pPr>
              <w:autoSpaceDE w:val="0"/>
              <w:autoSpaceDN w:val="0"/>
              <w:rPr>
                <w:rFonts w:ascii="宋体" w:hAnsi="宋体" w:cs="宋体"/>
                <w:color w:val="auto"/>
                <w:sz w:val="24"/>
                <w:highlight w:val="none"/>
              </w:rPr>
            </w:pPr>
          </w:p>
        </w:tc>
        <w:tc>
          <w:tcPr>
            <w:tcW w:w="418" w:type="pct"/>
            <w:tcBorders>
              <w:top w:val="single" w:color="auto" w:sz="6" w:space="0"/>
              <w:left w:val="single" w:color="auto" w:sz="6" w:space="0"/>
              <w:bottom w:val="single" w:color="auto" w:sz="6" w:space="0"/>
              <w:right w:val="single" w:color="auto" w:sz="6" w:space="0"/>
            </w:tcBorders>
          </w:tcPr>
          <w:p w14:paraId="043DB74F">
            <w:pPr>
              <w:autoSpaceDE w:val="0"/>
              <w:autoSpaceDN w:val="0"/>
              <w:rPr>
                <w:rFonts w:ascii="宋体" w:hAnsi="宋体" w:cs="宋体"/>
                <w:color w:val="auto"/>
                <w:sz w:val="24"/>
                <w:highlight w:val="none"/>
              </w:rPr>
            </w:pPr>
          </w:p>
        </w:tc>
        <w:tc>
          <w:tcPr>
            <w:tcW w:w="389" w:type="pct"/>
            <w:tcBorders>
              <w:top w:val="single" w:color="auto" w:sz="6" w:space="0"/>
              <w:left w:val="single" w:color="auto" w:sz="6" w:space="0"/>
              <w:bottom w:val="single" w:color="auto" w:sz="6" w:space="0"/>
              <w:right w:val="single" w:color="auto" w:sz="6" w:space="0"/>
            </w:tcBorders>
          </w:tcPr>
          <w:p w14:paraId="7E8E0D3C">
            <w:pPr>
              <w:autoSpaceDE w:val="0"/>
              <w:autoSpaceDN w:val="0"/>
              <w:rPr>
                <w:rFonts w:ascii="宋体" w:hAnsi="宋体" w:cs="宋体"/>
                <w:color w:val="auto"/>
                <w:sz w:val="24"/>
                <w:highlight w:val="none"/>
              </w:rPr>
            </w:pPr>
          </w:p>
        </w:tc>
        <w:tc>
          <w:tcPr>
            <w:tcW w:w="571" w:type="pct"/>
            <w:tcBorders>
              <w:top w:val="single" w:color="auto" w:sz="6" w:space="0"/>
              <w:left w:val="single" w:color="auto" w:sz="6" w:space="0"/>
              <w:bottom w:val="single" w:color="auto" w:sz="6" w:space="0"/>
              <w:right w:val="single" w:color="auto" w:sz="4" w:space="0"/>
            </w:tcBorders>
          </w:tcPr>
          <w:p w14:paraId="722C93F3">
            <w:pPr>
              <w:autoSpaceDE w:val="0"/>
              <w:autoSpaceDN w:val="0"/>
              <w:rPr>
                <w:rFonts w:ascii="宋体" w:hAnsi="宋体" w:cs="宋体"/>
                <w:color w:val="auto"/>
                <w:sz w:val="24"/>
                <w:highlight w:val="none"/>
              </w:rPr>
            </w:pPr>
          </w:p>
        </w:tc>
        <w:tc>
          <w:tcPr>
            <w:tcW w:w="473" w:type="pct"/>
            <w:tcBorders>
              <w:top w:val="single" w:color="auto" w:sz="4" w:space="0"/>
              <w:left w:val="single" w:color="auto" w:sz="4" w:space="0"/>
              <w:bottom w:val="single" w:color="auto" w:sz="4" w:space="0"/>
              <w:right w:val="single" w:color="auto" w:sz="4" w:space="0"/>
            </w:tcBorders>
            <w:vAlign w:val="center"/>
          </w:tcPr>
          <w:p w14:paraId="79442842">
            <w:pPr>
              <w:autoSpaceDE w:val="0"/>
              <w:autoSpaceDN w:val="0"/>
              <w:rPr>
                <w:rFonts w:ascii="宋体" w:hAnsi="宋体" w:cs="宋体"/>
                <w:color w:val="auto"/>
                <w:sz w:val="24"/>
                <w:highlight w:val="none"/>
              </w:rPr>
            </w:pPr>
          </w:p>
        </w:tc>
        <w:tc>
          <w:tcPr>
            <w:tcW w:w="317" w:type="pct"/>
            <w:tcBorders>
              <w:top w:val="single" w:color="auto" w:sz="4" w:space="0"/>
              <w:left w:val="single" w:color="auto" w:sz="4" w:space="0"/>
              <w:bottom w:val="single" w:color="auto" w:sz="4" w:space="0"/>
              <w:right w:val="single" w:color="auto" w:sz="4" w:space="0"/>
            </w:tcBorders>
            <w:vAlign w:val="center"/>
          </w:tcPr>
          <w:p w14:paraId="2F5CBC87">
            <w:pPr>
              <w:autoSpaceDE w:val="0"/>
              <w:autoSpaceDN w:val="0"/>
              <w:rPr>
                <w:rFonts w:ascii="宋体" w:hAnsi="宋体" w:cs="宋体"/>
                <w:color w:val="auto"/>
                <w:sz w:val="24"/>
                <w:highlight w:val="none"/>
              </w:rPr>
            </w:pPr>
          </w:p>
        </w:tc>
      </w:tr>
      <w:tr w14:paraId="424D982A">
        <w:tblPrEx>
          <w:tblCellMar>
            <w:top w:w="0" w:type="dxa"/>
            <w:left w:w="108" w:type="dxa"/>
            <w:bottom w:w="0" w:type="dxa"/>
            <w:right w:w="108" w:type="dxa"/>
          </w:tblCellMar>
        </w:tblPrEx>
        <w:trPr>
          <w:trHeight w:val="473" w:hRule="atLeast"/>
        </w:trPr>
        <w:tc>
          <w:tcPr>
            <w:tcW w:w="247" w:type="pct"/>
            <w:tcBorders>
              <w:top w:val="single" w:color="auto" w:sz="6" w:space="0"/>
              <w:left w:val="single" w:color="auto" w:sz="6" w:space="0"/>
              <w:bottom w:val="single" w:color="auto" w:sz="6" w:space="0"/>
              <w:right w:val="single" w:color="auto" w:sz="6" w:space="0"/>
            </w:tcBorders>
          </w:tcPr>
          <w:p w14:paraId="46DE76A3">
            <w:pPr>
              <w:autoSpaceDE w:val="0"/>
              <w:autoSpaceDN w:val="0"/>
              <w:jc w:val="center"/>
              <w:rPr>
                <w:rFonts w:ascii="宋体" w:hAnsi="宋体" w:cs="宋体"/>
                <w:color w:val="auto"/>
                <w:sz w:val="24"/>
                <w:highlight w:val="none"/>
              </w:rPr>
            </w:pPr>
          </w:p>
        </w:tc>
        <w:tc>
          <w:tcPr>
            <w:tcW w:w="271" w:type="pct"/>
            <w:tcBorders>
              <w:top w:val="single" w:color="auto" w:sz="6" w:space="0"/>
              <w:left w:val="single" w:color="auto" w:sz="6" w:space="0"/>
              <w:bottom w:val="single" w:color="auto" w:sz="6" w:space="0"/>
              <w:right w:val="single" w:color="auto" w:sz="6" w:space="0"/>
            </w:tcBorders>
          </w:tcPr>
          <w:p w14:paraId="27D17CFC">
            <w:pPr>
              <w:autoSpaceDE w:val="0"/>
              <w:autoSpaceDN w:val="0"/>
              <w:rPr>
                <w:rFonts w:ascii="宋体" w:hAnsi="宋体" w:cs="宋体"/>
                <w:color w:val="auto"/>
                <w:sz w:val="24"/>
                <w:highlight w:val="none"/>
              </w:rPr>
            </w:pPr>
          </w:p>
        </w:tc>
        <w:tc>
          <w:tcPr>
            <w:tcW w:w="327" w:type="pct"/>
            <w:tcBorders>
              <w:top w:val="single" w:color="auto" w:sz="6" w:space="0"/>
              <w:left w:val="single" w:color="auto" w:sz="6" w:space="0"/>
              <w:bottom w:val="single" w:color="auto" w:sz="6" w:space="0"/>
              <w:right w:val="single" w:color="auto" w:sz="6" w:space="0"/>
            </w:tcBorders>
          </w:tcPr>
          <w:p w14:paraId="7F70EAC9">
            <w:pPr>
              <w:autoSpaceDE w:val="0"/>
              <w:autoSpaceDN w:val="0"/>
              <w:rPr>
                <w:rFonts w:ascii="宋体" w:hAnsi="宋体" w:cs="宋体"/>
                <w:color w:val="auto"/>
                <w:sz w:val="24"/>
                <w:highlight w:val="none"/>
              </w:rPr>
            </w:pPr>
          </w:p>
        </w:tc>
        <w:tc>
          <w:tcPr>
            <w:tcW w:w="710" w:type="pct"/>
            <w:tcBorders>
              <w:top w:val="single" w:color="auto" w:sz="6" w:space="0"/>
              <w:left w:val="single" w:color="auto" w:sz="6" w:space="0"/>
              <w:bottom w:val="single" w:color="auto" w:sz="6" w:space="0"/>
              <w:right w:val="single" w:color="auto" w:sz="6" w:space="0"/>
            </w:tcBorders>
          </w:tcPr>
          <w:p w14:paraId="7E25ECAE">
            <w:pPr>
              <w:autoSpaceDE w:val="0"/>
              <w:autoSpaceDN w:val="0"/>
              <w:rPr>
                <w:rFonts w:ascii="宋体" w:hAnsi="宋体" w:cs="宋体"/>
                <w:color w:val="auto"/>
                <w:sz w:val="24"/>
                <w:highlight w:val="none"/>
              </w:rPr>
            </w:pPr>
          </w:p>
        </w:tc>
        <w:tc>
          <w:tcPr>
            <w:tcW w:w="398" w:type="pct"/>
            <w:tcBorders>
              <w:top w:val="single" w:color="auto" w:sz="6" w:space="0"/>
              <w:left w:val="single" w:color="auto" w:sz="6" w:space="0"/>
              <w:bottom w:val="single" w:color="auto" w:sz="6" w:space="0"/>
              <w:right w:val="single" w:color="auto" w:sz="6" w:space="0"/>
            </w:tcBorders>
          </w:tcPr>
          <w:p w14:paraId="4AE4E0FF">
            <w:pPr>
              <w:autoSpaceDE w:val="0"/>
              <w:autoSpaceDN w:val="0"/>
              <w:rPr>
                <w:rFonts w:ascii="宋体" w:hAnsi="宋体" w:cs="宋体"/>
                <w:color w:val="auto"/>
                <w:sz w:val="24"/>
                <w:highlight w:val="none"/>
              </w:rPr>
            </w:pPr>
          </w:p>
        </w:tc>
        <w:tc>
          <w:tcPr>
            <w:tcW w:w="475" w:type="pct"/>
            <w:tcBorders>
              <w:top w:val="single" w:color="auto" w:sz="6" w:space="0"/>
              <w:left w:val="single" w:color="auto" w:sz="6" w:space="0"/>
              <w:bottom w:val="single" w:color="auto" w:sz="6" w:space="0"/>
              <w:right w:val="single" w:color="auto" w:sz="6" w:space="0"/>
            </w:tcBorders>
          </w:tcPr>
          <w:p w14:paraId="658E25AF">
            <w:pPr>
              <w:autoSpaceDE w:val="0"/>
              <w:autoSpaceDN w:val="0"/>
              <w:rPr>
                <w:rFonts w:ascii="宋体" w:hAnsi="宋体" w:cs="宋体"/>
                <w:color w:val="auto"/>
                <w:sz w:val="24"/>
                <w:highlight w:val="none"/>
              </w:rPr>
            </w:pPr>
          </w:p>
        </w:tc>
        <w:tc>
          <w:tcPr>
            <w:tcW w:w="398" w:type="pct"/>
            <w:tcBorders>
              <w:top w:val="single" w:color="auto" w:sz="6" w:space="0"/>
              <w:left w:val="single" w:color="auto" w:sz="6" w:space="0"/>
              <w:bottom w:val="single" w:color="auto" w:sz="6" w:space="0"/>
              <w:right w:val="single" w:color="auto" w:sz="6" w:space="0"/>
            </w:tcBorders>
          </w:tcPr>
          <w:p w14:paraId="2F80CA81">
            <w:pPr>
              <w:autoSpaceDE w:val="0"/>
              <w:autoSpaceDN w:val="0"/>
              <w:rPr>
                <w:rFonts w:ascii="宋体" w:hAnsi="宋体" w:cs="宋体"/>
                <w:color w:val="auto"/>
                <w:sz w:val="24"/>
                <w:highlight w:val="none"/>
              </w:rPr>
            </w:pPr>
          </w:p>
        </w:tc>
        <w:tc>
          <w:tcPr>
            <w:tcW w:w="418" w:type="pct"/>
            <w:tcBorders>
              <w:top w:val="single" w:color="auto" w:sz="6" w:space="0"/>
              <w:left w:val="single" w:color="auto" w:sz="6" w:space="0"/>
              <w:bottom w:val="single" w:color="auto" w:sz="6" w:space="0"/>
              <w:right w:val="single" w:color="auto" w:sz="6" w:space="0"/>
            </w:tcBorders>
          </w:tcPr>
          <w:p w14:paraId="69F86FA3">
            <w:pPr>
              <w:autoSpaceDE w:val="0"/>
              <w:autoSpaceDN w:val="0"/>
              <w:rPr>
                <w:rFonts w:ascii="宋体" w:hAnsi="宋体" w:cs="宋体"/>
                <w:color w:val="auto"/>
                <w:sz w:val="24"/>
                <w:highlight w:val="none"/>
              </w:rPr>
            </w:pPr>
          </w:p>
        </w:tc>
        <w:tc>
          <w:tcPr>
            <w:tcW w:w="389" w:type="pct"/>
            <w:tcBorders>
              <w:top w:val="single" w:color="auto" w:sz="6" w:space="0"/>
              <w:left w:val="single" w:color="auto" w:sz="6" w:space="0"/>
              <w:bottom w:val="single" w:color="auto" w:sz="6" w:space="0"/>
              <w:right w:val="single" w:color="auto" w:sz="6" w:space="0"/>
            </w:tcBorders>
          </w:tcPr>
          <w:p w14:paraId="4D0E7F1A">
            <w:pPr>
              <w:autoSpaceDE w:val="0"/>
              <w:autoSpaceDN w:val="0"/>
              <w:rPr>
                <w:rFonts w:ascii="宋体" w:hAnsi="宋体" w:cs="宋体"/>
                <w:color w:val="auto"/>
                <w:sz w:val="24"/>
                <w:highlight w:val="none"/>
              </w:rPr>
            </w:pPr>
          </w:p>
        </w:tc>
        <w:tc>
          <w:tcPr>
            <w:tcW w:w="571" w:type="pct"/>
            <w:tcBorders>
              <w:top w:val="single" w:color="auto" w:sz="6" w:space="0"/>
              <w:left w:val="single" w:color="auto" w:sz="6" w:space="0"/>
              <w:bottom w:val="single" w:color="auto" w:sz="6" w:space="0"/>
              <w:right w:val="single" w:color="auto" w:sz="4" w:space="0"/>
            </w:tcBorders>
          </w:tcPr>
          <w:p w14:paraId="3681AEF6">
            <w:pPr>
              <w:autoSpaceDE w:val="0"/>
              <w:autoSpaceDN w:val="0"/>
              <w:rPr>
                <w:rFonts w:ascii="宋体" w:hAnsi="宋体" w:cs="宋体"/>
                <w:color w:val="auto"/>
                <w:sz w:val="24"/>
                <w:highlight w:val="none"/>
              </w:rPr>
            </w:pPr>
          </w:p>
        </w:tc>
        <w:tc>
          <w:tcPr>
            <w:tcW w:w="473" w:type="pct"/>
            <w:tcBorders>
              <w:top w:val="single" w:color="auto" w:sz="4" w:space="0"/>
              <w:left w:val="single" w:color="auto" w:sz="4" w:space="0"/>
              <w:bottom w:val="single" w:color="auto" w:sz="4" w:space="0"/>
              <w:right w:val="single" w:color="auto" w:sz="4" w:space="0"/>
            </w:tcBorders>
          </w:tcPr>
          <w:p w14:paraId="352A2CC9">
            <w:pPr>
              <w:autoSpaceDE w:val="0"/>
              <w:autoSpaceDN w:val="0"/>
              <w:rPr>
                <w:rFonts w:ascii="宋体" w:hAnsi="宋体" w:cs="宋体"/>
                <w:color w:val="auto"/>
                <w:sz w:val="24"/>
                <w:highlight w:val="none"/>
              </w:rPr>
            </w:pPr>
          </w:p>
        </w:tc>
        <w:tc>
          <w:tcPr>
            <w:tcW w:w="317" w:type="pct"/>
            <w:tcBorders>
              <w:top w:val="single" w:color="auto" w:sz="4" w:space="0"/>
              <w:left w:val="single" w:color="auto" w:sz="4" w:space="0"/>
              <w:bottom w:val="single" w:color="auto" w:sz="4" w:space="0"/>
              <w:right w:val="single" w:color="auto" w:sz="4" w:space="0"/>
            </w:tcBorders>
          </w:tcPr>
          <w:p w14:paraId="262A21EF">
            <w:pPr>
              <w:autoSpaceDE w:val="0"/>
              <w:autoSpaceDN w:val="0"/>
              <w:rPr>
                <w:rFonts w:ascii="宋体" w:hAnsi="宋体" w:cs="宋体"/>
                <w:color w:val="auto"/>
                <w:sz w:val="24"/>
                <w:highlight w:val="none"/>
              </w:rPr>
            </w:pPr>
          </w:p>
        </w:tc>
      </w:tr>
      <w:tr w14:paraId="1D6CA667">
        <w:tblPrEx>
          <w:tblCellMar>
            <w:top w:w="0" w:type="dxa"/>
            <w:left w:w="108" w:type="dxa"/>
            <w:bottom w:w="0" w:type="dxa"/>
            <w:right w:w="108" w:type="dxa"/>
          </w:tblCellMar>
        </w:tblPrEx>
        <w:trPr>
          <w:trHeight w:val="473" w:hRule="atLeast"/>
        </w:trPr>
        <w:tc>
          <w:tcPr>
            <w:tcW w:w="247" w:type="pct"/>
            <w:tcBorders>
              <w:top w:val="single" w:color="auto" w:sz="6" w:space="0"/>
              <w:left w:val="single" w:color="auto" w:sz="6" w:space="0"/>
              <w:bottom w:val="single" w:color="auto" w:sz="6" w:space="0"/>
              <w:right w:val="single" w:color="auto" w:sz="6" w:space="0"/>
            </w:tcBorders>
          </w:tcPr>
          <w:p w14:paraId="47311147">
            <w:pPr>
              <w:autoSpaceDE w:val="0"/>
              <w:autoSpaceDN w:val="0"/>
              <w:jc w:val="center"/>
              <w:rPr>
                <w:rFonts w:ascii="宋体" w:hAnsi="宋体" w:cs="宋体"/>
                <w:color w:val="auto"/>
                <w:sz w:val="24"/>
                <w:highlight w:val="none"/>
              </w:rPr>
            </w:pPr>
          </w:p>
        </w:tc>
        <w:tc>
          <w:tcPr>
            <w:tcW w:w="271" w:type="pct"/>
            <w:tcBorders>
              <w:top w:val="single" w:color="auto" w:sz="6" w:space="0"/>
              <w:left w:val="single" w:color="auto" w:sz="6" w:space="0"/>
              <w:bottom w:val="single" w:color="auto" w:sz="6" w:space="0"/>
              <w:right w:val="single" w:color="auto" w:sz="6" w:space="0"/>
            </w:tcBorders>
          </w:tcPr>
          <w:p w14:paraId="67C4D383">
            <w:pPr>
              <w:autoSpaceDE w:val="0"/>
              <w:autoSpaceDN w:val="0"/>
              <w:rPr>
                <w:rFonts w:ascii="宋体" w:hAnsi="宋体" w:cs="宋体"/>
                <w:color w:val="auto"/>
                <w:sz w:val="24"/>
                <w:highlight w:val="none"/>
              </w:rPr>
            </w:pPr>
          </w:p>
        </w:tc>
        <w:tc>
          <w:tcPr>
            <w:tcW w:w="327" w:type="pct"/>
            <w:tcBorders>
              <w:top w:val="single" w:color="auto" w:sz="6" w:space="0"/>
              <w:left w:val="single" w:color="auto" w:sz="6" w:space="0"/>
              <w:bottom w:val="single" w:color="auto" w:sz="6" w:space="0"/>
              <w:right w:val="single" w:color="auto" w:sz="6" w:space="0"/>
            </w:tcBorders>
          </w:tcPr>
          <w:p w14:paraId="77C00251">
            <w:pPr>
              <w:autoSpaceDE w:val="0"/>
              <w:autoSpaceDN w:val="0"/>
              <w:rPr>
                <w:rFonts w:ascii="宋体" w:hAnsi="宋体" w:cs="宋体"/>
                <w:color w:val="auto"/>
                <w:sz w:val="24"/>
                <w:highlight w:val="none"/>
              </w:rPr>
            </w:pPr>
          </w:p>
        </w:tc>
        <w:tc>
          <w:tcPr>
            <w:tcW w:w="710" w:type="pct"/>
            <w:tcBorders>
              <w:top w:val="single" w:color="auto" w:sz="6" w:space="0"/>
              <w:left w:val="single" w:color="auto" w:sz="6" w:space="0"/>
              <w:bottom w:val="single" w:color="auto" w:sz="6" w:space="0"/>
              <w:right w:val="single" w:color="auto" w:sz="6" w:space="0"/>
            </w:tcBorders>
          </w:tcPr>
          <w:p w14:paraId="1531869F">
            <w:pPr>
              <w:autoSpaceDE w:val="0"/>
              <w:autoSpaceDN w:val="0"/>
              <w:rPr>
                <w:rFonts w:ascii="宋体" w:hAnsi="宋体" w:cs="宋体"/>
                <w:color w:val="auto"/>
                <w:sz w:val="24"/>
                <w:highlight w:val="none"/>
              </w:rPr>
            </w:pPr>
          </w:p>
        </w:tc>
        <w:tc>
          <w:tcPr>
            <w:tcW w:w="398" w:type="pct"/>
            <w:tcBorders>
              <w:top w:val="single" w:color="auto" w:sz="6" w:space="0"/>
              <w:left w:val="single" w:color="auto" w:sz="6" w:space="0"/>
              <w:bottom w:val="single" w:color="auto" w:sz="6" w:space="0"/>
              <w:right w:val="single" w:color="auto" w:sz="6" w:space="0"/>
            </w:tcBorders>
          </w:tcPr>
          <w:p w14:paraId="34BF21D4">
            <w:pPr>
              <w:autoSpaceDE w:val="0"/>
              <w:autoSpaceDN w:val="0"/>
              <w:rPr>
                <w:rFonts w:ascii="宋体" w:hAnsi="宋体" w:cs="宋体"/>
                <w:color w:val="auto"/>
                <w:sz w:val="24"/>
                <w:highlight w:val="none"/>
              </w:rPr>
            </w:pPr>
          </w:p>
        </w:tc>
        <w:tc>
          <w:tcPr>
            <w:tcW w:w="475" w:type="pct"/>
            <w:tcBorders>
              <w:top w:val="single" w:color="auto" w:sz="6" w:space="0"/>
              <w:left w:val="single" w:color="auto" w:sz="6" w:space="0"/>
              <w:bottom w:val="single" w:color="auto" w:sz="6" w:space="0"/>
              <w:right w:val="single" w:color="auto" w:sz="6" w:space="0"/>
            </w:tcBorders>
          </w:tcPr>
          <w:p w14:paraId="6680AEAD">
            <w:pPr>
              <w:autoSpaceDE w:val="0"/>
              <w:autoSpaceDN w:val="0"/>
              <w:rPr>
                <w:rFonts w:ascii="宋体" w:hAnsi="宋体" w:cs="宋体"/>
                <w:color w:val="auto"/>
                <w:sz w:val="24"/>
                <w:highlight w:val="none"/>
              </w:rPr>
            </w:pPr>
          </w:p>
        </w:tc>
        <w:tc>
          <w:tcPr>
            <w:tcW w:w="398" w:type="pct"/>
            <w:tcBorders>
              <w:top w:val="single" w:color="auto" w:sz="6" w:space="0"/>
              <w:left w:val="single" w:color="auto" w:sz="6" w:space="0"/>
              <w:bottom w:val="single" w:color="auto" w:sz="6" w:space="0"/>
              <w:right w:val="single" w:color="auto" w:sz="6" w:space="0"/>
            </w:tcBorders>
          </w:tcPr>
          <w:p w14:paraId="53EE0A3C">
            <w:pPr>
              <w:autoSpaceDE w:val="0"/>
              <w:autoSpaceDN w:val="0"/>
              <w:rPr>
                <w:rFonts w:ascii="宋体" w:hAnsi="宋体" w:cs="宋体"/>
                <w:color w:val="auto"/>
                <w:sz w:val="24"/>
                <w:highlight w:val="none"/>
              </w:rPr>
            </w:pPr>
          </w:p>
        </w:tc>
        <w:tc>
          <w:tcPr>
            <w:tcW w:w="418" w:type="pct"/>
            <w:tcBorders>
              <w:top w:val="single" w:color="auto" w:sz="6" w:space="0"/>
              <w:left w:val="single" w:color="auto" w:sz="6" w:space="0"/>
              <w:bottom w:val="single" w:color="auto" w:sz="6" w:space="0"/>
              <w:right w:val="single" w:color="auto" w:sz="6" w:space="0"/>
            </w:tcBorders>
          </w:tcPr>
          <w:p w14:paraId="2010528A">
            <w:pPr>
              <w:autoSpaceDE w:val="0"/>
              <w:autoSpaceDN w:val="0"/>
              <w:rPr>
                <w:rFonts w:ascii="宋体" w:hAnsi="宋体" w:cs="宋体"/>
                <w:color w:val="auto"/>
                <w:sz w:val="24"/>
                <w:highlight w:val="none"/>
              </w:rPr>
            </w:pPr>
          </w:p>
        </w:tc>
        <w:tc>
          <w:tcPr>
            <w:tcW w:w="389" w:type="pct"/>
            <w:tcBorders>
              <w:top w:val="single" w:color="auto" w:sz="6" w:space="0"/>
              <w:left w:val="single" w:color="auto" w:sz="6" w:space="0"/>
              <w:bottom w:val="single" w:color="auto" w:sz="6" w:space="0"/>
              <w:right w:val="single" w:color="auto" w:sz="6" w:space="0"/>
            </w:tcBorders>
          </w:tcPr>
          <w:p w14:paraId="1193C387">
            <w:pPr>
              <w:autoSpaceDE w:val="0"/>
              <w:autoSpaceDN w:val="0"/>
              <w:rPr>
                <w:rFonts w:ascii="宋体" w:hAnsi="宋体" w:cs="宋体"/>
                <w:color w:val="auto"/>
                <w:sz w:val="24"/>
                <w:highlight w:val="none"/>
              </w:rPr>
            </w:pPr>
          </w:p>
        </w:tc>
        <w:tc>
          <w:tcPr>
            <w:tcW w:w="571" w:type="pct"/>
            <w:tcBorders>
              <w:top w:val="single" w:color="auto" w:sz="6" w:space="0"/>
              <w:left w:val="single" w:color="auto" w:sz="6" w:space="0"/>
              <w:bottom w:val="single" w:color="auto" w:sz="6" w:space="0"/>
              <w:right w:val="single" w:color="auto" w:sz="4" w:space="0"/>
            </w:tcBorders>
          </w:tcPr>
          <w:p w14:paraId="5AC37B87">
            <w:pPr>
              <w:autoSpaceDE w:val="0"/>
              <w:autoSpaceDN w:val="0"/>
              <w:rPr>
                <w:rFonts w:ascii="宋体" w:hAnsi="宋体" w:cs="宋体"/>
                <w:color w:val="auto"/>
                <w:sz w:val="24"/>
                <w:highlight w:val="none"/>
              </w:rPr>
            </w:pPr>
          </w:p>
        </w:tc>
        <w:tc>
          <w:tcPr>
            <w:tcW w:w="473" w:type="pct"/>
            <w:tcBorders>
              <w:top w:val="single" w:color="auto" w:sz="4" w:space="0"/>
              <w:left w:val="single" w:color="auto" w:sz="4" w:space="0"/>
              <w:bottom w:val="single" w:color="auto" w:sz="4" w:space="0"/>
              <w:right w:val="single" w:color="auto" w:sz="4" w:space="0"/>
            </w:tcBorders>
          </w:tcPr>
          <w:p w14:paraId="3DC884C5">
            <w:pPr>
              <w:autoSpaceDE w:val="0"/>
              <w:autoSpaceDN w:val="0"/>
              <w:rPr>
                <w:rFonts w:ascii="宋体" w:hAnsi="宋体" w:cs="宋体"/>
                <w:color w:val="auto"/>
                <w:sz w:val="24"/>
                <w:highlight w:val="none"/>
              </w:rPr>
            </w:pPr>
          </w:p>
        </w:tc>
        <w:tc>
          <w:tcPr>
            <w:tcW w:w="317" w:type="pct"/>
            <w:tcBorders>
              <w:top w:val="single" w:color="auto" w:sz="4" w:space="0"/>
              <w:left w:val="single" w:color="auto" w:sz="4" w:space="0"/>
              <w:bottom w:val="single" w:color="auto" w:sz="4" w:space="0"/>
              <w:right w:val="single" w:color="auto" w:sz="4" w:space="0"/>
            </w:tcBorders>
          </w:tcPr>
          <w:p w14:paraId="15848CFF">
            <w:pPr>
              <w:autoSpaceDE w:val="0"/>
              <w:autoSpaceDN w:val="0"/>
              <w:rPr>
                <w:rFonts w:ascii="宋体" w:hAnsi="宋体" w:cs="宋体"/>
                <w:color w:val="auto"/>
                <w:sz w:val="24"/>
                <w:highlight w:val="none"/>
              </w:rPr>
            </w:pPr>
          </w:p>
        </w:tc>
      </w:tr>
    </w:tbl>
    <w:p w14:paraId="56AC6C47">
      <w:pPr>
        <w:autoSpaceDE w:val="0"/>
        <w:autoSpaceDN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w:t>
      </w:r>
      <w:r>
        <w:rPr>
          <w:rFonts w:hint="eastAsia" w:ascii="宋体" w:hAnsi="宋体" w:cs="宋体"/>
          <w:color w:val="auto"/>
          <w:sz w:val="24"/>
          <w:highlight w:val="none"/>
        </w:rPr>
        <w:t>1.在职人员提供近三个月</w:t>
      </w:r>
      <w:r>
        <w:rPr>
          <w:rFonts w:hint="eastAsia" w:ascii="宋体" w:hAnsi="宋体" w:cs="宋体"/>
          <w:color w:val="auto"/>
          <w:sz w:val="24"/>
          <w:highlight w:val="none"/>
          <w:lang w:val="en-US" w:eastAsia="zh-CN"/>
        </w:rPr>
        <w:t>任意一个月</w:t>
      </w:r>
      <w:r>
        <w:rPr>
          <w:rFonts w:hint="eastAsia" w:ascii="宋体" w:hAnsi="宋体" w:cs="宋体"/>
          <w:color w:val="auto"/>
          <w:sz w:val="24"/>
          <w:highlight w:val="none"/>
        </w:rPr>
        <w:t>的社保缴纳凭证，退休返聘人员提供退休证</w:t>
      </w:r>
      <w:r>
        <w:rPr>
          <w:rFonts w:hint="eastAsia" w:ascii="宋体" w:hAnsi="宋体" w:cs="宋体"/>
          <w:color w:val="auto"/>
          <w:sz w:val="24"/>
          <w:highlight w:val="none"/>
          <w:lang w:eastAsia="zh-CN"/>
        </w:rPr>
        <w:t>、</w:t>
      </w:r>
      <w:r>
        <w:rPr>
          <w:rFonts w:hint="eastAsia" w:ascii="宋体" w:hAnsi="宋体" w:cs="宋体"/>
          <w:color w:val="auto"/>
          <w:sz w:val="24"/>
          <w:highlight w:val="none"/>
        </w:rPr>
        <w:t>返聘合同</w:t>
      </w:r>
      <w:r>
        <w:rPr>
          <w:rFonts w:hint="eastAsia" w:ascii="宋体" w:hAnsi="宋体" w:cs="宋体"/>
          <w:color w:val="auto"/>
          <w:sz w:val="24"/>
          <w:highlight w:val="none"/>
          <w:lang w:eastAsia="zh-CN"/>
        </w:rPr>
        <w:t>、上月工资单扫描件</w:t>
      </w:r>
      <w:r>
        <w:rPr>
          <w:rFonts w:hint="eastAsia" w:ascii="宋体" w:hAnsi="宋体" w:cs="宋体"/>
          <w:color w:val="auto"/>
          <w:sz w:val="24"/>
          <w:highlight w:val="none"/>
        </w:rPr>
        <w:t>，否则不予认可。</w:t>
      </w:r>
    </w:p>
    <w:p w14:paraId="5BAD5553">
      <w:pPr>
        <w:spacing w:line="360" w:lineRule="auto"/>
        <w:ind w:firstLine="420" w:firstLineChars="175"/>
        <w:outlineLvl w:val="0"/>
        <w:rPr>
          <w:rFonts w:ascii="宋体" w:hAnsi="宋体" w:cs="宋体"/>
          <w:color w:val="auto"/>
          <w:sz w:val="24"/>
          <w:highlight w:val="none"/>
        </w:rPr>
      </w:pPr>
      <w:r>
        <w:rPr>
          <w:rFonts w:hint="eastAsia" w:ascii="宋体" w:hAnsi="宋体" w:cs="宋体"/>
          <w:color w:val="auto"/>
          <w:sz w:val="24"/>
          <w:highlight w:val="none"/>
        </w:rPr>
        <w:t>2.供应商应对照评标办法前附表第</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条要求的要素，填写《项目团队成员情况表》，并核验自有相关证明材料并填写完整，填写不完整或有明显错误的评标委员会均不予认可，可能按虚假应标予以废标并通报采购监督管理部门。</w:t>
      </w:r>
    </w:p>
    <w:p w14:paraId="16CD1494">
      <w:pPr>
        <w:autoSpaceDE w:val="0"/>
        <w:autoSpaceDN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3.供应商应按本表内容填写相关信息，不得随意修改表格内容，且须随表提交相应的证明文件（表中明确的自有材料）。</w:t>
      </w:r>
    </w:p>
    <w:p w14:paraId="26DCFF61">
      <w:pPr>
        <w:autoSpaceDE w:val="0"/>
        <w:autoSpaceDN w:val="0"/>
        <w:spacing w:line="360" w:lineRule="auto"/>
        <w:ind w:firstLine="420" w:firstLineChars="175"/>
        <w:rPr>
          <w:rFonts w:ascii="宋体" w:hAnsi="宋体" w:cs="宋体"/>
          <w:b/>
          <w:bCs/>
          <w:color w:val="auto"/>
          <w:sz w:val="24"/>
          <w:highlight w:val="none"/>
        </w:rPr>
      </w:pPr>
      <w:r>
        <w:rPr>
          <w:rFonts w:hint="eastAsia" w:ascii="宋体" w:hAnsi="宋体" w:cs="宋体"/>
          <w:color w:val="auto"/>
          <w:sz w:val="24"/>
          <w:highlight w:val="none"/>
        </w:rPr>
        <w:t>4.如发现供应商存在提供虚假材料谋取中标、成交的情形的，且征集人将把情况报政府采购监督管理部门，并按照《中华人民共和国政府采购法》第七十七条规定，中标、成交无效，并可能承担“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等法律责任。</w:t>
      </w:r>
    </w:p>
    <w:p w14:paraId="277D06CE">
      <w:pPr>
        <w:spacing w:line="360" w:lineRule="auto"/>
        <w:ind w:firstLine="3360" w:firstLineChars="1400"/>
        <w:rPr>
          <w:rFonts w:ascii="宋体" w:hAnsi="宋体" w:cs="宋体"/>
          <w:color w:val="auto"/>
          <w:kern w:val="0"/>
          <w:sz w:val="24"/>
          <w:highlight w:val="none"/>
          <w:lang w:val="zh-CN"/>
        </w:rPr>
      </w:pPr>
    </w:p>
    <w:p w14:paraId="2E38005C">
      <w:pPr>
        <w:spacing w:line="360" w:lineRule="auto"/>
        <w:ind w:firstLine="3360" w:firstLineChars="1400"/>
        <w:rPr>
          <w:rFonts w:ascii="宋体" w:hAnsi="宋体" w:cs="宋体"/>
          <w:color w:val="auto"/>
          <w:kern w:val="0"/>
          <w:sz w:val="24"/>
          <w:highlight w:val="none"/>
          <w:lang w:val="zh-CN"/>
        </w:rPr>
      </w:pPr>
    </w:p>
    <w:p w14:paraId="41B7C2E2">
      <w:pPr>
        <w:spacing w:line="360" w:lineRule="auto"/>
        <w:ind w:firstLine="8160" w:firstLineChars="34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响应供应商名称(电子签名)：</w:t>
      </w:r>
    </w:p>
    <w:p w14:paraId="0FF75908">
      <w:pPr>
        <w:spacing w:line="360" w:lineRule="auto"/>
        <w:ind w:firstLine="8640" w:firstLineChars="3600"/>
        <w:rPr>
          <w:rFonts w:hint="eastAsia" w:ascii="宋体" w:hAnsi="宋体" w:cs="宋体"/>
          <w:color w:val="auto"/>
          <w:kern w:val="0"/>
          <w:sz w:val="24"/>
          <w:highlight w:val="none"/>
          <w:lang w:val="zh-CN"/>
        </w:rPr>
        <w:sectPr>
          <w:headerReference r:id="rId30" w:type="first"/>
          <w:footerReference r:id="rId32" w:type="first"/>
          <w:footerReference r:id="rId31"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0" w:num="1"/>
          <w:titlePg/>
          <w:docGrid w:linePitch="312" w:charSpace="0"/>
        </w:sectPr>
      </w:pPr>
      <w:r>
        <w:rPr>
          <w:rFonts w:hint="eastAsia" w:ascii="宋体" w:hAnsi="宋体" w:cs="宋体"/>
          <w:color w:val="auto"/>
          <w:kern w:val="0"/>
          <w:sz w:val="24"/>
          <w:highlight w:val="none"/>
          <w:lang w:val="zh-CN"/>
        </w:rPr>
        <w:t>日期：  年  月  日</w:t>
      </w:r>
    </w:p>
    <w:p w14:paraId="61ACCBA7">
      <w:pPr>
        <w:snapToGrid w:val="0"/>
        <w:spacing w:line="360" w:lineRule="auto"/>
        <w:jc w:val="left"/>
        <w:rPr>
          <w:rFonts w:ascii="宋体" w:hAnsi="宋体" w:eastAsia="宋体" w:cs="宋体"/>
          <w:color w:val="auto"/>
          <w:highlight w:val="none"/>
        </w:rPr>
      </w:pP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项的类似</w:t>
      </w:r>
      <w:r>
        <w:rPr>
          <w:rFonts w:hint="eastAsia" w:ascii="宋体" w:hAnsi="宋体" w:cs="宋体"/>
          <w:b/>
          <w:color w:val="auto"/>
          <w:sz w:val="24"/>
          <w:highlight w:val="none"/>
          <w:lang w:eastAsia="zh-CN"/>
        </w:rPr>
        <w:t>概算</w:t>
      </w:r>
      <w:r>
        <w:rPr>
          <w:rFonts w:hint="eastAsia" w:ascii="宋体" w:hAnsi="宋体" w:cs="宋体"/>
          <w:b/>
          <w:color w:val="auto"/>
          <w:sz w:val="24"/>
          <w:highlight w:val="none"/>
        </w:rPr>
        <w:t>项目</w:t>
      </w:r>
      <w:r>
        <w:rPr>
          <w:rFonts w:hint="eastAsia" w:ascii="宋体" w:hAnsi="宋体" w:cs="宋体"/>
          <w:b/>
          <w:color w:val="auto"/>
          <w:sz w:val="24"/>
          <w:highlight w:val="none"/>
          <w:lang w:eastAsia="zh-CN"/>
        </w:rPr>
        <w:t>人员</w:t>
      </w:r>
      <w:r>
        <w:rPr>
          <w:rFonts w:hint="eastAsia" w:ascii="宋体" w:hAnsi="宋体" w:cs="宋体"/>
          <w:b/>
          <w:color w:val="auto"/>
          <w:sz w:val="24"/>
          <w:highlight w:val="none"/>
          <w:lang w:val="zh-CN"/>
        </w:rPr>
        <w:t>业绩</w:t>
      </w:r>
      <w:r>
        <w:rPr>
          <w:rFonts w:hint="eastAsia" w:ascii="宋体" w:hAnsi="宋体" w:cs="宋体"/>
          <w:b/>
          <w:color w:val="auto"/>
          <w:sz w:val="24"/>
          <w:highlight w:val="none"/>
        </w:rPr>
        <w:t>表</w:t>
      </w:r>
    </w:p>
    <w:tbl>
      <w:tblPr>
        <w:tblStyle w:val="51"/>
        <w:tblW w:w="13355" w:type="dxa"/>
        <w:tblInd w:w="108" w:type="dxa"/>
        <w:tblLayout w:type="fixed"/>
        <w:tblCellMar>
          <w:top w:w="0" w:type="dxa"/>
          <w:left w:w="108" w:type="dxa"/>
          <w:bottom w:w="0" w:type="dxa"/>
          <w:right w:w="108" w:type="dxa"/>
        </w:tblCellMar>
      </w:tblPr>
      <w:tblGrid>
        <w:gridCol w:w="655"/>
        <w:gridCol w:w="1117"/>
        <w:gridCol w:w="1289"/>
        <w:gridCol w:w="1124"/>
        <w:gridCol w:w="1166"/>
        <w:gridCol w:w="1273"/>
        <w:gridCol w:w="1444"/>
        <w:gridCol w:w="2209"/>
        <w:gridCol w:w="2067"/>
        <w:gridCol w:w="1011"/>
      </w:tblGrid>
      <w:tr w14:paraId="15D03490">
        <w:tblPrEx>
          <w:tblCellMar>
            <w:top w:w="0" w:type="dxa"/>
            <w:left w:w="108" w:type="dxa"/>
            <w:bottom w:w="0" w:type="dxa"/>
            <w:right w:w="108" w:type="dxa"/>
          </w:tblCellMar>
        </w:tblPrEx>
        <w:trPr>
          <w:trHeight w:val="1073" w:hRule="atLeast"/>
        </w:trPr>
        <w:tc>
          <w:tcPr>
            <w:tcW w:w="655" w:type="dxa"/>
            <w:tcBorders>
              <w:top w:val="single" w:color="auto" w:sz="6" w:space="0"/>
              <w:left w:val="single" w:color="auto" w:sz="6" w:space="0"/>
              <w:bottom w:val="single" w:color="auto" w:sz="6" w:space="0"/>
              <w:right w:val="single" w:color="auto" w:sz="6" w:space="0"/>
            </w:tcBorders>
            <w:vAlign w:val="center"/>
          </w:tcPr>
          <w:p w14:paraId="49DD05AE">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117" w:type="dxa"/>
            <w:tcBorders>
              <w:top w:val="single" w:color="auto" w:sz="6" w:space="0"/>
              <w:left w:val="single" w:color="auto" w:sz="6" w:space="0"/>
              <w:bottom w:val="single" w:color="auto" w:sz="6" w:space="0"/>
              <w:right w:val="single" w:color="auto" w:sz="6" w:space="0"/>
            </w:tcBorders>
            <w:vAlign w:val="center"/>
          </w:tcPr>
          <w:p w14:paraId="5763D57F">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289" w:type="dxa"/>
            <w:tcBorders>
              <w:top w:val="single" w:color="auto" w:sz="6" w:space="0"/>
              <w:left w:val="single" w:color="auto" w:sz="6" w:space="0"/>
              <w:bottom w:val="single" w:color="auto" w:sz="6" w:space="0"/>
              <w:right w:val="single" w:color="auto" w:sz="6" w:space="0"/>
            </w:tcBorders>
            <w:vAlign w:val="center"/>
          </w:tcPr>
          <w:p w14:paraId="607B1CF5">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委托合同签订时间</w:t>
            </w:r>
          </w:p>
        </w:tc>
        <w:tc>
          <w:tcPr>
            <w:tcW w:w="1124" w:type="dxa"/>
            <w:tcBorders>
              <w:top w:val="single" w:color="auto" w:sz="6" w:space="0"/>
              <w:left w:val="single" w:color="auto" w:sz="6" w:space="0"/>
              <w:bottom w:val="single" w:color="auto" w:sz="6" w:space="0"/>
              <w:right w:val="single" w:color="auto" w:sz="6" w:space="0"/>
            </w:tcBorders>
            <w:vAlign w:val="center"/>
          </w:tcPr>
          <w:p w14:paraId="558D43E7">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委托单位</w:t>
            </w:r>
          </w:p>
        </w:tc>
        <w:tc>
          <w:tcPr>
            <w:tcW w:w="1166" w:type="dxa"/>
            <w:tcBorders>
              <w:top w:val="single" w:color="auto" w:sz="6" w:space="0"/>
              <w:left w:val="single" w:color="auto" w:sz="6" w:space="0"/>
              <w:bottom w:val="single" w:color="auto" w:sz="6" w:space="0"/>
              <w:right w:val="single" w:color="auto" w:sz="6" w:space="0"/>
            </w:tcBorders>
            <w:vAlign w:val="center"/>
          </w:tcPr>
          <w:p w14:paraId="5FAE857F">
            <w:pPr>
              <w:autoSpaceDE w:val="0"/>
              <w:autoSpaceDN w:val="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实施单位</w:t>
            </w:r>
          </w:p>
        </w:tc>
        <w:tc>
          <w:tcPr>
            <w:tcW w:w="1273" w:type="dxa"/>
            <w:tcBorders>
              <w:top w:val="single" w:color="auto" w:sz="6" w:space="0"/>
              <w:left w:val="single" w:color="auto" w:sz="6" w:space="0"/>
              <w:bottom w:val="single" w:color="auto" w:sz="6" w:space="0"/>
              <w:right w:val="single" w:color="auto" w:sz="6" w:space="0"/>
            </w:tcBorders>
            <w:vAlign w:val="center"/>
          </w:tcPr>
          <w:p w14:paraId="27FE8762">
            <w:pPr>
              <w:autoSpaceDE w:val="0"/>
              <w:autoSpaceDN w:val="0"/>
              <w:jc w:val="center"/>
              <w:rPr>
                <w:rFonts w:hint="eastAsia" w:ascii="宋体" w:hAnsi="宋体" w:cs="宋体"/>
                <w:color w:val="auto"/>
                <w:sz w:val="24"/>
                <w:highlight w:val="none"/>
              </w:rPr>
            </w:pPr>
            <w:r>
              <w:rPr>
                <w:rFonts w:hint="eastAsia" w:ascii="宋体" w:hAnsi="宋体" w:cs="宋体"/>
                <w:color w:val="auto"/>
                <w:sz w:val="24"/>
                <w:highlight w:val="none"/>
                <w:lang w:eastAsia="zh-CN"/>
              </w:rPr>
              <w:t>实施人员姓名</w:t>
            </w:r>
          </w:p>
        </w:tc>
        <w:tc>
          <w:tcPr>
            <w:tcW w:w="1444" w:type="dxa"/>
            <w:tcBorders>
              <w:top w:val="single" w:color="auto" w:sz="6" w:space="0"/>
              <w:left w:val="single" w:color="auto" w:sz="6" w:space="0"/>
              <w:bottom w:val="single" w:color="auto" w:sz="6" w:space="0"/>
              <w:right w:val="single" w:color="auto" w:sz="6" w:space="0"/>
            </w:tcBorders>
            <w:vAlign w:val="center"/>
          </w:tcPr>
          <w:p w14:paraId="0A27E7F7">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委托单位联系人及电话</w:t>
            </w:r>
          </w:p>
        </w:tc>
        <w:tc>
          <w:tcPr>
            <w:tcW w:w="2209" w:type="dxa"/>
            <w:tcBorders>
              <w:top w:val="single" w:color="auto" w:sz="6" w:space="0"/>
              <w:left w:val="single" w:color="auto" w:sz="6" w:space="0"/>
              <w:bottom w:val="single" w:color="auto" w:sz="6" w:space="0"/>
              <w:right w:val="single" w:color="auto" w:sz="6" w:space="0"/>
            </w:tcBorders>
            <w:vAlign w:val="center"/>
          </w:tcPr>
          <w:p w14:paraId="6A73112C">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自有材料是否按评标办法前附表第</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条要求全要素核验</w:t>
            </w:r>
          </w:p>
        </w:tc>
        <w:tc>
          <w:tcPr>
            <w:tcW w:w="2067" w:type="dxa"/>
            <w:tcBorders>
              <w:top w:val="single" w:color="auto" w:sz="6" w:space="0"/>
              <w:left w:val="single" w:color="auto" w:sz="6" w:space="0"/>
              <w:bottom w:val="single" w:color="auto" w:sz="6" w:space="0"/>
              <w:right w:val="single" w:color="auto" w:sz="6" w:space="0"/>
            </w:tcBorders>
            <w:vAlign w:val="center"/>
          </w:tcPr>
          <w:p w14:paraId="5C82A867">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自有材料名称（如合同、验收等）</w:t>
            </w:r>
          </w:p>
        </w:tc>
        <w:tc>
          <w:tcPr>
            <w:tcW w:w="1011" w:type="dxa"/>
            <w:tcBorders>
              <w:top w:val="single" w:color="auto" w:sz="6" w:space="0"/>
              <w:left w:val="single" w:color="auto" w:sz="6" w:space="0"/>
              <w:bottom w:val="single" w:color="auto" w:sz="6" w:space="0"/>
              <w:right w:val="single" w:color="auto" w:sz="6" w:space="0"/>
            </w:tcBorders>
            <w:vAlign w:val="center"/>
          </w:tcPr>
          <w:p w14:paraId="3615480D">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备注</w:t>
            </w:r>
          </w:p>
        </w:tc>
      </w:tr>
      <w:tr w14:paraId="002E0A86">
        <w:tblPrEx>
          <w:tblCellMar>
            <w:top w:w="0" w:type="dxa"/>
            <w:left w:w="108" w:type="dxa"/>
            <w:bottom w:w="0" w:type="dxa"/>
            <w:right w:w="108" w:type="dxa"/>
          </w:tblCellMar>
        </w:tblPrEx>
        <w:trPr>
          <w:trHeight w:val="590" w:hRule="atLeast"/>
        </w:trPr>
        <w:tc>
          <w:tcPr>
            <w:tcW w:w="655" w:type="dxa"/>
            <w:tcBorders>
              <w:top w:val="single" w:color="auto" w:sz="6" w:space="0"/>
              <w:left w:val="single" w:color="auto" w:sz="6" w:space="0"/>
              <w:bottom w:val="single" w:color="auto" w:sz="6" w:space="0"/>
              <w:right w:val="single" w:color="auto" w:sz="6" w:space="0"/>
            </w:tcBorders>
            <w:vAlign w:val="center"/>
          </w:tcPr>
          <w:p w14:paraId="12024251">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1</w:t>
            </w:r>
          </w:p>
        </w:tc>
        <w:tc>
          <w:tcPr>
            <w:tcW w:w="1117" w:type="dxa"/>
            <w:tcBorders>
              <w:top w:val="single" w:color="auto" w:sz="6" w:space="0"/>
              <w:left w:val="single" w:color="auto" w:sz="6" w:space="0"/>
              <w:bottom w:val="single" w:color="auto" w:sz="6" w:space="0"/>
              <w:right w:val="single" w:color="auto" w:sz="6" w:space="0"/>
            </w:tcBorders>
          </w:tcPr>
          <w:p w14:paraId="7F67CEA5">
            <w:pPr>
              <w:autoSpaceDE w:val="0"/>
              <w:autoSpaceDN w:val="0"/>
              <w:jc w:val="center"/>
              <w:rPr>
                <w:rFonts w:ascii="宋体" w:hAnsi="宋体" w:cs="宋体"/>
                <w:color w:val="auto"/>
                <w:sz w:val="24"/>
                <w:highlight w:val="none"/>
              </w:rPr>
            </w:pPr>
          </w:p>
        </w:tc>
        <w:tc>
          <w:tcPr>
            <w:tcW w:w="1289" w:type="dxa"/>
            <w:tcBorders>
              <w:top w:val="single" w:color="auto" w:sz="6" w:space="0"/>
              <w:left w:val="single" w:color="auto" w:sz="6" w:space="0"/>
              <w:bottom w:val="single" w:color="auto" w:sz="6" w:space="0"/>
              <w:right w:val="single" w:color="auto" w:sz="6" w:space="0"/>
            </w:tcBorders>
          </w:tcPr>
          <w:p w14:paraId="5EE20CF0">
            <w:pPr>
              <w:autoSpaceDE w:val="0"/>
              <w:autoSpaceDN w:val="0"/>
              <w:jc w:val="center"/>
              <w:rPr>
                <w:rFonts w:ascii="宋体" w:hAnsi="宋体" w:cs="宋体"/>
                <w:color w:val="auto"/>
                <w:sz w:val="24"/>
                <w:highlight w:val="none"/>
              </w:rPr>
            </w:pPr>
          </w:p>
        </w:tc>
        <w:tc>
          <w:tcPr>
            <w:tcW w:w="1124" w:type="dxa"/>
            <w:tcBorders>
              <w:top w:val="single" w:color="auto" w:sz="6" w:space="0"/>
              <w:left w:val="single" w:color="auto" w:sz="6" w:space="0"/>
              <w:bottom w:val="single" w:color="auto" w:sz="6" w:space="0"/>
              <w:right w:val="single" w:color="auto" w:sz="6" w:space="0"/>
            </w:tcBorders>
          </w:tcPr>
          <w:p w14:paraId="7DA7E777">
            <w:pPr>
              <w:autoSpaceDE w:val="0"/>
              <w:autoSpaceDN w:val="0"/>
              <w:jc w:val="center"/>
              <w:rPr>
                <w:rFonts w:ascii="宋体" w:hAnsi="宋体" w:cs="宋体"/>
                <w:color w:val="auto"/>
                <w:sz w:val="24"/>
                <w:highlight w:val="none"/>
              </w:rPr>
            </w:pPr>
          </w:p>
        </w:tc>
        <w:tc>
          <w:tcPr>
            <w:tcW w:w="1166" w:type="dxa"/>
            <w:tcBorders>
              <w:top w:val="single" w:color="auto" w:sz="6" w:space="0"/>
              <w:left w:val="single" w:color="auto" w:sz="6" w:space="0"/>
              <w:bottom w:val="single" w:color="auto" w:sz="6" w:space="0"/>
              <w:right w:val="single" w:color="auto" w:sz="6" w:space="0"/>
            </w:tcBorders>
          </w:tcPr>
          <w:p w14:paraId="15F028B1">
            <w:pPr>
              <w:autoSpaceDE w:val="0"/>
              <w:autoSpaceDN w:val="0"/>
              <w:jc w:val="center"/>
              <w:rPr>
                <w:rFonts w:ascii="宋体" w:hAnsi="宋体" w:cs="宋体"/>
                <w:color w:val="auto"/>
                <w:sz w:val="24"/>
                <w:highlight w:val="none"/>
              </w:rPr>
            </w:pPr>
          </w:p>
        </w:tc>
        <w:tc>
          <w:tcPr>
            <w:tcW w:w="1273" w:type="dxa"/>
            <w:tcBorders>
              <w:top w:val="single" w:color="auto" w:sz="6" w:space="0"/>
              <w:left w:val="single" w:color="auto" w:sz="6" w:space="0"/>
              <w:bottom w:val="single" w:color="auto" w:sz="6" w:space="0"/>
              <w:right w:val="single" w:color="auto" w:sz="6" w:space="0"/>
            </w:tcBorders>
          </w:tcPr>
          <w:p w14:paraId="70005CCD">
            <w:pPr>
              <w:autoSpaceDE w:val="0"/>
              <w:autoSpaceDN w:val="0"/>
              <w:jc w:val="center"/>
              <w:rPr>
                <w:rFonts w:ascii="宋体" w:hAnsi="宋体" w:cs="宋体"/>
                <w:color w:val="auto"/>
                <w:sz w:val="24"/>
                <w:highlight w:val="none"/>
              </w:rPr>
            </w:pPr>
          </w:p>
        </w:tc>
        <w:tc>
          <w:tcPr>
            <w:tcW w:w="1444" w:type="dxa"/>
            <w:tcBorders>
              <w:top w:val="single" w:color="auto" w:sz="6" w:space="0"/>
              <w:left w:val="single" w:color="auto" w:sz="6" w:space="0"/>
              <w:bottom w:val="single" w:color="auto" w:sz="6" w:space="0"/>
              <w:right w:val="single" w:color="auto" w:sz="6" w:space="0"/>
            </w:tcBorders>
          </w:tcPr>
          <w:p w14:paraId="7F2F933A">
            <w:pPr>
              <w:autoSpaceDE w:val="0"/>
              <w:autoSpaceDN w:val="0"/>
              <w:jc w:val="center"/>
              <w:rPr>
                <w:rFonts w:ascii="宋体" w:hAnsi="宋体" w:cs="宋体"/>
                <w:color w:val="auto"/>
                <w:sz w:val="24"/>
                <w:highlight w:val="none"/>
              </w:rPr>
            </w:pPr>
          </w:p>
        </w:tc>
        <w:tc>
          <w:tcPr>
            <w:tcW w:w="2209" w:type="dxa"/>
            <w:tcBorders>
              <w:top w:val="single" w:color="auto" w:sz="6" w:space="0"/>
              <w:left w:val="single" w:color="auto" w:sz="6" w:space="0"/>
              <w:bottom w:val="single" w:color="auto" w:sz="6" w:space="0"/>
              <w:right w:val="single" w:color="auto" w:sz="6" w:space="0"/>
            </w:tcBorders>
          </w:tcPr>
          <w:p w14:paraId="7AA906BF">
            <w:pPr>
              <w:autoSpaceDE w:val="0"/>
              <w:autoSpaceDN w:val="0"/>
              <w:jc w:val="center"/>
              <w:rPr>
                <w:rFonts w:ascii="宋体" w:hAnsi="宋体" w:cs="宋体"/>
                <w:color w:val="auto"/>
                <w:sz w:val="24"/>
                <w:highlight w:val="none"/>
              </w:rPr>
            </w:pPr>
          </w:p>
        </w:tc>
        <w:tc>
          <w:tcPr>
            <w:tcW w:w="2067" w:type="dxa"/>
            <w:tcBorders>
              <w:top w:val="single" w:color="auto" w:sz="6" w:space="0"/>
              <w:left w:val="single" w:color="auto" w:sz="6" w:space="0"/>
              <w:bottom w:val="single" w:color="auto" w:sz="6" w:space="0"/>
              <w:right w:val="single" w:color="auto" w:sz="6" w:space="0"/>
            </w:tcBorders>
          </w:tcPr>
          <w:p w14:paraId="2D03BD82">
            <w:pPr>
              <w:autoSpaceDE w:val="0"/>
              <w:autoSpaceDN w:val="0"/>
              <w:jc w:val="center"/>
              <w:rPr>
                <w:rFonts w:ascii="宋体" w:hAnsi="宋体" w:cs="宋体"/>
                <w:color w:val="auto"/>
                <w:sz w:val="24"/>
                <w:highlight w:val="none"/>
              </w:rPr>
            </w:pPr>
          </w:p>
        </w:tc>
        <w:tc>
          <w:tcPr>
            <w:tcW w:w="1011" w:type="dxa"/>
            <w:tcBorders>
              <w:top w:val="single" w:color="auto" w:sz="6" w:space="0"/>
              <w:left w:val="single" w:color="auto" w:sz="6" w:space="0"/>
              <w:bottom w:val="single" w:color="auto" w:sz="6" w:space="0"/>
              <w:right w:val="single" w:color="auto" w:sz="6" w:space="0"/>
            </w:tcBorders>
          </w:tcPr>
          <w:p w14:paraId="7B76EFA2">
            <w:pPr>
              <w:autoSpaceDE w:val="0"/>
              <w:autoSpaceDN w:val="0"/>
              <w:jc w:val="center"/>
              <w:rPr>
                <w:rFonts w:ascii="宋体" w:hAnsi="宋体" w:cs="宋体"/>
                <w:color w:val="auto"/>
                <w:sz w:val="24"/>
                <w:highlight w:val="none"/>
              </w:rPr>
            </w:pPr>
          </w:p>
        </w:tc>
      </w:tr>
      <w:tr w14:paraId="2A168215">
        <w:tblPrEx>
          <w:tblCellMar>
            <w:top w:w="0" w:type="dxa"/>
            <w:left w:w="108" w:type="dxa"/>
            <w:bottom w:w="0" w:type="dxa"/>
            <w:right w:w="108" w:type="dxa"/>
          </w:tblCellMar>
        </w:tblPrEx>
        <w:trPr>
          <w:trHeight w:val="578" w:hRule="atLeast"/>
        </w:trPr>
        <w:tc>
          <w:tcPr>
            <w:tcW w:w="655" w:type="dxa"/>
            <w:tcBorders>
              <w:top w:val="single" w:color="auto" w:sz="6" w:space="0"/>
              <w:left w:val="single" w:color="auto" w:sz="6" w:space="0"/>
              <w:bottom w:val="single" w:color="auto" w:sz="6" w:space="0"/>
              <w:right w:val="single" w:color="auto" w:sz="6" w:space="0"/>
            </w:tcBorders>
            <w:vAlign w:val="center"/>
          </w:tcPr>
          <w:p w14:paraId="1B25AB60">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2</w:t>
            </w:r>
          </w:p>
        </w:tc>
        <w:tc>
          <w:tcPr>
            <w:tcW w:w="1117" w:type="dxa"/>
            <w:tcBorders>
              <w:top w:val="single" w:color="auto" w:sz="6" w:space="0"/>
              <w:left w:val="single" w:color="auto" w:sz="6" w:space="0"/>
              <w:bottom w:val="single" w:color="auto" w:sz="6" w:space="0"/>
              <w:right w:val="single" w:color="auto" w:sz="6" w:space="0"/>
            </w:tcBorders>
          </w:tcPr>
          <w:p w14:paraId="76BCBDC3">
            <w:pPr>
              <w:autoSpaceDE w:val="0"/>
              <w:autoSpaceDN w:val="0"/>
              <w:jc w:val="center"/>
              <w:rPr>
                <w:rFonts w:ascii="宋体" w:hAnsi="宋体" w:cs="宋体"/>
                <w:color w:val="auto"/>
                <w:sz w:val="24"/>
                <w:highlight w:val="none"/>
              </w:rPr>
            </w:pPr>
          </w:p>
        </w:tc>
        <w:tc>
          <w:tcPr>
            <w:tcW w:w="1289" w:type="dxa"/>
            <w:tcBorders>
              <w:top w:val="single" w:color="auto" w:sz="6" w:space="0"/>
              <w:left w:val="single" w:color="auto" w:sz="6" w:space="0"/>
              <w:bottom w:val="single" w:color="auto" w:sz="6" w:space="0"/>
              <w:right w:val="single" w:color="auto" w:sz="6" w:space="0"/>
            </w:tcBorders>
          </w:tcPr>
          <w:p w14:paraId="04EE430D">
            <w:pPr>
              <w:autoSpaceDE w:val="0"/>
              <w:autoSpaceDN w:val="0"/>
              <w:jc w:val="center"/>
              <w:rPr>
                <w:rFonts w:ascii="宋体" w:hAnsi="宋体" w:cs="宋体"/>
                <w:color w:val="auto"/>
                <w:sz w:val="24"/>
                <w:highlight w:val="none"/>
              </w:rPr>
            </w:pPr>
          </w:p>
        </w:tc>
        <w:tc>
          <w:tcPr>
            <w:tcW w:w="1124" w:type="dxa"/>
            <w:tcBorders>
              <w:top w:val="single" w:color="auto" w:sz="6" w:space="0"/>
              <w:left w:val="single" w:color="auto" w:sz="6" w:space="0"/>
              <w:bottom w:val="single" w:color="auto" w:sz="6" w:space="0"/>
              <w:right w:val="single" w:color="auto" w:sz="6" w:space="0"/>
            </w:tcBorders>
          </w:tcPr>
          <w:p w14:paraId="5EAA67F3">
            <w:pPr>
              <w:autoSpaceDE w:val="0"/>
              <w:autoSpaceDN w:val="0"/>
              <w:jc w:val="center"/>
              <w:rPr>
                <w:rFonts w:ascii="宋体" w:hAnsi="宋体" w:cs="宋体"/>
                <w:color w:val="auto"/>
                <w:sz w:val="24"/>
                <w:highlight w:val="none"/>
              </w:rPr>
            </w:pPr>
          </w:p>
        </w:tc>
        <w:tc>
          <w:tcPr>
            <w:tcW w:w="1166" w:type="dxa"/>
            <w:tcBorders>
              <w:top w:val="single" w:color="auto" w:sz="6" w:space="0"/>
              <w:left w:val="single" w:color="auto" w:sz="6" w:space="0"/>
              <w:bottom w:val="single" w:color="auto" w:sz="6" w:space="0"/>
              <w:right w:val="single" w:color="auto" w:sz="6" w:space="0"/>
            </w:tcBorders>
          </w:tcPr>
          <w:p w14:paraId="35849289">
            <w:pPr>
              <w:autoSpaceDE w:val="0"/>
              <w:autoSpaceDN w:val="0"/>
              <w:jc w:val="center"/>
              <w:rPr>
                <w:rFonts w:ascii="宋体" w:hAnsi="宋体" w:cs="宋体"/>
                <w:color w:val="auto"/>
                <w:sz w:val="24"/>
                <w:highlight w:val="none"/>
              </w:rPr>
            </w:pPr>
          </w:p>
        </w:tc>
        <w:tc>
          <w:tcPr>
            <w:tcW w:w="1273" w:type="dxa"/>
            <w:tcBorders>
              <w:top w:val="single" w:color="auto" w:sz="6" w:space="0"/>
              <w:left w:val="single" w:color="auto" w:sz="6" w:space="0"/>
              <w:bottom w:val="single" w:color="auto" w:sz="6" w:space="0"/>
              <w:right w:val="single" w:color="auto" w:sz="6" w:space="0"/>
            </w:tcBorders>
          </w:tcPr>
          <w:p w14:paraId="0308D4A0">
            <w:pPr>
              <w:autoSpaceDE w:val="0"/>
              <w:autoSpaceDN w:val="0"/>
              <w:jc w:val="center"/>
              <w:rPr>
                <w:rFonts w:ascii="宋体" w:hAnsi="宋体" w:cs="宋体"/>
                <w:color w:val="auto"/>
                <w:sz w:val="24"/>
                <w:highlight w:val="none"/>
              </w:rPr>
            </w:pPr>
          </w:p>
        </w:tc>
        <w:tc>
          <w:tcPr>
            <w:tcW w:w="1444" w:type="dxa"/>
            <w:tcBorders>
              <w:top w:val="single" w:color="auto" w:sz="6" w:space="0"/>
              <w:left w:val="single" w:color="auto" w:sz="6" w:space="0"/>
              <w:bottom w:val="single" w:color="auto" w:sz="6" w:space="0"/>
              <w:right w:val="single" w:color="auto" w:sz="6" w:space="0"/>
            </w:tcBorders>
          </w:tcPr>
          <w:p w14:paraId="437521B4">
            <w:pPr>
              <w:autoSpaceDE w:val="0"/>
              <w:autoSpaceDN w:val="0"/>
              <w:jc w:val="center"/>
              <w:rPr>
                <w:rFonts w:ascii="宋体" w:hAnsi="宋体" w:cs="宋体"/>
                <w:color w:val="auto"/>
                <w:sz w:val="24"/>
                <w:highlight w:val="none"/>
              </w:rPr>
            </w:pPr>
          </w:p>
        </w:tc>
        <w:tc>
          <w:tcPr>
            <w:tcW w:w="2209" w:type="dxa"/>
            <w:tcBorders>
              <w:top w:val="single" w:color="auto" w:sz="6" w:space="0"/>
              <w:left w:val="single" w:color="auto" w:sz="6" w:space="0"/>
              <w:bottom w:val="single" w:color="auto" w:sz="6" w:space="0"/>
              <w:right w:val="single" w:color="auto" w:sz="6" w:space="0"/>
            </w:tcBorders>
          </w:tcPr>
          <w:p w14:paraId="7433D16C">
            <w:pPr>
              <w:autoSpaceDE w:val="0"/>
              <w:autoSpaceDN w:val="0"/>
              <w:jc w:val="center"/>
              <w:rPr>
                <w:rFonts w:ascii="宋体" w:hAnsi="宋体" w:cs="宋体"/>
                <w:color w:val="auto"/>
                <w:sz w:val="24"/>
                <w:highlight w:val="none"/>
              </w:rPr>
            </w:pPr>
          </w:p>
        </w:tc>
        <w:tc>
          <w:tcPr>
            <w:tcW w:w="2067" w:type="dxa"/>
            <w:tcBorders>
              <w:top w:val="single" w:color="auto" w:sz="6" w:space="0"/>
              <w:left w:val="single" w:color="auto" w:sz="6" w:space="0"/>
              <w:bottom w:val="single" w:color="auto" w:sz="6" w:space="0"/>
              <w:right w:val="single" w:color="auto" w:sz="6" w:space="0"/>
            </w:tcBorders>
          </w:tcPr>
          <w:p w14:paraId="705824C9">
            <w:pPr>
              <w:autoSpaceDE w:val="0"/>
              <w:autoSpaceDN w:val="0"/>
              <w:jc w:val="center"/>
              <w:rPr>
                <w:rFonts w:ascii="宋体" w:hAnsi="宋体" w:cs="宋体"/>
                <w:color w:val="auto"/>
                <w:sz w:val="24"/>
                <w:highlight w:val="none"/>
              </w:rPr>
            </w:pPr>
          </w:p>
        </w:tc>
        <w:tc>
          <w:tcPr>
            <w:tcW w:w="1011" w:type="dxa"/>
            <w:tcBorders>
              <w:top w:val="single" w:color="auto" w:sz="6" w:space="0"/>
              <w:left w:val="single" w:color="auto" w:sz="6" w:space="0"/>
              <w:bottom w:val="single" w:color="auto" w:sz="6" w:space="0"/>
              <w:right w:val="single" w:color="auto" w:sz="6" w:space="0"/>
            </w:tcBorders>
          </w:tcPr>
          <w:p w14:paraId="4C6B7015">
            <w:pPr>
              <w:autoSpaceDE w:val="0"/>
              <w:autoSpaceDN w:val="0"/>
              <w:jc w:val="center"/>
              <w:rPr>
                <w:rFonts w:ascii="宋体" w:hAnsi="宋体" w:cs="宋体"/>
                <w:color w:val="auto"/>
                <w:sz w:val="24"/>
                <w:highlight w:val="none"/>
              </w:rPr>
            </w:pPr>
          </w:p>
        </w:tc>
      </w:tr>
      <w:tr w14:paraId="258578E0">
        <w:tblPrEx>
          <w:tblCellMar>
            <w:top w:w="0" w:type="dxa"/>
            <w:left w:w="108" w:type="dxa"/>
            <w:bottom w:w="0" w:type="dxa"/>
            <w:right w:w="108" w:type="dxa"/>
          </w:tblCellMar>
        </w:tblPrEx>
        <w:trPr>
          <w:trHeight w:val="823" w:hRule="atLeast"/>
        </w:trPr>
        <w:tc>
          <w:tcPr>
            <w:tcW w:w="655" w:type="dxa"/>
            <w:tcBorders>
              <w:top w:val="single" w:color="auto" w:sz="6" w:space="0"/>
              <w:left w:val="single" w:color="auto" w:sz="6" w:space="0"/>
              <w:bottom w:val="single" w:color="auto" w:sz="6" w:space="0"/>
              <w:right w:val="single" w:color="auto" w:sz="6" w:space="0"/>
            </w:tcBorders>
            <w:vAlign w:val="center"/>
          </w:tcPr>
          <w:p w14:paraId="0EB6CD42">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w:t>
            </w:r>
          </w:p>
        </w:tc>
        <w:tc>
          <w:tcPr>
            <w:tcW w:w="1117" w:type="dxa"/>
            <w:tcBorders>
              <w:top w:val="single" w:color="auto" w:sz="6" w:space="0"/>
              <w:left w:val="single" w:color="auto" w:sz="6" w:space="0"/>
              <w:bottom w:val="single" w:color="auto" w:sz="6" w:space="0"/>
              <w:right w:val="single" w:color="auto" w:sz="6" w:space="0"/>
            </w:tcBorders>
          </w:tcPr>
          <w:p w14:paraId="7B0D5655">
            <w:pPr>
              <w:autoSpaceDE w:val="0"/>
              <w:autoSpaceDN w:val="0"/>
              <w:jc w:val="center"/>
              <w:rPr>
                <w:rFonts w:ascii="宋体" w:hAnsi="宋体" w:cs="宋体"/>
                <w:color w:val="auto"/>
                <w:sz w:val="24"/>
                <w:highlight w:val="none"/>
              </w:rPr>
            </w:pPr>
          </w:p>
        </w:tc>
        <w:tc>
          <w:tcPr>
            <w:tcW w:w="1289" w:type="dxa"/>
            <w:tcBorders>
              <w:top w:val="single" w:color="auto" w:sz="6" w:space="0"/>
              <w:left w:val="single" w:color="auto" w:sz="6" w:space="0"/>
              <w:bottom w:val="single" w:color="auto" w:sz="6" w:space="0"/>
              <w:right w:val="single" w:color="auto" w:sz="6" w:space="0"/>
            </w:tcBorders>
          </w:tcPr>
          <w:p w14:paraId="01CBCACA">
            <w:pPr>
              <w:autoSpaceDE w:val="0"/>
              <w:autoSpaceDN w:val="0"/>
              <w:jc w:val="center"/>
              <w:rPr>
                <w:rFonts w:ascii="宋体" w:hAnsi="宋体" w:cs="宋体"/>
                <w:color w:val="auto"/>
                <w:sz w:val="24"/>
                <w:highlight w:val="none"/>
              </w:rPr>
            </w:pPr>
          </w:p>
        </w:tc>
        <w:tc>
          <w:tcPr>
            <w:tcW w:w="1124" w:type="dxa"/>
            <w:tcBorders>
              <w:top w:val="single" w:color="auto" w:sz="6" w:space="0"/>
              <w:left w:val="single" w:color="auto" w:sz="6" w:space="0"/>
              <w:bottom w:val="single" w:color="auto" w:sz="6" w:space="0"/>
              <w:right w:val="single" w:color="auto" w:sz="6" w:space="0"/>
            </w:tcBorders>
          </w:tcPr>
          <w:p w14:paraId="786591D7">
            <w:pPr>
              <w:autoSpaceDE w:val="0"/>
              <w:autoSpaceDN w:val="0"/>
              <w:jc w:val="center"/>
              <w:rPr>
                <w:rFonts w:ascii="宋体" w:hAnsi="宋体" w:cs="宋体"/>
                <w:color w:val="auto"/>
                <w:sz w:val="24"/>
                <w:highlight w:val="none"/>
              </w:rPr>
            </w:pPr>
          </w:p>
        </w:tc>
        <w:tc>
          <w:tcPr>
            <w:tcW w:w="1166" w:type="dxa"/>
            <w:tcBorders>
              <w:top w:val="single" w:color="auto" w:sz="6" w:space="0"/>
              <w:left w:val="single" w:color="auto" w:sz="6" w:space="0"/>
              <w:bottom w:val="single" w:color="auto" w:sz="6" w:space="0"/>
              <w:right w:val="single" w:color="auto" w:sz="6" w:space="0"/>
            </w:tcBorders>
          </w:tcPr>
          <w:p w14:paraId="73E289DA">
            <w:pPr>
              <w:autoSpaceDE w:val="0"/>
              <w:autoSpaceDN w:val="0"/>
              <w:jc w:val="center"/>
              <w:rPr>
                <w:rFonts w:ascii="宋体" w:hAnsi="宋体" w:cs="宋体"/>
                <w:color w:val="auto"/>
                <w:sz w:val="24"/>
                <w:highlight w:val="none"/>
              </w:rPr>
            </w:pPr>
          </w:p>
        </w:tc>
        <w:tc>
          <w:tcPr>
            <w:tcW w:w="1273" w:type="dxa"/>
            <w:tcBorders>
              <w:top w:val="single" w:color="auto" w:sz="6" w:space="0"/>
              <w:left w:val="single" w:color="auto" w:sz="6" w:space="0"/>
              <w:bottom w:val="single" w:color="auto" w:sz="6" w:space="0"/>
              <w:right w:val="single" w:color="auto" w:sz="6" w:space="0"/>
            </w:tcBorders>
          </w:tcPr>
          <w:p w14:paraId="36E77754">
            <w:pPr>
              <w:autoSpaceDE w:val="0"/>
              <w:autoSpaceDN w:val="0"/>
              <w:jc w:val="center"/>
              <w:rPr>
                <w:rFonts w:ascii="宋体" w:hAnsi="宋体" w:cs="宋体"/>
                <w:color w:val="auto"/>
                <w:sz w:val="24"/>
                <w:highlight w:val="none"/>
              </w:rPr>
            </w:pPr>
          </w:p>
        </w:tc>
        <w:tc>
          <w:tcPr>
            <w:tcW w:w="1444" w:type="dxa"/>
            <w:tcBorders>
              <w:top w:val="single" w:color="auto" w:sz="6" w:space="0"/>
              <w:left w:val="single" w:color="auto" w:sz="6" w:space="0"/>
              <w:bottom w:val="single" w:color="auto" w:sz="6" w:space="0"/>
              <w:right w:val="single" w:color="auto" w:sz="6" w:space="0"/>
            </w:tcBorders>
          </w:tcPr>
          <w:p w14:paraId="3EE3CEB1">
            <w:pPr>
              <w:autoSpaceDE w:val="0"/>
              <w:autoSpaceDN w:val="0"/>
              <w:jc w:val="center"/>
              <w:rPr>
                <w:rFonts w:ascii="宋体" w:hAnsi="宋体" w:cs="宋体"/>
                <w:color w:val="auto"/>
                <w:sz w:val="24"/>
                <w:highlight w:val="none"/>
              </w:rPr>
            </w:pPr>
          </w:p>
        </w:tc>
        <w:tc>
          <w:tcPr>
            <w:tcW w:w="2209" w:type="dxa"/>
            <w:tcBorders>
              <w:top w:val="single" w:color="auto" w:sz="6" w:space="0"/>
              <w:left w:val="single" w:color="auto" w:sz="6" w:space="0"/>
              <w:bottom w:val="single" w:color="auto" w:sz="6" w:space="0"/>
              <w:right w:val="single" w:color="auto" w:sz="6" w:space="0"/>
            </w:tcBorders>
          </w:tcPr>
          <w:p w14:paraId="36B5EA12">
            <w:pPr>
              <w:autoSpaceDE w:val="0"/>
              <w:autoSpaceDN w:val="0"/>
              <w:jc w:val="center"/>
              <w:rPr>
                <w:rFonts w:ascii="宋体" w:hAnsi="宋体" w:cs="宋体"/>
                <w:color w:val="auto"/>
                <w:sz w:val="24"/>
                <w:highlight w:val="none"/>
              </w:rPr>
            </w:pPr>
          </w:p>
        </w:tc>
        <w:tc>
          <w:tcPr>
            <w:tcW w:w="2067" w:type="dxa"/>
            <w:tcBorders>
              <w:top w:val="single" w:color="auto" w:sz="6" w:space="0"/>
              <w:left w:val="single" w:color="auto" w:sz="6" w:space="0"/>
              <w:bottom w:val="single" w:color="auto" w:sz="6" w:space="0"/>
              <w:right w:val="single" w:color="auto" w:sz="6" w:space="0"/>
            </w:tcBorders>
          </w:tcPr>
          <w:p w14:paraId="1E40D8C2">
            <w:pPr>
              <w:autoSpaceDE w:val="0"/>
              <w:autoSpaceDN w:val="0"/>
              <w:jc w:val="center"/>
              <w:rPr>
                <w:rFonts w:ascii="宋体" w:hAnsi="宋体" w:cs="宋体"/>
                <w:color w:val="auto"/>
                <w:sz w:val="24"/>
                <w:highlight w:val="none"/>
              </w:rPr>
            </w:pPr>
          </w:p>
        </w:tc>
        <w:tc>
          <w:tcPr>
            <w:tcW w:w="1011" w:type="dxa"/>
            <w:tcBorders>
              <w:top w:val="single" w:color="auto" w:sz="6" w:space="0"/>
              <w:left w:val="single" w:color="auto" w:sz="6" w:space="0"/>
              <w:bottom w:val="single" w:color="auto" w:sz="6" w:space="0"/>
              <w:right w:val="single" w:color="auto" w:sz="6" w:space="0"/>
            </w:tcBorders>
          </w:tcPr>
          <w:p w14:paraId="05DAA9C7">
            <w:pPr>
              <w:autoSpaceDE w:val="0"/>
              <w:autoSpaceDN w:val="0"/>
              <w:jc w:val="center"/>
              <w:rPr>
                <w:rFonts w:ascii="宋体" w:hAnsi="宋体" w:cs="宋体"/>
                <w:color w:val="auto"/>
                <w:sz w:val="24"/>
                <w:highlight w:val="none"/>
              </w:rPr>
            </w:pPr>
          </w:p>
        </w:tc>
      </w:tr>
    </w:tbl>
    <w:p w14:paraId="21370CAC">
      <w:pPr>
        <w:autoSpaceDE w:val="0"/>
        <w:autoSpaceDN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w:t>
      </w:r>
    </w:p>
    <w:p w14:paraId="4837006A">
      <w:pPr>
        <w:spacing w:line="360" w:lineRule="auto"/>
        <w:ind w:firstLine="420" w:firstLineChars="175"/>
        <w:outlineLvl w:val="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.委托单位应为政府投资项目价款审核相关部门，如财政部门、住建部门等。</w:t>
      </w:r>
    </w:p>
    <w:p w14:paraId="0B2A451F">
      <w:pPr>
        <w:spacing w:line="360" w:lineRule="auto"/>
        <w:ind w:firstLine="420" w:firstLineChars="175"/>
        <w:outlineLvl w:val="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.供应商应对照评标办法前附表第</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条要求的要素，填写《供应商满足评标办法第</w:t>
      </w:r>
      <w:r>
        <w:rPr>
          <w:rFonts w:hint="eastAsia" w:ascii="宋体" w:hAnsi="宋体" w:cs="宋体"/>
          <w:color w:val="auto"/>
          <w:sz w:val="24"/>
          <w:highlight w:val="none"/>
          <w:lang w:eastAsia="zh-CN"/>
        </w:rPr>
        <w:t>四</w:t>
      </w:r>
      <w:r>
        <w:rPr>
          <w:rFonts w:hint="eastAsia" w:ascii="宋体" w:hAnsi="宋体" w:cs="宋体"/>
          <w:color w:val="auto"/>
          <w:sz w:val="24"/>
          <w:highlight w:val="none"/>
        </w:rPr>
        <w:t>条的类似项目业绩表》，并核验自有相关证明材料并填写完整，填写不完整或有明显错误的评标委员会均不予认可，可能按虚假应标予以废标并通报采购监督管理部门。</w:t>
      </w:r>
    </w:p>
    <w:p w14:paraId="108260EA">
      <w:pPr>
        <w:autoSpaceDE w:val="0"/>
        <w:autoSpaceDN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4.供应商应按本表内容填写相关信息，不得随意修改表格内容，且须随表提交相应的证明文件（表中明确的自有材料）。</w:t>
      </w:r>
    </w:p>
    <w:p w14:paraId="7A246F50">
      <w:pPr>
        <w:autoSpaceDE w:val="0"/>
        <w:autoSpaceDN w:val="0"/>
        <w:spacing w:line="360" w:lineRule="auto"/>
        <w:ind w:firstLine="420" w:firstLineChars="175"/>
        <w:rPr>
          <w:rFonts w:ascii="宋体" w:hAnsi="宋体" w:cs="宋体"/>
          <w:b/>
          <w:bCs/>
          <w:color w:val="auto"/>
          <w:sz w:val="24"/>
          <w:highlight w:val="none"/>
        </w:rPr>
      </w:pPr>
      <w:r>
        <w:rPr>
          <w:rFonts w:hint="eastAsia" w:ascii="宋体" w:hAnsi="宋体" w:cs="宋体"/>
          <w:color w:val="auto"/>
          <w:sz w:val="24"/>
          <w:highlight w:val="none"/>
        </w:rPr>
        <w:t>5.如发现供应商存在提供虚假材料谋取中标、成交的情形的，且征集人将把情况报政府采购监督管理部门，并按照《中华人民共和国政府采购法》第七十七条规定，中标、成交无效，并可能承担“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等法律责任。</w:t>
      </w:r>
    </w:p>
    <w:p w14:paraId="0B787815">
      <w:pPr>
        <w:autoSpaceDE w:val="0"/>
        <w:autoSpaceDN w:val="0"/>
        <w:spacing w:line="360" w:lineRule="auto"/>
        <w:rPr>
          <w:rFonts w:ascii="宋体" w:hAnsi="宋体" w:cs="宋体"/>
          <w:b/>
          <w:bCs/>
          <w:color w:val="auto"/>
          <w:sz w:val="24"/>
          <w:highlight w:val="none"/>
        </w:rPr>
      </w:pPr>
    </w:p>
    <w:p w14:paraId="048CBC3C">
      <w:pPr>
        <w:autoSpaceDE w:val="0"/>
        <w:autoSpaceDN w:val="0"/>
        <w:spacing w:line="360" w:lineRule="auto"/>
        <w:rPr>
          <w:rFonts w:ascii="宋体" w:hAnsi="宋体" w:cs="宋体"/>
          <w:b/>
          <w:bCs/>
          <w:color w:val="auto"/>
          <w:sz w:val="24"/>
          <w:highlight w:val="none"/>
        </w:rPr>
      </w:pPr>
    </w:p>
    <w:p w14:paraId="20B84858">
      <w:pPr>
        <w:spacing w:line="360" w:lineRule="auto"/>
        <w:ind w:firstLine="9840" w:firstLineChars="4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响应供应商名称(电子签名)：</w:t>
      </w:r>
    </w:p>
    <w:p w14:paraId="3799082D">
      <w:pPr>
        <w:spacing w:line="360" w:lineRule="auto"/>
        <w:ind w:firstLine="10080" w:firstLineChars="4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82E4CC8">
      <w:pPr>
        <w:rPr>
          <w:rFonts w:hint="eastAsia" w:ascii="宋体" w:hAnsi="宋体" w:cs="宋体"/>
          <w:b/>
          <w:color w:val="auto"/>
          <w:sz w:val="24"/>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titlePg/>
          <w:docGrid w:linePitch="312" w:charSpace="0"/>
        </w:sectPr>
      </w:pPr>
    </w:p>
    <w:p w14:paraId="70C7CF0A">
      <w:pPr>
        <w:rPr>
          <w:rFonts w:ascii="宋体" w:hAnsi="宋体" w:eastAsia="宋体" w:cs="宋体"/>
          <w:color w:val="auto"/>
          <w:highlight w:val="none"/>
        </w:rPr>
      </w:pP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项的类似</w:t>
      </w:r>
      <w:r>
        <w:rPr>
          <w:rFonts w:hint="eastAsia" w:ascii="宋体" w:hAnsi="宋体" w:cs="宋体"/>
          <w:b/>
          <w:color w:val="auto"/>
          <w:sz w:val="24"/>
          <w:highlight w:val="none"/>
          <w:lang w:eastAsia="zh-CN"/>
        </w:rPr>
        <w:t>结算</w:t>
      </w:r>
      <w:r>
        <w:rPr>
          <w:rFonts w:hint="eastAsia" w:ascii="宋体" w:hAnsi="宋体" w:cs="宋体"/>
          <w:b/>
          <w:color w:val="auto"/>
          <w:sz w:val="24"/>
          <w:highlight w:val="none"/>
        </w:rPr>
        <w:t>项目</w:t>
      </w:r>
      <w:r>
        <w:rPr>
          <w:rFonts w:hint="eastAsia" w:ascii="宋体" w:hAnsi="宋体" w:cs="宋体"/>
          <w:b/>
          <w:color w:val="auto"/>
          <w:sz w:val="24"/>
          <w:highlight w:val="none"/>
          <w:lang w:eastAsia="zh-CN"/>
        </w:rPr>
        <w:t>人员</w:t>
      </w:r>
      <w:r>
        <w:rPr>
          <w:rFonts w:hint="eastAsia" w:ascii="宋体" w:hAnsi="宋体" w:cs="宋体"/>
          <w:b/>
          <w:color w:val="auto"/>
          <w:sz w:val="24"/>
          <w:highlight w:val="none"/>
          <w:lang w:val="zh-CN"/>
        </w:rPr>
        <w:t>业绩</w:t>
      </w:r>
      <w:r>
        <w:rPr>
          <w:rFonts w:hint="eastAsia" w:ascii="宋体" w:hAnsi="宋体" w:cs="宋体"/>
          <w:b/>
          <w:color w:val="auto"/>
          <w:sz w:val="24"/>
          <w:highlight w:val="none"/>
        </w:rPr>
        <w:t>表</w:t>
      </w:r>
    </w:p>
    <w:tbl>
      <w:tblPr>
        <w:tblStyle w:val="51"/>
        <w:tblpPr w:leftFromText="180" w:rightFromText="180" w:vertAnchor="text" w:horzAnchor="page" w:tblpX="1127" w:tblpY="362"/>
        <w:tblOverlap w:val="never"/>
        <w:tblW w:w="14043" w:type="dxa"/>
        <w:tblInd w:w="0" w:type="dxa"/>
        <w:tblLayout w:type="fixed"/>
        <w:tblCellMar>
          <w:top w:w="0" w:type="dxa"/>
          <w:left w:w="108" w:type="dxa"/>
          <w:bottom w:w="0" w:type="dxa"/>
          <w:right w:w="108" w:type="dxa"/>
        </w:tblCellMar>
      </w:tblPr>
      <w:tblGrid>
        <w:gridCol w:w="777"/>
        <w:gridCol w:w="1250"/>
        <w:gridCol w:w="1216"/>
        <w:gridCol w:w="1750"/>
        <w:gridCol w:w="1500"/>
        <w:gridCol w:w="1334"/>
        <w:gridCol w:w="1800"/>
        <w:gridCol w:w="1816"/>
        <w:gridCol w:w="1414"/>
        <w:gridCol w:w="1186"/>
      </w:tblGrid>
      <w:tr w14:paraId="67AB65EE">
        <w:tblPrEx>
          <w:tblCellMar>
            <w:top w:w="0" w:type="dxa"/>
            <w:left w:w="108" w:type="dxa"/>
            <w:bottom w:w="0" w:type="dxa"/>
            <w:right w:w="108" w:type="dxa"/>
          </w:tblCellMar>
        </w:tblPrEx>
        <w:trPr>
          <w:trHeight w:val="1268" w:hRule="atLeast"/>
        </w:trPr>
        <w:tc>
          <w:tcPr>
            <w:tcW w:w="777" w:type="dxa"/>
            <w:tcBorders>
              <w:top w:val="single" w:color="auto" w:sz="6" w:space="0"/>
              <w:left w:val="single" w:color="auto" w:sz="6" w:space="0"/>
              <w:bottom w:val="single" w:color="auto" w:sz="6" w:space="0"/>
              <w:right w:val="single" w:color="auto" w:sz="6" w:space="0"/>
            </w:tcBorders>
            <w:vAlign w:val="center"/>
          </w:tcPr>
          <w:p w14:paraId="31EF44C4">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250" w:type="dxa"/>
            <w:tcBorders>
              <w:top w:val="single" w:color="auto" w:sz="6" w:space="0"/>
              <w:left w:val="single" w:color="auto" w:sz="6" w:space="0"/>
              <w:bottom w:val="single" w:color="auto" w:sz="6" w:space="0"/>
              <w:right w:val="single" w:color="auto" w:sz="6" w:space="0"/>
            </w:tcBorders>
            <w:vAlign w:val="center"/>
          </w:tcPr>
          <w:p w14:paraId="317BFB10">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216" w:type="dxa"/>
            <w:tcBorders>
              <w:top w:val="single" w:color="auto" w:sz="6" w:space="0"/>
              <w:left w:val="single" w:color="auto" w:sz="6" w:space="0"/>
              <w:bottom w:val="single" w:color="auto" w:sz="6" w:space="0"/>
              <w:right w:val="single" w:color="auto" w:sz="6" w:space="0"/>
            </w:tcBorders>
            <w:vAlign w:val="center"/>
          </w:tcPr>
          <w:p w14:paraId="121890EB">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委托合同签订时间</w:t>
            </w:r>
          </w:p>
        </w:tc>
        <w:tc>
          <w:tcPr>
            <w:tcW w:w="1750" w:type="dxa"/>
            <w:tcBorders>
              <w:top w:val="single" w:color="auto" w:sz="6" w:space="0"/>
              <w:left w:val="single" w:color="auto" w:sz="6" w:space="0"/>
              <w:bottom w:val="single" w:color="auto" w:sz="6" w:space="0"/>
              <w:right w:val="single" w:color="auto" w:sz="6" w:space="0"/>
            </w:tcBorders>
            <w:vAlign w:val="center"/>
          </w:tcPr>
          <w:p w14:paraId="786D07FF">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委托单位</w:t>
            </w:r>
          </w:p>
        </w:tc>
        <w:tc>
          <w:tcPr>
            <w:tcW w:w="1500" w:type="dxa"/>
            <w:tcBorders>
              <w:top w:val="single" w:color="auto" w:sz="6" w:space="0"/>
              <w:left w:val="single" w:color="auto" w:sz="6" w:space="0"/>
              <w:bottom w:val="single" w:color="auto" w:sz="6" w:space="0"/>
              <w:right w:val="single" w:color="auto" w:sz="6" w:space="0"/>
            </w:tcBorders>
            <w:vAlign w:val="center"/>
          </w:tcPr>
          <w:p w14:paraId="545C69FC">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eastAsia="zh-CN"/>
              </w:rPr>
              <w:t>实施单位</w:t>
            </w:r>
          </w:p>
        </w:tc>
        <w:tc>
          <w:tcPr>
            <w:tcW w:w="1334" w:type="dxa"/>
            <w:tcBorders>
              <w:top w:val="single" w:color="auto" w:sz="6" w:space="0"/>
              <w:left w:val="single" w:color="auto" w:sz="6" w:space="0"/>
              <w:bottom w:val="single" w:color="auto" w:sz="6" w:space="0"/>
              <w:right w:val="single" w:color="auto" w:sz="6" w:space="0"/>
            </w:tcBorders>
            <w:vAlign w:val="center"/>
          </w:tcPr>
          <w:p w14:paraId="0AE1BDE4">
            <w:pPr>
              <w:autoSpaceDE w:val="0"/>
              <w:autoSpaceDN w:val="0"/>
              <w:jc w:val="center"/>
              <w:rPr>
                <w:rFonts w:ascii="宋体" w:hAnsi="宋体" w:cs="宋体"/>
                <w:color w:val="auto"/>
                <w:sz w:val="24"/>
                <w:highlight w:val="none"/>
              </w:rPr>
            </w:pPr>
            <w:r>
              <w:rPr>
                <w:rFonts w:hint="eastAsia" w:ascii="宋体" w:hAnsi="宋体" w:cs="宋体"/>
                <w:color w:val="auto"/>
                <w:sz w:val="24"/>
                <w:highlight w:val="none"/>
                <w:lang w:eastAsia="zh-CN"/>
              </w:rPr>
              <w:t>实施人员姓名</w:t>
            </w:r>
          </w:p>
        </w:tc>
        <w:tc>
          <w:tcPr>
            <w:tcW w:w="1800" w:type="dxa"/>
            <w:tcBorders>
              <w:top w:val="single" w:color="auto" w:sz="6" w:space="0"/>
              <w:left w:val="single" w:color="auto" w:sz="6" w:space="0"/>
              <w:bottom w:val="single" w:color="auto" w:sz="6" w:space="0"/>
              <w:right w:val="single" w:color="auto" w:sz="6" w:space="0"/>
            </w:tcBorders>
            <w:vAlign w:val="center"/>
          </w:tcPr>
          <w:p w14:paraId="3A7983E7">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委托单位联系人及电话</w:t>
            </w:r>
          </w:p>
        </w:tc>
        <w:tc>
          <w:tcPr>
            <w:tcW w:w="1816" w:type="dxa"/>
            <w:tcBorders>
              <w:top w:val="single" w:color="auto" w:sz="6" w:space="0"/>
              <w:left w:val="single" w:color="auto" w:sz="6" w:space="0"/>
              <w:bottom w:val="single" w:color="auto" w:sz="6" w:space="0"/>
              <w:right w:val="single" w:color="auto" w:sz="6" w:space="0"/>
            </w:tcBorders>
            <w:vAlign w:val="center"/>
          </w:tcPr>
          <w:p w14:paraId="21A4696C">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自有材料是否按评标办法前附表第</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条要求全要素核验</w:t>
            </w:r>
          </w:p>
        </w:tc>
        <w:tc>
          <w:tcPr>
            <w:tcW w:w="1414" w:type="dxa"/>
            <w:tcBorders>
              <w:top w:val="single" w:color="auto" w:sz="6" w:space="0"/>
              <w:left w:val="single" w:color="auto" w:sz="6" w:space="0"/>
              <w:bottom w:val="single" w:color="auto" w:sz="6" w:space="0"/>
              <w:right w:val="single" w:color="auto" w:sz="6" w:space="0"/>
            </w:tcBorders>
            <w:vAlign w:val="center"/>
          </w:tcPr>
          <w:p w14:paraId="27A6D207">
            <w:pPr>
              <w:autoSpaceDE w:val="0"/>
              <w:autoSpaceDN w:val="0"/>
              <w:jc w:val="center"/>
              <w:rPr>
                <w:rFonts w:hint="eastAsia" w:ascii="宋体" w:hAnsi="宋体" w:cs="宋体"/>
                <w:color w:val="auto"/>
                <w:sz w:val="24"/>
                <w:highlight w:val="none"/>
              </w:rPr>
            </w:pPr>
            <w:r>
              <w:rPr>
                <w:rFonts w:hint="eastAsia" w:ascii="宋体" w:hAnsi="宋体" w:cs="宋体"/>
                <w:color w:val="auto"/>
                <w:sz w:val="24"/>
                <w:highlight w:val="none"/>
              </w:rPr>
              <w:t>自有材料名称（如合同、验收等</w:t>
            </w:r>
          </w:p>
        </w:tc>
        <w:tc>
          <w:tcPr>
            <w:tcW w:w="1186" w:type="dxa"/>
            <w:tcBorders>
              <w:top w:val="single" w:color="auto" w:sz="6" w:space="0"/>
              <w:left w:val="single" w:color="auto" w:sz="6" w:space="0"/>
              <w:bottom w:val="single" w:color="auto" w:sz="6" w:space="0"/>
              <w:right w:val="single" w:color="auto" w:sz="6" w:space="0"/>
            </w:tcBorders>
            <w:vAlign w:val="center"/>
          </w:tcPr>
          <w:p w14:paraId="4754BE90">
            <w:pPr>
              <w:autoSpaceDE w:val="0"/>
              <w:autoSpaceDN w:val="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备注</w:t>
            </w:r>
          </w:p>
        </w:tc>
      </w:tr>
      <w:tr w14:paraId="0536F6A9">
        <w:tblPrEx>
          <w:tblCellMar>
            <w:top w:w="0" w:type="dxa"/>
            <w:left w:w="108" w:type="dxa"/>
            <w:bottom w:w="0" w:type="dxa"/>
            <w:right w:w="108" w:type="dxa"/>
          </w:tblCellMar>
        </w:tblPrEx>
        <w:trPr>
          <w:trHeight w:val="690" w:hRule="atLeast"/>
        </w:trPr>
        <w:tc>
          <w:tcPr>
            <w:tcW w:w="777" w:type="dxa"/>
            <w:tcBorders>
              <w:top w:val="single" w:color="auto" w:sz="6" w:space="0"/>
              <w:left w:val="single" w:color="auto" w:sz="6" w:space="0"/>
              <w:bottom w:val="single" w:color="auto" w:sz="6" w:space="0"/>
              <w:right w:val="single" w:color="auto" w:sz="6" w:space="0"/>
            </w:tcBorders>
            <w:vAlign w:val="center"/>
          </w:tcPr>
          <w:p w14:paraId="44EF6C9C">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1</w:t>
            </w:r>
          </w:p>
        </w:tc>
        <w:tc>
          <w:tcPr>
            <w:tcW w:w="1250" w:type="dxa"/>
            <w:tcBorders>
              <w:top w:val="single" w:color="auto" w:sz="6" w:space="0"/>
              <w:left w:val="single" w:color="auto" w:sz="6" w:space="0"/>
              <w:bottom w:val="single" w:color="auto" w:sz="6" w:space="0"/>
              <w:right w:val="single" w:color="auto" w:sz="6" w:space="0"/>
            </w:tcBorders>
            <w:vAlign w:val="top"/>
          </w:tcPr>
          <w:p w14:paraId="7B09563A">
            <w:pPr>
              <w:autoSpaceDE w:val="0"/>
              <w:autoSpaceDN w:val="0"/>
              <w:jc w:val="center"/>
              <w:rPr>
                <w:rFonts w:ascii="宋体" w:hAnsi="宋体" w:cs="宋体"/>
                <w:color w:val="auto"/>
                <w:sz w:val="24"/>
                <w:highlight w:val="none"/>
              </w:rPr>
            </w:pPr>
          </w:p>
        </w:tc>
        <w:tc>
          <w:tcPr>
            <w:tcW w:w="1216" w:type="dxa"/>
            <w:tcBorders>
              <w:top w:val="single" w:color="auto" w:sz="6" w:space="0"/>
              <w:left w:val="single" w:color="auto" w:sz="6" w:space="0"/>
              <w:bottom w:val="single" w:color="auto" w:sz="6" w:space="0"/>
              <w:right w:val="single" w:color="auto" w:sz="6" w:space="0"/>
            </w:tcBorders>
            <w:vAlign w:val="top"/>
          </w:tcPr>
          <w:p w14:paraId="2C3CA5EF">
            <w:pPr>
              <w:autoSpaceDE w:val="0"/>
              <w:autoSpaceDN w:val="0"/>
              <w:jc w:val="center"/>
              <w:rPr>
                <w:rFonts w:ascii="宋体" w:hAnsi="宋体" w:cs="宋体"/>
                <w:color w:val="auto"/>
                <w:sz w:val="24"/>
                <w:highlight w:val="none"/>
              </w:rPr>
            </w:pPr>
          </w:p>
        </w:tc>
        <w:tc>
          <w:tcPr>
            <w:tcW w:w="1750" w:type="dxa"/>
            <w:tcBorders>
              <w:top w:val="single" w:color="auto" w:sz="6" w:space="0"/>
              <w:left w:val="single" w:color="auto" w:sz="6" w:space="0"/>
              <w:bottom w:val="single" w:color="auto" w:sz="6" w:space="0"/>
              <w:right w:val="single" w:color="auto" w:sz="6" w:space="0"/>
            </w:tcBorders>
            <w:vAlign w:val="top"/>
          </w:tcPr>
          <w:p w14:paraId="22C9490A">
            <w:pPr>
              <w:autoSpaceDE w:val="0"/>
              <w:autoSpaceDN w:val="0"/>
              <w:jc w:val="center"/>
              <w:rPr>
                <w:rFonts w:ascii="宋体" w:hAnsi="宋体" w:cs="宋体"/>
                <w:color w:val="auto"/>
                <w:sz w:val="24"/>
                <w:highlight w:val="none"/>
              </w:rPr>
            </w:pPr>
          </w:p>
        </w:tc>
        <w:tc>
          <w:tcPr>
            <w:tcW w:w="1500" w:type="dxa"/>
            <w:tcBorders>
              <w:top w:val="single" w:color="auto" w:sz="6" w:space="0"/>
              <w:left w:val="single" w:color="auto" w:sz="6" w:space="0"/>
              <w:bottom w:val="single" w:color="auto" w:sz="6" w:space="0"/>
              <w:right w:val="single" w:color="auto" w:sz="6" w:space="0"/>
            </w:tcBorders>
            <w:vAlign w:val="top"/>
          </w:tcPr>
          <w:p w14:paraId="10B6254F">
            <w:pPr>
              <w:autoSpaceDE w:val="0"/>
              <w:autoSpaceDN w:val="0"/>
              <w:jc w:val="center"/>
              <w:rPr>
                <w:rFonts w:ascii="宋体" w:hAnsi="宋体" w:cs="宋体"/>
                <w:color w:val="auto"/>
                <w:sz w:val="24"/>
                <w:highlight w:val="none"/>
              </w:rPr>
            </w:pPr>
          </w:p>
        </w:tc>
        <w:tc>
          <w:tcPr>
            <w:tcW w:w="1334" w:type="dxa"/>
            <w:tcBorders>
              <w:top w:val="single" w:color="auto" w:sz="6" w:space="0"/>
              <w:left w:val="single" w:color="auto" w:sz="6" w:space="0"/>
              <w:bottom w:val="single" w:color="auto" w:sz="6" w:space="0"/>
              <w:right w:val="single" w:color="auto" w:sz="6" w:space="0"/>
            </w:tcBorders>
            <w:vAlign w:val="top"/>
          </w:tcPr>
          <w:p w14:paraId="5475B598">
            <w:pPr>
              <w:autoSpaceDE w:val="0"/>
              <w:autoSpaceDN w:val="0"/>
              <w:jc w:val="center"/>
              <w:rPr>
                <w:rFonts w:ascii="宋体" w:hAnsi="宋体" w:cs="宋体"/>
                <w:color w:val="auto"/>
                <w:sz w:val="24"/>
                <w:highlight w:val="none"/>
              </w:rPr>
            </w:pPr>
          </w:p>
        </w:tc>
        <w:tc>
          <w:tcPr>
            <w:tcW w:w="1800" w:type="dxa"/>
            <w:tcBorders>
              <w:top w:val="single" w:color="auto" w:sz="6" w:space="0"/>
              <w:left w:val="single" w:color="auto" w:sz="6" w:space="0"/>
              <w:bottom w:val="single" w:color="auto" w:sz="6" w:space="0"/>
              <w:right w:val="single" w:color="auto" w:sz="6" w:space="0"/>
            </w:tcBorders>
            <w:vAlign w:val="top"/>
          </w:tcPr>
          <w:p w14:paraId="5EA83047">
            <w:pPr>
              <w:autoSpaceDE w:val="0"/>
              <w:autoSpaceDN w:val="0"/>
              <w:jc w:val="center"/>
              <w:rPr>
                <w:rFonts w:ascii="宋体" w:hAnsi="宋体" w:cs="宋体"/>
                <w:color w:val="auto"/>
                <w:sz w:val="24"/>
                <w:highlight w:val="none"/>
              </w:rPr>
            </w:pPr>
          </w:p>
        </w:tc>
        <w:tc>
          <w:tcPr>
            <w:tcW w:w="1816" w:type="dxa"/>
            <w:tcBorders>
              <w:top w:val="single" w:color="auto" w:sz="6" w:space="0"/>
              <w:left w:val="single" w:color="auto" w:sz="6" w:space="0"/>
              <w:bottom w:val="single" w:color="auto" w:sz="6" w:space="0"/>
              <w:right w:val="single" w:color="auto" w:sz="6" w:space="0"/>
            </w:tcBorders>
            <w:vAlign w:val="top"/>
          </w:tcPr>
          <w:p w14:paraId="0EE5D94F">
            <w:pPr>
              <w:autoSpaceDE w:val="0"/>
              <w:autoSpaceDN w:val="0"/>
              <w:jc w:val="center"/>
              <w:rPr>
                <w:rFonts w:ascii="宋体" w:hAnsi="宋体" w:cs="宋体"/>
                <w:color w:val="auto"/>
                <w:sz w:val="24"/>
                <w:highlight w:val="none"/>
              </w:rPr>
            </w:pPr>
          </w:p>
        </w:tc>
        <w:tc>
          <w:tcPr>
            <w:tcW w:w="1414" w:type="dxa"/>
            <w:tcBorders>
              <w:top w:val="single" w:color="auto" w:sz="6" w:space="0"/>
              <w:left w:val="single" w:color="auto" w:sz="6" w:space="0"/>
              <w:bottom w:val="single" w:color="auto" w:sz="6" w:space="0"/>
              <w:right w:val="single" w:color="auto" w:sz="6" w:space="0"/>
            </w:tcBorders>
            <w:vAlign w:val="top"/>
          </w:tcPr>
          <w:p w14:paraId="01FDB785">
            <w:pPr>
              <w:autoSpaceDE w:val="0"/>
              <w:autoSpaceDN w:val="0"/>
              <w:jc w:val="center"/>
              <w:rPr>
                <w:rFonts w:ascii="宋体" w:hAnsi="宋体" w:cs="宋体"/>
                <w:color w:val="auto"/>
                <w:sz w:val="24"/>
                <w:highlight w:val="none"/>
              </w:rPr>
            </w:pPr>
          </w:p>
        </w:tc>
        <w:tc>
          <w:tcPr>
            <w:tcW w:w="1186" w:type="dxa"/>
            <w:tcBorders>
              <w:top w:val="single" w:color="auto" w:sz="6" w:space="0"/>
              <w:left w:val="single" w:color="auto" w:sz="6" w:space="0"/>
              <w:bottom w:val="single" w:color="auto" w:sz="6" w:space="0"/>
              <w:right w:val="single" w:color="auto" w:sz="6" w:space="0"/>
            </w:tcBorders>
            <w:vAlign w:val="top"/>
          </w:tcPr>
          <w:p w14:paraId="7AAD1814">
            <w:pPr>
              <w:autoSpaceDE w:val="0"/>
              <w:autoSpaceDN w:val="0"/>
              <w:jc w:val="center"/>
              <w:rPr>
                <w:rFonts w:ascii="宋体" w:hAnsi="宋体" w:cs="宋体"/>
                <w:color w:val="auto"/>
                <w:sz w:val="24"/>
                <w:highlight w:val="none"/>
              </w:rPr>
            </w:pPr>
          </w:p>
        </w:tc>
      </w:tr>
      <w:tr w14:paraId="4614DFB5">
        <w:tblPrEx>
          <w:tblCellMar>
            <w:top w:w="0" w:type="dxa"/>
            <w:left w:w="108" w:type="dxa"/>
            <w:bottom w:w="0" w:type="dxa"/>
            <w:right w:w="108" w:type="dxa"/>
          </w:tblCellMar>
        </w:tblPrEx>
        <w:trPr>
          <w:trHeight w:val="676" w:hRule="atLeast"/>
        </w:trPr>
        <w:tc>
          <w:tcPr>
            <w:tcW w:w="777" w:type="dxa"/>
            <w:tcBorders>
              <w:top w:val="single" w:color="auto" w:sz="6" w:space="0"/>
              <w:left w:val="single" w:color="auto" w:sz="6" w:space="0"/>
              <w:bottom w:val="single" w:color="auto" w:sz="6" w:space="0"/>
              <w:right w:val="single" w:color="auto" w:sz="6" w:space="0"/>
            </w:tcBorders>
            <w:vAlign w:val="center"/>
          </w:tcPr>
          <w:p w14:paraId="04EB1C9A">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2</w:t>
            </w:r>
          </w:p>
        </w:tc>
        <w:tc>
          <w:tcPr>
            <w:tcW w:w="1250" w:type="dxa"/>
            <w:tcBorders>
              <w:top w:val="single" w:color="auto" w:sz="6" w:space="0"/>
              <w:left w:val="single" w:color="auto" w:sz="6" w:space="0"/>
              <w:bottom w:val="single" w:color="auto" w:sz="6" w:space="0"/>
              <w:right w:val="single" w:color="auto" w:sz="6" w:space="0"/>
            </w:tcBorders>
            <w:vAlign w:val="top"/>
          </w:tcPr>
          <w:p w14:paraId="7412191D">
            <w:pPr>
              <w:autoSpaceDE w:val="0"/>
              <w:autoSpaceDN w:val="0"/>
              <w:jc w:val="center"/>
              <w:rPr>
                <w:rFonts w:ascii="宋体" w:hAnsi="宋体" w:cs="宋体"/>
                <w:color w:val="auto"/>
                <w:sz w:val="24"/>
                <w:highlight w:val="none"/>
              </w:rPr>
            </w:pPr>
          </w:p>
        </w:tc>
        <w:tc>
          <w:tcPr>
            <w:tcW w:w="1216" w:type="dxa"/>
            <w:tcBorders>
              <w:top w:val="single" w:color="auto" w:sz="6" w:space="0"/>
              <w:left w:val="single" w:color="auto" w:sz="6" w:space="0"/>
              <w:bottom w:val="single" w:color="auto" w:sz="6" w:space="0"/>
              <w:right w:val="single" w:color="auto" w:sz="6" w:space="0"/>
            </w:tcBorders>
            <w:vAlign w:val="top"/>
          </w:tcPr>
          <w:p w14:paraId="2409F9BA">
            <w:pPr>
              <w:autoSpaceDE w:val="0"/>
              <w:autoSpaceDN w:val="0"/>
              <w:jc w:val="center"/>
              <w:rPr>
                <w:rFonts w:ascii="宋体" w:hAnsi="宋体" w:cs="宋体"/>
                <w:color w:val="auto"/>
                <w:sz w:val="24"/>
                <w:highlight w:val="none"/>
              </w:rPr>
            </w:pPr>
          </w:p>
        </w:tc>
        <w:tc>
          <w:tcPr>
            <w:tcW w:w="1750" w:type="dxa"/>
            <w:tcBorders>
              <w:top w:val="single" w:color="auto" w:sz="6" w:space="0"/>
              <w:left w:val="single" w:color="auto" w:sz="6" w:space="0"/>
              <w:bottom w:val="single" w:color="auto" w:sz="6" w:space="0"/>
              <w:right w:val="single" w:color="auto" w:sz="6" w:space="0"/>
            </w:tcBorders>
            <w:vAlign w:val="top"/>
          </w:tcPr>
          <w:p w14:paraId="709B705A">
            <w:pPr>
              <w:autoSpaceDE w:val="0"/>
              <w:autoSpaceDN w:val="0"/>
              <w:jc w:val="center"/>
              <w:rPr>
                <w:rFonts w:ascii="宋体" w:hAnsi="宋体" w:cs="宋体"/>
                <w:color w:val="auto"/>
                <w:sz w:val="24"/>
                <w:highlight w:val="none"/>
              </w:rPr>
            </w:pPr>
          </w:p>
        </w:tc>
        <w:tc>
          <w:tcPr>
            <w:tcW w:w="1500" w:type="dxa"/>
            <w:tcBorders>
              <w:top w:val="single" w:color="auto" w:sz="6" w:space="0"/>
              <w:left w:val="single" w:color="auto" w:sz="6" w:space="0"/>
              <w:bottom w:val="single" w:color="auto" w:sz="6" w:space="0"/>
              <w:right w:val="single" w:color="auto" w:sz="6" w:space="0"/>
            </w:tcBorders>
            <w:vAlign w:val="top"/>
          </w:tcPr>
          <w:p w14:paraId="13A5FA17">
            <w:pPr>
              <w:autoSpaceDE w:val="0"/>
              <w:autoSpaceDN w:val="0"/>
              <w:jc w:val="center"/>
              <w:rPr>
                <w:rFonts w:ascii="宋体" w:hAnsi="宋体" w:cs="宋体"/>
                <w:color w:val="auto"/>
                <w:sz w:val="24"/>
                <w:highlight w:val="none"/>
              </w:rPr>
            </w:pPr>
          </w:p>
        </w:tc>
        <w:tc>
          <w:tcPr>
            <w:tcW w:w="1334" w:type="dxa"/>
            <w:tcBorders>
              <w:top w:val="single" w:color="auto" w:sz="6" w:space="0"/>
              <w:left w:val="single" w:color="auto" w:sz="6" w:space="0"/>
              <w:bottom w:val="single" w:color="auto" w:sz="6" w:space="0"/>
              <w:right w:val="single" w:color="auto" w:sz="6" w:space="0"/>
            </w:tcBorders>
            <w:vAlign w:val="top"/>
          </w:tcPr>
          <w:p w14:paraId="0926C0FA">
            <w:pPr>
              <w:autoSpaceDE w:val="0"/>
              <w:autoSpaceDN w:val="0"/>
              <w:jc w:val="center"/>
              <w:rPr>
                <w:rFonts w:ascii="宋体" w:hAnsi="宋体" w:cs="宋体"/>
                <w:color w:val="auto"/>
                <w:sz w:val="24"/>
                <w:highlight w:val="none"/>
              </w:rPr>
            </w:pPr>
          </w:p>
        </w:tc>
        <w:tc>
          <w:tcPr>
            <w:tcW w:w="1800" w:type="dxa"/>
            <w:tcBorders>
              <w:top w:val="single" w:color="auto" w:sz="6" w:space="0"/>
              <w:left w:val="single" w:color="auto" w:sz="6" w:space="0"/>
              <w:bottom w:val="single" w:color="auto" w:sz="6" w:space="0"/>
              <w:right w:val="single" w:color="auto" w:sz="6" w:space="0"/>
            </w:tcBorders>
            <w:vAlign w:val="top"/>
          </w:tcPr>
          <w:p w14:paraId="4661E673">
            <w:pPr>
              <w:autoSpaceDE w:val="0"/>
              <w:autoSpaceDN w:val="0"/>
              <w:jc w:val="center"/>
              <w:rPr>
                <w:rFonts w:ascii="宋体" w:hAnsi="宋体" w:cs="宋体"/>
                <w:color w:val="auto"/>
                <w:sz w:val="24"/>
                <w:highlight w:val="none"/>
              </w:rPr>
            </w:pPr>
          </w:p>
        </w:tc>
        <w:tc>
          <w:tcPr>
            <w:tcW w:w="1816" w:type="dxa"/>
            <w:tcBorders>
              <w:top w:val="single" w:color="auto" w:sz="6" w:space="0"/>
              <w:left w:val="single" w:color="auto" w:sz="6" w:space="0"/>
              <w:bottom w:val="single" w:color="auto" w:sz="6" w:space="0"/>
              <w:right w:val="single" w:color="auto" w:sz="6" w:space="0"/>
            </w:tcBorders>
            <w:vAlign w:val="top"/>
          </w:tcPr>
          <w:p w14:paraId="37F04BF7">
            <w:pPr>
              <w:autoSpaceDE w:val="0"/>
              <w:autoSpaceDN w:val="0"/>
              <w:jc w:val="center"/>
              <w:rPr>
                <w:rFonts w:ascii="宋体" w:hAnsi="宋体" w:cs="宋体"/>
                <w:color w:val="auto"/>
                <w:sz w:val="24"/>
                <w:highlight w:val="none"/>
              </w:rPr>
            </w:pPr>
          </w:p>
        </w:tc>
        <w:tc>
          <w:tcPr>
            <w:tcW w:w="1414" w:type="dxa"/>
            <w:tcBorders>
              <w:top w:val="single" w:color="auto" w:sz="6" w:space="0"/>
              <w:left w:val="single" w:color="auto" w:sz="6" w:space="0"/>
              <w:bottom w:val="single" w:color="auto" w:sz="6" w:space="0"/>
              <w:right w:val="single" w:color="auto" w:sz="6" w:space="0"/>
            </w:tcBorders>
            <w:vAlign w:val="top"/>
          </w:tcPr>
          <w:p w14:paraId="0719BA65">
            <w:pPr>
              <w:autoSpaceDE w:val="0"/>
              <w:autoSpaceDN w:val="0"/>
              <w:jc w:val="center"/>
              <w:rPr>
                <w:rFonts w:ascii="宋体" w:hAnsi="宋体" w:cs="宋体"/>
                <w:color w:val="auto"/>
                <w:sz w:val="24"/>
                <w:highlight w:val="none"/>
              </w:rPr>
            </w:pPr>
          </w:p>
        </w:tc>
        <w:tc>
          <w:tcPr>
            <w:tcW w:w="1186" w:type="dxa"/>
            <w:tcBorders>
              <w:top w:val="single" w:color="auto" w:sz="6" w:space="0"/>
              <w:left w:val="single" w:color="auto" w:sz="6" w:space="0"/>
              <w:bottom w:val="single" w:color="auto" w:sz="6" w:space="0"/>
              <w:right w:val="single" w:color="auto" w:sz="6" w:space="0"/>
            </w:tcBorders>
            <w:vAlign w:val="top"/>
          </w:tcPr>
          <w:p w14:paraId="4AF8DBBF">
            <w:pPr>
              <w:autoSpaceDE w:val="0"/>
              <w:autoSpaceDN w:val="0"/>
              <w:jc w:val="center"/>
              <w:rPr>
                <w:rFonts w:ascii="宋体" w:hAnsi="宋体" w:cs="宋体"/>
                <w:color w:val="auto"/>
                <w:sz w:val="24"/>
                <w:highlight w:val="none"/>
              </w:rPr>
            </w:pPr>
          </w:p>
        </w:tc>
      </w:tr>
      <w:tr w14:paraId="2A902C6E">
        <w:tblPrEx>
          <w:tblCellMar>
            <w:top w:w="0" w:type="dxa"/>
            <w:left w:w="108" w:type="dxa"/>
            <w:bottom w:w="0" w:type="dxa"/>
            <w:right w:w="108" w:type="dxa"/>
          </w:tblCellMar>
        </w:tblPrEx>
        <w:trPr>
          <w:trHeight w:val="954" w:hRule="atLeast"/>
        </w:trPr>
        <w:tc>
          <w:tcPr>
            <w:tcW w:w="777" w:type="dxa"/>
            <w:tcBorders>
              <w:top w:val="single" w:color="auto" w:sz="6" w:space="0"/>
              <w:left w:val="single" w:color="auto" w:sz="6" w:space="0"/>
              <w:bottom w:val="single" w:color="auto" w:sz="6" w:space="0"/>
              <w:right w:val="single" w:color="auto" w:sz="6" w:space="0"/>
            </w:tcBorders>
            <w:vAlign w:val="center"/>
          </w:tcPr>
          <w:p w14:paraId="1043F498">
            <w:pPr>
              <w:autoSpaceDE w:val="0"/>
              <w:autoSpaceDN w:val="0"/>
              <w:jc w:val="center"/>
              <w:rPr>
                <w:rFonts w:ascii="宋体" w:hAnsi="宋体" w:cs="宋体"/>
                <w:color w:val="auto"/>
                <w:sz w:val="24"/>
                <w:highlight w:val="none"/>
              </w:rPr>
            </w:pPr>
            <w:r>
              <w:rPr>
                <w:rFonts w:hint="eastAsia" w:ascii="宋体" w:hAnsi="宋体" w:cs="宋体"/>
                <w:color w:val="auto"/>
                <w:sz w:val="24"/>
                <w:highlight w:val="none"/>
              </w:rPr>
              <w:t>…</w:t>
            </w:r>
          </w:p>
        </w:tc>
        <w:tc>
          <w:tcPr>
            <w:tcW w:w="1250" w:type="dxa"/>
            <w:tcBorders>
              <w:top w:val="single" w:color="auto" w:sz="6" w:space="0"/>
              <w:left w:val="single" w:color="auto" w:sz="6" w:space="0"/>
              <w:bottom w:val="single" w:color="auto" w:sz="6" w:space="0"/>
              <w:right w:val="single" w:color="auto" w:sz="6" w:space="0"/>
            </w:tcBorders>
            <w:vAlign w:val="top"/>
          </w:tcPr>
          <w:p w14:paraId="0E3241C2">
            <w:pPr>
              <w:autoSpaceDE w:val="0"/>
              <w:autoSpaceDN w:val="0"/>
              <w:jc w:val="center"/>
              <w:rPr>
                <w:rFonts w:ascii="宋体" w:hAnsi="宋体" w:cs="宋体"/>
                <w:color w:val="auto"/>
                <w:sz w:val="24"/>
                <w:highlight w:val="none"/>
              </w:rPr>
            </w:pPr>
          </w:p>
        </w:tc>
        <w:tc>
          <w:tcPr>
            <w:tcW w:w="1216" w:type="dxa"/>
            <w:tcBorders>
              <w:top w:val="single" w:color="auto" w:sz="6" w:space="0"/>
              <w:left w:val="single" w:color="auto" w:sz="6" w:space="0"/>
              <w:bottom w:val="single" w:color="auto" w:sz="6" w:space="0"/>
              <w:right w:val="single" w:color="auto" w:sz="6" w:space="0"/>
            </w:tcBorders>
            <w:vAlign w:val="top"/>
          </w:tcPr>
          <w:p w14:paraId="45675EB9">
            <w:pPr>
              <w:autoSpaceDE w:val="0"/>
              <w:autoSpaceDN w:val="0"/>
              <w:jc w:val="center"/>
              <w:rPr>
                <w:rFonts w:ascii="宋体" w:hAnsi="宋体" w:cs="宋体"/>
                <w:color w:val="auto"/>
                <w:sz w:val="24"/>
                <w:highlight w:val="none"/>
              </w:rPr>
            </w:pPr>
          </w:p>
        </w:tc>
        <w:tc>
          <w:tcPr>
            <w:tcW w:w="1750" w:type="dxa"/>
            <w:tcBorders>
              <w:top w:val="single" w:color="auto" w:sz="6" w:space="0"/>
              <w:left w:val="single" w:color="auto" w:sz="6" w:space="0"/>
              <w:bottom w:val="single" w:color="auto" w:sz="6" w:space="0"/>
              <w:right w:val="single" w:color="auto" w:sz="6" w:space="0"/>
            </w:tcBorders>
            <w:vAlign w:val="top"/>
          </w:tcPr>
          <w:p w14:paraId="5F7F0F29">
            <w:pPr>
              <w:autoSpaceDE w:val="0"/>
              <w:autoSpaceDN w:val="0"/>
              <w:jc w:val="center"/>
              <w:rPr>
                <w:rFonts w:ascii="宋体" w:hAnsi="宋体" w:cs="宋体"/>
                <w:color w:val="auto"/>
                <w:sz w:val="24"/>
                <w:highlight w:val="none"/>
              </w:rPr>
            </w:pPr>
          </w:p>
        </w:tc>
        <w:tc>
          <w:tcPr>
            <w:tcW w:w="1500" w:type="dxa"/>
            <w:tcBorders>
              <w:top w:val="single" w:color="auto" w:sz="6" w:space="0"/>
              <w:left w:val="single" w:color="auto" w:sz="6" w:space="0"/>
              <w:bottom w:val="single" w:color="auto" w:sz="6" w:space="0"/>
              <w:right w:val="single" w:color="auto" w:sz="6" w:space="0"/>
            </w:tcBorders>
            <w:vAlign w:val="top"/>
          </w:tcPr>
          <w:p w14:paraId="7292EF33">
            <w:pPr>
              <w:autoSpaceDE w:val="0"/>
              <w:autoSpaceDN w:val="0"/>
              <w:jc w:val="center"/>
              <w:rPr>
                <w:rFonts w:ascii="宋体" w:hAnsi="宋体" w:cs="宋体"/>
                <w:color w:val="auto"/>
                <w:sz w:val="24"/>
                <w:highlight w:val="none"/>
              </w:rPr>
            </w:pPr>
          </w:p>
        </w:tc>
        <w:tc>
          <w:tcPr>
            <w:tcW w:w="1334" w:type="dxa"/>
            <w:tcBorders>
              <w:top w:val="single" w:color="auto" w:sz="6" w:space="0"/>
              <w:left w:val="single" w:color="auto" w:sz="6" w:space="0"/>
              <w:bottom w:val="single" w:color="auto" w:sz="6" w:space="0"/>
              <w:right w:val="single" w:color="auto" w:sz="6" w:space="0"/>
            </w:tcBorders>
            <w:vAlign w:val="top"/>
          </w:tcPr>
          <w:p w14:paraId="46C53F61">
            <w:pPr>
              <w:autoSpaceDE w:val="0"/>
              <w:autoSpaceDN w:val="0"/>
              <w:jc w:val="center"/>
              <w:rPr>
                <w:rFonts w:ascii="宋体" w:hAnsi="宋体" w:cs="宋体"/>
                <w:color w:val="auto"/>
                <w:sz w:val="24"/>
                <w:highlight w:val="none"/>
              </w:rPr>
            </w:pPr>
          </w:p>
        </w:tc>
        <w:tc>
          <w:tcPr>
            <w:tcW w:w="1800" w:type="dxa"/>
            <w:tcBorders>
              <w:top w:val="single" w:color="auto" w:sz="6" w:space="0"/>
              <w:left w:val="single" w:color="auto" w:sz="6" w:space="0"/>
              <w:bottom w:val="single" w:color="auto" w:sz="6" w:space="0"/>
              <w:right w:val="single" w:color="auto" w:sz="6" w:space="0"/>
            </w:tcBorders>
            <w:vAlign w:val="top"/>
          </w:tcPr>
          <w:p w14:paraId="055CDD59">
            <w:pPr>
              <w:autoSpaceDE w:val="0"/>
              <w:autoSpaceDN w:val="0"/>
              <w:jc w:val="center"/>
              <w:rPr>
                <w:rFonts w:ascii="宋体" w:hAnsi="宋体" w:cs="宋体"/>
                <w:color w:val="auto"/>
                <w:sz w:val="24"/>
                <w:highlight w:val="none"/>
              </w:rPr>
            </w:pPr>
          </w:p>
        </w:tc>
        <w:tc>
          <w:tcPr>
            <w:tcW w:w="1816" w:type="dxa"/>
            <w:tcBorders>
              <w:top w:val="single" w:color="auto" w:sz="6" w:space="0"/>
              <w:left w:val="single" w:color="auto" w:sz="6" w:space="0"/>
              <w:bottom w:val="single" w:color="auto" w:sz="6" w:space="0"/>
              <w:right w:val="single" w:color="auto" w:sz="6" w:space="0"/>
            </w:tcBorders>
            <w:vAlign w:val="top"/>
          </w:tcPr>
          <w:p w14:paraId="5ECD4948">
            <w:pPr>
              <w:autoSpaceDE w:val="0"/>
              <w:autoSpaceDN w:val="0"/>
              <w:jc w:val="center"/>
              <w:rPr>
                <w:rFonts w:ascii="宋体" w:hAnsi="宋体" w:cs="宋体"/>
                <w:color w:val="auto"/>
                <w:sz w:val="24"/>
                <w:highlight w:val="none"/>
              </w:rPr>
            </w:pPr>
          </w:p>
        </w:tc>
        <w:tc>
          <w:tcPr>
            <w:tcW w:w="1414" w:type="dxa"/>
            <w:tcBorders>
              <w:top w:val="single" w:color="auto" w:sz="6" w:space="0"/>
              <w:left w:val="single" w:color="auto" w:sz="6" w:space="0"/>
              <w:bottom w:val="single" w:color="auto" w:sz="6" w:space="0"/>
              <w:right w:val="single" w:color="auto" w:sz="6" w:space="0"/>
            </w:tcBorders>
            <w:vAlign w:val="top"/>
          </w:tcPr>
          <w:p w14:paraId="79DF3B1E">
            <w:pPr>
              <w:autoSpaceDE w:val="0"/>
              <w:autoSpaceDN w:val="0"/>
              <w:jc w:val="center"/>
              <w:rPr>
                <w:rFonts w:ascii="宋体" w:hAnsi="宋体" w:cs="宋体"/>
                <w:color w:val="auto"/>
                <w:sz w:val="24"/>
                <w:highlight w:val="none"/>
              </w:rPr>
            </w:pPr>
          </w:p>
        </w:tc>
        <w:tc>
          <w:tcPr>
            <w:tcW w:w="1186" w:type="dxa"/>
            <w:tcBorders>
              <w:top w:val="single" w:color="auto" w:sz="6" w:space="0"/>
              <w:left w:val="single" w:color="auto" w:sz="6" w:space="0"/>
              <w:bottom w:val="single" w:color="auto" w:sz="6" w:space="0"/>
              <w:right w:val="single" w:color="auto" w:sz="6" w:space="0"/>
            </w:tcBorders>
            <w:vAlign w:val="top"/>
          </w:tcPr>
          <w:p w14:paraId="05115B16">
            <w:pPr>
              <w:autoSpaceDE w:val="0"/>
              <w:autoSpaceDN w:val="0"/>
              <w:jc w:val="center"/>
              <w:rPr>
                <w:rFonts w:ascii="宋体" w:hAnsi="宋体" w:cs="宋体"/>
                <w:color w:val="auto"/>
                <w:sz w:val="24"/>
                <w:highlight w:val="none"/>
              </w:rPr>
            </w:pPr>
          </w:p>
        </w:tc>
      </w:tr>
    </w:tbl>
    <w:p w14:paraId="5627A66C">
      <w:pPr>
        <w:autoSpaceDE w:val="0"/>
        <w:autoSpaceDN w:val="0"/>
        <w:spacing w:line="360" w:lineRule="auto"/>
        <w:rPr>
          <w:rFonts w:ascii="宋体" w:hAnsi="宋体" w:cs="宋体"/>
          <w:b/>
          <w:bCs/>
          <w:color w:val="auto"/>
          <w:sz w:val="24"/>
          <w:highlight w:val="none"/>
        </w:rPr>
      </w:pPr>
      <w:r>
        <w:rPr>
          <w:rFonts w:hint="eastAsia" w:ascii="宋体" w:hAnsi="宋体" w:cs="宋体"/>
          <w:b/>
          <w:bCs/>
          <w:color w:val="auto"/>
          <w:sz w:val="24"/>
          <w:highlight w:val="none"/>
        </w:rPr>
        <w:t>注：</w:t>
      </w:r>
    </w:p>
    <w:p w14:paraId="6C4B78D0">
      <w:pPr>
        <w:spacing w:line="360" w:lineRule="auto"/>
        <w:ind w:firstLine="420" w:firstLineChars="175"/>
        <w:outlineLvl w:val="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.委托单位应为政府投资项目价款审核相关部门，如财政部门、住建部门等。</w:t>
      </w:r>
    </w:p>
    <w:p w14:paraId="73D7D53F">
      <w:pPr>
        <w:spacing w:line="360" w:lineRule="auto"/>
        <w:ind w:firstLine="420" w:firstLineChars="175"/>
        <w:outlineLvl w:val="0"/>
        <w:rPr>
          <w:rFonts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.供应商应对照评标办法前附表第</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条要求的要素，填写《供应商满足评标办法第</w:t>
      </w:r>
      <w:r>
        <w:rPr>
          <w:rFonts w:hint="eastAsia" w:ascii="宋体" w:hAnsi="宋体" w:cs="宋体"/>
          <w:color w:val="auto"/>
          <w:sz w:val="24"/>
          <w:highlight w:val="none"/>
          <w:lang w:eastAsia="zh-CN"/>
        </w:rPr>
        <w:t>五</w:t>
      </w:r>
      <w:r>
        <w:rPr>
          <w:rFonts w:hint="eastAsia" w:ascii="宋体" w:hAnsi="宋体" w:cs="宋体"/>
          <w:color w:val="auto"/>
          <w:sz w:val="24"/>
          <w:highlight w:val="none"/>
        </w:rPr>
        <w:t>条的类似项目业绩表》，并核验自有相关证明材料并填写完整，填写不完整或有明显错误的评标委员会均不予认可，可能按虚假应标予以废标并通报采购监督管理部门。</w:t>
      </w:r>
    </w:p>
    <w:p w14:paraId="00E57FEC">
      <w:pPr>
        <w:autoSpaceDE w:val="0"/>
        <w:autoSpaceDN w:val="0"/>
        <w:spacing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4.供应商应按本表内容填写相关信息，不得随意修改表格内容，且须随表提交相应的证明文件（表中明确的自有材料）。</w:t>
      </w:r>
    </w:p>
    <w:p w14:paraId="7F70F1E8">
      <w:pPr>
        <w:autoSpaceDE w:val="0"/>
        <w:autoSpaceDN w:val="0"/>
        <w:spacing w:line="360" w:lineRule="auto"/>
        <w:ind w:firstLine="420" w:firstLineChars="175"/>
        <w:rPr>
          <w:rFonts w:ascii="宋体" w:hAnsi="宋体" w:cs="宋体"/>
          <w:b/>
          <w:bCs/>
          <w:color w:val="auto"/>
          <w:sz w:val="24"/>
          <w:highlight w:val="none"/>
        </w:rPr>
      </w:pPr>
      <w:r>
        <w:rPr>
          <w:rFonts w:hint="eastAsia" w:ascii="宋体" w:hAnsi="宋体" w:cs="宋体"/>
          <w:color w:val="auto"/>
          <w:sz w:val="24"/>
          <w:highlight w:val="none"/>
        </w:rPr>
        <w:t>5.如发现供应商存在提供虚假材料谋取中标、成交的情形的，且征集人将把情况报政府采购监督管理部门，并按照《中华人民共和国政府采购法》第七十七条规定，中标、成交无效，并可能承担“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等法律责任。</w:t>
      </w:r>
    </w:p>
    <w:p w14:paraId="475011C2">
      <w:pPr>
        <w:autoSpaceDE w:val="0"/>
        <w:autoSpaceDN w:val="0"/>
        <w:spacing w:line="360" w:lineRule="auto"/>
        <w:rPr>
          <w:rFonts w:ascii="宋体" w:hAnsi="宋体" w:cs="宋体"/>
          <w:b/>
          <w:bCs/>
          <w:color w:val="auto"/>
          <w:sz w:val="24"/>
          <w:highlight w:val="none"/>
        </w:rPr>
      </w:pPr>
    </w:p>
    <w:p w14:paraId="47153585">
      <w:pPr>
        <w:autoSpaceDE w:val="0"/>
        <w:autoSpaceDN w:val="0"/>
        <w:spacing w:line="360" w:lineRule="auto"/>
        <w:rPr>
          <w:rFonts w:ascii="宋体" w:hAnsi="宋体" w:cs="宋体"/>
          <w:b/>
          <w:bCs/>
          <w:color w:val="auto"/>
          <w:sz w:val="24"/>
          <w:highlight w:val="none"/>
        </w:rPr>
      </w:pPr>
    </w:p>
    <w:p w14:paraId="04A4555C">
      <w:pPr>
        <w:spacing w:line="360" w:lineRule="auto"/>
        <w:ind w:firstLine="9840" w:firstLineChars="4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响应供应商名称(电子签名)：</w:t>
      </w:r>
    </w:p>
    <w:p w14:paraId="40951651">
      <w:pPr>
        <w:spacing w:line="360" w:lineRule="auto"/>
        <w:ind w:firstLine="10080" w:firstLineChars="4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BD0712F">
      <w:pPr>
        <w:numPr>
          <w:ilvl w:val="0"/>
          <w:numId w:val="0"/>
        </w:numPr>
        <w:rPr>
          <w:rFonts w:hint="eastAsia" w:ascii="宋体" w:hAnsi="宋体" w:cs="宋体"/>
          <w:b/>
          <w:color w:val="auto"/>
          <w:sz w:val="24"/>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titlePg/>
          <w:docGrid w:linePitch="312" w:charSpace="0"/>
        </w:sectPr>
      </w:pPr>
    </w:p>
    <w:p w14:paraId="14C4D1C7">
      <w:pPr>
        <w:numPr>
          <w:ilvl w:val="0"/>
          <w:numId w:val="0"/>
        </w:numPr>
        <w:rPr>
          <w:rFonts w:hint="eastAsia"/>
          <w:color w:val="auto"/>
          <w:highlight w:val="none"/>
          <w:lang w:eastAsia="zh-CN"/>
        </w:rPr>
      </w:pP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项的</w:t>
      </w:r>
      <w:r>
        <w:rPr>
          <w:rFonts w:hint="eastAsia" w:ascii="宋体" w:hAnsi="宋体" w:cs="宋体"/>
          <w:b/>
          <w:bCs/>
          <w:color w:val="auto"/>
          <w:sz w:val="24"/>
          <w:highlight w:val="none"/>
        </w:rPr>
        <w:t>项目</w:t>
      </w:r>
      <w:r>
        <w:rPr>
          <w:rFonts w:hint="eastAsia" w:ascii="宋体" w:hAnsi="宋体" w:cs="宋体"/>
          <w:b/>
          <w:bCs/>
          <w:color w:val="auto"/>
          <w:sz w:val="24"/>
          <w:highlight w:val="none"/>
          <w:lang w:eastAsia="zh-CN"/>
        </w:rPr>
        <w:t>审核方案</w:t>
      </w:r>
    </w:p>
    <w:p w14:paraId="109FB671">
      <w:pPr>
        <w:spacing w:beforeLines="0" w:afterLines="0"/>
        <w:jc w:val="left"/>
        <w:rPr>
          <w:rFonts w:hint="eastAsia"/>
          <w:color w:val="auto"/>
          <w:sz w:val="24"/>
          <w:szCs w:val="24"/>
          <w:highlight w:val="none"/>
          <w:lang w:val="en-US" w:eastAsia="zh-CN"/>
        </w:rPr>
      </w:pPr>
      <w:r>
        <w:rPr>
          <w:rFonts w:hint="eastAsia"/>
          <w:color w:val="auto"/>
          <w:sz w:val="24"/>
          <w:szCs w:val="24"/>
          <w:highlight w:val="none"/>
          <w:lang w:val="en-US" w:eastAsia="zh-CN"/>
        </w:rPr>
        <w:t>一、市政工程概算案列</w:t>
      </w:r>
    </w:p>
    <w:p w14:paraId="289D3C20">
      <w:pPr>
        <w:spacing w:beforeLines="0" w:afterLines="0"/>
        <w:ind w:firstLine="480" w:firstLineChars="200"/>
        <w:jc w:val="left"/>
        <w:rPr>
          <w:rFonts w:hint="eastAsia"/>
          <w:color w:val="auto"/>
          <w:sz w:val="24"/>
          <w:szCs w:val="24"/>
          <w:highlight w:val="none"/>
          <w:lang w:val="en-US" w:eastAsia="zh-CN"/>
        </w:rPr>
      </w:pPr>
      <w:r>
        <w:rPr>
          <w:rFonts w:hint="eastAsia"/>
          <w:color w:val="auto"/>
          <w:sz w:val="24"/>
          <w:szCs w:val="24"/>
          <w:highlight w:val="none"/>
          <w:lang w:val="en-US" w:eastAsia="zh-CN"/>
        </w:rPr>
        <w:t>请结合概算审核要求，就以下几个方面提出审核内容及审核方式的意见：</w:t>
      </w:r>
    </w:p>
    <w:p w14:paraId="1C713E4E">
      <w:pPr>
        <w:widowControl w:val="0"/>
        <w:numPr>
          <w:ilvl w:val="0"/>
          <w:numId w:val="12"/>
        </w:numPr>
        <w:adjustRightInd w:val="0"/>
        <w:spacing w:beforeLines="0" w:afterLines="0"/>
        <w:ind w:left="480" w:leftChars="0" w:firstLine="0" w:firstLineChars="0"/>
        <w:jc w:val="left"/>
        <w:rPr>
          <w:rFonts w:hint="eastAsia"/>
          <w:color w:val="auto"/>
          <w:sz w:val="24"/>
          <w:szCs w:val="24"/>
          <w:highlight w:val="none"/>
          <w:lang w:val="en-US" w:eastAsia="zh-CN"/>
        </w:rPr>
      </w:pPr>
      <w:r>
        <w:rPr>
          <w:rFonts w:hint="eastAsia"/>
          <w:color w:val="auto"/>
          <w:sz w:val="24"/>
          <w:szCs w:val="24"/>
          <w:highlight w:val="none"/>
          <w:lang w:val="en-US" w:eastAsia="zh-CN"/>
        </w:rPr>
        <w:t>针对该项目，分析建设单位提供的初步设计图纸是否完整、合理。</w:t>
      </w:r>
    </w:p>
    <w:p w14:paraId="27D3027A">
      <w:pPr>
        <w:widowControl w:val="0"/>
        <w:numPr>
          <w:ilvl w:val="0"/>
          <w:numId w:val="12"/>
        </w:numPr>
        <w:adjustRightInd w:val="0"/>
        <w:spacing w:beforeLines="0" w:afterLines="0"/>
        <w:ind w:left="480" w:leftChars="0" w:firstLine="0" w:firstLineChars="0"/>
        <w:jc w:val="left"/>
        <w:rPr>
          <w:rFonts w:hint="default"/>
          <w:color w:val="auto"/>
          <w:sz w:val="24"/>
          <w:szCs w:val="24"/>
          <w:highlight w:val="none"/>
          <w:lang w:val="en-US" w:eastAsia="zh-CN"/>
        </w:rPr>
      </w:pPr>
      <w:r>
        <w:rPr>
          <w:rFonts w:hint="default"/>
          <w:color w:val="auto"/>
          <w:sz w:val="24"/>
          <w:szCs w:val="24"/>
          <w:highlight w:val="none"/>
          <w:lang w:val="en-US" w:eastAsia="zh-CN"/>
        </w:rPr>
        <w:t>针对上述设计情况，指出存在的问题并提出优化设计建议。</w:t>
      </w:r>
    </w:p>
    <w:p w14:paraId="0A727A64">
      <w:pPr>
        <w:widowControl w:val="0"/>
        <w:numPr>
          <w:ilvl w:val="0"/>
          <w:numId w:val="12"/>
        </w:numPr>
        <w:adjustRightInd w:val="0"/>
        <w:spacing w:beforeLines="0" w:afterLines="0"/>
        <w:ind w:left="480" w:leftChars="0" w:firstLine="0" w:firstLineChars="0"/>
        <w:jc w:val="left"/>
        <w:rPr>
          <w:rFonts w:hint="default"/>
          <w:color w:val="auto"/>
          <w:sz w:val="24"/>
          <w:szCs w:val="24"/>
          <w:highlight w:val="none"/>
          <w:lang w:val="en-US" w:eastAsia="zh-CN"/>
        </w:rPr>
      </w:pPr>
      <w:r>
        <w:rPr>
          <w:rFonts w:hint="default"/>
          <w:color w:val="auto"/>
          <w:sz w:val="24"/>
          <w:szCs w:val="24"/>
          <w:highlight w:val="none"/>
          <w:lang w:val="en-US" w:eastAsia="zh-CN"/>
        </w:rPr>
        <w:t>针对送审概算造价的组成是否合理，与可研相比是否有出入，提出意见。</w:t>
      </w:r>
    </w:p>
    <w:p w14:paraId="706FFF1B">
      <w:pPr>
        <w:widowControl w:val="0"/>
        <w:numPr>
          <w:ilvl w:val="0"/>
          <w:numId w:val="12"/>
        </w:numPr>
        <w:adjustRightInd w:val="0"/>
        <w:spacing w:beforeLines="0" w:afterLines="0"/>
        <w:ind w:left="480" w:leftChars="0" w:firstLine="0" w:firstLineChars="0"/>
        <w:jc w:val="left"/>
        <w:rPr>
          <w:rFonts w:hint="default"/>
          <w:color w:val="auto"/>
          <w:sz w:val="24"/>
          <w:szCs w:val="24"/>
          <w:highlight w:val="none"/>
          <w:lang w:val="en-US" w:eastAsia="zh-CN"/>
        </w:rPr>
      </w:pPr>
      <w:r>
        <w:rPr>
          <w:rFonts w:hint="default"/>
          <w:color w:val="auto"/>
          <w:sz w:val="24"/>
          <w:szCs w:val="24"/>
          <w:highlight w:val="none"/>
          <w:lang w:val="en-US" w:eastAsia="zh-CN"/>
        </w:rPr>
        <w:t>针对该项目制定拟派人员分工及概算审核方案。</w:t>
      </w:r>
    </w:p>
    <w:p w14:paraId="47B8FF8E">
      <w:pPr>
        <w:widowControl w:val="0"/>
        <w:numPr>
          <w:ilvl w:val="0"/>
          <w:numId w:val="0"/>
        </w:numPr>
        <w:adjustRightInd w:val="0"/>
        <w:spacing w:beforeLines="0" w:afterLines="0"/>
        <w:jc w:val="left"/>
        <w:rPr>
          <w:rFonts w:hint="eastAsia"/>
          <w:color w:val="auto"/>
          <w:sz w:val="24"/>
          <w:szCs w:val="24"/>
          <w:highlight w:val="none"/>
          <w:lang w:val="en-US" w:eastAsia="zh-CN"/>
        </w:rPr>
      </w:pPr>
      <w:r>
        <w:rPr>
          <w:rFonts w:hint="eastAsia"/>
          <w:color w:val="auto"/>
          <w:sz w:val="24"/>
          <w:szCs w:val="24"/>
          <w:highlight w:val="none"/>
          <w:lang w:val="en-US" w:eastAsia="zh-CN"/>
        </w:rPr>
        <w:t>二、土建项目结算案例</w:t>
      </w:r>
    </w:p>
    <w:p w14:paraId="04FC2325">
      <w:pPr>
        <w:spacing w:beforeLines="0" w:afterLines="0"/>
        <w:ind w:firstLine="480" w:firstLineChars="200"/>
        <w:jc w:val="left"/>
        <w:rPr>
          <w:rFonts w:hint="eastAsia"/>
          <w:color w:val="auto"/>
          <w:sz w:val="24"/>
          <w:szCs w:val="24"/>
          <w:highlight w:val="none"/>
          <w:lang w:val="en-US" w:eastAsia="zh-CN"/>
        </w:rPr>
      </w:pPr>
      <w:r>
        <w:rPr>
          <w:rFonts w:hint="eastAsia"/>
          <w:color w:val="auto"/>
          <w:sz w:val="24"/>
          <w:szCs w:val="24"/>
          <w:highlight w:val="none"/>
          <w:lang w:val="en-US" w:eastAsia="zh-CN"/>
        </w:rPr>
        <w:t>根据上述情况，就以下几个方面提出审核质量和进度把控的落实举措：</w:t>
      </w:r>
    </w:p>
    <w:p w14:paraId="78D6C3BB">
      <w:pPr>
        <w:numPr>
          <w:ilvl w:val="0"/>
          <w:numId w:val="13"/>
        </w:numPr>
        <w:ind w:left="481" w:leftChars="0" w:firstLine="0" w:firstLineChars="0"/>
        <w:rPr>
          <w:rFonts w:hint="eastAsia" w:ascii="宋体" w:hAnsi="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本项目中标金额为2.2亿，但结算送审时为2.5亿，请对该部分金额差异进行分析，并提出相关完善举措。</w:t>
      </w:r>
    </w:p>
    <w:p w14:paraId="24D95D82">
      <w:pPr>
        <w:numPr>
          <w:ilvl w:val="0"/>
          <w:numId w:val="13"/>
        </w:numPr>
        <w:ind w:left="481" w:leftChars="0" w:firstLine="0" w:firstLineChars="0"/>
        <w:rPr>
          <w:rFonts w:hint="default" w:ascii="宋体" w:hAnsi="宋体" w:cs="宋体"/>
          <w:b w:val="0"/>
          <w:bCs/>
          <w:color w:val="auto"/>
          <w:sz w:val="24"/>
          <w:highlight w:val="none"/>
          <w:lang w:val="en-US" w:eastAsia="zh-CN"/>
        </w:rPr>
      </w:pPr>
      <w:r>
        <w:rPr>
          <w:rFonts w:hint="default" w:ascii="宋体" w:hAnsi="宋体" w:cs="宋体"/>
          <w:b w:val="0"/>
          <w:bCs/>
          <w:color w:val="auto"/>
          <w:sz w:val="24"/>
          <w:highlight w:val="none"/>
          <w:lang w:val="en-US" w:eastAsia="zh-CN"/>
        </w:rPr>
        <w:t>本项目竣工验收，但现场做法存在与图纸不一致的地方，请问应该如何处理，请提出相关完善举措。</w:t>
      </w:r>
    </w:p>
    <w:p w14:paraId="4A91DF28">
      <w:pPr>
        <w:numPr>
          <w:ilvl w:val="0"/>
          <w:numId w:val="13"/>
        </w:numPr>
        <w:ind w:left="481" w:leftChars="0" w:firstLine="0" w:firstLineChars="0"/>
        <w:rPr>
          <w:rFonts w:hint="default" w:ascii="宋体" w:hAnsi="宋体" w:cs="宋体"/>
          <w:b w:val="0"/>
          <w:bCs/>
          <w:color w:val="auto"/>
          <w:sz w:val="24"/>
          <w:highlight w:val="none"/>
          <w:lang w:val="en-US" w:eastAsia="zh-CN"/>
        </w:rPr>
      </w:pPr>
      <w:r>
        <w:rPr>
          <w:rFonts w:hint="default" w:ascii="宋体" w:hAnsi="宋体" w:cs="宋体"/>
          <w:b w:val="0"/>
          <w:bCs/>
          <w:color w:val="auto"/>
          <w:sz w:val="24"/>
          <w:highlight w:val="none"/>
          <w:lang w:val="en-US" w:eastAsia="zh-CN"/>
        </w:rPr>
        <w:t>材料调差部分，请基于实际情况分析调差方式、月份，结算造价中的联系单是否应该计取，如何完善审核资料。</w:t>
      </w:r>
    </w:p>
    <w:p w14:paraId="422C0BC9">
      <w:pPr>
        <w:numPr>
          <w:ilvl w:val="0"/>
          <w:numId w:val="13"/>
        </w:numPr>
        <w:ind w:left="481" w:leftChars="0" w:firstLine="0" w:firstLineChars="0"/>
        <w:rPr>
          <w:rFonts w:hint="default" w:ascii="宋体" w:hAnsi="宋体" w:cs="宋体"/>
          <w:b w:val="0"/>
          <w:bCs/>
          <w:color w:val="auto"/>
          <w:sz w:val="24"/>
          <w:highlight w:val="none"/>
          <w:lang w:val="en-US" w:eastAsia="zh-CN"/>
        </w:rPr>
      </w:pPr>
      <w:r>
        <w:rPr>
          <w:rFonts w:hint="default" w:ascii="宋体" w:hAnsi="宋体" w:cs="宋体"/>
          <w:b w:val="0"/>
          <w:bCs/>
          <w:color w:val="auto"/>
          <w:sz w:val="24"/>
          <w:highlight w:val="none"/>
          <w:lang w:val="en-US" w:eastAsia="zh-CN"/>
        </w:rPr>
        <w:t>本项目涉及无价材料部分较多，请就无价材料价格的确定，谈谈从流程到制度应该如何完善。</w:t>
      </w:r>
    </w:p>
    <w:p w14:paraId="6C54A47F">
      <w:pPr>
        <w:numPr>
          <w:ilvl w:val="0"/>
          <w:numId w:val="0"/>
        </w:numPr>
        <w:ind w:leftChars="0"/>
        <w:rPr>
          <w:rFonts w:hint="eastAsia" w:ascii="宋体" w:hAnsi="宋体" w:cs="宋体"/>
          <w:b/>
          <w:color w:val="auto"/>
          <w:sz w:val="24"/>
          <w:highlight w:val="none"/>
          <w:lang w:eastAsia="zh-CN"/>
        </w:rPr>
      </w:pPr>
      <w:r>
        <w:rPr>
          <w:rFonts w:hint="eastAsia" w:ascii="宋体" w:hAnsi="宋体" w:cs="宋体"/>
          <w:b/>
          <w:color w:val="auto"/>
          <w:sz w:val="24"/>
          <w:highlight w:val="none"/>
          <w:lang w:val="en-US" w:eastAsia="zh-CN"/>
        </w:rPr>
        <w:t>7.</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7</w:t>
      </w:r>
      <w:r>
        <w:rPr>
          <w:rFonts w:hint="eastAsia" w:ascii="宋体" w:hAnsi="宋体" w:cs="宋体"/>
          <w:b/>
          <w:color w:val="auto"/>
          <w:sz w:val="24"/>
          <w:highlight w:val="none"/>
        </w:rPr>
        <w:t>项</w:t>
      </w:r>
      <w:r>
        <w:rPr>
          <w:rFonts w:hint="eastAsia" w:ascii="宋体" w:hAnsi="宋体" w:cs="宋体"/>
          <w:b/>
          <w:color w:val="auto"/>
          <w:sz w:val="24"/>
          <w:highlight w:val="none"/>
          <w:lang w:eastAsia="zh-CN"/>
        </w:rPr>
        <w:t>的审核进度</w:t>
      </w:r>
    </w:p>
    <w:p w14:paraId="2FCEC6DE">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宋体" w:hAnsi="宋体" w:cs="宋体"/>
          <w:color w:val="auto"/>
          <w:sz w:val="24"/>
          <w:szCs w:val="24"/>
          <w:highlight w:val="none"/>
          <w:lang w:eastAsia="zh-CN"/>
        </w:rPr>
      </w:pPr>
      <w:r>
        <w:rPr>
          <w:rFonts w:hint="eastAsia" w:ascii="宋体" w:hAnsi="宋体" w:cs="宋体"/>
          <w:b w:val="0"/>
          <w:bCs/>
          <w:color w:val="auto"/>
          <w:sz w:val="24"/>
          <w:highlight w:val="none"/>
          <w:lang w:val="en-US" w:eastAsia="zh-CN"/>
        </w:rPr>
        <w:t>7.1</w:t>
      </w:r>
      <w:r>
        <w:rPr>
          <w:rFonts w:hint="eastAsia" w:ascii="宋体" w:hAnsi="宋体" w:cs="宋体"/>
          <w:color w:val="auto"/>
          <w:sz w:val="24"/>
          <w:szCs w:val="24"/>
          <w:highlight w:val="none"/>
        </w:rPr>
        <w:t>针对项目审核的进度要求，</w:t>
      </w:r>
      <w:r>
        <w:rPr>
          <w:rFonts w:hint="eastAsia" w:ascii="宋体" w:hAnsi="宋体" w:cs="宋体"/>
          <w:color w:val="auto"/>
          <w:sz w:val="24"/>
          <w:szCs w:val="24"/>
          <w:highlight w:val="none"/>
          <w:lang w:eastAsia="zh-CN"/>
        </w:rPr>
        <w:t>提出</w:t>
      </w:r>
      <w:r>
        <w:rPr>
          <w:rFonts w:hint="eastAsia" w:ascii="宋体" w:hAnsi="宋体" w:cs="宋体"/>
          <w:color w:val="auto"/>
          <w:sz w:val="24"/>
          <w:szCs w:val="24"/>
          <w:highlight w:val="none"/>
        </w:rPr>
        <w:t>审核进度控制机制</w:t>
      </w:r>
      <w:r>
        <w:rPr>
          <w:rFonts w:hint="eastAsia" w:ascii="宋体" w:hAnsi="宋体" w:cs="宋体"/>
          <w:color w:val="auto"/>
          <w:sz w:val="24"/>
          <w:szCs w:val="24"/>
          <w:highlight w:val="none"/>
          <w:lang w:eastAsia="zh-CN"/>
        </w:rPr>
        <w:t>；</w:t>
      </w:r>
    </w:p>
    <w:p w14:paraId="274393A5">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Chars="0"/>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7.2</w:t>
      </w:r>
      <w:r>
        <w:rPr>
          <w:rFonts w:hint="eastAsia" w:ascii="宋体" w:hAnsi="宋体" w:cs="宋体"/>
          <w:color w:val="auto"/>
          <w:sz w:val="24"/>
          <w:szCs w:val="24"/>
          <w:highlight w:val="none"/>
        </w:rPr>
        <w:t>针对影响项目审核进度问题的主要因素提供相应解决措施与方案</w:t>
      </w:r>
      <w:r>
        <w:rPr>
          <w:rFonts w:hint="eastAsia" w:ascii="宋体" w:hAnsi="宋体" w:cs="宋体"/>
          <w:color w:val="auto"/>
          <w:sz w:val="24"/>
          <w:szCs w:val="24"/>
          <w:highlight w:val="none"/>
          <w:lang w:eastAsia="zh-CN"/>
        </w:rPr>
        <w:t>；</w:t>
      </w:r>
    </w:p>
    <w:p w14:paraId="72979DCA">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7.3</w:t>
      </w:r>
      <w:r>
        <w:rPr>
          <w:rFonts w:hint="eastAsia" w:ascii="宋体" w:hAnsi="宋体" w:cs="宋体"/>
          <w:color w:val="auto"/>
          <w:sz w:val="24"/>
          <w:szCs w:val="24"/>
          <w:highlight w:val="none"/>
        </w:rPr>
        <w:t>通过合理组织分工与外部协调,</w:t>
      </w:r>
      <w:r>
        <w:rPr>
          <w:rFonts w:hint="eastAsia" w:ascii="宋体" w:hAnsi="宋体" w:cs="宋体"/>
          <w:color w:val="auto"/>
          <w:sz w:val="24"/>
          <w:szCs w:val="24"/>
          <w:highlight w:val="none"/>
          <w:lang w:val="en-US" w:eastAsia="zh-CN"/>
        </w:rPr>
        <w:t>提出如何加快</w:t>
      </w:r>
      <w:r>
        <w:rPr>
          <w:rFonts w:hint="eastAsia" w:ascii="宋体" w:hAnsi="宋体" w:cs="宋体"/>
          <w:color w:val="auto"/>
          <w:sz w:val="24"/>
          <w:szCs w:val="24"/>
          <w:highlight w:val="none"/>
        </w:rPr>
        <w:t>审核进度的方案</w:t>
      </w:r>
      <w:r>
        <w:rPr>
          <w:rFonts w:hint="eastAsia" w:ascii="宋体" w:hAnsi="宋体" w:cs="宋体"/>
          <w:color w:val="auto"/>
          <w:sz w:val="24"/>
          <w:szCs w:val="24"/>
          <w:highlight w:val="none"/>
          <w:lang w:eastAsia="zh-CN"/>
        </w:rPr>
        <w:t>。</w:t>
      </w:r>
    </w:p>
    <w:p w14:paraId="52C32A9F">
      <w:pPr>
        <w:numPr>
          <w:ilvl w:val="0"/>
          <w:numId w:val="0"/>
        </w:numPr>
        <w:ind w:leftChars="0"/>
        <w:rPr>
          <w:rFonts w:hint="eastAsia" w:ascii="宋体" w:hAnsi="宋体" w:cs="宋体"/>
          <w:b/>
          <w:color w:val="auto"/>
          <w:sz w:val="24"/>
          <w:highlight w:val="none"/>
          <w:lang w:val="en-US" w:eastAsia="zh-CN"/>
        </w:rPr>
        <w:sectPr>
          <w:footerReference r:id="rId34" w:type="first"/>
          <w:footerReference r:id="rId33" w:type="default"/>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03476262">
      <w:pPr>
        <w:numPr>
          <w:ilvl w:val="0"/>
          <w:numId w:val="0"/>
        </w:numPr>
        <w:ind w:leftChars="0"/>
        <w:rPr>
          <w:rFonts w:hint="eastAsia" w:ascii="宋体" w:hAnsi="宋体" w:cs="宋体"/>
          <w:b/>
          <w:color w:val="auto"/>
          <w:sz w:val="24"/>
          <w:highlight w:val="none"/>
          <w:lang w:eastAsia="zh-CN"/>
        </w:rPr>
      </w:pP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项</w:t>
      </w:r>
      <w:r>
        <w:rPr>
          <w:rFonts w:hint="eastAsia" w:ascii="宋体" w:hAnsi="宋体" w:cs="宋体"/>
          <w:b/>
          <w:color w:val="auto"/>
          <w:sz w:val="24"/>
          <w:highlight w:val="none"/>
          <w:lang w:eastAsia="zh-CN"/>
        </w:rPr>
        <w:t>的审核质量</w:t>
      </w:r>
    </w:p>
    <w:p w14:paraId="1EF16E8D">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textAlignment w:val="auto"/>
        <w:rPr>
          <w:rFonts w:hint="eastAsia" w:ascii="宋体" w:hAnsi="宋体" w:cs="宋体"/>
          <w:color w:val="auto"/>
          <w:sz w:val="24"/>
          <w:szCs w:val="24"/>
          <w:highlight w:val="none"/>
          <w:lang w:eastAsia="zh-CN"/>
        </w:rPr>
      </w:pPr>
      <w:r>
        <w:rPr>
          <w:rFonts w:hint="eastAsia" w:ascii="宋体" w:hAnsi="宋体" w:cs="宋体"/>
          <w:b w:val="0"/>
          <w:bCs/>
          <w:color w:val="auto"/>
          <w:sz w:val="24"/>
          <w:highlight w:val="none"/>
          <w:lang w:val="en-US" w:eastAsia="zh-CN"/>
        </w:rPr>
        <w:t>8.1</w:t>
      </w:r>
      <w:r>
        <w:rPr>
          <w:rFonts w:hint="eastAsia" w:ascii="宋体" w:hAnsi="宋体" w:cs="宋体"/>
          <w:color w:val="auto"/>
          <w:sz w:val="24"/>
          <w:szCs w:val="24"/>
          <w:highlight w:val="none"/>
          <w:lang w:eastAsia="zh-CN"/>
        </w:rPr>
        <w:t>审核的质控重点与方法；</w:t>
      </w:r>
    </w:p>
    <w:p w14:paraId="2654079D">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Chars="0"/>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8.2</w:t>
      </w:r>
      <w:r>
        <w:rPr>
          <w:rFonts w:hint="eastAsia" w:ascii="宋体" w:hAnsi="宋体" w:cs="宋体"/>
          <w:color w:val="auto"/>
          <w:sz w:val="24"/>
          <w:szCs w:val="24"/>
          <w:highlight w:val="none"/>
          <w:lang w:eastAsia="zh-CN"/>
        </w:rPr>
        <w:t>质控管理体系；</w:t>
      </w:r>
    </w:p>
    <w:p w14:paraId="697F2C1C">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left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8.3针对项目审核中发现的重大质量问题，提出解决方案</w:t>
      </w:r>
      <w:r>
        <w:rPr>
          <w:rFonts w:hint="eastAsia" w:ascii="宋体" w:hAnsi="宋体" w:cs="宋体"/>
          <w:color w:val="auto"/>
          <w:sz w:val="24"/>
          <w:szCs w:val="24"/>
          <w:highlight w:val="none"/>
          <w:lang w:eastAsia="zh-CN"/>
        </w:rPr>
        <w:t>。</w:t>
      </w:r>
    </w:p>
    <w:p w14:paraId="74DFD5DE">
      <w:pPr>
        <w:numPr>
          <w:ilvl w:val="0"/>
          <w:numId w:val="0"/>
        </w:numPr>
        <w:ind w:leftChars="0"/>
        <w:rPr>
          <w:rFonts w:hint="eastAsia" w:ascii="宋体" w:hAnsi="宋体" w:cs="宋体"/>
          <w:b/>
          <w:color w:val="auto"/>
          <w:sz w:val="24"/>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7079328C">
      <w:pPr>
        <w:numPr>
          <w:ilvl w:val="0"/>
          <w:numId w:val="0"/>
        </w:numPr>
        <w:ind w:leftChars="0"/>
        <w:rPr>
          <w:rFonts w:hint="eastAsia" w:ascii="宋体" w:hAnsi="宋体" w:cs="宋体"/>
          <w:b/>
          <w:color w:val="auto"/>
          <w:sz w:val="24"/>
          <w:highlight w:val="none"/>
          <w:lang w:eastAsia="zh-CN"/>
        </w:rPr>
      </w:pPr>
      <w:r>
        <w:rPr>
          <w:rFonts w:hint="eastAsia" w:ascii="宋体" w:hAnsi="宋体" w:cs="宋体"/>
          <w:b/>
          <w:color w:val="auto"/>
          <w:sz w:val="24"/>
          <w:highlight w:val="none"/>
          <w:lang w:val="en-US" w:eastAsia="zh-CN"/>
        </w:rPr>
        <w:t>9.</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9、10</w:t>
      </w:r>
      <w:r>
        <w:rPr>
          <w:rFonts w:hint="eastAsia" w:ascii="宋体" w:hAnsi="宋体" w:cs="宋体"/>
          <w:b/>
          <w:color w:val="auto"/>
          <w:sz w:val="24"/>
          <w:highlight w:val="none"/>
        </w:rPr>
        <w:t>项</w:t>
      </w:r>
      <w:r>
        <w:rPr>
          <w:rFonts w:hint="eastAsia" w:ascii="宋体" w:hAnsi="宋体" w:cs="宋体"/>
          <w:b/>
          <w:color w:val="auto"/>
          <w:sz w:val="24"/>
          <w:highlight w:val="none"/>
          <w:lang w:eastAsia="zh-CN"/>
        </w:rPr>
        <w:t>的审核质量</w:t>
      </w:r>
    </w:p>
    <w:p w14:paraId="5DC11C49">
      <w:pPr>
        <w:pStyle w:val="23"/>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9.1</w:t>
      </w:r>
      <w:r>
        <w:rPr>
          <w:rFonts w:hint="eastAsia" w:cs="宋体"/>
          <w:color w:val="auto"/>
          <w:sz w:val="24"/>
          <w:szCs w:val="24"/>
          <w:highlight w:val="none"/>
          <w:lang w:val="en-US" w:eastAsia="zh-CN"/>
        </w:rPr>
        <w:t>审核</w:t>
      </w:r>
      <w:r>
        <w:rPr>
          <w:rFonts w:hint="eastAsia" w:ascii="宋体" w:hAnsi="宋体" w:eastAsia="宋体" w:cs="宋体"/>
          <w:color w:val="auto"/>
          <w:sz w:val="24"/>
          <w:szCs w:val="24"/>
          <w:highlight w:val="none"/>
          <w:lang w:val="en-US" w:eastAsia="zh-CN"/>
        </w:rPr>
        <w:t>误差率</w:t>
      </w:r>
      <w:r>
        <w:rPr>
          <w:rFonts w:hint="eastAsia" w:cs="宋体"/>
          <w:color w:val="auto"/>
          <w:sz w:val="24"/>
          <w:szCs w:val="24"/>
          <w:highlight w:val="none"/>
          <w:lang w:val="en-US" w:eastAsia="zh-CN"/>
        </w:rPr>
        <w:t>承诺</w:t>
      </w:r>
      <w:r>
        <w:rPr>
          <w:rFonts w:hint="eastAsia" w:ascii="宋体" w:hAnsi="宋体" w:eastAsia="宋体" w:cs="宋体"/>
          <w:color w:val="auto"/>
          <w:sz w:val="24"/>
          <w:szCs w:val="24"/>
          <w:highlight w:val="none"/>
          <w:lang w:val="en-US" w:eastAsia="zh-CN"/>
        </w:rPr>
        <w:t>：</w:t>
      </w:r>
    </w:p>
    <w:p w14:paraId="3672E571">
      <w:pPr>
        <w:numPr>
          <w:ilvl w:val="0"/>
          <w:numId w:val="0"/>
        </w:numPr>
        <w:rPr>
          <w:rFonts w:hint="eastAsia" w:ascii="宋体" w:hAnsi="宋体" w:cs="宋体"/>
          <w:b/>
          <w:color w:val="auto"/>
          <w:sz w:val="24"/>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35A0E5FF">
      <w:pPr>
        <w:numPr>
          <w:ilvl w:val="0"/>
          <w:numId w:val="0"/>
        </w:numPr>
        <w:rPr>
          <w:rFonts w:hint="eastAsia" w:ascii="宋体" w:hAnsi="宋体" w:cs="宋体"/>
          <w:b/>
          <w:color w:val="auto"/>
          <w:sz w:val="24"/>
          <w:highlight w:val="none"/>
          <w:lang w:eastAsia="zh-CN"/>
        </w:rPr>
      </w:pPr>
      <w:r>
        <w:rPr>
          <w:rFonts w:hint="eastAsia" w:ascii="宋体" w:hAnsi="宋体" w:cs="宋体"/>
          <w:b/>
          <w:color w:val="auto"/>
          <w:sz w:val="24"/>
          <w:highlight w:val="none"/>
          <w:lang w:val="en-US" w:eastAsia="zh-CN"/>
        </w:rPr>
        <w:t>10.</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11</w:t>
      </w:r>
      <w:r>
        <w:rPr>
          <w:rFonts w:hint="eastAsia" w:ascii="宋体" w:hAnsi="宋体" w:cs="宋体"/>
          <w:b/>
          <w:color w:val="auto"/>
          <w:sz w:val="24"/>
          <w:highlight w:val="none"/>
        </w:rPr>
        <w:t>项</w:t>
      </w:r>
      <w:r>
        <w:rPr>
          <w:rFonts w:hint="eastAsia" w:ascii="宋体" w:hAnsi="宋体" w:cs="宋体"/>
          <w:b/>
          <w:color w:val="auto"/>
          <w:sz w:val="24"/>
          <w:highlight w:val="none"/>
          <w:lang w:eastAsia="zh-CN"/>
        </w:rPr>
        <w:t>的驻场服务承诺</w:t>
      </w:r>
    </w:p>
    <w:p w14:paraId="72CD5E5D">
      <w:pPr>
        <w:pStyle w:val="22"/>
        <w:numPr>
          <w:ilvl w:val="0"/>
          <w:numId w:val="0"/>
        </w:numPr>
        <w:rPr>
          <w:rFonts w:hint="default"/>
          <w:color w:val="auto"/>
          <w:highlight w:val="none"/>
          <w:lang w:val="en-US" w:eastAsia="zh-CN"/>
        </w:rPr>
      </w:pPr>
      <w:r>
        <w:rPr>
          <w:rFonts w:hint="eastAsia"/>
          <w:color w:val="auto"/>
          <w:highlight w:val="none"/>
          <w:lang w:val="en-US" w:eastAsia="zh-CN"/>
        </w:rPr>
        <w:t>能否提供驻场服务：</w:t>
      </w:r>
    </w:p>
    <w:p w14:paraId="4FB65E91">
      <w:pPr>
        <w:numPr>
          <w:ilvl w:val="0"/>
          <w:numId w:val="0"/>
        </w:numPr>
        <w:rPr>
          <w:rFonts w:hint="eastAsia" w:ascii="宋体" w:hAnsi="宋体" w:cs="宋体"/>
          <w:b/>
          <w:color w:val="auto"/>
          <w:sz w:val="24"/>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79E079C3">
      <w:pPr>
        <w:numPr>
          <w:ilvl w:val="0"/>
          <w:numId w:val="0"/>
        </w:numPr>
        <w:rPr>
          <w:rFonts w:hint="eastAsia" w:ascii="宋体" w:hAnsi="宋体" w:cs="宋体"/>
          <w:b/>
          <w:bCs/>
          <w:color w:val="auto"/>
          <w:kern w:val="0"/>
          <w:sz w:val="24"/>
          <w:highlight w:val="none"/>
        </w:rPr>
      </w:pPr>
      <w:r>
        <w:rPr>
          <w:rFonts w:hint="eastAsia" w:ascii="宋体" w:hAnsi="宋体" w:cs="宋体"/>
          <w:b/>
          <w:color w:val="auto"/>
          <w:sz w:val="24"/>
          <w:highlight w:val="none"/>
          <w:lang w:val="en-US" w:eastAsia="zh-CN"/>
        </w:rPr>
        <w:t>11.</w:t>
      </w:r>
      <w:r>
        <w:rPr>
          <w:rFonts w:hint="eastAsia" w:ascii="宋体" w:hAnsi="宋体" w:cs="宋体"/>
          <w:b/>
          <w:color w:val="auto"/>
          <w:sz w:val="24"/>
          <w:highlight w:val="none"/>
        </w:rPr>
        <w:t>供应商满足评标办法前附表第</w:t>
      </w:r>
      <w:r>
        <w:rPr>
          <w:rFonts w:hint="eastAsia" w:ascii="宋体" w:hAnsi="宋体" w:cs="宋体"/>
          <w:b/>
          <w:color w:val="auto"/>
          <w:sz w:val="24"/>
          <w:highlight w:val="none"/>
          <w:lang w:val="en-US" w:eastAsia="zh-CN"/>
        </w:rPr>
        <w:t>12</w:t>
      </w:r>
      <w:r>
        <w:rPr>
          <w:rFonts w:hint="eastAsia" w:ascii="宋体" w:hAnsi="宋体" w:cs="宋体"/>
          <w:b/>
          <w:color w:val="auto"/>
          <w:sz w:val="24"/>
          <w:highlight w:val="none"/>
        </w:rPr>
        <w:t>项</w:t>
      </w:r>
      <w:r>
        <w:rPr>
          <w:rFonts w:hint="eastAsia" w:ascii="宋体" w:hAnsi="宋体" w:cs="宋体"/>
          <w:b/>
          <w:color w:val="auto"/>
          <w:sz w:val="24"/>
          <w:highlight w:val="none"/>
          <w:lang w:eastAsia="zh-CN"/>
        </w:rPr>
        <w:t>的针对</w:t>
      </w:r>
      <w:r>
        <w:rPr>
          <w:rFonts w:hint="eastAsia" w:ascii="宋体" w:hAnsi="宋体" w:cs="宋体"/>
          <w:b/>
          <w:bCs/>
          <w:color w:val="auto"/>
          <w:kern w:val="0"/>
          <w:sz w:val="24"/>
          <w:highlight w:val="none"/>
        </w:rPr>
        <w:t>政府投资项目特点提出合理化建议及改进措施</w:t>
      </w:r>
    </w:p>
    <w:p w14:paraId="2E3EA3A6">
      <w:pPr>
        <w:ind w:firstLine="1911" w:firstLineChars="595"/>
        <w:outlineLvl w:val="2"/>
        <w:rPr>
          <w:rFonts w:hint="eastAsia" w:ascii="宋体" w:hAnsi="宋体" w:cs="宋体"/>
          <w:b/>
          <w:color w:val="auto"/>
          <w:kern w:val="0"/>
          <w:sz w:val="32"/>
          <w:szCs w:val="32"/>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17039817">
      <w:pPr>
        <w:ind w:firstLine="2891" w:firstLineChars="90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lang w:eastAsia="zh-CN"/>
        </w:rPr>
        <w:t>五</w:t>
      </w:r>
      <w:r>
        <w:rPr>
          <w:rFonts w:hint="eastAsia" w:asciiTheme="minorEastAsia" w:hAnsiTheme="minorEastAsia" w:eastAsiaTheme="minorEastAsia" w:cstheme="minorEastAsia"/>
          <w:b/>
          <w:color w:val="auto"/>
          <w:kern w:val="0"/>
          <w:sz w:val="32"/>
          <w:szCs w:val="32"/>
          <w:highlight w:val="none"/>
        </w:rPr>
        <w:t>、</w:t>
      </w:r>
      <w:r>
        <w:rPr>
          <w:rFonts w:hint="eastAsia" w:asciiTheme="minorEastAsia" w:hAnsiTheme="minorEastAsia" w:eastAsiaTheme="minorEastAsia" w:cstheme="minorEastAsia"/>
          <w:b/>
          <w:color w:val="auto"/>
          <w:kern w:val="0"/>
          <w:sz w:val="32"/>
          <w:szCs w:val="32"/>
          <w:highlight w:val="none"/>
          <w:lang w:eastAsia="zh-CN"/>
        </w:rPr>
        <w:t>响应</w:t>
      </w:r>
      <w:r>
        <w:rPr>
          <w:rFonts w:hint="eastAsia" w:asciiTheme="minorEastAsia" w:hAnsiTheme="minorEastAsia" w:eastAsiaTheme="minorEastAsia" w:cstheme="minorEastAsia"/>
          <w:b/>
          <w:color w:val="auto"/>
          <w:kern w:val="0"/>
          <w:sz w:val="32"/>
          <w:szCs w:val="32"/>
          <w:highlight w:val="none"/>
        </w:rPr>
        <w:t>标的清单</w:t>
      </w:r>
    </w:p>
    <w:tbl>
      <w:tblPr>
        <w:tblStyle w:val="51"/>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276"/>
        <w:gridCol w:w="1308"/>
        <w:gridCol w:w="1625"/>
        <w:gridCol w:w="1875"/>
        <w:gridCol w:w="1012"/>
      </w:tblGrid>
      <w:tr w14:paraId="3FEC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A992243">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AA692E7">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名称</w:t>
            </w:r>
          </w:p>
        </w:tc>
        <w:tc>
          <w:tcPr>
            <w:tcW w:w="1276" w:type="dxa"/>
            <w:tcBorders>
              <w:top w:val="single" w:color="auto" w:sz="4" w:space="0"/>
              <w:left w:val="single" w:color="auto" w:sz="4" w:space="0"/>
              <w:bottom w:val="single" w:color="auto" w:sz="4" w:space="0"/>
              <w:right w:val="single" w:color="auto" w:sz="4" w:space="0"/>
            </w:tcBorders>
            <w:vAlign w:val="center"/>
          </w:tcPr>
          <w:p w14:paraId="0C5DA79A">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服务范围</w:t>
            </w:r>
          </w:p>
        </w:tc>
        <w:tc>
          <w:tcPr>
            <w:tcW w:w="1308" w:type="dxa"/>
            <w:tcBorders>
              <w:top w:val="single" w:color="auto" w:sz="4" w:space="0"/>
              <w:left w:val="single" w:color="auto" w:sz="4" w:space="0"/>
              <w:bottom w:val="single" w:color="auto" w:sz="4" w:space="0"/>
              <w:right w:val="single" w:color="auto" w:sz="4" w:space="0"/>
            </w:tcBorders>
            <w:vAlign w:val="center"/>
          </w:tcPr>
          <w:p w14:paraId="61EFC0F3">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服务要求</w:t>
            </w:r>
          </w:p>
        </w:tc>
        <w:tc>
          <w:tcPr>
            <w:tcW w:w="1625" w:type="dxa"/>
            <w:tcBorders>
              <w:top w:val="single" w:color="auto" w:sz="4" w:space="0"/>
              <w:left w:val="single" w:color="auto" w:sz="4" w:space="0"/>
              <w:bottom w:val="single" w:color="auto" w:sz="4" w:space="0"/>
              <w:right w:val="single" w:color="auto" w:sz="4" w:space="0"/>
            </w:tcBorders>
            <w:vAlign w:val="center"/>
          </w:tcPr>
          <w:p w14:paraId="76138E99">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服务时间</w:t>
            </w:r>
          </w:p>
        </w:tc>
        <w:tc>
          <w:tcPr>
            <w:tcW w:w="1875" w:type="dxa"/>
            <w:tcBorders>
              <w:top w:val="single" w:color="auto" w:sz="4" w:space="0"/>
              <w:left w:val="single" w:color="auto" w:sz="4" w:space="0"/>
              <w:bottom w:val="single" w:color="auto" w:sz="4" w:space="0"/>
              <w:right w:val="single" w:color="auto" w:sz="4" w:space="0"/>
            </w:tcBorders>
            <w:vAlign w:val="center"/>
          </w:tcPr>
          <w:p w14:paraId="64DC7048">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服务标准</w:t>
            </w:r>
          </w:p>
        </w:tc>
        <w:tc>
          <w:tcPr>
            <w:tcW w:w="1012" w:type="dxa"/>
            <w:tcBorders>
              <w:top w:val="single" w:color="auto" w:sz="4" w:space="0"/>
              <w:left w:val="single" w:color="auto" w:sz="4" w:space="0"/>
              <w:bottom w:val="single" w:color="auto" w:sz="4" w:space="0"/>
              <w:right w:val="single" w:color="auto" w:sz="4" w:space="0"/>
            </w:tcBorders>
            <w:vAlign w:val="center"/>
          </w:tcPr>
          <w:p w14:paraId="0E34A621">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w:t>
            </w:r>
          </w:p>
        </w:tc>
      </w:tr>
      <w:tr w14:paraId="4EC4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53833B6">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669CF82D">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5DFFBD6F">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308" w:type="dxa"/>
            <w:tcBorders>
              <w:top w:val="single" w:color="auto" w:sz="4" w:space="0"/>
              <w:left w:val="single" w:color="auto" w:sz="4" w:space="0"/>
              <w:bottom w:val="single" w:color="auto" w:sz="4" w:space="0"/>
              <w:right w:val="single" w:color="auto" w:sz="4" w:space="0"/>
            </w:tcBorders>
            <w:vAlign w:val="center"/>
          </w:tcPr>
          <w:p w14:paraId="68B007D8">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5BDEB20A">
            <w:pPr>
              <w:spacing w:line="360" w:lineRule="auto"/>
              <w:jc w:val="center"/>
              <w:rPr>
                <w:rFonts w:hint="eastAsia" w:asciiTheme="minorEastAsia" w:hAnsiTheme="minorEastAsia" w:eastAsiaTheme="minorEastAsia" w:cstheme="minorEastAsia"/>
                <w:color w:val="auto"/>
                <w:sz w:val="24"/>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51D6F0A7">
            <w:pPr>
              <w:spacing w:line="360" w:lineRule="auto"/>
              <w:jc w:val="center"/>
              <w:rPr>
                <w:rFonts w:hint="eastAsia" w:asciiTheme="minorEastAsia" w:hAnsiTheme="minorEastAsia" w:eastAsiaTheme="minorEastAsia" w:cstheme="minorEastAsia"/>
                <w:color w:val="auto"/>
                <w:sz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14:paraId="26E1CA47">
            <w:pPr>
              <w:spacing w:line="360" w:lineRule="auto"/>
              <w:jc w:val="center"/>
              <w:rPr>
                <w:rFonts w:hint="eastAsia" w:asciiTheme="minorEastAsia" w:hAnsiTheme="minorEastAsia" w:eastAsiaTheme="minorEastAsia" w:cstheme="minorEastAsia"/>
                <w:color w:val="auto"/>
                <w:sz w:val="24"/>
                <w:highlight w:val="none"/>
              </w:rPr>
            </w:pPr>
          </w:p>
        </w:tc>
      </w:tr>
      <w:tr w14:paraId="3095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FA59EBD">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0E01D241">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7471F174">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308" w:type="dxa"/>
            <w:tcBorders>
              <w:top w:val="single" w:color="auto" w:sz="4" w:space="0"/>
              <w:left w:val="single" w:color="auto" w:sz="4" w:space="0"/>
              <w:bottom w:val="single" w:color="auto" w:sz="4" w:space="0"/>
              <w:right w:val="single" w:color="auto" w:sz="4" w:space="0"/>
            </w:tcBorders>
            <w:vAlign w:val="center"/>
          </w:tcPr>
          <w:p w14:paraId="2CB46614">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0A174414">
            <w:pPr>
              <w:spacing w:line="360" w:lineRule="auto"/>
              <w:jc w:val="center"/>
              <w:rPr>
                <w:rFonts w:hint="eastAsia" w:asciiTheme="minorEastAsia" w:hAnsiTheme="minorEastAsia" w:eastAsiaTheme="minorEastAsia" w:cstheme="minorEastAsia"/>
                <w:color w:val="auto"/>
                <w:sz w:val="24"/>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1582F380">
            <w:pPr>
              <w:spacing w:line="360" w:lineRule="auto"/>
              <w:jc w:val="center"/>
              <w:rPr>
                <w:rFonts w:hint="eastAsia" w:asciiTheme="minorEastAsia" w:hAnsiTheme="minorEastAsia" w:eastAsiaTheme="minorEastAsia" w:cstheme="minorEastAsia"/>
                <w:color w:val="auto"/>
                <w:sz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14:paraId="1EC7A61D">
            <w:pPr>
              <w:spacing w:line="360" w:lineRule="auto"/>
              <w:jc w:val="center"/>
              <w:rPr>
                <w:rFonts w:hint="eastAsia" w:asciiTheme="minorEastAsia" w:hAnsiTheme="minorEastAsia" w:eastAsiaTheme="minorEastAsia" w:cstheme="minorEastAsia"/>
                <w:color w:val="auto"/>
                <w:sz w:val="24"/>
                <w:highlight w:val="none"/>
              </w:rPr>
            </w:pPr>
          </w:p>
        </w:tc>
      </w:tr>
      <w:tr w14:paraId="4B8A7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C81CDE2">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71613382">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2DC28EAA">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308" w:type="dxa"/>
            <w:tcBorders>
              <w:top w:val="single" w:color="auto" w:sz="4" w:space="0"/>
              <w:left w:val="single" w:color="auto" w:sz="4" w:space="0"/>
              <w:bottom w:val="single" w:color="auto" w:sz="4" w:space="0"/>
              <w:right w:val="single" w:color="auto" w:sz="4" w:space="0"/>
            </w:tcBorders>
            <w:vAlign w:val="center"/>
          </w:tcPr>
          <w:p w14:paraId="0AD43142">
            <w:pPr>
              <w:snapToGrid w:val="0"/>
              <w:spacing w:line="360" w:lineRule="auto"/>
              <w:jc w:val="center"/>
              <w:rPr>
                <w:rFonts w:hint="eastAsia" w:asciiTheme="minorEastAsia" w:hAnsiTheme="minorEastAsia" w:eastAsiaTheme="minorEastAsia" w:cstheme="minorEastAsia"/>
                <w:color w:val="auto"/>
                <w:sz w:val="24"/>
                <w:highlight w:val="none"/>
              </w:rPr>
            </w:pPr>
          </w:p>
        </w:tc>
        <w:tc>
          <w:tcPr>
            <w:tcW w:w="1625" w:type="dxa"/>
            <w:tcBorders>
              <w:top w:val="single" w:color="auto" w:sz="4" w:space="0"/>
              <w:left w:val="single" w:color="auto" w:sz="4" w:space="0"/>
              <w:bottom w:val="single" w:color="auto" w:sz="4" w:space="0"/>
              <w:right w:val="single" w:color="auto" w:sz="4" w:space="0"/>
            </w:tcBorders>
            <w:vAlign w:val="center"/>
          </w:tcPr>
          <w:p w14:paraId="51FFAB27">
            <w:pPr>
              <w:spacing w:line="360" w:lineRule="auto"/>
              <w:jc w:val="center"/>
              <w:rPr>
                <w:rFonts w:hint="eastAsia" w:asciiTheme="minorEastAsia" w:hAnsiTheme="minorEastAsia" w:eastAsiaTheme="minorEastAsia" w:cstheme="minorEastAsia"/>
                <w:color w:val="auto"/>
                <w:sz w:val="24"/>
                <w:highlight w:val="none"/>
              </w:rPr>
            </w:pPr>
          </w:p>
        </w:tc>
        <w:tc>
          <w:tcPr>
            <w:tcW w:w="1875" w:type="dxa"/>
            <w:tcBorders>
              <w:top w:val="single" w:color="auto" w:sz="4" w:space="0"/>
              <w:left w:val="single" w:color="auto" w:sz="4" w:space="0"/>
              <w:bottom w:val="single" w:color="auto" w:sz="4" w:space="0"/>
              <w:right w:val="single" w:color="auto" w:sz="4" w:space="0"/>
            </w:tcBorders>
            <w:vAlign w:val="center"/>
          </w:tcPr>
          <w:p w14:paraId="50A2EA3D">
            <w:pPr>
              <w:spacing w:line="360" w:lineRule="auto"/>
              <w:jc w:val="center"/>
              <w:rPr>
                <w:rFonts w:hint="eastAsia" w:asciiTheme="minorEastAsia" w:hAnsiTheme="minorEastAsia" w:eastAsiaTheme="minorEastAsia" w:cstheme="minorEastAsia"/>
                <w:color w:val="auto"/>
                <w:sz w:val="24"/>
                <w:highlight w:val="none"/>
              </w:rPr>
            </w:pPr>
          </w:p>
        </w:tc>
        <w:tc>
          <w:tcPr>
            <w:tcW w:w="1012" w:type="dxa"/>
            <w:tcBorders>
              <w:top w:val="single" w:color="auto" w:sz="4" w:space="0"/>
              <w:left w:val="single" w:color="auto" w:sz="4" w:space="0"/>
              <w:bottom w:val="single" w:color="auto" w:sz="4" w:space="0"/>
              <w:right w:val="single" w:color="auto" w:sz="4" w:space="0"/>
            </w:tcBorders>
            <w:vAlign w:val="center"/>
          </w:tcPr>
          <w:p w14:paraId="3D6D04AF">
            <w:pPr>
              <w:spacing w:line="360" w:lineRule="auto"/>
              <w:jc w:val="center"/>
              <w:rPr>
                <w:rFonts w:hint="eastAsia" w:asciiTheme="minorEastAsia" w:hAnsiTheme="minorEastAsia" w:eastAsiaTheme="minorEastAsia" w:cstheme="minorEastAsia"/>
                <w:color w:val="auto"/>
                <w:sz w:val="24"/>
                <w:highlight w:val="none"/>
              </w:rPr>
            </w:pPr>
          </w:p>
        </w:tc>
      </w:tr>
    </w:tbl>
    <w:p w14:paraId="37C2667D">
      <w:pPr>
        <w:snapToGrid w:val="0"/>
        <w:spacing w:line="360" w:lineRule="auto"/>
        <w:ind w:firstLine="576"/>
        <w:jc w:val="center"/>
        <w:rPr>
          <w:rFonts w:hint="eastAsia" w:asciiTheme="minorEastAsia" w:hAnsiTheme="minorEastAsia" w:eastAsiaTheme="minorEastAsia" w:cstheme="minorEastAsia"/>
          <w:color w:val="auto"/>
          <w:kern w:val="0"/>
          <w:sz w:val="24"/>
          <w:highlight w:val="none"/>
        </w:rPr>
      </w:pPr>
    </w:p>
    <w:p w14:paraId="4C296147">
      <w:pPr>
        <w:snapToGrid w:val="0"/>
        <w:spacing w:line="360" w:lineRule="auto"/>
        <w:ind w:firstLine="576"/>
        <w:jc w:val="center"/>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 xml:space="preserve">响应供应商名称(电子签名)：                              </w:t>
      </w:r>
    </w:p>
    <w:p w14:paraId="40FE6741">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0CE32671">
      <w:pPr>
        <w:jc w:val="center"/>
        <w:rPr>
          <w:rFonts w:hint="eastAsia" w:asciiTheme="minorEastAsia" w:hAnsiTheme="minorEastAsia" w:eastAsiaTheme="minorEastAsia" w:cstheme="minorEastAsia"/>
          <w:b/>
          <w:color w:val="auto"/>
          <w:kern w:val="0"/>
          <w:sz w:val="32"/>
          <w:szCs w:val="32"/>
          <w:highlight w:val="none"/>
        </w:rPr>
      </w:pPr>
    </w:p>
    <w:p w14:paraId="29DBACEC">
      <w:pPr>
        <w:jc w:val="center"/>
        <w:rPr>
          <w:rFonts w:hint="eastAsia" w:asciiTheme="minorEastAsia" w:hAnsiTheme="minorEastAsia" w:eastAsiaTheme="minorEastAsia" w:cstheme="minorEastAsia"/>
          <w:b/>
          <w:color w:val="auto"/>
          <w:kern w:val="0"/>
          <w:sz w:val="32"/>
          <w:szCs w:val="32"/>
          <w:highlight w:val="none"/>
        </w:rPr>
      </w:pPr>
    </w:p>
    <w:p w14:paraId="20197DA9">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lang w:eastAsia="zh-CN"/>
        </w:rPr>
        <w:t>六</w:t>
      </w:r>
      <w:r>
        <w:rPr>
          <w:rFonts w:hint="eastAsia" w:asciiTheme="minorEastAsia" w:hAnsiTheme="minorEastAsia" w:eastAsiaTheme="minorEastAsia" w:cstheme="minorEastAsia"/>
          <w:b/>
          <w:color w:val="auto"/>
          <w:kern w:val="0"/>
          <w:sz w:val="32"/>
          <w:szCs w:val="32"/>
          <w:highlight w:val="none"/>
        </w:rPr>
        <w:t>、商务技术偏离表</w:t>
      </w:r>
    </w:p>
    <w:tbl>
      <w:tblPr>
        <w:tblStyle w:val="52"/>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4D2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435F5B9C">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序号</w:t>
            </w:r>
          </w:p>
        </w:tc>
        <w:tc>
          <w:tcPr>
            <w:tcW w:w="3683" w:type="dxa"/>
          </w:tcPr>
          <w:p w14:paraId="573C2D57">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eastAsia="zh-CN"/>
              </w:rPr>
              <w:t>征集</w:t>
            </w:r>
            <w:r>
              <w:rPr>
                <w:rFonts w:hint="eastAsia" w:asciiTheme="minorEastAsia" w:hAnsiTheme="minorEastAsia" w:eastAsiaTheme="minorEastAsia" w:cstheme="minorEastAsia"/>
                <w:b/>
                <w:bCs/>
                <w:color w:val="auto"/>
                <w:sz w:val="24"/>
                <w:highlight w:val="none"/>
              </w:rPr>
              <w:t>文件章节及具体内容</w:t>
            </w:r>
          </w:p>
        </w:tc>
        <w:tc>
          <w:tcPr>
            <w:tcW w:w="3546" w:type="dxa"/>
          </w:tcPr>
          <w:p w14:paraId="41A1CF8A">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eastAsia="zh-CN"/>
              </w:rPr>
              <w:t>响应</w:t>
            </w:r>
            <w:r>
              <w:rPr>
                <w:rFonts w:hint="eastAsia" w:asciiTheme="minorEastAsia" w:hAnsiTheme="minorEastAsia" w:eastAsiaTheme="minorEastAsia" w:cstheme="minorEastAsia"/>
                <w:b/>
                <w:bCs/>
                <w:color w:val="auto"/>
                <w:sz w:val="24"/>
                <w:highlight w:val="none"/>
              </w:rPr>
              <w:t>文件章节及具体内容</w:t>
            </w:r>
          </w:p>
        </w:tc>
        <w:tc>
          <w:tcPr>
            <w:tcW w:w="1276" w:type="dxa"/>
          </w:tcPr>
          <w:p w14:paraId="1962D1C6">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偏离说明</w:t>
            </w:r>
          </w:p>
        </w:tc>
      </w:tr>
      <w:tr w14:paraId="1595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2E09F857">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83" w:type="dxa"/>
          </w:tcPr>
          <w:p w14:paraId="5F5A5DEB">
            <w:pPr>
              <w:jc w:val="center"/>
              <w:rPr>
                <w:rFonts w:hint="eastAsia" w:asciiTheme="minorEastAsia" w:hAnsiTheme="minorEastAsia" w:eastAsiaTheme="minorEastAsia" w:cstheme="minorEastAsia"/>
                <w:b/>
                <w:color w:val="auto"/>
                <w:kern w:val="0"/>
                <w:sz w:val="32"/>
                <w:szCs w:val="32"/>
                <w:highlight w:val="none"/>
              </w:rPr>
            </w:pPr>
          </w:p>
        </w:tc>
        <w:tc>
          <w:tcPr>
            <w:tcW w:w="3546" w:type="dxa"/>
          </w:tcPr>
          <w:p w14:paraId="67C7D7E4">
            <w:pPr>
              <w:jc w:val="center"/>
              <w:rPr>
                <w:rFonts w:hint="eastAsia" w:asciiTheme="minorEastAsia" w:hAnsiTheme="minorEastAsia" w:eastAsiaTheme="minorEastAsia" w:cstheme="minorEastAsia"/>
                <w:b/>
                <w:color w:val="auto"/>
                <w:kern w:val="0"/>
                <w:sz w:val="32"/>
                <w:szCs w:val="32"/>
                <w:highlight w:val="none"/>
              </w:rPr>
            </w:pPr>
          </w:p>
        </w:tc>
        <w:tc>
          <w:tcPr>
            <w:tcW w:w="1276" w:type="dxa"/>
          </w:tcPr>
          <w:p w14:paraId="593CE814">
            <w:pPr>
              <w:jc w:val="center"/>
              <w:rPr>
                <w:rFonts w:hint="eastAsia" w:asciiTheme="minorEastAsia" w:hAnsiTheme="minorEastAsia" w:eastAsiaTheme="minorEastAsia" w:cstheme="minorEastAsia"/>
                <w:b/>
                <w:color w:val="auto"/>
                <w:kern w:val="0"/>
                <w:sz w:val="32"/>
                <w:szCs w:val="32"/>
                <w:highlight w:val="none"/>
              </w:rPr>
            </w:pPr>
          </w:p>
        </w:tc>
      </w:tr>
      <w:tr w14:paraId="57F1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112600E7">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83" w:type="dxa"/>
          </w:tcPr>
          <w:p w14:paraId="5A388DDF">
            <w:pPr>
              <w:jc w:val="center"/>
              <w:rPr>
                <w:rFonts w:hint="eastAsia" w:asciiTheme="minorEastAsia" w:hAnsiTheme="minorEastAsia" w:eastAsiaTheme="minorEastAsia" w:cstheme="minorEastAsia"/>
                <w:b/>
                <w:color w:val="auto"/>
                <w:kern w:val="0"/>
                <w:sz w:val="32"/>
                <w:szCs w:val="32"/>
                <w:highlight w:val="none"/>
              </w:rPr>
            </w:pPr>
          </w:p>
        </w:tc>
        <w:tc>
          <w:tcPr>
            <w:tcW w:w="3546" w:type="dxa"/>
          </w:tcPr>
          <w:p w14:paraId="76952B3E">
            <w:pPr>
              <w:jc w:val="center"/>
              <w:rPr>
                <w:rFonts w:hint="eastAsia" w:asciiTheme="minorEastAsia" w:hAnsiTheme="minorEastAsia" w:eastAsiaTheme="minorEastAsia" w:cstheme="minorEastAsia"/>
                <w:b/>
                <w:color w:val="auto"/>
                <w:kern w:val="0"/>
                <w:sz w:val="32"/>
                <w:szCs w:val="32"/>
                <w:highlight w:val="none"/>
              </w:rPr>
            </w:pPr>
          </w:p>
        </w:tc>
        <w:tc>
          <w:tcPr>
            <w:tcW w:w="1276" w:type="dxa"/>
          </w:tcPr>
          <w:p w14:paraId="2C43778C">
            <w:pPr>
              <w:jc w:val="center"/>
              <w:rPr>
                <w:rFonts w:hint="eastAsia" w:asciiTheme="minorEastAsia" w:hAnsiTheme="minorEastAsia" w:eastAsiaTheme="minorEastAsia" w:cstheme="minorEastAsia"/>
                <w:b/>
                <w:color w:val="auto"/>
                <w:kern w:val="0"/>
                <w:sz w:val="32"/>
                <w:szCs w:val="32"/>
                <w:highlight w:val="none"/>
              </w:rPr>
            </w:pPr>
          </w:p>
        </w:tc>
      </w:tr>
      <w:tr w14:paraId="4090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5C0929BD">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83" w:type="dxa"/>
          </w:tcPr>
          <w:p w14:paraId="05438FF4">
            <w:pPr>
              <w:jc w:val="center"/>
              <w:rPr>
                <w:rFonts w:hint="eastAsia" w:asciiTheme="minorEastAsia" w:hAnsiTheme="minorEastAsia" w:eastAsiaTheme="minorEastAsia" w:cstheme="minorEastAsia"/>
                <w:b/>
                <w:color w:val="auto"/>
                <w:kern w:val="0"/>
                <w:sz w:val="32"/>
                <w:szCs w:val="32"/>
                <w:highlight w:val="none"/>
              </w:rPr>
            </w:pPr>
          </w:p>
        </w:tc>
        <w:tc>
          <w:tcPr>
            <w:tcW w:w="3546" w:type="dxa"/>
          </w:tcPr>
          <w:p w14:paraId="5DBAFE98">
            <w:pPr>
              <w:jc w:val="center"/>
              <w:rPr>
                <w:rFonts w:hint="eastAsia" w:asciiTheme="minorEastAsia" w:hAnsiTheme="minorEastAsia" w:eastAsiaTheme="minorEastAsia" w:cstheme="minorEastAsia"/>
                <w:b/>
                <w:color w:val="auto"/>
                <w:kern w:val="0"/>
                <w:sz w:val="32"/>
                <w:szCs w:val="32"/>
                <w:highlight w:val="none"/>
              </w:rPr>
            </w:pPr>
          </w:p>
        </w:tc>
        <w:tc>
          <w:tcPr>
            <w:tcW w:w="1276" w:type="dxa"/>
          </w:tcPr>
          <w:p w14:paraId="2867C5D4">
            <w:pPr>
              <w:jc w:val="center"/>
              <w:rPr>
                <w:rFonts w:hint="eastAsia" w:asciiTheme="minorEastAsia" w:hAnsiTheme="minorEastAsia" w:eastAsiaTheme="minorEastAsia" w:cstheme="minorEastAsia"/>
                <w:b/>
                <w:color w:val="auto"/>
                <w:kern w:val="0"/>
                <w:sz w:val="32"/>
                <w:szCs w:val="32"/>
                <w:highlight w:val="none"/>
              </w:rPr>
            </w:pPr>
          </w:p>
        </w:tc>
      </w:tr>
    </w:tbl>
    <w:p w14:paraId="3B6C9EAF">
      <w:pPr>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响应供应商</w:t>
      </w:r>
      <w:r>
        <w:rPr>
          <w:rFonts w:hint="eastAsia" w:asciiTheme="minorEastAsia" w:hAnsiTheme="minorEastAsia" w:eastAsiaTheme="minorEastAsia" w:cstheme="minorEastAsia"/>
          <w:color w:val="auto"/>
          <w:kern w:val="0"/>
          <w:sz w:val="24"/>
          <w:highlight w:val="none"/>
        </w:rPr>
        <w:t>保证：除商务技术偏离表列出的偏离外，</w:t>
      </w:r>
      <w:r>
        <w:rPr>
          <w:rFonts w:hint="eastAsia" w:asciiTheme="minorEastAsia" w:hAnsiTheme="minorEastAsia" w:eastAsiaTheme="minorEastAsia" w:cstheme="minorEastAsia"/>
          <w:color w:val="auto"/>
          <w:kern w:val="0"/>
          <w:sz w:val="24"/>
          <w:highlight w:val="none"/>
          <w:lang w:val="zh-CN"/>
        </w:rPr>
        <w:t>响应供应商</w:t>
      </w:r>
      <w:r>
        <w:rPr>
          <w:rFonts w:hint="eastAsia" w:asciiTheme="minorEastAsia" w:hAnsiTheme="minorEastAsia" w:eastAsiaTheme="minorEastAsia" w:cstheme="minorEastAsia"/>
          <w:color w:val="auto"/>
          <w:kern w:val="0"/>
          <w:sz w:val="24"/>
          <w:highlight w:val="none"/>
        </w:rPr>
        <w:t>响应</w:t>
      </w:r>
      <w:r>
        <w:rPr>
          <w:rFonts w:hint="eastAsia" w:asciiTheme="minorEastAsia" w:hAnsiTheme="minorEastAsia" w:eastAsiaTheme="minorEastAsia" w:cstheme="minorEastAsia"/>
          <w:color w:val="auto"/>
          <w:kern w:val="0"/>
          <w:sz w:val="24"/>
          <w:highlight w:val="none"/>
          <w:lang w:eastAsia="zh-CN"/>
        </w:rPr>
        <w:t>征集</w:t>
      </w:r>
      <w:r>
        <w:rPr>
          <w:rFonts w:hint="eastAsia" w:asciiTheme="minorEastAsia" w:hAnsiTheme="minorEastAsia" w:eastAsiaTheme="minorEastAsia" w:cstheme="minorEastAsia"/>
          <w:color w:val="auto"/>
          <w:kern w:val="0"/>
          <w:sz w:val="24"/>
          <w:highlight w:val="none"/>
        </w:rPr>
        <w:t>文件的全部要求</w:t>
      </w:r>
    </w:p>
    <w:p w14:paraId="254B829C">
      <w:pPr>
        <w:jc w:val="left"/>
        <w:rPr>
          <w:rFonts w:hint="eastAsia" w:asciiTheme="minorEastAsia" w:hAnsiTheme="minorEastAsia" w:eastAsiaTheme="minorEastAsia" w:cstheme="minorEastAsia"/>
          <w:color w:val="auto"/>
          <w:kern w:val="0"/>
          <w:sz w:val="24"/>
          <w:highlight w:val="none"/>
        </w:rPr>
      </w:pPr>
    </w:p>
    <w:p w14:paraId="3D66A575">
      <w:pPr>
        <w:ind w:firstLine="1911" w:firstLineChars="595"/>
        <w:rPr>
          <w:rFonts w:hint="eastAsia" w:asciiTheme="minorEastAsia" w:hAnsiTheme="minorEastAsia" w:eastAsiaTheme="minorEastAsia" w:cstheme="minorEastAsia"/>
          <w:b/>
          <w:color w:val="auto"/>
          <w:kern w:val="0"/>
          <w:sz w:val="32"/>
          <w:szCs w:val="32"/>
          <w:highlight w:val="none"/>
        </w:rPr>
      </w:pPr>
    </w:p>
    <w:p w14:paraId="02B769C1">
      <w:pPr>
        <w:snapToGrid w:val="0"/>
        <w:spacing w:line="360" w:lineRule="auto"/>
        <w:ind w:firstLine="576"/>
        <w:jc w:val="center"/>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 xml:space="preserve">响应供应商名称(电子签名)：                              </w:t>
      </w:r>
    </w:p>
    <w:p w14:paraId="587DAECB">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6E864B9C">
      <w:pPr>
        <w:ind w:firstLine="1911" w:firstLineChars="595"/>
        <w:outlineLvl w:val="2"/>
        <w:rPr>
          <w:rFonts w:hint="eastAsia" w:asciiTheme="minorEastAsia" w:hAnsiTheme="minorEastAsia" w:eastAsiaTheme="minorEastAsia" w:cstheme="minorEastAsia"/>
          <w:b/>
          <w:color w:val="auto"/>
          <w:kern w:val="0"/>
          <w:sz w:val="32"/>
          <w:szCs w:val="32"/>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7DB6D6A4">
      <w:pPr>
        <w:ind w:firstLine="1911" w:firstLineChars="595"/>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w:t>
      </w:r>
      <w:r>
        <w:rPr>
          <w:rFonts w:hint="eastAsia" w:ascii="宋体" w:hAnsi="宋体" w:cs="宋体"/>
          <w:b/>
          <w:color w:val="auto"/>
          <w:kern w:val="0"/>
          <w:sz w:val="32"/>
          <w:szCs w:val="32"/>
          <w:highlight w:val="none"/>
          <w:lang w:val="zh-CN"/>
        </w:rPr>
        <w:t>政府采购供应商廉洁自律承诺书</w:t>
      </w:r>
    </w:p>
    <w:p w14:paraId="12925CA7">
      <w:pPr>
        <w:snapToGrid w:val="0"/>
        <w:spacing w:line="360" w:lineRule="auto"/>
        <w:rPr>
          <w:rFonts w:ascii="宋体" w:hAnsi="宋体" w:cs="宋体"/>
          <w:color w:val="auto"/>
          <w:sz w:val="24"/>
          <w:highlight w:val="none"/>
        </w:rPr>
      </w:pPr>
    </w:p>
    <w:p w14:paraId="45369E49">
      <w:pPr>
        <w:snapToGrid w:val="0"/>
        <w:spacing w:line="360" w:lineRule="auto"/>
        <w:rPr>
          <w:rFonts w:ascii="宋体" w:hAnsi="宋体" w:cs="宋体"/>
          <w:color w:val="auto"/>
          <w:kern w:val="0"/>
          <w:sz w:val="24"/>
          <w:highlight w:val="none"/>
          <w:u w:val="single"/>
        </w:rPr>
      </w:pPr>
      <w:r>
        <w:rPr>
          <w:rFonts w:hint="eastAsia" w:ascii="宋体" w:hAnsi="宋体" w:cs="宋体"/>
          <w:color w:val="auto"/>
          <w:sz w:val="24"/>
          <w:highlight w:val="none"/>
          <w:u w:val="single"/>
        </w:rPr>
        <w:t>杭州市</w:t>
      </w:r>
      <w:r>
        <w:rPr>
          <w:rFonts w:hint="eastAsia" w:ascii="宋体" w:hAnsi="宋体" w:cs="宋体"/>
          <w:color w:val="auto"/>
          <w:sz w:val="24"/>
          <w:highlight w:val="none"/>
          <w:u w:val="single"/>
          <w:lang w:eastAsia="zh-CN"/>
        </w:rPr>
        <w:t>钱塘区政府投资项目评审服务中心</w:t>
      </w:r>
      <w:r>
        <w:rPr>
          <w:rFonts w:hint="eastAsia" w:ascii="宋体" w:hAnsi="宋体" w:cs="宋体"/>
          <w:color w:val="auto"/>
          <w:kern w:val="0"/>
          <w:sz w:val="24"/>
          <w:highlight w:val="none"/>
          <w:u w:val="single"/>
          <w:lang w:val="zh-CN"/>
        </w:rPr>
        <w:t>：</w:t>
      </w:r>
    </w:p>
    <w:p w14:paraId="011A94AF">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sz w:val="24"/>
          <w:highlight w:val="none"/>
          <w:u w:val="single"/>
          <w:lang w:val="en-US" w:eastAsia="zh-CN"/>
        </w:rPr>
        <w:t xml:space="preserve"> </w:t>
      </w:r>
      <w:r>
        <w:rPr>
          <w:rFonts w:hint="eastAsia" w:ascii="宋体" w:hAnsi="宋体" w:cs="宋体"/>
          <w:color w:val="auto"/>
          <w:kern w:val="0"/>
          <w:sz w:val="24"/>
          <w:highlight w:val="none"/>
          <w:u w:val="single"/>
          <w:lang w:val="zh-CN"/>
        </w:rPr>
        <w:t>杭州市钱塘区2026-2028年政府投资项目工程造价咨询服务采购项目</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征集要求参加</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。在这次响应过程中和</w:t>
      </w:r>
      <w:r>
        <w:rPr>
          <w:rFonts w:hint="eastAsia" w:ascii="宋体" w:hAnsi="宋体" w:cs="宋体"/>
          <w:color w:val="auto"/>
          <w:sz w:val="24"/>
          <w:highlight w:val="none"/>
        </w:rPr>
        <w:t>入围</w:t>
      </w:r>
      <w:r>
        <w:rPr>
          <w:rFonts w:hint="eastAsia" w:ascii="宋体" w:hAnsi="宋体" w:cs="宋体"/>
          <w:color w:val="auto"/>
          <w:kern w:val="0"/>
          <w:sz w:val="24"/>
          <w:highlight w:val="none"/>
          <w:lang w:val="zh-CN"/>
        </w:rPr>
        <w:t>后，我们将严格遵守国家法律法规要求，并郑重承诺：</w:t>
      </w:r>
    </w:p>
    <w:p w14:paraId="7D311C1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一、不向项目有关人员及部门赠送礼金礼物、有价证券、回扣以及中介费、介绍费、咨询费等好处费；</w:t>
      </w:r>
    </w:p>
    <w:p w14:paraId="40C1AC7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二、不为项目有关人员及部门报销应由你方单位或个人支付的费用；</w:t>
      </w:r>
    </w:p>
    <w:p w14:paraId="76F7DB8E">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三、不向项目有关人员及部门提供有可能影响公正的宴请和健身娱乐等活动；</w:t>
      </w:r>
    </w:p>
    <w:p w14:paraId="3020715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16A59868">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064D6AE">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516482A0">
      <w:pPr>
        <w:numPr>
          <w:ilvl w:val="0"/>
          <w:numId w:val="14"/>
        </w:num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rPr>
        <w:t>政府采购实施条例</w:t>
      </w:r>
      <w:r>
        <w:rPr>
          <w:rFonts w:hint="eastAsia" w:ascii="宋体" w:hAnsi="宋体" w:cs="宋体"/>
          <w:color w:val="auto"/>
          <w:kern w:val="0"/>
          <w:sz w:val="24"/>
          <w:highlight w:val="none"/>
          <w:lang w:val="zh-CN"/>
        </w:rPr>
        <w:t>》、</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等法律法规，诚实守信，合法经营，坚决抵制各种违法违纪行为。</w:t>
      </w:r>
    </w:p>
    <w:p w14:paraId="081FCDCB">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有权立即取消我单位响应、</w:t>
      </w:r>
      <w:r>
        <w:rPr>
          <w:rFonts w:hint="eastAsia" w:ascii="宋体" w:hAnsi="宋体" w:cs="宋体"/>
          <w:color w:val="auto"/>
          <w:sz w:val="24"/>
          <w:highlight w:val="none"/>
        </w:rPr>
        <w:t>入围</w:t>
      </w:r>
      <w:r>
        <w:rPr>
          <w:rFonts w:hint="eastAsia" w:ascii="宋体" w:hAnsi="宋体" w:cs="宋体"/>
          <w:color w:val="auto"/>
          <w:kern w:val="0"/>
          <w:sz w:val="24"/>
          <w:highlight w:val="none"/>
          <w:lang w:val="zh-CN"/>
        </w:rPr>
        <w:t>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进行项目建设或其他经营活动，并通报区财政局。由此引起的相应损失均由我单位承担。</w:t>
      </w:r>
    </w:p>
    <w:p w14:paraId="1CC18C90">
      <w:pPr>
        <w:autoSpaceDE w:val="0"/>
        <w:autoSpaceDN w:val="0"/>
        <w:spacing w:line="360" w:lineRule="auto"/>
        <w:ind w:left="2"/>
        <w:jc w:val="left"/>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 xml:space="preserve">   </w:t>
      </w:r>
    </w:p>
    <w:p w14:paraId="5F2081E4">
      <w:pPr>
        <w:autoSpaceDE w:val="0"/>
        <w:autoSpaceDN w:val="0"/>
        <w:spacing w:line="360" w:lineRule="auto"/>
        <w:ind w:right="1120" w:firstLine="3840" w:firstLineChars="16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w:t>
      </w:r>
    </w:p>
    <w:p w14:paraId="173A7063">
      <w:pPr>
        <w:spacing w:line="360" w:lineRule="auto"/>
        <w:ind w:firstLine="4310" w:firstLineChars="1796"/>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7394FB1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34B1260">
      <w:pPr>
        <w:snapToGrid w:val="0"/>
        <w:spacing w:line="360" w:lineRule="auto"/>
        <w:jc w:val="center"/>
        <w:outlineLvl w:val="1"/>
        <w:rPr>
          <w:rFonts w:hint="eastAsia" w:ascii="宋体" w:hAnsi="宋体" w:cs="宋体"/>
          <w:b/>
          <w:color w:val="auto"/>
          <w:kern w:val="0"/>
          <w:sz w:val="36"/>
          <w:szCs w:val="36"/>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30CF14BB">
      <w:pPr>
        <w:ind w:firstLine="2229" w:firstLineChars="694"/>
        <w:outlineLvl w:val="2"/>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eastAsia="zh-CN"/>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eastAsia="zh-CN"/>
        </w:rPr>
        <w:t>审核误差率</w:t>
      </w:r>
      <w:r>
        <w:rPr>
          <w:rFonts w:hint="eastAsia" w:ascii="宋体" w:hAnsi="宋体" w:cs="宋体"/>
          <w:b/>
          <w:color w:val="auto"/>
          <w:kern w:val="0"/>
          <w:sz w:val="32"/>
          <w:szCs w:val="32"/>
          <w:highlight w:val="none"/>
          <w:lang w:val="zh-CN"/>
        </w:rPr>
        <w:t>承诺书</w:t>
      </w:r>
    </w:p>
    <w:p w14:paraId="1C1000F8">
      <w:pPr>
        <w:snapToGrid w:val="0"/>
        <w:spacing w:line="360" w:lineRule="auto"/>
        <w:rPr>
          <w:rFonts w:ascii="宋体" w:hAnsi="宋体" w:cs="宋体"/>
          <w:color w:val="auto"/>
          <w:sz w:val="24"/>
          <w:highlight w:val="none"/>
        </w:rPr>
      </w:pPr>
    </w:p>
    <w:p w14:paraId="37D7BC85">
      <w:pPr>
        <w:snapToGrid w:val="0"/>
        <w:spacing w:line="360" w:lineRule="auto"/>
        <w:rPr>
          <w:rFonts w:ascii="宋体" w:hAnsi="宋体" w:cs="宋体"/>
          <w:color w:val="auto"/>
          <w:kern w:val="0"/>
          <w:sz w:val="24"/>
          <w:highlight w:val="none"/>
          <w:u w:val="single"/>
        </w:rPr>
      </w:pPr>
      <w:r>
        <w:rPr>
          <w:rFonts w:hint="eastAsia" w:ascii="宋体" w:hAnsi="宋体" w:cs="宋体"/>
          <w:color w:val="auto"/>
          <w:sz w:val="24"/>
          <w:highlight w:val="none"/>
          <w:u w:val="single"/>
        </w:rPr>
        <w:t>杭州市</w:t>
      </w:r>
      <w:r>
        <w:rPr>
          <w:rFonts w:hint="eastAsia" w:ascii="宋体" w:hAnsi="宋体" w:cs="宋体"/>
          <w:color w:val="auto"/>
          <w:sz w:val="24"/>
          <w:highlight w:val="none"/>
          <w:u w:val="single"/>
          <w:lang w:eastAsia="zh-CN"/>
        </w:rPr>
        <w:t>钱塘区政府投资项目评审服务中心</w:t>
      </w:r>
      <w:r>
        <w:rPr>
          <w:rFonts w:hint="eastAsia" w:ascii="宋体" w:hAnsi="宋体" w:cs="宋体"/>
          <w:color w:val="auto"/>
          <w:kern w:val="0"/>
          <w:sz w:val="24"/>
          <w:highlight w:val="none"/>
          <w:u w:val="single"/>
          <w:lang w:val="zh-CN"/>
        </w:rPr>
        <w:t>：</w:t>
      </w:r>
    </w:p>
    <w:p w14:paraId="51470DD7">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sz w:val="24"/>
          <w:highlight w:val="none"/>
          <w:u w:val="single"/>
          <w:lang w:val="en-US" w:eastAsia="zh-CN"/>
        </w:rPr>
        <w:t xml:space="preserve"> </w:t>
      </w:r>
      <w:r>
        <w:rPr>
          <w:rFonts w:hint="eastAsia" w:ascii="宋体" w:hAnsi="宋体" w:cs="宋体"/>
          <w:color w:val="auto"/>
          <w:kern w:val="0"/>
          <w:sz w:val="24"/>
          <w:highlight w:val="none"/>
          <w:u w:val="single"/>
          <w:lang w:val="zh-CN"/>
        </w:rPr>
        <w:t>杭州市钱塘区2026-2028年政府投资项目工程造价咨询服务采购项目</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征集要求参加</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val="zh-CN"/>
        </w:rPr>
        <w:t>。在这次响应过程中和</w:t>
      </w:r>
      <w:r>
        <w:rPr>
          <w:rFonts w:hint="eastAsia" w:ascii="宋体" w:hAnsi="宋体" w:cs="宋体"/>
          <w:color w:val="auto"/>
          <w:sz w:val="24"/>
          <w:highlight w:val="none"/>
        </w:rPr>
        <w:t>入围</w:t>
      </w:r>
      <w:r>
        <w:rPr>
          <w:rFonts w:hint="eastAsia" w:ascii="宋体" w:hAnsi="宋体" w:cs="宋体"/>
          <w:color w:val="auto"/>
          <w:kern w:val="0"/>
          <w:sz w:val="24"/>
          <w:highlight w:val="none"/>
          <w:lang w:val="zh-CN"/>
        </w:rPr>
        <w:t>后，我们将严格遵守国家法律法规要求，并郑重承诺：</w:t>
      </w:r>
    </w:p>
    <w:p w14:paraId="42D006E6">
      <w:pPr>
        <w:pStyle w:val="63"/>
        <w:spacing w:line="360" w:lineRule="auto"/>
        <w:ind w:firstLine="480"/>
        <w:rPr>
          <w:rFonts w:hint="eastAsia" w:ascii="宋体" w:hAnsi="宋体" w:eastAsia="宋体" w:cs="宋体"/>
          <w:color w:val="auto"/>
          <w:kern w:val="0"/>
          <w:sz w:val="24"/>
          <w:szCs w:val="24"/>
          <w:highlight w:val="none"/>
          <w:u w:val="none"/>
          <w:lang w:val="en-US" w:eastAsia="zh-CN" w:bidi="ar-SA"/>
        </w:rPr>
      </w:pPr>
      <w:r>
        <w:rPr>
          <w:rFonts w:hint="eastAsia" w:ascii="宋体" w:hAnsi="宋体" w:eastAsia="宋体" w:cs="宋体"/>
          <w:color w:val="auto"/>
          <w:kern w:val="0"/>
          <w:sz w:val="24"/>
          <w:szCs w:val="24"/>
          <w:highlight w:val="none"/>
          <w:u w:val="none"/>
          <w:lang w:val="en-US" w:eastAsia="zh-CN" w:bidi="ar-SA"/>
        </w:rPr>
        <w:t>1.概算审核误差率为</w:t>
      </w:r>
      <w:r>
        <w:rPr>
          <w:rFonts w:hint="eastAsia" w:cs="宋体"/>
          <w:color w:val="auto"/>
          <w:kern w:val="0"/>
          <w:sz w:val="24"/>
          <w:szCs w:val="24"/>
          <w:highlight w:val="none"/>
          <w:u w:val="none"/>
          <w:lang w:val="en-US" w:eastAsia="zh-CN" w:bidi="ar-SA"/>
        </w:rPr>
        <w:t>3</w:t>
      </w:r>
      <w:r>
        <w:rPr>
          <w:rFonts w:hint="eastAsia" w:ascii="宋体" w:hAnsi="宋体" w:eastAsia="宋体" w:cs="宋体"/>
          <w:color w:val="auto"/>
          <w:kern w:val="0"/>
          <w:sz w:val="24"/>
          <w:szCs w:val="24"/>
          <w:highlight w:val="none"/>
          <w:u w:val="none"/>
          <w:lang w:val="en-US" w:eastAsia="zh-CN" w:bidi="ar-SA"/>
        </w:rPr>
        <w:t>%；</w:t>
      </w:r>
    </w:p>
    <w:p w14:paraId="5F38C88B">
      <w:pPr>
        <w:pStyle w:val="63"/>
        <w:spacing w:line="360" w:lineRule="auto"/>
        <w:ind w:firstLine="480" w:firstLineChars="200"/>
        <w:rPr>
          <w:rFonts w:hint="default" w:ascii="宋体" w:hAnsi="宋体" w:eastAsia="宋体" w:cs="宋体"/>
          <w:color w:val="auto"/>
          <w:kern w:val="0"/>
          <w:sz w:val="24"/>
          <w:szCs w:val="24"/>
          <w:highlight w:val="none"/>
          <w:u w:val="none"/>
          <w:lang w:val="en-US" w:eastAsia="zh-CN" w:bidi="ar-SA"/>
        </w:rPr>
      </w:pPr>
      <w:r>
        <w:rPr>
          <w:rFonts w:hint="eastAsia" w:ascii="宋体" w:hAnsi="宋体" w:eastAsia="宋体" w:cs="宋体"/>
          <w:color w:val="auto"/>
          <w:kern w:val="0"/>
          <w:sz w:val="24"/>
          <w:szCs w:val="24"/>
          <w:highlight w:val="none"/>
          <w:u w:val="none"/>
          <w:lang w:val="en-US" w:eastAsia="zh-CN" w:bidi="ar-SA"/>
        </w:rPr>
        <w:t>2.结算审核误差率为</w:t>
      </w:r>
      <w:r>
        <w:rPr>
          <w:rFonts w:hint="eastAsia" w:cs="宋体"/>
          <w:color w:val="auto"/>
          <w:kern w:val="0"/>
          <w:sz w:val="24"/>
          <w:szCs w:val="24"/>
          <w:highlight w:val="none"/>
          <w:u w:val="none"/>
          <w:lang w:val="en-US" w:eastAsia="zh-CN" w:bidi="ar-SA"/>
        </w:rPr>
        <w:t>1</w:t>
      </w:r>
      <w:r>
        <w:rPr>
          <w:rFonts w:hint="eastAsia" w:ascii="宋体" w:hAnsi="宋体" w:eastAsia="宋体" w:cs="宋体"/>
          <w:color w:val="auto"/>
          <w:kern w:val="0"/>
          <w:sz w:val="24"/>
          <w:szCs w:val="24"/>
          <w:highlight w:val="none"/>
          <w:u w:val="none"/>
          <w:lang w:val="en-US" w:eastAsia="zh-CN" w:bidi="ar-SA"/>
        </w:rPr>
        <w:t>%</w:t>
      </w:r>
      <w:r>
        <w:rPr>
          <w:rFonts w:hint="eastAsia" w:cs="宋体"/>
          <w:color w:val="auto"/>
          <w:kern w:val="0"/>
          <w:sz w:val="24"/>
          <w:szCs w:val="24"/>
          <w:highlight w:val="none"/>
          <w:u w:val="none"/>
          <w:lang w:val="en-US" w:eastAsia="zh-CN" w:bidi="ar-SA"/>
        </w:rPr>
        <w:t>。</w:t>
      </w:r>
    </w:p>
    <w:p w14:paraId="774D39DD">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有权立即取消我单位响应、</w:t>
      </w:r>
      <w:r>
        <w:rPr>
          <w:rFonts w:hint="eastAsia" w:ascii="宋体" w:hAnsi="宋体" w:cs="宋体"/>
          <w:color w:val="auto"/>
          <w:sz w:val="24"/>
          <w:highlight w:val="none"/>
        </w:rPr>
        <w:t>入围</w:t>
      </w:r>
      <w:r>
        <w:rPr>
          <w:rFonts w:hint="eastAsia" w:ascii="宋体" w:hAnsi="宋体" w:cs="宋体"/>
          <w:color w:val="auto"/>
          <w:kern w:val="0"/>
          <w:sz w:val="24"/>
          <w:highlight w:val="none"/>
          <w:lang w:val="zh-CN"/>
        </w:rPr>
        <w:t>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进行项目建设或其他经营活动，并通报区财政局。由此引起的相应损失均由我单位承担。</w:t>
      </w:r>
    </w:p>
    <w:p w14:paraId="26360F54">
      <w:pPr>
        <w:autoSpaceDE w:val="0"/>
        <w:autoSpaceDN w:val="0"/>
        <w:spacing w:line="360" w:lineRule="auto"/>
        <w:ind w:left="2"/>
        <w:jc w:val="left"/>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 xml:space="preserve">   </w:t>
      </w:r>
    </w:p>
    <w:p w14:paraId="227DFB01">
      <w:pPr>
        <w:autoSpaceDE w:val="0"/>
        <w:autoSpaceDN w:val="0"/>
        <w:spacing w:line="360" w:lineRule="auto"/>
        <w:ind w:right="1120" w:firstLine="3840" w:firstLineChars="16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响应供应商名称（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w:t>
      </w:r>
    </w:p>
    <w:p w14:paraId="4912B850">
      <w:pPr>
        <w:spacing w:line="360" w:lineRule="auto"/>
        <w:ind w:firstLine="4310" w:firstLineChars="1796"/>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6C2452AB">
      <w:pPr>
        <w:snapToGrid w:val="0"/>
        <w:spacing w:line="360" w:lineRule="auto"/>
        <w:jc w:val="both"/>
        <w:outlineLvl w:val="1"/>
        <w:rPr>
          <w:rFonts w:hint="eastAsia" w:ascii="宋体" w:hAnsi="宋体" w:cs="宋体"/>
          <w:b/>
          <w:color w:val="auto"/>
          <w:kern w:val="0"/>
          <w:sz w:val="36"/>
          <w:szCs w:val="36"/>
          <w:highlight w:val="none"/>
        </w:rPr>
      </w:pPr>
      <w:r>
        <w:rPr>
          <w:rFonts w:hint="eastAsia" w:ascii="宋体" w:hAnsi="宋体" w:cs="宋体"/>
          <w:color w:val="auto"/>
          <w:sz w:val="24"/>
          <w:highlight w:val="none"/>
        </w:rPr>
        <w:t>注：按本格式和要求提供。</w:t>
      </w:r>
    </w:p>
    <w:p w14:paraId="313C1CCF">
      <w:pPr>
        <w:snapToGrid w:val="0"/>
        <w:spacing w:line="360" w:lineRule="auto"/>
        <w:jc w:val="center"/>
        <w:outlineLvl w:val="1"/>
        <w:rPr>
          <w:rFonts w:hint="eastAsia" w:ascii="宋体" w:hAnsi="宋体" w:cs="宋体"/>
          <w:b/>
          <w:color w:val="auto"/>
          <w:kern w:val="0"/>
          <w:sz w:val="36"/>
          <w:szCs w:val="36"/>
          <w:highlight w:val="none"/>
        </w:rPr>
      </w:pPr>
    </w:p>
    <w:p w14:paraId="433D881C">
      <w:pPr>
        <w:snapToGrid w:val="0"/>
        <w:spacing w:line="360" w:lineRule="auto"/>
        <w:jc w:val="center"/>
        <w:outlineLvl w:val="1"/>
        <w:rPr>
          <w:rFonts w:hint="eastAsia" w:ascii="宋体" w:hAnsi="宋体" w:cs="宋体"/>
          <w:b/>
          <w:color w:val="auto"/>
          <w:kern w:val="0"/>
          <w:sz w:val="36"/>
          <w:szCs w:val="36"/>
          <w:highlight w:val="none"/>
        </w:rPr>
      </w:pPr>
    </w:p>
    <w:p w14:paraId="195F9EDA">
      <w:pPr>
        <w:snapToGrid w:val="0"/>
        <w:spacing w:line="360" w:lineRule="auto"/>
        <w:jc w:val="center"/>
        <w:outlineLvl w:val="1"/>
        <w:rPr>
          <w:rFonts w:hint="eastAsia" w:ascii="宋体" w:hAnsi="宋体" w:cs="宋体"/>
          <w:b/>
          <w:color w:val="auto"/>
          <w:kern w:val="0"/>
          <w:sz w:val="36"/>
          <w:szCs w:val="36"/>
          <w:highlight w:val="none"/>
        </w:rPr>
      </w:pPr>
    </w:p>
    <w:p w14:paraId="00B4DEDE">
      <w:pPr>
        <w:snapToGrid w:val="0"/>
        <w:spacing w:line="360" w:lineRule="auto"/>
        <w:jc w:val="center"/>
        <w:outlineLvl w:val="1"/>
        <w:rPr>
          <w:rFonts w:hint="eastAsia" w:ascii="宋体" w:hAnsi="宋体" w:cs="宋体"/>
          <w:b/>
          <w:color w:val="auto"/>
          <w:kern w:val="0"/>
          <w:sz w:val="36"/>
          <w:szCs w:val="36"/>
          <w:highlight w:val="none"/>
        </w:rPr>
      </w:pPr>
    </w:p>
    <w:p w14:paraId="5A6BF42F">
      <w:pPr>
        <w:snapToGrid w:val="0"/>
        <w:spacing w:line="360" w:lineRule="auto"/>
        <w:ind w:firstLine="3253" w:firstLineChars="900"/>
        <w:jc w:val="both"/>
        <w:outlineLvl w:val="1"/>
        <w:rPr>
          <w:rFonts w:hint="eastAsia" w:ascii="宋体" w:hAnsi="宋体" w:cs="宋体"/>
          <w:b/>
          <w:color w:val="auto"/>
          <w:kern w:val="0"/>
          <w:sz w:val="36"/>
          <w:szCs w:val="36"/>
          <w:highlight w:val="none"/>
        </w:rPr>
      </w:pPr>
    </w:p>
    <w:p w14:paraId="44B7DC05">
      <w:pPr>
        <w:snapToGrid w:val="0"/>
        <w:spacing w:line="360" w:lineRule="auto"/>
        <w:ind w:firstLine="3253" w:firstLineChars="900"/>
        <w:jc w:val="both"/>
        <w:outlineLvl w:val="1"/>
        <w:rPr>
          <w:rFonts w:hint="eastAsia" w:ascii="宋体" w:hAnsi="宋体" w:cs="宋体"/>
          <w:b/>
          <w:color w:val="auto"/>
          <w:kern w:val="0"/>
          <w:sz w:val="36"/>
          <w:szCs w:val="36"/>
          <w:highlight w:val="none"/>
        </w:rPr>
      </w:pPr>
    </w:p>
    <w:p w14:paraId="54E6A478">
      <w:pPr>
        <w:snapToGrid w:val="0"/>
        <w:spacing w:line="360" w:lineRule="auto"/>
        <w:ind w:firstLine="3253" w:firstLineChars="900"/>
        <w:jc w:val="both"/>
        <w:outlineLvl w:val="1"/>
        <w:rPr>
          <w:rFonts w:hint="eastAsia" w:ascii="宋体" w:hAnsi="宋体" w:cs="宋体"/>
          <w:b/>
          <w:color w:val="auto"/>
          <w:kern w:val="0"/>
          <w:sz w:val="36"/>
          <w:szCs w:val="36"/>
          <w:highlight w:val="none"/>
        </w:rPr>
      </w:pPr>
    </w:p>
    <w:p w14:paraId="7938F45D">
      <w:pPr>
        <w:snapToGrid w:val="0"/>
        <w:spacing w:line="360" w:lineRule="auto"/>
        <w:ind w:firstLine="3253" w:firstLineChars="900"/>
        <w:jc w:val="both"/>
        <w:outlineLvl w:val="1"/>
        <w:rPr>
          <w:rFonts w:hint="eastAsia" w:ascii="宋体" w:hAnsi="宋体" w:cs="宋体"/>
          <w:b/>
          <w:color w:val="auto"/>
          <w:kern w:val="0"/>
          <w:sz w:val="36"/>
          <w:szCs w:val="36"/>
          <w:highlight w:val="none"/>
        </w:rPr>
      </w:pPr>
    </w:p>
    <w:p w14:paraId="08ECAD8F">
      <w:pPr>
        <w:snapToGrid w:val="0"/>
        <w:spacing w:line="360" w:lineRule="auto"/>
        <w:ind w:firstLine="3253" w:firstLineChars="900"/>
        <w:jc w:val="both"/>
        <w:outlineLvl w:val="1"/>
        <w:rPr>
          <w:rFonts w:hint="eastAsia" w:ascii="宋体" w:hAnsi="宋体" w:cs="宋体"/>
          <w:b/>
          <w:color w:val="auto"/>
          <w:kern w:val="0"/>
          <w:sz w:val="36"/>
          <w:szCs w:val="36"/>
          <w:highlight w:val="none"/>
        </w:rPr>
      </w:pPr>
    </w:p>
    <w:p w14:paraId="56378C78">
      <w:pPr>
        <w:snapToGrid w:val="0"/>
        <w:spacing w:line="360" w:lineRule="auto"/>
        <w:ind w:firstLine="3253" w:firstLineChars="900"/>
        <w:jc w:val="both"/>
        <w:outlineLvl w:val="1"/>
        <w:rPr>
          <w:rFonts w:hint="eastAsia" w:ascii="宋体" w:hAnsi="宋体" w:cs="宋体"/>
          <w:b/>
          <w:color w:val="auto"/>
          <w:kern w:val="0"/>
          <w:sz w:val="36"/>
          <w:szCs w:val="36"/>
          <w:highlight w:val="none"/>
        </w:rPr>
      </w:pPr>
    </w:p>
    <w:p w14:paraId="719A6A3E">
      <w:pPr>
        <w:snapToGrid w:val="0"/>
        <w:spacing w:line="360" w:lineRule="auto"/>
        <w:ind w:firstLine="3253" w:firstLineChars="900"/>
        <w:jc w:val="both"/>
        <w:outlineLvl w:val="1"/>
        <w:rPr>
          <w:rFonts w:hint="eastAsia" w:ascii="宋体" w:hAnsi="宋体" w:cs="宋体"/>
          <w:b/>
          <w:color w:val="auto"/>
          <w:kern w:val="0"/>
          <w:sz w:val="36"/>
          <w:szCs w:val="36"/>
          <w:highlight w:val="none"/>
        </w:rPr>
      </w:pPr>
    </w:p>
    <w:p w14:paraId="0D2470BD">
      <w:pPr>
        <w:snapToGrid w:val="0"/>
        <w:spacing w:line="360" w:lineRule="auto"/>
        <w:ind w:firstLine="3253" w:firstLineChars="900"/>
        <w:jc w:val="both"/>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43EFB031">
      <w:pPr>
        <w:spacing w:line="360" w:lineRule="auto"/>
        <w:jc w:val="center"/>
        <w:rPr>
          <w:rFonts w:ascii="宋体" w:hAnsi="宋体" w:cs="宋体"/>
          <w:b/>
          <w:color w:val="auto"/>
          <w:kern w:val="0"/>
          <w:sz w:val="24"/>
          <w:highlight w:val="none"/>
        </w:rPr>
      </w:pPr>
    </w:p>
    <w:p w14:paraId="5612C2F8">
      <w:pPr>
        <w:spacing w:line="360"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1DD9825F">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（1）投标（开标）一览表…………………………………………（页码）</w:t>
      </w:r>
    </w:p>
    <w:p w14:paraId="724B212E">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）报价情况说明（如果有）……………………………………（页码）</w:t>
      </w:r>
    </w:p>
    <w:p w14:paraId="3FBC8D3F">
      <w:pPr>
        <w:snapToGrid w:val="0"/>
        <w:spacing w:line="360" w:lineRule="auto"/>
        <w:rPr>
          <w:rFonts w:ascii="宋体" w:hAnsi="宋体" w:cs="宋体"/>
          <w:color w:val="auto"/>
          <w:sz w:val="24"/>
          <w:highlight w:val="none"/>
        </w:rPr>
      </w:pPr>
    </w:p>
    <w:p w14:paraId="62C65DD0">
      <w:pP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br w:type="page"/>
      </w:r>
    </w:p>
    <w:p w14:paraId="48D77CB4">
      <w:pPr>
        <w:pStyle w:val="678"/>
        <w:keepNext w:val="0"/>
        <w:pageBreakBefore w:val="0"/>
        <w:tabs>
          <w:tab w:val="clear" w:pos="720"/>
        </w:tabs>
        <w:snapToGrid w:val="0"/>
        <w:spacing w:before="120" w:after="120"/>
        <w:outlineLvl w:val="2"/>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一、投标(开标)一览表</w:t>
      </w:r>
    </w:p>
    <w:p w14:paraId="62131CDD">
      <w:pPr>
        <w:snapToGrid w:val="0"/>
        <w:spacing w:line="360" w:lineRule="auto"/>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u w:val="none"/>
          <w:lang w:eastAsia="zh-CN"/>
        </w:rPr>
        <w:t>标项一</w:t>
      </w:r>
    </w:p>
    <w:p w14:paraId="7DBAE14F">
      <w:pPr>
        <w:snapToGrid w:val="0"/>
        <w:spacing w:line="360" w:lineRule="auto"/>
        <w:rPr>
          <w:rFonts w:hint="eastAsia" w:asciiTheme="minorEastAsia" w:hAnsiTheme="minorEastAsia" w:eastAsiaTheme="minorEastAsia" w:cstheme="minorEastAsia"/>
          <w:color w:val="auto"/>
          <w:kern w:val="0"/>
          <w:sz w:val="24"/>
          <w:highlight w:val="none"/>
          <w:u w:val="single"/>
        </w:rPr>
      </w:pPr>
      <w:r>
        <w:rPr>
          <w:rFonts w:hint="eastAsia" w:asciiTheme="minorEastAsia" w:hAnsiTheme="minorEastAsia" w:eastAsiaTheme="minorEastAsia" w:cstheme="minorEastAsia"/>
          <w:color w:val="auto"/>
          <w:sz w:val="24"/>
          <w:highlight w:val="none"/>
          <w:u w:val="single"/>
        </w:rPr>
        <w:t>杭州市</w:t>
      </w:r>
      <w:r>
        <w:rPr>
          <w:rFonts w:hint="eastAsia" w:asciiTheme="minorEastAsia" w:hAnsiTheme="minorEastAsia" w:eastAsiaTheme="minorEastAsia" w:cstheme="minorEastAsia"/>
          <w:color w:val="auto"/>
          <w:sz w:val="24"/>
          <w:highlight w:val="none"/>
          <w:u w:val="single"/>
          <w:lang w:eastAsia="zh-CN"/>
        </w:rPr>
        <w:t>钱塘区政府投资项目评审服务中心</w:t>
      </w:r>
      <w:r>
        <w:rPr>
          <w:rFonts w:hint="eastAsia" w:asciiTheme="minorEastAsia" w:hAnsiTheme="minorEastAsia" w:eastAsiaTheme="minorEastAsia" w:cstheme="minorEastAsia"/>
          <w:color w:val="auto"/>
          <w:kern w:val="0"/>
          <w:sz w:val="24"/>
          <w:highlight w:val="none"/>
          <w:u w:val="single"/>
          <w:lang w:val="zh-CN"/>
        </w:rPr>
        <w:t>：</w:t>
      </w:r>
    </w:p>
    <w:p w14:paraId="583121E6">
      <w:pPr>
        <w:snapToGrid w:val="0"/>
        <w:spacing w:line="360" w:lineRule="auto"/>
        <w:ind w:firstLine="482"/>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按你方征集文件要求，我们，本响应文件签字方，谨此向你方发出要约如下：如你方接受本响应，我方承诺按照如下投标(开标)一览表的价格完成</w:t>
      </w: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w:t>
      </w:r>
      <w:r>
        <w:rPr>
          <w:rFonts w:hint="eastAsia" w:ascii="宋体" w:hAnsi="宋体" w:cs="宋体"/>
          <w:color w:val="auto"/>
          <w:sz w:val="24"/>
          <w:highlight w:val="none"/>
          <w:lang w:eastAsia="zh-CN"/>
        </w:rPr>
        <w:t>的标项</w:t>
      </w:r>
      <w:r>
        <w:rPr>
          <w:rFonts w:hint="eastAsia" w:ascii="宋体" w:hAnsi="宋体" w:cs="宋体"/>
          <w:color w:val="auto"/>
          <w:sz w:val="24"/>
          <w:highlight w:val="none"/>
          <w:u w:val="single"/>
          <w:lang w:val="en-US" w:eastAsia="zh-CN"/>
        </w:rPr>
        <w:t xml:space="preserve"> 一 </w:t>
      </w:r>
      <w:r>
        <w:rPr>
          <w:rFonts w:hint="eastAsia" w:asciiTheme="minorEastAsia" w:hAnsiTheme="minorEastAsia" w:eastAsiaTheme="minorEastAsia" w:cstheme="minorEastAsia"/>
          <w:color w:val="auto"/>
          <w:sz w:val="24"/>
          <w:highlight w:val="none"/>
        </w:rPr>
        <w:t>的实施</w:t>
      </w:r>
      <w:r>
        <w:rPr>
          <w:rFonts w:hint="eastAsia" w:asciiTheme="minorEastAsia" w:hAnsiTheme="minorEastAsia" w:eastAsiaTheme="minorEastAsia" w:cstheme="minorEastAsia"/>
          <w:color w:val="auto"/>
          <w:kern w:val="0"/>
          <w:sz w:val="24"/>
          <w:highlight w:val="none"/>
          <w:lang w:val="zh-CN"/>
        </w:rPr>
        <w:t>。</w:t>
      </w:r>
    </w:p>
    <w:p w14:paraId="1A18653B">
      <w:pPr>
        <w:pStyle w:val="3"/>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rPr>
        <w:t>投标(开标)一览表</w:t>
      </w:r>
    </w:p>
    <w:tbl>
      <w:tblPr>
        <w:tblStyle w:val="52"/>
        <w:tblpPr w:leftFromText="180" w:rightFromText="180" w:vertAnchor="text" w:horzAnchor="page" w:tblpXSpec="center" w:tblpY="4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6497"/>
      </w:tblGrid>
      <w:tr w14:paraId="5883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195" w:type="dxa"/>
          </w:tcPr>
          <w:p w14:paraId="15F785F5">
            <w:pPr>
              <w:spacing w:line="360" w:lineRule="auto"/>
              <w:jc w:val="center"/>
              <w:rPr>
                <w:rFonts w:hint="eastAsia" w:asciiTheme="minorEastAsia" w:hAnsiTheme="minorEastAsia" w:eastAsiaTheme="minorEastAsia" w:cstheme="minorEastAsia"/>
                <w:b/>
                <w:color w:val="auto"/>
                <w:kern w:val="0"/>
                <w:sz w:val="22"/>
                <w:szCs w:val="28"/>
                <w:highlight w:val="none"/>
                <w:vertAlign w:val="baseline"/>
                <w:lang w:val="en-US" w:eastAsia="zh-CN"/>
              </w:rPr>
            </w:pPr>
            <w:r>
              <w:rPr>
                <w:rFonts w:hint="eastAsia" w:asciiTheme="minorEastAsia" w:hAnsiTheme="minorEastAsia" w:eastAsiaTheme="minorEastAsia" w:cstheme="minorEastAsia"/>
                <w:b w:val="0"/>
                <w:bCs/>
                <w:color w:val="auto"/>
                <w:kern w:val="0"/>
                <w:sz w:val="22"/>
                <w:szCs w:val="28"/>
                <w:highlight w:val="none"/>
                <w:vertAlign w:val="baseline"/>
                <w:lang w:val="en-US" w:eastAsia="zh-CN"/>
              </w:rPr>
              <w:t>标项</w:t>
            </w:r>
          </w:p>
        </w:tc>
        <w:tc>
          <w:tcPr>
            <w:tcW w:w="6497" w:type="dxa"/>
          </w:tcPr>
          <w:p w14:paraId="27AAFDEC">
            <w:pPr>
              <w:spacing w:line="360" w:lineRule="auto"/>
              <w:jc w:val="center"/>
              <w:rPr>
                <w:rFonts w:hint="eastAsia" w:asciiTheme="minorEastAsia" w:hAnsiTheme="minorEastAsia" w:eastAsiaTheme="minorEastAsia" w:cstheme="minorEastAsia"/>
                <w:b w:val="0"/>
                <w:bCs/>
                <w:color w:val="auto"/>
                <w:kern w:val="0"/>
                <w:sz w:val="22"/>
                <w:szCs w:val="28"/>
                <w:highlight w:val="none"/>
                <w:vertAlign w:val="baseline"/>
                <w:lang w:val="en-US" w:eastAsia="zh-CN"/>
              </w:rPr>
            </w:pPr>
            <w:r>
              <w:rPr>
                <w:rFonts w:hint="eastAsia" w:asciiTheme="minorEastAsia" w:hAnsiTheme="minorEastAsia" w:eastAsiaTheme="minorEastAsia" w:cstheme="minorEastAsia"/>
                <w:b w:val="0"/>
                <w:bCs/>
                <w:color w:val="auto"/>
                <w:kern w:val="0"/>
                <w:sz w:val="22"/>
                <w:szCs w:val="28"/>
                <w:highlight w:val="none"/>
                <w:vertAlign w:val="baseline"/>
                <w:lang w:val="en-US" w:eastAsia="zh-CN"/>
              </w:rPr>
              <w:t>投标报价（%）</w:t>
            </w:r>
          </w:p>
        </w:tc>
      </w:tr>
      <w:tr w14:paraId="182A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195" w:type="dxa"/>
            <w:vMerge w:val="restart"/>
          </w:tcPr>
          <w:p w14:paraId="19AC0F3D">
            <w:pPr>
              <w:spacing w:line="360" w:lineRule="auto"/>
              <w:jc w:val="center"/>
              <w:rPr>
                <w:rFonts w:hint="eastAsia" w:asciiTheme="minorEastAsia" w:hAnsiTheme="minorEastAsia" w:eastAsiaTheme="minorEastAsia" w:cstheme="minorEastAsia"/>
                <w:b/>
                <w:color w:val="auto"/>
                <w:kern w:val="0"/>
                <w:sz w:val="22"/>
                <w:szCs w:val="28"/>
                <w:highlight w:val="none"/>
                <w:vertAlign w:val="baseline"/>
                <w:lang w:val="en-US" w:eastAsia="zh-CN"/>
              </w:rPr>
            </w:pPr>
          </w:p>
          <w:p w14:paraId="5C39C259">
            <w:pPr>
              <w:spacing w:line="360" w:lineRule="auto"/>
              <w:ind w:firstLine="221" w:firstLineChars="100"/>
              <w:jc w:val="both"/>
              <w:rPr>
                <w:rFonts w:hint="eastAsia" w:asciiTheme="minorEastAsia" w:hAnsiTheme="minorEastAsia" w:eastAsiaTheme="minorEastAsia" w:cstheme="minorEastAsia"/>
                <w:b/>
                <w:color w:val="auto"/>
                <w:kern w:val="0"/>
                <w:sz w:val="22"/>
                <w:szCs w:val="28"/>
                <w:highlight w:val="none"/>
                <w:vertAlign w:val="baseline"/>
                <w:lang w:val="en-US" w:eastAsia="zh-CN"/>
              </w:rPr>
            </w:pPr>
          </w:p>
          <w:p w14:paraId="2130D639">
            <w:pPr>
              <w:spacing w:line="360" w:lineRule="auto"/>
              <w:ind w:firstLine="221" w:firstLineChars="100"/>
              <w:jc w:val="both"/>
              <w:rPr>
                <w:rFonts w:hint="eastAsia" w:asciiTheme="minorEastAsia" w:hAnsiTheme="minorEastAsia" w:eastAsiaTheme="minorEastAsia" w:cstheme="minorEastAsia"/>
                <w:b/>
                <w:color w:val="auto"/>
                <w:kern w:val="0"/>
                <w:sz w:val="22"/>
                <w:szCs w:val="28"/>
                <w:highlight w:val="none"/>
                <w:vertAlign w:val="baseline"/>
                <w:lang w:val="en-US" w:eastAsia="zh-CN"/>
              </w:rPr>
            </w:pPr>
            <w:r>
              <w:rPr>
                <w:rFonts w:hint="eastAsia" w:asciiTheme="minorEastAsia" w:hAnsiTheme="minorEastAsia" w:eastAsiaTheme="minorEastAsia" w:cstheme="minorEastAsia"/>
                <w:b/>
                <w:color w:val="auto"/>
                <w:kern w:val="0"/>
                <w:sz w:val="22"/>
                <w:szCs w:val="28"/>
                <w:highlight w:val="none"/>
                <w:vertAlign w:val="baseline"/>
                <w:lang w:val="en-US" w:eastAsia="zh-CN"/>
              </w:rPr>
              <w:t>标项一</w:t>
            </w:r>
          </w:p>
        </w:tc>
        <w:tc>
          <w:tcPr>
            <w:tcW w:w="6497" w:type="dxa"/>
            <w:vAlign w:val="top"/>
          </w:tcPr>
          <w:p w14:paraId="32733068">
            <w:pPr>
              <w:spacing w:line="360" w:lineRule="auto"/>
              <w:jc w:val="both"/>
              <w:rPr>
                <w:rFonts w:hint="eastAsia" w:asciiTheme="minorEastAsia" w:hAnsiTheme="minorEastAsia" w:eastAsiaTheme="minorEastAsia" w:cstheme="minorEastAsia"/>
                <w:b/>
                <w:color w:val="auto"/>
                <w:kern w:val="0"/>
                <w:sz w:val="22"/>
                <w:szCs w:val="28"/>
                <w:highlight w:val="none"/>
                <w:vertAlign w:val="baseline"/>
                <w:lang w:val="zh-CN" w:eastAsia="zh-CN" w:bidi="ar-SA"/>
              </w:rPr>
            </w:pPr>
            <w:r>
              <w:rPr>
                <w:rFonts w:hint="eastAsia" w:asciiTheme="minorEastAsia" w:hAnsiTheme="minorEastAsia" w:eastAsiaTheme="minorEastAsia" w:cstheme="minorEastAsia"/>
                <w:color w:val="auto"/>
                <w:kern w:val="0"/>
                <w:sz w:val="22"/>
                <w:szCs w:val="28"/>
                <w:highlight w:val="none"/>
                <w:lang w:eastAsia="zh-CN"/>
              </w:rPr>
              <w:t>政府投资项目概算复核：</w:t>
            </w:r>
            <w:r>
              <w:rPr>
                <w:rFonts w:hint="eastAsia" w:asciiTheme="minorEastAsia" w:hAnsiTheme="minorEastAsia" w:eastAsiaTheme="minorEastAsia" w:cstheme="minorEastAsia"/>
                <w:b w:val="0"/>
                <w:bCs/>
                <w:color w:val="auto"/>
                <w:kern w:val="0"/>
                <w:sz w:val="22"/>
                <w:szCs w:val="28"/>
                <w:highlight w:val="none"/>
                <w:vertAlign w:val="baseline"/>
                <w:lang w:val="zh-CN"/>
              </w:rPr>
              <w:t>投标报价以《基准收费标准》(附表1)为基础，优惠率为</w:t>
            </w:r>
            <w:r>
              <w:rPr>
                <w:rFonts w:hint="eastAsia" w:asciiTheme="minorEastAsia" w:hAnsiTheme="minorEastAsia" w:eastAsiaTheme="minorEastAsia" w:cstheme="minorEastAsia"/>
                <w:b w:val="0"/>
                <w:bCs/>
                <w:color w:val="auto"/>
                <w:kern w:val="0"/>
                <w:sz w:val="22"/>
                <w:szCs w:val="28"/>
                <w:highlight w:val="none"/>
                <w:u w:val="single"/>
                <w:vertAlign w:val="baseline"/>
                <w:lang w:val="en-US" w:eastAsia="zh-CN"/>
              </w:rPr>
              <w:t xml:space="preserve">    </w:t>
            </w:r>
            <w:r>
              <w:rPr>
                <w:rFonts w:hint="eastAsia" w:asciiTheme="minorEastAsia" w:hAnsiTheme="minorEastAsia" w:eastAsiaTheme="minorEastAsia" w:cstheme="minorEastAsia"/>
                <w:b w:val="0"/>
                <w:bCs/>
                <w:color w:val="auto"/>
                <w:kern w:val="0"/>
                <w:sz w:val="22"/>
                <w:szCs w:val="28"/>
                <w:highlight w:val="none"/>
                <w:vertAlign w:val="baseline"/>
                <w:lang w:val="zh-CN"/>
              </w:rPr>
              <w:t>%。</w:t>
            </w:r>
          </w:p>
        </w:tc>
      </w:tr>
      <w:tr w14:paraId="73DA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195" w:type="dxa"/>
            <w:vMerge w:val="continue"/>
          </w:tcPr>
          <w:p w14:paraId="2C7F9409">
            <w:pPr>
              <w:spacing w:line="360" w:lineRule="auto"/>
              <w:ind w:firstLine="221" w:firstLineChars="100"/>
              <w:jc w:val="both"/>
              <w:rPr>
                <w:rFonts w:hint="eastAsia" w:asciiTheme="minorEastAsia" w:hAnsiTheme="minorEastAsia" w:eastAsiaTheme="minorEastAsia" w:cstheme="minorEastAsia"/>
                <w:b/>
                <w:color w:val="auto"/>
                <w:kern w:val="0"/>
                <w:sz w:val="22"/>
                <w:szCs w:val="28"/>
                <w:highlight w:val="none"/>
                <w:vertAlign w:val="baseline"/>
                <w:lang w:val="en-US" w:eastAsia="zh-CN"/>
              </w:rPr>
            </w:pPr>
          </w:p>
        </w:tc>
        <w:tc>
          <w:tcPr>
            <w:tcW w:w="6497" w:type="dxa"/>
            <w:vAlign w:val="top"/>
          </w:tcPr>
          <w:p w14:paraId="35DED564">
            <w:pPr>
              <w:spacing w:line="360" w:lineRule="auto"/>
              <w:jc w:val="both"/>
              <w:rPr>
                <w:rFonts w:hint="eastAsia" w:asciiTheme="minorEastAsia" w:hAnsiTheme="minorEastAsia" w:eastAsiaTheme="minorEastAsia" w:cstheme="minorEastAsia"/>
                <w:color w:val="auto"/>
                <w:kern w:val="0"/>
                <w:sz w:val="22"/>
                <w:szCs w:val="28"/>
                <w:highlight w:val="none"/>
                <w:lang w:val="en-US" w:eastAsia="zh-CN" w:bidi="ar-SA"/>
              </w:rPr>
            </w:pPr>
            <w:r>
              <w:rPr>
                <w:rFonts w:hint="eastAsia" w:asciiTheme="minorEastAsia" w:hAnsiTheme="minorEastAsia" w:eastAsiaTheme="minorEastAsia" w:cstheme="minorEastAsia"/>
                <w:b w:val="0"/>
                <w:bCs/>
                <w:color w:val="auto"/>
                <w:kern w:val="0"/>
                <w:sz w:val="22"/>
                <w:szCs w:val="28"/>
                <w:highlight w:val="none"/>
                <w:vertAlign w:val="baseline"/>
                <w:lang w:val="zh-CN"/>
              </w:rPr>
              <w:t>政府投资项目结算及其他类型的造价咨询服务：投标报价以《基准收费标准》(附表1)为基础，优惠率为</w:t>
            </w:r>
            <w:r>
              <w:rPr>
                <w:rFonts w:hint="eastAsia" w:asciiTheme="minorEastAsia" w:hAnsiTheme="minorEastAsia" w:eastAsiaTheme="minorEastAsia" w:cstheme="minorEastAsia"/>
                <w:b w:val="0"/>
                <w:bCs/>
                <w:color w:val="auto"/>
                <w:kern w:val="0"/>
                <w:sz w:val="22"/>
                <w:szCs w:val="28"/>
                <w:highlight w:val="none"/>
                <w:u w:val="single"/>
                <w:vertAlign w:val="baseline"/>
                <w:lang w:val="en-US" w:eastAsia="zh-CN"/>
              </w:rPr>
              <w:t xml:space="preserve">    </w:t>
            </w:r>
            <w:r>
              <w:rPr>
                <w:rFonts w:hint="eastAsia" w:asciiTheme="minorEastAsia" w:hAnsiTheme="minorEastAsia" w:eastAsiaTheme="minorEastAsia" w:cstheme="minorEastAsia"/>
                <w:b w:val="0"/>
                <w:bCs/>
                <w:color w:val="auto"/>
                <w:kern w:val="0"/>
                <w:sz w:val="22"/>
                <w:szCs w:val="28"/>
                <w:highlight w:val="none"/>
                <w:vertAlign w:val="baseline"/>
                <w:lang w:val="zh-CN"/>
              </w:rPr>
              <w:t>%。</w:t>
            </w:r>
          </w:p>
        </w:tc>
      </w:tr>
    </w:tbl>
    <w:p w14:paraId="339D40B5">
      <w:pPr>
        <w:rPr>
          <w:rFonts w:hint="eastAsia" w:asciiTheme="minorEastAsia" w:hAnsiTheme="minorEastAsia" w:eastAsiaTheme="minorEastAsia" w:cstheme="minorEastAsia"/>
          <w:b/>
          <w:color w:val="auto"/>
          <w:kern w:val="0"/>
          <w:highlight w:val="none"/>
          <w:lang w:val="zh-CN"/>
        </w:rPr>
      </w:pPr>
    </w:p>
    <w:p w14:paraId="04533ADA">
      <w:pPr>
        <w:rPr>
          <w:rFonts w:hint="eastAsia" w:asciiTheme="minorEastAsia" w:hAnsiTheme="minorEastAsia" w:eastAsiaTheme="minorEastAsia" w:cstheme="minorEastAsia"/>
          <w:b/>
          <w:color w:val="auto"/>
          <w:kern w:val="0"/>
          <w:highlight w:val="none"/>
          <w:lang w:val="zh-CN"/>
        </w:rPr>
      </w:pPr>
      <w:r>
        <w:rPr>
          <w:rFonts w:hint="eastAsia" w:asciiTheme="minorEastAsia" w:hAnsiTheme="minorEastAsia" w:eastAsiaTheme="minorEastAsia" w:cstheme="minorEastAsia"/>
          <w:b/>
          <w:color w:val="auto"/>
          <w:kern w:val="0"/>
          <w:highlight w:val="none"/>
          <w:lang w:val="zh-CN"/>
        </w:rPr>
        <w:t>注：</w:t>
      </w:r>
    </w:p>
    <w:p w14:paraId="41BFAC65">
      <w:pPr>
        <w:numPr>
          <w:ilvl w:val="0"/>
          <w:numId w:val="0"/>
        </w:numPr>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zh-CN"/>
        </w:rPr>
      </w:pP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lang w:val="zh-CN"/>
        </w:rPr>
        <w:t>投标报价应当包括一切税费。</w:t>
      </w:r>
    </w:p>
    <w:p w14:paraId="0684A218">
      <w:pPr>
        <w:numPr>
          <w:ilvl w:val="0"/>
          <w:numId w:val="0"/>
        </w:numPr>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zh-CN"/>
        </w:rPr>
      </w:pPr>
      <w:r>
        <w:rPr>
          <w:rFonts w:hint="eastAsia" w:asciiTheme="minorEastAsia" w:hAnsiTheme="minorEastAsia" w:eastAsiaTheme="minorEastAsia" w:cstheme="minorEastAsia"/>
          <w:b/>
          <w:bCs/>
          <w:color w:val="auto"/>
          <w:sz w:val="24"/>
          <w:szCs w:val="24"/>
          <w:highlight w:val="none"/>
          <w:lang w:val="zh-CN"/>
        </w:rPr>
        <w:t>2、本投标文件及其所附文件涵盖了我方要约的全部内容。</w:t>
      </w:r>
    </w:p>
    <w:p w14:paraId="74510B47">
      <w:pPr>
        <w:numPr>
          <w:ilvl w:val="0"/>
          <w:numId w:val="0"/>
        </w:numPr>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en-US"/>
        </w:rPr>
      </w:pPr>
      <w:r>
        <w:rPr>
          <w:rFonts w:hint="eastAsia" w:asciiTheme="minorEastAsia" w:hAnsiTheme="minorEastAsia" w:eastAsiaTheme="minorEastAsia" w:cstheme="minorEastAsia"/>
          <w:b/>
          <w:bCs/>
          <w:color w:val="auto"/>
          <w:sz w:val="24"/>
          <w:szCs w:val="24"/>
          <w:highlight w:val="none"/>
          <w:lang w:val="en-US" w:eastAsia="zh-CN"/>
        </w:rPr>
        <w:t>3、特别约定事项：征集文件和政采云报价系统中出现的优惠率请各单位引起充分重视，例如：优惠率为20%，相当于打八折。</w:t>
      </w:r>
    </w:p>
    <w:p w14:paraId="08771692">
      <w:pPr>
        <w:numPr>
          <w:ilvl w:val="0"/>
          <w:numId w:val="0"/>
        </w:numPr>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4、如供应商报价（优惠率）高于55%的，应当提交详细阐述不影响产品质量或者诚信履约的具体原因说明。</w:t>
      </w:r>
    </w:p>
    <w:p w14:paraId="38DF5BB6">
      <w:pPr>
        <w:pStyle w:val="23"/>
        <w:rPr>
          <w:rFonts w:hint="eastAsia" w:asciiTheme="minorEastAsia" w:hAnsiTheme="minorEastAsia" w:eastAsiaTheme="minorEastAsia" w:cstheme="minorEastAsia"/>
          <w:color w:val="auto"/>
          <w:highlight w:val="none"/>
          <w:lang w:val="zh-CN"/>
        </w:rPr>
      </w:pPr>
    </w:p>
    <w:p w14:paraId="62127DBB">
      <w:pPr>
        <w:autoSpaceDE w:val="0"/>
        <w:autoSpaceDN w:val="0"/>
        <w:spacing w:line="360" w:lineRule="auto"/>
        <w:ind w:left="2520" w:leftChars="1200" w:right="1119" w:rightChars="533" w:firstLine="840" w:firstLineChars="35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供应商名称（</w:t>
      </w:r>
      <w:r>
        <w:rPr>
          <w:rFonts w:hint="eastAsia" w:asciiTheme="minorEastAsia" w:hAnsiTheme="minorEastAsia" w:eastAsiaTheme="minorEastAsia" w:cstheme="minorEastAsia"/>
          <w:color w:val="auto"/>
          <w:sz w:val="24"/>
          <w:highlight w:val="none"/>
        </w:rPr>
        <w:t>电子签名</w:t>
      </w:r>
      <w:r>
        <w:rPr>
          <w:rFonts w:hint="eastAsia" w:asciiTheme="minorEastAsia" w:hAnsiTheme="minorEastAsia" w:eastAsiaTheme="minorEastAsia" w:cstheme="minorEastAsia"/>
          <w:color w:val="auto"/>
          <w:kern w:val="0"/>
          <w:sz w:val="24"/>
          <w:highlight w:val="none"/>
          <w:lang w:val="zh-CN"/>
        </w:rPr>
        <w:t>）：</w:t>
      </w:r>
    </w:p>
    <w:p w14:paraId="46A4BCCF">
      <w:pPr>
        <w:spacing w:line="360" w:lineRule="auto"/>
        <w:ind w:left="2520" w:leftChars="1200" w:firstLine="840" w:firstLineChars="3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zh-CN"/>
        </w:rPr>
        <w:t xml:space="preserve">   年   月   日</w:t>
      </w:r>
    </w:p>
    <w:p w14:paraId="7E7E0F7C">
      <w:pPr>
        <w:pStyle w:val="678"/>
        <w:keepNext w:val="0"/>
        <w:pageBreakBefore w:val="0"/>
        <w:tabs>
          <w:tab w:val="clear" w:pos="720"/>
        </w:tabs>
        <w:snapToGrid w:val="0"/>
        <w:spacing w:before="120" w:after="120"/>
        <w:ind w:left="2520" w:leftChars="1200" w:firstLine="1124" w:firstLineChars="350"/>
        <w:outlineLvl w:val="9"/>
        <w:rPr>
          <w:rFonts w:hint="eastAsia" w:asciiTheme="minorEastAsia" w:hAnsiTheme="minorEastAsia" w:eastAsiaTheme="minorEastAsia" w:cstheme="minorEastAsia"/>
          <w:color w:val="auto"/>
          <w:kern w:val="2"/>
          <w:sz w:val="32"/>
          <w:szCs w:val="32"/>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5748DF17">
      <w:pPr>
        <w:snapToGrid w:val="0"/>
        <w:spacing w:line="360" w:lineRule="auto"/>
        <w:rPr>
          <w:rFonts w:hint="eastAsia" w:asciiTheme="minorEastAsia" w:hAnsiTheme="minorEastAsia" w:eastAsiaTheme="minorEastAsia" w:cstheme="minorEastAsia"/>
          <w:color w:val="auto"/>
          <w:sz w:val="24"/>
          <w:highlight w:val="none"/>
          <w:u w:val="single"/>
          <w:lang w:eastAsia="zh-CN"/>
        </w:rPr>
      </w:pPr>
      <w:bookmarkStart w:id="49" w:name="_Toc465665161"/>
      <w:r>
        <w:rPr>
          <w:rFonts w:hint="eastAsia" w:asciiTheme="minorEastAsia" w:hAnsiTheme="minorEastAsia" w:eastAsiaTheme="minorEastAsia" w:cstheme="minorEastAsia"/>
          <w:color w:val="auto"/>
          <w:sz w:val="24"/>
          <w:highlight w:val="none"/>
          <w:u w:val="none"/>
          <w:lang w:eastAsia="zh-CN"/>
        </w:rPr>
        <w:t>标项二</w:t>
      </w:r>
    </w:p>
    <w:p w14:paraId="62CDFCF6">
      <w:pPr>
        <w:snapToGrid w:val="0"/>
        <w:spacing w:line="360" w:lineRule="auto"/>
        <w:rPr>
          <w:rFonts w:hint="eastAsia" w:asciiTheme="minorEastAsia" w:hAnsiTheme="minorEastAsia" w:eastAsiaTheme="minorEastAsia" w:cstheme="minorEastAsia"/>
          <w:color w:val="auto"/>
          <w:kern w:val="0"/>
          <w:sz w:val="24"/>
          <w:highlight w:val="none"/>
          <w:u w:val="single"/>
        </w:rPr>
      </w:pPr>
      <w:r>
        <w:rPr>
          <w:rFonts w:hint="eastAsia" w:asciiTheme="minorEastAsia" w:hAnsiTheme="minorEastAsia" w:eastAsiaTheme="minorEastAsia" w:cstheme="minorEastAsia"/>
          <w:color w:val="auto"/>
          <w:sz w:val="24"/>
          <w:highlight w:val="none"/>
          <w:u w:val="single"/>
        </w:rPr>
        <w:t>杭州市</w:t>
      </w:r>
      <w:r>
        <w:rPr>
          <w:rFonts w:hint="eastAsia" w:asciiTheme="minorEastAsia" w:hAnsiTheme="minorEastAsia" w:eastAsiaTheme="minorEastAsia" w:cstheme="minorEastAsia"/>
          <w:color w:val="auto"/>
          <w:sz w:val="24"/>
          <w:highlight w:val="none"/>
          <w:u w:val="single"/>
          <w:lang w:eastAsia="zh-CN"/>
        </w:rPr>
        <w:t>钱塘区政府投资项目评审服务中心</w:t>
      </w:r>
      <w:r>
        <w:rPr>
          <w:rFonts w:hint="eastAsia" w:asciiTheme="minorEastAsia" w:hAnsiTheme="minorEastAsia" w:eastAsiaTheme="minorEastAsia" w:cstheme="minorEastAsia"/>
          <w:color w:val="auto"/>
          <w:kern w:val="0"/>
          <w:sz w:val="24"/>
          <w:highlight w:val="none"/>
          <w:u w:val="single"/>
          <w:lang w:val="zh-CN"/>
        </w:rPr>
        <w:t>：</w:t>
      </w:r>
    </w:p>
    <w:p w14:paraId="364086AF">
      <w:pPr>
        <w:snapToGrid w:val="0"/>
        <w:spacing w:line="360" w:lineRule="auto"/>
        <w:ind w:firstLine="482"/>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按你方征集文件要求，我们，本响应文件签字方，谨此向你方发出要约如下：如你方接受本响应，我方承诺按照如下投标(开标)一览表的价格完成</w:t>
      </w: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w:t>
      </w:r>
      <w:r>
        <w:rPr>
          <w:rFonts w:hint="eastAsia" w:ascii="宋体" w:hAnsi="宋体" w:cs="宋体"/>
          <w:color w:val="auto"/>
          <w:sz w:val="24"/>
          <w:highlight w:val="none"/>
          <w:lang w:eastAsia="zh-CN"/>
        </w:rPr>
        <w:t>的标项</w:t>
      </w:r>
      <w:r>
        <w:rPr>
          <w:rFonts w:hint="eastAsia" w:ascii="宋体" w:hAnsi="宋体" w:cs="宋体"/>
          <w:color w:val="auto"/>
          <w:sz w:val="24"/>
          <w:highlight w:val="none"/>
          <w:u w:val="single"/>
          <w:lang w:val="en-US" w:eastAsia="zh-CN"/>
        </w:rPr>
        <w:t xml:space="preserve"> 二 </w:t>
      </w:r>
      <w:r>
        <w:rPr>
          <w:rFonts w:hint="eastAsia" w:asciiTheme="minorEastAsia" w:hAnsiTheme="minorEastAsia" w:eastAsiaTheme="minorEastAsia" w:cstheme="minorEastAsia"/>
          <w:color w:val="auto"/>
          <w:sz w:val="24"/>
          <w:highlight w:val="none"/>
        </w:rPr>
        <w:t>的实施</w:t>
      </w:r>
      <w:r>
        <w:rPr>
          <w:rFonts w:hint="eastAsia" w:asciiTheme="minorEastAsia" w:hAnsiTheme="minorEastAsia" w:eastAsiaTheme="minorEastAsia" w:cstheme="minorEastAsia"/>
          <w:color w:val="auto"/>
          <w:kern w:val="0"/>
          <w:sz w:val="24"/>
          <w:highlight w:val="none"/>
          <w:lang w:val="zh-CN"/>
        </w:rPr>
        <w:t>。</w:t>
      </w:r>
    </w:p>
    <w:p w14:paraId="332C04B2">
      <w:pPr>
        <w:pStyle w:val="3"/>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rPr>
        <w:t>投标(开标)一览表</w:t>
      </w:r>
    </w:p>
    <w:tbl>
      <w:tblPr>
        <w:tblStyle w:val="52"/>
        <w:tblpPr w:leftFromText="180" w:rightFromText="180" w:vertAnchor="text" w:horzAnchor="page" w:tblpXSpec="center" w:tblpY="4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5855"/>
      </w:tblGrid>
      <w:tr w14:paraId="3657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95" w:type="dxa"/>
          </w:tcPr>
          <w:p w14:paraId="5ABA0F28">
            <w:pPr>
              <w:spacing w:line="360" w:lineRule="auto"/>
              <w:jc w:val="center"/>
              <w:rPr>
                <w:rFonts w:hint="eastAsia" w:asciiTheme="minorEastAsia" w:hAnsiTheme="minorEastAsia" w:eastAsiaTheme="minorEastAsia" w:cstheme="minorEastAsia"/>
                <w:b/>
                <w:color w:val="auto"/>
                <w:kern w:val="0"/>
                <w:sz w:val="22"/>
                <w:szCs w:val="28"/>
                <w:highlight w:val="none"/>
                <w:vertAlign w:val="baseline"/>
                <w:lang w:val="en-US" w:eastAsia="zh-CN"/>
              </w:rPr>
            </w:pPr>
            <w:r>
              <w:rPr>
                <w:rFonts w:hint="eastAsia" w:asciiTheme="minorEastAsia" w:hAnsiTheme="minorEastAsia" w:eastAsiaTheme="minorEastAsia" w:cstheme="minorEastAsia"/>
                <w:b w:val="0"/>
                <w:bCs/>
                <w:color w:val="auto"/>
                <w:kern w:val="0"/>
                <w:sz w:val="22"/>
                <w:szCs w:val="28"/>
                <w:highlight w:val="none"/>
                <w:vertAlign w:val="baseline"/>
                <w:lang w:val="en-US" w:eastAsia="zh-CN"/>
              </w:rPr>
              <w:t>标项</w:t>
            </w:r>
          </w:p>
        </w:tc>
        <w:tc>
          <w:tcPr>
            <w:tcW w:w="5855" w:type="dxa"/>
          </w:tcPr>
          <w:p w14:paraId="653E06FA">
            <w:pPr>
              <w:spacing w:line="360" w:lineRule="auto"/>
              <w:jc w:val="center"/>
              <w:rPr>
                <w:rFonts w:hint="eastAsia" w:asciiTheme="minorEastAsia" w:hAnsiTheme="minorEastAsia" w:eastAsiaTheme="minorEastAsia" w:cstheme="minorEastAsia"/>
                <w:b w:val="0"/>
                <w:bCs/>
                <w:color w:val="auto"/>
                <w:kern w:val="0"/>
                <w:sz w:val="22"/>
                <w:szCs w:val="28"/>
                <w:highlight w:val="none"/>
                <w:vertAlign w:val="baseline"/>
                <w:lang w:val="en-US" w:eastAsia="zh-CN"/>
              </w:rPr>
            </w:pPr>
            <w:r>
              <w:rPr>
                <w:rFonts w:hint="eastAsia" w:asciiTheme="minorEastAsia" w:hAnsiTheme="minorEastAsia" w:eastAsiaTheme="minorEastAsia" w:cstheme="minorEastAsia"/>
                <w:b w:val="0"/>
                <w:bCs/>
                <w:color w:val="auto"/>
                <w:kern w:val="0"/>
                <w:sz w:val="22"/>
                <w:szCs w:val="28"/>
                <w:highlight w:val="none"/>
                <w:vertAlign w:val="baseline"/>
                <w:lang w:val="en-US" w:eastAsia="zh-CN"/>
              </w:rPr>
              <w:t>投标报价（%）</w:t>
            </w:r>
          </w:p>
        </w:tc>
      </w:tr>
      <w:tr w14:paraId="052F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195" w:type="dxa"/>
            <w:vMerge w:val="restart"/>
          </w:tcPr>
          <w:p w14:paraId="287D989A">
            <w:pPr>
              <w:spacing w:line="360" w:lineRule="auto"/>
              <w:jc w:val="center"/>
              <w:rPr>
                <w:rFonts w:hint="eastAsia" w:asciiTheme="minorEastAsia" w:hAnsiTheme="minorEastAsia" w:eastAsiaTheme="minorEastAsia" w:cstheme="minorEastAsia"/>
                <w:b/>
                <w:color w:val="auto"/>
                <w:kern w:val="0"/>
                <w:sz w:val="22"/>
                <w:szCs w:val="28"/>
                <w:highlight w:val="none"/>
                <w:vertAlign w:val="baseline"/>
                <w:lang w:val="en-US" w:eastAsia="zh-CN"/>
              </w:rPr>
            </w:pPr>
          </w:p>
          <w:p w14:paraId="7D381937">
            <w:pPr>
              <w:spacing w:line="360" w:lineRule="auto"/>
              <w:jc w:val="center"/>
              <w:rPr>
                <w:rFonts w:hint="eastAsia" w:asciiTheme="minorEastAsia" w:hAnsiTheme="minorEastAsia" w:eastAsiaTheme="minorEastAsia" w:cstheme="minorEastAsia"/>
                <w:b/>
                <w:color w:val="auto"/>
                <w:kern w:val="0"/>
                <w:sz w:val="22"/>
                <w:szCs w:val="28"/>
                <w:highlight w:val="none"/>
                <w:vertAlign w:val="baseline"/>
                <w:lang w:val="en-US" w:eastAsia="zh-CN"/>
              </w:rPr>
            </w:pPr>
          </w:p>
          <w:p w14:paraId="1B023E1E">
            <w:pPr>
              <w:spacing w:line="360" w:lineRule="auto"/>
              <w:jc w:val="center"/>
              <w:rPr>
                <w:rFonts w:hint="eastAsia" w:asciiTheme="minorEastAsia" w:hAnsiTheme="minorEastAsia" w:eastAsiaTheme="minorEastAsia" w:cstheme="minorEastAsia"/>
                <w:b/>
                <w:color w:val="auto"/>
                <w:kern w:val="0"/>
                <w:sz w:val="22"/>
                <w:szCs w:val="28"/>
                <w:highlight w:val="none"/>
                <w:vertAlign w:val="baseline"/>
                <w:lang w:val="en-US" w:eastAsia="zh-CN"/>
              </w:rPr>
            </w:pPr>
          </w:p>
          <w:p w14:paraId="3E29784E">
            <w:pPr>
              <w:spacing w:line="360" w:lineRule="auto"/>
              <w:jc w:val="center"/>
              <w:rPr>
                <w:rFonts w:hint="eastAsia" w:asciiTheme="minorEastAsia" w:hAnsiTheme="minorEastAsia" w:eastAsiaTheme="minorEastAsia" w:cstheme="minorEastAsia"/>
                <w:b/>
                <w:color w:val="auto"/>
                <w:kern w:val="0"/>
                <w:sz w:val="22"/>
                <w:szCs w:val="28"/>
                <w:highlight w:val="none"/>
                <w:vertAlign w:val="baseline"/>
                <w:lang w:val="en-US" w:eastAsia="zh-CN"/>
              </w:rPr>
            </w:pPr>
            <w:r>
              <w:rPr>
                <w:rFonts w:hint="eastAsia" w:asciiTheme="minorEastAsia" w:hAnsiTheme="minorEastAsia" w:eastAsiaTheme="minorEastAsia" w:cstheme="minorEastAsia"/>
                <w:b/>
                <w:color w:val="auto"/>
                <w:kern w:val="0"/>
                <w:sz w:val="22"/>
                <w:szCs w:val="28"/>
                <w:highlight w:val="none"/>
                <w:vertAlign w:val="baseline"/>
                <w:lang w:val="en-US" w:eastAsia="zh-CN"/>
              </w:rPr>
              <w:t>标项二</w:t>
            </w:r>
          </w:p>
        </w:tc>
        <w:tc>
          <w:tcPr>
            <w:tcW w:w="5855" w:type="dxa"/>
            <w:vAlign w:val="top"/>
          </w:tcPr>
          <w:p w14:paraId="445CBBB0">
            <w:pPr>
              <w:spacing w:line="360" w:lineRule="auto"/>
              <w:jc w:val="left"/>
              <w:rPr>
                <w:rFonts w:hint="eastAsia" w:asciiTheme="minorEastAsia" w:hAnsiTheme="minorEastAsia" w:eastAsiaTheme="minorEastAsia" w:cstheme="minorEastAsia"/>
                <w:b/>
                <w:color w:val="auto"/>
                <w:kern w:val="0"/>
                <w:sz w:val="28"/>
                <w:szCs w:val="28"/>
                <w:highlight w:val="none"/>
                <w:vertAlign w:val="baseline"/>
                <w:lang w:val="en-US" w:eastAsia="zh-CN" w:bidi="ar-SA"/>
              </w:rPr>
            </w:pPr>
            <w:r>
              <w:rPr>
                <w:rFonts w:hint="eastAsia" w:asciiTheme="minorEastAsia" w:hAnsiTheme="minorEastAsia" w:eastAsiaTheme="minorEastAsia" w:cstheme="minorEastAsia"/>
                <w:color w:val="auto"/>
                <w:kern w:val="0"/>
                <w:sz w:val="22"/>
                <w:szCs w:val="28"/>
                <w:highlight w:val="none"/>
                <w:lang w:eastAsia="zh-CN"/>
              </w:rPr>
              <w:t>政府投资项目概算复核：</w:t>
            </w:r>
            <w:r>
              <w:rPr>
                <w:rFonts w:hint="eastAsia" w:asciiTheme="minorEastAsia" w:hAnsiTheme="minorEastAsia" w:eastAsiaTheme="minorEastAsia" w:cstheme="minorEastAsia"/>
                <w:b w:val="0"/>
                <w:bCs/>
                <w:color w:val="auto"/>
                <w:kern w:val="0"/>
                <w:sz w:val="22"/>
                <w:szCs w:val="28"/>
                <w:highlight w:val="none"/>
                <w:vertAlign w:val="baseline"/>
                <w:lang w:val="zh-CN"/>
              </w:rPr>
              <w:t>投标报价以《基准收费标准》(附表1)为基础，优惠率为</w:t>
            </w:r>
            <w:r>
              <w:rPr>
                <w:rFonts w:hint="eastAsia" w:asciiTheme="minorEastAsia" w:hAnsiTheme="minorEastAsia" w:eastAsiaTheme="minorEastAsia" w:cstheme="minorEastAsia"/>
                <w:b w:val="0"/>
                <w:bCs/>
                <w:color w:val="auto"/>
                <w:kern w:val="0"/>
                <w:sz w:val="22"/>
                <w:szCs w:val="28"/>
                <w:highlight w:val="none"/>
                <w:u w:val="single"/>
                <w:vertAlign w:val="baseline"/>
                <w:lang w:val="en-US" w:eastAsia="zh-CN"/>
              </w:rPr>
              <w:t xml:space="preserve">    </w:t>
            </w:r>
            <w:r>
              <w:rPr>
                <w:rFonts w:hint="eastAsia" w:asciiTheme="minorEastAsia" w:hAnsiTheme="minorEastAsia" w:eastAsiaTheme="minorEastAsia" w:cstheme="minorEastAsia"/>
                <w:b w:val="0"/>
                <w:bCs/>
                <w:color w:val="auto"/>
                <w:kern w:val="0"/>
                <w:sz w:val="22"/>
                <w:szCs w:val="28"/>
                <w:highlight w:val="none"/>
                <w:vertAlign w:val="baseline"/>
                <w:lang w:val="zh-CN"/>
              </w:rPr>
              <w:t>%。</w:t>
            </w:r>
          </w:p>
        </w:tc>
      </w:tr>
      <w:tr w14:paraId="0249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195" w:type="dxa"/>
            <w:vMerge w:val="continue"/>
          </w:tcPr>
          <w:p w14:paraId="1F145C5C">
            <w:pPr>
              <w:spacing w:line="360" w:lineRule="auto"/>
              <w:jc w:val="center"/>
              <w:rPr>
                <w:rFonts w:hint="eastAsia" w:asciiTheme="minorEastAsia" w:hAnsiTheme="minorEastAsia" w:eastAsiaTheme="minorEastAsia" w:cstheme="minorEastAsia"/>
                <w:b/>
                <w:color w:val="auto"/>
                <w:kern w:val="0"/>
                <w:sz w:val="22"/>
                <w:szCs w:val="28"/>
                <w:highlight w:val="none"/>
                <w:vertAlign w:val="baseline"/>
                <w:lang w:val="zh-CN"/>
              </w:rPr>
            </w:pPr>
          </w:p>
        </w:tc>
        <w:tc>
          <w:tcPr>
            <w:tcW w:w="5855" w:type="dxa"/>
            <w:vAlign w:val="top"/>
          </w:tcPr>
          <w:p w14:paraId="28819EBD">
            <w:pPr>
              <w:spacing w:line="360" w:lineRule="auto"/>
              <w:jc w:val="left"/>
              <w:rPr>
                <w:rFonts w:hint="eastAsia" w:asciiTheme="minorEastAsia" w:hAnsiTheme="minorEastAsia" w:eastAsiaTheme="minorEastAsia" w:cstheme="minorEastAsia"/>
                <w:b/>
                <w:color w:val="auto"/>
                <w:kern w:val="0"/>
                <w:sz w:val="28"/>
                <w:szCs w:val="28"/>
                <w:highlight w:val="none"/>
                <w:vertAlign w:val="baseline"/>
                <w:lang w:val="zh-CN" w:eastAsia="zh-CN" w:bidi="ar-SA"/>
              </w:rPr>
            </w:pPr>
            <w:r>
              <w:rPr>
                <w:rFonts w:hint="eastAsia" w:asciiTheme="minorEastAsia" w:hAnsiTheme="minorEastAsia" w:eastAsiaTheme="minorEastAsia" w:cstheme="minorEastAsia"/>
                <w:color w:val="auto"/>
                <w:kern w:val="0"/>
                <w:sz w:val="22"/>
                <w:szCs w:val="28"/>
                <w:highlight w:val="none"/>
                <w:lang w:val="en-US" w:eastAsia="zh-CN"/>
              </w:rPr>
              <w:t>政府投资项目</w:t>
            </w:r>
            <w:r>
              <w:rPr>
                <w:rFonts w:hint="eastAsia" w:asciiTheme="minorEastAsia" w:hAnsiTheme="minorEastAsia" w:eastAsiaTheme="minorEastAsia" w:cstheme="minorEastAsia"/>
                <w:color w:val="auto"/>
                <w:kern w:val="0"/>
                <w:sz w:val="22"/>
                <w:szCs w:val="28"/>
                <w:highlight w:val="none"/>
                <w:lang w:eastAsia="zh-CN"/>
              </w:rPr>
              <w:t>结算及其他类型的造价咨询服务：</w:t>
            </w:r>
            <w:r>
              <w:rPr>
                <w:rFonts w:hint="eastAsia" w:asciiTheme="minorEastAsia" w:hAnsiTheme="minorEastAsia" w:eastAsiaTheme="minorEastAsia" w:cstheme="minorEastAsia"/>
                <w:b w:val="0"/>
                <w:bCs/>
                <w:color w:val="auto"/>
                <w:kern w:val="0"/>
                <w:sz w:val="22"/>
                <w:szCs w:val="28"/>
                <w:highlight w:val="none"/>
                <w:vertAlign w:val="baseline"/>
                <w:lang w:val="zh-CN"/>
              </w:rPr>
              <w:t>投标报价以《基准收费标准》(附表1)为基础，优惠率为</w:t>
            </w:r>
            <w:r>
              <w:rPr>
                <w:rFonts w:hint="eastAsia" w:asciiTheme="minorEastAsia" w:hAnsiTheme="minorEastAsia" w:eastAsiaTheme="minorEastAsia" w:cstheme="minorEastAsia"/>
                <w:b w:val="0"/>
                <w:bCs/>
                <w:color w:val="auto"/>
                <w:kern w:val="0"/>
                <w:sz w:val="22"/>
                <w:szCs w:val="28"/>
                <w:highlight w:val="none"/>
                <w:u w:val="single"/>
                <w:vertAlign w:val="baseline"/>
                <w:lang w:val="en-US" w:eastAsia="zh-CN"/>
              </w:rPr>
              <w:t xml:space="preserve">    </w:t>
            </w:r>
            <w:r>
              <w:rPr>
                <w:rFonts w:hint="eastAsia" w:asciiTheme="minorEastAsia" w:hAnsiTheme="minorEastAsia" w:eastAsiaTheme="minorEastAsia" w:cstheme="minorEastAsia"/>
                <w:b w:val="0"/>
                <w:bCs/>
                <w:color w:val="auto"/>
                <w:kern w:val="0"/>
                <w:sz w:val="22"/>
                <w:szCs w:val="28"/>
                <w:highlight w:val="none"/>
                <w:vertAlign w:val="baseline"/>
                <w:lang w:val="zh-CN"/>
              </w:rPr>
              <w:t>%。</w:t>
            </w:r>
          </w:p>
        </w:tc>
      </w:tr>
    </w:tbl>
    <w:p w14:paraId="120ED4B0">
      <w:pPr>
        <w:pStyle w:val="22"/>
        <w:rPr>
          <w:rFonts w:hint="eastAsia" w:asciiTheme="minorEastAsia" w:hAnsiTheme="minorEastAsia" w:eastAsiaTheme="minorEastAsia" w:cstheme="minorEastAsia"/>
          <w:color w:val="auto"/>
          <w:highlight w:val="none"/>
          <w:lang w:val="zh-CN"/>
        </w:rPr>
      </w:pPr>
    </w:p>
    <w:p w14:paraId="1DDFA536">
      <w:pPr>
        <w:snapToGrid w:val="0"/>
        <w:spacing w:line="360" w:lineRule="auto"/>
        <w:ind w:firstLine="480" w:firstLineChars="200"/>
        <w:jc w:val="left"/>
        <w:rPr>
          <w:rFonts w:hint="eastAsia" w:asciiTheme="minorEastAsia" w:hAnsiTheme="minorEastAsia" w:eastAsiaTheme="minorEastAsia" w:cstheme="minorEastAsia"/>
          <w:color w:val="auto"/>
          <w:kern w:val="0"/>
          <w:sz w:val="24"/>
          <w:szCs w:val="22"/>
          <w:highlight w:val="none"/>
          <w:lang w:val="zh-CN"/>
        </w:rPr>
      </w:pPr>
    </w:p>
    <w:p w14:paraId="007E395A">
      <w:pPr>
        <w:snapToGrid w:val="0"/>
        <w:spacing w:line="360" w:lineRule="auto"/>
        <w:ind w:firstLine="480" w:firstLineChars="200"/>
        <w:jc w:val="left"/>
        <w:rPr>
          <w:rFonts w:hint="eastAsia" w:asciiTheme="minorEastAsia" w:hAnsiTheme="minorEastAsia" w:eastAsiaTheme="minorEastAsia" w:cstheme="minorEastAsia"/>
          <w:color w:val="auto"/>
          <w:kern w:val="0"/>
          <w:sz w:val="24"/>
          <w:szCs w:val="22"/>
          <w:highlight w:val="none"/>
          <w:lang w:val="zh-CN"/>
        </w:rPr>
      </w:pPr>
    </w:p>
    <w:p w14:paraId="4E9C6EEF">
      <w:pPr>
        <w:snapToGrid w:val="0"/>
        <w:spacing w:line="360" w:lineRule="auto"/>
        <w:ind w:firstLine="480" w:firstLineChars="200"/>
        <w:jc w:val="left"/>
        <w:rPr>
          <w:rFonts w:hint="eastAsia" w:asciiTheme="minorEastAsia" w:hAnsiTheme="minorEastAsia" w:eastAsiaTheme="minorEastAsia" w:cstheme="minorEastAsia"/>
          <w:color w:val="auto"/>
          <w:kern w:val="0"/>
          <w:sz w:val="24"/>
          <w:szCs w:val="22"/>
          <w:highlight w:val="none"/>
          <w:lang w:val="zh-CN"/>
        </w:rPr>
      </w:pPr>
    </w:p>
    <w:p w14:paraId="5390A888">
      <w:pPr>
        <w:snapToGrid w:val="0"/>
        <w:spacing w:line="360" w:lineRule="auto"/>
        <w:ind w:firstLine="480" w:firstLineChars="200"/>
        <w:jc w:val="left"/>
        <w:rPr>
          <w:rFonts w:hint="eastAsia" w:asciiTheme="minorEastAsia" w:hAnsiTheme="minorEastAsia" w:eastAsiaTheme="minorEastAsia" w:cstheme="minorEastAsia"/>
          <w:color w:val="auto"/>
          <w:kern w:val="0"/>
          <w:sz w:val="24"/>
          <w:szCs w:val="22"/>
          <w:highlight w:val="none"/>
          <w:lang w:val="zh-CN"/>
        </w:rPr>
      </w:pPr>
    </w:p>
    <w:p w14:paraId="24FBE8D2">
      <w:pPr>
        <w:rPr>
          <w:rFonts w:hint="eastAsia" w:asciiTheme="minorEastAsia" w:hAnsiTheme="minorEastAsia" w:eastAsiaTheme="minorEastAsia" w:cstheme="minorEastAsia"/>
          <w:b/>
          <w:color w:val="auto"/>
          <w:kern w:val="0"/>
          <w:highlight w:val="none"/>
          <w:lang w:val="zh-CN"/>
        </w:rPr>
      </w:pPr>
    </w:p>
    <w:p w14:paraId="2C722916">
      <w:pPr>
        <w:rPr>
          <w:rFonts w:hint="eastAsia" w:asciiTheme="minorEastAsia" w:hAnsiTheme="minorEastAsia" w:eastAsiaTheme="minorEastAsia" w:cstheme="minorEastAsia"/>
          <w:b/>
          <w:color w:val="auto"/>
          <w:kern w:val="0"/>
          <w:highlight w:val="none"/>
          <w:lang w:val="zh-CN"/>
        </w:rPr>
      </w:pPr>
      <w:r>
        <w:rPr>
          <w:rFonts w:hint="eastAsia" w:asciiTheme="minorEastAsia" w:hAnsiTheme="minorEastAsia" w:eastAsiaTheme="minorEastAsia" w:cstheme="minorEastAsia"/>
          <w:b/>
          <w:color w:val="auto"/>
          <w:kern w:val="0"/>
          <w:highlight w:val="none"/>
          <w:lang w:val="zh-CN"/>
        </w:rPr>
        <w:t>注：</w:t>
      </w:r>
    </w:p>
    <w:p w14:paraId="221D8619">
      <w:pPr>
        <w:numPr>
          <w:ilvl w:val="0"/>
          <w:numId w:val="0"/>
        </w:numPr>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zh-CN"/>
        </w:rPr>
      </w:pP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lang w:val="zh-CN"/>
        </w:rPr>
        <w:t>投标报价应当包括一切税费。</w:t>
      </w:r>
    </w:p>
    <w:p w14:paraId="3C3125A3">
      <w:pPr>
        <w:numPr>
          <w:ilvl w:val="0"/>
          <w:numId w:val="0"/>
        </w:numPr>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zh-CN"/>
        </w:rPr>
      </w:pPr>
      <w:r>
        <w:rPr>
          <w:rFonts w:hint="eastAsia" w:asciiTheme="minorEastAsia" w:hAnsiTheme="minorEastAsia" w:eastAsiaTheme="minorEastAsia" w:cstheme="minorEastAsia"/>
          <w:b/>
          <w:bCs/>
          <w:color w:val="auto"/>
          <w:sz w:val="24"/>
          <w:szCs w:val="24"/>
          <w:highlight w:val="none"/>
          <w:lang w:val="zh-CN"/>
        </w:rPr>
        <w:t>2、本投标文件及其所附文件涵盖了我方要约的全部内容。</w:t>
      </w:r>
    </w:p>
    <w:p w14:paraId="29E2AD26">
      <w:pPr>
        <w:numPr>
          <w:ilvl w:val="0"/>
          <w:numId w:val="0"/>
        </w:numPr>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en-US"/>
        </w:rPr>
      </w:pPr>
      <w:r>
        <w:rPr>
          <w:rFonts w:hint="eastAsia" w:asciiTheme="minorEastAsia" w:hAnsiTheme="minorEastAsia" w:eastAsiaTheme="minorEastAsia" w:cstheme="minorEastAsia"/>
          <w:b/>
          <w:bCs/>
          <w:color w:val="auto"/>
          <w:sz w:val="24"/>
          <w:szCs w:val="24"/>
          <w:highlight w:val="none"/>
          <w:lang w:val="en-US" w:eastAsia="zh-CN"/>
        </w:rPr>
        <w:t>3、特别约定事项：征集文件和政采云报价系统中出现的优惠率请各单位引起充分重视，例如：优惠率为20%，相当于打八折。</w:t>
      </w:r>
    </w:p>
    <w:p w14:paraId="0315A844">
      <w:pPr>
        <w:numPr>
          <w:ilvl w:val="0"/>
          <w:numId w:val="0"/>
        </w:numPr>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4、如供应商报价（优惠率）高于55%的，应当提交详细阐述不影响产品质量或者诚信履约的具体原因说明。</w:t>
      </w:r>
    </w:p>
    <w:p w14:paraId="40968684">
      <w:pPr>
        <w:autoSpaceDE w:val="0"/>
        <w:autoSpaceDN w:val="0"/>
        <w:spacing w:line="360" w:lineRule="auto"/>
        <w:ind w:left="2520" w:leftChars="1200" w:right="1119" w:rightChars="533" w:firstLine="840" w:firstLineChars="350"/>
        <w:jc w:val="left"/>
        <w:rPr>
          <w:rFonts w:hint="eastAsia" w:asciiTheme="minorEastAsia" w:hAnsiTheme="minorEastAsia" w:eastAsiaTheme="minorEastAsia" w:cstheme="minorEastAsia"/>
          <w:color w:val="auto"/>
          <w:kern w:val="0"/>
          <w:sz w:val="24"/>
          <w:highlight w:val="none"/>
          <w:lang w:val="zh-CN"/>
        </w:rPr>
      </w:pPr>
    </w:p>
    <w:p w14:paraId="043A13AA">
      <w:pPr>
        <w:pStyle w:val="22"/>
        <w:rPr>
          <w:rFonts w:hint="eastAsia" w:asciiTheme="minorEastAsia" w:hAnsiTheme="minorEastAsia" w:eastAsiaTheme="minorEastAsia" w:cstheme="minorEastAsia"/>
          <w:color w:val="auto"/>
          <w:kern w:val="0"/>
          <w:sz w:val="24"/>
          <w:highlight w:val="none"/>
          <w:lang w:val="zh-CN"/>
        </w:rPr>
      </w:pPr>
    </w:p>
    <w:p w14:paraId="296F5B62">
      <w:pPr>
        <w:pStyle w:val="23"/>
        <w:rPr>
          <w:rFonts w:hint="eastAsia" w:asciiTheme="minorEastAsia" w:hAnsiTheme="minorEastAsia" w:eastAsiaTheme="minorEastAsia" w:cstheme="minorEastAsia"/>
          <w:color w:val="auto"/>
          <w:highlight w:val="none"/>
          <w:lang w:val="zh-CN"/>
        </w:rPr>
      </w:pPr>
    </w:p>
    <w:p w14:paraId="0922763C">
      <w:pPr>
        <w:autoSpaceDE w:val="0"/>
        <w:autoSpaceDN w:val="0"/>
        <w:spacing w:line="360" w:lineRule="auto"/>
        <w:ind w:left="2520" w:leftChars="1200" w:right="1119" w:rightChars="533" w:firstLine="840" w:firstLineChars="35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供应商名称（</w:t>
      </w:r>
      <w:r>
        <w:rPr>
          <w:rFonts w:hint="eastAsia" w:asciiTheme="minorEastAsia" w:hAnsiTheme="minorEastAsia" w:eastAsiaTheme="minorEastAsia" w:cstheme="minorEastAsia"/>
          <w:color w:val="auto"/>
          <w:sz w:val="24"/>
          <w:highlight w:val="none"/>
        </w:rPr>
        <w:t>电子签名</w:t>
      </w:r>
      <w:r>
        <w:rPr>
          <w:rFonts w:hint="eastAsia" w:asciiTheme="minorEastAsia" w:hAnsiTheme="minorEastAsia" w:eastAsiaTheme="minorEastAsia" w:cstheme="minorEastAsia"/>
          <w:color w:val="auto"/>
          <w:kern w:val="0"/>
          <w:sz w:val="24"/>
          <w:highlight w:val="none"/>
          <w:lang w:val="zh-CN"/>
        </w:rPr>
        <w:t>）：</w:t>
      </w:r>
    </w:p>
    <w:p w14:paraId="2738FB45">
      <w:pPr>
        <w:spacing w:line="360" w:lineRule="auto"/>
        <w:ind w:left="2520" w:leftChars="1200" w:firstLine="840" w:firstLineChars="3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zh-CN"/>
        </w:rPr>
        <w:t xml:space="preserve">   年   月   日</w:t>
      </w:r>
    </w:p>
    <w:p w14:paraId="471EA450">
      <w:pPr>
        <w:pStyle w:val="678"/>
        <w:keepNext w:val="0"/>
        <w:pageBreakBefore w:val="0"/>
        <w:tabs>
          <w:tab w:val="clear" w:pos="720"/>
        </w:tabs>
        <w:snapToGrid w:val="0"/>
        <w:spacing w:before="120" w:after="120"/>
        <w:ind w:left="2520" w:leftChars="1200" w:firstLine="1124" w:firstLineChars="350"/>
        <w:outlineLvl w:val="9"/>
        <w:rPr>
          <w:rFonts w:hint="eastAsia" w:asciiTheme="minorEastAsia" w:hAnsiTheme="minorEastAsia" w:eastAsiaTheme="minorEastAsia" w:cstheme="minorEastAsia"/>
          <w:color w:val="auto"/>
          <w:kern w:val="2"/>
          <w:sz w:val="32"/>
          <w:szCs w:val="32"/>
          <w:highlight w:val="none"/>
        </w:rPr>
      </w:pPr>
    </w:p>
    <w:p w14:paraId="718C1D4A">
      <w:pPr>
        <w:pStyle w:val="678"/>
        <w:keepNext w:val="0"/>
        <w:pageBreakBefore/>
        <w:numPr>
          <w:ilvl w:val="0"/>
          <w:numId w:val="15"/>
        </w:numPr>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报价情况说明（如果有）</w:t>
      </w:r>
    </w:p>
    <w:p w14:paraId="569CA7FA">
      <w:pPr>
        <w:pStyle w:val="3"/>
        <w:keepNext w:val="0"/>
        <w:pageBreakBefore w:val="0"/>
        <w:numPr>
          <w:ilvl w:val="-1"/>
          <w:numId w:val="0"/>
        </w:numPr>
        <w:tabs>
          <w:tab w:val="clear" w:pos="432"/>
        </w:tabs>
        <w:snapToGrid w:val="0"/>
        <w:spacing w:before="120" w:after="120"/>
        <w:ind w:firstLine="0"/>
        <w:outlineLvl w:val="9"/>
        <w:rPr>
          <w:rFonts w:hint="default" w:ascii="宋体" w:hAnsi="宋体" w:eastAsia="宋体" w:cs="宋体"/>
          <w:color w:val="auto"/>
          <w:kern w:val="2"/>
          <w:sz w:val="32"/>
          <w:szCs w:val="32"/>
          <w:highlight w:val="none"/>
          <w:lang w:val="en-US" w:eastAsia="zh-CN"/>
        </w:rPr>
      </w:pPr>
      <w:r>
        <w:rPr>
          <w:rFonts w:hint="eastAsia" w:ascii="宋体" w:hAnsi="宋体" w:eastAsia="宋体" w:cs="宋体"/>
          <w:b w:val="0"/>
          <w:bCs w:val="0"/>
          <w:color w:val="auto"/>
          <w:sz w:val="24"/>
          <w:szCs w:val="24"/>
          <w:highlight w:val="none"/>
          <w:lang w:val="en-US"/>
        </w:rPr>
        <w:t>（如供应商报价</w:t>
      </w:r>
      <w:r>
        <w:rPr>
          <w:rFonts w:hint="eastAsia" w:ascii="宋体" w:hAnsi="宋体" w:eastAsia="宋体" w:cs="宋体"/>
          <w:b w:val="0"/>
          <w:bCs w:val="0"/>
          <w:color w:val="auto"/>
          <w:sz w:val="24"/>
          <w:szCs w:val="24"/>
          <w:highlight w:val="none"/>
          <w:lang w:val="en-US" w:eastAsia="zh-CN"/>
        </w:rPr>
        <w:t>（优惠率）高</w:t>
      </w:r>
      <w:r>
        <w:rPr>
          <w:rFonts w:hint="eastAsia" w:ascii="宋体" w:hAnsi="宋体" w:eastAsia="宋体" w:cs="宋体"/>
          <w:b w:val="0"/>
          <w:bCs w:val="0"/>
          <w:color w:val="auto"/>
          <w:sz w:val="24"/>
          <w:szCs w:val="24"/>
          <w:highlight w:val="none"/>
          <w:lang w:val="en-US"/>
        </w:rPr>
        <w:t>于</w:t>
      </w:r>
      <w:r>
        <w:rPr>
          <w:rFonts w:hint="eastAsia" w:ascii="宋体" w:hAnsi="宋体" w:eastAsia="宋体" w:cs="宋体"/>
          <w:b w:val="0"/>
          <w:bCs w:val="0"/>
          <w:color w:val="auto"/>
          <w:sz w:val="24"/>
          <w:szCs w:val="24"/>
          <w:highlight w:val="none"/>
          <w:lang w:val="en-US" w:eastAsia="zh-CN"/>
        </w:rPr>
        <w:t>55</w:t>
      </w:r>
      <w:r>
        <w:rPr>
          <w:rFonts w:hint="eastAsia" w:ascii="宋体" w:hAnsi="宋体" w:eastAsia="宋体" w:cs="宋体"/>
          <w:b w:val="0"/>
          <w:bCs w:val="0"/>
          <w:color w:val="auto"/>
          <w:sz w:val="24"/>
          <w:szCs w:val="24"/>
          <w:highlight w:val="none"/>
          <w:lang w:val="en-US"/>
        </w:rPr>
        <w:t>%的，应当提交本文档，详细阐述不影响产品质量或者诚信履约的具体原因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5CEB9CF2">
      <w:pPr>
        <w:pStyle w:val="678"/>
        <w:keepNext w:val="0"/>
        <w:pageBreakBefore w:val="0"/>
        <w:tabs>
          <w:tab w:val="clear" w:pos="720"/>
        </w:tabs>
        <w:snapToGrid w:val="0"/>
        <w:spacing w:before="120" w:after="120"/>
        <w:ind w:left="2520" w:leftChars="1200" w:firstLine="1124" w:firstLineChars="350"/>
        <w:outlineLvl w:val="9"/>
        <w:rPr>
          <w:rFonts w:hint="eastAsia" w:asciiTheme="minorEastAsia" w:hAnsiTheme="minorEastAsia" w:eastAsiaTheme="minorEastAsia" w:cstheme="minorEastAsia"/>
          <w:color w:val="auto"/>
          <w:kern w:val="2"/>
          <w:sz w:val="32"/>
          <w:szCs w:val="32"/>
          <w:highlight w:val="none"/>
        </w:rPr>
        <w:sectPr>
          <w:pgSz w:w="11906" w:h="16838"/>
          <w:pgMar w:top="1440" w:right="1803" w:bottom="1440" w:left="1803" w:header="851" w:footer="992" w:gutter="0"/>
          <w:pgBorders>
            <w:top w:val="none" w:sz="0" w:space="0"/>
            <w:left w:val="none" w:sz="0" w:space="0"/>
            <w:bottom w:val="none" w:sz="0" w:space="0"/>
            <w:right w:val="none" w:sz="0" w:space="0"/>
          </w:pgBorders>
          <w:cols w:space="0" w:num="1"/>
          <w:titlePg/>
          <w:docGrid w:linePitch="312" w:charSpace="0"/>
        </w:sectPr>
      </w:pPr>
    </w:p>
    <w:p w14:paraId="7FA67F6F">
      <w:pPr>
        <w:pStyle w:val="2"/>
        <w:keepNext w:val="0"/>
        <w:keepLines w:val="0"/>
        <w:pageBreakBefore/>
        <w:widowControl/>
        <w:spacing w:before="100" w:beforeAutospacing="1" w:after="100" w:afterAutospacing="1" w:line="360" w:lineRule="auto"/>
        <w:ind w:left="1090" w:leftChars="519" w:firstLine="2624" w:firstLineChars="594"/>
        <w:jc w:val="both"/>
        <w:rPr>
          <w:rFonts w:hint="eastAsia" w:ascii="宋体" w:hAnsi="宋体" w:cs="宋体"/>
          <w:color w:val="auto"/>
          <w:highlight w:val="none"/>
        </w:rPr>
      </w:pPr>
      <w:r>
        <w:rPr>
          <w:rFonts w:hint="eastAsia" w:ascii="宋体" w:hAnsi="宋体" w:cs="宋体"/>
          <w:color w:val="auto"/>
          <w:highlight w:val="none"/>
        </w:rPr>
        <w:t>附件</w:t>
      </w:r>
      <w:bookmarkEnd w:id="49"/>
    </w:p>
    <w:p w14:paraId="0B867BE1">
      <w:pPr>
        <w:spacing w:line="360" w:lineRule="auto"/>
        <w:jc w:val="left"/>
        <w:outlineLvl w:val="1"/>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1</w:t>
      </w:r>
      <w:r>
        <w:rPr>
          <w:rFonts w:hint="eastAsia" w:ascii="宋体" w:hAnsi="宋体" w:cs="宋体"/>
          <w:b/>
          <w:color w:val="auto"/>
          <w:spacing w:val="6"/>
          <w:sz w:val="32"/>
          <w:szCs w:val="32"/>
          <w:highlight w:val="none"/>
        </w:rPr>
        <w:t>：质疑函范本及制作说明</w:t>
      </w:r>
    </w:p>
    <w:p w14:paraId="4EBA9A9E">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68B402A8">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37E3A8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p>
    <w:p w14:paraId="78E628C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地址：邮编：</w:t>
      </w:r>
    </w:p>
    <w:p w14:paraId="766D57C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联系人：联系电话：</w:t>
      </w:r>
    </w:p>
    <w:p w14:paraId="1112626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p>
    <w:p w14:paraId="2693BAF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p>
    <w:p w14:paraId="1C32C0E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地址：邮编：</w:t>
      </w:r>
    </w:p>
    <w:p w14:paraId="3C073A07">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0873151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p>
    <w:p w14:paraId="76778FA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质疑项目的编号：包号：</w:t>
      </w:r>
    </w:p>
    <w:p w14:paraId="262633B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征集人名称：</w:t>
      </w:r>
    </w:p>
    <w:p w14:paraId="2B9BFFF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征集文件获取日期：</w:t>
      </w:r>
    </w:p>
    <w:p w14:paraId="161DA022">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522FF86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p>
    <w:p w14:paraId="30B51EF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p>
    <w:p w14:paraId="4DBC17C7">
      <w:pPr>
        <w:snapToGrid w:val="0"/>
        <w:spacing w:line="360" w:lineRule="auto"/>
        <w:rPr>
          <w:rFonts w:ascii="宋体" w:hAnsi="宋体" w:cs="宋体"/>
          <w:color w:val="auto"/>
          <w:sz w:val="24"/>
          <w:highlight w:val="none"/>
        </w:rPr>
      </w:pPr>
    </w:p>
    <w:p w14:paraId="78B08E6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p>
    <w:p w14:paraId="6BB1FCB4">
      <w:pPr>
        <w:snapToGrid w:val="0"/>
        <w:spacing w:line="360" w:lineRule="auto"/>
        <w:rPr>
          <w:rFonts w:ascii="宋体" w:hAnsi="宋体" w:cs="宋体"/>
          <w:color w:val="auto"/>
          <w:sz w:val="24"/>
          <w:highlight w:val="none"/>
          <w:u w:val="dotted"/>
        </w:rPr>
      </w:pPr>
    </w:p>
    <w:p w14:paraId="270F1EA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3D395EB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94C84CE">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7E0EDD0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p>
    <w:p w14:paraId="7B0DCD99">
      <w:pPr>
        <w:spacing w:line="360" w:lineRule="auto"/>
        <w:rPr>
          <w:rFonts w:ascii="宋体" w:hAnsi="宋体" w:cs="宋体"/>
          <w:color w:val="auto"/>
          <w:sz w:val="24"/>
          <w:highlight w:val="none"/>
        </w:rPr>
      </w:pPr>
      <w:r>
        <w:rPr>
          <w:rFonts w:hint="eastAsia" w:ascii="宋体" w:hAnsi="宋体" w:cs="宋体"/>
          <w:color w:val="auto"/>
          <w:sz w:val="24"/>
          <w:highlight w:val="none"/>
        </w:rPr>
        <w:t>签字(签章)：公章：</w:t>
      </w:r>
    </w:p>
    <w:p w14:paraId="5C028502">
      <w:pPr>
        <w:spacing w:line="360" w:lineRule="auto"/>
        <w:rPr>
          <w:rFonts w:ascii="宋体" w:hAnsi="宋体" w:cs="宋体"/>
          <w:color w:val="auto"/>
          <w:sz w:val="24"/>
          <w:highlight w:val="none"/>
        </w:rPr>
      </w:pPr>
      <w:r>
        <w:rPr>
          <w:rFonts w:hint="eastAsia" w:ascii="宋体" w:hAnsi="宋体" w:cs="宋体"/>
          <w:color w:val="auto"/>
          <w:sz w:val="24"/>
          <w:highlight w:val="none"/>
        </w:rPr>
        <w:t>日期：</w:t>
      </w:r>
    </w:p>
    <w:p w14:paraId="271E4D04">
      <w:pPr>
        <w:spacing w:line="360" w:lineRule="auto"/>
        <w:jc w:val="center"/>
        <w:rPr>
          <w:rFonts w:ascii="宋体" w:hAnsi="宋体" w:cs="宋体"/>
          <w:b/>
          <w:bCs/>
          <w:color w:val="auto"/>
          <w:sz w:val="24"/>
          <w:highlight w:val="none"/>
        </w:rPr>
      </w:pPr>
    </w:p>
    <w:p w14:paraId="6493C710">
      <w:pPr>
        <w:spacing w:line="360" w:lineRule="auto"/>
        <w:rPr>
          <w:rFonts w:ascii="宋体" w:hAnsi="宋体" w:cs="宋体"/>
          <w:b/>
          <w:color w:val="auto"/>
          <w:sz w:val="24"/>
          <w:highlight w:val="none"/>
        </w:rPr>
      </w:pPr>
    </w:p>
    <w:p w14:paraId="52F489F2">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E906A4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222B2EC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418B90B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5DE7C14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78770E2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08182DC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7EEB39EB">
      <w:pPr>
        <w:spacing w:line="360" w:lineRule="auto"/>
        <w:jc w:val="left"/>
        <w:outlineLvl w:val="1"/>
        <w:rPr>
          <w:rFonts w:hint="eastAsia" w:ascii="宋体" w:hAnsi="宋体" w:cs="宋体"/>
          <w:b/>
          <w:color w:val="auto"/>
          <w:spacing w:val="6"/>
          <w:sz w:val="32"/>
          <w:szCs w:val="32"/>
          <w:highlight w:val="none"/>
        </w:rPr>
        <w:sectPr>
          <w:headerReference r:id="rId36" w:type="first"/>
          <w:footerReference r:id="rId38" w:type="first"/>
          <w:headerReference r:id="rId35" w:type="default"/>
          <w:footerReference r:id="rId37" w:type="default"/>
          <w:pgSz w:w="11906" w:h="16838"/>
          <w:pgMar w:top="1440" w:right="1803" w:bottom="1440" w:left="1803" w:header="851" w:footer="992" w:gutter="0"/>
          <w:pgBorders>
            <w:top w:val="none" w:sz="0" w:space="0"/>
            <w:left w:val="none" w:sz="0" w:space="0"/>
            <w:bottom w:val="none" w:sz="0" w:space="0"/>
            <w:right w:val="none" w:sz="0" w:space="0"/>
          </w:pgBorders>
          <w:cols w:space="0" w:num="1"/>
          <w:titlePg/>
        </w:sectPr>
      </w:pPr>
    </w:p>
    <w:p w14:paraId="2A762C80">
      <w:pPr>
        <w:spacing w:line="360" w:lineRule="auto"/>
        <w:jc w:val="left"/>
        <w:outlineLvl w:val="1"/>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2</w:t>
      </w:r>
      <w:r>
        <w:rPr>
          <w:rFonts w:hint="eastAsia" w:ascii="宋体" w:hAnsi="宋体" w:cs="宋体"/>
          <w:b/>
          <w:color w:val="auto"/>
          <w:spacing w:val="6"/>
          <w:sz w:val="32"/>
          <w:szCs w:val="32"/>
          <w:highlight w:val="none"/>
        </w:rPr>
        <w:t>：投诉书范本及制作说明</w:t>
      </w:r>
    </w:p>
    <w:p w14:paraId="34DAD2AF">
      <w:pPr>
        <w:spacing w:line="360" w:lineRule="auto"/>
        <w:jc w:val="center"/>
        <w:rPr>
          <w:rFonts w:ascii="宋体" w:hAnsi="宋体" w:cs="宋体"/>
          <w:b/>
          <w:color w:val="auto"/>
          <w:sz w:val="24"/>
          <w:highlight w:val="none"/>
        </w:rPr>
      </w:pPr>
    </w:p>
    <w:p w14:paraId="40E8228B">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0F26BCE5">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92B20CA">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p>
    <w:p w14:paraId="5C2B2EAC">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地址：邮编：</w:t>
      </w:r>
    </w:p>
    <w:p w14:paraId="35488F2C">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p>
    <w:p w14:paraId="021414E4">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p>
    <w:p w14:paraId="271B92B0">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授权代表：联系电话</w:t>
      </w:r>
      <w:r>
        <w:rPr>
          <w:rFonts w:hint="eastAsia" w:ascii="宋体" w:hAnsi="宋体" w:cs="宋体"/>
          <w:color w:val="auto"/>
          <w:sz w:val="24"/>
          <w:highlight w:val="none"/>
          <w:u w:val="dotted"/>
        </w:rPr>
        <w:t>：</w:t>
      </w:r>
    </w:p>
    <w:p w14:paraId="02E2F57C">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地址：邮编：</w:t>
      </w:r>
    </w:p>
    <w:p w14:paraId="7100500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p>
    <w:p w14:paraId="24480805">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地址：邮编：</w:t>
      </w:r>
    </w:p>
    <w:p w14:paraId="7AF48D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联系人：联系电话：</w:t>
      </w:r>
    </w:p>
    <w:p w14:paraId="2F571F2F">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3E9C6A73">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39FE5CFD">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p>
    <w:p w14:paraId="66C4E67C">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地址：邮编：</w:t>
      </w:r>
    </w:p>
    <w:p w14:paraId="1AC4F8FC">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联系人：联系电话：</w:t>
      </w:r>
    </w:p>
    <w:p w14:paraId="6EC5040E">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23CBEC1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p>
    <w:p w14:paraId="346AF23F">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采购项目编号：包号：</w:t>
      </w:r>
    </w:p>
    <w:p w14:paraId="398331F7">
      <w:pPr>
        <w:spacing w:line="360" w:lineRule="auto"/>
        <w:rPr>
          <w:rFonts w:ascii="宋体" w:hAnsi="宋体" w:cs="宋体"/>
          <w:color w:val="auto"/>
          <w:sz w:val="24"/>
          <w:highlight w:val="none"/>
        </w:rPr>
      </w:pPr>
      <w:r>
        <w:rPr>
          <w:rFonts w:hint="eastAsia" w:ascii="宋体" w:hAnsi="宋体" w:cs="宋体"/>
          <w:color w:val="auto"/>
          <w:sz w:val="24"/>
          <w:highlight w:val="none"/>
        </w:rPr>
        <w:t>征集人名称：</w:t>
      </w:r>
    </w:p>
    <w:p w14:paraId="05345C15">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p>
    <w:p w14:paraId="32642808">
      <w:pPr>
        <w:spacing w:line="360" w:lineRule="auto"/>
        <w:rPr>
          <w:rFonts w:ascii="宋体" w:hAnsi="宋体" w:cs="宋体"/>
          <w:color w:val="auto"/>
          <w:sz w:val="24"/>
          <w:highlight w:val="none"/>
          <w:u w:val="dotted"/>
        </w:rPr>
      </w:pPr>
      <w:r>
        <w:rPr>
          <w:rFonts w:hint="eastAsia" w:ascii="宋体" w:hAnsi="宋体" w:cs="宋体"/>
          <w:color w:val="auto"/>
          <w:sz w:val="24"/>
          <w:highlight w:val="none"/>
        </w:rPr>
        <w:t>征集文件公告:</w:t>
      </w:r>
      <w:r>
        <w:rPr>
          <w:rFonts w:hint="eastAsia" w:ascii="宋体" w:hAnsi="宋体" w:cs="宋体"/>
          <w:color w:val="auto"/>
          <w:sz w:val="24"/>
          <w:highlight w:val="none"/>
          <w:u w:val="dotted"/>
        </w:rPr>
        <w:t>是/否</w:t>
      </w:r>
      <w:r>
        <w:rPr>
          <w:rFonts w:hint="eastAsia" w:ascii="宋体" w:hAnsi="宋体" w:cs="宋体"/>
          <w:color w:val="auto"/>
          <w:sz w:val="24"/>
          <w:highlight w:val="none"/>
        </w:rPr>
        <w:t>公告期限：</w:t>
      </w:r>
    </w:p>
    <w:p w14:paraId="7DEFC99D">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是/否</w:t>
      </w:r>
      <w:r>
        <w:rPr>
          <w:rFonts w:hint="eastAsia" w:ascii="宋体" w:hAnsi="宋体" w:cs="宋体"/>
          <w:color w:val="auto"/>
          <w:sz w:val="24"/>
          <w:highlight w:val="none"/>
        </w:rPr>
        <w:t>公告期限：</w:t>
      </w:r>
    </w:p>
    <w:p w14:paraId="0573702D">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70286465">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投诉人于年月日,向提出质疑，质疑事项为：</w:t>
      </w:r>
    </w:p>
    <w:p w14:paraId="38158433">
      <w:pPr>
        <w:spacing w:line="360" w:lineRule="auto"/>
        <w:rPr>
          <w:rFonts w:ascii="宋体" w:hAnsi="宋体" w:cs="宋体"/>
          <w:color w:val="auto"/>
          <w:sz w:val="24"/>
          <w:highlight w:val="none"/>
          <w:u w:val="dotted"/>
        </w:rPr>
      </w:pPr>
    </w:p>
    <w:p w14:paraId="5D3B4C9E">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征集人/代理机构</w:t>
      </w:r>
      <w:r>
        <w:rPr>
          <w:rFonts w:hint="eastAsia" w:ascii="宋体" w:hAnsi="宋体" w:cs="宋体"/>
          <w:color w:val="auto"/>
          <w:sz w:val="24"/>
          <w:highlight w:val="none"/>
        </w:rPr>
        <w:t>于年月日,就质疑事项作出了答复/没有在法定期限内作出答复。</w:t>
      </w:r>
    </w:p>
    <w:p w14:paraId="0AE7C1DC">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68F9244B">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p>
    <w:p w14:paraId="5B6B5D56">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p>
    <w:p w14:paraId="3ABDE5D2">
      <w:pPr>
        <w:spacing w:line="360" w:lineRule="auto"/>
        <w:rPr>
          <w:rFonts w:ascii="宋体" w:hAnsi="宋体" w:cs="宋体"/>
          <w:color w:val="auto"/>
          <w:sz w:val="24"/>
          <w:highlight w:val="none"/>
          <w:u w:val="dotted"/>
        </w:rPr>
      </w:pPr>
    </w:p>
    <w:p w14:paraId="14AEE4CA">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p>
    <w:p w14:paraId="751A5232">
      <w:pPr>
        <w:spacing w:line="360" w:lineRule="auto"/>
        <w:rPr>
          <w:rFonts w:ascii="宋体" w:hAnsi="宋体" w:cs="宋体"/>
          <w:color w:val="auto"/>
          <w:sz w:val="24"/>
          <w:highlight w:val="none"/>
          <w:u w:val="dotted"/>
        </w:rPr>
      </w:pPr>
    </w:p>
    <w:p w14:paraId="6A782A6A">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0662F55F">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A0697B0">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283B5255">
      <w:pPr>
        <w:spacing w:line="360" w:lineRule="auto"/>
        <w:rPr>
          <w:rFonts w:ascii="宋体" w:hAnsi="宋体" w:cs="宋体"/>
          <w:color w:val="auto"/>
          <w:sz w:val="24"/>
          <w:highlight w:val="none"/>
        </w:rPr>
      </w:pPr>
      <w:r>
        <w:rPr>
          <w:rFonts w:hint="eastAsia" w:ascii="宋体" w:hAnsi="宋体" w:cs="宋体"/>
          <w:color w:val="auto"/>
          <w:sz w:val="24"/>
          <w:highlight w:val="none"/>
        </w:rPr>
        <w:t>请求：</w:t>
      </w:r>
    </w:p>
    <w:p w14:paraId="28D7974D">
      <w:pPr>
        <w:spacing w:line="360" w:lineRule="auto"/>
        <w:rPr>
          <w:rFonts w:ascii="宋体" w:hAnsi="宋体" w:cs="宋体"/>
          <w:color w:val="auto"/>
          <w:sz w:val="24"/>
          <w:highlight w:val="none"/>
          <w:u w:val="single"/>
        </w:rPr>
      </w:pPr>
    </w:p>
    <w:p w14:paraId="62E6CDE6">
      <w:pPr>
        <w:spacing w:line="360" w:lineRule="auto"/>
        <w:rPr>
          <w:rFonts w:ascii="宋体" w:hAnsi="宋体" w:cs="宋体"/>
          <w:color w:val="auto"/>
          <w:sz w:val="24"/>
          <w:highlight w:val="none"/>
        </w:rPr>
      </w:pPr>
      <w:r>
        <w:rPr>
          <w:rFonts w:hint="eastAsia" w:ascii="宋体" w:hAnsi="宋体" w:cs="宋体"/>
          <w:color w:val="auto"/>
          <w:sz w:val="24"/>
          <w:highlight w:val="none"/>
        </w:rPr>
        <w:t>签字(签章)：公章：</w:t>
      </w:r>
    </w:p>
    <w:p w14:paraId="4DD4A461">
      <w:pPr>
        <w:spacing w:line="360" w:lineRule="auto"/>
        <w:rPr>
          <w:rFonts w:ascii="宋体" w:hAnsi="宋体" w:cs="宋体"/>
          <w:color w:val="auto"/>
          <w:sz w:val="24"/>
          <w:highlight w:val="none"/>
        </w:rPr>
      </w:pPr>
      <w:r>
        <w:rPr>
          <w:rFonts w:hint="eastAsia" w:ascii="宋体" w:hAnsi="宋体" w:cs="宋体"/>
          <w:color w:val="auto"/>
          <w:sz w:val="24"/>
          <w:highlight w:val="none"/>
        </w:rPr>
        <w:t>日期：</w:t>
      </w:r>
    </w:p>
    <w:p w14:paraId="37D3106D">
      <w:pPr>
        <w:spacing w:line="360" w:lineRule="auto"/>
        <w:rPr>
          <w:rFonts w:ascii="宋体" w:hAnsi="宋体" w:cs="宋体"/>
          <w:b/>
          <w:color w:val="auto"/>
          <w:sz w:val="24"/>
          <w:highlight w:val="none"/>
        </w:rPr>
      </w:pPr>
    </w:p>
    <w:p w14:paraId="1627731F">
      <w:pPr>
        <w:spacing w:line="360" w:lineRule="auto"/>
        <w:rPr>
          <w:rFonts w:ascii="宋体" w:hAnsi="宋体" w:cs="宋体"/>
          <w:b/>
          <w:color w:val="auto"/>
          <w:sz w:val="24"/>
          <w:highlight w:val="none"/>
        </w:rPr>
      </w:pPr>
    </w:p>
    <w:p w14:paraId="0EF3E152">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7D1AE7C7">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604E261E">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0C047EC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60EA49D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13711D0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98254D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23F3B3BD">
      <w:pPr>
        <w:spacing w:line="360" w:lineRule="auto"/>
        <w:ind w:right="420" w:firstLine="720" w:firstLineChars="300"/>
        <w:rPr>
          <w:rFonts w:ascii="宋体" w:hAnsi="宋体" w:cs="宋体"/>
          <w:color w:val="auto"/>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sectPr>
      <w:pgSz w:w="11906" w:h="16838"/>
      <w:pgMar w:top="1440" w:right="1803" w:bottom="1440" w:left="1803" w:header="851" w:footer="992" w:gutter="0"/>
      <w:pgBorders>
        <w:top w:val="none" w:sz="0" w:space="0"/>
        <w:left w:val="none" w:sz="0" w:space="0"/>
        <w:bottom w:val="none" w:sz="0" w:space="0"/>
        <w:right w:val="none" w:sz="0" w:space="0"/>
      </w:pgBorders>
      <w:cols w:space="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decorative"/>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华文中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Futura Bk">
    <w:altName w:val="Segoe Print"/>
    <w:panose1 w:val="00000000000000000000"/>
    <w:charset w:val="00"/>
    <w:family w:val="decorative"/>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Narrow">
    <w:panose1 w:val="020B0606020202030204"/>
    <w:charset w:val="00"/>
    <w:family w:val="swiss"/>
    <w:pitch w:val="default"/>
    <w:sig w:usb0="00000287" w:usb1="00000800" w:usb2="00000000" w:usb3="00000000" w:csb0="2000009F" w:csb1="DFD70000"/>
  </w:font>
  <w:font w:name="Aldine401 BT">
    <w:altName w:val="Segoe Print"/>
    <w:panose1 w:val="00000000000000000000"/>
    <w:charset w:val="00"/>
    <w:family w:val="moder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Cumberland">
    <w:altName w:val="Noto Serif SC"/>
    <w:panose1 w:val="00000000000000000000"/>
    <w:charset w:val="00"/>
    <w:family w:val="swiss"/>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方正宋体">
    <w:altName w:val="宋体"/>
    <w:panose1 w:val="00000000000000000000"/>
    <w:charset w:val="00"/>
    <w:family w:val="auto"/>
    <w:pitch w:val="default"/>
    <w:sig w:usb0="00000000" w:usb1="00000000" w:usb2="00000000" w:usb3="00000000" w:csb0="00040001" w:csb1="00000000"/>
  </w:font>
  <w:font w:name="Arial (W1)">
    <w:altName w:val="Times New Roman"/>
    <w:panose1 w:val="00000000000000000000"/>
    <w:charset w:val="00"/>
    <w:family w:val="decorative"/>
    <w:pitch w:val="default"/>
    <w:sig w:usb0="00000000" w:usb1="00000000" w:usb2="00000008" w:usb3="00000000" w:csb0="000001FF" w:csb1="00000000"/>
  </w:font>
  <w:font w:name="Futura Hv">
    <w:altName w:val="Segoe Print"/>
    <w:panose1 w:val="00000000000000000000"/>
    <w:charset w:val="00"/>
    <w:family w:val="decorative"/>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HLHE E+ Futura Bk">
    <w:altName w:val="宋体"/>
    <w:panose1 w:val="00000000000000000000"/>
    <w:charset w:val="86"/>
    <w:family w:val="decorative"/>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1" w:csb1="00000000"/>
  </w:font>
  <w:font w:name="Wingdings 2">
    <w:panose1 w:val="05020102010507070707"/>
    <w:charset w:val="00"/>
    <w:family w:val="auto"/>
    <w:pitch w:val="default"/>
    <w:sig w:usb0="00000000" w:usb1="00000000" w:usb2="00000000" w:usb3="00000000" w:csb0="8000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CD236">
    <w:pPr>
      <w:pStyle w:val="3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14:paraId="668B189F">
    <w:pPr>
      <w:pStyle w:val="3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3CA86">
    <w:pPr>
      <w:pStyle w:val="34"/>
      <w:jc w:val="center"/>
      <w:rPr>
        <w:rFonts w:asciiTheme="minorEastAsia" w:hAnsiTheme="minorEastAsia" w:eastAsiaTheme="minorEastAsia"/>
        <w:szCs w:val="24"/>
      </w:rPr>
    </w:pPr>
    <w:r>
      <w:rPr>
        <w:rFonts w:hint="eastAsia" w:asciiTheme="minorEastAsia" w:hAnsiTheme="minorEastAsia" w:eastAsiaTheme="minorEastAsia"/>
        <w:kern w:val="0"/>
        <w:szCs w:val="21"/>
      </w:rPr>
      <w:t xml:space="preserve">第 </w:t>
    </w:r>
    <w:r>
      <w:rPr>
        <w:rFonts w:hint="eastAsia" w:asciiTheme="minorEastAsia" w:hAnsiTheme="minorEastAsia" w:eastAsiaTheme="minorEastAsia"/>
        <w:kern w:val="0"/>
        <w:szCs w:val="21"/>
      </w:rPr>
      <w:fldChar w:fldCharType="begin"/>
    </w:r>
    <w:r>
      <w:rPr>
        <w:rFonts w:hint="eastAsia" w:asciiTheme="minorEastAsia" w:hAnsiTheme="minorEastAsia" w:eastAsiaTheme="minorEastAsia"/>
        <w:kern w:val="0"/>
        <w:szCs w:val="21"/>
      </w:rPr>
      <w:instrText xml:space="preserve"> PAGE </w:instrText>
    </w:r>
    <w:r>
      <w:rPr>
        <w:rFonts w:hint="eastAsia" w:asciiTheme="minorEastAsia" w:hAnsiTheme="minorEastAsia" w:eastAsiaTheme="minorEastAsia"/>
        <w:kern w:val="0"/>
        <w:szCs w:val="21"/>
      </w:rPr>
      <w:fldChar w:fldCharType="separate"/>
    </w:r>
    <w:r>
      <w:rPr>
        <w:rFonts w:asciiTheme="minorEastAsia" w:hAnsiTheme="minorEastAsia" w:eastAsiaTheme="minorEastAsia"/>
        <w:kern w:val="0"/>
        <w:szCs w:val="21"/>
      </w:rPr>
      <w:t>2</w:t>
    </w:r>
    <w:r>
      <w:rPr>
        <w:rFonts w:hint="eastAsia" w:asciiTheme="minorEastAsia" w:hAnsiTheme="minorEastAsia" w:eastAsiaTheme="minorEastAsia"/>
        <w:kern w:val="0"/>
        <w:szCs w:val="21"/>
      </w:rPr>
      <w:fldChar w:fldCharType="end"/>
    </w:r>
    <w:r>
      <w:rPr>
        <w:rFonts w:hint="eastAsia" w:asciiTheme="minorEastAsia" w:hAnsiTheme="minorEastAsia" w:eastAsiaTheme="minorEastAsia"/>
        <w:kern w:val="0"/>
        <w:szCs w:val="21"/>
      </w:rPr>
      <w:t xml:space="preserve"> 页 共 </w:t>
    </w:r>
    <w:r>
      <w:rPr>
        <w:rFonts w:hint="eastAsia" w:asciiTheme="minorEastAsia" w:hAnsiTheme="minorEastAsia" w:eastAsiaTheme="minorEastAsia"/>
        <w:kern w:val="0"/>
        <w:szCs w:val="21"/>
      </w:rPr>
      <w:fldChar w:fldCharType="begin"/>
    </w:r>
    <w:r>
      <w:rPr>
        <w:rFonts w:hint="eastAsia" w:asciiTheme="minorEastAsia" w:hAnsiTheme="minorEastAsia" w:eastAsiaTheme="minorEastAsia"/>
        <w:kern w:val="0"/>
        <w:szCs w:val="21"/>
      </w:rPr>
      <w:instrText xml:space="preserve"> NUMPAGES </w:instrText>
    </w:r>
    <w:r>
      <w:rPr>
        <w:rFonts w:hint="eastAsia" w:asciiTheme="minorEastAsia" w:hAnsiTheme="minorEastAsia" w:eastAsiaTheme="minorEastAsia"/>
        <w:kern w:val="0"/>
        <w:szCs w:val="21"/>
      </w:rPr>
      <w:fldChar w:fldCharType="separate"/>
    </w:r>
    <w:r>
      <w:rPr>
        <w:rFonts w:asciiTheme="minorEastAsia" w:hAnsiTheme="minorEastAsia" w:eastAsiaTheme="minorEastAsia"/>
        <w:kern w:val="0"/>
        <w:szCs w:val="21"/>
      </w:rPr>
      <w:t>8</w:t>
    </w:r>
    <w:r>
      <w:rPr>
        <w:rFonts w:hint="eastAsia" w:asciiTheme="minorEastAsia" w:hAnsiTheme="minorEastAsia" w:eastAsiaTheme="minorEastAsia"/>
        <w:kern w:val="0"/>
        <w:szCs w:val="21"/>
      </w:rPr>
      <w:fldChar w:fldCharType="end"/>
    </w:r>
    <w:r>
      <w:rPr>
        <w:rFonts w:hint="eastAsia" w:asciiTheme="minorEastAsia" w:hAnsiTheme="minorEastAsia" w:eastAsiaTheme="minorEastAsia"/>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BD0C0">
    <w:pPr>
      <w:pStyle w:val="34"/>
      <w:jc w:val="center"/>
      <w:rPr>
        <w:rFonts w:asciiTheme="minorEastAsia" w:hAnsiTheme="minorEastAsia" w:eastAsiaTheme="minorEastAsia"/>
      </w:rPr>
    </w:pPr>
    <w:r>
      <w:rPr>
        <w:rFonts w:hint="eastAsia" w:asciiTheme="minorEastAsia" w:hAnsiTheme="minorEastAsia" w:eastAsiaTheme="minorEastAsia"/>
        <w:kern w:val="0"/>
      </w:rPr>
      <w:t xml:space="preserve">第 </w:t>
    </w:r>
    <w:r>
      <w:rPr>
        <w:rFonts w:hint="eastAsia" w:asciiTheme="minorEastAsia" w:hAnsiTheme="minorEastAsia" w:eastAsiaTheme="minorEastAsia"/>
        <w:kern w:val="0"/>
      </w:rPr>
      <w:fldChar w:fldCharType="begin"/>
    </w:r>
    <w:r>
      <w:rPr>
        <w:rFonts w:hint="eastAsia" w:asciiTheme="minorEastAsia" w:hAnsiTheme="minorEastAsia" w:eastAsiaTheme="minorEastAsia"/>
        <w:kern w:val="0"/>
      </w:rPr>
      <w:instrText xml:space="preserve"> PAGE </w:instrText>
    </w:r>
    <w:r>
      <w:rPr>
        <w:rFonts w:hint="eastAsia" w:asciiTheme="minorEastAsia" w:hAnsiTheme="minorEastAsia" w:eastAsiaTheme="minorEastAsia"/>
        <w:kern w:val="0"/>
      </w:rPr>
      <w:fldChar w:fldCharType="separate"/>
    </w:r>
    <w:r>
      <w:rPr>
        <w:rFonts w:asciiTheme="minorEastAsia" w:hAnsiTheme="minorEastAsia" w:eastAsiaTheme="minorEastAsia"/>
        <w:kern w:val="0"/>
      </w:rPr>
      <w:t>1</w:t>
    </w:r>
    <w:r>
      <w:rPr>
        <w:rFonts w:hint="eastAsia" w:asciiTheme="minorEastAsia" w:hAnsiTheme="minorEastAsia" w:eastAsiaTheme="minorEastAsia"/>
        <w:kern w:val="0"/>
      </w:rPr>
      <w:fldChar w:fldCharType="end"/>
    </w:r>
    <w:r>
      <w:rPr>
        <w:rFonts w:hint="eastAsia" w:asciiTheme="minorEastAsia" w:hAnsiTheme="minorEastAsia" w:eastAsiaTheme="minorEastAsia"/>
        <w:kern w:val="0"/>
      </w:rPr>
      <w:t xml:space="preserve"> 页 共 </w:t>
    </w:r>
    <w:r>
      <w:rPr>
        <w:rFonts w:hint="eastAsia" w:asciiTheme="minorEastAsia" w:hAnsiTheme="minorEastAsia" w:eastAsiaTheme="minorEastAsia"/>
        <w:kern w:val="0"/>
      </w:rPr>
      <w:fldChar w:fldCharType="begin"/>
    </w:r>
    <w:r>
      <w:rPr>
        <w:rFonts w:hint="eastAsia" w:asciiTheme="minorEastAsia" w:hAnsiTheme="minorEastAsia" w:eastAsiaTheme="minorEastAsia"/>
        <w:kern w:val="0"/>
      </w:rPr>
      <w:instrText xml:space="preserve"> NUMPAGES </w:instrText>
    </w:r>
    <w:r>
      <w:rPr>
        <w:rFonts w:hint="eastAsia" w:asciiTheme="minorEastAsia" w:hAnsiTheme="minorEastAsia" w:eastAsiaTheme="minorEastAsia"/>
        <w:kern w:val="0"/>
      </w:rPr>
      <w:fldChar w:fldCharType="separate"/>
    </w:r>
    <w:r>
      <w:rPr>
        <w:rFonts w:asciiTheme="minorEastAsia" w:hAnsiTheme="minorEastAsia" w:eastAsiaTheme="minorEastAsia"/>
        <w:kern w:val="0"/>
      </w:rPr>
      <w:t>8</w:t>
    </w:r>
    <w:r>
      <w:rPr>
        <w:rFonts w:hint="eastAsia" w:asciiTheme="minorEastAsia" w:hAnsiTheme="minorEastAsia" w:eastAsiaTheme="minorEastAsia"/>
        <w:kern w:val="0"/>
      </w:rPr>
      <w:fldChar w:fldCharType="end"/>
    </w:r>
    <w:r>
      <w:rPr>
        <w:rFonts w:hint="eastAsia" w:asciiTheme="minorEastAsia" w:hAnsiTheme="minorEastAsia" w:eastAsiaTheme="minorEastAsia"/>
        <w:kern w:val="0"/>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6DE9C">
    <w:pPr>
      <w:pStyle w:val="34"/>
      <w:jc w:val="center"/>
      <w:rPr>
        <w:rFonts w:ascii="仿宋_GB2312" w:eastAsia="仿宋_GB2312"/>
      </w:rPr>
    </w:pPr>
    <w:r>
      <w:rPr>
        <w:rFonts w:ascii="Calibri" w:hAnsi="Calibri" w:cs="Calibri"/>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矩形 1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7851A62">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XW5UtAAAAAFAQAADwAAAAAAAAABACAAAAAiAAAAZHJzL2Rvd25yZXYueG1sUEsBAhQA&#10;FAAAAAgAh07iQOlyN2rBAQAAjgMAAA4AAAAAAAAAAQAgAAAAHwEAAGRycy9lMm9Eb2MueG1sUEsF&#10;BgAAAAAGAAYAWQEAAFIFAAAAAA==&#10;">
              <v:fill on="f" focussize="0,0"/>
              <v:stroke on="f"/>
              <v:imagedata o:title=""/>
              <o:lock v:ext="edit" aspectratio="f"/>
              <v:textbox inset="0mm,0mm,0mm,0mm" style="mso-fit-shape-to-text:t;">
                <w:txbxContent>
                  <w:p w14:paraId="77851A62">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v:textbox>
            </v:rect>
          </w:pict>
        </mc:Fallback>
      </mc:AlternateContent>
    </w:r>
  </w:p>
  <w:p w14:paraId="7B4A33A8">
    <w:pPr>
      <w:pStyle w:val="26"/>
      <w:ind w:left="0" w:leftChars="0" w:right="-512" w:firstLine="141" w:firstLineChars="4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0DB29">
    <w:pPr>
      <w:pStyle w:val="34"/>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0462B">
                          <w:pPr>
                            <w:pStyle w:val="3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B0462B">
                    <w:pPr>
                      <w:pStyle w:val="3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9E208">
    <w:pPr>
      <w:pStyle w:val="34"/>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F47E2">
                          <w:pPr>
                            <w:pStyle w:val="3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D3F47E2">
                    <w:pPr>
                      <w:pStyle w:val="3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4B3F0E">
    <w:pPr>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5C348">
    <w:pPr>
      <w:pStyle w:val="34"/>
      <w:jc w:val="center"/>
      <w:rPr>
        <w:rFonts w:ascii="仿宋_GB2312" w:eastAsia="仿宋_GB2312"/>
      </w:rPr>
    </w:pPr>
  </w:p>
  <w:p w14:paraId="3D4DEDEE">
    <w:pPr>
      <w:rPr>
        <w:rFonts w:ascii="仿宋_GB2312" w:eastAsia="仿宋_GB23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B69D6">
    <w:pPr>
      <w:pStyle w:val="34"/>
      <w:jc w:val="center"/>
      <w:rPr>
        <w:rFonts w:ascii="仿宋_GB2312" w:eastAsia="仿宋_GB2312"/>
      </w:rPr>
    </w:pPr>
  </w:p>
  <w:p w14:paraId="5039A352">
    <w:pPr>
      <w:rPr>
        <w:rFonts w:ascii="仿宋_GB2312" w:eastAsia="仿宋_GB231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BC5BC">
    <w:pPr>
      <w:pStyle w:val="34"/>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A9E17">
                          <w:pPr>
                            <w:pStyle w:val="3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E1A9E17">
                    <w:pPr>
                      <w:pStyle w:val="3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15CEEF4">
    <w:pPr>
      <w:rPr>
        <w:rFonts w:ascii="仿宋_GB2312" w:eastAsia="仿宋_GB231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450D0">
    <w:pPr>
      <w:pStyle w:val="34"/>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E24FA">
                          <w:pPr>
                            <w:pStyle w:val="3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AFE24FA">
                    <w:pPr>
                      <w:pStyle w:val="34"/>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0111228">
    <w:pPr>
      <w:rPr>
        <w:rFonts w:ascii="仿宋_GB2312" w:eastAsia="仿宋_GB231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EB903">
    <w:pPr>
      <w:pStyle w:val="34"/>
      <w:jc w:val="center"/>
      <w:rPr>
        <w:rFonts w:ascii="仿宋" w:hAnsi="仿宋" w:eastAsia="仿宋" w:cs="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A0649">
                          <w:pPr>
                            <w:pStyle w:val="34"/>
                            <w:jc w:val="center"/>
                          </w:pPr>
                          <w:r>
                            <w:rPr>
                              <w:rFonts w:ascii="仿宋" w:hAnsi="仿宋" w:eastAsia="仿宋" w:cs="仿宋_GB2312"/>
                              <w:kern w:val="0"/>
                            </w:rPr>
                            <w:t>第</w:t>
                          </w:r>
                          <w:r>
                            <w:rPr>
                              <w:rFonts w:ascii="仿宋" w:hAnsi="仿宋" w:eastAsia="仿宋" w:cs="仿宋_GB2312"/>
                              <w:kern w:val="0"/>
                            </w:rPr>
                            <w:fldChar w:fldCharType="begin"/>
                          </w:r>
                          <w:r>
                            <w:rPr>
                              <w:rFonts w:ascii="仿宋" w:hAnsi="仿宋" w:eastAsia="仿宋" w:cs="仿宋_GB2312"/>
                              <w:kern w:val="0"/>
                            </w:rPr>
                            <w:instrText xml:space="preserve"> PAGE \* Arabic </w:instrText>
                          </w:r>
                          <w:r>
                            <w:rPr>
                              <w:rFonts w:ascii="仿宋" w:hAnsi="仿宋" w:eastAsia="仿宋" w:cs="仿宋_GB2312"/>
                              <w:kern w:val="0"/>
                            </w:rPr>
                            <w:fldChar w:fldCharType="separate"/>
                          </w:r>
                          <w:r>
                            <w:rPr>
                              <w:rFonts w:ascii="仿宋" w:hAnsi="仿宋" w:eastAsia="仿宋" w:cs="仿宋_GB2312"/>
                              <w:kern w:val="0"/>
                            </w:rPr>
                            <w:t>95</w:t>
                          </w:r>
                          <w:r>
                            <w:rPr>
                              <w:rFonts w:ascii="仿宋" w:hAnsi="仿宋" w:eastAsia="仿宋" w:cs="仿宋_GB2312"/>
                              <w:kern w:val="0"/>
                            </w:rPr>
                            <w:fldChar w:fldCharType="end"/>
                          </w:r>
                          <w:r>
                            <w:rPr>
                              <w:rFonts w:ascii="仿宋" w:hAnsi="仿宋" w:eastAsia="仿宋" w:cs="仿宋_GB2312"/>
                              <w:kern w:val="0"/>
                            </w:rPr>
                            <w:t>页共</w:t>
                          </w:r>
                          <w:r>
                            <w:rPr>
                              <w:rFonts w:ascii="仿宋" w:hAnsi="仿宋" w:eastAsia="仿宋" w:cs="仿宋_GB2312"/>
                              <w:kern w:val="0"/>
                            </w:rPr>
                            <w:fldChar w:fldCharType="begin"/>
                          </w:r>
                          <w:r>
                            <w:rPr>
                              <w:rFonts w:ascii="仿宋" w:hAnsi="仿宋" w:eastAsia="仿宋" w:cs="仿宋_GB2312"/>
                              <w:kern w:val="0"/>
                            </w:rPr>
                            <w:instrText xml:space="preserve"> NUMPAGES \* Arabic </w:instrText>
                          </w:r>
                          <w:r>
                            <w:rPr>
                              <w:rFonts w:ascii="仿宋" w:hAnsi="仿宋" w:eastAsia="仿宋" w:cs="仿宋_GB2312"/>
                              <w:kern w:val="0"/>
                            </w:rPr>
                            <w:fldChar w:fldCharType="separate"/>
                          </w:r>
                          <w:r>
                            <w:rPr>
                              <w:rFonts w:ascii="仿宋" w:hAnsi="仿宋" w:eastAsia="仿宋" w:cs="仿宋_GB2312"/>
                              <w:kern w:val="0"/>
                            </w:rPr>
                            <w:t>95</w:t>
                          </w:r>
                          <w:r>
                            <w:rPr>
                              <w:rFonts w:ascii="仿宋" w:hAnsi="仿宋" w:eastAsia="仿宋" w:cs="仿宋_GB2312"/>
                              <w:kern w:val="0"/>
                            </w:rPr>
                            <w:fldChar w:fldCharType="end"/>
                          </w:r>
                          <w:r>
                            <w:rPr>
                              <w:rFonts w:ascii="仿宋" w:hAnsi="仿宋" w:eastAsia="仿宋" w:cs="仿宋_GB2312"/>
                              <w:kern w:val="0"/>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A6A0649">
                    <w:pPr>
                      <w:pStyle w:val="34"/>
                      <w:jc w:val="center"/>
                    </w:pPr>
                    <w:r>
                      <w:rPr>
                        <w:rFonts w:ascii="仿宋" w:hAnsi="仿宋" w:eastAsia="仿宋" w:cs="仿宋_GB2312"/>
                        <w:kern w:val="0"/>
                      </w:rPr>
                      <w:t>第</w:t>
                    </w:r>
                    <w:r>
                      <w:rPr>
                        <w:rFonts w:ascii="仿宋" w:hAnsi="仿宋" w:eastAsia="仿宋" w:cs="仿宋_GB2312"/>
                        <w:kern w:val="0"/>
                      </w:rPr>
                      <w:fldChar w:fldCharType="begin"/>
                    </w:r>
                    <w:r>
                      <w:rPr>
                        <w:rFonts w:ascii="仿宋" w:hAnsi="仿宋" w:eastAsia="仿宋" w:cs="仿宋_GB2312"/>
                        <w:kern w:val="0"/>
                      </w:rPr>
                      <w:instrText xml:space="preserve"> PAGE \* Arabic </w:instrText>
                    </w:r>
                    <w:r>
                      <w:rPr>
                        <w:rFonts w:ascii="仿宋" w:hAnsi="仿宋" w:eastAsia="仿宋" w:cs="仿宋_GB2312"/>
                        <w:kern w:val="0"/>
                      </w:rPr>
                      <w:fldChar w:fldCharType="separate"/>
                    </w:r>
                    <w:r>
                      <w:rPr>
                        <w:rFonts w:ascii="仿宋" w:hAnsi="仿宋" w:eastAsia="仿宋" w:cs="仿宋_GB2312"/>
                        <w:kern w:val="0"/>
                      </w:rPr>
                      <w:t>95</w:t>
                    </w:r>
                    <w:r>
                      <w:rPr>
                        <w:rFonts w:ascii="仿宋" w:hAnsi="仿宋" w:eastAsia="仿宋" w:cs="仿宋_GB2312"/>
                        <w:kern w:val="0"/>
                      </w:rPr>
                      <w:fldChar w:fldCharType="end"/>
                    </w:r>
                    <w:r>
                      <w:rPr>
                        <w:rFonts w:ascii="仿宋" w:hAnsi="仿宋" w:eastAsia="仿宋" w:cs="仿宋_GB2312"/>
                        <w:kern w:val="0"/>
                      </w:rPr>
                      <w:t>页共</w:t>
                    </w:r>
                    <w:r>
                      <w:rPr>
                        <w:rFonts w:ascii="仿宋" w:hAnsi="仿宋" w:eastAsia="仿宋" w:cs="仿宋_GB2312"/>
                        <w:kern w:val="0"/>
                      </w:rPr>
                      <w:fldChar w:fldCharType="begin"/>
                    </w:r>
                    <w:r>
                      <w:rPr>
                        <w:rFonts w:ascii="仿宋" w:hAnsi="仿宋" w:eastAsia="仿宋" w:cs="仿宋_GB2312"/>
                        <w:kern w:val="0"/>
                      </w:rPr>
                      <w:instrText xml:space="preserve"> NUMPAGES \* Arabic </w:instrText>
                    </w:r>
                    <w:r>
                      <w:rPr>
                        <w:rFonts w:ascii="仿宋" w:hAnsi="仿宋" w:eastAsia="仿宋" w:cs="仿宋_GB2312"/>
                        <w:kern w:val="0"/>
                      </w:rPr>
                      <w:fldChar w:fldCharType="separate"/>
                    </w:r>
                    <w:r>
                      <w:rPr>
                        <w:rFonts w:ascii="仿宋" w:hAnsi="仿宋" w:eastAsia="仿宋" w:cs="仿宋_GB2312"/>
                        <w:kern w:val="0"/>
                      </w:rPr>
                      <w:t>95</w:t>
                    </w:r>
                    <w:r>
                      <w:rPr>
                        <w:rFonts w:ascii="仿宋" w:hAnsi="仿宋" w:eastAsia="仿宋" w:cs="仿宋_GB2312"/>
                        <w:kern w:val="0"/>
                      </w:rPr>
                      <w:fldChar w:fldCharType="end"/>
                    </w:r>
                    <w:r>
                      <w:rPr>
                        <w:rFonts w:ascii="仿宋" w:hAnsi="仿宋" w:eastAsia="仿宋" w:cs="仿宋_GB2312"/>
                        <w:kern w:val="0"/>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5A134">
    <w:pPr>
      <w:pStyle w:val="34"/>
      <w:framePr w:wrap="around" w:vAnchor="text" w:hAnchor="margin" w:xAlign="right" w:y="1"/>
      <w:rPr>
        <w:rStyle w:val="55"/>
      </w:rPr>
    </w:pPr>
    <w:r>
      <w:fldChar w:fldCharType="begin"/>
    </w:r>
    <w:r>
      <w:rPr>
        <w:rStyle w:val="55"/>
      </w:rPr>
      <w:instrText xml:space="preserve">PAGE  </w:instrText>
    </w:r>
    <w:r>
      <w:fldChar w:fldCharType="end"/>
    </w:r>
  </w:p>
  <w:p w14:paraId="2F3B8346">
    <w:pPr>
      <w:pStyle w:val="34"/>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02E9">
    <w:pPr>
      <w:pStyle w:val="34"/>
      <w:jc w:val="center"/>
      <w:rPr>
        <w:rFonts w:ascii="仿宋_GB2312" w:hAnsi="仿宋_GB2312" w:eastAsia="仿宋_GB2312" w:cs="仿宋_GB2312"/>
      </w:rPr>
    </w:pPr>
    <w:r>
      <w:rPr>
        <w:rFonts w:ascii="仿宋_GB2312" w:hAnsi="仿宋_GB2312" w:eastAsia="仿宋_GB2312" w:cs="仿宋_GB2312"/>
        <w:kern w:val="0"/>
      </w:rPr>
      <w:t>第</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PAGE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87</w:t>
    </w:r>
    <w:r>
      <w:rPr>
        <w:rFonts w:ascii="仿宋_GB2312" w:hAnsi="仿宋_GB2312" w:eastAsia="仿宋_GB2312" w:cs="仿宋_GB2312"/>
        <w:kern w:val="0"/>
      </w:rPr>
      <w:fldChar w:fldCharType="end"/>
    </w:r>
    <w:r>
      <w:rPr>
        <w:rFonts w:ascii="仿宋_GB2312" w:hAnsi="仿宋_GB2312" w:eastAsia="仿宋_GB2312" w:cs="仿宋_GB2312"/>
        <w:kern w:val="0"/>
      </w:rPr>
      <w:t>页共</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NUMPAGES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87</w:t>
    </w:r>
    <w:r>
      <w:rPr>
        <w:rFonts w:ascii="仿宋_GB2312" w:hAnsi="仿宋_GB2312" w:eastAsia="仿宋_GB2312" w:cs="仿宋_GB2312"/>
        <w:kern w:val="0"/>
      </w:rPr>
      <w:fldChar w:fldCharType="end"/>
    </w:r>
    <w:r>
      <w:rPr>
        <w:rFonts w:ascii="仿宋_GB2312" w:hAnsi="仿宋_GB2312" w:eastAsia="仿宋_GB2312" w:cs="仿宋_GB2312"/>
        <w:kern w:val="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0DA6A">
    <w:pPr>
      <w:pStyle w:val="34"/>
      <w:jc w:val="center"/>
      <w:rPr>
        <w:rFonts w:ascii="仿宋_GB2312" w:eastAsia="仿宋_GB2312"/>
      </w:rPr>
    </w:pPr>
    <w:r>
      <w:rPr>
        <w:rFonts w:ascii="Calibri" w:hAnsi="Calibri" w:cs="Calibri"/>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矩形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3579BCF7">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4cAW9vwEAAIwDAAAOAAAAAAAAAAEAIAAAAB8BAABkcnMvZTJvRG9jLnhtbFBLBQYA&#10;AAAABgAGAFkBAABQBQAAAAA=&#10;">
              <v:fill on="f" focussize="0,0"/>
              <v:stroke on="f"/>
              <v:imagedata o:title=""/>
              <o:lock v:ext="edit" aspectratio="f"/>
              <v:textbox inset="0mm,0mm,0mm,0mm" style="mso-fit-shape-to-text:t;">
                <w:txbxContent>
                  <w:p w14:paraId="3579BCF7">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v:textbox>
            </v:rect>
          </w:pict>
        </mc:Fallback>
      </mc:AlternateContent>
    </w:r>
  </w:p>
  <w:p w14:paraId="03A707A3">
    <w:pPr>
      <w:pStyle w:val="26"/>
      <w:ind w:left="0" w:leftChars="0" w:right="-512" w:firstLine="141" w:firstLineChars="4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84DD9">
    <w:pPr>
      <w:pStyle w:val="34"/>
      <w:jc w:val="center"/>
      <w:rPr>
        <w:rFonts w:ascii="仿宋_GB2312" w:eastAsia="仿宋_GB2312"/>
      </w:rPr>
    </w:pPr>
    <w:r>
      <w:rPr>
        <w:rFonts w:ascii="Calibri" w:hAnsi="Calibri" w:cs="Calibri"/>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矩形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69445978">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HX3XP7EAQAAmgMAAA4AAAAAAAAAAQAgAAAAHwEAAGRycy9lMm9Eb2MueG1s&#10;UEsFBgAAAAAGAAYAWQEAAFUFAAAAAA==&#10;">
              <v:fill on="f" focussize="0,0"/>
              <v:stroke on="f"/>
              <v:imagedata o:title=""/>
              <o:lock v:ext="edit" aspectratio="f"/>
              <v:textbox inset="0mm,0mm,0mm,0mm" style="mso-fit-shape-to-text:t;">
                <w:txbxContent>
                  <w:p w14:paraId="69445978">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v:textbox>
            </v:rect>
          </w:pict>
        </mc:Fallback>
      </mc:AlternateContent>
    </w:r>
  </w:p>
  <w:p w14:paraId="25A77532">
    <w:pPr>
      <w:pStyle w:val="26"/>
      <w:ind w:left="0" w:leftChars="0" w:right="-512" w:firstLine="141" w:firstLineChars="4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70A17">
    <w:pPr>
      <w:pStyle w:val="34"/>
      <w:jc w:val="center"/>
      <w:rPr>
        <w:rFonts w:ascii="仿宋_GB2312" w:eastAsia="仿宋_GB2312"/>
      </w:rPr>
    </w:pPr>
    <w:r>
      <w:rPr>
        <w:rFonts w:ascii="Calibri" w:hAnsi="Calibri" w:cs="Calibri"/>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矩形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7A51CF64">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Ok+1OHEAQAAmgMAAA4AAAAAAAAAAQAgAAAAHwEAAGRycy9lMm9Eb2MueG1s&#10;UEsFBgAAAAAGAAYAWQEAAFUFAAAAAA==&#10;">
              <v:fill on="f" focussize="0,0"/>
              <v:stroke on="f"/>
              <v:imagedata o:title=""/>
              <o:lock v:ext="edit" aspectratio="f"/>
              <v:textbox inset="0mm,0mm,0mm,0mm" style="mso-fit-shape-to-text:t;">
                <w:txbxContent>
                  <w:p w14:paraId="7A51CF64">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v:textbox>
            </v:rect>
          </w:pict>
        </mc:Fallback>
      </mc:AlternateContent>
    </w:r>
  </w:p>
  <w:p w14:paraId="6A1D9B4B">
    <w:pPr>
      <w:pStyle w:val="26"/>
      <w:ind w:left="0" w:leftChars="0" w:right="-512" w:firstLine="141" w:firstLineChars="4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D9FEE">
    <w:pPr>
      <w:pStyle w:val="34"/>
      <w:jc w:val="center"/>
      <w:rPr>
        <w:rFonts w:ascii="仿宋_GB2312" w:eastAsia="仿宋_GB2312"/>
      </w:rPr>
    </w:pPr>
    <w:r>
      <w:rPr>
        <w:rFonts w:ascii="Calibri" w:hAnsi="Calibri" w:cs="Calibri"/>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矩形 1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05C6F342">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wO4a5cABAACOAwAADgAAAAAAAAABACAAAAAfAQAAZHJzL2Uyb0RvYy54bWxQSwUG&#10;AAAAAAYABgBZAQAAUQUAAAAA&#10;">
              <v:fill on="f" focussize="0,0"/>
              <v:stroke on="f"/>
              <v:imagedata o:title=""/>
              <o:lock v:ext="edit" aspectratio="f"/>
              <v:textbox inset="0mm,0mm,0mm,0mm" style="mso-fit-shape-to-text:t;">
                <w:txbxContent>
                  <w:p w14:paraId="05C6F342">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v:textbox>
            </v:rect>
          </w:pict>
        </mc:Fallback>
      </mc:AlternateContent>
    </w:r>
  </w:p>
  <w:p w14:paraId="51D02BCE">
    <w:pPr>
      <w:pStyle w:val="26"/>
      <w:ind w:left="0" w:leftChars="0" w:right="-512" w:firstLine="141" w:firstLineChars="4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D8FBC">
    <w:pPr>
      <w:pStyle w:val="34"/>
      <w:jc w:val="center"/>
      <w:rPr>
        <w:rFonts w:ascii="仿宋_GB2312" w:eastAsia="仿宋_GB2312"/>
      </w:rPr>
    </w:pPr>
    <w:r>
      <w:rPr>
        <w:rFonts w:ascii="Calibri" w:hAnsi="Calibri" w:cs="Calibri"/>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矩形 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6564D143">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DHhgyLEAQAAmgMAAA4AAAAAAAAAAQAgAAAAHwEAAGRycy9lMm9Eb2MueG1s&#10;UEsFBgAAAAAGAAYAWQEAAFUFAAAAAA==&#10;">
              <v:fill on="f" focussize="0,0"/>
              <v:stroke on="f"/>
              <v:imagedata o:title=""/>
              <o:lock v:ext="edit" aspectratio="f"/>
              <v:textbox inset="0mm,0mm,0mm,0mm" style="mso-fit-shape-to-text:t;">
                <w:txbxContent>
                  <w:p w14:paraId="6564D143">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v:textbox>
            </v:rect>
          </w:pict>
        </mc:Fallback>
      </mc:AlternateContent>
    </w:r>
  </w:p>
  <w:p w14:paraId="1DE8CAB3">
    <w:pPr>
      <w:pStyle w:val="26"/>
      <w:ind w:left="0" w:leftChars="0" w:right="-512" w:firstLine="141" w:firstLineChars="4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3D53">
    <w:pPr>
      <w:pStyle w:val="34"/>
      <w:jc w:val="center"/>
      <w:rPr>
        <w:rFonts w:asciiTheme="minorEastAsia" w:hAnsiTheme="minorEastAsia" w:eastAsiaTheme="minorEastAsia"/>
      </w:rPr>
    </w:pPr>
    <w:r>
      <w:rPr>
        <w:rFonts w:hint="eastAsia" w:asciiTheme="minorEastAsia" w:hAnsiTheme="minorEastAsia" w:eastAsiaTheme="minorEastAsia"/>
        <w:kern w:val="0"/>
      </w:rPr>
      <w:t xml:space="preserve">第 </w:t>
    </w:r>
    <w:r>
      <w:rPr>
        <w:rFonts w:hint="eastAsia" w:asciiTheme="minorEastAsia" w:hAnsiTheme="minorEastAsia" w:eastAsiaTheme="minorEastAsia"/>
        <w:kern w:val="0"/>
      </w:rPr>
      <w:fldChar w:fldCharType="begin"/>
    </w:r>
    <w:r>
      <w:rPr>
        <w:rFonts w:hint="eastAsia" w:asciiTheme="minorEastAsia" w:hAnsiTheme="minorEastAsia" w:eastAsiaTheme="minorEastAsia"/>
        <w:kern w:val="0"/>
      </w:rPr>
      <w:instrText xml:space="preserve"> PAGE </w:instrText>
    </w:r>
    <w:r>
      <w:rPr>
        <w:rFonts w:hint="eastAsia" w:asciiTheme="minorEastAsia" w:hAnsiTheme="minorEastAsia" w:eastAsiaTheme="minorEastAsia"/>
        <w:kern w:val="0"/>
      </w:rPr>
      <w:fldChar w:fldCharType="separate"/>
    </w:r>
    <w:r>
      <w:rPr>
        <w:rFonts w:asciiTheme="minorEastAsia" w:hAnsiTheme="minorEastAsia" w:eastAsiaTheme="minorEastAsia"/>
        <w:kern w:val="0"/>
      </w:rPr>
      <w:t>1</w:t>
    </w:r>
    <w:r>
      <w:rPr>
        <w:rFonts w:hint="eastAsia" w:asciiTheme="minorEastAsia" w:hAnsiTheme="minorEastAsia" w:eastAsiaTheme="minorEastAsia"/>
        <w:kern w:val="0"/>
      </w:rPr>
      <w:fldChar w:fldCharType="end"/>
    </w:r>
    <w:r>
      <w:rPr>
        <w:rFonts w:hint="eastAsia" w:asciiTheme="minorEastAsia" w:hAnsiTheme="minorEastAsia" w:eastAsiaTheme="minorEastAsia"/>
        <w:kern w:val="0"/>
      </w:rPr>
      <w:t xml:space="preserve"> 页 共 </w:t>
    </w:r>
    <w:r>
      <w:rPr>
        <w:rFonts w:hint="eastAsia" w:asciiTheme="minorEastAsia" w:hAnsiTheme="minorEastAsia" w:eastAsiaTheme="minorEastAsia"/>
        <w:kern w:val="0"/>
      </w:rPr>
      <w:fldChar w:fldCharType="begin"/>
    </w:r>
    <w:r>
      <w:rPr>
        <w:rFonts w:hint="eastAsia" w:asciiTheme="minorEastAsia" w:hAnsiTheme="minorEastAsia" w:eastAsiaTheme="minorEastAsia"/>
        <w:kern w:val="0"/>
      </w:rPr>
      <w:instrText xml:space="preserve"> NUMPAGES </w:instrText>
    </w:r>
    <w:r>
      <w:rPr>
        <w:rFonts w:hint="eastAsia" w:asciiTheme="minorEastAsia" w:hAnsiTheme="minorEastAsia" w:eastAsiaTheme="minorEastAsia"/>
        <w:kern w:val="0"/>
      </w:rPr>
      <w:fldChar w:fldCharType="separate"/>
    </w:r>
    <w:r>
      <w:rPr>
        <w:rFonts w:asciiTheme="minorEastAsia" w:hAnsiTheme="minorEastAsia" w:eastAsiaTheme="minorEastAsia"/>
        <w:kern w:val="0"/>
      </w:rPr>
      <w:t>8</w:t>
    </w:r>
    <w:r>
      <w:rPr>
        <w:rFonts w:hint="eastAsia" w:asciiTheme="minorEastAsia" w:hAnsiTheme="minorEastAsia" w:eastAsiaTheme="minorEastAsia"/>
        <w:kern w:val="0"/>
      </w:rPr>
      <w:fldChar w:fldCharType="end"/>
    </w:r>
    <w:bookmarkStart w:id="50" w:name="_Toc91899912"/>
    <w:bookmarkStart w:id="51" w:name="_Toc131845147"/>
    <w:bookmarkStart w:id="52" w:name="_Toc164085800"/>
    <w:bookmarkStart w:id="53" w:name="_Toc36110187"/>
    <w:r>
      <w:rPr>
        <w:rFonts w:hint="eastAsia" w:asciiTheme="minorEastAsia" w:hAnsiTheme="minorEastAsia" w:eastAsiaTheme="minorEastAsia"/>
        <w:kern w:val="0"/>
      </w:rPr>
      <w:t xml:space="preserve"> 页</w:t>
    </w:r>
    <w:bookmarkEnd w:id="50"/>
    <w:bookmarkEnd w:id="51"/>
    <w:bookmarkEnd w:id="52"/>
    <w:bookmarkEnd w:id="53"/>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5B2FA">
    <w:pPr>
      <w:pStyle w:val="34"/>
      <w:jc w:val="center"/>
      <w:rPr>
        <w:rFonts w:ascii="仿宋_GB2312" w:eastAsia="仿宋_GB2312"/>
      </w:rPr>
    </w:pPr>
    <w:r>
      <w:rPr>
        <w:rFonts w:ascii="Calibri" w:hAnsi="Calibri" w:cs="Calibri"/>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矩形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4678FC6">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5dblS0AAAAAUBAAAPAAAAAAAAAAEAIAAAACIAAABkcnMvZG93bnJldi54bWxQSwECFAAU&#10;AAAACACHTuJADvnTEMABAACOAwAADgAAAAAAAAABACAAAAAfAQAAZHJzL2Uyb0RvYy54bWxQSwUG&#10;AAAAAAYABgBZAQAAUQUAAAAA&#10;">
              <v:fill on="f" focussize="0,0"/>
              <v:stroke on="f"/>
              <v:imagedata o:title=""/>
              <o:lock v:ext="edit" aspectratio="f"/>
              <v:textbox inset="0mm,0mm,0mm,0mm" style="mso-fit-shape-to-text:t;">
                <w:txbxContent>
                  <w:p w14:paraId="64678FC6">
                    <w:pPr>
                      <w:pStyle w:val="34"/>
                    </w:pPr>
                    <w:r>
                      <w:rPr>
                        <w:rFonts w:hint="eastAsia" w:cs="宋体"/>
                      </w:rPr>
                      <w:t>第</w:t>
                    </w:r>
                    <w:r>
                      <w:t xml:space="preserve"> </w:t>
                    </w:r>
                    <w:r>
                      <w:fldChar w:fldCharType="begin"/>
                    </w:r>
                    <w:r>
                      <w:instrText xml:space="preserve"> PAGE  \* MERGEFORMAT </w:instrText>
                    </w:r>
                    <w:r>
                      <w:fldChar w:fldCharType="separate"/>
                    </w:r>
                    <w:r>
                      <w:t>42</w:t>
                    </w:r>
                    <w:r>
                      <w:fldChar w:fldCharType="end"/>
                    </w:r>
                    <w:r>
                      <w:t xml:space="preserve"> </w:t>
                    </w:r>
                    <w:r>
                      <w:rPr>
                        <w:rFonts w:hint="eastAsia" w:cs="宋体"/>
                      </w:rPr>
                      <w:t>页</w:t>
                    </w:r>
                  </w:p>
                </w:txbxContent>
              </v:textbox>
            </v:rect>
          </w:pict>
        </mc:Fallback>
      </mc:AlternateContent>
    </w:r>
  </w:p>
  <w:p w14:paraId="5FA3671C">
    <w:pPr>
      <w:pStyle w:val="26"/>
      <w:ind w:left="0" w:leftChars="0" w:right="-512" w:firstLine="141" w:firstLineChars="4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8A46A">
    <w:pPr>
      <w:pStyle w:val="35"/>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97DD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C075">
    <w:pPr>
      <w:pStyle w:val="780"/>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DA04A"/>
  <w:p w14:paraId="5BEFBBF7">
    <w:pPr>
      <w:pStyle w:val="77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6B8F5"/>
  <w:p w14:paraId="3FE6623A">
    <w:pPr>
      <w:pStyle w:val="77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EF712"/>
  <w:p w14:paraId="18B062C9">
    <w:pPr>
      <w:pStyle w:val="77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394EA"/>
  <w:p w14:paraId="6BE33349">
    <w:pPr>
      <w:pStyle w:val="35"/>
      <w:pBdr>
        <w:bottom w:val="none" w:color="auto" w:sz="0" w:space="1"/>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39A47">
    <w:pPr>
      <w:pStyle w:val="3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4DC56">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F125C">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6D964">
    <w:pPr>
      <w:pStyle w:val="3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BA25B">
    <w:pPr>
      <w:pStyle w:val="35"/>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165ED">
    <w:pPr>
      <w:pStyle w:val="35"/>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570B0">
    <w:pPr>
      <w:pStyle w:val="780"/>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FD6A">
    <w:pPr>
      <w:pStyle w:val="35"/>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A711D">
    <w:pPr>
      <w:pStyle w:val="3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3C7736"/>
    <w:multiLevelType w:val="singleLevel"/>
    <w:tmpl w:val="8E3C7736"/>
    <w:lvl w:ilvl="0" w:tentative="0">
      <w:start w:val="1"/>
      <w:numFmt w:val="decimal"/>
      <w:lvlText w:val="%1."/>
      <w:lvlJc w:val="left"/>
      <w:pPr>
        <w:tabs>
          <w:tab w:val="left" w:pos="312"/>
        </w:tabs>
      </w:pPr>
    </w:lvl>
  </w:abstractNum>
  <w:abstractNum w:abstractNumId="1">
    <w:nsid w:val="8F7DB725"/>
    <w:multiLevelType w:val="singleLevel"/>
    <w:tmpl w:val="8F7DB725"/>
    <w:lvl w:ilvl="0" w:tentative="0">
      <w:start w:val="1"/>
      <w:numFmt w:val="decimal"/>
      <w:suff w:val="nothing"/>
      <w:lvlText w:val="（%1）"/>
      <w:lvlJc w:val="left"/>
    </w:lvl>
  </w:abstractNum>
  <w:abstractNum w:abstractNumId="2">
    <w:nsid w:val="9CC621CB"/>
    <w:multiLevelType w:val="singleLevel"/>
    <w:tmpl w:val="9CC621CB"/>
    <w:lvl w:ilvl="0" w:tentative="0">
      <w:start w:val="1"/>
      <w:numFmt w:val="chineseCounting"/>
      <w:suff w:val="nothing"/>
      <w:lvlText w:val="（%1）"/>
      <w:lvlJc w:val="left"/>
      <w:pPr>
        <w:ind w:left="481" w:leftChars="0" w:firstLine="0" w:firstLineChars="0"/>
      </w:pPr>
      <w:rPr>
        <w:rFonts w:hint="eastAsia"/>
      </w:rPr>
    </w:lvl>
  </w:abstractNum>
  <w:abstractNum w:abstractNumId="3">
    <w:nsid w:val="BACE57FE"/>
    <w:multiLevelType w:val="singleLevel"/>
    <w:tmpl w:val="BACE57FE"/>
    <w:lvl w:ilvl="0" w:tentative="0">
      <w:start w:val="2"/>
      <w:numFmt w:val="decimal"/>
      <w:suff w:val="nothing"/>
      <w:lvlText w:val="%1、"/>
      <w:lvlJc w:val="left"/>
    </w:lvl>
  </w:abstractNum>
  <w:abstractNum w:abstractNumId="4">
    <w:nsid w:val="D5131716"/>
    <w:multiLevelType w:val="singleLevel"/>
    <w:tmpl w:val="D5131716"/>
    <w:lvl w:ilvl="0" w:tentative="0">
      <w:start w:val="5"/>
      <w:numFmt w:val="decimal"/>
      <w:suff w:val="nothing"/>
      <w:lvlText w:val="%1、"/>
      <w:lvlJc w:val="left"/>
    </w:lvl>
  </w:abstractNum>
  <w:abstractNum w:abstractNumId="5">
    <w:nsid w:val="00000001"/>
    <w:multiLevelType w:val="multilevel"/>
    <w:tmpl w:val="00000001"/>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0696EC32"/>
    <w:multiLevelType w:val="singleLevel"/>
    <w:tmpl w:val="0696EC32"/>
    <w:lvl w:ilvl="0" w:tentative="0">
      <w:start w:val="1"/>
      <w:numFmt w:val="chineseCounting"/>
      <w:suff w:val="nothing"/>
      <w:lvlText w:val="（%1）"/>
      <w:lvlJc w:val="left"/>
      <w:pPr>
        <w:ind w:left="480" w:leftChars="0" w:firstLine="0" w:firstLineChars="0"/>
      </w:pPr>
      <w:rPr>
        <w:rFonts w:hint="eastAsia"/>
      </w:rPr>
    </w:lvl>
  </w:abstractNum>
  <w:abstractNum w:abstractNumId="7">
    <w:nsid w:val="0E088C7E"/>
    <w:multiLevelType w:val="singleLevel"/>
    <w:tmpl w:val="0E088C7E"/>
    <w:lvl w:ilvl="0" w:tentative="0">
      <w:start w:val="1"/>
      <w:numFmt w:val="decimal"/>
      <w:suff w:val="nothing"/>
      <w:lvlText w:val="%1、"/>
      <w:lvlJc w:val="left"/>
    </w:lvl>
  </w:abstractNum>
  <w:abstractNum w:abstractNumId="8">
    <w:nsid w:val="0EA0E246"/>
    <w:multiLevelType w:val="singleLevel"/>
    <w:tmpl w:val="0EA0E246"/>
    <w:lvl w:ilvl="0" w:tentative="0">
      <w:start w:val="1"/>
      <w:numFmt w:val="chineseCounting"/>
      <w:suff w:val="nothing"/>
      <w:lvlText w:val="%1、"/>
      <w:lvlJc w:val="left"/>
      <w:rPr>
        <w:rFonts w:hint="eastAsia"/>
      </w:rPr>
    </w:lvl>
  </w:abstractNum>
  <w:abstractNum w:abstractNumId="9">
    <w:nsid w:val="35D71722"/>
    <w:multiLevelType w:val="singleLevel"/>
    <w:tmpl w:val="35D71722"/>
    <w:lvl w:ilvl="0" w:tentative="0">
      <w:start w:val="2"/>
      <w:numFmt w:val="chineseCounting"/>
      <w:suff w:val="nothing"/>
      <w:lvlText w:val="%1、"/>
      <w:lvlJc w:val="left"/>
      <w:rPr>
        <w:rFonts w:hint="eastAsia"/>
      </w:rPr>
    </w:lvl>
  </w:abstractNum>
  <w:abstractNum w:abstractNumId="10">
    <w:nsid w:val="3D2BA83A"/>
    <w:multiLevelType w:val="singleLevel"/>
    <w:tmpl w:val="3D2BA83A"/>
    <w:lvl w:ilvl="0" w:tentative="0">
      <w:start w:val="4"/>
      <w:numFmt w:val="chineseCounting"/>
      <w:suff w:val="nothing"/>
      <w:lvlText w:val="%1、"/>
      <w:lvlJc w:val="left"/>
      <w:rPr>
        <w:rFonts w:hint="eastAsia"/>
      </w:rPr>
    </w:lvl>
  </w:abstractNum>
  <w:abstractNum w:abstractNumId="11">
    <w:nsid w:val="47DC0923"/>
    <w:multiLevelType w:val="multilevel"/>
    <w:tmpl w:val="47DC0923"/>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
    <w:nsid w:val="52786F66"/>
    <w:multiLevelType w:val="singleLevel"/>
    <w:tmpl w:val="52786F66"/>
    <w:lvl w:ilvl="0" w:tentative="0">
      <w:start w:val="2"/>
      <w:numFmt w:val="decimal"/>
      <w:lvlText w:val="%1."/>
      <w:lvlJc w:val="left"/>
      <w:pPr>
        <w:tabs>
          <w:tab w:val="left" w:pos="312"/>
        </w:tabs>
      </w:pPr>
    </w:lvl>
  </w:abstractNum>
  <w:abstractNum w:abstractNumId="13">
    <w:nsid w:val="792045E3"/>
    <w:multiLevelType w:val="singleLevel"/>
    <w:tmpl w:val="792045E3"/>
    <w:lvl w:ilvl="0" w:tentative="0">
      <w:start w:val="6"/>
      <w:numFmt w:val="chineseCounting"/>
      <w:suff w:val="nothing"/>
      <w:lvlText w:val="%1、"/>
      <w:lvlJc w:val="left"/>
      <w:rPr>
        <w:rFonts w:hint="eastAsia"/>
      </w:rPr>
    </w:lvl>
  </w:abstractNum>
  <w:abstractNum w:abstractNumId="14">
    <w:nsid w:val="795721CC"/>
    <w:multiLevelType w:val="singleLevel"/>
    <w:tmpl w:val="795721CC"/>
    <w:lvl w:ilvl="0" w:tentative="0">
      <w:start w:val="1"/>
      <w:numFmt w:val="decimal"/>
      <w:lvlText w:val="%1."/>
      <w:lvlJc w:val="left"/>
      <w:pPr>
        <w:tabs>
          <w:tab w:val="left" w:pos="312"/>
        </w:tabs>
      </w:pPr>
    </w:lvl>
  </w:abstractNum>
  <w:num w:numId="1">
    <w:abstractNumId w:val="5"/>
  </w:num>
  <w:num w:numId="2">
    <w:abstractNumId w:val="1"/>
  </w:num>
  <w:num w:numId="3">
    <w:abstractNumId w:val="3"/>
  </w:num>
  <w:num w:numId="4">
    <w:abstractNumId w:val="11"/>
  </w:num>
  <w:num w:numId="5">
    <w:abstractNumId w:val="12"/>
  </w:num>
  <w:num w:numId="6">
    <w:abstractNumId w:val="0"/>
  </w:num>
  <w:num w:numId="7">
    <w:abstractNumId w:val="8"/>
  </w:num>
  <w:num w:numId="8">
    <w:abstractNumId w:val="7"/>
  </w:num>
  <w:num w:numId="9">
    <w:abstractNumId w:val="10"/>
  </w:num>
  <w:num w:numId="10">
    <w:abstractNumId w:val="4"/>
  </w:num>
  <w:num w:numId="11">
    <w:abstractNumId w:val="14"/>
  </w:num>
  <w:num w:numId="12">
    <w:abstractNumId w:val="6"/>
  </w:num>
  <w:num w:numId="13">
    <w:abstractNumId w:val="2"/>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dit="readOnly" w:enforcement="0"/>
  <w:defaultTabStop w:val="420"/>
  <w:drawingGridHorizontalSpacing w:val="105"/>
  <w:drawingGridVerticalSpacing w:val="31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zYWNiM2M3YzcxOWI0Y2U1YzgzMzUzMjA1YmFiN2QifQ=="/>
  </w:docVars>
  <w:rsids>
    <w:rsidRoot w:val="00E1616D"/>
    <w:rsid w:val="0000035B"/>
    <w:rsid w:val="00000759"/>
    <w:rsid w:val="00001A22"/>
    <w:rsid w:val="000047AF"/>
    <w:rsid w:val="00011EDE"/>
    <w:rsid w:val="000209D0"/>
    <w:rsid w:val="0002280B"/>
    <w:rsid w:val="00024E1B"/>
    <w:rsid w:val="000253AB"/>
    <w:rsid w:val="000263FD"/>
    <w:rsid w:val="00030D4F"/>
    <w:rsid w:val="000351FB"/>
    <w:rsid w:val="000361B3"/>
    <w:rsid w:val="00036306"/>
    <w:rsid w:val="00040B07"/>
    <w:rsid w:val="00040E53"/>
    <w:rsid w:val="0004425F"/>
    <w:rsid w:val="00046747"/>
    <w:rsid w:val="000475A5"/>
    <w:rsid w:val="00047BA2"/>
    <w:rsid w:val="000600EB"/>
    <w:rsid w:val="00063D28"/>
    <w:rsid w:val="00064A6E"/>
    <w:rsid w:val="00066101"/>
    <w:rsid w:val="00076120"/>
    <w:rsid w:val="00076357"/>
    <w:rsid w:val="00086824"/>
    <w:rsid w:val="0009136C"/>
    <w:rsid w:val="00091AA1"/>
    <w:rsid w:val="000948E5"/>
    <w:rsid w:val="000A5D6A"/>
    <w:rsid w:val="000B1252"/>
    <w:rsid w:val="000B6BE9"/>
    <w:rsid w:val="000C1EC7"/>
    <w:rsid w:val="000C4D4B"/>
    <w:rsid w:val="000C68FA"/>
    <w:rsid w:val="000C72BC"/>
    <w:rsid w:val="000D0EDB"/>
    <w:rsid w:val="000D373A"/>
    <w:rsid w:val="000D37FF"/>
    <w:rsid w:val="000D52AD"/>
    <w:rsid w:val="000D68FB"/>
    <w:rsid w:val="000D705C"/>
    <w:rsid w:val="000E2FED"/>
    <w:rsid w:val="000E58C7"/>
    <w:rsid w:val="000F1F76"/>
    <w:rsid w:val="000F3095"/>
    <w:rsid w:val="000F548B"/>
    <w:rsid w:val="000F7EFF"/>
    <w:rsid w:val="00101507"/>
    <w:rsid w:val="00104316"/>
    <w:rsid w:val="00111211"/>
    <w:rsid w:val="001112F2"/>
    <w:rsid w:val="00112DB9"/>
    <w:rsid w:val="001130C5"/>
    <w:rsid w:val="0011665B"/>
    <w:rsid w:val="00121706"/>
    <w:rsid w:val="00124100"/>
    <w:rsid w:val="0012472C"/>
    <w:rsid w:val="00124BA6"/>
    <w:rsid w:val="00125396"/>
    <w:rsid w:val="00125E20"/>
    <w:rsid w:val="00126CC7"/>
    <w:rsid w:val="00127D04"/>
    <w:rsid w:val="00131617"/>
    <w:rsid w:val="00132C62"/>
    <w:rsid w:val="00135E9F"/>
    <w:rsid w:val="00136CB6"/>
    <w:rsid w:val="00142C7C"/>
    <w:rsid w:val="00146411"/>
    <w:rsid w:val="0014681E"/>
    <w:rsid w:val="001510D0"/>
    <w:rsid w:val="001511EB"/>
    <w:rsid w:val="00151562"/>
    <w:rsid w:val="00153C12"/>
    <w:rsid w:val="00155AB9"/>
    <w:rsid w:val="00156CA5"/>
    <w:rsid w:val="001624C6"/>
    <w:rsid w:val="0016396E"/>
    <w:rsid w:val="00164F9E"/>
    <w:rsid w:val="00165AF2"/>
    <w:rsid w:val="00172F8C"/>
    <w:rsid w:val="00173D0F"/>
    <w:rsid w:val="00175C6F"/>
    <w:rsid w:val="00182976"/>
    <w:rsid w:val="00183043"/>
    <w:rsid w:val="0018656A"/>
    <w:rsid w:val="00194C63"/>
    <w:rsid w:val="001A1371"/>
    <w:rsid w:val="001A3978"/>
    <w:rsid w:val="001A3FD5"/>
    <w:rsid w:val="001B6743"/>
    <w:rsid w:val="001C1850"/>
    <w:rsid w:val="001C2284"/>
    <w:rsid w:val="001C685D"/>
    <w:rsid w:val="001D0226"/>
    <w:rsid w:val="001D253D"/>
    <w:rsid w:val="001D3DA3"/>
    <w:rsid w:val="001D5AB9"/>
    <w:rsid w:val="001E0643"/>
    <w:rsid w:val="001E299B"/>
    <w:rsid w:val="001E2C9B"/>
    <w:rsid w:val="001E309F"/>
    <w:rsid w:val="001E618E"/>
    <w:rsid w:val="001E6713"/>
    <w:rsid w:val="00205FA0"/>
    <w:rsid w:val="002114D6"/>
    <w:rsid w:val="00212AD8"/>
    <w:rsid w:val="00213ED1"/>
    <w:rsid w:val="002143C2"/>
    <w:rsid w:val="00215E3A"/>
    <w:rsid w:val="00216D43"/>
    <w:rsid w:val="00222E84"/>
    <w:rsid w:val="00232694"/>
    <w:rsid w:val="00232A38"/>
    <w:rsid w:val="00234D6F"/>
    <w:rsid w:val="00242A7E"/>
    <w:rsid w:val="00243805"/>
    <w:rsid w:val="00250B2A"/>
    <w:rsid w:val="00252322"/>
    <w:rsid w:val="002529E0"/>
    <w:rsid w:val="00252CFE"/>
    <w:rsid w:val="0026525D"/>
    <w:rsid w:val="0026648D"/>
    <w:rsid w:val="002712BB"/>
    <w:rsid w:val="00277348"/>
    <w:rsid w:val="002823AE"/>
    <w:rsid w:val="00282453"/>
    <w:rsid w:val="002840E3"/>
    <w:rsid w:val="002854F0"/>
    <w:rsid w:val="00290FE3"/>
    <w:rsid w:val="002920CE"/>
    <w:rsid w:val="0029214F"/>
    <w:rsid w:val="0029421E"/>
    <w:rsid w:val="002B3BAA"/>
    <w:rsid w:val="002B54B7"/>
    <w:rsid w:val="002B5A6B"/>
    <w:rsid w:val="002B7244"/>
    <w:rsid w:val="002C0A55"/>
    <w:rsid w:val="002C3EC4"/>
    <w:rsid w:val="002C563E"/>
    <w:rsid w:val="002C77B0"/>
    <w:rsid w:val="002D2187"/>
    <w:rsid w:val="002D37CB"/>
    <w:rsid w:val="002D4132"/>
    <w:rsid w:val="002D4D26"/>
    <w:rsid w:val="002D51F4"/>
    <w:rsid w:val="002D7AFE"/>
    <w:rsid w:val="002E7EDB"/>
    <w:rsid w:val="002F12C3"/>
    <w:rsid w:val="002F4E51"/>
    <w:rsid w:val="002F7FF3"/>
    <w:rsid w:val="00303BE7"/>
    <w:rsid w:val="0030770D"/>
    <w:rsid w:val="00307959"/>
    <w:rsid w:val="0031086B"/>
    <w:rsid w:val="00320180"/>
    <w:rsid w:val="003263B8"/>
    <w:rsid w:val="00333F6E"/>
    <w:rsid w:val="00335E22"/>
    <w:rsid w:val="00336E64"/>
    <w:rsid w:val="00337FA7"/>
    <w:rsid w:val="00342478"/>
    <w:rsid w:val="00347F7E"/>
    <w:rsid w:val="00351448"/>
    <w:rsid w:val="00361006"/>
    <w:rsid w:val="00361DB1"/>
    <w:rsid w:val="00362E89"/>
    <w:rsid w:val="00364EAB"/>
    <w:rsid w:val="0036578E"/>
    <w:rsid w:val="0037054E"/>
    <w:rsid w:val="00371340"/>
    <w:rsid w:val="003744F5"/>
    <w:rsid w:val="0038004C"/>
    <w:rsid w:val="003841E3"/>
    <w:rsid w:val="00385396"/>
    <w:rsid w:val="00387FA4"/>
    <w:rsid w:val="0039109E"/>
    <w:rsid w:val="00393193"/>
    <w:rsid w:val="00394BBB"/>
    <w:rsid w:val="003A0A01"/>
    <w:rsid w:val="003A4370"/>
    <w:rsid w:val="003A4994"/>
    <w:rsid w:val="003A5D7C"/>
    <w:rsid w:val="003B0438"/>
    <w:rsid w:val="003B48E2"/>
    <w:rsid w:val="003B6AA0"/>
    <w:rsid w:val="003C0881"/>
    <w:rsid w:val="003C164E"/>
    <w:rsid w:val="003C49BD"/>
    <w:rsid w:val="003C7C19"/>
    <w:rsid w:val="003C7ECF"/>
    <w:rsid w:val="003D5C0C"/>
    <w:rsid w:val="003D613E"/>
    <w:rsid w:val="003D6FFC"/>
    <w:rsid w:val="003D71D0"/>
    <w:rsid w:val="003D75C6"/>
    <w:rsid w:val="003E056A"/>
    <w:rsid w:val="003E0EAB"/>
    <w:rsid w:val="003E5D47"/>
    <w:rsid w:val="003E66B5"/>
    <w:rsid w:val="003E706B"/>
    <w:rsid w:val="003E73B0"/>
    <w:rsid w:val="003F0E6D"/>
    <w:rsid w:val="003F2D26"/>
    <w:rsid w:val="003F4517"/>
    <w:rsid w:val="003F755B"/>
    <w:rsid w:val="004058AD"/>
    <w:rsid w:val="00410FCD"/>
    <w:rsid w:val="00411B8D"/>
    <w:rsid w:val="004161F7"/>
    <w:rsid w:val="00420B4D"/>
    <w:rsid w:val="00420DC4"/>
    <w:rsid w:val="00422113"/>
    <w:rsid w:val="00422BC2"/>
    <w:rsid w:val="00423AA3"/>
    <w:rsid w:val="00427D37"/>
    <w:rsid w:val="004325C0"/>
    <w:rsid w:val="00435DC6"/>
    <w:rsid w:val="00436E79"/>
    <w:rsid w:val="00441CAF"/>
    <w:rsid w:val="00442268"/>
    <w:rsid w:val="004424A3"/>
    <w:rsid w:val="00443615"/>
    <w:rsid w:val="00443816"/>
    <w:rsid w:val="00443ABF"/>
    <w:rsid w:val="00447855"/>
    <w:rsid w:val="00450E95"/>
    <w:rsid w:val="00451DB9"/>
    <w:rsid w:val="00452660"/>
    <w:rsid w:val="004541AB"/>
    <w:rsid w:val="0045790E"/>
    <w:rsid w:val="00461257"/>
    <w:rsid w:val="0046550B"/>
    <w:rsid w:val="00466A65"/>
    <w:rsid w:val="00472870"/>
    <w:rsid w:val="00472BDF"/>
    <w:rsid w:val="00473316"/>
    <w:rsid w:val="00473763"/>
    <w:rsid w:val="00474CF4"/>
    <w:rsid w:val="00481214"/>
    <w:rsid w:val="004879D9"/>
    <w:rsid w:val="00490295"/>
    <w:rsid w:val="00491C94"/>
    <w:rsid w:val="00492376"/>
    <w:rsid w:val="00494665"/>
    <w:rsid w:val="004A0B7B"/>
    <w:rsid w:val="004A2328"/>
    <w:rsid w:val="004A5577"/>
    <w:rsid w:val="004A6CF5"/>
    <w:rsid w:val="004A7A02"/>
    <w:rsid w:val="004B0F07"/>
    <w:rsid w:val="004B11EE"/>
    <w:rsid w:val="004C0326"/>
    <w:rsid w:val="004C249E"/>
    <w:rsid w:val="004C2C9E"/>
    <w:rsid w:val="004C2CE0"/>
    <w:rsid w:val="004C5E80"/>
    <w:rsid w:val="004C6E93"/>
    <w:rsid w:val="004D1759"/>
    <w:rsid w:val="004D187E"/>
    <w:rsid w:val="004D1AEB"/>
    <w:rsid w:val="004D3624"/>
    <w:rsid w:val="004D5652"/>
    <w:rsid w:val="004D5FE8"/>
    <w:rsid w:val="004E364C"/>
    <w:rsid w:val="004E426F"/>
    <w:rsid w:val="004E712C"/>
    <w:rsid w:val="004E740B"/>
    <w:rsid w:val="004F233B"/>
    <w:rsid w:val="004F29EA"/>
    <w:rsid w:val="004F3E35"/>
    <w:rsid w:val="004F6D43"/>
    <w:rsid w:val="0050098C"/>
    <w:rsid w:val="00502663"/>
    <w:rsid w:val="005034ED"/>
    <w:rsid w:val="00504E56"/>
    <w:rsid w:val="00506395"/>
    <w:rsid w:val="0051164A"/>
    <w:rsid w:val="00514D8A"/>
    <w:rsid w:val="0052005D"/>
    <w:rsid w:val="005227FF"/>
    <w:rsid w:val="00522DD7"/>
    <w:rsid w:val="00523BA9"/>
    <w:rsid w:val="00523E5E"/>
    <w:rsid w:val="00531763"/>
    <w:rsid w:val="00531879"/>
    <w:rsid w:val="0053578A"/>
    <w:rsid w:val="00536354"/>
    <w:rsid w:val="005375E1"/>
    <w:rsid w:val="00537ADA"/>
    <w:rsid w:val="005415BC"/>
    <w:rsid w:val="005546F0"/>
    <w:rsid w:val="00555116"/>
    <w:rsid w:val="0056017E"/>
    <w:rsid w:val="00560234"/>
    <w:rsid w:val="00560E04"/>
    <w:rsid w:val="00562271"/>
    <w:rsid w:val="00564F81"/>
    <w:rsid w:val="005657A0"/>
    <w:rsid w:val="00565BBB"/>
    <w:rsid w:val="005663EC"/>
    <w:rsid w:val="00567750"/>
    <w:rsid w:val="00567969"/>
    <w:rsid w:val="00570683"/>
    <w:rsid w:val="00570ED0"/>
    <w:rsid w:val="00570F0B"/>
    <w:rsid w:val="00574C5F"/>
    <w:rsid w:val="00575386"/>
    <w:rsid w:val="00575DBA"/>
    <w:rsid w:val="00580E18"/>
    <w:rsid w:val="005817DC"/>
    <w:rsid w:val="00583939"/>
    <w:rsid w:val="005845E6"/>
    <w:rsid w:val="00584AD3"/>
    <w:rsid w:val="00584C44"/>
    <w:rsid w:val="0058757C"/>
    <w:rsid w:val="00587E1C"/>
    <w:rsid w:val="00593CA1"/>
    <w:rsid w:val="00593DA1"/>
    <w:rsid w:val="00595308"/>
    <w:rsid w:val="00595FF5"/>
    <w:rsid w:val="00596395"/>
    <w:rsid w:val="00596576"/>
    <w:rsid w:val="0059738F"/>
    <w:rsid w:val="005974CC"/>
    <w:rsid w:val="005A073D"/>
    <w:rsid w:val="005A0A61"/>
    <w:rsid w:val="005A141C"/>
    <w:rsid w:val="005A1A6A"/>
    <w:rsid w:val="005A2CBD"/>
    <w:rsid w:val="005A552D"/>
    <w:rsid w:val="005A701D"/>
    <w:rsid w:val="005B0741"/>
    <w:rsid w:val="005B0C20"/>
    <w:rsid w:val="005B1D35"/>
    <w:rsid w:val="005B3E72"/>
    <w:rsid w:val="005B4DBF"/>
    <w:rsid w:val="005B5150"/>
    <w:rsid w:val="005B67F4"/>
    <w:rsid w:val="005B787D"/>
    <w:rsid w:val="005C0D58"/>
    <w:rsid w:val="005C3571"/>
    <w:rsid w:val="005D0857"/>
    <w:rsid w:val="005D46FF"/>
    <w:rsid w:val="005D4EC0"/>
    <w:rsid w:val="005D5D7B"/>
    <w:rsid w:val="005D6DCF"/>
    <w:rsid w:val="005E063C"/>
    <w:rsid w:val="005E1D6A"/>
    <w:rsid w:val="005E3BE7"/>
    <w:rsid w:val="005E6D07"/>
    <w:rsid w:val="005F3C8A"/>
    <w:rsid w:val="00600B21"/>
    <w:rsid w:val="00601C2F"/>
    <w:rsid w:val="00603B32"/>
    <w:rsid w:val="00606FC2"/>
    <w:rsid w:val="00607CFB"/>
    <w:rsid w:val="0061048C"/>
    <w:rsid w:val="006117B5"/>
    <w:rsid w:val="00612EB1"/>
    <w:rsid w:val="006147B7"/>
    <w:rsid w:val="00614D54"/>
    <w:rsid w:val="00615305"/>
    <w:rsid w:val="00616A30"/>
    <w:rsid w:val="00623D60"/>
    <w:rsid w:val="00627B73"/>
    <w:rsid w:val="00633154"/>
    <w:rsid w:val="00633F12"/>
    <w:rsid w:val="0063595A"/>
    <w:rsid w:val="00637D72"/>
    <w:rsid w:val="00637FCD"/>
    <w:rsid w:val="006405AC"/>
    <w:rsid w:val="00642AB6"/>
    <w:rsid w:val="006449BD"/>
    <w:rsid w:val="00650464"/>
    <w:rsid w:val="00651180"/>
    <w:rsid w:val="006511DC"/>
    <w:rsid w:val="0066013C"/>
    <w:rsid w:val="00661D15"/>
    <w:rsid w:val="006627E0"/>
    <w:rsid w:val="00663843"/>
    <w:rsid w:val="006645D1"/>
    <w:rsid w:val="0067125B"/>
    <w:rsid w:val="006715C4"/>
    <w:rsid w:val="006731C2"/>
    <w:rsid w:val="00675855"/>
    <w:rsid w:val="00676663"/>
    <w:rsid w:val="00680864"/>
    <w:rsid w:val="006811A6"/>
    <w:rsid w:val="00685BEC"/>
    <w:rsid w:val="00686064"/>
    <w:rsid w:val="0069200C"/>
    <w:rsid w:val="006968A1"/>
    <w:rsid w:val="006A417B"/>
    <w:rsid w:val="006A637D"/>
    <w:rsid w:val="006B38E9"/>
    <w:rsid w:val="006B5686"/>
    <w:rsid w:val="006B7E53"/>
    <w:rsid w:val="006C6D6C"/>
    <w:rsid w:val="006C6EDF"/>
    <w:rsid w:val="006D5AAA"/>
    <w:rsid w:val="006E0E44"/>
    <w:rsid w:val="006E22FC"/>
    <w:rsid w:val="006E51F1"/>
    <w:rsid w:val="006E7AA3"/>
    <w:rsid w:val="006E7FB6"/>
    <w:rsid w:val="006F3D87"/>
    <w:rsid w:val="006F41F1"/>
    <w:rsid w:val="007032FC"/>
    <w:rsid w:val="00705080"/>
    <w:rsid w:val="00706C87"/>
    <w:rsid w:val="00713B37"/>
    <w:rsid w:val="00723335"/>
    <w:rsid w:val="00724D10"/>
    <w:rsid w:val="007359F2"/>
    <w:rsid w:val="00736C2E"/>
    <w:rsid w:val="007459B1"/>
    <w:rsid w:val="00746411"/>
    <w:rsid w:val="00746514"/>
    <w:rsid w:val="00753986"/>
    <w:rsid w:val="00753E91"/>
    <w:rsid w:val="007632BA"/>
    <w:rsid w:val="0076460E"/>
    <w:rsid w:val="0076605C"/>
    <w:rsid w:val="00766E81"/>
    <w:rsid w:val="00767334"/>
    <w:rsid w:val="00773184"/>
    <w:rsid w:val="00773325"/>
    <w:rsid w:val="007733F1"/>
    <w:rsid w:val="00775DB7"/>
    <w:rsid w:val="007773EB"/>
    <w:rsid w:val="00782191"/>
    <w:rsid w:val="00786F92"/>
    <w:rsid w:val="0078732E"/>
    <w:rsid w:val="0079223F"/>
    <w:rsid w:val="00795F45"/>
    <w:rsid w:val="007A6169"/>
    <w:rsid w:val="007A6BF2"/>
    <w:rsid w:val="007A7F88"/>
    <w:rsid w:val="007B061E"/>
    <w:rsid w:val="007B2495"/>
    <w:rsid w:val="007B29A8"/>
    <w:rsid w:val="007B39B2"/>
    <w:rsid w:val="007B4209"/>
    <w:rsid w:val="007B4213"/>
    <w:rsid w:val="007B4411"/>
    <w:rsid w:val="007B53D6"/>
    <w:rsid w:val="007C20F3"/>
    <w:rsid w:val="007C2CDA"/>
    <w:rsid w:val="007C3701"/>
    <w:rsid w:val="007C3FC6"/>
    <w:rsid w:val="007C4866"/>
    <w:rsid w:val="007D388C"/>
    <w:rsid w:val="007D4234"/>
    <w:rsid w:val="007D4961"/>
    <w:rsid w:val="007D6D51"/>
    <w:rsid w:val="007D7699"/>
    <w:rsid w:val="007E1B95"/>
    <w:rsid w:val="007E2DB2"/>
    <w:rsid w:val="00800459"/>
    <w:rsid w:val="0080236B"/>
    <w:rsid w:val="00802F7D"/>
    <w:rsid w:val="00806CDA"/>
    <w:rsid w:val="0081028F"/>
    <w:rsid w:val="00811121"/>
    <w:rsid w:val="00811174"/>
    <w:rsid w:val="008124C5"/>
    <w:rsid w:val="008134B5"/>
    <w:rsid w:val="00813A5D"/>
    <w:rsid w:val="00814D41"/>
    <w:rsid w:val="00820047"/>
    <w:rsid w:val="00820A12"/>
    <w:rsid w:val="0082214D"/>
    <w:rsid w:val="00822B3D"/>
    <w:rsid w:val="00822FA9"/>
    <w:rsid w:val="00824CBD"/>
    <w:rsid w:val="00827104"/>
    <w:rsid w:val="00833795"/>
    <w:rsid w:val="008404DB"/>
    <w:rsid w:val="0084072A"/>
    <w:rsid w:val="008441A7"/>
    <w:rsid w:val="0085353C"/>
    <w:rsid w:val="00853ACE"/>
    <w:rsid w:val="0085681C"/>
    <w:rsid w:val="00860E55"/>
    <w:rsid w:val="00861E46"/>
    <w:rsid w:val="008623F6"/>
    <w:rsid w:val="00862643"/>
    <w:rsid w:val="00866FDC"/>
    <w:rsid w:val="00871AA2"/>
    <w:rsid w:val="00885ADC"/>
    <w:rsid w:val="008879D8"/>
    <w:rsid w:val="00895A87"/>
    <w:rsid w:val="00895AEE"/>
    <w:rsid w:val="00895D9E"/>
    <w:rsid w:val="008B552F"/>
    <w:rsid w:val="008B6087"/>
    <w:rsid w:val="008B6178"/>
    <w:rsid w:val="008B63A5"/>
    <w:rsid w:val="008B6BBD"/>
    <w:rsid w:val="008C0D38"/>
    <w:rsid w:val="008C3B8C"/>
    <w:rsid w:val="008C6542"/>
    <w:rsid w:val="008C72C0"/>
    <w:rsid w:val="008D00C8"/>
    <w:rsid w:val="008D049B"/>
    <w:rsid w:val="008D04FB"/>
    <w:rsid w:val="008D18D8"/>
    <w:rsid w:val="008F7009"/>
    <w:rsid w:val="00902D29"/>
    <w:rsid w:val="00906CC7"/>
    <w:rsid w:val="00914EC8"/>
    <w:rsid w:val="009160B3"/>
    <w:rsid w:val="009218EA"/>
    <w:rsid w:val="009263BF"/>
    <w:rsid w:val="00926970"/>
    <w:rsid w:val="00931ABA"/>
    <w:rsid w:val="00946565"/>
    <w:rsid w:val="009537C0"/>
    <w:rsid w:val="0095606D"/>
    <w:rsid w:val="00956505"/>
    <w:rsid w:val="00960A61"/>
    <w:rsid w:val="00961CBE"/>
    <w:rsid w:val="00961D71"/>
    <w:rsid w:val="0096269F"/>
    <w:rsid w:val="00962B8B"/>
    <w:rsid w:val="00963828"/>
    <w:rsid w:val="00963CA7"/>
    <w:rsid w:val="009646EA"/>
    <w:rsid w:val="00965D15"/>
    <w:rsid w:val="00966F1A"/>
    <w:rsid w:val="00967775"/>
    <w:rsid w:val="009760E9"/>
    <w:rsid w:val="00977A38"/>
    <w:rsid w:val="009817E8"/>
    <w:rsid w:val="00982C44"/>
    <w:rsid w:val="00983401"/>
    <w:rsid w:val="00984BC8"/>
    <w:rsid w:val="0098569F"/>
    <w:rsid w:val="00986E66"/>
    <w:rsid w:val="0098775F"/>
    <w:rsid w:val="00990E12"/>
    <w:rsid w:val="00993137"/>
    <w:rsid w:val="00994394"/>
    <w:rsid w:val="00996DC3"/>
    <w:rsid w:val="009A0253"/>
    <w:rsid w:val="009A3225"/>
    <w:rsid w:val="009A4A1D"/>
    <w:rsid w:val="009A4ADA"/>
    <w:rsid w:val="009A71C8"/>
    <w:rsid w:val="009A76EB"/>
    <w:rsid w:val="009B07F6"/>
    <w:rsid w:val="009B7E95"/>
    <w:rsid w:val="009C177B"/>
    <w:rsid w:val="009C21D6"/>
    <w:rsid w:val="009C2BC3"/>
    <w:rsid w:val="009C3A7E"/>
    <w:rsid w:val="009C4A4C"/>
    <w:rsid w:val="009D158B"/>
    <w:rsid w:val="009D17DD"/>
    <w:rsid w:val="009D253B"/>
    <w:rsid w:val="009D395A"/>
    <w:rsid w:val="009D4ECA"/>
    <w:rsid w:val="009E00BC"/>
    <w:rsid w:val="009E1B69"/>
    <w:rsid w:val="009E613E"/>
    <w:rsid w:val="009E61D3"/>
    <w:rsid w:val="009F04BF"/>
    <w:rsid w:val="009F12E5"/>
    <w:rsid w:val="009F14F6"/>
    <w:rsid w:val="009F439F"/>
    <w:rsid w:val="00A01BB9"/>
    <w:rsid w:val="00A06F08"/>
    <w:rsid w:val="00A078F8"/>
    <w:rsid w:val="00A1481A"/>
    <w:rsid w:val="00A15BF9"/>
    <w:rsid w:val="00A173D3"/>
    <w:rsid w:val="00A23202"/>
    <w:rsid w:val="00A254C2"/>
    <w:rsid w:val="00A32D2B"/>
    <w:rsid w:val="00A406AC"/>
    <w:rsid w:val="00A40F00"/>
    <w:rsid w:val="00A45203"/>
    <w:rsid w:val="00A458CA"/>
    <w:rsid w:val="00A4735E"/>
    <w:rsid w:val="00A5489E"/>
    <w:rsid w:val="00A55B46"/>
    <w:rsid w:val="00A573F6"/>
    <w:rsid w:val="00A62D9B"/>
    <w:rsid w:val="00A67757"/>
    <w:rsid w:val="00A70980"/>
    <w:rsid w:val="00A71969"/>
    <w:rsid w:val="00A73E11"/>
    <w:rsid w:val="00A750BA"/>
    <w:rsid w:val="00A817E3"/>
    <w:rsid w:val="00A90869"/>
    <w:rsid w:val="00A921CB"/>
    <w:rsid w:val="00A9431F"/>
    <w:rsid w:val="00A95895"/>
    <w:rsid w:val="00A95EE9"/>
    <w:rsid w:val="00AA1A5F"/>
    <w:rsid w:val="00AA31B8"/>
    <w:rsid w:val="00AA49E9"/>
    <w:rsid w:val="00AA7969"/>
    <w:rsid w:val="00AA7A0B"/>
    <w:rsid w:val="00AB0FE8"/>
    <w:rsid w:val="00AB454E"/>
    <w:rsid w:val="00AB5F08"/>
    <w:rsid w:val="00AB68EB"/>
    <w:rsid w:val="00AB6D98"/>
    <w:rsid w:val="00AC3D46"/>
    <w:rsid w:val="00AE6341"/>
    <w:rsid w:val="00AF09BB"/>
    <w:rsid w:val="00AF13FB"/>
    <w:rsid w:val="00AF3F7A"/>
    <w:rsid w:val="00B019FA"/>
    <w:rsid w:val="00B03937"/>
    <w:rsid w:val="00B0397D"/>
    <w:rsid w:val="00B06C62"/>
    <w:rsid w:val="00B10F32"/>
    <w:rsid w:val="00B1269D"/>
    <w:rsid w:val="00B13A9D"/>
    <w:rsid w:val="00B156DB"/>
    <w:rsid w:val="00B16D24"/>
    <w:rsid w:val="00B27A9E"/>
    <w:rsid w:val="00B33187"/>
    <w:rsid w:val="00B3501D"/>
    <w:rsid w:val="00B35E84"/>
    <w:rsid w:val="00B36F2A"/>
    <w:rsid w:val="00B3706C"/>
    <w:rsid w:val="00B37657"/>
    <w:rsid w:val="00B41E1F"/>
    <w:rsid w:val="00B47A4F"/>
    <w:rsid w:val="00B507B6"/>
    <w:rsid w:val="00B51764"/>
    <w:rsid w:val="00B545D6"/>
    <w:rsid w:val="00B55927"/>
    <w:rsid w:val="00B55981"/>
    <w:rsid w:val="00B567B1"/>
    <w:rsid w:val="00B609DD"/>
    <w:rsid w:val="00B638EC"/>
    <w:rsid w:val="00B645BD"/>
    <w:rsid w:val="00B64CBE"/>
    <w:rsid w:val="00B64F97"/>
    <w:rsid w:val="00B65D0F"/>
    <w:rsid w:val="00B70D08"/>
    <w:rsid w:val="00B71969"/>
    <w:rsid w:val="00B80F8F"/>
    <w:rsid w:val="00B816BA"/>
    <w:rsid w:val="00B8273C"/>
    <w:rsid w:val="00B852B1"/>
    <w:rsid w:val="00B9167F"/>
    <w:rsid w:val="00BA5723"/>
    <w:rsid w:val="00BA5923"/>
    <w:rsid w:val="00BA7CDD"/>
    <w:rsid w:val="00BB106F"/>
    <w:rsid w:val="00BB7216"/>
    <w:rsid w:val="00BB75F3"/>
    <w:rsid w:val="00BC1A1A"/>
    <w:rsid w:val="00BC699D"/>
    <w:rsid w:val="00BC704B"/>
    <w:rsid w:val="00BD19A4"/>
    <w:rsid w:val="00BD2765"/>
    <w:rsid w:val="00BD2940"/>
    <w:rsid w:val="00BD331A"/>
    <w:rsid w:val="00BD788C"/>
    <w:rsid w:val="00BD7913"/>
    <w:rsid w:val="00BD79F0"/>
    <w:rsid w:val="00BE140D"/>
    <w:rsid w:val="00BE53DD"/>
    <w:rsid w:val="00C04DB7"/>
    <w:rsid w:val="00C10C14"/>
    <w:rsid w:val="00C12809"/>
    <w:rsid w:val="00C12949"/>
    <w:rsid w:val="00C13E28"/>
    <w:rsid w:val="00C157E9"/>
    <w:rsid w:val="00C16E7D"/>
    <w:rsid w:val="00C23049"/>
    <w:rsid w:val="00C23A0B"/>
    <w:rsid w:val="00C24E8A"/>
    <w:rsid w:val="00C2749B"/>
    <w:rsid w:val="00C32E09"/>
    <w:rsid w:val="00C330EA"/>
    <w:rsid w:val="00C3678B"/>
    <w:rsid w:val="00C376D7"/>
    <w:rsid w:val="00C40B38"/>
    <w:rsid w:val="00C422D2"/>
    <w:rsid w:val="00C42482"/>
    <w:rsid w:val="00C429A2"/>
    <w:rsid w:val="00C42AF5"/>
    <w:rsid w:val="00C45328"/>
    <w:rsid w:val="00C501FD"/>
    <w:rsid w:val="00C5223D"/>
    <w:rsid w:val="00C52497"/>
    <w:rsid w:val="00C55534"/>
    <w:rsid w:val="00C56663"/>
    <w:rsid w:val="00C56BFC"/>
    <w:rsid w:val="00C5749B"/>
    <w:rsid w:val="00C6277F"/>
    <w:rsid w:val="00C6473E"/>
    <w:rsid w:val="00C67473"/>
    <w:rsid w:val="00C7410B"/>
    <w:rsid w:val="00C817B9"/>
    <w:rsid w:val="00C81AF6"/>
    <w:rsid w:val="00C81EA7"/>
    <w:rsid w:val="00C8217C"/>
    <w:rsid w:val="00C87B3A"/>
    <w:rsid w:val="00C87F71"/>
    <w:rsid w:val="00C947CE"/>
    <w:rsid w:val="00C96169"/>
    <w:rsid w:val="00C965D2"/>
    <w:rsid w:val="00CA1D78"/>
    <w:rsid w:val="00CA2384"/>
    <w:rsid w:val="00CA2E48"/>
    <w:rsid w:val="00CA33FF"/>
    <w:rsid w:val="00CA3754"/>
    <w:rsid w:val="00CA3C72"/>
    <w:rsid w:val="00CA6648"/>
    <w:rsid w:val="00CA7DC1"/>
    <w:rsid w:val="00CB6099"/>
    <w:rsid w:val="00CB660B"/>
    <w:rsid w:val="00CB7272"/>
    <w:rsid w:val="00CC504C"/>
    <w:rsid w:val="00CC7CB0"/>
    <w:rsid w:val="00CD0437"/>
    <w:rsid w:val="00CD114F"/>
    <w:rsid w:val="00CD46EC"/>
    <w:rsid w:val="00CD612B"/>
    <w:rsid w:val="00CD7143"/>
    <w:rsid w:val="00CE0842"/>
    <w:rsid w:val="00CE0F19"/>
    <w:rsid w:val="00CE2C9C"/>
    <w:rsid w:val="00CE3A99"/>
    <w:rsid w:val="00CE41CF"/>
    <w:rsid w:val="00CE46E3"/>
    <w:rsid w:val="00CF3B6F"/>
    <w:rsid w:val="00CF6FB0"/>
    <w:rsid w:val="00D01170"/>
    <w:rsid w:val="00D04EC6"/>
    <w:rsid w:val="00D10D75"/>
    <w:rsid w:val="00D11F38"/>
    <w:rsid w:val="00D14B45"/>
    <w:rsid w:val="00D15C4B"/>
    <w:rsid w:val="00D2256C"/>
    <w:rsid w:val="00D27C16"/>
    <w:rsid w:val="00D30B6D"/>
    <w:rsid w:val="00D365AC"/>
    <w:rsid w:val="00D43168"/>
    <w:rsid w:val="00D4333B"/>
    <w:rsid w:val="00D446C8"/>
    <w:rsid w:val="00D56824"/>
    <w:rsid w:val="00D5761C"/>
    <w:rsid w:val="00D60825"/>
    <w:rsid w:val="00D65FD1"/>
    <w:rsid w:val="00D742FD"/>
    <w:rsid w:val="00D756EF"/>
    <w:rsid w:val="00D82D30"/>
    <w:rsid w:val="00D83812"/>
    <w:rsid w:val="00D875BC"/>
    <w:rsid w:val="00D921CE"/>
    <w:rsid w:val="00D92503"/>
    <w:rsid w:val="00D95F60"/>
    <w:rsid w:val="00D9722E"/>
    <w:rsid w:val="00DA33AB"/>
    <w:rsid w:val="00DA68D9"/>
    <w:rsid w:val="00DB5A81"/>
    <w:rsid w:val="00DC1C8C"/>
    <w:rsid w:val="00DC1D8F"/>
    <w:rsid w:val="00DC6296"/>
    <w:rsid w:val="00DC7844"/>
    <w:rsid w:val="00DD25EC"/>
    <w:rsid w:val="00DD675A"/>
    <w:rsid w:val="00DD7BF7"/>
    <w:rsid w:val="00DE057B"/>
    <w:rsid w:val="00DE0A5C"/>
    <w:rsid w:val="00DE3508"/>
    <w:rsid w:val="00DE3535"/>
    <w:rsid w:val="00DE3B6B"/>
    <w:rsid w:val="00DE5085"/>
    <w:rsid w:val="00DF016E"/>
    <w:rsid w:val="00DF0374"/>
    <w:rsid w:val="00DF170F"/>
    <w:rsid w:val="00DF4763"/>
    <w:rsid w:val="00DF664B"/>
    <w:rsid w:val="00DF6E0D"/>
    <w:rsid w:val="00DF6E8F"/>
    <w:rsid w:val="00DF78B3"/>
    <w:rsid w:val="00E017AA"/>
    <w:rsid w:val="00E02BE4"/>
    <w:rsid w:val="00E05B49"/>
    <w:rsid w:val="00E05C63"/>
    <w:rsid w:val="00E079D5"/>
    <w:rsid w:val="00E12256"/>
    <w:rsid w:val="00E124FD"/>
    <w:rsid w:val="00E132BC"/>
    <w:rsid w:val="00E1427A"/>
    <w:rsid w:val="00E1616D"/>
    <w:rsid w:val="00E163AF"/>
    <w:rsid w:val="00E16F79"/>
    <w:rsid w:val="00E1711B"/>
    <w:rsid w:val="00E27688"/>
    <w:rsid w:val="00E308EC"/>
    <w:rsid w:val="00E30A1E"/>
    <w:rsid w:val="00E32857"/>
    <w:rsid w:val="00E337FD"/>
    <w:rsid w:val="00E33A26"/>
    <w:rsid w:val="00E3531D"/>
    <w:rsid w:val="00E3741F"/>
    <w:rsid w:val="00E4405E"/>
    <w:rsid w:val="00E4560B"/>
    <w:rsid w:val="00E47FC6"/>
    <w:rsid w:val="00E50368"/>
    <w:rsid w:val="00E515F9"/>
    <w:rsid w:val="00E52C72"/>
    <w:rsid w:val="00E5332E"/>
    <w:rsid w:val="00E533CB"/>
    <w:rsid w:val="00E538D0"/>
    <w:rsid w:val="00E63AEA"/>
    <w:rsid w:val="00E664B4"/>
    <w:rsid w:val="00E7155B"/>
    <w:rsid w:val="00E71E70"/>
    <w:rsid w:val="00E72105"/>
    <w:rsid w:val="00E726E9"/>
    <w:rsid w:val="00E72E1E"/>
    <w:rsid w:val="00E72E5F"/>
    <w:rsid w:val="00E734E2"/>
    <w:rsid w:val="00E75E27"/>
    <w:rsid w:val="00E805A2"/>
    <w:rsid w:val="00E8221C"/>
    <w:rsid w:val="00E8457C"/>
    <w:rsid w:val="00E861B8"/>
    <w:rsid w:val="00E86D6C"/>
    <w:rsid w:val="00E95DD2"/>
    <w:rsid w:val="00E9770D"/>
    <w:rsid w:val="00E978FC"/>
    <w:rsid w:val="00E97BBD"/>
    <w:rsid w:val="00EA2190"/>
    <w:rsid w:val="00EA581B"/>
    <w:rsid w:val="00EB1D0A"/>
    <w:rsid w:val="00EB7CB7"/>
    <w:rsid w:val="00EC189D"/>
    <w:rsid w:val="00EC1FEA"/>
    <w:rsid w:val="00EC690D"/>
    <w:rsid w:val="00EC7414"/>
    <w:rsid w:val="00ED1FAA"/>
    <w:rsid w:val="00ED5543"/>
    <w:rsid w:val="00ED7696"/>
    <w:rsid w:val="00EE44FE"/>
    <w:rsid w:val="00EE475E"/>
    <w:rsid w:val="00EE4B24"/>
    <w:rsid w:val="00EE59A4"/>
    <w:rsid w:val="00EE6A18"/>
    <w:rsid w:val="00EE74E9"/>
    <w:rsid w:val="00EF10B8"/>
    <w:rsid w:val="00EF12CD"/>
    <w:rsid w:val="00EF6031"/>
    <w:rsid w:val="00F0236F"/>
    <w:rsid w:val="00F029A8"/>
    <w:rsid w:val="00F06920"/>
    <w:rsid w:val="00F07C24"/>
    <w:rsid w:val="00F11579"/>
    <w:rsid w:val="00F14042"/>
    <w:rsid w:val="00F22CF5"/>
    <w:rsid w:val="00F24F83"/>
    <w:rsid w:val="00F25B41"/>
    <w:rsid w:val="00F31024"/>
    <w:rsid w:val="00F31291"/>
    <w:rsid w:val="00F32BAD"/>
    <w:rsid w:val="00F349E9"/>
    <w:rsid w:val="00F376F3"/>
    <w:rsid w:val="00F37B40"/>
    <w:rsid w:val="00F4102E"/>
    <w:rsid w:val="00F42793"/>
    <w:rsid w:val="00F47A4D"/>
    <w:rsid w:val="00F51DE3"/>
    <w:rsid w:val="00F60AA5"/>
    <w:rsid w:val="00F629E3"/>
    <w:rsid w:val="00F64402"/>
    <w:rsid w:val="00F64D60"/>
    <w:rsid w:val="00F654CD"/>
    <w:rsid w:val="00F73E77"/>
    <w:rsid w:val="00F743A8"/>
    <w:rsid w:val="00F75295"/>
    <w:rsid w:val="00F754E4"/>
    <w:rsid w:val="00F76C72"/>
    <w:rsid w:val="00F81E3E"/>
    <w:rsid w:val="00F82631"/>
    <w:rsid w:val="00F84EAB"/>
    <w:rsid w:val="00F85975"/>
    <w:rsid w:val="00F8600A"/>
    <w:rsid w:val="00F8740D"/>
    <w:rsid w:val="00F8795B"/>
    <w:rsid w:val="00F91A46"/>
    <w:rsid w:val="00F92D50"/>
    <w:rsid w:val="00FA0DFA"/>
    <w:rsid w:val="00FA2B72"/>
    <w:rsid w:val="00FA5A51"/>
    <w:rsid w:val="00FA5EFC"/>
    <w:rsid w:val="00FA6DE5"/>
    <w:rsid w:val="00FB0E2A"/>
    <w:rsid w:val="00FB0EE0"/>
    <w:rsid w:val="00FB12D0"/>
    <w:rsid w:val="00FB2B99"/>
    <w:rsid w:val="00FB7EFF"/>
    <w:rsid w:val="00FC0FB4"/>
    <w:rsid w:val="00FC38E5"/>
    <w:rsid w:val="00FC3BEC"/>
    <w:rsid w:val="00FC64F9"/>
    <w:rsid w:val="00FD3C51"/>
    <w:rsid w:val="00FD6B77"/>
    <w:rsid w:val="00FE0A98"/>
    <w:rsid w:val="00FE2F6B"/>
    <w:rsid w:val="00FE329C"/>
    <w:rsid w:val="00FF0DEB"/>
    <w:rsid w:val="00FF1620"/>
    <w:rsid w:val="00FF17B6"/>
    <w:rsid w:val="00FF240C"/>
    <w:rsid w:val="00FF3E26"/>
    <w:rsid w:val="00FF7915"/>
    <w:rsid w:val="00FF7A18"/>
    <w:rsid w:val="015F7356"/>
    <w:rsid w:val="01FA50BD"/>
    <w:rsid w:val="027D0F8C"/>
    <w:rsid w:val="03082F4B"/>
    <w:rsid w:val="031C2E9A"/>
    <w:rsid w:val="03212322"/>
    <w:rsid w:val="037D5B64"/>
    <w:rsid w:val="039A252C"/>
    <w:rsid w:val="03B60F23"/>
    <w:rsid w:val="03BB04F4"/>
    <w:rsid w:val="03EA3A7E"/>
    <w:rsid w:val="040F3665"/>
    <w:rsid w:val="04186B93"/>
    <w:rsid w:val="04C23293"/>
    <w:rsid w:val="051200B1"/>
    <w:rsid w:val="05380FEE"/>
    <w:rsid w:val="055C6BEF"/>
    <w:rsid w:val="057A17B3"/>
    <w:rsid w:val="05A943B6"/>
    <w:rsid w:val="06320490"/>
    <w:rsid w:val="063F64EF"/>
    <w:rsid w:val="06680E2F"/>
    <w:rsid w:val="06A93A70"/>
    <w:rsid w:val="06E60D29"/>
    <w:rsid w:val="06F2533E"/>
    <w:rsid w:val="06F34D00"/>
    <w:rsid w:val="06FA2821"/>
    <w:rsid w:val="07043A2A"/>
    <w:rsid w:val="078132CC"/>
    <w:rsid w:val="07D02C82"/>
    <w:rsid w:val="07F13FAE"/>
    <w:rsid w:val="08283748"/>
    <w:rsid w:val="08300060"/>
    <w:rsid w:val="087F2250"/>
    <w:rsid w:val="08B36BD6"/>
    <w:rsid w:val="08BB48CA"/>
    <w:rsid w:val="08C90A87"/>
    <w:rsid w:val="08CE42EF"/>
    <w:rsid w:val="08EF7528"/>
    <w:rsid w:val="09042877"/>
    <w:rsid w:val="090E0B90"/>
    <w:rsid w:val="092D370C"/>
    <w:rsid w:val="09886B94"/>
    <w:rsid w:val="0989722B"/>
    <w:rsid w:val="09A137B2"/>
    <w:rsid w:val="0A086CFC"/>
    <w:rsid w:val="0A454A85"/>
    <w:rsid w:val="0A5E78F5"/>
    <w:rsid w:val="0B093D05"/>
    <w:rsid w:val="0BD041D3"/>
    <w:rsid w:val="0C37664F"/>
    <w:rsid w:val="0C6E36EC"/>
    <w:rsid w:val="0C7005A3"/>
    <w:rsid w:val="0C932EED"/>
    <w:rsid w:val="0CB832EC"/>
    <w:rsid w:val="0CC86B4A"/>
    <w:rsid w:val="0CF462EF"/>
    <w:rsid w:val="0D1310E7"/>
    <w:rsid w:val="0DA80D33"/>
    <w:rsid w:val="0E822601"/>
    <w:rsid w:val="0ECA1464"/>
    <w:rsid w:val="0EE7121D"/>
    <w:rsid w:val="0F2C6214"/>
    <w:rsid w:val="0F342644"/>
    <w:rsid w:val="0F6D69BB"/>
    <w:rsid w:val="0F940F4B"/>
    <w:rsid w:val="0FA45DAA"/>
    <w:rsid w:val="0FAD2E7E"/>
    <w:rsid w:val="102A1DC3"/>
    <w:rsid w:val="10396433"/>
    <w:rsid w:val="10572E1C"/>
    <w:rsid w:val="108D683E"/>
    <w:rsid w:val="10914580"/>
    <w:rsid w:val="10FC5772"/>
    <w:rsid w:val="11124F95"/>
    <w:rsid w:val="111C5CEF"/>
    <w:rsid w:val="11457119"/>
    <w:rsid w:val="117877E3"/>
    <w:rsid w:val="11965BC6"/>
    <w:rsid w:val="11E60706"/>
    <w:rsid w:val="12490E8B"/>
    <w:rsid w:val="12704669"/>
    <w:rsid w:val="12896E2E"/>
    <w:rsid w:val="12B14039"/>
    <w:rsid w:val="12C81DAF"/>
    <w:rsid w:val="130D5CAA"/>
    <w:rsid w:val="133631BD"/>
    <w:rsid w:val="133738BE"/>
    <w:rsid w:val="13C6701A"/>
    <w:rsid w:val="13D828CF"/>
    <w:rsid w:val="13FD1F2D"/>
    <w:rsid w:val="145A112D"/>
    <w:rsid w:val="1464255A"/>
    <w:rsid w:val="14860174"/>
    <w:rsid w:val="14EE65BD"/>
    <w:rsid w:val="15894D71"/>
    <w:rsid w:val="159C048A"/>
    <w:rsid w:val="159C0FCE"/>
    <w:rsid w:val="15DD51DA"/>
    <w:rsid w:val="15F85783"/>
    <w:rsid w:val="16314110"/>
    <w:rsid w:val="166167A3"/>
    <w:rsid w:val="169E79F7"/>
    <w:rsid w:val="17231E85"/>
    <w:rsid w:val="173F24B1"/>
    <w:rsid w:val="174B01C5"/>
    <w:rsid w:val="175A16F3"/>
    <w:rsid w:val="17AF42BB"/>
    <w:rsid w:val="17D631AE"/>
    <w:rsid w:val="18644328"/>
    <w:rsid w:val="19377C8F"/>
    <w:rsid w:val="19684E57"/>
    <w:rsid w:val="19DD2B4C"/>
    <w:rsid w:val="19DF7F30"/>
    <w:rsid w:val="1A862C7C"/>
    <w:rsid w:val="1A92500D"/>
    <w:rsid w:val="1ABF7244"/>
    <w:rsid w:val="1B15592C"/>
    <w:rsid w:val="1B471160"/>
    <w:rsid w:val="1B697EA8"/>
    <w:rsid w:val="1B8A22F8"/>
    <w:rsid w:val="1B9C5C24"/>
    <w:rsid w:val="1BD16895"/>
    <w:rsid w:val="1BDC68CC"/>
    <w:rsid w:val="1BDF5D3C"/>
    <w:rsid w:val="1C850D11"/>
    <w:rsid w:val="1CB10567"/>
    <w:rsid w:val="1E03482E"/>
    <w:rsid w:val="1E1E44F7"/>
    <w:rsid w:val="1E401394"/>
    <w:rsid w:val="1E734B49"/>
    <w:rsid w:val="1E75567F"/>
    <w:rsid w:val="1E9D2342"/>
    <w:rsid w:val="1EA80785"/>
    <w:rsid w:val="1F2E5690"/>
    <w:rsid w:val="1F7532BF"/>
    <w:rsid w:val="1FB262C1"/>
    <w:rsid w:val="1FBA6F24"/>
    <w:rsid w:val="1FC53C27"/>
    <w:rsid w:val="201C198C"/>
    <w:rsid w:val="205C27EC"/>
    <w:rsid w:val="206155F1"/>
    <w:rsid w:val="20787C60"/>
    <w:rsid w:val="20943C19"/>
    <w:rsid w:val="20AE6A88"/>
    <w:rsid w:val="210E39CB"/>
    <w:rsid w:val="21653BAF"/>
    <w:rsid w:val="21815F4B"/>
    <w:rsid w:val="21B93462"/>
    <w:rsid w:val="21BD1EFA"/>
    <w:rsid w:val="21DD35C1"/>
    <w:rsid w:val="21EB72AD"/>
    <w:rsid w:val="22083562"/>
    <w:rsid w:val="221E19EC"/>
    <w:rsid w:val="22220CC5"/>
    <w:rsid w:val="226F6D90"/>
    <w:rsid w:val="22732647"/>
    <w:rsid w:val="228E1B8D"/>
    <w:rsid w:val="22CA6435"/>
    <w:rsid w:val="22FC3CDD"/>
    <w:rsid w:val="234D0E2E"/>
    <w:rsid w:val="2377320B"/>
    <w:rsid w:val="23984E73"/>
    <w:rsid w:val="23990557"/>
    <w:rsid w:val="23CD7EED"/>
    <w:rsid w:val="244F40DF"/>
    <w:rsid w:val="248F4E23"/>
    <w:rsid w:val="249A257B"/>
    <w:rsid w:val="25302AD2"/>
    <w:rsid w:val="254A2AF8"/>
    <w:rsid w:val="255B0BEB"/>
    <w:rsid w:val="259B3C93"/>
    <w:rsid w:val="25B753DF"/>
    <w:rsid w:val="25C40892"/>
    <w:rsid w:val="25D259CD"/>
    <w:rsid w:val="25EB42DB"/>
    <w:rsid w:val="2601011D"/>
    <w:rsid w:val="261C4494"/>
    <w:rsid w:val="264F1F55"/>
    <w:rsid w:val="267C3185"/>
    <w:rsid w:val="26DC3C24"/>
    <w:rsid w:val="270208D5"/>
    <w:rsid w:val="271D04C4"/>
    <w:rsid w:val="272139BD"/>
    <w:rsid w:val="272B0C0B"/>
    <w:rsid w:val="27C77474"/>
    <w:rsid w:val="27EC0621"/>
    <w:rsid w:val="27EF5481"/>
    <w:rsid w:val="27FA1BA5"/>
    <w:rsid w:val="283171CF"/>
    <w:rsid w:val="28675EDC"/>
    <w:rsid w:val="286A07D7"/>
    <w:rsid w:val="287B6958"/>
    <w:rsid w:val="288029BC"/>
    <w:rsid w:val="28C52359"/>
    <w:rsid w:val="28DC2346"/>
    <w:rsid w:val="291D2391"/>
    <w:rsid w:val="29247075"/>
    <w:rsid w:val="297939AC"/>
    <w:rsid w:val="298E4B59"/>
    <w:rsid w:val="29DA009F"/>
    <w:rsid w:val="29E46EA9"/>
    <w:rsid w:val="29EB2D38"/>
    <w:rsid w:val="2A0B4DFE"/>
    <w:rsid w:val="2A0D2B21"/>
    <w:rsid w:val="2A353D77"/>
    <w:rsid w:val="2A6B1546"/>
    <w:rsid w:val="2A887364"/>
    <w:rsid w:val="2A994305"/>
    <w:rsid w:val="2AD417E1"/>
    <w:rsid w:val="2AF55AC2"/>
    <w:rsid w:val="2AFE060C"/>
    <w:rsid w:val="2B2B6F28"/>
    <w:rsid w:val="2B425BA6"/>
    <w:rsid w:val="2BBB306C"/>
    <w:rsid w:val="2BE11B28"/>
    <w:rsid w:val="2C0C26E4"/>
    <w:rsid w:val="2C232B24"/>
    <w:rsid w:val="2C55156E"/>
    <w:rsid w:val="2C8B5ED0"/>
    <w:rsid w:val="2C9E029E"/>
    <w:rsid w:val="2D0F6B01"/>
    <w:rsid w:val="2D16168F"/>
    <w:rsid w:val="2D376058"/>
    <w:rsid w:val="2D6D2063"/>
    <w:rsid w:val="2DEA11F7"/>
    <w:rsid w:val="2DF53F49"/>
    <w:rsid w:val="2DFD89A8"/>
    <w:rsid w:val="2E2F4410"/>
    <w:rsid w:val="2E4E18AB"/>
    <w:rsid w:val="2E510244"/>
    <w:rsid w:val="2E7670F4"/>
    <w:rsid w:val="2E8E2F7F"/>
    <w:rsid w:val="2E94389C"/>
    <w:rsid w:val="2E9F2106"/>
    <w:rsid w:val="2EBE74D1"/>
    <w:rsid w:val="2F2D3029"/>
    <w:rsid w:val="2F680596"/>
    <w:rsid w:val="2F9551B6"/>
    <w:rsid w:val="2FDC70E7"/>
    <w:rsid w:val="2FE10CA9"/>
    <w:rsid w:val="2FF7387C"/>
    <w:rsid w:val="30281D23"/>
    <w:rsid w:val="304B5085"/>
    <w:rsid w:val="30DC0C98"/>
    <w:rsid w:val="31097D0B"/>
    <w:rsid w:val="310D3357"/>
    <w:rsid w:val="313553B1"/>
    <w:rsid w:val="31512995"/>
    <w:rsid w:val="315425D8"/>
    <w:rsid w:val="317F1D7B"/>
    <w:rsid w:val="3241634A"/>
    <w:rsid w:val="339F1D94"/>
    <w:rsid w:val="33E040CB"/>
    <w:rsid w:val="33EE2585"/>
    <w:rsid w:val="33F3732D"/>
    <w:rsid w:val="34476B80"/>
    <w:rsid w:val="34A86C01"/>
    <w:rsid w:val="34CC5D92"/>
    <w:rsid w:val="35097CC1"/>
    <w:rsid w:val="350F7951"/>
    <w:rsid w:val="352E7D40"/>
    <w:rsid w:val="35681E14"/>
    <w:rsid w:val="35864DA0"/>
    <w:rsid w:val="35A05E8B"/>
    <w:rsid w:val="35A63D7A"/>
    <w:rsid w:val="35AD22CB"/>
    <w:rsid w:val="35BE7316"/>
    <w:rsid w:val="35DE6EFA"/>
    <w:rsid w:val="36093FA4"/>
    <w:rsid w:val="366C0B20"/>
    <w:rsid w:val="369479CD"/>
    <w:rsid w:val="36CE5337"/>
    <w:rsid w:val="373692BD"/>
    <w:rsid w:val="373C383C"/>
    <w:rsid w:val="374351D0"/>
    <w:rsid w:val="377B67EB"/>
    <w:rsid w:val="38666E04"/>
    <w:rsid w:val="387B329C"/>
    <w:rsid w:val="38812DC7"/>
    <w:rsid w:val="38CD08FA"/>
    <w:rsid w:val="38DE382B"/>
    <w:rsid w:val="38E30E42"/>
    <w:rsid w:val="39AE200F"/>
    <w:rsid w:val="39AE7EC7"/>
    <w:rsid w:val="39C66DFA"/>
    <w:rsid w:val="39C80763"/>
    <w:rsid w:val="39E63E11"/>
    <w:rsid w:val="3A3E6C77"/>
    <w:rsid w:val="3A5A5133"/>
    <w:rsid w:val="3A9A6759"/>
    <w:rsid w:val="3B345984"/>
    <w:rsid w:val="3B3B5DB3"/>
    <w:rsid w:val="3B754DB8"/>
    <w:rsid w:val="3B9D1AEF"/>
    <w:rsid w:val="3BEA6659"/>
    <w:rsid w:val="3BF85249"/>
    <w:rsid w:val="3C035D77"/>
    <w:rsid w:val="3CA37266"/>
    <w:rsid w:val="3CBD7659"/>
    <w:rsid w:val="3CC52D38"/>
    <w:rsid w:val="3CDC3105"/>
    <w:rsid w:val="3CF56E7F"/>
    <w:rsid w:val="3D232155"/>
    <w:rsid w:val="3D3D12FD"/>
    <w:rsid w:val="3D41513B"/>
    <w:rsid w:val="3D4225DB"/>
    <w:rsid w:val="3D5543C2"/>
    <w:rsid w:val="3DA05553"/>
    <w:rsid w:val="3EDA0B8A"/>
    <w:rsid w:val="3F043BAC"/>
    <w:rsid w:val="3F0A09D5"/>
    <w:rsid w:val="3F3811B0"/>
    <w:rsid w:val="3FE21E53"/>
    <w:rsid w:val="3FEC03DF"/>
    <w:rsid w:val="3FFF4F0A"/>
    <w:rsid w:val="40016518"/>
    <w:rsid w:val="40057874"/>
    <w:rsid w:val="406214AE"/>
    <w:rsid w:val="411A73CB"/>
    <w:rsid w:val="412132CE"/>
    <w:rsid w:val="415225AA"/>
    <w:rsid w:val="419158DF"/>
    <w:rsid w:val="41AF2209"/>
    <w:rsid w:val="41B564E9"/>
    <w:rsid w:val="41E208E0"/>
    <w:rsid w:val="41E81625"/>
    <w:rsid w:val="42181B5C"/>
    <w:rsid w:val="426B4382"/>
    <w:rsid w:val="42772D26"/>
    <w:rsid w:val="4279292F"/>
    <w:rsid w:val="42823484"/>
    <w:rsid w:val="42B555FD"/>
    <w:rsid w:val="42B70DDA"/>
    <w:rsid w:val="431E0A39"/>
    <w:rsid w:val="439D3E69"/>
    <w:rsid w:val="43BE4985"/>
    <w:rsid w:val="43C311A0"/>
    <w:rsid w:val="43D366AA"/>
    <w:rsid w:val="43F3462F"/>
    <w:rsid w:val="44186E70"/>
    <w:rsid w:val="445A0AE0"/>
    <w:rsid w:val="446F7EE3"/>
    <w:rsid w:val="44BB3DAD"/>
    <w:rsid w:val="44E346A3"/>
    <w:rsid w:val="44F06DC0"/>
    <w:rsid w:val="455E0064"/>
    <w:rsid w:val="4570591D"/>
    <w:rsid w:val="45815C6A"/>
    <w:rsid w:val="458D2BAE"/>
    <w:rsid w:val="45DB3897"/>
    <w:rsid w:val="45EA7CB3"/>
    <w:rsid w:val="464949DA"/>
    <w:rsid w:val="46632651"/>
    <w:rsid w:val="46841EB6"/>
    <w:rsid w:val="4693314E"/>
    <w:rsid w:val="46F35F42"/>
    <w:rsid w:val="47000FF9"/>
    <w:rsid w:val="47CC4552"/>
    <w:rsid w:val="47D77DC3"/>
    <w:rsid w:val="47EB386F"/>
    <w:rsid w:val="48077189"/>
    <w:rsid w:val="481903DC"/>
    <w:rsid w:val="48681047"/>
    <w:rsid w:val="48DA2590"/>
    <w:rsid w:val="49425841"/>
    <w:rsid w:val="49574E8B"/>
    <w:rsid w:val="49756112"/>
    <w:rsid w:val="49841B40"/>
    <w:rsid w:val="49D8438C"/>
    <w:rsid w:val="49DE6724"/>
    <w:rsid w:val="4A20325A"/>
    <w:rsid w:val="4A3931FE"/>
    <w:rsid w:val="4A5D6CA6"/>
    <w:rsid w:val="4A6B0275"/>
    <w:rsid w:val="4AB95EED"/>
    <w:rsid w:val="4AC477B5"/>
    <w:rsid w:val="4AC96610"/>
    <w:rsid w:val="4B146BBC"/>
    <w:rsid w:val="4B3B68BB"/>
    <w:rsid w:val="4B501B06"/>
    <w:rsid w:val="4B6E4EE3"/>
    <w:rsid w:val="4B7C0448"/>
    <w:rsid w:val="4BAF6650"/>
    <w:rsid w:val="4C4337DD"/>
    <w:rsid w:val="4C6759F0"/>
    <w:rsid w:val="4C895DC8"/>
    <w:rsid w:val="4CED3D35"/>
    <w:rsid w:val="4D950505"/>
    <w:rsid w:val="4D9F7EA1"/>
    <w:rsid w:val="4DAE5A6A"/>
    <w:rsid w:val="4E2D25A3"/>
    <w:rsid w:val="4EA824BA"/>
    <w:rsid w:val="4EAA6232"/>
    <w:rsid w:val="4EB26E94"/>
    <w:rsid w:val="4F5DCF2E"/>
    <w:rsid w:val="4FCD419D"/>
    <w:rsid w:val="4FE40754"/>
    <w:rsid w:val="500A1E26"/>
    <w:rsid w:val="506F328F"/>
    <w:rsid w:val="50886689"/>
    <w:rsid w:val="509176A9"/>
    <w:rsid w:val="50B92C0A"/>
    <w:rsid w:val="50D852D8"/>
    <w:rsid w:val="51125306"/>
    <w:rsid w:val="51436C9E"/>
    <w:rsid w:val="51653F52"/>
    <w:rsid w:val="51BC60F6"/>
    <w:rsid w:val="525E7A5F"/>
    <w:rsid w:val="52E321D1"/>
    <w:rsid w:val="53041F50"/>
    <w:rsid w:val="53397AA0"/>
    <w:rsid w:val="535F2204"/>
    <w:rsid w:val="5382152B"/>
    <w:rsid w:val="54124294"/>
    <w:rsid w:val="544260AD"/>
    <w:rsid w:val="544710D7"/>
    <w:rsid w:val="54CB230F"/>
    <w:rsid w:val="551157A3"/>
    <w:rsid w:val="557355CF"/>
    <w:rsid w:val="55B55BE8"/>
    <w:rsid w:val="55CC2EFD"/>
    <w:rsid w:val="55E77D6B"/>
    <w:rsid w:val="56343C80"/>
    <w:rsid w:val="563805C7"/>
    <w:rsid w:val="564231F4"/>
    <w:rsid w:val="56903F5F"/>
    <w:rsid w:val="569F23F4"/>
    <w:rsid w:val="56ED7603"/>
    <w:rsid w:val="56F72230"/>
    <w:rsid w:val="571E445D"/>
    <w:rsid w:val="57821C5F"/>
    <w:rsid w:val="57875BC0"/>
    <w:rsid w:val="57947A7F"/>
    <w:rsid w:val="579A440E"/>
    <w:rsid w:val="57A31A70"/>
    <w:rsid w:val="57EB5A23"/>
    <w:rsid w:val="5871731C"/>
    <w:rsid w:val="58FD4709"/>
    <w:rsid w:val="59020F25"/>
    <w:rsid w:val="593E0562"/>
    <w:rsid w:val="595C1FF9"/>
    <w:rsid w:val="59725B9E"/>
    <w:rsid w:val="5A2E3047"/>
    <w:rsid w:val="5A4B378E"/>
    <w:rsid w:val="5A4C1A40"/>
    <w:rsid w:val="5AAF7442"/>
    <w:rsid w:val="5ABA77FD"/>
    <w:rsid w:val="5ACD132B"/>
    <w:rsid w:val="5ADA7E9F"/>
    <w:rsid w:val="5B196674"/>
    <w:rsid w:val="5B204DE6"/>
    <w:rsid w:val="5B8D2D21"/>
    <w:rsid w:val="5BD418EB"/>
    <w:rsid w:val="5C2C00C5"/>
    <w:rsid w:val="5C3D4D95"/>
    <w:rsid w:val="5D4F00E1"/>
    <w:rsid w:val="5D5E0913"/>
    <w:rsid w:val="5DF179D9"/>
    <w:rsid w:val="5E514E73"/>
    <w:rsid w:val="5E786589"/>
    <w:rsid w:val="5E7E2FB5"/>
    <w:rsid w:val="5E8D34ED"/>
    <w:rsid w:val="5EAA7669"/>
    <w:rsid w:val="5F295162"/>
    <w:rsid w:val="5F3E6C4E"/>
    <w:rsid w:val="5F506981"/>
    <w:rsid w:val="5F920DD6"/>
    <w:rsid w:val="5F9A19AB"/>
    <w:rsid w:val="5FC504C7"/>
    <w:rsid w:val="5FE14C64"/>
    <w:rsid w:val="5FFD35F4"/>
    <w:rsid w:val="603E2C7E"/>
    <w:rsid w:val="60795A64"/>
    <w:rsid w:val="60CC2F9D"/>
    <w:rsid w:val="60CE5DB0"/>
    <w:rsid w:val="61093C77"/>
    <w:rsid w:val="61096DE8"/>
    <w:rsid w:val="615113A2"/>
    <w:rsid w:val="6186668A"/>
    <w:rsid w:val="618B2624"/>
    <w:rsid w:val="61AC7DCD"/>
    <w:rsid w:val="61F8409E"/>
    <w:rsid w:val="61FE492D"/>
    <w:rsid w:val="6276728A"/>
    <w:rsid w:val="62E94FF3"/>
    <w:rsid w:val="63511829"/>
    <w:rsid w:val="637C6EF8"/>
    <w:rsid w:val="63AA328D"/>
    <w:rsid w:val="63CF1FE3"/>
    <w:rsid w:val="63D23E09"/>
    <w:rsid w:val="63D57455"/>
    <w:rsid w:val="63DF4596"/>
    <w:rsid w:val="64287ECD"/>
    <w:rsid w:val="649E1F3D"/>
    <w:rsid w:val="652963AD"/>
    <w:rsid w:val="658A05B5"/>
    <w:rsid w:val="659A6BA8"/>
    <w:rsid w:val="65CF70C0"/>
    <w:rsid w:val="65D56C90"/>
    <w:rsid w:val="65FE6C4B"/>
    <w:rsid w:val="66021715"/>
    <w:rsid w:val="66115CDD"/>
    <w:rsid w:val="665603F0"/>
    <w:rsid w:val="66703465"/>
    <w:rsid w:val="66CB4B3F"/>
    <w:rsid w:val="66CD08B8"/>
    <w:rsid w:val="66FE6CC3"/>
    <w:rsid w:val="670F7BDD"/>
    <w:rsid w:val="672937D0"/>
    <w:rsid w:val="67986253"/>
    <w:rsid w:val="67CD6935"/>
    <w:rsid w:val="67D563D3"/>
    <w:rsid w:val="68240BCF"/>
    <w:rsid w:val="685272C6"/>
    <w:rsid w:val="68CE5807"/>
    <w:rsid w:val="691F6C36"/>
    <w:rsid w:val="69771DFD"/>
    <w:rsid w:val="69951B60"/>
    <w:rsid w:val="69CA65E2"/>
    <w:rsid w:val="69FC367C"/>
    <w:rsid w:val="6A890F99"/>
    <w:rsid w:val="6A8949DE"/>
    <w:rsid w:val="6AB21244"/>
    <w:rsid w:val="6ABF50F6"/>
    <w:rsid w:val="6AE76F92"/>
    <w:rsid w:val="6AFB3C45"/>
    <w:rsid w:val="6B013226"/>
    <w:rsid w:val="6B2E3612"/>
    <w:rsid w:val="6B3B4041"/>
    <w:rsid w:val="6BCB3723"/>
    <w:rsid w:val="6BF76122"/>
    <w:rsid w:val="6C1F1A5F"/>
    <w:rsid w:val="6C3C4515"/>
    <w:rsid w:val="6CF40DC4"/>
    <w:rsid w:val="6D272219"/>
    <w:rsid w:val="6D2F7BD6"/>
    <w:rsid w:val="6D372470"/>
    <w:rsid w:val="6D390A55"/>
    <w:rsid w:val="6D463172"/>
    <w:rsid w:val="6D560DCE"/>
    <w:rsid w:val="6D9F3ECB"/>
    <w:rsid w:val="6DBC6CAA"/>
    <w:rsid w:val="6E847166"/>
    <w:rsid w:val="6EDE1A70"/>
    <w:rsid w:val="6F0D0563"/>
    <w:rsid w:val="6F282B2F"/>
    <w:rsid w:val="6F284CE3"/>
    <w:rsid w:val="6F3556F7"/>
    <w:rsid w:val="6F6E2A00"/>
    <w:rsid w:val="6F6F5192"/>
    <w:rsid w:val="6F8306AD"/>
    <w:rsid w:val="6FC54864"/>
    <w:rsid w:val="6FDC4D61"/>
    <w:rsid w:val="6FF93538"/>
    <w:rsid w:val="6FFD3115"/>
    <w:rsid w:val="700C2451"/>
    <w:rsid w:val="702652D7"/>
    <w:rsid w:val="70344855"/>
    <w:rsid w:val="703D085C"/>
    <w:rsid w:val="705D4A5A"/>
    <w:rsid w:val="70603549"/>
    <w:rsid w:val="706510B7"/>
    <w:rsid w:val="70660C6B"/>
    <w:rsid w:val="709C1A26"/>
    <w:rsid w:val="70B94F67"/>
    <w:rsid w:val="7105363A"/>
    <w:rsid w:val="711D243B"/>
    <w:rsid w:val="715916C6"/>
    <w:rsid w:val="718A5D23"/>
    <w:rsid w:val="71A16BC9"/>
    <w:rsid w:val="71CB0E3D"/>
    <w:rsid w:val="71D732E6"/>
    <w:rsid w:val="72C62D8B"/>
    <w:rsid w:val="733921FA"/>
    <w:rsid w:val="734800EC"/>
    <w:rsid w:val="73843460"/>
    <w:rsid w:val="739A3F53"/>
    <w:rsid w:val="73DA1661"/>
    <w:rsid w:val="73EF5B59"/>
    <w:rsid w:val="746262D2"/>
    <w:rsid w:val="74783E5C"/>
    <w:rsid w:val="74911176"/>
    <w:rsid w:val="74A013B9"/>
    <w:rsid w:val="74A20934"/>
    <w:rsid w:val="74A715D2"/>
    <w:rsid w:val="75003798"/>
    <w:rsid w:val="75385A96"/>
    <w:rsid w:val="754B42E1"/>
    <w:rsid w:val="75680FDB"/>
    <w:rsid w:val="75720FA8"/>
    <w:rsid w:val="75A31161"/>
    <w:rsid w:val="75A75459"/>
    <w:rsid w:val="75A849CA"/>
    <w:rsid w:val="75A90742"/>
    <w:rsid w:val="75D532E5"/>
    <w:rsid w:val="75FE6CDF"/>
    <w:rsid w:val="76C70E7F"/>
    <w:rsid w:val="76E063E5"/>
    <w:rsid w:val="77813724"/>
    <w:rsid w:val="778D7399"/>
    <w:rsid w:val="77D463E3"/>
    <w:rsid w:val="77E55714"/>
    <w:rsid w:val="77FA34D6"/>
    <w:rsid w:val="780659D7"/>
    <w:rsid w:val="78066298"/>
    <w:rsid w:val="78457510"/>
    <w:rsid w:val="7876107A"/>
    <w:rsid w:val="78E76E9A"/>
    <w:rsid w:val="79382508"/>
    <w:rsid w:val="79602DD6"/>
    <w:rsid w:val="79B853F7"/>
    <w:rsid w:val="79DD1219"/>
    <w:rsid w:val="79F755A3"/>
    <w:rsid w:val="7A046B4F"/>
    <w:rsid w:val="7A6115DA"/>
    <w:rsid w:val="7ABD645D"/>
    <w:rsid w:val="7B560A24"/>
    <w:rsid w:val="7B7654F7"/>
    <w:rsid w:val="7BA479E1"/>
    <w:rsid w:val="7BDA6866"/>
    <w:rsid w:val="7BFE0816"/>
    <w:rsid w:val="7C494C38"/>
    <w:rsid w:val="7C8B12AC"/>
    <w:rsid w:val="7CB51B91"/>
    <w:rsid w:val="7CC118B0"/>
    <w:rsid w:val="7CE45808"/>
    <w:rsid w:val="7D187779"/>
    <w:rsid w:val="7D2979FB"/>
    <w:rsid w:val="7D33726F"/>
    <w:rsid w:val="7D755AD9"/>
    <w:rsid w:val="7DA111E8"/>
    <w:rsid w:val="7DCC7C86"/>
    <w:rsid w:val="7DF16410"/>
    <w:rsid w:val="7E3F39F1"/>
    <w:rsid w:val="7ECF73E8"/>
    <w:rsid w:val="7EEA6053"/>
    <w:rsid w:val="7F6F47AA"/>
    <w:rsid w:val="7F7758B1"/>
    <w:rsid w:val="7F82628B"/>
    <w:rsid w:val="7F9E186F"/>
    <w:rsid w:val="7FE46423"/>
    <w:rsid w:val="7FE82C9C"/>
    <w:rsid w:val="7FF07699"/>
    <w:rsid w:val="875B2D82"/>
    <w:rsid w:val="9BFD8444"/>
    <w:rsid w:val="ADF7F7A1"/>
    <w:rsid w:val="AFDA8E38"/>
    <w:rsid w:val="AFEDA39C"/>
    <w:rsid w:val="B77EFB20"/>
    <w:rsid w:val="BEB77219"/>
    <w:rsid w:val="BFFF17C2"/>
    <w:rsid w:val="C57FB165"/>
    <w:rsid w:val="D3FEBF7C"/>
    <w:rsid w:val="D9F457FB"/>
    <w:rsid w:val="EFEF0243"/>
    <w:rsid w:val="FAEE751D"/>
    <w:rsid w:val="FDB69E19"/>
    <w:rsid w:val="FE1FAC09"/>
    <w:rsid w:val="FFC5E9AE"/>
    <w:rsid w:val="FFE70A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iPriority="0" w:semiHidden="0"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qFormat="1" w:unhideWhenUsed="0" w:uiPriority="0" w:semiHidden="0"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6"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6"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unhideWhenUsed/>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150"/>
    <w:autoRedefine/>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18"/>
    <w:autoRedefine/>
    <w:unhideWhenUsed/>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194"/>
    <w:autoRedefine/>
    <w:unhideWhenUsed/>
    <w:qFormat/>
    <w:uiPriority w:val="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81"/>
    <w:autoRedefine/>
    <w:unhideWhenUsed/>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80"/>
    <w:autoRedefine/>
    <w:qFormat/>
    <w:uiPriority w:val="9"/>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199"/>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19"/>
    <w:autoRedefine/>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11">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2">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3">
    <w:name w:val="Normal Indent"/>
    <w:basedOn w:val="1"/>
    <w:next w:val="1"/>
    <w:link w:val="114"/>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caption"/>
    <w:basedOn w:val="1"/>
    <w:next w:val="1"/>
    <w:link w:val="343"/>
    <w:autoRedefine/>
    <w:qFormat/>
    <w:uiPriority w:val="0"/>
    <w:rPr>
      <w:b/>
      <w:sz w:val="28"/>
      <w:szCs w:val="20"/>
    </w:rPr>
  </w:style>
  <w:style w:type="paragraph" w:styleId="15">
    <w:name w:val="index 5"/>
    <w:basedOn w:val="1"/>
    <w:next w:val="1"/>
    <w:autoRedefine/>
    <w:qFormat/>
    <w:uiPriority w:val="0"/>
    <w:pPr>
      <w:adjustRightInd/>
      <w:ind w:left="800" w:leftChars="800" w:firstLine="200" w:firstLineChars="200"/>
    </w:pPr>
  </w:style>
  <w:style w:type="paragraph" w:styleId="16">
    <w:name w:val="Document Map"/>
    <w:basedOn w:val="1"/>
    <w:link w:val="130"/>
    <w:qFormat/>
    <w:uiPriority w:val="6"/>
    <w:pPr>
      <w:shd w:val="clear" w:color="auto" w:fill="000080"/>
    </w:pPr>
    <w:rPr>
      <w:rFonts w:ascii="Arial" w:hAnsi="Arial" w:eastAsia="黑体"/>
      <w:snapToGrid w:val="0"/>
    </w:rPr>
  </w:style>
  <w:style w:type="paragraph" w:styleId="17">
    <w:name w:val="annotation text"/>
    <w:basedOn w:val="1"/>
    <w:link w:val="291"/>
    <w:qFormat/>
    <w:uiPriority w:val="99"/>
    <w:pPr>
      <w:jc w:val="left"/>
    </w:pPr>
  </w:style>
  <w:style w:type="paragraph" w:styleId="18">
    <w:name w:val="Salutation"/>
    <w:basedOn w:val="1"/>
    <w:next w:val="1"/>
    <w:link w:val="279"/>
    <w:autoRedefine/>
    <w:qFormat/>
    <w:uiPriority w:val="0"/>
    <w:rPr>
      <w:rFonts w:ascii="仿宋_GB2312" w:eastAsia="仿宋_GB2312"/>
      <w:sz w:val="28"/>
      <w:szCs w:val="20"/>
    </w:rPr>
  </w:style>
  <w:style w:type="paragraph" w:styleId="19">
    <w:name w:val="Body Text 3"/>
    <w:basedOn w:val="1"/>
    <w:link w:val="273"/>
    <w:autoRedefine/>
    <w:qFormat/>
    <w:uiPriority w:val="0"/>
    <w:pPr>
      <w:jc w:val="center"/>
    </w:pPr>
    <w:rPr>
      <w:szCs w:val="20"/>
    </w:rPr>
  </w:style>
  <w:style w:type="paragraph" w:styleId="20">
    <w:name w:val="Body Text"/>
    <w:basedOn w:val="1"/>
    <w:next w:val="21"/>
    <w:link w:val="86"/>
    <w:autoRedefine/>
    <w:qFormat/>
    <w:uiPriority w:val="0"/>
    <w:pPr>
      <w:autoSpaceDE w:val="0"/>
      <w:autoSpaceDN w:val="0"/>
      <w:spacing w:line="360" w:lineRule="auto"/>
    </w:pPr>
    <w:rPr>
      <w:rFonts w:ascii="宋体" w:hAnsi="Arial" w:eastAsia="黑体"/>
      <w:snapToGrid w:val="0"/>
      <w:sz w:val="24"/>
      <w:szCs w:val="21"/>
      <w:lang w:val="zh-CN"/>
    </w:rPr>
  </w:style>
  <w:style w:type="paragraph" w:styleId="21">
    <w:name w:val="Body Text First Indent"/>
    <w:basedOn w:val="20"/>
    <w:next w:val="1"/>
    <w:link w:val="788"/>
    <w:autoRedefine/>
    <w:unhideWhenUsed/>
    <w:qFormat/>
    <w:uiPriority w:val="99"/>
    <w:pPr>
      <w:autoSpaceDE/>
      <w:autoSpaceDN/>
      <w:spacing w:after="120" w:line="240" w:lineRule="auto"/>
      <w:ind w:firstLine="420" w:firstLineChars="100"/>
    </w:pPr>
    <w:rPr>
      <w:rFonts w:ascii="Times New Roman" w:hAnsi="Times New Roman" w:eastAsia="宋体"/>
      <w:snapToGrid/>
      <w:sz w:val="21"/>
      <w:szCs w:val="24"/>
      <w:lang w:val="en-US"/>
    </w:rPr>
  </w:style>
  <w:style w:type="paragraph" w:styleId="22">
    <w:name w:val="Body Text Indent"/>
    <w:basedOn w:val="1"/>
    <w:next w:val="23"/>
    <w:link w:val="211"/>
    <w:autoRedefine/>
    <w:qFormat/>
    <w:uiPriority w:val="99"/>
    <w:pPr>
      <w:spacing w:line="480" w:lineRule="exact"/>
      <w:ind w:firstLine="480" w:firstLineChars="200"/>
    </w:pPr>
    <w:rPr>
      <w:rFonts w:ascii="宋体" w:hAnsi="宋体"/>
      <w:sz w:val="24"/>
    </w:rPr>
  </w:style>
  <w:style w:type="paragraph" w:styleId="23">
    <w:name w:val="Body Text First Indent 2"/>
    <w:basedOn w:val="22"/>
    <w:autoRedefine/>
    <w:unhideWhenUsed/>
    <w:qFormat/>
    <w:uiPriority w:val="99"/>
    <w:pPr>
      <w:ind w:firstLine="420"/>
    </w:pPr>
  </w:style>
  <w:style w:type="paragraph" w:styleId="24">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89"/>
    <w:qFormat/>
    <w:uiPriority w:val="0"/>
    <w:pPr>
      <w:widowControl/>
      <w:adjustRightInd/>
      <w:ind w:firstLine="200" w:firstLineChars="200"/>
      <w:jc w:val="left"/>
    </w:pPr>
    <w:rPr>
      <w:rFonts w:ascii="宋体" w:hAnsi="宋体"/>
      <w:i/>
      <w:iCs/>
      <w:kern w:val="0"/>
      <w:sz w:val="24"/>
    </w:rPr>
  </w:style>
  <w:style w:type="paragraph" w:styleId="29">
    <w:name w:val="Plain Text"/>
    <w:basedOn w:val="1"/>
    <w:link w:val="155"/>
    <w:qFormat/>
    <w:uiPriority w:val="0"/>
    <w:rPr>
      <w:rFonts w:ascii="宋体" w:hAnsi="Courier New" w:eastAsia="黑体"/>
      <w:snapToGrid w:val="0"/>
      <w:szCs w:val="21"/>
    </w:rPr>
  </w:style>
  <w:style w:type="paragraph" w:styleId="30">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1">
    <w:name w:val="Date"/>
    <w:basedOn w:val="1"/>
    <w:next w:val="1"/>
    <w:link w:val="115"/>
    <w:qFormat/>
    <w:uiPriority w:val="0"/>
    <w:pPr>
      <w:ind w:left="100" w:leftChars="2500"/>
    </w:pPr>
    <w:rPr>
      <w:rFonts w:ascii="宋体"/>
      <w:sz w:val="24"/>
      <w:szCs w:val="21"/>
      <w:lang w:val="zh-CN"/>
    </w:rPr>
  </w:style>
  <w:style w:type="paragraph" w:styleId="32">
    <w:name w:val="Body Text Indent 2"/>
    <w:basedOn w:val="1"/>
    <w:link w:val="230"/>
    <w:qFormat/>
    <w:uiPriority w:val="0"/>
    <w:pPr>
      <w:spacing w:line="360" w:lineRule="auto"/>
      <w:ind w:firstLine="601"/>
      <w:textAlignment w:val="baseline"/>
    </w:pPr>
    <w:rPr>
      <w:rFonts w:ascii="宋体"/>
      <w:kern w:val="0"/>
      <w:sz w:val="28"/>
      <w:szCs w:val="20"/>
    </w:rPr>
  </w:style>
  <w:style w:type="paragraph" w:styleId="33">
    <w:name w:val="Balloon Text"/>
    <w:basedOn w:val="1"/>
    <w:link w:val="108"/>
    <w:qFormat/>
    <w:uiPriority w:val="99"/>
    <w:rPr>
      <w:sz w:val="18"/>
      <w:szCs w:val="18"/>
    </w:rPr>
  </w:style>
  <w:style w:type="paragraph" w:styleId="34">
    <w:name w:val="footer"/>
    <w:basedOn w:val="1"/>
    <w:link w:val="128"/>
    <w:qFormat/>
    <w:uiPriority w:val="99"/>
    <w:pPr>
      <w:tabs>
        <w:tab w:val="center" w:pos="4153"/>
        <w:tab w:val="right" w:pos="8306"/>
      </w:tabs>
      <w:snapToGrid w:val="0"/>
      <w:jc w:val="left"/>
    </w:pPr>
    <w:rPr>
      <w:sz w:val="18"/>
      <w:szCs w:val="18"/>
    </w:rPr>
  </w:style>
  <w:style w:type="paragraph" w:styleId="35">
    <w:name w:val="header"/>
    <w:basedOn w:val="1"/>
    <w:link w:val="168"/>
    <w:qFormat/>
    <w:uiPriority w:val="99"/>
    <w:pPr>
      <w:pBdr>
        <w:bottom w:val="single" w:color="auto" w:sz="6" w:space="1"/>
      </w:pBdr>
      <w:tabs>
        <w:tab w:val="center" w:pos="4153"/>
        <w:tab w:val="right" w:pos="8306"/>
      </w:tabs>
      <w:snapToGrid w:val="0"/>
      <w:jc w:val="right"/>
    </w:pPr>
    <w:rPr>
      <w:rFonts w:ascii="仿宋" w:hAnsi="仿宋" w:eastAsia="仿宋"/>
      <w:i/>
      <w:snapToGrid w:val="0"/>
      <w:sz w:val="18"/>
      <w:szCs w:val="18"/>
      <w:u w:val="single"/>
      <w:lang w:val="en-GB"/>
    </w:rPr>
  </w:style>
  <w:style w:type="paragraph" w:styleId="36">
    <w:name w:val="Signature"/>
    <w:basedOn w:val="1"/>
    <w:link w:val="287"/>
    <w:qFormat/>
    <w:uiPriority w:val="0"/>
    <w:pPr>
      <w:spacing w:after="600" w:line="312" w:lineRule="atLeast"/>
      <w:jc w:val="center"/>
      <w:textAlignment w:val="baseline"/>
    </w:pPr>
    <w:rPr>
      <w:rFonts w:eastAsia="仿宋_GB2312"/>
      <w:kern w:val="0"/>
      <w:sz w:val="24"/>
      <w:szCs w:val="20"/>
    </w:rPr>
  </w:style>
  <w:style w:type="paragraph" w:styleId="37">
    <w:name w:val="index heading"/>
    <w:basedOn w:val="1"/>
    <w:next w:val="38"/>
    <w:qFormat/>
    <w:uiPriority w:val="0"/>
    <w:pPr>
      <w:adjustRightInd/>
      <w:ind w:firstLine="200" w:firstLineChars="200"/>
    </w:pPr>
  </w:style>
  <w:style w:type="paragraph" w:styleId="38">
    <w:name w:val="index 1"/>
    <w:basedOn w:val="1"/>
    <w:next w:val="1"/>
    <w:qFormat/>
    <w:uiPriority w:val="0"/>
    <w:pPr>
      <w:adjustRightInd/>
      <w:spacing w:line="360" w:lineRule="auto"/>
      <w:ind w:firstLine="200" w:firstLineChars="200"/>
      <w:jc w:val="center"/>
    </w:pPr>
    <w:rPr>
      <w:sz w:val="24"/>
      <w:szCs w:val="20"/>
    </w:rPr>
  </w:style>
  <w:style w:type="paragraph" w:styleId="39">
    <w:name w:val="Subtitle"/>
    <w:link w:val="94"/>
    <w:qFormat/>
    <w:uiPriority w:val="11"/>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0">
    <w:name w:val="List Number 5"/>
    <w:basedOn w:val="1"/>
    <w:qFormat/>
    <w:uiPriority w:val="0"/>
    <w:pPr>
      <w:tabs>
        <w:tab w:val="left" w:pos="902"/>
      </w:tabs>
      <w:adjustRightInd/>
      <w:spacing w:line="400" w:lineRule="exact"/>
      <w:ind w:left="902" w:hanging="420"/>
    </w:pPr>
    <w:rPr>
      <w:sz w:val="24"/>
      <w:szCs w:val="20"/>
    </w:rPr>
  </w:style>
  <w:style w:type="paragraph" w:styleId="41">
    <w:name w:val="List"/>
    <w:basedOn w:val="1"/>
    <w:qFormat/>
    <w:uiPriority w:val="0"/>
    <w:pPr>
      <w:ind w:left="200" w:hanging="200" w:hangingChars="200"/>
    </w:pPr>
  </w:style>
  <w:style w:type="paragraph" w:styleId="42">
    <w:name w:val="footnote text"/>
    <w:basedOn w:val="13"/>
    <w:link w:val="74"/>
    <w:qFormat/>
    <w:uiPriority w:val="0"/>
    <w:pPr>
      <w:adjustRightInd/>
      <w:snapToGrid/>
      <w:spacing w:before="60" w:after="60" w:line="300" w:lineRule="exact"/>
      <w:ind w:firstLine="0"/>
    </w:pPr>
    <w:rPr>
      <w:rFonts w:ascii="Times New Roman"/>
      <w:snapToGrid/>
      <w:color w:val="0000FF"/>
      <w:kern w:val="0"/>
      <w:sz w:val="21"/>
    </w:rPr>
  </w:style>
  <w:style w:type="paragraph" w:styleId="43">
    <w:name w:val="toc 6"/>
    <w:basedOn w:val="1"/>
    <w:next w:val="1"/>
    <w:unhideWhenUsed/>
    <w:qFormat/>
    <w:uiPriority w:val="0"/>
    <w:pPr>
      <w:ind w:left="1050"/>
      <w:jc w:val="left"/>
    </w:pPr>
    <w:rPr>
      <w:sz w:val="18"/>
      <w:szCs w:val="18"/>
    </w:rPr>
  </w:style>
  <w:style w:type="paragraph" w:styleId="44">
    <w:name w:val="List 5"/>
    <w:basedOn w:val="1"/>
    <w:qFormat/>
    <w:uiPriority w:val="0"/>
    <w:pPr>
      <w:adjustRightInd/>
      <w:ind w:left="100" w:leftChars="800" w:hanging="200" w:hangingChars="200"/>
    </w:pPr>
  </w:style>
  <w:style w:type="paragraph" w:styleId="45">
    <w:name w:val="Body Text Indent 3"/>
    <w:basedOn w:val="1"/>
    <w:link w:val="137"/>
    <w:qFormat/>
    <w:uiPriority w:val="0"/>
    <w:pPr>
      <w:spacing w:line="360" w:lineRule="auto"/>
      <w:ind w:firstLine="420"/>
    </w:pPr>
    <w:rPr>
      <w:sz w:val="24"/>
      <w:szCs w:val="20"/>
    </w:rPr>
  </w:style>
  <w:style w:type="paragraph" w:styleId="46">
    <w:name w:val="Body Text 2"/>
    <w:basedOn w:val="1"/>
    <w:link w:val="243"/>
    <w:qFormat/>
    <w:uiPriority w:val="6"/>
    <w:pPr>
      <w:spacing w:after="120" w:line="480" w:lineRule="auto"/>
    </w:pPr>
    <w:rPr>
      <w:rFonts w:ascii="Arial" w:hAnsi="Arial" w:eastAsia="黑体"/>
      <w:snapToGrid w:val="0"/>
    </w:rPr>
  </w:style>
  <w:style w:type="paragraph" w:styleId="47">
    <w:name w:val="HTML Preformatted"/>
    <w:basedOn w:val="1"/>
    <w:link w:val="2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48">
    <w:name w:val="Normal (Web)"/>
    <w:basedOn w:val="1"/>
    <w:qFormat/>
    <w:uiPriority w:val="99"/>
    <w:pPr>
      <w:widowControl/>
      <w:spacing w:before="100" w:beforeAutospacing="1" w:after="100" w:afterAutospacing="1"/>
      <w:jc w:val="left"/>
    </w:pPr>
    <w:rPr>
      <w:rFonts w:ascii="宋体" w:hAnsi="宋体"/>
      <w:kern w:val="0"/>
      <w:sz w:val="24"/>
    </w:rPr>
  </w:style>
  <w:style w:type="paragraph" w:styleId="49">
    <w:name w:val="Title"/>
    <w:basedOn w:val="1"/>
    <w:next w:val="1"/>
    <w:link w:val="72"/>
    <w:qFormat/>
    <w:uiPriority w:val="10"/>
    <w:pPr>
      <w:widowControl/>
      <w:overflowPunct w:val="0"/>
      <w:autoSpaceDE w:val="0"/>
      <w:autoSpaceDN w:val="0"/>
      <w:jc w:val="center"/>
      <w:textAlignment w:val="baseline"/>
    </w:pPr>
    <w:rPr>
      <w:rFonts w:ascii="Arial" w:hAnsi="Arial" w:eastAsia="黑体"/>
      <w:b/>
      <w:snapToGrid w:val="0"/>
      <w:kern w:val="0"/>
      <w:sz w:val="24"/>
      <w:szCs w:val="21"/>
      <w:lang w:val="en-GB"/>
    </w:rPr>
  </w:style>
  <w:style w:type="paragraph" w:styleId="50">
    <w:name w:val="annotation subject"/>
    <w:basedOn w:val="17"/>
    <w:next w:val="17"/>
    <w:link w:val="224"/>
    <w:qFormat/>
    <w:uiPriority w:val="99"/>
    <w:rPr>
      <w:b/>
      <w:bCs/>
      <w:snapToGrid w:val="0"/>
    </w:rPr>
  </w:style>
  <w:style w:type="table" w:styleId="52">
    <w:name w:val="Table Grid"/>
    <w:basedOn w:val="5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22"/>
    <w:rPr>
      <w:b/>
      <w:bCs/>
    </w:rPr>
  </w:style>
  <w:style w:type="character" w:styleId="55">
    <w:name w:val="page number"/>
    <w:basedOn w:val="53"/>
    <w:qFormat/>
    <w:uiPriority w:val="0"/>
  </w:style>
  <w:style w:type="character" w:styleId="56">
    <w:name w:val="FollowedHyperlink"/>
    <w:basedOn w:val="53"/>
    <w:qFormat/>
    <w:uiPriority w:val="99"/>
    <w:rPr>
      <w:color w:val="800080"/>
      <w:u w:val="single"/>
    </w:rPr>
  </w:style>
  <w:style w:type="character" w:styleId="57">
    <w:name w:val="Emphasis"/>
    <w:qFormat/>
    <w:uiPriority w:val="0"/>
    <w:rPr>
      <w:color w:val="CC0033"/>
    </w:rPr>
  </w:style>
  <w:style w:type="character" w:styleId="58">
    <w:name w:val="line number"/>
    <w:basedOn w:val="53"/>
    <w:qFormat/>
    <w:uiPriority w:val="0"/>
  </w:style>
  <w:style w:type="character" w:styleId="59">
    <w:name w:val="Hyperlink"/>
    <w:qFormat/>
    <w:uiPriority w:val="99"/>
    <w:rPr>
      <w:color w:val="0000FF"/>
      <w:u w:val="single"/>
    </w:rPr>
  </w:style>
  <w:style w:type="character" w:styleId="60">
    <w:name w:val="HTML Code"/>
    <w:qFormat/>
    <w:uiPriority w:val="0"/>
    <w:rPr>
      <w:rFonts w:ascii="黑体" w:hAnsi="Courier New" w:eastAsia="黑体" w:cs="楷体_GB2312"/>
      <w:sz w:val="20"/>
      <w:szCs w:val="20"/>
    </w:rPr>
  </w:style>
  <w:style w:type="character" w:styleId="61">
    <w:name w:val="annotation reference"/>
    <w:qFormat/>
    <w:uiPriority w:val="99"/>
    <w:rPr>
      <w:sz w:val="21"/>
      <w:szCs w:val="21"/>
    </w:rPr>
  </w:style>
  <w:style w:type="character" w:styleId="62">
    <w:name w:val="HTML Sample"/>
    <w:basedOn w:val="53"/>
    <w:unhideWhenUsed/>
    <w:qFormat/>
    <w:uiPriority w:val="99"/>
    <w:rPr>
      <w:rFonts w:ascii="Courier New" w:hAnsi="Courier New"/>
    </w:rPr>
  </w:style>
  <w:style w:type="paragraph" w:customStyle="1" w:styleId="63">
    <w:name w:val="[Normal]"/>
    <w:qFormat/>
    <w:uiPriority w:val="0"/>
    <w:rPr>
      <w:rFonts w:ascii="宋体" w:hAnsi="宋体" w:eastAsia="宋体" w:cs="Times New Roman"/>
      <w:sz w:val="24"/>
      <w:szCs w:val="22"/>
      <w:lang w:val="zh-CN" w:eastAsia="zh-CN" w:bidi="ar-SA"/>
    </w:rPr>
  </w:style>
  <w:style w:type="character" w:customStyle="1" w:styleId="64">
    <w:name w:val="标题 1 Char"/>
    <w:qFormat/>
    <w:uiPriority w:val="9"/>
    <w:rPr>
      <w:b/>
      <w:bCs/>
      <w:kern w:val="44"/>
      <w:sz w:val="44"/>
      <w:szCs w:val="44"/>
    </w:rPr>
  </w:style>
  <w:style w:type="character" w:customStyle="1" w:styleId="65">
    <w:name w:val="文档结构图 Char"/>
    <w:link w:val="66"/>
    <w:qFormat/>
    <w:uiPriority w:val="0"/>
    <w:rPr>
      <w:rFonts w:eastAsia="宋体"/>
      <w:kern w:val="2"/>
      <w:sz w:val="21"/>
      <w:szCs w:val="24"/>
      <w:lang w:val="en-US" w:eastAsia="zh-CN" w:bidi="ar-SA"/>
    </w:rPr>
  </w:style>
  <w:style w:type="paragraph" w:customStyle="1" w:styleId="66">
    <w:name w:val="文档结构图1"/>
    <w:basedOn w:val="1"/>
    <w:link w:val="65"/>
    <w:qFormat/>
    <w:uiPriority w:val="0"/>
    <w:pPr>
      <w:shd w:val="clear" w:color="auto" w:fill="000080"/>
      <w:adjustRightInd/>
    </w:pPr>
  </w:style>
  <w:style w:type="character" w:customStyle="1" w:styleId="67">
    <w:name w:val="访问过的超链接1"/>
    <w:qFormat/>
    <w:uiPriority w:val="99"/>
    <w:rPr>
      <w:color w:val="800080"/>
      <w:u w:val="single"/>
    </w:rPr>
  </w:style>
  <w:style w:type="character" w:customStyle="1" w:styleId="68">
    <w:name w:val="dectext1"/>
    <w:qFormat/>
    <w:uiPriority w:val="0"/>
    <w:rPr>
      <w:rFonts w:ascii="宋体" w:hAnsi="宋体" w:eastAsia="宋体"/>
      <w:color w:val="333333"/>
      <w:sz w:val="21"/>
      <w:szCs w:val="21"/>
      <w:u w:val="none"/>
    </w:rPr>
  </w:style>
  <w:style w:type="character" w:customStyle="1" w:styleId="69">
    <w:name w:val="FA正文 Char Char"/>
    <w:qFormat/>
    <w:uiPriority w:val="0"/>
    <w:rPr>
      <w:rFonts w:hAnsi="宋体"/>
      <w:kern w:val="2"/>
      <w:sz w:val="24"/>
      <w:lang w:bidi="ar-SA"/>
    </w:rPr>
  </w:style>
  <w:style w:type="character" w:customStyle="1" w:styleId="70">
    <w:name w:val="样式 宋体"/>
    <w:qFormat/>
    <w:uiPriority w:val="0"/>
    <w:rPr>
      <w:rFonts w:ascii="宋体" w:hAnsi="宋体"/>
      <w:sz w:val="24"/>
    </w:rPr>
  </w:style>
  <w:style w:type="character" w:customStyle="1" w:styleId="71">
    <w:name w:val="zbggmain style9"/>
    <w:qFormat/>
    <w:uiPriority w:val="0"/>
  </w:style>
  <w:style w:type="character" w:customStyle="1" w:styleId="72">
    <w:name w:val="标题 Char1"/>
    <w:link w:val="49"/>
    <w:qFormat/>
    <w:uiPriority w:val="0"/>
    <w:rPr>
      <w:rFonts w:ascii="Arial" w:hAnsi="Arial" w:eastAsia="黑体" w:cs="Arial"/>
      <w:b/>
      <w:snapToGrid w:val="0"/>
      <w:kern w:val="0"/>
      <w:sz w:val="24"/>
      <w:szCs w:val="21"/>
      <w:lang w:val="en-GB"/>
    </w:rPr>
  </w:style>
  <w:style w:type="character" w:customStyle="1" w:styleId="73">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74">
    <w:name w:val="脚注文本 Char"/>
    <w:link w:val="42"/>
    <w:qFormat/>
    <w:uiPriority w:val="0"/>
    <w:rPr>
      <w:color w:val="0000FF"/>
      <w:sz w:val="21"/>
    </w:rPr>
  </w:style>
  <w:style w:type="character" w:customStyle="1" w:styleId="75">
    <w:name w:val="批注引用1"/>
    <w:qFormat/>
    <w:uiPriority w:val="0"/>
    <w:rPr>
      <w:sz w:val="21"/>
    </w:rPr>
  </w:style>
  <w:style w:type="character" w:customStyle="1" w:styleId="76">
    <w:name w:val="插图说明 Char"/>
    <w:qFormat/>
    <w:uiPriority w:val="0"/>
    <w:rPr>
      <w:rFonts w:eastAsia="黑体"/>
      <w:sz w:val="24"/>
      <w:lang w:val="en-US" w:eastAsia="zh-CN"/>
    </w:rPr>
  </w:style>
  <w:style w:type="character" w:customStyle="1" w:styleId="77">
    <w:name w:val="font21"/>
    <w:qFormat/>
    <w:uiPriority w:val="0"/>
    <w:rPr>
      <w:rFonts w:hint="eastAsia" w:ascii="宋体" w:hAnsi="宋体" w:eastAsia="宋体"/>
      <w:kern w:val="2"/>
      <w:sz w:val="28"/>
      <w:szCs w:val="28"/>
      <w:lang w:val="en-US" w:eastAsia="zh-CN" w:bidi="ar-SA"/>
    </w:rPr>
  </w:style>
  <w:style w:type="character" w:customStyle="1" w:styleId="78">
    <w:name w:val="Char Char Char Char Char"/>
    <w:link w:val="79"/>
    <w:qFormat/>
    <w:uiPriority w:val="0"/>
    <w:rPr>
      <w:rFonts w:ascii="仿宋_GB2312" w:eastAsia="仿宋_GB2312"/>
      <w:b/>
      <w:kern w:val="2"/>
      <w:sz w:val="32"/>
      <w:szCs w:val="32"/>
    </w:rPr>
  </w:style>
  <w:style w:type="paragraph" w:customStyle="1" w:styleId="79">
    <w:name w:val="Char"/>
    <w:basedOn w:val="1"/>
    <w:link w:val="78"/>
    <w:qFormat/>
    <w:uiPriority w:val="0"/>
    <w:rPr>
      <w:rFonts w:ascii="仿宋_GB2312" w:eastAsia="仿宋_GB2312"/>
      <w:b/>
      <w:sz w:val="32"/>
      <w:szCs w:val="32"/>
    </w:rPr>
  </w:style>
  <w:style w:type="character" w:customStyle="1" w:styleId="80">
    <w:name w:val="标题 7 Char"/>
    <w:link w:val="8"/>
    <w:qFormat/>
    <w:uiPriority w:val="9"/>
    <w:rPr>
      <w:b/>
      <w:bCs/>
      <w:kern w:val="2"/>
      <w:sz w:val="24"/>
      <w:szCs w:val="24"/>
    </w:rPr>
  </w:style>
  <w:style w:type="character" w:customStyle="1" w:styleId="81">
    <w:name w:val="样式3 Char"/>
    <w:basedOn w:val="82"/>
    <w:qFormat/>
    <w:uiPriority w:val="0"/>
    <w:rPr>
      <w:rFonts w:ascii="仿宋_GB2312" w:hAnsi="仿宋" w:eastAsia="仿宋_GB2312" w:cs="仿宋_GB2312"/>
      <w:sz w:val="32"/>
      <w:szCs w:val="30"/>
      <w:lang w:val="zh-CN"/>
    </w:rPr>
  </w:style>
  <w:style w:type="character" w:customStyle="1" w:styleId="82">
    <w:name w:val="样式2 Char"/>
    <w:qFormat/>
    <w:uiPriority w:val="0"/>
    <w:rPr>
      <w:rFonts w:ascii="仿宋_GB2312" w:hAnsi="仿宋" w:eastAsia="仿宋_GB2312" w:cs="仿宋_GB2312"/>
      <w:b/>
      <w:bCs/>
      <w:sz w:val="32"/>
      <w:szCs w:val="30"/>
      <w:lang w:val="zh-CN"/>
    </w:rPr>
  </w:style>
  <w:style w:type="character" w:customStyle="1" w:styleId="83">
    <w:name w:val="样式 样式 标题 4h4H4Fab-4T5Ref Heading 1rh1Heading sqlsect 1.2.3.... +... Char"/>
    <w:link w:val="84"/>
    <w:qFormat/>
    <w:uiPriority w:val="0"/>
    <w:rPr>
      <w:rFonts w:ascii="微软雅黑" w:hAnsi="微软雅黑" w:eastAsia="微软雅黑"/>
      <w:b/>
      <w:bCs/>
      <w:kern w:val="2"/>
      <w:sz w:val="24"/>
      <w:szCs w:val="28"/>
    </w:rPr>
  </w:style>
  <w:style w:type="paragraph" w:customStyle="1" w:styleId="84">
    <w:name w:val="样式 样式 标题 4h4H4Fab-4T5Ref Heading 1rh1Heading sqlsect 1.2.3.... +..."/>
    <w:basedOn w:val="85"/>
    <w:link w:val="83"/>
    <w:qFormat/>
    <w:uiPriority w:val="0"/>
    <w:pPr>
      <w:tabs>
        <w:tab w:val="left" w:pos="864"/>
        <w:tab w:val="left" w:pos="2356"/>
      </w:tabs>
    </w:pPr>
  </w:style>
  <w:style w:type="paragraph" w:customStyle="1" w:styleId="85">
    <w:name w:val="样式 标题 4h4H4Fab-4T5Ref Heading 1rh1Heading sqlsect 1.2.3...."/>
    <w:basedOn w:val="5"/>
    <w:link w:val="147"/>
    <w:qFormat/>
    <w:uiPriority w:val="0"/>
    <w:p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86">
    <w:name w:val="正文文本 Char1"/>
    <w:link w:val="20"/>
    <w:qFormat/>
    <w:uiPriority w:val="6"/>
    <w:rPr>
      <w:rFonts w:ascii="宋体" w:hAnsi="Arial" w:eastAsia="黑体" w:cs="Arial"/>
      <w:snapToGrid w:val="0"/>
      <w:kern w:val="2"/>
      <w:sz w:val="24"/>
      <w:szCs w:val="21"/>
      <w:lang w:val="zh-CN"/>
    </w:rPr>
  </w:style>
  <w:style w:type="character" w:customStyle="1" w:styleId="87">
    <w:name w:val="表正文 Char"/>
    <w:qFormat/>
    <w:uiPriority w:val="0"/>
    <w:rPr>
      <w:rFonts w:ascii="宋体" w:eastAsia="宋体"/>
      <w:snapToGrid w:val="0"/>
      <w:color w:val="000000"/>
      <w:kern w:val="28"/>
      <w:sz w:val="28"/>
      <w:lang w:val="en-US" w:eastAsia="zh-CN" w:bidi="ar-SA"/>
    </w:rPr>
  </w:style>
  <w:style w:type="character" w:customStyle="1" w:styleId="88">
    <w:name w:val="列出段落 Char"/>
    <w:qFormat/>
    <w:uiPriority w:val="34"/>
    <w:rPr>
      <w:rFonts w:eastAsia="楷体_GB2312" w:cs="Lucida Sans"/>
      <w:kern w:val="2"/>
      <w:sz w:val="24"/>
      <w:szCs w:val="24"/>
      <w:lang w:val="en-US" w:eastAsia="zh-CN" w:bidi="ar-SA"/>
    </w:rPr>
  </w:style>
  <w:style w:type="character" w:customStyle="1" w:styleId="89">
    <w:name w:val="HTML 地址 Char"/>
    <w:link w:val="28"/>
    <w:qFormat/>
    <w:uiPriority w:val="0"/>
    <w:rPr>
      <w:rFonts w:ascii="宋体" w:hAnsi="宋体"/>
      <w:i/>
      <w:iCs/>
      <w:sz w:val="24"/>
      <w:szCs w:val="24"/>
    </w:rPr>
  </w:style>
  <w:style w:type="character" w:customStyle="1" w:styleId="90">
    <w:name w:val="Normal Indent Char Char"/>
    <w:qFormat/>
    <w:uiPriority w:val="0"/>
    <w:rPr>
      <w:rFonts w:eastAsia="宋体"/>
      <w:kern w:val="2"/>
      <w:sz w:val="21"/>
      <w:lang w:val="en-US" w:eastAsia="zh-CN" w:bidi="ar-SA"/>
    </w:rPr>
  </w:style>
  <w:style w:type="character" w:customStyle="1" w:styleId="91">
    <w:name w:val="Char Char12"/>
    <w:qFormat/>
    <w:uiPriority w:val="0"/>
    <w:rPr>
      <w:rFonts w:ascii="仿宋_GB2312" w:eastAsia="仿宋_GB2312"/>
      <w:b/>
      <w:bCs/>
      <w:kern w:val="2"/>
      <w:sz w:val="24"/>
      <w:szCs w:val="24"/>
      <w:lang w:val="zh-CN"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Char Char41"/>
    <w:qFormat/>
    <w:uiPriority w:val="0"/>
    <w:rPr>
      <w:rFonts w:eastAsia="宋体"/>
      <w:b/>
      <w:sz w:val="24"/>
      <w:lang w:val="en-GB" w:eastAsia="zh-CN" w:bidi="ar-SA"/>
    </w:rPr>
  </w:style>
  <w:style w:type="character" w:customStyle="1" w:styleId="94">
    <w:name w:val="副标题 Char"/>
    <w:link w:val="39"/>
    <w:qFormat/>
    <w:uiPriority w:val="11"/>
    <w:rPr>
      <w:rFonts w:ascii="Arial" w:hAnsi="Arial" w:eastAsia="隶书"/>
      <w:b/>
      <w:bCs/>
      <w:kern w:val="28"/>
      <w:sz w:val="44"/>
      <w:szCs w:val="32"/>
      <w:lang w:val="en-US" w:eastAsia="zh-CN" w:bidi="ar-SA"/>
    </w:rPr>
  </w:style>
  <w:style w:type="character" w:customStyle="1" w:styleId="95">
    <w:name w:val="二级标题 Char Char"/>
    <w:qFormat/>
    <w:uiPriority w:val="0"/>
    <w:rPr>
      <w:rFonts w:ascii="宋体" w:hAnsi="宋体" w:eastAsia="宋体"/>
      <w:b/>
      <w:snapToGrid w:val="0"/>
      <w:kern w:val="2"/>
      <w:sz w:val="24"/>
      <w:szCs w:val="24"/>
      <w:lang w:val="en-US" w:eastAsia="zh-CN" w:bidi="ar-SA"/>
    </w:rPr>
  </w:style>
  <w:style w:type="character" w:customStyle="1" w:styleId="96">
    <w:name w:val="Document Map Char"/>
    <w:qFormat/>
    <w:uiPriority w:val="0"/>
    <w:rPr>
      <w:rFonts w:eastAsia="宋体"/>
      <w:kern w:val="2"/>
      <w:sz w:val="21"/>
      <w:szCs w:val="24"/>
      <w:lang w:val="en-US" w:eastAsia="zh-CN" w:bidi="ar-SA"/>
    </w:rPr>
  </w:style>
  <w:style w:type="character" w:customStyle="1" w:styleId="97">
    <w:name w:val="正文首行缩进两字 Char"/>
    <w:qFormat/>
    <w:uiPriority w:val="0"/>
    <w:rPr>
      <w:sz w:val="24"/>
      <w:szCs w:val="24"/>
      <w:lang w:val="en-US" w:eastAsia="zh-CN" w:bidi="ar-SA"/>
    </w:rPr>
  </w:style>
  <w:style w:type="character" w:customStyle="1" w:styleId="98">
    <w:name w:val="HTML 地址 Char1"/>
    <w:qFormat/>
    <w:uiPriority w:val="99"/>
    <w:rPr>
      <w:rFonts w:ascii="Times New Roman" w:hAnsi="Times New Roman" w:eastAsia="宋体" w:cs="Times New Roman"/>
      <w:i/>
      <w:iCs/>
      <w:szCs w:val="24"/>
    </w:rPr>
  </w:style>
  <w:style w:type="character" w:customStyle="1" w:styleId="99">
    <w:name w:val="正文2 Char Char"/>
    <w:link w:val="100"/>
    <w:qFormat/>
    <w:uiPriority w:val="0"/>
    <w:rPr>
      <w:rFonts w:eastAsia="宋体"/>
      <w:kern w:val="2"/>
      <w:sz w:val="24"/>
      <w:lang w:val="en-US" w:eastAsia="zh-CN" w:bidi="ar-SA"/>
    </w:rPr>
  </w:style>
  <w:style w:type="paragraph" w:customStyle="1" w:styleId="100">
    <w:name w:val="正文2"/>
    <w:basedOn w:val="1"/>
    <w:link w:val="99"/>
    <w:qFormat/>
    <w:uiPriority w:val="0"/>
    <w:pPr>
      <w:spacing w:before="156" w:line="360" w:lineRule="auto"/>
      <w:ind w:firstLine="510" w:firstLineChars="200"/>
    </w:pPr>
    <w:rPr>
      <w:sz w:val="24"/>
      <w:szCs w:val="20"/>
    </w:rPr>
  </w:style>
  <w:style w:type="character" w:customStyle="1" w:styleId="101">
    <w:name w:val="日期 Char1"/>
    <w:qFormat/>
    <w:uiPriority w:val="0"/>
    <w:rPr>
      <w:rFonts w:ascii="Times New Roman" w:hAnsi="Times New Roman" w:eastAsia="宋体" w:cs="Times New Roman"/>
      <w:szCs w:val="24"/>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HTML 预设格式 Char1"/>
    <w:qFormat/>
    <w:uiPriority w:val="0"/>
    <w:rPr>
      <w:rFonts w:ascii="Courier New" w:hAnsi="Courier New" w:eastAsia="宋体" w:cs="Courier New"/>
      <w:sz w:val="20"/>
      <w:szCs w:val="20"/>
    </w:rPr>
  </w:style>
  <w:style w:type="character" w:customStyle="1" w:styleId="105">
    <w:name w:val="tw4winJump"/>
    <w:qFormat/>
    <w:uiPriority w:val="0"/>
    <w:rPr>
      <w:rFonts w:ascii="Courier New" w:hAnsi="Courier New" w:cs="Courier New"/>
      <w:color w:val="008080"/>
      <w:lang w:val="en-US" w:eastAsia="zh-CN"/>
    </w:rPr>
  </w:style>
  <w:style w:type="character" w:customStyle="1" w:styleId="106">
    <w:name w:val="称呼 Char1"/>
    <w:qFormat/>
    <w:uiPriority w:val="99"/>
    <w:rPr>
      <w:rFonts w:ascii="Times New Roman" w:hAnsi="Times New Roman" w:eastAsia="宋体" w:cs="Times New Roman"/>
      <w:szCs w:val="24"/>
    </w:rPr>
  </w:style>
  <w:style w:type="character" w:customStyle="1" w:styleId="107">
    <w:name w:val="Char Char26"/>
    <w:qFormat/>
    <w:uiPriority w:val="6"/>
    <w:rPr>
      <w:kern w:val="1"/>
      <w:sz w:val="21"/>
      <w:szCs w:val="24"/>
    </w:rPr>
  </w:style>
  <w:style w:type="character" w:customStyle="1" w:styleId="108">
    <w:name w:val="批注框文本 Char"/>
    <w:link w:val="33"/>
    <w:qFormat/>
    <w:uiPriority w:val="99"/>
    <w:rPr>
      <w:kern w:val="2"/>
      <w:sz w:val="18"/>
      <w:szCs w:val="18"/>
    </w:rPr>
  </w:style>
  <w:style w:type="character" w:customStyle="1" w:styleId="109">
    <w:name w:val="正文段 Char"/>
    <w:link w:val="110"/>
    <w:qFormat/>
    <w:uiPriority w:val="0"/>
    <w:rPr>
      <w:sz w:val="24"/>
    </w:rPr>
  </w:style>
  <w:style w:type="paragraph" w:customStyle="1" w:styleId="110">
    <w:name w:val="正文段"/>
    <w:basedOn w:val="1"/>
    <w:link w:val="109"/>
    <w:qFormat/>
    <w:uiPriority w:val="0"/>
    <w:pPr>
      <w:widowControl/>
      <w:snapToGrid w:val="0"/>
      <w:spacing w:afterLines="50"/>
      <w:ind w:firstLine="200" w:firstLineChars="200"/>
    </w:pPr>
    <w:rPr>
      <w:kern w:val="0"/>
      <w:sz w:val="24"/>
      <w:szCs w:val="20"/>
    </w:rPr>
  </w:style>
  <w:style w:type="character" w:customStyle="1" w:styleId="111">
    <w:name w:val="仿宋正文 Char"/>
    <w:link w:val="112"/>
    <w:qFormat/>
    <w:uiPriority w:val="0"/>
    <w:rPr>
      <w:rFonts w:ascii="仿宋_GB2312" w:eastAsia="仿宋_GB2312"/>
      <w:kern w:val="2"/>
      <w:sz w:val="24"/>
      <w:lang w:val="en-US" w:eastAsia="zh-CN" w:bidi="ar-SA"/>
    </w:rPr>
  </w:style>
  <w:style w:type="paragraph" w:customStyle="1" w:styleId="112">
    <w:name w:val="仿宋正文"/>
    <w:basedOn w:val="1"/>
    <w:link w:val="111"/>
    <w:qFormat/>
    <w:uiPriority w:val="0"/>
    <w:pPr>
      <w:adjustRightInd/>
      <w:spacing w:line="360" w:lineRule="auto"/>
      <w:ind w:firstLine="480" w:firstLineChars="200"/>
    </w:pPr>
    <w:rPr>
      <w:rFonts w:ascii="仿宋_GB2312" w:eastAsia="仿宋_GB2312"/>
      <w:sz w:val="24"/>
      <w:szCs w:val="20"/>
    </w:rPr>
  </w:style>
  <w:style w:type="character" w:customStyle="1" w:styleId="113">
    <w:name w:val="Char Char14"/>
    <w:qFormat/>
    <w:uiPriority w:val="6"/>
    <w:rPr>
      <w:rFonts w:ascii="黑体" w:hAnsi="黑体" w:eastAsia="黑体"/>
    </w:rPr>
  </w:style>
  <w:style w:type="character" w:customStyle="1" w:styleId="114">
    <w:name w:val="正文缩进 Char3"/>
    <w:link w:val="13"/>
    <w:qFormat/>
    <w:uiPriority w:val="0"/>
    <w:rPr>
      <w:rFonts w:ascii="宋体" w:eastAsia="宋体"/>
      <w:snapToGrid w:val="0"/>
      <w:color w:val="000000"/>
      <w:kern w:val="28"/>
      <w:sz w:val="28"/>
      <w:lang w:val="en-US" w:eastAsia="zh-CN" w:bidi="ar-SA"/>
    </w:rPr>
  </w:style>
  <w:style w:type="character" w:customStyle="1" w:styleId="115">
    <w:name w:val="日期 Char"/>
    <w:link w:val="31"/>
    <w:qFormat/>
    <w:uiPriority w:val="0"/>
    <w:rPr>
      <w:rFonts w:ascii="宋体"/>
      <w:kern w:val="2"/>
      <w:sz w:val="24"/>
      <w:szCs w:val="21"/>
      <w:lang w:val="zh-CN"/>
    </w:rPr>
  </w:style>
  <w:style w:type="character" w:customStyle="1" w:styleId="116">
    <w:name w:val="Char Char30"/>
    <w:qFormat/>
    <w:uiPriority w:val="6"/>
    <w:rPr>
      <w:rFonts w:ascii="Arial" w:hAnsi="Arial" w:eastAsia="黑体"/>
      <w:kern w:val="1"/>
      <w:sz w:val="21"/>
      <w:szCs w:val="21"/>
    </w:rPr>
  </w:style>
  <w:style w:type="character" w:customStyle="1" w:styleId="117">
    <w:name w:val="正文文本 2 Char"/>
    <w:qFormat/>
    <w:uiPriority w:val="0"/>
    <w:rPr>
      <w:rFonts w:eastAsia="宋体"/>
      <w:kern w:val="2"/>
      <w:sz w:val="21"/>
      <w:szCs w:val="24"/>
      <w:lang w:val="en-US" w:eastAsia="zh-CN" w:bidi="ar-SA"/>
    </w:rPr>
  </w:style>
  <w:style w:type="character" w:customStyle="1" w:styleId="118">
    <w:name w:val="标题 4 Char"/>
    <w:link w:val="5"/>
    <w:qFormat/>
    <w:uiPriority w:val="9"/>
    <w:rPr>
      <w:rFonts w:ascii="Arial" w:hAnsi="Arial" w:eastAsia="黑体"/>
      <w:b/>
      <w:bCs/>
      <w:kern w:val="2"/>
      <w:sz w:val="28"/>
      <w:szCs w:val="28"/>
      <w:lang w:val="zh-CN"/>
    </w:rPr>
  </w:style>
  <w:style w:type="character" w:customStyle="1" w:styleId="119">
    <w:name w:val="标题 9 Char"/>
    <w:link w:val="10"/>
    <w:qFormat/>
    <w:uiPriority w:val="9"/>
    <w:rPr>
      <w:rFonts w:ascii="Arial" w:hAnsi="Arial" w:eastAsia="黑体"/>
      <w:kern w:val="2"/>
      <w:sz w:val="21"/>
      <w:szCs w:val="21"/>
    </w:rPr>
  </w:style>
  <w:style w:type="character" w:customStyle="1" w:styleId="120">
    <w:name w:val="普通文字 Char1"/>
    <w:qFormat/>
    <w:uiPriority w:val="0"/>
    <w:rPr>
      <w:rFonts w:ascii="宋体" w:hAnsi="Courier New" w:eastAsia="宋体"/>
      <w:kern w:val="2"/>
      <w:sz w:val="21"/>
      <w:lang w:val="en-US" w:eastAsia="zh-CN"/>
    </w:rPr>
  </w:style>
  <w:style w:type="character" w:customStyle="1" w:styleId="121">
    <w:name w:val="px14"/>
    <w:qFormat/>
    <w:uiPriority w:val="0"/>
    <w:rPr>
      <w:rFonts w:ascii="仿宋_GB2312" w:eastAsia="微软雅黑" w:cs="Times New Roman"/>
      <w:b/>
      <w:kern w:val="2"/>
      <w:sz w:val="32"/>
      <w:szCs w:val="32"/>
      <w:lang w:val="en-US" w:eastAsia="zh-CN" w:bidi="ar-SA"/>
    </w:rPr>
  </w:style>
  <w:style w:type="character" w:customStyle="1" w:styleId="122">
    <w:name w:val="myp1111"/>
    <w:qFormat/>
    <w:uiPriority w:val="0"/>
    <w:rPr>
      <w:rFonts w:hint="default" w:ascii="ˎ̥" w:hAnsi="ˎ̥"/>
      <w:color w:val="000000"/>
      <w:sz w:val="20"/>
      <w:szCs w:val="20"/>
      <w:u w:val="none"/>
    </w:rPr>
  </w:style>
  <w:style w:type="character" w:customStyle="1" w:styleId="123">
    <w:name w:val="正文首行缩进 Char Char Char Char Char Char"/>
    <w:qFormat/>
    <w:uiPriority w:val="0"/>
    <w:rPr>
      <w:rFonts w:ascii="宋体" w:eastAsia="宋体"/>
      <w:kern w:val="2"/>
      <w:sz w:val="24"/>
      <w:lang w:val="zh-CN" w:bidi="ar-SA"/>
    </w:rPr>
  </w:style>
  <w:style w:type="character" w:customStyle="1" w:styleId="124">
    <w:name w:val="tw4winMark"/>
    <w:qFormat/>
    <w:uiPriority w:val="0"/>
    <w:rPr>
      <w:rFonts w:ascii="Courier New" w:hAnsi="Courier New" w:cs="Courier New"/>
      <w:vanish/>
      <w:color w:val="800080"/>
      <w:sz w:val="24"/>
      <w:szCs w:val="24"/>
      <w:vertAlign w:val="subscript"/>
    </w:rPr>
  </w:style>
  <w:style w:type="character" w:customStyle="1" w:styleId="125">
    <w:name w:val="正文文本首行缩进 2 字符"/>
    <w:link w:val="126"/>
    <w:qFormat/>
    <w:uiPriority w:val="0"/>
    <w:rPr>
      <w:rFonts w:ascii="宋体" w:hAnsi="宋体"/>
      <w:kern w:val="2"/>
      <w:sz w:val="21"/>
      <w:szCs w:val="24"/>
    </w:rPr>
  </w:style>
  <w:style w:type="paragraph" w:customStyle="1" w:styleId="126">
    <w:name w:val="正文文本首行缩进 21"/>
    <w:basedOn w:val="22"/>
    <w:link w:val="125"/>
    <w:qFormat/>
    <w:uiPriority w:val="0"/>
    <w:pPr>
      <w:adjustRightInd/>
      <w:spacing w:after="120" w:line="240" w:lineRule="auto"/>
      <w:ind w:left="420" w:leftChars="200" w:firstLine="210"/>
    </w:pPr>
    <w:rPr>
      <w:sz w:val="21"/>
    </w:rPr>
  </w:style>
  <w:style w:type="character" w:customStyle="1" w:styleId="127">
    <w:name w:val="Char Char51"/>
    <w:qFormat/>
    <w:uiPriority w:val="0"/>
    <w:rPr>
      <w:rFonts w:ascii="宋体" w:hAnsi="Courier New" w:eastAsia="宋体"/>
      <w:kern w:val="2"/>
      <w:sz w:val="21"/>
      <w:lang w:val="en-US" w:eastAsia="zh-CN"/>
    </w:rPr>
  </w:style>
  <w:style w:type="character" w:customStyle="1" w:styleId="128">
    <w:name w:val="页脚 Char3"/>
    <w:link w:val="34"/>
    <w:qFormat/>
    <w:uiPriority w:val="99"/>
    <w:rPr>
      <w:rFonts w:eastAsia="宋体"/>
      <w:kern w:val="2"/>
      <w:sz w:val="18"/>
      <w:szCs w:val="18"/>
      <w:lang w:val="en-US" w:eastAsia="zh-CN" w:bidi="ar-SA"/>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文档结构图 Char1"/>
    <w:link w:val="16"/>
    <w:qFormat/>
    <w:uiPriority w:val="6"/>
    <w:rPr>
      <w:rFonts w:ascii="Arial" w:hAnsi="Arial" w:eastAsia="黑体" w:cs="Arial"/>
      <w:snapToGrid w:val="0"/>
      <w:kern w:val="2"/>
      <w:sz w:val="21"/>
      <w:szCs w:val="24"/>
      <w:shd w:val="clear" w:color="auto" w:fill="000080"/>
    </w:rPr>
  </w:style>
  <w:style w:type="character" w:customStyle="1" w:styleId="131">
    <w:name w:val="b11_01b Char"/>
    <w:link w:val="132"/>
    <w:qFormat/>
    <w:uiPriority w:val="0"/>
    <w:rPr>
      <w:rFonts w:ascii="Verdana" w:hAnsi="Verdana"/>
      <w:b/>
      <w:bCs/>
      <w:color w:val="4A82CA"/>
      <w:sz w:val="17"/>
      <w:szCs w:val="17"/>
    </w:rPr>
  </w:style>
  <w:style w:type="paragraph" w:customStyle="1" w:styleId="132">
    <w:name w:val="b11_01b"/>
    <w:basedOn w:val="1"/>
    <w:next w:val="1"/>
    <w:link w:val="13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33">
    <w:name w:val="t21"/>
    <w:qFormat/>
    <w:uiPriority w:val="0"/>
    <w:rPr>
      <w:rFonts w:ascii="仿宋_GB2312" w:eastAsia="微软雅黑"/>
      <w:b/>
      <w:kern w:val="2"/>
      <w:sz w:val="23"/>
      <w:szCs w:val="23"/>
      <w:lang w:val="en-US" w:eastAsia="zh-CN" w:bidi="ar-SA"/>
    </w:rPr>
  </w:style>
  <w:style w:type="character" w:customStyle="1" w:styleId="134">
    <w:name w:val="正文缩进 Char1"/>
    <w:qFormat/>
    <w:uiPriority w:val="0"/>
    <w:rPr>
      <w:rFonts w:ascii="宋体" w:eastAsia="宋体"/>
      <w:snapToGrid w:val="0"/>
      <w:color w:val="000000"/>
      <w:kern w:val="28"/>
      <w:sz w:val="28"/>
      <w:lang w:val="en-US" w:eastAsia="zh-CN" w:bidi="ar-SA"/>
    </w:rPr>
  </w:style>
  <w:style w:type="character" w:customStyle="1" w:styleId="135">
    <w:name w:val="正文文本首行缩进 字符"/>
    <w:link w:val="136"/>
    <w:qFormat/>
    <w:uiPriority w:val="0"/>
    <w:rPr>
      <w:rFonts w:ascii="宋体"/>
      <w:kern w:val="2"/>
      <w:sz w:val="24"/>
      <w:lang w:val="zh-CN"/>
    </w:rPr>
  </w:style>
  <w:style w:type="paragraph" w:customStyle="1" w:styleId="136">
    <w:name w:val="正文文本首行缩进1"/>
    <w:basedOn w:val="20"/>
    <w:link w:val="135"/>
    <w:qFormat/>
    <w:uiPriority w:val="0"/>
    <w:pPr>
      <w:ind w:firstLine="420"/>
    </w:pPr>
    <w:rPr>
      <w:rFonts w:hAnsi="Times New Roman" w:eastAsia="宋体"/>
      <w:snapToGrid/>
      <w:szCs w:val="20"/>
    </w:rPr>
  </w:style>
  <w:style w:type="character" w:customStyle="1" w:styleId="137">
    <w:name w:val="正文文本缩进 3 Char"/>
    <w:link w:val="45"/>
    <w:qFormat/>
    <w:uiPriority w:val="0"/>
    <w:rPr>
      <w:kern w:val="2"/>
      <w:sz w:val="24"/>
    </w:rPr>
  </w:style>
  <w:style w:type="character" w:customStyle="1" w:styleId="138">
    <w:name w:val="Char Char311"/>
    <w:qFormat/>
    <w:uiPriority w:val="0"/>
    <w:rPr>
      <w:rFonts w:eastAsia="宋体"/>
      <w:kern w:val="2"/>
      <w:sz w:val="21"/>
      <w:szCs w:val="24"/>
      <w:lang w:val="en-US" w:eastAsia="zh-CN" w:bidi="ar-SA"/>
    </w:rPr>
  </w:style>
  <w:style w:type="character" w:customStyle="1" w:styleId="139">
    <w:name w:val="Used by Word for text of Help footnotes Char Char"/>
    <w:qFormat/>
    <w:uiPriority w:val="0"/>
    <w:rPr>
      <w:rFonts w:ascii="Times New Roman" w:hAnsi="Times New Roman" w:eastAsia="宋体" w:cs="Times New Roman"/>
      <w:sz w:val="20"/>
      <w:szCs w:val="20"/>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Char Char33"/>
    <w:qFormat/>
    <w:uiPriority w:val="6"/>
    <w:rPr>
      <w:rFonts w:ascii="Arial" w:hAnsi="Arial" w:eastAsia="黑体"/>
      <w:b/>
      <w:kern w:val="1"/>
      <w:sz w:val="24"/>
      <w:szCs w:val="24"/>
    </w:rPr>
  </w:style>
  <w:style w:type="character" w:customStyle="1" w:styleId="142">
    <w:name w:val="Bold"/>
    <w:qFormat/>
    <w:uiPriority w:val="0"/>
    <w:rPr>
      <w:rFonts w:ascii="Arial" w:hAnsi="Arial" w:eastAsia="黑体" w:cs="Times New Roman"/>
      <w:b/>
      <w:kern w:val="2"/>
      <w:sz w:val="32"/>
      <w:szCs w:val="32"/>
      <w:lang w:val="en-US" w:eastAsia="zh-CN" w:bidi="ar-SA"/>
    </w:rPr>
  </w:style>
  <w:style w:type="character" w:customStyle="1" w:styleId="143">
    <w:name w:val="批注文字 Char1"/>
    <w:qFormat/>
    <w:uiPriority w:val="99"/>
    <w:rPr>
      <w:rFonts w:ascii="Times New Roman" w:hAnsi="Times New Roman" w:eastAsia="宋体" w:cs="Times New Roman"/>
      <w:snapToGrid w:val="0"/>
      <w:kern w:val="0"/>
      <w:szCs w:val="24"/>
    </w:rPr>
  </w:style>
  <w:style w:type="character" w:customStyle="1" w:styleId="144">
    <w:name w:val="Ò³Ã¼ Char Char1"/>
    <w:qFormat/>
    <w:uiPriority w:val="0"/>
    <w:rPr>
      <w:rFonts w:eastAsia="宋体"/>
      <w:kern w:val="2"/>
      <w:sz w:val="18"/>
      <w:szCs w:val="18"/>
      <w:lang w:val="en-US" w:eastAsia="zh-CN" w:bidi="ar-SA"/>
    </w:rPr>
  </w:style>
  <w:style w:type="character" w:customStyle="1" w:styleId="145">
    <w:name w:val="md"/>
    <w:basedOn w:val="53"/>
    <w:qFormat/>
    <w:uiPriority w:val="0"/>
  </w:style>
  <w:style w:type="character" w:customStyle="1" w:styleId="146">
    <w:name w:val="Char Char37"/>
    <w:qFormat/>
    <w:uiPriority w:val="6"/>
    <w:rPr>
      <w:b/>
      <w:kern w:val="1"/>
      <w:sz w:val="44"/>
      <w:szCs w:val="44"/>
    </w:rPr>
  </w:style>
  <w:style w:type="character" w:customStyle="1" w:styleId="147">
    <w:name w:val="样式 标题 4h4H4Fab-4T5Ref Heading 1rh1Heading sqlsect 1.2.3.... Char"/>
    <w:link w:val="85"/>
    <w:qFormat/>
    <w:uiPriority w:val="0"/>
    <w:rPr>
      <w:rFonts w:ascii="微软雅黑" w:hAnsi="微软雅黑" w:eastAsia="微软雅黑"/>
      <w:b/>
      <w:bCs/>
      <w:kern w:val="2"/>
      <w:sz w:val="24"/>
      <w:szCs w:val="28"/>
    </w:rPr>
  </w:style>
  <w:style w:type="character" w:customStyle="1" w:styleId="148">
    <w:name w:val="样式6 Char"/>
    <w:autoRedefine/>
    <w:qFormat/>
    <w:uiPriority w:val="0"/>
    <w:rPr>
      <w:rFonts w:ascii="仿宋_GB2312" w:hAnsi="宋体" w:eastAsia="仿宋_GB2312"/>
      <w:b/>
      <w:bCs/>
      <w:kern w:val="2"/>
      <w:sz w:val="24"/>
      <w:szCs w:val="24"/>
      <w:lang w:val="en-US" w:eastAsia="zh-CN" w:bidi="ar-SA"/>
    </w:rPr>
  </w:style>
  <w:style w:type="character" w:customStyle="1" w:styleId="149">
    <w:name w:val="样式8 Char"/>
    <w:qFormat/>
    <w:uiPriority w:val="0"/>
    <w:rPr>
      <w:rFonts w:ascii="仿宋_GB2312" w:hAnsi="宋体" w:eastAsia="仿宋_GB2312"/>
      <w:b/>
      <w:bCs/>
      <w:kern w:val="2"/>
      <w:sz w:val="24"/>
      <w:szCs w:val="24"/>
    </w:rPr>
  </w:style>
  <w:style w:type="character" w:customStyle="1" w:styleId="150">
    <w:name w:val="标题 3 Char"/>
    <w:link w:val="4"/>
    <w:qFormat/>
    <w:uiPriority w:val="9"/>
    <w:rPr>
      <w:b/>
      <w:bCs/>
      <w:kern w:val="2"/>
      <w:sz w:val="32"/>
      <w:szCs w:val="32"/>
    </w:rPr>
  </w:style>
  <w:style w:type="character" w:customStyle="1" w:styleId="151">
    <w:name w:val="c7 style3"/>
    <w:qFormat/>
    <w:uiPriority w:val="0"/>
  </w:style>
  <w:style w:type="character" w:customStyle="1" w:styleId="152">
    <w:name w:val="Char Char5"/>
    <w:qFormat/>
    <w:uiPriority w:val="0"/>
    <w:rPr>
      <w:rFonts w:ascii="宋体" w:hAnsi="Courier New" w:eastAsia="宋体"/>
      <w:kern w:val="2"/>
      <w:sz w:val="21"/>
      <w:lang w:val="en-US" w:eastAsia="zh-CN"/>
    </w:rPr>
  </w:style>
  <w:style w:type="character" w:customStyle="1" w:styleId="153">
    <w:name w:val="Font Style82"/>
    <w:qFormat/>
    <w:uiPriority w:val="99"/>
    <w:rPr>
      <w:rFonts w:ascii="宋体" w:eastAsia="宋体" w:cs="宋体"/>
      <w:color w:val="000000"/>
      <w:sz w:val="14"/>
      <w:szCs w:val="14"/>
    </w:rPr>
  </w:style>
  <w:style w:type="character" w:customStyle="1" w:styleId="154">
    <w:name w:val="tw4winInternal"/>
    <w:qFormat/>
    <w:uiPriority w:val="0"/>
    <w:rPr>
      <w:rFonts w:ascii="Courier New" w:hAnsi="Courier New" w:cs="Courier New"/>
      <w:color w:val="FF0000"/>
      <w:lang w:val="en-US" w:eastAsia="zh-CN"/>
    </w:rPr>
  </w:style>
  <w:style w:type="character" w:customStyle="1" w:styleId="155">
    <w:name w:val="纯文本 Char3"/>
    <w:link w:val="29"/>
    <w:qFormat/>
    <w:uiPriority w:val="0"/>
    <w:rPr>
      <w:rFonts w:ascii="宋体" w:hAnsi="Courier New" w:eastAsia="黑体" w:cs="Arial"/>
      <w:snapToGrid w:val="0"/>
      <w:kern w:val="2"/>
      <w:sz w:val="21"/>
      <w:szCs w:val="21"/>
    </w:rPr>
  </w:style>
  <w:style w:type="character" w:customStyle="1" w:styleId="156">
    <w:name w:val="正文1 Char"/>
    <w:qFormat/>
    <w:uiPriority w:val="0"/>
    <w:rPr>
      <w:rFonts w:ascii="宋体" w:eastAsia="宋体"/>
      <w:snapToGrid w:val="0"/>
      <w:color w:val="000000"/>
      <w:kern w:val="28"/>
      <w:sz w:val="28"/>
      <w:lang w:val="en-US" w:eastAsia="zh-CN" w:bidi="ar-SA"/>
    </w:rPr>
  </w:style>
  <w:style w:type="character" w:customStyle="1" w:styleId="157">
    <w:name w:val="shadow11"/>
    <w:qFormat/>
    <w:uiPriority w:val="0"/>
    <w:rPr>
      <w:color w:val="000000"/>
      <w:sz w:val="21"/>
    </w:rPr>
  </w:style>
  <w:style w:type="character" w:customStyle="1" w:styleId="158">
    <w:name w:val="Char Char71"/>
    <w:qFormat/>
    <w:uiPriority w:val="0"/>
    <w:rPr>
      <w:rFonts w:eastAsia="宋体"/>
      <w:kern w:val="2"/>
      <w:sz w:val="21"/>
      <w:szCs w:val="24"/>
      <w:lang w:val="en-US" w:eastAsia="zh-CN" w:bidi="ar-SA"/>
    </w:rPr>
  </w:style>
  <w:style w:type="character" w:customStyle="1" w:styleId="159">
    <w:name w:val="tw4winError"/>
    <w:qFormat/>
    <w:uiPriority w:val="0"/>
    <w:rPr>
      <w:rFonts w:ascii="Courier New" w:hAnsi="Courier New" w:cs="Courier New"/>
      <w:color w:val="00FF00"/>
      <w:sz w:val="40"/>
      <w:szCs w:val="40"/>
    </w:rPr>
  </w:style>
  <w:style w:type="character" w:customStyle="1" w:styleId="160">
    <w:name w:val="标书1 Char"/>
    <w:qFormat/>
    <w:uiPriority w:val="0"/>
    <w:rPr>
      <w:rFonts w:eastAsia="宋体"/>
      <w:b/>
      <w:bCs/>
      <w:kern w:val="44"/>
      <w:sz w:val="44"/>
      <w:szCs w:val="44"/>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Char Char28"/>
    <w:qFormat/>
    <w:uiPriority w:val="6"/>
    <w:rPr>
      <w:rFonts w:ascii="仿宋_GB2312" w:hAnsi="仿宋_GB2312" w:eastAsia="仿宋_GB2312"/>
      <w:kern w:val="1"/>
      <w:sz w:val="28"/>
    </w:rPr>
  </w:style>
  <w:style w:type="character" w:customStyle="1" w:styleId="163">
    <w:name w:val="pt9"/>
    <w:qFormat/>
    <w:uiPriority w:val="0"/>
    <w:rPr>
      <w:rFonts w:ascii="仿宋_GB2312" w:eastAsia="微软雅黑"/>
      <w:b/>
      <w:kern w:val="2"/>
      <w:sz w:val="32"/>
      <w:szCs w:val="32"/>
      <w:lang w:val="en-US" w:eastAsia="zh-CN" w:bidi="ar-SA"/>
    </w:rPr>
  </w:style>
  <w:style w:type="character" w:customStyle="1" w:styleId="164">
    <w:name w:val="标题 1 Char1"/>
    <w:link w:val="2"/>
    <w:qFormat/>
    <w:uiPriority w:val="9"/>
    <w:rPr>
      <w:b/>
      <w:bCs/>
      <w:kern w:val="44"/>
      <w:sz w:val="44"/>
      <w:szCs w:val="44"/>
    </w:rPr>
  </w:style>
  <w:style w:type="character" w:customStyle="1" w:styleId="165">
    <w:name w:val="正文2 Char"/>
    <w:qFormat/>
    <w:uiPriority w:val="0"/>
    <w:rPr>
      <w:rFonts w:eastAsia="宋体"/>
      <w:kern w:val="2"/>
      <w:sz w:val="24"/>
      <w:lang w:val="en-US" w:eastAsia="zh-CN" w:bidi="ar-SA"/>
    </w:rPr>
  </w:style>
  <w:style w:type="character" w:customStyle="1" w:styleId="166">
    <w:name w:val="普通文字 Char3"/>
    <w:qFormat/>
    <w:uiPriority w:val="0"/>
    <w:rPr>
      <w:rFonts w:ascii="宋体" w:hAnsi="Courier New" w:eastAsia="宋体"/>
      <w:kern w:val="2"/>
      <w:sz w:val="21"/>
      <w:lang w:val="en-US" w:eastAsia="zh-CN" w:bidi="ar-SA"/>
    </w:rPr>
  </w:style>
  <w:style w:type="character" w:customStyle="1" w:styleId="167">
    <w:name w:val="h Char Char"/>
    <w:qFormat/>
    <w:uiPriority w:val="0"/>
    <w:rPr>
      <w:rFonts w:eastAsia="宋体"/>
      <w:kern w:val="2"/>
      <w:sz w:val="18"/>
      <w:lang w:val="en-US" w:eastAsia="zh-CN" w:bidi="ar-SA"/>
    </w:rPr>
  </w:style>
  <w:style w:type="character" w:customStyle="1" w:styleId="168">
    <w:name w:val="页眉 Char3"/>
    <w:link w:val="35"/>
    <w:qFormat/>
    <w:uiPriority w:val="99"/>
    <w:rPr>
      <w:rFonts w:ascii="仿宋" w:hAnsi="仿宋" w:eastAsia="仿宋"/>
      <w:i/>
      <w:snapToGrid w:val="0"/>
      <w:kern w:val="2"/>
      <w:sz w:val="18"/>
      <w:szCs w:val="18"/>
      <w:u w:val="single"/>
      <w:lang w:val="en-GB"/>
    </w:rPr>
  </w:style>
  <w:style w:type="character" w:customStyle="1" w:styleId="169">
    <w:name w:val="mdeck"/>
    <w:qFormat/>
    <w:uiPriority w:val="0"/>
    <w:rPr>
      <w:rFonts w:ascii="仿宋_GB2312" w:eastAsia="微软雅黑"/>
      <w:b/>
      <w:kern w:val="2"/>
      <w:sz w:val="32"/>
      <w:szCs w:val="32"/>
      <w:lang w:val="en-US" w:eastAsia="zh-CN" w:bidi="ar-SA"/>
    </w:rPr>
  </w:style>
  <w:style w:type="character" w:customStyle="1" w:styleId="170">
    <w:name w:val="标题4-dyf Char"/>
    <w:link w:val="171"/>
    <w:qFormat/>
    <w:uiPriority w:val="0"/>
    <w:rPr>
      <w:rFonts w:ascii="Cambria" w:hAnsi="Cambria"/>
      <w:b/>
      <w:bCs/>
      <w:color w:val="000000"/>
      <w:kern w:val="2"/>
      <w:sz w:val="21"/>
      <w:szCs w:val="21"/>
    </w:rPr>
  </w:style>
  <w:style w:type="paragraph" w:customStyle="1" w:styleId="171">
    <w:name w:val="标题4-dyf"/>
    <w:basedOn w:val="5"/>
    <w:link w:val="170"/>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172">
    <w:name w:val="style91"/>
    <w:qFormat/>
    <w:uiPriority w:val="0"/>
    <w:rPr>
      <w:color w:val="333333"/>
    </w:rPr>
  </w:style>
  <w:style w:type="character" w:customStyle="1" w:styleId="173">
    <w:name w:val="公文正文 Char"/>
    <w:qFormat/>
    <w:uiPriority w:val="0"/>
    <w:rPr>
      <w:rFonts w:ascii="仿宋_GB2312" w:eastAsia="仿宋_GB2312"/>
      <w:kern w:val="2"/>
      <w:sz w:val="24"/>
      <w:szCs w:val="24"/>
      <w:lang w:val="en-US" w:eastAsia="zh-CN" w:bidi="ar-SA"/>
    </w:rPr>
  </w:style>
  <w:style w:type="character" w:customStyle="1" w:styleId="174">
    <w:name w:val="正文 项目 Char"/>
    <w:qFormat/>
    <w:uiPriority w:val="0"/>
    <w:rPr>
      <w:rFonts w:ascii="仿宋_GB2312" w:hAnsi="仿宋_GB2312" w:eastAsia="仿宋_GB2312"/>
      <w:kern w:val="2"/>
      <w:sz w:val="24"/>
      <w:lang w:bidi="ar-SA"/>
    </w:rPr>
  </w:style>
  <w:style w:type="character" w:customStyle="1" w:styleId="175">
    <w:name w:val="f141"/>
    <w:qFormat/>
    <w:uiPriority w:val="0"/>
    <w:rPr>
      <w:rFonts w:ascii="Tahoma" w:hAnsi="Tahoma" w:eastAsia="宋体"/>
      <w:b/>
      <w:kern w:val="2"/>
      <w:sz w:val="21"/>
      <w:szCs w:val="21"/>
      <w:lang w:val="en-US" w:eastAsia="zh-CN" w:bidi="ar-SA"/>
    </w:rPr>
  </w:style>
  <w:style w:type="character" w:customStyle="1" w:styleId="176">
    <w:name w:val="No Spacing Char"/>
    <w:link w:val="177"/>
    <w:qFormat/>
    <w:uiPriority w:val="1"/>
    <w:rPr>
      <w:sz w:val="22"/>
      <w:szCs w:val="22"/>
      <w:lang w:val="en-US" w:eastAsia="zh-CN" w:bidi="ar-SA"/>
    </w:rPr>
  </w:style>
  <w:style w:type="paragraph" w:customStyle="1" w:styleId="177">
    <w:name w:val="无间隔1"/>
    <w:link w:val="176"/>
    <w:qFormat/>
    <w:uiPriority w:val="1"/>
    <w:rPr>
      <w:rFonts w:ascii="Times New Roman" w:hAnsi="Times New Roman" w:eastAsia="宋体" w:cs="Times New Roman"/>
      <w:sz w:val="22"/>
      <w:szCs w:val="22"/>
      <w:lang w:val="en-US" w:eastAsia="zh-CN" w:bidi="ar-SA"/>
    </w:rPr>
  </w:style>
  <w:style w:type="character" w:customStyle="1" w:styleId="178">
    <w:name w:val="Char Char17"/>
    <w:qFormat/>
    <w:uiPriority w:val="6"/>
    <w:rPr>
      <w:rFonts w:eastAsia="仿宋_GB2312"/>
      <w:sz w:val="24"/>
    </w:rPr>
  </w:style>
  <w:style w:type="character" w:customStyle="1" w:styleId="179">
    <w:name w:val="页眉 Char"/>
    <w:qFormat/>
    <w:uiPriority w:val="99"/>
    <w:rPr>
      <w:rFonts w:eastAsia="仿宋_GB2312"/>
      <w:kern w:val="2"/>
      <w:sz w:val="18"/>
      <w:lang w:val="en-US" w:eastAsia="zh-CN"/>
    </w:rPr>
  </w:style>
  <w:style w:type="character" w:customStyle="1" w:styleId="180">
    <w:name w:val="Header Char_d4b1c253-a30e-432c-adeb-63682d892f75"/>
    <w:qFormat/>
    <w:uiPriority w:val="0"/>
    <w:rPr>
      <w:rFonts w:eastAsia="宋体"/>
      <w:kern w:val="2"/>
      <w:sz w:val="18"/>
      <w:szCs w:val="18"/>
      <w:lang w:val="en-US" w:eastAsia="zh-CN" w:bidi="ar-SA"/>
    </w:rPr>
  </w:style>
  <w:style w:type="character" w:customStyle="1" w:styleId="181">
    <w:name w:val="标题 6 Char"/>
    <w:link w:val="7"/>
    <w:qFormat/>
    <w:uiPriority w:val="9"/>
    <w:rPr>
      <w:rFonts w:ascii="Arial" w:hAnsi="Arial" w:eastAsia="黑体"/>
      <w:b/>
      <w:bCs/>
      <w:kern w:val="2"/>
      <w:sz w:val="24"/>
      <w:szCs w:val="24"/>
    </w:rPr>
  </w:style>
  <w:style w:type="character" w:customStyle="1" w:styleId="182">
    <w:name w:val="Char Char18"/>
    <w:qFormat/>
    <w:uiPriority w:val="6"/>
    <w:rPr>
      <w:rFonts w:ascii="宋体" w:hAnsi="宋体"/>
      <w:sz w:val="28"/>
    </w:rPr>
  </w:style>
  <w:style w:type="character" w:customStyle="1" w:styleId="183">
    <w:name w:val="Char Char16"/>
    <w:qFormat/>
    <w:uiPriority w:val="6"/>
    <w:rPr>
      <w:kern w:val="1"/>
      <w:sz w:val="18"/>
      <w:szCs w:val="18"/>
    </w:rPr>
  </w:style>
  <w:style w:type="character" w:customStyle="1" w:styleId="184">
    <w:name w:val="标准正文格式 Char"/>
    <w:qFormat/>
    <w:uiPriority w:val="0"/>
    <w:rPr>
      <w:rFonts w:ascii="宋体" w:eastAsia="仿宋_GB2312" w:cs="宋体"/>
      <w:color w:val="000000"/>
      <w:sz w:val="24"/>
      <w:lang w:val="en-US" w:eastAsia="zh-CN" w:bidi="ar-SA"/>
    </w:rPr>
  </w:style>
  <w:style w:type="character" w:customStyle="1" w:styleId="185">
    <w:name w:val="标题 Char"/>
    <w:qFormat/>
    <w:uiPriority w:val="0"/>
    <w:rPr>
      <w:rFonts w:eastAsia="宋体"/>
      <w:b/>
      <w:sz w:val="24"/>
      <w:lang w:val="en-GB" w:eastAsia="zh-CN" w:bidi="ar-SA"/>
    </w:rPr>
  </w:style>
  <w:style w:type="character" w:customStyle="1" w:styleId="186">
    <w:name w:val="tw4winTerm"/>
    <w:qFormat/>
    <w:uiPriority w:val="0"/>
    <w:rPr>
      <w:color w:val="0000FF"/>
    </w:rPr>
  </w:style>
  <w:style w:type="character" w:customStyle="1" w:styleId="187">
    <w:name w:val="h3 Char"/>
    <w:qFormat/>
    <w:uiPriority w:val="0"/>
    <w:rPr>
      <w:rFonts w:eastAsia="宋体"/>
      <w:b/>
      <w:kern w:val="2"/>
      <w:sz w:val="32"/>
      <w:lang w:val="en-US" w:eastAsia="zh-CN" w:bidi="ar-SA"/>
    </w:rPr>
  </w:style>
  <w:style w:type="character" w:customStyle="1" w:styleId="188">
    <w:name w:val="Balloon Text Char"/>
    <w:qFormat/>
    <w:uiPriority w:val="0"/>
    <w:rPr>
      <w:rFonts w:eastAsia="宋体"/>
      <w:kern w:val="2"/>
      <w:sz w:val="18"/>
      <w:szCs w:val="18"/>
      <w:lang w:val="en-US" w:eastAsia="zh-CN" w:bidi="ar-SA"/>
    </w:rPr>
  </w:style>
  <w:style w:type="character" w:customStyle="1" w:styleId="189">
    <w:name w:val="unnamed11"/>
    <w:qFormat/>
    <w:uiPriority w:val="0"/>
    <w:rPr>
      <w:sz w:val="20"/>
      <w:szCs w:val="20"/>
    </w:rPr>
  </w:style>
  <w:style w:type="character" w:customStyle="1" w:styleId="190">
    <w:name w:val="样式 正文缩进 + 首行缩进:  2 字符 Char Char"/>
    <w:link w:val="191"/>
    <w:qFormat/>
    <w:uiPriority w:val="0"/>
    <w:rPr>
      <w:rFonts w:ascii="Arial" w:hAnsi="Arial" w:eastAsia="黑体" w:cs="宋体"/>
      <w:snapToGrid w:val="0"/>
      <w:kern w:val="2"/>
      <w:sz w:val="24"/>
      <w:szCs w:val="21"/>
    </w:rPr>
  </w:style>
  <w:style w:type="paragraph" w:customStyle="1" w:styleId="191">
    <w:name w:val="样式 正文缩进 + 首行缩进:  2 字符"/>
    <w:basedOn w:val="13"/>
    <w:link w:val="190"/>
    <w:qFormat/>
    <w:uiPriority w:val="0"/>
    <w:pPr>
      <w:widowControl w:val="0"/>
      <w:adjustRightInd/>
      <w:snapToGrid/>
      <w:spacing w:line="360" w:lineRule="auto"/>
      <w:ind w:firstLine="200" w:firstLineChars="200"/>
    </w:pPr>
    <w:rPr>
      <w:rFonts w:ascii="Arial" w:hAnsi="Arial" w:eastAsia="黑体"/>
      <w:color w:val="auto"/>
      <w:kern w:val="2"/>
      <w:sz w:val="24"/>
      <w:szCs w:val="21"/>
    </w:rPr>
  </w:style>
  <w:style w:type="character" w:customStyle="1" w:styleId="192">
    <w:name w:val="带编号样式 Char"/>
    <w:qFormat/>
    <w:uiPriority w:val="0"/>
    <w:rPr>
      <w:rFonts w:ascii="仿宋_GB2312" w:eastAsia="仿宋_GB2312"/>
      <w:color w:val="000000"/>
      <w:sz w:val="24"/>
      <w:lang w:bidi="ar-SA"/>
    </w:rPr>
  </w:style>
  <w:style w:type="character" w:customStyle="1" w:styleId="193">
    <w:name w:val="Footer-Even Char"/>
    <w:qFormat/>
    <w:uiPriority w:val="0"/>
    <w:rPr>
      <w:rFonts w:eastAsia="宋体"/>
      <w:kern w:val="2"/>
      <w:sz w:val="18"/>
      <w:lang w:val="en-US" w:eastAsia="zh-CN" w:bidi="ar-SA"/>
    </w:rPr>
  </w:style>
  <w:style w:type="character" w:customStyle="1" w:styleId="194">
    <w:name w:val="标题 5 Char"/>
    <w:link w:val="6"/>
    <w:qFormat/>
    <w:uiPriority w:val="9"/>
    <w:rPr>
      <w:b/>
      <w:bCs/>
      <w:kern w:val="2"/>
      <w:sz w:val="28"/>
      <w:szCs w:val="28"/>
    </w:rPr>
  </w:style>
  <w:style w:type="character" w:customStyle="1" w:styleId="195">
    <w:name w:val="Char Char31"/>
    <w:qFormat/>
    <w:uiPriority w:val="6"/>
    <w:rPr>
      <w:rFonts w:ascii="Arial" w:hAnsi="Arial" w:eastAsia="黑体"/>
      <w:kern w:val="1"/>
      <w:sz w:val="24"/>
      <w:szCs w:val="24"/>
    </w:rPr>
  </w:style>
  <w:style w:type="character" w:customStyle="1" w:styleId="196">
    <w:name w:val="链接"/>
    <w:qFormat/>
    <w:uiPriority w:val="0"/>
    <w:rPr>
      <w:color w:val="0000FF"/>
      <w:sz w:val="21"/>
      <w:szCs w:val="21"/>
      <w:u w:val="single"/>
    </w:rPr>
  </w:style>
  <w:style w:type="character" w:customStyle="1" w:styleId="197">
    <w:name w:val="style36"/>
    <w:basedOn w:val="53"/>
    <w:qFormat/>
    <w:uiPriority w:val="0"/>
  </w:style>
  <w:style w:type="character" w:customStyle="1" w:styleId="198">
    <w:name w:val="标题 4 Char1"/>
    <w:qFormat/>
    <w:uiPriority w:val="9"/>
    <w:rPr>
      <w:rFonts w:ascii="Cambria" w:hAnsi="Cambria" w:eastAsia="宋体" w:cs="Times New Roman"/>
      <w:b/>
      <w:bCs/>
      <w:kern w:val="2"/>
      <w:sz w:val="28"/>
      <w:szCs w:val="28"/>
    </w:rPr>
  </w:style>
  <w:style w:type="character" w:customStyle="1" w:styleId="199">
    <w:name w:val="标题 8 Char"/>
    <w:link w:val="9"/>
    <w:qFormat/>
    <w:uiPriority w:val="9"/>
    <w:rPr>
      <w:rFonts w:ascii="Arial" w:hAnsi="Arial" w:eastAsia="黑体"/>
      <w:kern w:val="2"/>
      <w:sz w:val="24"/>
      <w:szCs w:val="24"/>
    </w:rPr>
  </w:style>
  <w:style w:type="character" w:customStyle="1" w:styleId="200">
    <w:name w:val="首行缩进 Char"/>
    <w:qFormat/>
    <w:uiPriority w:val="0"/>
    <w:rPr>
      <w:rFonts w:ascii="宋体" w:eastAsia="宋体"/>
      <w:kern w:val="2"/>
      <w:sz w:val="24"/>
      <w:lang w:val="en-US" w:eastAsia="zh-CN" w:bidi="ar-SA"/>
    </w:rPr>
  </w:style>
  <w:style w:type="character" w:customStyle="1" w:styleId="201">
    <w:name w:val="unnamed31"/>
    <w:qFormat/>
    <w:uiPriority w:val="0"/>
    <w:rPr>
      <w:rFonts w:ascii="Tahoma" w:hAnsi="Tahoma" w:eastAsia="宋体"/>
      <w:b/>
      <w:kern w:val="2"/>
      <w:sz w:val="24"/>
      <w:szCs w:val="32"/>
      <w:u w:val="none"/>
      <w:lang w:val="en-US" w:eastAsia="zh-CN" w:bidi="ar-SA"/>
    </w:rPr>
  </w:style>
  <w:style w:type="character" w:customStyle="1" w:styleId="202">
    <w:name w:val="dandyren_title1"/>
    <w:qFormat/>
    <w:uiPriority w:val="0"/>
    <w:rPr>
      <w:b/>
      <w:bCs/>
      <w:color w:val="FF6633"/>
      <w:sz w:val="18"/>
      <w:szCs w:val="18"/>
    </w:rPr>
  </w:style>
  <w:style w:type="character" w:customStyle="1" w:styleId="203">
    <w:name w:val="Char Char61"/>
    <w:qFormat/>
    <w:uiPriority w:val="6"/>
    <w:rPr>
      <w:rFonts w:eastAsia="宋体"/>
      <w:kern w:val="2"/>
      <w:sz w:val="21"/>
      <w:szCs w:val="24"/>
      <w:lang w:val="en-US" w:eastAsia="zh-CN" w:bidi="ar-SA"/>
    </w:rPr>
  </w:style>
  <w:style w:type="character" w:customStyle="1" w:styleId="204">
    <w:name w:val="方案正文 Char"/>
    <w:qFormat/>
    <w:uiPriority w:val="0"/>
    <w:rPr>
      <w:rFonts w:ascii="仿宋_GB2312" w:eastAsia="仿宋_GB2312"/>
      <w:b/>
      <w:color w:val="000000"/>
      <w:kern w:val="2"/>
      <w:sz w:val="24"/>
      <w:lang w:val="en-US" w:eastAsia="zh-CN" w:bidi="ar-SA"/>
    </w:rPr>
  </w:style>
  <w:style w:type="character" w:customStyle="1" w:styleId="205">
    <w:name w:val="文本正文 Char Char"/>
    <w:qFormat/>
    <w:uiPriority w:val="0"/>
    <w:rPr>
      <w:sz w:val="24"/>
      <w:lang w:bidi="ar-SA"/>
    </w:rPr>
  </w:style>
  <w:style w:type="character" w:customStyle="1" w:styleId="206">
    <w:name w:val="DO_NOT_TRANSLATE"/>
    <w:qFormat/>
    <w:uiPriority w:val="0"/>
    <w:rPr>
      <w:rFonts w:ascii="Courier New" w:hAnsi="Courier New" w:cs="Courier New"/>
      <w:color w:val="800000"/>
      <w:lang w:val="en-US" w:eastAsia="zh-CN"/>
    </w:rPr>
  </w:style>
  <w:style w:type="character" w:customStyle="1" w:styleId="207">
    <w:name w:val="hui"/>
    <w:basedOn w:val="53"/>
    <w:qFormat/>
    <w:uiPriority w:val="0"/>
  </w:style>
  <w:style w:type="character" w:customStyle="1" w:styleId="208">
    <w:name w:val="Heading 1 Char_39036d89-f680-4e07-9d9e-aef03a1fa893"/>
    <w:qFormat/>
    <w:uiPriority w:val="6"/>
    <w:rPr>
      <w:rFonts w:ascii="Times New Roman" w:hAnsi="Times New Roman" w:eastAsia="黑体" w:cs="Times New Roman"/>
      <w:b/>
      <w:kern w:val="0"/>
      <w:sz w:val="24"/>
      <w:szCs w:val="24"/>
    </w:rPr>
  </w:style>
  <w:style w:type="character" w:customStyle="1" w:styleId="209">
    <w:name w:val="gray6"/>
    <w:basedOn w:val="53"/>
    <w:qFormat/>
    <w:uiPriority w:val="0"/>
  </w:style>
  <w:style w:type="character" w:customStyle="1" w:styleId="210">
    <w:name w:val="font12gray1"/>
    <w:qFormat/>
    <w:uiPriority w:val="0"/>
    <w:rPr>
      <w:rFonts w:ascii="仿宋_GB2312" w:eastAsia="微软雅黑"/>
      <w:b/>
      <w:spacing w:val="300"/>
      <w:kern w:val="2"/>
      <w:sz w:val="18"/>
      <w:szCs w:val="18"/>
      <w:lang w:val="en-US" w:eastAsia="zh-CN" w:bidi="ar-SA"/>
    </w:rPr>
  </w:style>
  <w:style w:type="character" w:customStyle="1" w:styleId="211">
    <w:name w:val="正文文本缩进 Char"/>
    <w:link w:val="22"/>
    <w:qFormat/>
    <w:uiPriority w:val="99"/>
    <w:rPr>
      <w:rFonts w:ascii="宋体" w:hAnsi="宋体"/>
      <w:kern w:val="2"/>
      <w:sz w:val="24"/>
      <w:szCs w:val="24"/>
    </w:rPr>
  </w:style>
  <w:style w:type="character" w:customStyle="1" w:styleId="212">
    <w:name w:val="apple-converted-space"/>
    <w:qFormat/>
    <w:uiPriority w:val="0"/>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书表格字体格式 Char"/>
    <w:qFormat/>
    <w:uiPriority w:val="0"/>
    <w:rPr>
      <w:kern w:val="2"/>
      <w:sz w:val="21"/>
      <w:szCs w:val="24"/>
      <w:lang w:bidi="ar-SA"/>
    </w:rPr>
  </w:style>
  <w:style w:type="character" w:customStyle="1" w:styleId="215">
    <w:name w:val="正文1 Char1"/>
    <w:qFormat/>
    <w:uiPriority w:val="0"/>
    <w:rPr>
      <w:rFonts w:ascii="仿宋_GB2312" w:hAnsi="Courier New" w:eastAsia="仿宋_GB2312"/>
      <w:kern w:val="28"/>
      <w:sz w:val="24"/>
      <w:szCs w:val="24"/>
      <w:lang w:val="en-US" w:eastAsia="zh-CN"/>
    </w:rPr>
  </w:style>
  <w:style w:type="character" w:customStyle="1" w:styleId="216">
    <w:name w:val="h Char Char1"/>
    <w:qFormat/>
    <w:uiPriority w:val="0"/>
    <w:rPr>
      <w:rFonts w:eastAsia="宋体"/>
      <w:kern w:val="2"/>
      <w:sz w:val="18"/>
      <w:szCs w:val="18"/>
      <w:lang w:val="en-US" w:eastAsia="zh-CN" w:bidi="ar-SA"/>
    </w:rPr>
  </w:style>
  <w:style w:type="character" w:customStyle="1" w:styleId="217">
    <w:name w:val="表格 Char Char"/>
    <w:qFormat/>
    <w:uiPriority w:val="0"/>
    <w:rPr>
      <w:rFonts w:ascii="宋体" w:hAnsi="宋体" w:eastAsia="宋体"/>
      <w:lang w:bidi="ar-SA"/>
    </w:rPr>
  </w:style>
  <w:style w:type="character" w:customStyle="1" w:styleId="218">
    <w:name w:val="highlight1"/>
    <w:qFormat/>
    <w:uiPriority w:val="0"/>
    <w:rPr>
      <w:rFonts w:ascii="仿宋_GB2312" w:eastAsia="微软雅黑"/>
      <w:b/>
      <w:kern w:val="2"/>
      <w:sz w:val="23"/>
      <w:szCs w:val="23"/>
      <w:lang w:val="en-US" w:eastAsia="zh-CN" w:bidi="ar-SA"/>
    </w:rPr>
  </w:style>
  <w:style w:type="character" w:customStyle="1" w:styleId="219">
    <w:name w:val="标题 2 Char"/>
    <w:qFormat/>
    <w:uiPriority w:val="0"/>
    <w:rPr>
      <w:rFonts w:ascii="Arial" w:hAnsi="Arial" w:eastAsia="黑体"/>
      <w:b/>
      <w:kern w:val="2"/>
      <w:sz w:val="32"/>
      <w:lang w:val="en-US" w:eastAsia="zh-CN"/>
    </w:rPr>
  </w:style>
  <w:style w:type="character" w:customStyle="1" w:styleId="220">
    <w:name w:val="Char Char91"/>
    <w:qFormat/>
    <w:uiPriority w:val="0"/>
    <w:rPr>
      <w:rFonts w:eastAsia="宋体"/>
      <w:kern w:val="2"/>
      <w:sz w:val="18"/>
      <w:szCs w:val="18"/>
      <w:lang w:val="en-US" w:eastAsia="zh-CN" w:bidi="ar-SA"/>
    </w:rPr>
  </w:style>
  <w:style w:type="character" w:customStyle="1" w:styleId="221">
    <w:name w:val="Char Char4"/>
    <w:qFormat/>
    <w:uiPriority w:val="0"/>
    <w:rPr>
      <w:rFonts w:eastAsia="宋体"/>
      <w:b/>
      <w:sz w:val="24"/>
      <w:lang w:val="en-GB" w:eastAsia="zh-CN" w:bidi="ar-SA"/>
    </w:rPr>
  </w:style>
  <w:style w:type="character" w:customStyle="1" w:styleId="222">
    <w:name w:val="页脚 Char"/>
    <w:qFormat/>
    <w:uiPriority w:val="99"/>
    <w:rPr>
      <w:rFonts w:eastAsia="仿宋_GB2312"/>
      <w:kern w:val="2"/>
      <w:sz w:val="18"/>
      <w:lang w:val="en-US" w:eastAsia="zh-CN"/>
    </w:rPr>
  </w:style>
  <w:style w:type="character" w:customStyle="1" w:styleId="223">
    <w:name w:val="样式7 Char"/>
    <w:qFormat/>
    <w:uiPriority w:val="0"/>
    <w:rPr>
      <w:rFonts w:ascii="仿宋_GB2312" w:hAnsi="仿宋" w:eastAsia="仿宋_GB2312"/>
      <w:b/>
      <w:kern w:val="2"/>
      <w:sz w:val="24"/>
      <w:szCs w:val="24"/>
    </w:rPr>
  </w:style>
  <w:style w:type="character" w:customStyle="1" w:styleId="224">
    <w:name w:val="批注主题 Char1"/>
    <w:link w:val="50"/>
    <w:qFormat/>
    <w:uiPriority w:val="6"/>
    <w:rPr>
      <w:rFonts w:ascii="Times New Roman" w:hAnsi="Times New Roman" w:eastAsia="宋体" w:cs="Times New Roman"/>
      <w:b/>
      <w:bCs/>
      <w:snapToGrid w:val="0"/>
      <w:kern w:val="2"/>
      <w:sz w:val="21"/>
      <w:szCs w:val="24"/>
    </w:rPr>
  </w:style>
  <w:style w:type="character" w:customStyle="1" w:styleId="225">
    <w:name w:val="Char Char81"/>
    <w:qFormat/>
    <w:uiPriority w:val="0"/>
    <w:rPr>
      <w:rFonts w:eastAsia="宋体"/>
      <w:b/>
      <w:sz w:val="24"/>
      <w:lang w:val="en-GB" w:eastAsia="zh-CN"/>
    </w:rPr>
  </w:style>
  <w:style w:type="character" w:customStyle="1" w:styleId="226">
    <w:name w:val="批注主题 Char"/>
    <w:qFormat/>
    <w:uiPriority w:val="99"/>
    <w:rPr>
      <w:rFonts w:eastAsia="宋体"/>
      <w:b/>
      <w:bCs/>
      <w:kern w:val="2"/>
      <w:sz w:val="21"/>
      <w:szCs w:val="24"/>
      <w:lang w:val="en-US" w:eastAsia="zh-CN" w:bidi="ar-SA"/>
    </w:rPr>
  </w:style>
  <w:style w:type="character" w:customStyle="1" w:styleId="227">
    <w:name w:val="纯文本 Char1"/>
    <w:link w:val="228"/>
    <w:qFormat/>
    <w:uiPriority w:val="0"/>
    <w:rPr>
      <w:rFonts w:ascii="宋体" w:hAnsi="宋体" w:cs="Courier New"/>
      <w:color w:val="000000"/>
      <w:kern w:val="1"/>
      <w:sz w:val="21"/>
    </w:rPr>
  </w:style>
  <w:style w:type="paragraph" w:customStyle="1" w:styleId="228">
    <w:name w:val="纯文本1"/>
    <w:basedOn w:val="1"/>
    <w:link w:val="227"/>
    <w:qFormat/>
    <w:uiPriority w:val="0"/>
    <w:pPr>
      <w:adjustRightInd/>
    </w:pPr>
    <w:rPr>
      <w:rFonts w:ascii="宋体" w:hAnsi="宋体"/>
      <w:color w:val="000000"/>
      <w:kern w:val="1"/>
      <w:szCs w:val="20"/>
    </w:rPr>
  </w:style>
  <w:style w:type="character" w:customStyle="1" w:styleId="229">
    <w:name w:val="Char Char2"/>
    <w:qFormat/>
    <w:uiPriority w:val="6"/>
    <w:rPr>
      <w:rFonts w:eastAsia="宋体"/>
      <w:b/>
      <w:bCs/>
      <w:kern w:val="2"/>
      <w:sz w:val="21"/>
      <w:szCs w:val="24"/>
      <w:lang w:val="en-US" w:eastAsia="zh-CN" w:bidi="ar-SA"/>
    </w:rPr>
  </w:style>
  <w:style w:type="character" w:customStyle="1" w:styleId="230">
    <w:name w:val="正文文本缩进 2 Char"/>
    <w:link w:val="32"/>
    <w:qFormat/>
    <w:uiPriority w:val="0"/>
    <w:rPr>
      <w:rFonts w:ascii="宋体"/>
      <w:sz w:val="28"/>
    </w:rPr>
  </w:style>
  <w:style w:type="character" w:customStyle="1" w:styleId="231">
    <w:name w:val="标题 3 Char2"/>
    <w:qFormat/>
    <w:uiPriority w:val="0"/>
    <w:rPr>
      <w:rFonts w:eastAsia="宋体"/>
      <w:b/>
      <w:bCs/>
      <w:kern w:val="2"/>
      <w:sz w:val="32"/>
      <w:szCs w:val="32"/>
      <w:lang w:val="en-US" w:eastAsia="zh-CN" w:bidi="ar-SA"/>
    </w:rPr>
  </w:style>
  <w:style w:type="character" w:customStyle="1" w:styleId="232">
    <w:name w:val="样式5 Char"/>
    <w:qFormat/>
    <w:uiPriority w:val="0"/>
    <w:rPr>
      <w:rFonts w:ascii="仿宋_GB2312" w:hAnsi="仿宋" w:eastAsia="仿宋_GB2312"/>
      <w:kern w:val="2"/>
      <w:sz w:val="24"/>
      <w:szCs w:val="24"/>
    </w:rPr>
  </w:style>
  <w:style w:type="character" w:customStyle="1" w:styleId="233">
    <w:name w:val="Char Char11"/>
    <w:qFormat/>
    <w:uiPriority w:val="0"/>
    <w:rPr>
      <w:rFonts w:ascii="宋体" w:hAnsi="宋体" w:eastAsia="宋体"/>
      <w:b/>
      <w:kern w:val="2"/>
      <w:sz w:val="24"/>
      <w:szCs w:val="24"/>
      <w:lang w:val="en-US" w:eastAsia="zh-CN" w:bidi="ar-SA"/>
    </w:rPr>
  </w:style>
  <w:style w:type="character" w:customStyle="1" w:styleId="234">
    <w:name w:val="Char Char7"/>
    <w:qFormat/>
    <w:uiPriority w:val="6"/>
    <w:rPr>
      <w:rFonts w:eastAsia="宋体"/>
      <w:kern w:val="2"/>
      <w:sz w:val="21"/>
      <w:szCs w:val="24"/>
      <w:lang w:val="en-US" w:eastAsia="zh-CN" w:bidi="ar-SA"/>
    </w:rPr>
  </w:style>
  <w:style w:type="character" w:customStyle="1" w:styleId="235">
    <w:name w:val="Body Text(ch) Char Char"/>
    <w:qFormat/>
    <w:uiPriority w:val="0"/>
    <w:rPr>
      <w:rFonts w:ascii="宋体"/>
      <w:kern w:val="2"/>
      <w:sz w:val="24"/>
      <w:szCs w:val="21"/>
      <w:lang w:val="zh-CN"/>
    </w:rPr>
  </w:style>
  <w:style w:type="character" w:customStyle="1" w:styleId="236">
    <w:name w:val="Footer Char_f5b9630e-b41e-4b5d-8a12-31c7e071b29f"/>
    <w:qFormat/>
    <w:uiPriority w:val="0"/>
    <w:rPr>
      <w:rFonts w:eastAsia="宋体"/>
      <w:kern w:val="2"/>
      <w:sz w:val="18"/>
      <w:lang w:val="en-US" w:eastAsia="zh-CN" w:bidi="ar-SA"/>
    </w:rPr>
  </w:style>
  <w:style w:type="character" w:customStyle="1" w:styleId="237">
    <w:name w:val="标书正文格式 Char"/>
    <w:qFormat/>
    <w:uiPriority w:val="0"/>
    <w:rPr>
      <w:rFonts w:eastAsia="楷体_GB2312"/>
      <w:kern w:val="2"/>
      <w:sz w:val="24"/>
      <w:szCs w:val="24"/>
      <w:lang w:bidi="ar-SA"/>
    </w:rPr>
  </w:style>
  <w:style w:type="character" w:customStyle="1" w:styleId="238">
    <w:name w:val="message1"/>
    <w:qFormat/>
    <w:uiPriority w:val="0"/>
    <w:rPr>
      <w:rFonts w:hint="default" w:ascii="Tahoma" w:hAnsi="Tahoma" w:cs="Tahoma"/>
      <w:sz w:val="18"/>
      <w:szCs w:val="18"/>
    </w:rPr>
  </w:style>
  <w:style w:type="character" w:customStyle="1" w:styleId="239">
    <w:name w:val="myp11"/>
    <w:qFormat/>
    <w:uiPriority w:val="0"/>
    <w:rPr>
      <w:rFonts w:ascii="仿宋_GB2312" w:eastAsia="微软雅黑"/>
      <w:b/>
      <w:kern w:val="2"/>
      <w:sz w:val="32"/>
      <w:szCs w:val="32"/>
      <w:lang w:val="en-US" w:eastAsia="zh-CN" w:bidi="ar-SA"/>
    </w:rPr>
  </w:style>
  <w:style w:type="character" w:customStyle="1" w:styleId="240">
    <w:name w:val="pt141"/>
    <w:qFormat/>
    <w:uiPriority w:val="0"/>
    <w:rPr>
      <w:color w:val="330066"/>
      <w:sz w:val="22"/>
      <w:szCs w:val="22"/>
    </w:rPr>
  </w:style>
  <w:style w:type="character" w:customStyle="1" w:styleId="241">
    <w:name w:val="Char Char101"/>
    <w:qFormat/>
    <w:uiPriority w:val="6"/>
    <w:rPr>
      <w:rFonts w:ascii="宋体" w:hAnsi="宋体"/>
      <w:kern w:val="2"/>
      <w:sz w:val="21"/>
      <w:szCs w:val="24"/>
      <w:lang w:val="en-US" w:eastAsia="zh-CN"/>
    </w:rPr>
  </w:style>
  <w:style w:type="character" w:customStyle="1" w:styleId="242">
    <w:name w:val="txt"/>
    <w:qFormat/>
    <w:uiPriority w:val="0"/>
    <w:rPr>
      <w:rFonts w:ascii="仿宋_GB2312" w:eastAsia="微软雅黑"/>
      <w:b/>
      <w:kern w:val="2"/>
      <w:sz w:val="32"/>
      <w:szCs w:val="32"/>
      <w:lang w:val="en-US" w:eastAsia="zh-CN" w:bidi="ar-SA"/>
    </w:rPr>
  </w:style>
  <w:style w:type="character" w:customStyle="1" w:styleId="243">
    <w:name w:val="正文文本 2 Char1"/>
    <w:link w:val="46"/>
    <w:qFormat/>
    <w:uiPriority w:val="6"/>
    <w:rPr>
      <w:rFonts w:ascii="Arial" w:hAnsi="Arial" w:eastAsia="黑体" w:cs="Arial"/>
      <w:snapToGrid w:val="0"/>
      <w:kern w:val="2"/>
      <w:sz w:val="21"/>
      <w:szCs w:val="24"/>
    </w:rPr>
  </w:style>
  <w:style w:type="character" w:customStyle="1" w:styleId="244">
    <w:name w:val="solutionfonts"/>
    <w:qFormat/>
    <w:uiPriority w:val="0"/>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标题 2 Char Char"/>
    <w:qFormat/>
    <w:uiPriority w:val="0"/>
    <w:rPr>
      <w:rFonts w:ascii="楷体_GB2312" w:hAnsi="Arial" w:eastAsia="楷体_GB2312"/>
      <w:b/>
      <w:bCs/>
      <w:kern w:val="2"/>
      <w:sz w:val="24"/>
      <w:szCs w:val="32"/>
      <w:lang w:val="en-US" w:eastAsia="zh-CN" w:bidi="ar-SA"/>
    </w:rPr>
  </w:style>
  <w:style w:type="character" w:customStyle="1" w:styleId="247">
    <w:name w:val="正文文本 Char"/>
    <w:qFormat/>
    <w:uiPriority w:val="0"/>
    <w:rPr>
      <w:rFonts w:eastAsia="宋体"/>
      <w:kern w:val="2"/>
      <w:sz w:val="24"/>
      <w:szCs w:val="24"/>
      <w:lang w:val="en-US" w:eastAsia="zh-CN" w:bidi="ar-SA"/>
    </w:rPr>
  </w:style>
  <w:style w:type="character" w:customStyle="1" w:styleId="248">
    <w:name w:val="Char Char10"/>
    <w:qFormat/>
    <w:uiPriority w:val="6"/>
    <w:rPr>
      <w:rFonts w:ascii="宋体" w:hAnsi="宋体"/>
      <w:kern w:val="2"/>
      <w:sz w:val="21"/>
      <w:szCs w:val="24"/>
      <w:lang w:val="en-US" w:eastAsia="zh-CN"/>
    </w:rPr>
  </w:style>
  <w:style w:type="character" w:customStyle="1" w:styleId="249">
    <w:name w:val="blue1"/>
    <w:basedOn w:val="53"/>
    <w:qFormat/>
    <w:uiPriority w:val="0"/>
  </w:style>
  <w:style w:type="character" w:customStyle="1" w:styleId="250">
    <w:name w:val="large1"/>
    <w:qFormat/>
    <w:uiPriority w:val="0"/>
    <w:rPr>
      <w:rFonts w:hint="eastAsia" w:ascii="宋体" w:hAnsi="宋体" w:eastAsia="宋体"/>
      <w:sz w:val="21"/>
      <w:szCs w:val="21"/>
    </w:rPr>
  </w:style>
  <w:style w:type="character" w:customStyle="1" w:styleId="251">
    <w:name w:val="tw4winPopup"/>
    <w:qFormat/>
    <w:uiPriority w:val="0"/>
    <w:rPr>
      <w:rFonts w:ascii="Courier New" w:hAnsi="Courier New" w:cs="Courier New"/>
      <w:color w:val="008000"/>
      <w:lang w:val="en-US" w:eastAsia="zh-CN"/>
    </w:rPr>
  </w:style>
  <w:style w:type="character" w:customStyle="1" w:styleId="252">
    <w:name w:val="tw4winExternal"/>
    <w:qFormat/>
    <w:uiPriority w:val="0"/>
    <w:rPr>
      <w:rFonts w:ascii="Courier New" w:hAnsi="Courier New" w:cs="Courier New"/>
      <w:color w:val="808080"/>
      <w:lang w:val="en-US" w:eastAsia="zh-CN"/>
    </w:rPr>
  </w:style>
  <w:style w:type="character" w:customStyle="1" w:styleId="253">
    <w:name w:val="表格名称[858D7CFB-ED40-4347-BF05-701D383B685F]"/>
    <w:link w:val="254"/>
    <w:qFormat/>
    <w:uiPriority w:val="0"/>
    <w:rPr>
      <w:sz w:val="32"/>
    </w:rPr>
  </w:style>
  <w:style w:type="paragraph" w:customStyle="1" w:styleId="254">
    <w:name w:val="表格名称"/>
    <w:basedOn w:val="3"/>
    <w:link w:val="253"/>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character" w:customStyle="1" w:styleId="255">
    <w:name w:val="Char Char3"/>
    <w:qFormat/>
    <w:uiPriority w:val="0"/>
    <w:rPr>
      <w:rFonts w:ascii="Times New Roman" w:hAnsi="Times New Roman" w:eastAsia="宋体" w:cs="Times New Roman"/>
      <w:b/>
      <w:kern w:val="2"/>
      <w:sz w:val="32"/>
      <w:szCs w:val="24"/>
      <w:lang w:val="en-US" w:eastAsia="zh-CN" w:bidi="ar-SA"/>
    </w:rPr>
  </w:style>
  <w:style w:type="character" w:customStyle="1" w:styleId="256">
    <w:name w:val="Char Char35"/>
    <w:qFormat/>
    <w:uiPriority w:val="6"/>
    <w:rPr>
      <w:rFonts w:ascii="Arial" w:hAnsi="Arial" w:eastAsia="黑体"/>
      <w:b/>
      <w:kern w:val="1"/>
      <w:sz w:val="28"/>
      <w:szCs w:val="28"/>
      <w:lang w:val="zh-CN"/>
    </w:rPr>
  </w:style>
  <w:style w:type="character" w:customStyle="1" w:styleId="257">
    <w:name w:val="h3 Char1"/>
    <w:qFormat/>
    <w:uiPriority w:val="0"/>
    <w:rPr>
      <w:rFonts w:eastAsia="宋体"/>
      <w:b/>
      <w:bCs/>
      <w:kern w:val="2"/>
      <w:sz w:val="32"/>
      <w:szCs w:val="32"/>
      <w:lang w:bidi="ar-SA"/>
    </w:rPr>
  </w:style>
  <w:style w:type="character" w:customStyle="1" w:styleId="258">
    <w:name w:val="正文说明 Char"/>
    <w:link w:val="259"/>
    <w:qFormat/>
    <w:uiPriority w:val="0"/>
    <w:rPr>
      <w:sz w:val="24"/>
      <w:szCs w:val="24"/>
    </w:rPr>
  </w:style>
  <w:style w:type="paragraph" w:customStyle="1" w:styleId="259">
    <w:name w:val="正文说明"/>
    <w:basedOn w:val="1"/>
    <w:link w:val="258"/>
    <w:qFormat/>
    <w:uiPriority w:val="0"/>
    <w:pPr>
      <w:adjustRightInd/>
      <w:spacing w:line="360" w:lineRule="auto"/>
    </w:pPr>
    <w:rPr>
      <w:kern w:val="0"/>
      <w:sz w:val="24"/>
    </w:rPr>
  </w:style>
  <w:style w:type="character" w:customStyle="1" w:styleId="260">
    <w:name w:val="正文 编号 Char"/>
    <w:qFormat/>
    <w:uiPriority w:val="0"/>
    <w:rPr>
      <w:rFonts w:ascii="仿宋_GB2312" w:hAnsi="仿宋_GB2312" w:eastAsia="仿宋_GB2312"/>
      <w:kern w:val="2"/>
      <w:sz w:val="24"/>
      <w:lang w:bidi="ar-SA"/>
    </w:rPr>
  </w:style>
  <w:style w:type="character" w:customStyle="1" w:styleId="261">
    <w:name w:val="页眉 Char1"/>
    <w:qFormat/>
    <w:uiPriority w:val="0"/>
    <w:rPr>
      <w:rFonts w:eastAsia="宋体"/>
      <w:kern w:val="2"/>
      <w:sz w:val="18"/>
      <w:szCs w:val="18"/>
      <w:lang w:val="en-US" w:eastAsia="zh-CN" w:bidi="ar-SA"/>
    </w:rPr>
  </w:style>
  <w:style w:type="character" w:customStyle="1" w:styleId="262">
    <w:name w:val="Heading 7 Char_169951a3-d084-4db9-9457-6a2755c5cefd"/>
    <w:qFormat/>
    <w:uiPriority w:val="0"/>
    <w:rPr>
      <w:rFonts w:ascii="宋体" w:hAnsi="宋体" w:eastAsia="宋体"/>
      <w:b/>
      <w:bCs/>
      <w:kern w:val="2"/>
      <w:sz w:val="24"/>
      <w:szCs w:val="24"/>
      <w:lang w:val="en-US" w:eastAsia="zh-CN" w:bidi="ar-SA"/>
    </w:rPr>
  </w:style>
  <w:style w:type="character" w:customStyle="1" w:styleId="263">
    <w:name w:val="Char Char"/>
    <w:qFormat/>
    <w:uiPriority w:val="0"/>
    <w:rPr>
      <w:rFonts w:ascii="宋体" w:hAnsi="Courier New" w:eastAsia="宋体"/>
      <w:kern w:val="2"/>
      <w:sz w:val="21"/>
      <w:lang w:val="en-US" w:eastAsia="zh-CN" w:bidi="ar-SA"/>
    </w:rPr>
  </w:style>
  <w:style w:type="character" w:customStyle="1" w:styleId="264">
    <w:name w:val="javascript"/>
    <w:qFormat/>
    <w:uiPriority w:val="0"/>
  </w:style>
  <w:style w:type="character" w:customStyle="1" w:styleId="265">
    <w:name w:val="冯广丽 Char"/>
    <w:link w:val="266"/>
    <w:qFormat/>
    <w:uiPriority w:val="0"/>
    <w:rPr>
      <w:rFonts w:ascii="宋体" w:hAnsi="宋体"/>
      <w:kern w:val="2"/>
      <w:sz w:val="24"/>
      <w:szCs w:val="22"/>
    </w:rPr>
  </w:style>
  <w:style w:type="paragraph" w:customStyle="1" w:styleId="266">
    <w:name w:val="冯广丽"/>
    <w:basedOn w:val="1"/>
    <w:link w:val="265"/>
    <w:qFormat/>
    <w:uiPriority w:val="0"/>
    <w:pPr>
      <w:adjustRightInd/>
      <w:spacing w:line="360" w:lineRule="auto"/>
      <w:ind w:firstLine="480" w:firstLineChars="200"/>
    </w:pPr>
    <w:rPr>
      <w:rFonts w:ascii="宋体" w:hAnsi="宋体"/>
      <w:sz w:val="24"/>
      <w:szCs w:val="22"/>
    </w:rPr>
  </w:style>
  <w:style w:type="character" w:customStyle="1" w:styleId="267">
    <w:name w:val="Char Char6"/>
    <w:qFormat/>
    <w:uiPriority w:val="0"/>
    <w:rPr>
      <w:rFonts w:eastAsia="宋体"/>
      <w:kern w:val="2"/>
      <w:sz w:val="21"/>
      <w:szCs w:val="24"/>
      <w:lang w:val="en-US" w:eastAsia="zh-CN" w:bidi="ar-SA"/>
    </w:rPr>
  </w:style>
  <w:style w:type="character" w:customStyle="1" w:styleId="268">
    <w:name w:val="Comment Text Char"/>
    <w:qFormat/>
    <w:uiPriority w:val="0"/>
    <w:rPr>
      <w:rFonts w:ascii="宋体" w:hAnsi="宋体" w:eastAsia="宋体"/>
      <w:kern w:val="2"/>
      <w:sz w:val="24"/>
      <w:lang w:val="en-US" w:eastAsia="zh-CN" w:bidi="ar-SA"/>
    </w:rPr>
  </w:style>
  <w:style w:type="character" w:customStyle="1" w:styleId="269">
    <w:name w:val="Char Char8"/>
    <w:qFormat/>
    <w:uiPriority w:val="0"/>
    <w:rPr>
      <w:rFonts w:eastAsia="宋体"/>
      <w:b/>
      <w:sz w:val="24"/>
      <w:lang w:val="en-GB" w:eastAsia="zh-CN"/>
    </w:rPr>
  </w:style>
  <w:style w:type="character" w:customStyle="1" w:styleId="270">
    <w:name w:val="正文（缩进2汉字） Char"/>
    <w:link w:val="271"/>
    <w:qFormat/>
    <w:uiPriority w:val="0"/>
    <w:rPr>
      <w:rFonts w:ascii="宋体"/>
    </w:rPr>
  </w:style>
  <w:style w:type="paragraph" w:customStyle="1" w:styleId="271">
    <w:name w:val="正文（缩进2汉字）"/>
    <w:basedOn w:val="1"/>
    <w:link w:val="27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272">
    <w:name w:val="gf正文1 Char"/>
    <w:qFormat/>
    <w:uiPriority w:val="0"/>
    <w:rPr>
      <w:rFonts w:ascii="宋体" w:hAnsi="宋体" w:eastAsia="宋体" w:cs="宋体"/>
      <w:kern w:val="2"/>
      <w:sz w:val="24"/>
      <w:szCs w:val="24"/>
      <w:lang w:val="en-US" w:eastAsia="zh-CN" w:bidi="ar-SA"/>
    </w:rPr>
  </w:style>
  <w:style w:type="character" w:customStyle="1" w:styleId="273">
    <w:name w:val="正文文本 3 Char"/>
    <w:link w:val="19"/>
    <w:qFormat/>
    <w:uiPriority w:val="0"/>
    <w:rPr>
      <w:kern w:val="2"/>
      <w:sz w:val="21"/>
    </w:rPr>
  </w:style>
  <w:style w:type="character" w:customStyle="1" w:styleId="274">
    <w:name w:val="Footer-Even Char1"/>
    <w:qFormat/>
    <w:uiPriority w:val="0"/>
    <w:rPr>
      <w:rFonts w:eastAsia="宋体"/>
      <w:kern w:val="2"/>
      <w:sz w:val="18"/>
      <w:szCs w:val="18"/>
      <w:lang w:val="en-US" w:eastAsia="zh-CN" w:bidi="ar-SA"/>
    </w:rPr>
  </w:style>
  <w:style w:type="character" w:customStyle="1" w:styleId="275">
    <w:name w:val="big1"/>
    <w:qFormat/>
    <w:uiPriority w:val="0"/>
    <w:rPr>
      <w:rFonts w:hint="eastAsia" w:ascii="宋体" w:hAnsi="宋体" w:eastAsia="宋体"/>
      <w:color w:val="333333"/>
      <w:sz w:val="22"/>
      <w:szCs w:val="22"/>
    </w:rPr>
  </w:style>
  <w:style w:type="character" w:customStyle="1" w:styleId="276">
    <w:name w:val="正文 项目2 Char"/>
    <w:basedOn w:val="174"/>
    <w:qFormat/>
    <w:uiPriority w:val="0"/>
    <w:rPr>
      <w:rFonts w:ascii="仿宋_GB2312" w:hAnsi="仿宋_GB2312" w:eastAsia="仿宋_GB2312"/>
      <w:kern w:val="2"/>
      <w:sz w:val="24"/>
      <w:lang w:bidi="ar-SA"/>
    </w:rPr>
  </w:style>
  <w:style w:type="character" w:customStyle="1" w:styleId="277">
    <w:name w:val="冯 Char"/>
    <w:link w:val="278"/>
    <w:qFormat/>
    <w:uiPriority w:val="0"/>
    <w:rPr>
      <w:rFonts w:ascii="宋体" w:hAnsi="宋体"/>
      <w:color w:val="000000"/>
      <w:sz w:val="24"/>
      <w:szCs w:val="24"/>
    </w:rPr>
  </w:style>
  <w:style w:type="paragraph" w:customStyle="1" w:styleId="278">
    <w:name w:val="冯"/>
    <w:basedOn w:val="1"/>
    <w:link w:val="277"/>
    <w:qFormat/>
    <w:uiPriority w:val="0"/>
    <w:pPr>
      <w:widowControl/>
      <w:adjustRightInd/>
      <w:spacing w:line="360" w:lineRule="auto"/>
      <w:ind w:firstLine="480" w:firstLineChars="200"/>
    </w:pPr>
    <w:rPr>
      <w:rFonts w:ascii="宋体" w:hAnsi="宋体"/>
      <w:color w:val="000000"/>
      <w:kern w:val="0"/>
      <w:sz w:val="24"/>
    </w:rPr>
  </w:style>
  <w:style w:type="character" w:customStyle="1" w:styleId="279">
    <w:name w:val="称呼 Char"/>
    <w:link w:val="18"/>
    <w:qFormat/>
    <w:uiPriority w:val="0"/>
    <w:rPr>
      <w:rFonts w:ascii="仿宋_GB2312" w:eastAsia="仿宋_GB2312"/>
      <w:kern w:val="2"/>
      <w:sz w:val="28"/>
    </w:rPr>
  </w:style>
  <w:style w:type="character" w:customStyle="1" w:styleId="280">
    <w:name w:val="页脚 Char1"/>
    <w:qFormat/>
    <w:uiPriority w:val="0"/>
    <w:rPr>
      <w:rFonts w:eastAsia="宋体"/>
      <w:kern w:val="2"/>
      <w:sz w:val="18"/>
      <w:szCs w:val="18"/>
      <w:lang w:val="en-US" w:eastAsia="zh-CN" w:bidi="ar-SA"/>
    </w:rPr>
  </w:style>
  <w:style w:type="character" w:customStyle="1" w:styleId="281">
    <w:name w:val="Char Char23"/>
    <w:qFormat/>
    <w:uiPriority w:val="6"/>
    <w:rPr>
      <w:color w:val="0000FF"/>
      <w:sz w:val="21"/>
    </w:rPr>
  </w:style>
  <w:style w:type="character" w:customStyle="1" w:styleId="282">
    <w:name w:val="Item List Char"/>
    <w:link w:val="283"/>
    <w:qFormat/>
    <w:uiPriority w:val="0"/>
    <w:rPr>
      <w:rFonts w:ascii="Arial"/>
      <w:bCs/>
      <w:sz w:val="21"/>
      <w:szCs w:val="21"/>
      <w:lang w:val="en-US" w:eastAsia="zh-CN" w:bidi="ar-SA"/>
    </w:rPr>
  </w:style>
  <w:style w:type="paragraph" w:customStyle="1" w:styleId="283">
    <w:name w:val="Item List"/>
    <w:link w:val="28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84">
    <w:name w:val="Char Char25"/>
    <w:qFormat/>
    <w:uiPriority w:val="6"/>
    <w:rPr>
      <w:rFonts w:ascii="宋体" w:hAnsi="宋体"/>
      <w:kern w:val="1"/>
      <w:sz w:val="24"/>
      <w:lang w:val="zh-CN"/>
    </w:rPr>
  </w:style>
  <w:style w:type="character" w:customStyle="1" w:styleId="28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86">
    <w:name w:val="Ò³Ã¼ Char Char"/>
    <w:qFormat/>
    <w:uiPriority w:val="0"/>
    <w:rPr>
      <w:rFonts w:eastAsia="宋体"/>
      <w:kern w:val="2"/>
      <w:sz w:val="18"/>
      <w:lang w:val="en-US" w:eastAsia="zh-CN" w:bidi="ar-SA"/>
    </w:rPr>
  </w:style>
  <w:style w:type="character" w:customStyle="1" w:styleId="287">
    <w:name w:val="签名 Char"/>
    <w:link w:val="36"/>
    <w:qFormat/>
    <w:uiPriority w:val="0"/>
    <w:rPr>
      <w:rFonts w:eastAsia="仿宋_GB2312"/>
      <w:sz w:val="24"/>
    </w:rPr>
  </w:style>
  <w:style w:type="character" w:customStyle="1" w:styleId="288">
    <w:name w:val="此正文 Char"/>
    <w:link w:val="289"/>
    <w:qFormat/>
    <w:uiPriority w:val="0"/>
    <w:rPr>
      <w:kern w:val="2"/>
      <w:sz w:val="24"/>
      <w:szCs w:val="24"/>
    </w:rPr>
  </w:style>
  <w:style w:type="paragraph" w:customStyle="1" w:styleId="289">
    <w:name w:val="此正文"/>
    <w:basedOn w:val="1"/>
    <w:link w:val="288"/>
    <w:qFormat/>
    <w:uiPriority w:val="0"/>
    <w:pPr>
      <w:adjustRightInd/>
      <w:spacing w:line="360" w:lineRule="auto"/>
      <w:ind w:firstLine="200" w:firstLineChars="200"/>
    </w:pPr>
    <w:rPr>
      <w:sz w:val="24"/>
    </w:rPr>
  </w:style>
  <w:style w:type="character" w:customStyle="1" w:styleId="290">
    <w:name w:val="Heading 2 Hidden Char"/>
    <w:qFormat/>
    <w:uiPriority w:val="0"/>
    <w:rPr>
      <w:rFonts w:ascii="仿宋_GB2312" w:eastAsia="仿宋_GB2312"/>
      <w:b/>
      <w:bCs/>
      <w:kern w:val="2"/>
      <w:sz w:val="24"/>
      <w:szCs w:val="24"/>
      <w:lang w:val="zh-CN" w:eastAsia="zh-CN" w:bidi="ar-SA"/>
    </w:rPr>
  </w:style>
  <w:style w:type="character" w:customStyle="1" w:styleId="291">
    <w:name w:val="批注文字 Char2"/>
    <w:link w:val="17"/>
    <w:qFormat/>
    <w:uiPriority w:val="99"/>
    <w:rPr>
      <w:kern w:val="2"/>
      <w:sz w:val="21"/>
      <w:szCs w:val="24"/>
    </w:rPr>
  </w:style>
  <w:style w:type="character" w:customStyle="1" w:styleId="292">
    <w:name w:val="PI Char"/>
    <w:qFormat/>
    <w:uiPriority w:val="0"/>
    <w:rPr>
      <w:rFonts w:ascii="宋体" w:hAnsi="宋体" w:eastAsia="宋体"/>
      <w:kern w:val="2"/>
      <w:sz w:val="24"/>
      <w:szCs w:val="24"/>
      <w:lang w:val="en-US" w:eastAsia="zh-CN" w:bidi="ar-SA"/>
    </w:rPr>
  </w:style>
  <w:style w:type="character" w:customStyle="1" w:styleId="293">
    <w:name w:val="content"/>
    <w:qFormat/>
    <w:uiPriority w:val="0"/>
  </w:style>
  <w:style w:type="character" w:customStyle="1" w:styleId="294">
    <w:name w:val="HTML 预设格式 Char"/>
    <w:link w:val="47"/>
    <w:qFormat/>
    <w:uiPriority w:val="0"/>
    <w:rPr>
      <w:rFonts w:ascii="黑体" w:hAnsi="Courier New" w:eastAsia="黑体"/>
    </w:rPr>
  </w:style>
  <w:style w:type="character" w:customStyle="1" w:styleId="295">
    <w:name w:val="普通文字 Char Char1"/>
    <w:qFormat/>
    <w:uiPriority w:val="0"/>
    <w:rPr>
      <w:rFonts w:ascii="宋体" w:hAnsi="Courier New"/>
      <w:kern w:val="2"/>
      <w:sz w:val="21"/>
    </w:rPr>
  </w:style>
  <w:style w:type="character" w:customStyle="1" w:styleId="296">
    <w:name w:val="Char Char24"/>
    <w:qFormat/>
    <w:uiPriority w:val="6"/>
    <w:rPr>
      <w:kern w:val="1"/>
      <w:sz w:val="21"/>
    </w:rPr>
  </w:style>
  <w:style w:type="character" w:customStyle="1" w:styleId="297">
    <w:name w:val="正文非缩进 Char"/>
    <w:qFormat/>
    <w:uiPriority w:val="0"/>
    <w:rPr>
      <w:rFonts w:ascii="宋体" w:eastAsia="宋体"/>
      <w:snapToGrid w:val="0"/>
      <w:color w:val="000000"/>
      <w:kern w:val="28"/>
      <w:sz w:val="28"/>
      <w:lang w:val="en-US" w:eastAsia="zh-CN" w:bidi="ar-SA"/>
    </w:rPr>
  </w:style>
  <w:style w:type="character" w:customStyle="1" w:styleId="298">
    <w:name w:val="Char Char34"/>
    <w:qFormat/>
    <w:uiPriority w:val="6"/>
    <w:rPr>
      <w:b/>
      <w:kern w:val="1"/>
      <w:sz w:val="28"/>
      <w:szCs w:val="28"/>
    </w:rPr>
  </w:style>
  <w:style w:type="character" w:customStyle="1" w:styleId="299">
    <w:name w:val="Table Text Char1"/>
    <w:qFormat/>
    <w:uiPriority w:val="0"/>
    <w:rPr>
      <w:rFonts w:eastAsia="宋体"/>
      <w:sz w:val="24"/>
      <w:szCs w:val="24"/>
      <w:lang w:val="en-US" w:eastAsia="zh-CN" w:bidi="ar-SA"/>
    </w:rPr>
  </w:style>
  <w:style w:type="character" w:customStyle="1" w:styleId="300">
    <w:name w:val="标题 1 Char Char"/>
    <w:qFormat/>
    <w:uiPriority w:val="0"/>
    <w:rPr>
      <w:rFonts w:hint="eastAsia" w:ascii="宋体" w:hAnsi="宋体" w:eastAsia="宋体"/>
      <w:b/>
      <w:spacing w:val="-2"/>
      <w:sz w:val="24"/>
      <w:lang w:val="en-US" w:eastAsia="zh-CN" w:bidi="ar-SA"/>
    </w:rPr>
  </w:style>
  <w:style w:type="character" w:customStyle="1" w:styleId="301">
    <w:name w:val="Char Char121"/>
    <w:qFormat/>
    <w:uiPriority w:val="6"/>
    <w:rPr>
      <w:rFonts w:ascii="仿宋_GB2312" w:eastAsia="仿宋_GB2312"/>
      <w:b/>
      <w:bCs/>
      <w:kern w:val="2"/>
      <w:sz w:val="24"/>
      <w:szCs w:val="24"/>
      <w:lang w:val="zh-CN" w:eastAsia="zh-CN" w:bidi="ar-SA"/>
    </w:rPr>
  </w:style>
  <w:style w:type="character" w:customStyle="1" w:styleId="302">
    <w:name w:val="hui3"/>
    <w:qFormat/>
    <w:uiPriority w:val="0"/>
    <w:rPr>
      <w:color w:val="333333"/>
    </w:rPr>
  </w:style>
  <w:style w:type="character" w:customStyle="1" w:styleId="303">
    <w:name w:val="Char Char27"/>
    <w:qFormat/>
    <w:uiPriority w:val="6"/>
    <w:rPr>
      <w:rFonts w:ascii="宋体" w:hAnsi="宋体" w:eastAsia="宋体"/>
      <w:color w:val="000000"/>
      <w:kern w:val="1"/>
      <w:sz w:val="28"/>
      <w:lang w:val="en-US" w:eastAsia="zh-CN" w:bidi="ar-SA"/>
    </w:rPr>
  </w:style>
  <w:style w:type="character" w:customStyle="1" w:styleId="304">
    <w:name w:val="标题 3 Char1"/>
    <w:qFormat/>
    <w:uiPriority w:val="6"/>
    <w:rPr>
      <w:rFonts w:hint="eastAsia" w:ascii="华文中宋" w:hAnsi="华文中宋" w:eastAsia="华文中宋"/>
      <w:b/>
      <w:bCs/>
      <w:kern w:val="2"/>
      <w:sz w:val="32"/>
      <w:szCs w:val="32"/>
      <w:lang w:val="en-US" w:eastAsia="zh-CN" w:bidi="ar-SA"/>
    </w:rPr>
  </w:style>
  <w:style w:type="character" w:customStyle="1" w:styleId="305">
    <w:name w:val="Char Char13"/>
    <w:qFormat/>
    <w:uiPriority w:val="6"/>
    <w:rPr>
      <w:rFonts w:ascii="宋体" w:hAnsi="宋体"/>
      <w:kern w:val="1"/>
      <w:sz w:val="21"/>
      <w:szCs w:val="24"/>
    </w:rPr>
  </w:style>
  <w:style w:type="character" w:customStyle="1" w:styleId="306">
    <w:name w:val="纯文本 Char Char Char"/>
    <w:qFormat/>
    <w:uiPriority w:val="0"/>
    <w:rPr>
      <w:rFonts w:ascii="宋体" w:hAnsi="Courier New" w:eastAsia="宋体"/>
      <w:kern w:val="2"/>
      <w:sz w:val="21"/>
      <w:lang w:val="en-US" w:eastAsia="zh-CN" w:bidi="ar-SA"/>
    </w:rPr>
  </w:style>
  <w:style w:type="character" w:customStyle="1" w:styleId="307">
    <w:name w:val="Char Char20"/>
    <w:qFormat/>
    <w:uiPriority w:val="6"/>
    <w:rPr>
      <w:kern w:val="1"/>
      <w:sz w:val="24"/>
    </w:rPr>
  </w:style>
  <w:style w:type="character" w:customStyle="1" w:styleId="308">
    <w:name w:val="hei16b1"/>
    <w:qFormat/>
    <w:uiPriority w:val="0"/>
    <w:rPr>
      <w:rFonts w:hint="default" w:ascii="Arial" w:hAnsi="Arial" w:cs="Arial"/>
      <w:b/>
      <w:bCs/>
      <w:color w:val="000000"/>
      <w:sz w:val="24"/>
      <w:szCs w:val="24"/>
    </w:rPr>
  </w:style>
  <w:style w:type="character" w:customStyle="1" w:styleId="309">
    <w:name w:val="Char Char29"/>
    <w:qFormat/>
    <w:uiPriority w:val="6"/>
    <w:rPr>
      <w:rFonts w:ascii="Arial" w:hAnsi="Arial" w:eastAsia="微软雅黑"/>
      <w:b/>
      <w:kern w:val="1"/>
      <w:sz w:val="44"/>
      <w:szCs w:val="32"/>
      <w:lang w:val="en-US" w:eastAsia="zh-CN" w:bidi="ar-SA"/>
    </w:rPr>
  </w:style>
  <w:style w:type="character" w:customStyle="1" w:styleId="310">
    <w:name w:val="Char Char36"/>
    <w:qFormat/>
    <w:uiPriority w:val="6"/>
    <w:rPr>
      <w:rFonts w:ascii="仿宋_GB2312" w:hAnsi="仿宋_GB2312" w:eastAsia="仿宋_GB2312" w:cs="Arial"/>
      <w:b/>
      <w:kern w:val="1"/>
      <w:sz w:val="32"/>
      <w:szCs w:val="32"/>
      <w:lang w:val="zh-CN" w:eastAsia="zh-CN" w:bidi="ar-SA"/>
    </w:rPr>
  </w:style>
  <w:style w:type="character" w:customStyle="1" w:styleId="311">
    <w:name w:val="Char Char32"/>
    <w:qFormat/>
    <w:uiPriority w:val="6"/>
    <w:rPr>
      <w:b/>
      <w:kern w:val="1"/>
      <w:sz w:val="24"/>
      <w:szCs w:val="24"/>
    </w:rPr>
  </w:style>
  <w:style w:type="character" w:customStyle="1" w:styleId="312">
    <w:name w:val="Char Char15"/>
    <w:qFormat/>
    <w:uiPriority w:val="6"/>
    <w:rPr>
      <w:rFonts w:ascii="宋体" w:hAnsi="宋体"/>
      <w:kern w:val="1"/>
      <w:sz w:val="21"/>
    </w:rPr>
  </w:style>
  <w:style w:type="character" w:customStyle="1" w:styleId="313">
    <w:name w:val="Char Char21"/>
    <w:qFormat/>
    <w:uiPriority w:val="6"/>
    <w:rPr>
      <w:rFonts w:ascii="宋体" w:hAnsi="宋体"/>
      <w:kern w:val="1"/>
      <w:sz w:val="24"/>
      <w:szCs w:val="21"/>
      <w:lang w:val="zh-CN"/>
    </w:rPr>
  </w:style>
  <w:style w:type="character" w:customStyle="1" w:styleId="314">
    <w:name w:val="Char Char22"/>
    <w:qFormat/>
    <w:uiPriority w:val="6"/>
    <w:rPr>
      <w:rFonts w:ascii="宋体" w:hAnsi="宋体"/>
      <w:kern w:val="1"/>
      <w:sz w:val="24"/>
      <w:szCs w:val="24"/>
    </w:rPr>
  </w:style>
  <w:style w:type="character" w:customStyle="1" w:styleId="315">
    <w:name w:val="question-title2"/>
    <w:basedOn w:val="53"/>
    <w:qFormat/>
    <w:uiPriority w:val="6"/>
  </w:style>
  <w:style w:type="character" w:customStyle="1" w:styleId="316">
    <w:name w:val="param-name"/>
    <w:basedOn w:val="53"/>
    <w:qFormat/>
    <w:uiPriority w:val="99"/>
  </w:style>
  <w:style w:type="character" w:customStyle="1" w:styleId="317">
    <w:name w:val="脚注文本 Char1"/>
    <w:qFormat/>
    <w:uiPriority w:val="99"/>
    <w:rPr>
      <w:rFonts w:ascii="Times New Roman" w:hAnsi="Times New Roman" w:eastAsia="宋体" w:cs="Times New Roman"/>
      <w:sz w:val="18"/>
      <w:szCs w:val="18"/>
    </w:rPr>
  </w:style>
  <w:style w:type="character" w:customStyle="1" w:styleId="318">
    <w:name w:val="正文文本缩进 Char1"/>
    <w:qFormat/>
    <w:uiPriority w:val="0"/>
    <w:rPr>
      <w:rFonts w:ascii="Times New Roman" w:hAnsi="Times New Roman" w:eastAsia="宋体" w:cs="Times New Roman"/>
      <w:szCs w:val="24"/>
    </w:rPr>
  </w:style>
  <w:style w:type="character" w:customStyle="1" w:styleId="319">
    <w:name w:val="正文文本缩进 2 Char1"/>
    <w:qFormat/>
    <w:uiPriority w:val="0"/>
    <w:rPr>
      <w:rFonts w:ascii="Times New Roman" w:hAnsi="Times New Roman" w:eastAsia="宋体" w:cs="Times New Roman"/>
      <w:szCs w:val="24"/>
    </w:rPr>
  </w:style>
  <w:style w:type="character" w:customStyle="1" w:styleId="320">
    <w:name w:val="正文文本 3 Char1"/>
    <w:qFormat/>
    <w:uiPriority w:val="0"/>
    <w:rPr>
      <w:rFonts w:ascii="Times New Roman" w:hAnsi="Times New Roman" w:eastAsia="宋体" w:cs="Times New Roman"/>
      <w:sz w:val="16"/>
      <w:szCs w:val="16"/>
    </w:rPr>
  </w:style>
  <w:style w:type="character" w:customStyle="1" w:styleId="321">
    <w:name w:val="签名 Char1"/>
    <w:qFormat/>
    <w:uiPriority w:val="99"/>
    <w:rPr>
      <w:rFonts w:ascii="Times New Roman" w:hAnsi="Times New Roman" w:eastAsia="宋体" w:cs="Times New Roman"/>
      <w:szCs w:val="24"/>
    </w:rPr>
  </w:style>
  <w:style w:type="character" w:customStyle="1" w:styleId="322">
    <w:name w:val="正文首行缩进 2 Char1"/>
    <w:basedOn w:val="318"/>
    <w:qFormat/>
    <w:uiPriority w:val="99"/>
    <w:rPr>
      <w:rFonts w:ascii="Times New Roman" w:hAnsi="Times New Roman" w:eastAsia="宋体" w:cs="Times New Roman"/>
      <w:szCs w:val="24"/>
    </w:rPr>
  </w:style>
  <w:style w:type="character" w:customStyle="1" w:styleId="323">
    <w:name w:val="纯文本 Char2"/>
    <w:qFormat/>
    <w:uiPriority w:val="99"/>
    <w:rPr>
      <w:rFonts w:ascii="宋体" w:hAnsi="Courier New" w:eastAsia="宋体" w:cs="Courier New"/>
    </w:rPr>
  </w:style>
  <w:style w:type="character" w:customStyle="1" w:styleId="324">
    <w:name w:val="批注框文本 Char1"/>
    <w:qFormat/>
    <w:uiPriority w:val="99"/>
    <w:rPr>
      <w:rFonts w:ascii="Times New Roman" w:hAnsi="Times New Roman" w:eastAsia="宋体" w:cs="Times New Roman"/>
      <w:sz w:val="18"/>
      <w:szCs w:val="18"/>
    </w:rPr>
  </w:style>
  <w:style w:type="character" w:customStyle="1" w:styleId="325">
    <w:name w:val="正文文本缩进 3 Char1"/>
    <w:qFormat/>
    <w:uiPriority w:val="0"/>
    <w:rPr>
      <w:rFonts w:ascii="Times New Roman" w:hAnsi="Times New Roman" w:eastAsia="宋体" w:cs="Times New Roman"/>
      <w:sz w:val="16"/>
      <w:szCs w:val="16"/>
    </w:rPr>
  </w:style>
  <w:style w:type="character" w:customStyle="1" w:styleId="326">
    <w:name w:val="正文首行缩进 Char1"/>
    <w:qFormat/>
    <w:uiPriority w:val="99"/>
    <w:rPr>
      <w:rFonts w:ascii="宋体" w:hAnsi="Times New Roman" w:eastAsia="宋体" w:cs="Times New Roman"/>
      <w:snapToGrid w:val="0"/>
      <w:kern w:val="2"/>
      <w:sz w:val="24"/>
      <w:szCs w:val="21"/>
      <w:lang w:val="zh-CN"/>
    </w:rPr>
  </w:style>
  <w:style w:type="character" w:customStyle="1" w:styleId="327">
    <w:name w:val="副标题 Char1"/>
    <w:qFormat/>
    <w:uiPriority w:val="11"/>
    <w:rPr>
      <w:rFonts w:ascii="Cambria" w:hAnsi="Cambria" w:eastAsia="宋体" w:cs="Times New Roman"/>
      <w:b/>
      <w:bCs/>
      <w:kern w:val="28"/>
      <w:sz w:val="32"/>
      <w:szCs w:val="32"/>
    </w:rPr>
  </w:style>
  <w:style w:type="character" w:customStyle="1" w:styleId="328">
    <w:name w:val="font71"/>
    <w:qFormat/>
    <w:uiPriority w:val="0"/>
    <w:rPr>
      <w:rFonts w:hint="eastAsia" w:ascii="宋体" w:hAnsi="宋体" w:eastAsia="宋体" w:cs="宋体"/>
      <w:b/>
      <w:color w:val="000000"/>
      <w:sz w:val="20"/>
      <w:szCs w:val="20"/>
      <w:u w:val="none"/>
    </w:rPr>
  </w:style>
  <w:style w:type="character" w:customStyle="1" w:styleId="329">
    <w:name w:val="font121"/>
    <w:qFormat/>
    <w:uiPriority w:val="0"/>
    <w:rPr>
      <w:rFonts w:hint="default" w:ascii="Arial Unicode MS" w:hAnsi="Arial Unicode MS" w:eastAsia="Arial Unicode MS" w:cs="Arial Unicode MS"/>
      <w:snapToGrid w:val="0"/>
      <w:color w:val="000000"/>
      <w:kern w:val="0"/>
      <w:sz w:val="19"/>
      <w:szCs w:val="19"/>
      <w:u w:val="none"/>
    </w:rPr>
  </w:style>
  <w:style w:type="character" w:customStyle="1" w:styleId="330">
    <w:name w:val="font131"/>
    <w:qFormat/>
    <w:uiPriority w:val="0"/>
    <w:rPr>
      <w:rFonts w:hint="eastAsia" w:ascii="宋体" w:hAnsi="宋体" w:eastAsia="宋体" w:cs="宋体"/>
      <w:b/>
      <w:snapToGrid w:val="0"/>
      <w:color w:val="000000"/>
      <w:kern w:val="0"/>
      <w:sz w:val="20"/>
      <w:szCs w:val="20"/>
      <w:u w:val="none"/>
    </w:rPr>
  </w:style>
  <w:style w:type="character" w:customStyle="1" w:styleId="331">
    <w:name w:val="font41"/>
    <w:qFormat/>
    <w:uiPriority w:val="0"/>
    <w:rPr>
      <w:rFonts w:hint="eastAsia" w:ascii="宋体" w:hAnsi="宋体" w:eastAsia="宋体" w:cs="宋体"/>
      <w:snapToGrid w:val="0"/>
      <w:color w:val="000000"/>
      <w:kern w:val="0"/>
      <w:sz w:val="19"/>
      <w:szCs w:val="19"/>
      <w:u w:val="none"/>
    </w:rPr>
  </w:style>
  <w:style w:type="character" w:customStyle="1" w:styleId="332">
    <w:name w:val="font161"/>
    <w:qFormat/>
    <w:uiPriority w:val="0"/>
    <w:rPr>
      <w:rFonts w:hint="eastAsia" w:ascii="宋体" w:hAnsi="宋体" w:eastAsia="宋体" w:cs="宋体"/>
      <w:snapToGrid w:val="0"/>
      <w:color w:val="000000"/>
      <w:kern w:val="0"/>
      <w:sz w:val="19"/>
      <w:szCs w:val="19"/>
      <w:u w:val="none"/>
    </w:rPr>
  </w:style>
  <w:style w:type="character" w:customStyle="1" w:styleId="333">
    <w:name w:val="font31"/>
    <w:qFormat/>
    <w:uiPriority w:val="0"/>
    <w:rPr>
      <w:rFonts w:hint="eastAsia" w:ascii="宋体" w:hAnsi="宋体" w:eastAsia="宋体" w:cs="宋体"/>
      <w:b/>
      <w:snapToGrid w:val="0"/>
      <w:color w:val="000000"/>
      <w:kern w:val="0"/>
      <w:sz w:val="20"/>
      <w:szCs w:val="20"/>
      <w:u w:val="none"/>
    </w:rPr>
  </w:style>
  <w:style w:type="character" w:customStyle="1" w:styleId="334">
    <w:name w:val="font11"/>
    <w:qFormat/>
    <w:uiPriority w:val="0"/>
    <w:rPr>
      <w:rFonts w:ascii="Arial" w:hAnsi="Arial" w:cs="Arial"/>
      <w:color w:val="000000"/>
      <w:sz w:val="20"/>
      <w:szCs w:val="20"/>
      <w:u w:val="none"/>
    </w:rPr>
  </w:style>
  <w:style w:type="character" w:customStyle="1" w:styleId="335">
    <w:name w:val="content1"/>
    <w:qFormat/>
    <w:uiPriority w:val="0"/>
    <w:rPr>
      <w:color w:val="0066FF"/>
      <w:sz w:val="21"/>
      <w:szCs w:val="21"/>
    </w:rPr>
  </w:style>
  <w:style w:type="character" w:customStyle="1" w:styleId="336">
    <w:name w:val="font81"/>
    <w:qFormat/>
    <w:uiPriority w:val="0"/>
    <w:rPr>
      <w:rFonts w:hint="eastAsia" w:ascii="宋体" w:hAnsi="宋体" w:eastAsia="宋体" w:cs="宋体"/>
      <w:b/>
      <w:snapToGrid w:val="0"/>
      <w:color w:val="000000"/>
      <w:kern w:val="0"/>
      <w:sz w:val="20"/>
      <w:szCs w:val="20"/>
      <w:u w:val="none"/>
    </w:rPr>
  </w:style>
  <w:style w:type="character" w:customStyle="1" w:styleId="337">
    <w:name w:val="font61"/>
    <w:qFormat/>
    <w:uiPriority w:val="0"/>
    <w:rPr>
      <w:rFonts w:hint="eastAsia" w:ascii="宋体" w:hAnsi="宋体" w:eastAsia="宋体" w:cs="宋体"/>
      <w:snapToGrid w:val="0"/>
      <w:color w:val="000000"/>
      <w:kern w:val="0"/>
      <w:sz w:val="20"/>
      <w:szCs w:val="20"/>
      <w:u w:val="none"/>
    </w:rPr>
  </w:style>
  <w:style w:type="character" w:customStyle="1" w:styleId="338">
    <w:name w:val="Char Char341"/>
    <w:qFormat/>
    <w:uiPriority w:val="0"/>
    <w:rPr>
      <w:rFonts w:eastAsia="宋体"/>
      <w:kern w:val="2"/>
      <w:sz w:val="21"/>
      <w:szCs w:val="24"/>
      <w:lang w:val="en-US" w:eastAsia="zh-CN" w:bidi="ar-SA"/>
    </w:rPr>
  </w:style>
  <w:style w:type="character" w:customStyle="1" w:styleId="339">
    <w:name w:val="font01"/>
    <w:qFormat/>
    <w:uiPriority w:val="0"/>
    <w:rPr>
      <w:rFonts w:hint="eastAsia" w:ascii="宋体" w:hAnsi="宋体" w:eastAsia="宋体" w:cs="宋体"/>
      <w:snapToGrid w:val="0"/>
      <w:color w:val="000000"/>
      <w:kern w:val="0"/>
      <w:sz w:val="20"/>
      <w:szCs w:val="20"/>
      <w:u w:val="none"/>
    </w:rPr>
  </w:style>
  <w:style w:type="character" w:customStyle="1" w:styleId="340">
    <w:name w:val="c11"/>
    <w:qFormat/>
    <w:uiPriority w:val="0"/>
    <w:rPr>
      <w:rFonts w:hint="default" w:ascii="Arial" w:hAnsi="Arial" w:cs="Arial"/>
      <w:color w:val="333333"/>
      <w:sz w:val="22"/>
      <w:szCs w:val="22"/>
    </w:rPr>
  </w:style>
  <w:style w:type="character" w:customStyle="1" w:styleId="341">
    <w:name w:val="编号，小四 Char"/>
    <w:link w:val="342"/>
    <w:qFormat/>
    <w:uiPriority w:val="0"/>
    <w:rPr>
      <w:rFonts w:ascii="Arial" w:hAnsi="Arial"/>
      <w:kern w:val="2"/>
      <w:sz w:val="24"/>
    </w:rPr>
  </w:style>
  <w:style w:type="paragraph" w:customStyle="1" w:styleId="342">
    <w:name w:val="编号，小四"/>
    <w:basedOn w:val="1"/>
    <w:link w:val="341"/>
    <w:qFormat/>
    <w:uiPriority w:val="0"/>
    <w:pPr>
      <w:adjustRightInd/>
      <w:spacing w:line="360" w:lineRule="auto"/>
      <w:ind w:left="420"/>
    </w:pPr>
    <w:rPr>
      <w:rFonts w:ascii="Arial" w:hAnsi="Arial"/>
      <w:sz w:val="24"/>
      <w:szCs w:val="20"/>
    </w:rPr>
  </w:style>
  <w:style w:type="character" w:customStyle="1" w:styleId="343">
    <w:name w:val="题注 Char"/>
    <w:link w:val="14"/>
    <w:qFormat/>
    <w:uiPriority w:val="0"/>
    <w:rPr>
      <w:b/>
      <w:kern w:val="2"/>
      <w:sz w:val="28"/>
    </w:rPr>
  </w:style>
  <w:style w:type="character" w:customStyle="1" w:styleId="344">
    <w:name w:val="内容文本 Char"/>
    <w:link w:val="345"/>
    <w:qFormat/>
    <w:uiPriority w:val="0"/>
    <w:rPr>
      <w:rFonts w:ascii="宋体" w:hAnsi="宋体"/>
      <w:sz w:val="24"/>
      <w:szCs w:val="24"/>
      <w:lang w:eastAsia="en-US" w:bidi="en-US"/>
    </w:rPr>
  </w:style>
  <w:style w:type="paragraph" w:customStyle="1" w:styleId="345">
    <w:name w:val="内容文本"/>
    <w:basedOn w:val="346"/>
    <w:link w:val="344"/>
    <w:qFormat/>
    <w:uiPriority w:val="0"/>
    <w:pPr>
      <w:adjustRightInd/>
      <w:spacing w:line="360" w:lineRule="auto"/>
      <w:ind w:firstLine="200"/>
      <w:contextualSpacing/>
      <w:jc w:val="left"/>
    </w:pPr>
    <w:rPr>
      <w:rFonts w:ascii="宋体" w:hAnsi="宋体"/>
      <w:kern w:val="0"/>
      <w:sz w:val="24"/>
      <w:lang w:eastAsia="en-US" w:bidi="en-US"/>
    </w:rPr>
  </w:style>
  <w:style w:type="paragraph" w:customStyle="1" w:styleId="346">
    <w:name w:val="列表段落1"/>
    <w:basedOn w:val="1"/>
    <w:qFormat/>
    <w:uiPriority w:val="34"/>
    <w:pPr>
      <w:ind w:firstLine="420" w:firstLineChars="200"/>
    </w:pPr>
  </w:style>
  <w:style w:type="character" w:customStyle="1" w:styleId="347">
    <w:name w:val="*正文 Char"/>
    <w:link w:val="348"/>
    <w:qFormat/>
    <w:uiPriority w:val="0"/>
    <w:rPr>
      <w:rFonts w:ascii="宋体" w:hAnsi="宋体"/>
      <w:kern w:val="2"/>
      <w:sz w:val="24"/>
      <w:szCs w:val="24"/>
    </w:rPr>
  </w:style>
  <w:style w:type="paragraph" w:customStyle="1" w:styleId="348">
    <w:name w:val="*正文"/>
    <w:basedOn w:val="1"/>
    <w:link w:val="347"/>
    <w:qFormat/>
    <w:uiPriority w:val="0"/>
    <w:pPr>
      <w:adjustRightInd/>
      <w:spacing w:line="360" w:lineRule="auto"/>
    </w:pPr>
    <w:rPr>
      <w:rFonts w:ascii="宋体" w:hAnsi="宋体"/>
      <w:sz w:val="24"/>
    </w:rPr>
  </w:style>
  <w:style w:type="character" w:customStyle="1" w:styleId="349">
    <w:name w:val="样式 首行缩进:  0 字符 Char"/>
    <w:link w:val="350"/>
    <w:qFormat/>
    <w:uiPriority w:val="0"/>
    <w:rPr>
      <w:rFonts w:ascii="Arial" w:hAnsi="Arial" w:cs="宋体"/>
      <w:kern w:val="2"/>
      <w:sz w:val="24"/>
    </w:rPr>
  </w:style>
  <w:style w:type="paragraph" w:customStyle="1" w:styleId="350">
    <w:name w:val="样式 首行缩进:  0 字符"/>
    <w:basedOn w:val="1"/>
    <w:link w:val="349"/>
    <w:qFormat/>
    <w:uiPriority w:val="0"/>
    <w:pPr>
      <w:adjustRightInd/>
      <w:spacing w:line="360" w:lineRule="auto"/>
      <w:ind w:firstLine="200" w:firstLineChars="200"/>
    </w:pPr>
    <w:rPr>
      <w:rFonts w:ascii="Arial" w:hAnsi="Arial"/>
      <w:sz w:val="24"/>
      <w:szCs w:val="20"/>
    </w:rPr>
  </w:style>
  <w:style w:type="character" w:customStyle="1" w:styleId="351">
    <w:name w:val="text1"/>
    <w:qFormat/>
    <w:uiPriority w:val="0"/>
    <w:rPr>
      <w:sz w:val="21"/>
      <w:szCs w:val="21"/>
    </w:rPr>
  </w:style>
  <w:style w:type="character" w:customStyle="1" w:styleId="352">
    <w:name w:val="未处理的提及1"/>
    <w:qFormat/>
    <w:uiPriority w:val="99"/>
    <w:rPr>
      <w:color w:val="605E5C"/>
      <w:shd w:val="clear" w:color="auto" w:fill="E1DFDD"/>
    </w:rPr>
  </w:style>
  <w:style w:type="character" w:customStyle="1" w:styleId="353">
    <w:name w:val="纯文本 字符"/>
    <w:qFormat/>
    <w:uiPriority w:val="99"/>
    <w:rPr>
      <w:rFonts w:ascii="宋体" w:hAnsi="Courier New" w:eastAsia="黑体" w:cs="Arial"/>
      <w:kern w:val="2"/>
      <w:sz w:val="21"/>
      <w:szCs w:val="21"/>
    </w:rPr>
  </w:style>
  <w:style w:type="character" w:customStyle="1" w:styleId="354">
    <w:name w:val="批注文字 字符"/>
    <w:qFormat/>
    <w:uiPriority w:val="0"/>
    <w:rPr>
      <w:szCs w:val="24"/>
    </w:rPr>
  </w:style>
  <w:style w:type="character" w:customStyle="1" w:styleId="355">
    <w:name w:val="纯文本 Char"/>
    <w:qFormat/>
    <w:uiPriority w:val="0"/>
    <w:rPr>
      <w:rFonts w:ascii="宋体" w:hAnsi="Courier New" w:eastAsia="黑体" w:cs="Arial"/>
      <w:snapToGrid w:val="0"/>
      <w:szCs w:val="21"/>
    </w:rPr>
  </w:style>
  <w:style w:type="character" w:customStyle="1" w:styleId="356">
    <w:name w:val="批注文字 Char"/>
    <w:qFormat/>
    <w:uiPriority w:val="99"/>
    <w:rPr>
      <w:szCs w:val="24"/>
    </w:rPr>
  </w:style>
  <w:style w:type="character" w:customStyle="1" w:styleId="357">
    <w:name w:val="正文缩进 Char2"/>
    <w:qFormat/>
    <w:uiPriority w:val="0"/>
    <w:rPr>
      <w:rFonts w:ascii="宋体" w:eastAsia="宋体"/>
      <w:snapToGrid w:val="0"/>
      <w:color w:val="000000"/>
      <w:kern w:val="28"/>
      <w:sz w:val="28"/>
      <w:lang w:val="en-US" w:eastAsia="zh-CN" w:bidi="ar-SA"/>
    </w:rPr>
  </w:style>
  <w:style w:type="paragraph" w:customStyle="1" w:styleId="35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9">
    <w:name w:val="表格标题2"/>
    <w:basedOn w:val="360"/>
    <w:qFormat/>
    <w:uiPriority w:val="0"/>
    <w:rPr>
      <w:b/>
    </w:rPr>
  </w:style>
  <w:style w:type="paragraph" w:customStyle="1" w:styleId="360">
    <w:name w:val="表格内文"/>
    <w:basedOn w:val="1"/>
    <w:qFormat/>
    <w:uiPriority w:val="0"/>
    <w:pPr>
      <w:adjustRightInd/>
      <w:spacing w:line="360" w:lineRule="auto"/>
    </w:pPr>
    <w:rPr>
      <w:rFonts w:ascii="宋体" w:hAnsi="宋体" w:cs="宋体"/>
      <w:color w:val="000000"/>
      <w:szCs w:val="20"/>
    </w:rPr>
  </w:style>
  <w:style w:type="paragraph" w:customStyle="1" w:styleId="36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362">
    <w:name w:val="Char Char11 Char Char Char1"/>
    <w:basedOn w:val="1"/>
    <w:qFormat/>
    <w:uiPriority w:val="6"/>
    <w:pPr>
      <w:spacing w:line="360" w:lineRule="auto"/>
    </w:pPr>
    <w:rPr>
      <w:szCs w:val="20"/>
    </w:rPr>
  </w:style>
  <w:style w:type="paragraph" w:customStyle="1" w:styleId="36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364">
    <w:name w:val="目录 61"/>
    <w:basedOn w:val="1"/>
    <w:next w:val="1"/>
    <w:qFormat/>
    <w:uiPriority w:val="0"/>
    <w:pPr>
      <w:ind w:left="2100" w:leftChars="1000"/>
    </w:pPr>
  </w:style>
  <w:style w:type="paragraph" w:customStyle="1" w:styleId="365">
    <w:name w:val="列出段落3"/>
    <w:basedOn w:val="1"/>
    <w:qFormat/>
    <w:uiPriority w:val="99"/>
    <w:pPr>
      <w:adjustRightInd/>
      <w:spacing w:line="360" w:lineRule="auto"/>
      <w:ind w:firstLine="420" w:firstLineChars="200"/>
    </w:pPr>
    <w:rPr>
      <w:rFonts w:ascii="Calibri" w:hAnsi="Calibri"/>
      <w:sz w:val="24"/>
      <w:szCs w:val="22"/>
    </w:rPr>
  </w:style>
  <w:style w:type="paragraph" w:customStyle="1" w:styleId="366">
    <w:name w:val="目录 41"/>
    <w:basedOn w:val="1"/>
    <w:next w:val="1"/>
    <w:qFormat/>
    <w:uiPriority w:val="0"/>
    <w:pPr>
      <w:ind w:left="1260" w:leftChars="600"/>
    </w:pPr>
  </w:style>
  <w:style w:type="paragraph" w:customStyle="1" w:styleId="367">
    <w:name w:val="目录 91"/>
    <w:basedOn w:val="1"/>
    <w:next w:val="1"/>
    <w:qFormat/>
    <w:uiPriority w:val="0"/>
    <w:pPr>
      <w:ind w:left="3360" w:leftChars="1600"/>
    </w:pPr>
  </w:style>
  <w:style w:type="paragraph" w:customStyle="1" w:styleId="368">
    <w:name w:val="Char Char112"/>
    <w:basedOn w:val="1"/>
    <w:qFormat/>
    <w:uiPriority w:val="6"/>
    <w:pPr>
      <w:widowControl/>
      <w:spacing w:after="160" w:line="240" w:lineRule="exact"/>
      <w:jc w:val="left"/>
    </w:pPr>
    <w:rPr>
      <w:rFonts w:eastAsia="仿宋_GB2312"/>
      <w:sz w:val="28"/>
    </w:rPr>
  </w:style>
  <w:style w:type="paragraph" w:customStyle="1" w:styleId="369">
    <w:name w:val="列出段落2"/>
    <w:basedOn w:val="1"/>
    <w:qFormat/>
    <w:uiPriority w:val="0"/>
    <w:pPr>
      <w:adjustRightInd/>
      <w:ind w:firstLine="420" w:firstLineChars="200"/>
    </w:pPr>
    <w:rPr>
      <w:rFonts w:ascii="宋体" w:hAnsi="宋体"/>
      <w:sz w:val="24"/>
    </w:rPr>
  </w:style>
  <w:style w:type="paragraph" w:customStyle="1" w:styleId="370">
    <w:name w:val="目录 21"/>
    <w:basedOn w:val="1"/>
    <w:next w:val="1"/>
    <w:qFormat/>
    <w:uiPriority w:val="0"/>
    <w:pPr>
      <w:ind w:left="420" w:leftChars="200"/>
    </w:pPr>
  </w:style>
  <w:style w:type="paragraph" w:customStyle="1" w:styleId="371">
    <w:name w:val="数字标题1"/>
    <w:basedOn w:val="2"/>
    <w:next w:val="1"/>
    <w:qFormat/>
    <w:uiPriority w:val="0"/>
    <w:pPr>
      <w:tabs>
        <w:tab w:val="left" w:pos="480"/>
      </w:tabs>
      <w:ind w:left="480" w:hanging="480"/>
    </w:pPr>
  </w:style>
  <w:style w:type="paragraph" w:customStyle="1" w:styleId="372">
    <w:name w:val="四级条标题"/>
    <w:basedOn w:val="373"/>
    <w:next w:val="377"/>
    <w:qFormat/>
    <w:uiPriority w:val="0"/>
    <w:pPr>
      <w:tabs>
        <w:tab w:val="left" w:pos="360"/>
        <w:tab w:val="left" w:pos="1260"/>
        <w:tab w:val="left" w:pos="1680"/>
        <w:tab w:val="left" w:pos="2100"/>
        <w:tab w:val="left" w:pos="2520"/>
        <w:tab w:val="left" w:pos="2940"/>
      </w:tabs>
      <w:outlineLvl w:val="5"/>
    </w:pPr>
  </w:style>
  <w:style w:type="paragraph" w:customStyle="1" w:styleId="373">
    <w:name w:val="三级条标题"/>
    <w:basedOn w:val="374"/>
    <w:next w:val="377"/>
    <w:qFormat/>
    <w:uiPriority w:val="0"/>
    <w:pPr>
      <w:tabs>
        <w:tab w:val="left" w:pos="360"/>
        <w:tab w:val="left" w:pos="1260"/>
        <w:tab w:val="left" w:pos="1680"/>
        <w:tab w:val="left" w:pos="2100"/>
        <w:tab w:val="left" w:pos="2520"/>
      </w:tabs>
      <w:outlineLvl w:val="4"/>
    </w:pPr>
  </w:style>
  <w:style w:type="paragraph" w:customStyle="1" w:styleId="374">
    <w:name w:val="二级条标题"/>
    <w:basedOn w:val="375"/>
    <w:next w:val="377"/>
    <w:qFormat/>
    <w:uiPriority w:val="0"/>
    <w:pPr>
      <w:tabs>
        <w:tab w:val="left" w:pos="360"/>
        <w:tab w:val="left" w:pos="1260"/>
        <w:tab w:val="left" w:pos="1680"/>
        <w:tab w:val="left" w:pos="2100"/>
      </w:tabs>
      <w:outlineLvl w:val="3"/>
    </w:pPr>
  </w:style>
  <w:style w:type="paragraph" w:customStyle="1" w:styleId="375">
    <w:name w:val="一级条标题"/>
    <w:basedOn w:val="376"/>
    <w:next w:val="377"/>
    <w:qFormat/>
    <w:uiPriority w:val="0"/>
    <w:pPr>
      <w:tabs>
        <w:tab w:val="left" w:pos="360"/>
        <w:tab w:val="left" w:pos="1260"/>
        <w:tab w:val="left" w:pos="1680"/>
      </w:tabs>
      <w:ind w:left="1680" w:hanging="420"/>
      <w:outlineLvl w:val="2"/>
    </w:pPr>
  </w:style>
  <w:style w:type="paragraph" w:customStyle="1" w:styleId="376">
    <w:name w:val="章标题"/>
    <w:next w:val="377"/>
    <w:qFormat/>
    <w:uiPriority w:val="0"/>
    <w:pPr>
      <w:tabs>
        <w:tab w:val="left" w:pos="360"/>
        <w:tab w:val="left" w:pos="1260"/>
      </w:tabs>
      <w:spacing w:beforeLines="50" w:afterLines="50"/>
      <w:jc w:val="both"/>
      <w:outlineLvl w:val="1"/>
    </w:pPr>
    <w:rPr>
      <w:rFonts w:ascii="黑体" w:hAnsi="Times New Roman" w:eastAsia="黑体" w:cs="Times New Roman"/>
      <w:sz w:val="21"/>
      <w:lang w:val="en-US" w:eastAsia="zh-CN" w:bidi="ar-SA"/>
    </w:rPr>
  </w:style>
  <w:style w:type="paragraph" w:customStyle="1" w:styleId="37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79">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380">
    <w:name w:val="目录 71"/>
    <w:basedOn w:val="1"/>
    <w:next w:val="1"/>
    <w:qFormat/>
    <w:uiPriority w:val="0"/>
    <w:pPr>
      <w:ind w:left="2520" w:leftChars="1200"/>
    </w:pPr>
  </w:style>
  <w:style w:type="paragraph" w:customStyle="1" w:styleId="381">
    <w:name w:val="单元格左对齐"/>
    <w:basedOn w:val="1"/>
    <w:qFormat/>
    <w:uiPriority w:val="0"/>
    <w:pPr>
      <w:adjustRightInd/>
      <w:spacing w:line="360" w:lineRule="auto"/>
    </w:pPr>
    <w:rPr>
      <w:sz w:val="24"/>
    </w:rPr>
  </w:style>
  <w:style w:type="paragraph" w:customStyle="1" w:styleId="382">
    <w:name w:val="数字标题5"/>
    <w:basedOn w:val="6"/>
    <w:next w:val="1"/>
    <w:qFormat/>
    <w:uiPriority w:val="0"/>
    <w:pPr>
      <w:tabs>
        <w:tab w:val="left" w:pos="480"/>
        <w:tab w:val="left" w:pos="1080"/>
      </w:tabs>
      <w:ind w:left="480" w:hanging="480"/>
    </w:pPr>
  </w:style>
  <w:style w:type="paragraph" w:customStyle="1" w:styleId="383">
    <w:name w:val="目录 51"/>
    <w:basedOn w:val="1"/>
    <w:next w:val="1"/>
    <w:qFormat/>
    <w:uiPriority w:val="0"/>
    <w:pPr>
      <w:ind w:left="1680" w:leftChars="800"/>
    </w:pPr>
  </w:style>
  <w:style w:type="paragraph" w:customStyle="1" w:styleId="38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3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38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87">
    <w:name w:val="Char11"/>
    <w:basedOn w:val="1"/>
    <w:qFormat/>
    <w:uiPriority w:val="0"/>
    <w:pPr>
      <w:tabs>
        <w:tab w:val="left" w:pos="432"/>
      </w:tabs>
      <w:adjustRightInd/>
      <w:spacing w:beforeLines="50" w:afterLines="50"/>
      <w:ind w:left="432" w:hanging="432" w:firstLineChars="200"/>
    </w:pPr>
    <w:rPr>
      <w:sz w:val="24"/>
    </w:rPr>
  </w:style>
  <w:style w:type="paragraph" w:customStyle="1" w:styleId="38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389">
    <w:name w:val="样式 标题 4PIM 4H4h4bulletblbbH41H42H43H44H45H46H47H48...1"/>
    <w:basedOn w:val="5"/>
    <w:qFormat/>
    <w:uiPriority w:val="0"/>
    <w:pPr>
      <w:widowControl/>
      <w:jc w:val="left"/>
    </w:pPr>
    <w:rPr>
      <w:rFonts w:cs="宋体"/>
      <w:sz w:val="24"/>
      <w:szCs w:val="20"/>
    </w:rPr>
  </w:style>
  <w:style w:type="paragraph" w:customStyle="1" w:styleId="39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91">
    <w:name w:val="目录 31"/>
    <w:basedOn w:val="1"/>
    <w:next w:val="1"/>
    <w:qFormat/>
    <w:uiPriority w:val="0"/>
    <w:pPr>
      <w:tabs>
        <w:tab w:val="right" w:leader="dot" w:pos="8268"/>
      </w:tabs>
      <w:spacing w:line="460" w:lineRule="exact"/>
      <w:ind w:left="840" w:leftChars="400" w:firstLine="482"/>
    </w:pPr>
    <w:rPr>
      <w:rFonts w:ascii="宋体" w:hAnsi="宋体"/>
    </w:rPr>
  </w:style>
  <w:style w:type="paragraph" w:customStyle="1" w:styleId="392">
    <w:name w:val="目录 11"/>
    <w:basedOn w:val="1"/>
    <w:next w:val="1"/>
    <w:qFormat/>
    <w:uiPriority w:val="0"/>
  </w:style>
  <w:style w:type="paragraph" w:customStyle="1" w:styleId="39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94">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39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9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397">
    <w:name w:val="样式6"/>
    <w:basedOn w:val="29"/>
    <w:qFormat/>
    <w:uiPriority w:val="0"/>
    <w:pPr>
      <w:spacing w:line="460" w:lineRule="exact"/>
      <w:outlineLvl w:val="2"/>
    </w:pPr>
    <w:rPr>
      <w:rFonts w:ascii="仿宋_GB2312" w:hAnsi="宋体" w:eastAsia="仿宋_GB2312"/>
      <w:b/>
      <w:bCs/>
      <w:sz w:val="24"/>
      <w:szCs w:val="24"/>
    </w:rPr>
  </w:style>
  <w:style w:type="paragraph" w:customStyle="1" w:styleId="398">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99">
    <w:name w:val="目录 81"/>
    <w:basedOn w:val="1"/>
    <w:next w:val="1"/>
    <w:qFormat/>
    <w:uiPriority w:val="0"/>
    <w:pPr>
      <w:ind w:left="2940" w:leftChars="1400"/>
    </w:pPr>
  </w:style>
  <w:style w:type="paragraph" w:customStyle="1" w:styleId="400">
    <w:name w:val="默认段落字体 Para Char Char Char1 Char"/>
    <w:basedOn w:val="1"/>
    <w:qFormat/>
    <w:uiPriority w:val="0"/>
    <w:pPr>
      <w:spacing w:line="240" w:lineRule="atLeast"/>
      <w:ind w:left="420" w:firstLine="420"/>
    </w:pPr>
    <w:rPr>
      <w:sz w:val="24"/>
    </w:rPr>
  </w:style>
  <w:style w:type="paragraph" w:customStyle="1" w:styleId="40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402">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40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40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40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06">
    <w:name w:val="List Paragraph1"/>
    <w:basedOn w:val="1"/>
    <w:qFormat/>
    <w:uiPriority w:val="99"/>
    <w:pPr>
      <w:adjustRightInd/>
      <w:ind w:firstLine="420" w:firstLineChars="200"/>
    </w:pPr>
    <w:rPr>
      <w:rFonts w:ascii="Calibri" w:hAnsi="Calibri"/>
      <w:szCs w:val="22"/>
    </w:rPr>
  </w:style>
  <w:style w:type="paragraph" w:customStyle="1" w:styleId="4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0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09">
    <w:name w:val="标题五"/>
    <w:basedOn w:val="1"/>
    <w:qFormat/>
    <w:uiPriority w:val="0"/>
    <w:pPr>
      <w:adjustRightInd/>
      <w:spacing w:beforeLines="50" w:line="360" w:lineRule="auto"/>
    </w:pPr>
    <w:rPr>
      <w:b/>
      <w:sz w:val="24"/>
    </w:rPr>
  </w:style>
  <w:style w:type="paragraph" w:customStyle="1" w:styleId="410">
    <w:name w:val="正文缩进1"/>
    <w:basedOn w:val="1"/>
    <w:next w:val="2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11">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41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41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41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415">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1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1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五级条标题"/>
    <w:basedOn w:val="372"/>
    <w:next w:val="377"/>
    <w:qFormat/>
    <w:uiPriority w:val="0"/>
    <w:pPr>
      <w:tabs>
        <w:tab w:val="clear" w:pos="2940"/>
      </w:tabs>
      <w:outlineLvl w:val="6"/>
    </w:pPr>
  </w:style>
  <w:style w:type="paragraph" w:customStyle="1" w:styleId="421">
    <w:name w:val="列表内容"/>
    <w:basedOn w:val="1"/>
    <w:next w:val="1"/>
    <w:qFormat/>
    <w:uiPriority w:val="0"/>
    <w:pPr>
      <w:widowControl/>
      <w:tabs>
        <w:tab w:val="left" w:pos="840"/>
      </w:tabs>
      <w:ind w:left="840" w:hanging="420"/>
      <w:jc w:val="left"/>
    </w:pPr>
    <w:rPr>
      <w:kern w:val="0"/>
      <w:sz w:val="18"/>
    </w:rPr>
  </w:style>
  <w:style w:type="paragraph" w:customStyle="1" w:styleId="422">
    <w:name w:val="正文文字缩进2字"/>
    <w:basedOn w:val="20"/>
    <w:qFormat/>
    <w:uiPriority w:val="0"/>
    <w:pPr>
      <w:autoSpaceDE/>
      <w:autoSpaceDN/>
      <w:adjustRightInd/>
      <w:spacing w:before="60" w:after="60"/>
      <w:ind w:firstLine="200" w:firstLineChars="200"/>
    </w:pPr>
    <w:rPr>
      <w:rFonts w:ascii="Times New Roman"/>
      <w:szCs w:val="20"/>
      <w:lang w:val="en-US"/>
    </w:rPr>
  </w:style>
  <w:style w:type="paragraph" w:customStyle="1" w:styleId="423">
    <w:name w:val="Char Char1 Char1"/>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24">
    <w:name w:val="Char19"/>
    <w:basedOn w:val="1"/>
    <w:qFormat/>
    <w:uiPriority w:val="0"/>
    <w:pPr>
      <w:adjustRightInd/>
    </w:pPr>
    <w:rPr>
      <w:szCs w:val="20"/>
    </w:rPr>
  </w:style>
  <w:style w:type="paragraph" w:customStyle="1" w:styleId="425">
    <w:name w:val="正文缩进一"/>
    <w:basedOn w:val="1"/>
    <w:next w:val="1"/>
    <w:qFormat/>
    <w:uiPriority w:val="99"/>
    <w:pPr>
      <w:widowControl/>
      <w:tabs>
        <w:tab w:val="left" w:pos="425"/>
      </w:tabs>
      <w:snapToGrid w:val="0"/>
      <w:spacing w:line="360" w:lineRule="auto"/>
      <w:ind w:left="425" w:hanging="425"/>
    </w:pPr>
    <w:rPr>
      <w:rFonts w:ascii="宋体" w:hAnsi="宋体"/>
      <w:spacing w:val="8"/>
      <w:kern w:val="0"/>
      <w:sz w:val="28"/>
      <w:szCs w:val="20"/>
    </w:rPr>
  </w:style>
  <w:style w:type="paragraph" w:customStyle="1" w:styleId="426">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27">
    <w:name w:val="样式 列表编号 + 段后: 0.5 行"/>
    <w:basedOn w:val="12"/>
    <w:qFormat/>
    <w:uiPriority w:val="2"/>
    <w:pPr>
      <w:tabs>
        <w:tab w:val="clear" w:pos="390"/>
        <w:tab w:val="clear" w:pos="454"/>
      </w:tabs>
      <w:ind w:left="840" w:hanging="420"/>
      <w:contextualSpacing/>
    </w:pPr>
    <w:rPr>
      <w:rFonts w:cs="宋体"/>
    </w:rPr>
  </w:style>
  <w:style w:type="paragraph" w:customStyle="1" w:styleId="428">
    <w:name w:val="文本正文 Char"/>
    <w:basedOn w:val="1"/>
    <w:qFormat/>
    <w:uiPriority w:val="0"/>
    <w:pPr>
      <w:spacing w:line="360" w:lineRule="auto"/>
      <w:ind w:firstLine="200" w:firstLineChars="200"/>
    </w:pPr>
    <w:rPr>
      <w:kern w:val="0"/>
      <w:sz w:val="24"/>
      <w:szCs w:val="20"/>
    </w:rPr>
  </w:style>
  <w:style w:type="paragraph" w:customStyle="1" w:styleId="4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43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431">
    <w:name w:val="列出段落11"/>
    <w:basedOn w:val="1"/>
    <w:qFormat/>
    <w:uiPriority w:val="34"/>
    <w:pPr>
      <w:adjustRightInd/>
      <w:ind w:firstLine="420" w:firstLineChars="200"/>
    </w:pPr>
    <w:rPr>
      <w:rFonts w:ascii="Calibri" w:hAnsi="Calibri"/>
      <w:szCs w:val="22"/>
    </w:rPr>
  </w:style>
  <w:style w:type="paragraph" w:customStyle="1" w:styleId="432">
    <w:name w:val="Char Char11 Char Char Char Char Char Char Char Char Char"/>
    <w:basedOn w:val="1"/>
    <w:qFormat/>
    <w:uiPriority w:val="0"/>
    <w:pPr>
      <w:spacing w:line="360" w:lineRule="auto"/>
    </w:pPr>
    <w:rPr>
      <w:szCs w:val="20"/>
    </w:rPr>
  </w:style>
  <w:style w:type="paragraph" w:customStyle="1" w:styleId="43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3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Char Char Char1 Char"/>
    <w:basedOn w:val="1"/>
    <w:qFormat/>
    <w:uiPriority w:val="0"/>
    <w:rPr>
      <w:szCs w:val="20"/>
    </w:rPr>
  </w:style>
  <w:style w:type="paragraph" w:customStyle="1" w:styleId="43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3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439">
    <w:name w:val="Char Char Char Char Char Char Char Char Char Char1"/>
    <w:basedOn w:val="1"/>
    <w:qFormat/>
    <w:uiPriority w:val="0"/>
    <w:rPr>
      <w:rFonts w:ascii="仿宋_GB2312" w:eastAsia="仿宋_GB2312"/>
      <w:b/>
      <w:sz w:val="32"/>
      <w:szCs w:val="32"/>
    </w:rPr>
  </w:style>
  <w:style w:type="paragraph" w:customStyle="1" w:styleId="440">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4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442">
    <w:name w:val="TOC 标题1"/>
    <w:basedOn w:val="2"/>
    <w:next w:val="1"/>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4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44">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445">
    <w:name w:val="EB_表格"/>
    <w:basedOn w:val="1"/>
    <w:qFormat/>
    <w:uiPriority w:val="0"/>
    <w:pPr>
      <w:adjustRightInd/>
      <w:spacing w:line="300" w:lineRule="auto"/>
      <w:jc w:val="center"/>
    </w:pPr>
  </w:style>
  <w:style w:type="paragraph" w:customStyle="1" w:styleId="44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4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48">
    <w:name w:val="Char Char Char Char Char Char Char Char Char Char Char Char1 Char"/>
    <w:basedOn w:val="1"/>
    <w:qFormat/>
    <w:uiPriority w:val="0"/>
    <w:rPr>
      <w:rFonts w:ascii="Tahoma" w:hAnsi="Tahoma" w:cs="仿宋_GB2312"/>
      <w:sz w:val="24"/>
      <w:szCs w:val="20"/>
    </w:rPr>
  </w:style>
  <w:style w:type="paragraph" w:customStyle="1" w:styleId="449">
    <w:name w:val="Thf"/>
    <w:basedOn w:val="450"/>
    <w:qFormat/>
    <w:uiPriority w:val="0"/>
    <w:pPr>
      <w:ind w:left="0"/>
    </w:pPr>
  </w:style>
  <w:style w:type="paragraph" w:customStyle="1" w:styleId="45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45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52">
    <w:name w:val="Char Char1 Char Char Char Char Char Char"/>
    <w:basedOn w:val="1"/>
    <w:qFormat/>
    <w:uiPriority w:val="0"/>
    <w:rPr>
      <w:rFonts w:ascii="仿宋_GB2312" w:eastAsia="仿宋_GB2312"/>
      <w:b/>
      <w:sz w:val="32"/>
      <w:szCs w:val="20"/>
    </w:rPr>
  </w:style>
  <w:style w:type="paragraph" w:customStyle="1" w:styleId="453">
    <w:name w:val="模板普通正文"/>
    <w:basedOn w:val="22"/>
    <w:qFormat/>
    <w:uiPriority w:val="0"/>
    <w:pPr>
      <w:adjustRightInd/>
      <w:spacing w:beforeLines="50" w:after="10" w:line="360" w:lineRule="auto"/>
      <w:ind w:firstLine="175" w:firstLineChars="175"/>
      <w:jc w:val="left"/>
    </w:pPr>
    <w:rPr>
      <w:rFonts w:ascii="Times New Roman" w:hAnsi="Times New Roman"/>
    </w:rPr>
  </w:style>
  <w:style w:type="paragraph" w:customStyle="1" w:styleId="454">
    <w:name w:val="正文首行缩进1"/>
    <w:basedOn w:val="20"/>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455">
    <w:name w:val="CSS1级正文 Char"/>
    <w:basedOn w:val="20"/>
    <w:qFormat/>
    <w:uiPriority w:val="0"/>
    <w:pPr>
      <w:autoSpaceDE/>
      <w:autoSpaceDN/>
      <w:snapToGrid w:val="0"/>
      <w:ind w:firstLine="480" w:firstLineChars="200"/>
    </w:pPr>
    <w:rPr>
      <w:rFonts w:ascii="Times New Roman"/>
      <w:szCs w:val="24"/>
      <w:lang w:val="en-US"/>
    </w:rPr>
  </w:style>
  <w:style w:type="paragraph" w:customStyle="1" w:styleId="456">
    <w:name w:val="Char Char Char Char Char Char Char Char Char Char"/>
    <w:basedOn w:val="1"/>
    <w:qFormat/>
    <w:uiPriority w:val="0"/>
    <w:rPr>
      <w:rFonts w:ascii="仿宋_GB2312" w:eastAsia="仿宋_GB2312"/>
      <w:b/>
      <w:sz w:val="32"/>
      <w:szCs w:val="32"/>
    </w:rPr>
  </w:style>
  <w:style w:type="paragraph" w:customStyle="1" w:styleId="457">
    <w:name w:val="封面"/>
    <w:basedOn w:val="1"/>
    <w:qFormat/>
    <w:uiPriority w:val="0"/>
    <w:pPr>
      <w:spacing w:line="360" w:lineRule="atLeast"/>
      <w:jc w:val="right"/>
      <w:textAlignment w:val="baseline"/>
    </w:pPr>
    <w:rPr>
      <w:rFonts w:ascii="Symbol" w:hAnsi="Symbol"/>
      <w:kern w:val="0"/>
      <w:szCs w:val="20"/>
    </w:rPr>
  </w:style>
  <w:style w:type="paragraph" w:customStyle="1" w:styleId="45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459">
    <w:name w:val="标题4_自定义"/>
    <w:basedOn w:val="5"/>
    <w:qFormat/>
    <w:uiPriority w:val="0"/>
    <w:pPr>
      <w:adjustRightInd/>
      <w:spacing w:before="0" w:after="0" w:line="360" w:lineRule="auto"/>
      <w:ind w:left="0" w:firstLine="0"/>
    </w:pPr>
    <w:rPr>
      <w:rFonts w:ascii="Verdana" w:eastAsia="Verdana"/>
      <w:sz w:val="21"/>
      <w:lang w:val="en-US"/>
    </w:rPr>
  </w:style>
  <w:style w:type="paragraph" w:customStyle="1" w:styleId="46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61">
    <w:name w:val="标书标题4"/>
    <w:basedOn w:val="5"/>
    <w:qFormat/>
    <w:uiPriority w:val="0"/>
    <w:pPr>
      <w:keepLines w:val="0"/>
      <w:snapToGrid w:val="0"/>
      <w:spacing w:before="0" w:after="0" w:line="300" w:lineRule="auto"/>
      <w:ind w:left="0" w:firstLine="0"/>
    </w:pPr>
    <w:rPr>
      <w:rFonts w:ascii="Arial Narrow" w:hAnsi="Arial Narrow" w:eastAsia="仿宋_GB2312"/>
      <w:bCs w:val="0"/>
      <w:color w:val="000000"/>
      <w:kern w:val="0"/>
      <w:szCs w:val="32"/>
      <w:lang w:val="en-US"/>
    </w:rPr>
  </w:style>
  <w:style w:type="paragraph" w:customStyle="1" w:styleId="462">
    <w:name w:val="_Style 412"/>
    <w:next w:val="1"/>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customStyle="1" w:styleId="46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4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65">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6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467">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468">
    <w:name w:val="trademark"/>
    <w:qFormat/>
    <w:uiPriority w:val="0"/>
    <w:pPr>
      <w:spacing w:after="60"/>
    </w:pPr>
    <w:rPr>
      <w:rFonts w:ascii="Futura Bk" w:hAnsi="Futura Bk" w:eastAsia="宋体" w:cs="Times New Roman"/>
      <w:sz w:val="15"/>
      <w:lang w:val="en-US" w:eastAsia="en-US" w:bidi="ar-SA"/>
    </w:rPr>
  </w:style>
  <w:style w:type="paragraph" w:customStyle="1" w:styleId="469">
    <w:name w:val="Char31"/>
    <w:basedOn w:val="1"/>
    <w:qFormat/>
    <w:uiPriority w:val="0"/>
    <w:pPr>
      <w:adjustRightInd/>
    </w:pPr>
    <w:rPr>
      <w:rFonts w:ascii="仿宋_GB2312" w:eastAsia="仿宋_GB2312"/>
      <w:b/>
      <w:sz w:val="32"/>
      <w:szCs w:val="32"/>
    </w:rPr>
  </w:style>
  <w:style w:type="paragraph" w:customStyle="1" w:styleId="470">
    <w:name w:val="Char Char Char Char Char Char Char Char Char Char Char1 Char"/>
    <w:basedOn w:val="1"/>
    <w:qFormat/>
    <w:uiPriority w:val="0"/>
    <w:pPr>
      <w:adjustRightInd/>
    </w:pPr>
    <w:rPr>
      <w:rFonts w:ascii="Tahoma" w:hAnsi="Tahoma"/>
      <w:sz w:val="24"/>
    </w:rPr>
  </w:style>
  <w:style w:type="paragraph" w:customStyle="1" w:styleId="47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472">
    <w:name w:val="正文表标题"/>
    <w:next w:val="37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7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47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75">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7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77">
    <w:name w:val="Char1 Char Char Char"/>
    <w:basedOn w:val="1"/>
    <w:qFormat/>
    <w:uiPriority w:val="0"/>
    <w:rPr>
      <w:rFonts w:ascii="Tahoma" w:hAnsi="Tahoma"/>
      <w:sz w:val="24"/>
      <w:szCs w:val="20"/>
    </w:rPr>
  </w:style>
  <w:style w:type="paragraph" w:customStyle="1" w:styleId="478">
    <w:name w:val="MM Topic 3"/>
    <w:basedOn w:val="4"/>
    <w:qFormat/>
    <w:uiPriority w:val="0"/>
    <w:pPr>
      <w:numPr>
        <w:ilvl w:val="0"/>
        <w:numId w:val="0"/>
      </w:numPr>
      <w:tabs>
        <w:tab w:val="left" w:pos="840"/>
        <w:tab w:val="left" w:pos="1680"/>
      </w:tabs>
      <w:adjustRightInd/>
      <w:ind w:left="1680" w:hanging="420"/>
    </w:pPr>
  </w:style>
  <w:style w:type="paragraph" w:customStyle="1" w:styleId="47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48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8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82">
    <w:name w:val="a1"/>
    <w:basedOn w:val="1"/>
    <w:qFormat/>
    <w:uiPriority w:val="0"/>
    <w:pPr>
      <w:widowControl/>
      <w:spacing w:line="300" w:lineRule="atLeast"/>
      <w:jc w:val="left"/>
    </w:pPr>
    <w:rPr>
      <w:rFonts w:ascii="宋体" w:hAnsi="宋体"/>
      <w:kern w:val="0"/>
      <w:sz w:val="18"/>
      <w:szCs w:val="20"/>
    </w:rPr>
  </w:style>
  <w:style w:type="paragraph" w:customStyle="1" w:styleId="48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84">
    <w:name w:val="Char Char110"/>
    <w:basedOn w:val="1"/>
    <w:qFormat/>
    <w:uiPriority w:val="0"/>
    <w:pPr>
      <w:spacing w:line="360" w:lineRule="auto"/>
    </w:pPr>
    <w:rPr>
      <w:rFonts w:ascii="Tahoma" w:hAnsi="Tahoma"/>
      <w:sz w:val="24"/>
      <w:szCs w:val="20"/>
    </w:rPr>
  </w:style>
  <w:style w:type="paragraph" w:customStyle="1" w:styleId="4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86">
    <w:name w:val="表格题注"/>
    <w:next w:val="1"/>
    <w:qFormat/>
    <w:uiPriority w:val="0"/>
    <w:pPr>
      <w:keepLines/>
      <w:tabs>
        <w:tab w:val="left" w:pos="360"/>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8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8">
    <w:name w:val="正文文字表格居中"/>
    <w:basedOn w:val="1"/>
    <w:next w:val="46"/>
    <w:qFormat/>
    <w:uiPriority w:val="0"/>
    <w:pPr>
      <w:snapToGrid w:val="0"/>
      <w:spacing w:line="360" w:lineRule="auto"/>
    </w:pPr>
    <w:rPr>
      <w:rFonts w:ascii="宋体"/>
      <w:b/>
      <w:sz w:val="24"/>
      <w:szCs w:val="20"/>
    </w:rPr>
  </w:style>
  <w:style w:type="paragraph" w:customStyle="1" w:styleId="489">
    <w:name w:val="修订1"/>
    <w:qFormat/>
    <w:uiPriority w:val="3"/>
    <w:rPr>
      <w:rFonts w:ascii="Times New Roman" w:hAnsi="Times New Roman" w:eastAsia="宋体" w:cs="Times New Roman"/>
      <w:color w:val="000000"/>
      <w:kern w:val="1"/>
      <w:sz w:val="21"/>
      <w:lang w:val="en-US" w:eastAsia="zh-CN" w:bidi="ar-SA"/>
    </w:rPr>
  </w:style>
  <w:style w:type="paragraph" w:customStyle="1" w:styleId="490">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49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49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93">
    <w:name w:val="正文 项目2"/>
    <w:basedOn w:val="494"/>
    <w:qFormat/>
    <w:uiPriority w:val="0"/>
    <w:pPr>
      <w:tabs>
        <w:tab w:val="left" w:pos="840"/>
      </w:tabs>
      <w:spacing w:after="0"/>
      <w:ind w:left="900"/>
    </w:pPr>
  </w:style>
  <w:style w:type="paragraph" w:customStyle="1" w:styleId="49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95">
    <w:name w:val="左对齐表格文字"/>
    <w:basedOn w:val="1"/>
    <w:qFormat/>
    <w:uiPriority w:val="0"/>
    <w:pPr>
      <w:adjustRightInd/>
      <w:ind w:firstLine="200" w:firstLineChars="200"/>
      <w:jc w:val="right"/>
    </w:pPr>
  </w:style>
  <w:style w:type="paragraph" w:customStyle="1" w:styleId="49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97">
    <w:name w:val="4"/>
    <w:basedOn w:val="1"/>
    <w:next w:val="32"/>
    <w:qFormat/>
    <w:uiPriority w:val="0"/>
    <w:pPr>
      <w:spacing w:after="120" w:line="480" w:lineRule="auto"/>
      <w:ind w:left="420" w:leftChars="200"/>
    </w:pPr>
    <w:rPr>
      <w:sz w:val="24"/>
      <w:szCs w:val="20"/>
    </w:rPr>
  </w:style>
  <w:style w:type="paragraph" w:customStyle="1" w:styleId="498">
    <w:name w:val="0"/>
    <w:basedOn w:val="1"/>
    <w:qFormat/>
    <w:uiPriority w:val="0"/>
    <w:pPr>
      <w:widowControl/>
    </w:pPr>
    <w:rPr>
      <w:kern w:val="0"/>
      <w:sz w:val="24"/>
      <w:szCs w:val="20"/>
    </w:rPr>
  </w:style>
  <w:style w:type="paragraph" w:customStyle="1" w:styleId="499">
    <w:name w:val="封面公司名"/>
    <w:qFormat/>
    <w:uiPriority w:val="0"/>
    <w:pPr>
      <w:jc w:val="center"/>
    </w:pPr>
    <w:rPr>
      <w:rFonts w:ascii="Arial" w:hAnsi="Arial" w:eastAsia="楷体_GB2312" w:cs="宋体"/>
      <w:bCs/>
      <w:kern w:val="2"/>
      <w:sz w:val="28"/>
      <w:lang w:val="en-US" w:eastAsia="zh-CN" w:bidi="ar-SA"/>
    </w:rPr>
  </w:style>
  <w:style w:type="paragraph" w:customStyle="1" w:styleId="500">
    <w:name w:val="MM Empty"/>
    <w:basedOn w:val="1"/>
    <w:qFormat/>
    <w:uiPriority w:val="0"/>
    <w:pPr>
      <w:adjustRightInd/>
    </w:pPr>
  </w:style>
  <w:style w:type="paragraph" w:customStyle="1" w:styleId="501">
    <w:name w:val="Char Char Char Char Char Char Char"/>
    <w:basedOn w:val="1"/>
    <w:qFormat/>
    <w:uiPriority w:val="0"/>
    <w:rPr>
      <w:rFonts w:ascii="仿宋_GB2312" w:eastAsia="仿宋_GB2312"/>
      <w:b/>
      <w:sz w:val="32"/>
      <w:szCs w:val="32"/>
    </w:rPr>
  </w:style>
  <w:style w:type="paragraph" w:customStyle="1" w:styleId="502">
    <w:name w:val="默认段落字体 Para Char"/>
    <w:basedOn w:val="1"/>
    <w:qFormat/>
    <w:uiPriority w:val="0"/>
    <w:rPr>
      <w:rFonts w:ascii="Tahoma" w:hAnsi="Tahoma"/>
      <w:sz w:val="24"/>
      <w:szCs w:val="20"/>
    </w:rPr>
  </w:style>
  <w:style w:type="paragraph" w:customStyle="1" w:styleId="5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50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505">
    <w:name w:val="Char2 Char Char"/>
    <w:basedOn w:val="1"/>
    <w:qFormat/>
    <w:uiPriority w:val="0"/>
    <w:pPr>
      <w:adjustRightInd/>
    </w:pPr>
    <w:rPr>
      <w:rFonts w:ascii="Tahoma" w:hAnsi="Tahoma"/>
      <w:sz w:val="24"/>
      <w:szCs w:val="20"/>
    </w:rPr>
  </w:style>
  <w:style w:type="paragraph" w:customStyle="1" w:styleId="506">
    <w:name w:val="Char Char1 Char"/>
    <w:basedOn w:val="1"/>
    <w:qFormat/>
    <w:uiPriority w:val="0"/>
    <w:rPr>
      <w:rFonts w:ascii="仿宋_GB2312" w:eastAsia="仿宋_GB2312"/>
      <w:b/>
      <w:sz w:val="32"/>
      <w:szCs w:val="32"/>
    </w:rPr>
  </w:style>
  <w:style w:type="paragraph" w:customStyle="1" w:styleId="507">
    <w:name w:val="Table Text"/>
    <w:basedOn w:val="1"/>
    <w:qFormat/>
    <w:uiPriority w:val="0"/>
    <w:pPr>
      <w:widowControl/>
      <w:spacing w:before="60" w:after="60"/>
      <w:jc w:val="left"/>
    </w:pPr>
    <w:rPr>
      <w:kern w:val="0"/>
      <w:sz w:val="24"/>
    </w:rPr>
  </w:style>
  <w:style w:type="paragraph" w:customStyle="1" w:styleId="508">
    <w:name w:val="Body Text 2*"/>
    <w:basedOn w:val="1"/>
    <w:qFormat/>
    <w:uiPriority w:val="6"/>
    <w:pPr>
      <w:widowControl/>
      <w:adjustRightInd/>
      <w:ind w:left="720" w:hanging="720"/>
    </w:pPr>
    <w:rPr>
      <w:color w:val="000000"/>
      <w:kern w:val="0"/>
      <w:sz w:val="24"/>
      <w:szCs w:val="20"/>
      <w:lang w:val="en-GB"/>
    </w:rPr>
  </w:style>
  <w:style w:type="paragraph" w:customStyle="1" w:styleId="50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10">
    <w:name w:val="Char1 Char Char Char1"/>
    <w:basedOn w:val="1"/>
    <w:qFormat/>
    <w:uiPriority w:val="0"/>
    <w:pPr>
      <w:adjustRightInd/>
      <w:ind w:firstLine="200" w:firstLineChars="200"/>
    </w:pPr>
    <w:rPr>
      <w:rFonts w:ascii="Tahoma" w:hAnsi="Tahoma"/>
      <w:sz w:val="24"/>
      <w:szCs w:val="20"/>
    </w:rPr>
  </w:style>
  <w:style w:type="paragraph" w:customStyle="1" w:styleId="511">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12">
    <w:name w:val="样式1 + (中宋体"/>
    <w:basedOn w:val="390"/>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51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514">
    <w:name w:val="Char Char Char Char Char Char Char Char"/>
    <w:basedOn w:val="1"/>
    <w:qFormat/>
    <w:uiPriority w:val="0"/>
    <w:pPr>
      <w:tabs>
        <w:tab w:val="left" w:pos="360"/>
      </w:tabs>
    </w:pPr>
    <w:rPr>
      <w:sz w:val="24"/>
      <w:szCs w:val="20"/>
    </w:rPr>
  </w:style>
  <w:style w:type="paragraph" w:customStyle="1" w:styleId="515">
    <w:name w:val="默认段落字体 Para Char Char Char Char"/>
    <w:basedOn w:val="1"/>
    <w:qFormat/>
    <w:uiPriority w:val="0"/>
    <w:pPr>
      <w:spacing w:line="360" w:lineRule="auto"/>
    </w:pPr>
    <w:rPr>
      <w:szCs w:val="20"/>
    </w:rPr>
  </w:style>
  <w:style w:type="paragraph" w:customStyle="1" w:styleId="51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17">
    <w:name w:val="Char Char Char1 Char1"/>
    <w:basedOn w:val="1"/>
    <w:qFormat/>
    <w:uiPriority w:val="0"/>
    <w:rPr>
      <w:szCs w:val="20"/>
    </w:rPr>
  </w:style>
  <w:style w:type="paragraph" w:customStyle="1" w:styleId="518">
    <w:name w:val="数字标题6"/>
    <w:basedOn w:val="7"/>
    <w:next w:val="1"/>
    <w:qFormat/>
    <w:uiPriority w:val="0"/>
    <w:pPr>
      <w:tabs>
        <w:tab w:val="left" w:pos="480"/>
        <w:tab w:val="left" w:pos="1080"/>
      </w:tabs>
      <w:ind w:left="480" w:hanging="480"/>
    </w:pPr>
    <w:rPr>
      <w:rFonts w:ascii="Times New Roman" w:hAnsi="Times New Roman" w:eastAsia="宋体"/>
      <w:i/>
    </w:rPr>
  </w:style>
  <w:style w:type="paragraph" w:customStyle="1" w:styleId="51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20">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2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22">
    <w:name w:val="Char1 Char Char Char4"/>
    <w:basedOn w:val="1"/>
    <w:qFormat/>
    <w:uiPriority w:val="0"/>
    <w:pPr>
      <w:adjustRightInd/>
      <w:ind w:firstLine="200" w:firstLineChars="200"/>
    </w:pPr>
    <w:rPr>
      <w:rFonts w:ascii="Tahoma" w:hAnsi="Tahoma"/>
      <w:sz w:val="24"/>
      <w:szCs w:val="20"/>
    </w:rPr>
  </w:style>
  <w:style w:type="paragraph" w:customStyle="1" w:styleId="52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524">
    <w:name w:val="正文－恩普"/>
    <w:basedOn w:val="1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52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26">
    <w:name w:val="Char Char11 Char Char Char"/>
    <w:basedOn w:val="1"/>
    <w:qFormat/>
    <w:uiPriority w:val="0"/>
    <w:pPr>
      <w:spacing w:line="360" w:lineRule="auto"/>
    </w:pPr>
    <w:rPr>
      <w:szCs w:val="20"/>
    </w:rPr>
  </w:style>
  <w:style w:type="paragraph" w:customStyle="1" w:styleId="527">
    <w:name w:val="标书标题2"/>
    <w:basedOn w:val="3"/>
    <w:qFormat/>
    <w:uiPriority w:val="0"/>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52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9">
    <w:name w:val="样式 样式2 + 左侧:  1 字符 右侧:  1 字符"/>
    <w:basedOn w:val="530"/>
    <w:qFormat/>
    <w:uiPriority w:val="0"/>
    <w:pPr>
      <w:tabs>
        <w:tab w:val="left" w:pos="2790"/>
        <w:tab w:val="left"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3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5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3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533">
    <w:name w:val="正文21"/>
    <w:basedOn w:val="1"/>
    <w:qFormat/>
    <w:uiPriority w:val="0"/>
    <w:pPr>
      <w:adjustRightInd/>
      <w:spacing w:before="156" w:line="360" w:lineRule="auto"/>
      <w:ind w:firstLine="510" w:firstLineChars="200"/>
    </w:pPr>
    <w:rPr>
      <w:sz w:val="24"/>
      <w:szCs w:val="20"/>
    </w:rPr>
  </w:style>
  <w:style w:type="paragraph" w:customStyle="1" w:styleId="534">
    <w:name w:val="正文文字缩进项目"/>
    <w:basedOn w:val="22"/>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535">
    <w:name w:val="MM Topic 2"/>
    <w:basedOn w:val="3"/>
    <w:qFormat/>
    <w:uiPriority w:val="0"/>
    <w:pPr>
      <w:tabs>
        <w:tab w:val="left" w:pos="1260"/>
      </w:tabs>
      <w:ind w:left="1260" w:hanging="420"/>
    </w:pPr>
    <w:rPr>
      <w:rFonts w:ascii="Arial" w:hAnsi="Arial" w:eastAsia="黑体"/>
      <w:lang w:val="en-US"/>
    </w:rPr>
  </w:style>
  <w:style w:type="paragraph" w:customStyle="1" w:styleId="536">
    <w:name w:val="Char2 Char Char Char1"/>
    <w:basedOn w:val="1"/>
    <w:qFormat/>
    <w:uiPriority w:val="0"/>
    <w:rPr>
      <w:rFonts w:ascii="仿宋_GB2312" w:eastAsia="仿宋_GB2312"/>
      <w:b/>
      <w:sz w:val="32"/>
      <w:szCs w:val="32"/>
    </w:rPr>
  </w:style>
  <w:style w:type="paragraph" w:customStyle="1" w:styleId="537">
    <w:name w:val="样式3"/>
    <w:basedOn w:val="530"/>
    <w:qFormat/>
    <w:uiPriority w:val="0"/>
    <w:pPr>
      <w:spacing w:beforeLines="100"/>
      <w:jc w:val="left"/>
    </w:pPr>
  </w:style>
  <w:style w:type="paragraph" w:customStyle="1" w:styleId="53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3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40">
    <w:name w:val="Bulleting First Indent 1"/>
    <w:basedOn w:val="13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41">
    <w:name w:val="Plain Text1"/>
    <w:basedOn w:val="1"/>
    <w:qFormat/>
    <w:uiPriority w:val="0"/>
    <w:pPr>
      <w:adjustRightInd/>
    </w:pPr>
    <w:rPr>
      <w:rFonts w:ascii="宋体" w:hAnsi="Courier New"/>
    </w:rPr>
  </w:style>
  <w:style w:type="paragraph" w:customStyle="1" w:styleId="54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43">
    <w:name w:val="正文 首行缩进:  2 字符 Char"/>
    <w:basedOn w:val="1"/>
    <w:qFormat/>
    <w:uiPriority w:val="0"/>
    <w:pPr>
      <w:adjustRightInd/>
      <w:spacing w:line="360" w:lineRule="auto"/>
      <w:ind w:firstLine="480"/>
    </w:pPr>
    <w:rPr>
      <w:rFonts w:cs="宋体"/>
      <w:sz w:val="24"/>
      <w:szCs w:val="20"/>
    </w:rPr>
  </w:style>
  <w:style w:type="paragraph" w:customStyle="1" w:styleId="54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45">
    <w:name w:val="Char111"/>
    <w:basedOn w:val="1"/>
    <w:qFormat/>
    <w:uiPriority w:val="0"/>
    <w:rPr>
      <w:rFonts w:ascii="仿宋_GB2312" w:eastAsia="仿宋_GB2312"/>
      <w:b/>
      <w:sz w:val="32"/>
      <w:szCs w:val="32"/>
    </w:rPr>
  </w:style>
  <w:style w:type="paragraph" w:customStyle="1" w:styleId="546">
    <w:name w:val="表格文字"/>
    <w:basedOn w:val="1"/>
    <w:next w:val="13"/>
    <w:qFormat/>
    <w:uiPriority w:val="0"/>
    <w:pPr>
      <w:adjustRightInd/>
      <w:ind w:firstLine="200" w:firstLineChars="200"/>
    </w:pPr>
    <w:rPr>
      <w:rFonts w:ascii="Arial" w:hAnsi="Arial"/>
      <w:spacing w:val="-5"/>
      <w:kern w:val="0"/>
      <w:sz w:val="24"/>
      <w:szCs w:val="20"/>
    </w:rPr>
  </w:style>
  <w:style w:type="paragraph" w:customStyle="1" w:styleId="5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548">
    <w:name w:val="彩色列表 - 强调文字颜色 11"/>
    <w:basedOn w:val="1"/>
    <w:qFormat/>
    <w:uiPriority w:val="0"/>
    <w:pPr>
      <w:adjustRightInd/>
      <w:ind w:firstLine="420" w:firstLineChars="200"/>
    </w:pPr>
    <w:rPr>
      <w:rFonts w:ascii="Calibri" w:hAnsi="Calibri"/>
      <w:szCs w:val="22"/>
    </w:rPr>
  </w:style>
  <w:style w:type="paragraph" w:customStyle="1" w:styleId="549">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50">
    <w:name w:val="P1"/>
    <w:basedOn w:val="1"/>
    <w:qFormat/>
    <w:uiPriority w:val="0"/>
    <w:pPr>
      <w:adjustRightInd/>
      <w:spacing w:line="288" w:lineRule="auto"/>
      <w:ind w:firstLine="425" w:firstLineChars="200"/>
    </w:pPr>
  </w:style>
  <w:style w:type="paragraph" w:customStyle="1" w:styleId="551">
    <w:name w:val="数字标题4"/>
    <w:basedOn w:val="5"/>
    <w:qFormat/>
    <w:uiPriority w:val="0"/>
    <w:pPr>
      <w:tabs>
        <w:tab w:val="left" w:pos="0"/>
      </w:tabs>
      <w:spacing w:before="0" w:after="0" w:line="360" w:lineRule="auto"/>
      <w:ind w:left="1" w:firstLine="0"/>
    </w:pPr>
    <w:rPr>
      <w:rFonts w:eastAsia="仿宋_GB2312" w:cs="Arial"/>
      <w:b w:val="0"/>
      <w:bCs w:val="0"/>
      <w:color w:val="000000"/>
      <w:kern w:val="0"/>
      <w:sz w:val="24"/>
      <w:szCs w:val="24"/>
      <w:lang w:val="en-US"/>
    </w:rPr>
  </w:style>
  <w:style w:type="paragraph" w:customStyle="1" w:styleId="55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55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554">
    <w:name w:val="默认段落样式"/>
    <w:basedOn w:val="100"/>
    <w:qFormat/>
    <w:uiPriority w:val="0"/>
    <w:pPr>
      <w:spacing w:before="0"/>
      <w:ind w:firstLine="480"/>
      <w:outlineLvl w:val="2"/>
    </w:pPr>
    <w:rPr>
      <w:rFonts w:ascii="仿宋_GB2312" w:hAnsi="宋体" w:eastAsia="仿宋_GB2312"/>
      <w:color w:val="000000"/>
      <w:szCs w:val="24"/>
    </w:rPr>
  </w:style>
  <w:style w:type="paragraph" w:customStyle="1" w:styleId="55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556">
    <w:name w:val="Char Char1 Char Char1 Char Char1"/>
    <w:basedOn w:val="1"/>
    <w:qFormat/>
    <w:uiPriority w:val="0"/>
    <w:pPr>
      <w:tabs>
        <w:tab w:val="left" w:pos="840"/>
      </w:tabs>
      <w:ind w:left="840" w:hanging="420"/>
    </w:pPr>
    <w:rPr>
      <w:rFonts w:ascii="Tahoma" w:hAnsi="Tahoma"/>
      <w:sz w:val="24"/>
    </w:rPr>
  </w:style>
  <w:style w:type="paragraph" w:customStyle="1" w:styleId="55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55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5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61">
    <w:name w:val="正文（首行缩进）"/>
    <w:basedOn w:val="22"/>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62">
    <w:name w:val="加粗正文"/>
    <w:basedOn w:val="1"/>
    <w:qFormat/>
    <w:uiPriority w:val="0"/>
    <w:pPr>
      <w:adjustRightInd/>
      <w:spacing w:beforeLines="50" w:afterLines="50" w:line="360" w:lineRule="auto"/>
      <w:ind w:firstLine="422" w:firstLineChars="200"/>
    </w:pPr>
    <w:rPr>
      <w:b/>
      <w:bCs/>
      <w:szCs w:val="21"/>
    </w:rPr>
  </w:style>
  <w:style w:type="paragraph" w:customStyle="1" w:styleId="5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6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65">
    <w:name w:val="表格（小）"/>
    <w:basedOn w:val="1"/>
    <w:qFormat/>
    <w:uiPriority w:val="0"/>
    <w:pPr>
      <w:adjustRightInd/>
      <w:snapToGrid w:val="0"/>
      <w:spacing w:line="300" w:lineRule="auto"/>
    </w:pPr>
    <w:rPr>
      <w:rFonts w:eastAsia="仿宋"/>
      <w:szCs w:val="21"/>
    </w:rPr>
  </w:style>
  <w:style w:type="paragraph" w:customStyle="1" w:styleId="566">
    <w:name w:val="文档正文"/>
    <w:basedOn w:val="1"/>
    <w:qFormat/>
    <w:uiPriority w:val="0"/>
    <w:pPr>
      <w:spacing w:line="480" w:lineRule="atLeast"/>
      <w:ind w:firstLine="567"/>
      <w:textAlignment w:val="baseline"/>
    </w:pPr>
    <w:rPr>
      <w:kern w:val="0"/>
      <w:sz w:val="24"/>
      <w:szCs w:val="20"/>
    </w:rPr>
  </w:style>
  <w:style w:type="paragraph" w:customStyle="1" w:styleId="567">
    <w:name w:val="注释"/>
    <w:basedOn w:val="1"/>
    <w:qFormat/>
    <w:uiPriority w:val="0"/>
    <w:pPr>
      <w:adjustRightInd/>
      <w:spacing w:line="360" w:lineRule="auto"/>
      <w:ind w:firstLine="480"/>
    </w:pPr>
    <w:rPr>
      <w:sz w:val="24"/>
    </w:rPr>
  </w:style>
  <w:style w:type="paragraph" w:customStyle="1" w:styleId="568">
    <w:name w:val="body text bold"/>
    <w:basedOn w:val="20"/>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569">
    <w:name w:val="Char1 Char Char Char2"/>
    <w:basedOn w:val="1"/>
    <w:qFormat/>
    <w:uiPriority w:val="0"/>
    <w:pPr>
      <w:adjustRightInd/>
      <w:ind w:firstLine="200" w:firstLineChars="200"/>
    </w:pPr>
    <w:rPr>
      <w:rFonts w:ascii="Tahoma" w:hAnsi="Tahoma"/>
      <w:sz w:val="24"/>
      <w:szCs w:val="20"/>
    </w:rPr>
  </w:style>
  <w:style w:type="paragraph" w:customStyle="1" w:styleId="57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72">
    <w:name w:val="四号　首行缩进"/>
    <w:basedOn w:val="1"/>
    <w:qFormat/>
    <w:uiPriority w:val="0"/>
    <w:pPr>
      <w:adjustRightInd/>
      <w:spacing w:line="360" w:lineRule="auto"/>
    </w:pPr>
    <w:rPr>
      <w:rFonts w:ascii="宋体" w:hAnsi="宋体"/>
      <w:szCs w:val="20"/>
    </w:rPr>
  </w:style>
  <w:style w:type="paragraph" w:customStyle="1" w:styleId="573">
    <w:name w:val="Char21"/>
    <w:basedOn w:val="1"/>
    <w:qFormat/>
    <w:uiPriority w:val="0"/>
    <w:pPr>
      <w:adjustRightInd/>
      <w:ind w:firstLine="200" w:firstLineChars="200"/>
    </w:pPr>
    <w:rPr>
      <w:rFonts w:ascii="仿宋_GB2312" w:eastAsia="仿宋_GB2312"/>
      <w:b/>
      <w:sz w:val="32"/>
      <w:szCs w:val="32"/>
    </w:rPr>
  </w:style>
  <w:style w:type="paragraph" w:customStyle="1" w:styleId="574">
    <w:name w:val="列出段落5"/>
    <w:basedOn w:val="1"/>
    <w:qFormat/>
    <w:uiPriority w:val="0"/>
    <w:pPr>
      <w:spacing w:line="360" w:lineRule="auto"/>
      <w:ind w:firstLine="200" w:firstLineChars="200"/>
    </w:pPr>
    <w:rPr>
      <w:rFonts w:eastAsia="楷体_GB2312" w:cs="Lucida Sans"/>
      <w:sz w:val="24"/>
    </w:rPr>
  </w:style>
  <w:style w:type="paragraph" w:customStyle="1" w:styleId="57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7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577">
    <w:name w:val="Char Char Char Char Char Char Char1"/>
    <w:basedOn w:val="1"/>
    <w:qFormat/>
    <w:uiPriority w:val="0"/>
    <w:rPr>
      <w:rFonts w:ascii="仿宋_GB2312" w:eastAsia="仿宋_GB2312"/>
      <w:b/>
      <w:sz w:val="32"/>
      <w:szCs w:val="32"/>
    </w:rPr>
  </w:style>
  <w:style w:type="paragraph" w:customStyle="1" w:styleId="578">
    <w:name w:val="有符号正文"/>
    <w:basedOn w:val="1"/>
    <w:qFormat/>
    <w:uiPriority w:val="0"/>
    <w:pPr>
      <w:adjustRightInd/>
      <w:spacing w:line="400" w:lineRule="exact"/>
      <w:ind w:firstLine="200" w:firstLineChars="200"/>
    </w:pPr>
    <w:rPr>
      <w:rFonts w:ascii="Arial" w:hAnsi="Arial"/>
    </w:rPr>
  </w:style>
  <w:style w:type="paragraph" w:customStyle="1" w:styleId="57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58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581">
    <w:name w:val="样式 正文文本缩进 + 左侧:  2 字符 首行缩进:  2 字符"/>
    <w:basedOn w:val="2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582">
    <w:name w:val="带编号样式"/>
    <w:basedOn w:val="428"/>
    <w:qFormat/>
    <w:uiPriority w:val="0"/>
    <w:pPr>
      <w:tabs>
        <w:tab w:val="left" w:pos="840"/>
      </w:tabs>
      <w:snapToGrid w:val="0"/>
      <w:ind w:left="840" w:firstLine="0" w:firstLineChars="0"/>
    </w:pPr>
    <w:rPr>
      <w:rFonts w:ascii="仿宋_GB2312" w:eastAsia="仿宋_GB2312"/>
      <w:color w:val="000000"/>
    </w:rPr>
  </w:style>
  <w:style w:type="paragraph" w:customStyle="1" w:styleId="583">
    <w:name w:val="彩色列表 - 强调文字颜色 12"/>
    <w:basedOn w:val="1"/>
    <w:qFormat/>
    <w:uiPriority w:val="0"/>
    <w:pPr>
      <w:adjustRightInd/>
      <w:ind w:firstLine="420" w:firstLineChars="200"/>
    </w:pPr>
    <w:rPr>
      <w:rFonts w:ascii="Calibri" w:hAnsi="Calibri"/>
      <w:szCs w:val="22"/>
    </w:rPr>
  </w:style>
  <w:style w:type="paragraph" w:customStyle="1" w:styleId="58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58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8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8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589">
    <w:name w:val="WW-正文文字缩进 2"/>
    <w:basedOn w:val="1"/>
    <w:qFormat/>
    <w:uiPriority w:val="0"/>
    <w:pPr>
      <w:suppressAutoHyphens/>
      <w:adjustRightInd/>
      <w:ind w:firstLine="420"/>
    </w:pPr>
    <w:rPr>
      <w:kern w:val="1"/>
      <w:szCs w:val="20"/>
    </w:rPr>
  </w:style>
  <w:style w:type="paragraph" w:customStyle="1" w:styleId="5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591">
    <w:name w:val="标准有序列表（L1）"/>
    <w:basedOn w:val="1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9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9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59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595">
    <w:name w:val="正文（标题三）"/>
    <w:basedOn w:val="1"/>
    <w:qFormat/>
    <w:uiPriority w:val="0"/>
    <w:pPr>
      <w:spacing w:line="360" w:lineRule="auto"/>
      <w:ind w:firstLine="200" w:firstLineChars="200"/>
    </w:pPr>
    <w:rPr>
      <w:sz w:val="24"/>
    </w:rPr>
  </w:style>
  <w:style w:type="paragraph" w:customStyle="1" w:styleId="59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59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8">
    <w:name w:val="数字标题3"/>
    <w:basedOn w:val="4"/>
    <w:next w:val="1"/>
    <w:qFormat/>
    <w:uiPriority w:val="0"/>
    <w:pPr>
      <w:numPr>
        <w:ilvl w:val="0"/>
        <w:numId w:val="0"/>
      </w:numPr>
      <w:spacing w:line="240" w:lineRule="auto"/>
    </w:pPr>
    <w:rPr>
      <w:sz w:val="28"/>
      <w:szCs w:val="28"/>
    </w:rPr>
  </w:style>
  <w:style w:type="paragraph" w:customStyle="1" w:styleId="59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601">
    <w:name w:val="标书表格字体格式"/>
    <w:next w:val="588"/>
    <w:qFormat/>
    <w:uiPriority w:val="0"/>
    <w:rPr>
      <w:rFonts w:ascii="Times New Roman" w:hAnsi="Times New Roman" w:eastAsia="宋体" w:cs="Times New Roman"/>
      <w:kern w:val="2"/>
      <w:sz w:val="21"/>
      <w:szCs w:val="24"/>
      <w:lang w:val="en-US" w:eastAsia="zh-CN" w:bidi="ar-SA"/>
    </w:rPr>
  </w:style>
  <w:style w:type="paragraph" w:customStyle="1" w:styleId="602">
    <w:name w:val="bullet"/>
    <w:basedOn w:val="1"/>
    <w:qFormat/>
    <w:uiPriority w:val="0"/>
    <w:pPr>
      <w:tabs>
        <w:tab w:val="left" w:pos="840"/>
      </w:tabs>
      <w:adjustRightInd/>
      <w:ind w:left="840" w:hanging="420"/>
    </w:pPr>
  </w:style>
  <w:style w:type="paragraph" w:customStyle="1" w:styleId="60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4">
    <w:name w:val="FA正文"/>
    <w:basedOn w:val="1"/>
    <w:qFormat/>
    <w:uiPriority w:val="0"/>
    <w:pPr>
      <w:spacing w:line="360" w:lineRule="auto"/>
      <w:ind w:firstLine="480" w:firstLineChars="200"/>
    </w:pPr>
    <w:rPr>
      <w:rFonts w:hAnsi="宋体"/>
      <w:sz w:val="24"/>
      <w:szCs w:val="20"/>
    </w:rPr>
  </w:style>
  <w:style w:type="paragraph" w:customStyle="1" w:styleId="605">
    <w:name w:val="列出段落1"/>
    <w:basedOn w:val="1"/>
    <w:qFormat/>
    <w:uiPriority w:val="34"/>
    <w:pPr>
      <w:widowControl/>
      <w:ind w:firstLine="420" w:firstLineChars="200"/>
      <w:jc w:val="left"/>
    </w:pPr>
    <w:rPr>
      <w:rFonts w:ascii="宋体" w:hAnsi="宋体" w:cs="宋体"/>
      <w:kern w:val="0"/>
      <w:sz w:val="24"/>
    </w:rPr>
  </w:style>
  <w:style w:type="paragraph" w:customStyle="1" w:styleId="60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607">
    <w:name w:val="Char Char Char Char Char Char Char Char1"/>
    <w:basedOn w:val="1"/>
    <w:qFormat/>
    <w:uiPriority w:val="0"/>
    <w:pPr>
      <w:tabs>
        <w:tab w:val="left" w:pos="360"/>
      </w:tabs>
    </w:pPr>
    <w:rPr>
      <w:sz w:val="24"/>
      <w:szCs w:val="20"/>
    </w:rPr>
  </w:style>
  <w:style w:type="paragraph" w:customStyle="1" w:styleId="6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609">
    <w:name w:val="Char Char1 Char Char Char Char Char Char1"/>
    <w:basedOn w:val="1"/>
    <w:qFormat/>
    <w:uiPriority w:val="0"/>
    <w:rPr>
      <w:rFonts w:ascii="仿宋_GB2312" w:eastAsia="仿宋_GB2312"/>
      <w:b/>
      <w:sz w:val="32"/>
      <w:szCs w:val="20"/>
    </w:rPr>
  </w:style>
  <w:style w:type="paragraph" w:customStyle="1" w:styleId="61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61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61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61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615">
    <w:name w:val="Char Char111"/>
    <w:basedOn w:val="1"/>
    <w:qFormat/>
    <w:uiPriority w:val="0"/>
    <w:pPr>
      <w:spacing w:line="360" w:lineRule="auto"/>
    </w:pPr>
    <w:rPr>
      <w:szCs w:val="20"/>
    </w:rPr>
  </w:style>
  <w:style w:type="paragraph" w:customStyle="1" w:styleId="616">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61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621">
    <w:name w:val="Char2 Char Char Char"/>
    <w:basedOn w:val="1"/>
    <w:qFormat/>
    <w:uiPriority w:val="0"/>
    <w:rPr>
      <w:rFonts w:ascii="仿宋_GB2312" w:eastAsia="仿宋_GB2312"/>
      <w:b/>
      <w:sz w:val="32"/>
      <w:szCs w:val="32"/>
    </w:rPr>
  </w:style>
  <w:style w:type="paragraph" w:customStyle="1" w:styleId="622">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3">
    <w:name w:val="图中文字"/>
    <w:basedOn w:val="1"/>
    <w:qFormat/>
    <w:uiPriority w:val="0"/>
    <w:pPr>
      <w:snapToGrid w:val="0"/>
      <w:spacing w:line="0" w:lineRule="atLeast"/>
      <w:ind w:firstLine="200" w:firstLineChars="200"/>
      <w:jc w:val="center"/>
    </w:pPr>
    <w:rPr>
      <w:sz w:val="24"/>
      <w:szCs w:val="20"/>
    </w:rPr>
  </w:style>
  <w:style w:type="paragraph" w:customStyle="1" w:styleId="624">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2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626">
    <w:name w:val="插图题注"/>
    <w:next w:val="1"/>
    <w:qFormat/>
    <w:uiPriority w:val="0"/>
    <w:pPr>
      <w:tabs>
        <w:tab w:val="left" w:pos="360"/>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628">
    <w:name w:val="正文（首行缩进2字符）"/>
    <w:basedOn w:val="1"/>
    <w:qFormat/>
    <w:uiPriority w:val="0"/>
    <w:pPr>
      <w:adjustRightInd/>
      <w:spacing w:line="360" w:lineRule="auto"/>
      <w:ind w:firstLine="480" w:firstLineChars="200"/>
    </w:pPr>
    <w:rPr>
      <w:sz w:val="24"/>
      <w:szCs w:val="20"/>
    </w:rPr>
  </w:style>
  <w:style w:type="paragraph" w:customStyle="1" w:styleId="629">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631">
    <w:name w:val="修订2"/>
    <w:qFormat/>
    <w:uiPriority w:val="0"/>
    <w:rPr>
      <w:rFonts w:ascii="Times New Roman" w:hAnsi="Times New Roman" w:eastAsia="宋体" w:cs="Times New Roman"/>
      <w:kern w:val="2"/>
      <w:sz w:val="21"/>
      <w:lang w:val="en-US" w:eastAsia="zh-CN" w:bidi="ar-SA"/>
    </w:rPr>
  </w:style>
  <w:style w:type="paragraph" w:customStyle="1" w:styleId="632">
    <w:name w:val="样式 正文文本缩进 + 段前: 2 字符"/>
    <w:basedOn w:val="1"/>
    <w:qFormat/>
    <w:uiPriority w:val="0"/>
    <w:pPr>
      <w:adjustRightInd/>
      <w:ind w:left="420" w:leftChars="200"/>
      <w:jc w:val="left"/>
    </w:pPr>
    <w:rPr>
      <w:sz w:val="28"/>
      <w:szCs w:val="20"/>
      <w:lang w:eastAsia="zh-TW"/>
    </w:rPr>
  </w:style>
  <w:style w:type="paragraph" w:customStyle="1" w:styleId="63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3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3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36">
    <w:name w:val="Char Char11 Char Char Char Char Char Char Char Char Char1"/>
    <w:basedOn w:val="1"/>
    <w:qFormat/>
    <w:uiPriority w:val="6"/>
    <w:pPr>
      <w:spacing w:line="360" w:lineRule="auto"/>
    </w:pPr>
    <w:rPr>
      <w:szCs w:val="20"/>
    </w:rPr>
  </w:style>
  <w:style w:type="paragraph" w:customStyle="1" w:styleId="63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638">
    <w:name w:val="Char2 Char Char1"/>
    <w:basedOn w:val="1"/>
    <w:qFormat/>
    <w:uiPriority w:val="0"/>
    <w:pPr>
      <w:adjustRightInd/>
    </w:pPr>
    <w:rPr>
      <w:rFonts w:ascii="Tahoma" w:hAnsi="Tahoma"/>
      <w:sz w:val="24"/>
      <w:szCs w:val="20"/>
    </w:rPr>
  </w:style>
  <w:style w:type="paragraph" w:customStyle="1" w:styleId="639">
    <w:name w:val="正文文字 2"/>
    <w:basedOn w:val="481"/>
    <w:next w:val="481"/>
    <w:qFormat/>
    <w:uiPriority w:val="0"/>
    <w:rPr>
      <w:rFonts w:ascii="宋体" w:eastAsia="宋体" w:cs="Times New Roman"/>
      <w:color w:val="auto"/>
    </w:rPr>
  </w:style>
  <w:style w:type="paragraph" w:customStyle="1" w:styleId="640">
    <w:name w:val="Char1 Char Char Char3"/>
    <w:basedOn w:val="1"/>
    <w:qFormat/>
    <w:uiPriority w:val="0"/>
    <w:pPr>
      <w:adjustRightInd/>
      <w:ind w:firstLine="200" w:firstLineChars="200"/>
    </w:pPr>
    <w:rPr>
      <w:rFonts w:ascii="Tahoma" w:hAnsi="Tahoma"/>
      <w:sz w:val="24"/>
      <w:szCs w:val="20"/>
    </w:rPr>
  </w:style>
  <w:style w:type="paragraph" w:customStyle="1" w:styleId="641">
    <w:name w:val="样式7"/>
    <w:basedOn w:val="466"/>
    <w:next w:val="1"/>
    <w:qFormat/>
    <w:uiPriority w:val="0"/>
    <w:pPr>
      <w:spacing w:afterLines="50"/>
      <w:jc w:val="left"/>
      <w:outlineLvl w:val="3"/>
    </w:pPr>
    <w:rPr>
      <w:sz w:val="24"/>
      <w:szCs w:val="24"/>
    </w:rPr>
  </w:style>
  <w:style w:type="paragraph" w:customStyle="1" w:styleId="642">
    <w:name w:val="默认段落字体 Para Char Char Char Char Char Char Char"/>
    <w:basedOn w:val="1"/>
    <w:qFormat/>
    <w:uiPriority w:val="0"/>
    <w:rPr>
      <w:rFonts w:eastAsia="仿宋_GB2312"/>
      <w:sz w:val="28"/>
      <w:szCs w:val="20"/>
    </w:rPr>
  </w:style>
  <w:style w:type="paragraph" w:customStyle="1" w:styleId="643">
    <w:name w:val="Picture"/>
    <w:basedOn w:val="1"/>
    <w:next w:val="14"/>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44">
    <w:name w:val="首行缩进"/>
    <w:basedOn w:val="1"/>
    <w:qFormat/>
    <w:uiPriority w:val="0"/>
    <w:pPr>
      <w:spacing w:line="360" w:lineRule="auto"/>
      <w:ind w:firstLine="480" w:firstLineChars="200"/>
    </w:pPr>
    <w:rPr>
      <w:rFonts w:ascii="宋体"/>
      <w:sz w:val="24"/>
      <w:szCs w:val="20"/>
    </w:rPr>
  </w:style>
  <w:style w:type="paragraph" w:customStyle="1" w:styleId="645">
    <w:name w:val="Char2"/>
    <w:basedOn w:val="1"/>
    <w:qFormat/>
    <w:uiPriority w:val="0"/>
    <w:rPr>
      <w:rFonts w:ascii="仿宋_GB2312" w:eastAsia="仿宋_GB2312"/>
      <w:b/>
      <w:sz w:val="32"/>
      <w:szCs w:val="32"/>
    </w:rPr>
  </w:style>
  <w:style w:type="paragraph" w:customStyle="1" w:styleId="64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6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4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64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65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65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6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65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655">
    <w:name w:val="p0"/>
    <w:basedOn w:val="1"/>
    <w:qFormat/>
    <w:uiPriority w:val="0"/>
    <w:pPr>
      <w:widowControl/>
      <w:adjustRightInd/>
    </w:pPr>
    <w:rPr>
      <w:kern w:val="0"/>
      <w:szCs w:val="21"/>
    </w:rPr>
  </w:style>
  <w:style w:type="paragraph" w:customStyle="1" w:styleId="65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657">
    <w:name w:val="单元格居中"/>
    <w:basedOn w:val="1"/>
    <w:qFormat/>
    <w:uiPriority w:val="0"/>
    <w:pPr>
      <w:adjustRightInd/>
      <w:spacing w:line="360" w:lineRule="auto"/>
      <w:jc w:val="center"/>
    </w:pPr>
    <w:rPr>
      <w:sz w:val="24"/>
    </w:rPr>
  </w:style>
  <w:style w:type="paragraph" w:customStyle="1" w:styleId="658">
    <w:name w:val="CM14"/>
    <w:basedOn w:val="481"/>
    <w:next w:val="481"/>
    <w:qFormat/>
    <w:uiPriority w:val="0"/>
    <w:pPr>
      <w:spacing w:after="68"/>
    </w:pPr>
    <w:rPr>
      <w:rFonts w:ascii="FHLHE E+ Futura Bk" w:eastAsia="FHLHE E+ Futura Bk" w:cs="Times New Roman"/>
      <w:color w:val="auto"/>
    </w:rPr>
  </w:style>
  <w:style w:type="paragraph" w:customStyle="1" w:styleId="659">
    <w:name w:val="Char Char Char"/>
    <w:basedOn w:val="1"/>
    <w:qFormat/>
    <w:uiPriority w:val="0"/>
    <w:rPr>
      <w:rFonts w:ascii="Tahoma" w:hAnsi="Tahoma"/>
      <w:sz w:val="24"/>
      <w:szCs w:val="20"/>
    </w:rPr>
  </w:style>
  <w:style w:type="paragraph" w:customStyle="1" w:styleId="6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661">
    <w:name w:val="_Style 3"/>
    <w:qFormat/>
    <w:uiPriority w:val="0"/>
    <w:rPr>
      <w:rFonts w:ascii="Times New Roman" w:hAnsi="Times New Roman" w:eastAsia="宋体" w:cs="Times New Roman"/>
      <w:sz w:val="22"/>
      <w:szCs w:val="22"/>
      <w:lang w:val="en-US" w:eastAsia="zh-CN" w:bidi="ar-SA"/>
    </w:rPr>
  </w:style>
  <w:style w:type="paragraph" w:customStyle="1" w:styleId="66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63">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64">
    <w:name w:val="Char Char Char Char Char Char Char Char Char Char Char Char1 Char1"/>
    <w:basedOn w:val="1"/>
    <w:qFormat/>
    <w:uiPriority w:val="0"/>
    <w:rPr>
      <w:rFonts w:ascii="Tahoma" w:hAnsi="Tahoma" w:cs="仿宋_GB2312"/>
      <w:sz w:val="24"/>
      <w:szCs w:val="20"/>
    </w:rPr>
  </w:style>
  <w:style w:type="paragraph" w:customStyle="1" w:styleId="66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66">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667">
    <w:name w:val="GP正文(无首行缩进)"/>
    <w:basedOn w:val="1"/>
    <w:qFormat/>
    <w:uiPriority w:val="0"/>
    <w:pPr>
      <w:adjustRightInd/>
      <w:spacing w:line="360" w:lineRule="auto"/>
      <w:ind w:firstLine="480" w:firstLineChars="200"/>
      <w:jc w:val="left"/>
    </w:pPr>
    <w:rPr>
      <w:rFonts w:ascii="Arial" w:hAnsi="宋体" w:cs="宋体"/>
      <w:sz w:val="24"/>
      <w:szCs w:val="20"/>
    </w:rPr>
  </w:style>
  <w:style w:type="paragraph" w:customStyle="1" w:styleId="668">
    <w:name w:val="Char Char1 Char Char Char1"/>
    <w:basedOn w:val="1"/>
    <w:qFormat/>
    <w:uiPriority w:val="0"/>
    <w:rPr>
      <w:rFonts w:ascii="仿宋_GB2312" w:eastAsia="仿宋_GB2312"/>
      <w:b/>
      <w:sz w:val="32"/>
      <w:szCs w:val="20"/>
    </w:rPr>
  </w:style>
  <w:style w:type="paragraph" w:customStyle="1" w:styleId="669">
    <w:name w:val="标准小四"/>
    <w:basedOn w:val="1"/>
    <w:qFormat/>
    <w:uiPriority w:val="0"/>
    <w:pPr>
      <w:spacing w:line="360" w:lineRule="auto"/>
      <w:ind w:firstLine="480" w:firstLineChars="200"/>
    </w:pPr>
    <w:rPr>
      <w:rFonts w:ascii="Arial" w:hAnsi="Arial"/>
      <w:sz w:val="24"/>
      <w:szCs w:val="21"/>
    </w:rPr>
  </w:style>
  <w:style w:type="paragraph" w:customStyle="1" w:styleId="670">
    <w:name w:val="表文字"/>
    <w:qFormat/>
    <w:uiPriority w:val="0"/>
    <w:rPr>
      <w:rFonts w:ascii="宋体" w:hAnsi="Times New Roman" w:eastAsia="宋体" w:cs="Times New Roman"/>
      <w:kern w:val="2"/>
      <w:lang w:val="en-US" w:eastAsia="zh-CN" w:bidi="ar-SA"/>
    </w:rPr>
  </w:style>
  <w:style w:type="paragraph" w:customStyle="1" w:styleId="6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67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7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7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7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67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67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7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8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681">
    <w:name w:val="MM Title"/>
    <w:basedOn w:val="49"/>
    <w:qFormat/>
    <w:uiPriority w:val="0"/>
    <w:pPr>
      <w:widowControl w:val="0"/>
      <w:overflowPunct/>
      <w:autoSpaceDE/>
      <w:autoSpaceDN/>
      <w:adjustRightInd/>
      <w:spacing w:before="240" w:after="60"/>
      <w:textAlignment w:val="auto"/>
      <w:outlineLvl w:val="0"/>
    </w:pPr>
    <w:rPr>
      <w:rFonts w:cs="Arial"/>
      <w:bCs/>
      <w:kern w:val="2"/>
      <w:sz w:val="32"/>
      <w:szCs w:val="32"/>
      <w:lang w:val="en-US"/>
    </w:rPr>
  </w:style>
  <w:style w:type="paragraph" w:customStyle="1" w:styleId="682">
    <w:name w:val="Char Char1 Char Char Char"/>
    <w:basedOn w:val="1"/>
    <w:qFormat/>
    <w:uiPriority w:val="0"/>
    <w:rPr>
      <w:rFonts w:ascii="仿宋_GB2312" w:eastAsia="仿宋_GB2312"/>
      <w:b/>
      <w:sz w:val="32"/>
      <w:szCs w:val="32"/>
    </w:rPr>
  </w:style>
  <w:style w:type="paragraph" w:customStyle="1" w:styleId="683">
    <w:name w:val="Char23"/>
    <w:basedOn w:val="1"/>
    <w:qFormat/>
    <w:uiPriority w:val="0"/>
    <w:rPr>
      <w:rFonts w:ascii="仿宋_GB2312" w:eastAsia="仿宋_GB2312"/>
      <w:b/>
      <w:sz w:val="32"/>
      <w:szCs w:val="32"/>
    </w:rPr>
  </w:style>
  <w:style w:type="paragraph" w:customStyle="1" w:styleId="684">
    <w:name w:val="GP正文(首行缩进)"/>
    <w:basedOn w:val="1"/>
    <w:qFormat/>
    <w:uiPriority w:val="0"/>
    <w:pPr>
      <w:adjustRightInd/>
      <w:spacing w:line="360" w:lineRule="auto"/>
      <w:ind w:firstLine="200" w:firstLineChars="200"/>
      <w:jc w:val="left"/>
    </w:pPr>
    <w:rPr>
      <w:sz w:val="24"/>
      <w:szCs w:val="21"/>
    </w:rPr>
  </w:style>
  <w:style w:type="paragraph" w:customStyle="1" w:styleId="68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68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87">
    <w:name w:val="正文1"/>
    <w:basedOn w:val="391"/>
    <w:qFormat/>
    <w:uiPriority w:val="0"/>
    <w:pPr>
      <w:ind w:left="0" w:leftChars="0" w:firstLine="480" w:firstLineChars="200"/>
    </w:pPr>
    <w:rPr>
      <w:rFonts w:ascii="仿宋_GB2312" w:hAnsi="Courier New" w:eastAsia="仿宋_GB2312"/>
      <w:kern w:val="28"/>
      <w:sz w:val="24"/>
    </w:rPr>
  </w:style>
  <w:style w:type="paragraph" w:customStyle="1" w:styleId="68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690">
    <w:name w:val="Char5"/>
    <w:basedOn w:val="1"/>
    <w:qFormat/>
    <w:uiPriority w:val="0"/>
    <w:rPr>
      <w:rFonts w:ascii="仿宋_GB2312" w:eastAsia="仿宋_GB2312"/>
      <w:b/>
      <w:sz w:val="32"/>
      <w:szCs w:val="32"/>
    </w:rPr>
  </w:style>
  <w:style w:type="paragraph" w:customStyle="1" w:styleId="69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92">
    <w:name w:val="Char Char Char Char11"/>
    <w:basedOn w:val="1"/>
    <w:qFormat/>
    <w:uiPriority w:val="0"/>
    <w:rPr>
      <w:rFonts w:ascii="Tahoma" w:hAnsi="Tahoma"/>
      <w:sz w:val="24"/>
      <w:szCs w:val="20"/>
    </w:rPr>
  </w:style>
  <w:style w:type="paragraph" w:customStyle="1" w:styleId="693">
    <w:name w:val="MM Topic 5"/>
    <w:basedOn w:val="6"/>
    <w:qFormat/>
    <w:uiPriority w:val="0"/>
    <w:pPr>
      <w:tabs>
        <w:tab w:val="left" w:pos="2520"/>
      </w:tabs>
      <w:adjustRightInd/>
      <w:ind w:left="2520" w:hanging="420"/>
    </w:pPr>
  </w:style>
  <w:style w:type="paragraph" w:customStyle="1" w:styleId="69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95">
    <w:name w:val="表格"/>
    <w:basedOn w:val="1"/>
    <w:qFormat/>
    <w:uiPriority w:val="0"/>
    <w:pPr>
      <w:snapToGrid w:val="0"/>
      <w:ind w:firstLine="42" w:firstLineChars="21"/>
    </w:pPr>
    <w:rPr>
      <w:rFonts w:ascii="宋体" w:hAnsi="宋体"/>
      <w:kern w:val="0"/>
      <w:sz w:val="20"/>
      <w:szCs w:val="20"/>
    </w:rPr>
  </w:style>
  <w:style w:type="paragraph" w:customStyle="1" w:styleId="696">
    <w:name w:val="Char Char1"/>
    <w:basedOn w:val="1"/>
    <w:qFormat/>
    <w:uiPriority w:val="0"/>
    <w:pPr>
      <w:widowControl/>
      <w:spacing w:after="160" w:line="240" w:lineRule="exact"/>
      <w:jc w:val="left"/>
    </w:pPr>
    <w:rPr>
      <w:rFonts w:eastAsia="仿宋_GB2312"/>
      <w:sz w:val="28"/>
    </w:rPr>
  </w:style>
  <w:style w:type="paragraph" w:customStyle="1" w:styleId="697">
    <w:name w:val="MM Topic 1"/>
    <w:basedOn w:val="2"/>
    <w:qFormat/>
    <w:uiPriority w:val="0"/>
    <w:pPr>
      <w:tabs>
        <w:tab w:val="left" w:pos="840"/>
      </w:tabs>
      <w:adjustRightInd/>
      <w:ind w:left="840" w:hanging="420"/>
    </w:pPr>
  </w:style>
  <w:style w:type="paragraph" w:customStyle="1" w:styleId="698">
    <w:name w:val="Char1 Char Char Char5"/>
    <w:basedOn w:val="1"/>
    <w:qFormat/>
    <w:uiPriority w:val="0"/>
    <w:pPr>
      <w:adjustRightInd/>
      <w:ind w:firstLine="200" w:firstLineChars="200"/>
    </w:pPr>
    <w:rPr>
      <w:rFonts w:ascii="Tahoma" w:hAnsi="Tahoma"/>
      <w:sz w:val="24"/>
      <w:szCs w:val="20"/>
    </w:rPr>
  </w:style>
  <w:style w:type="paragraph" w:customStyle="1" w:styleId="699">
    <w:name w:val="Char3 Char Char Char1"/>
    <w:basedOn w:val="1"/>
    <w:qFormat/>
    <w:uiPriority w:val="6"/>
    <w:pPr>
      <w:widowControl/>
      <w:adjustRightInd/>
      <w:spacing w:after="160" w:line="240" w:lineRule="exact"/>
      <w:jc w:val="left"/>
    </w:pPr>
    <w:rPr>
      <w:szCs w:val="20"/>
    </w:rPr>
  </w:style>
  <w:style w:type="paragraph" w:customStyle="1" w:styleId="700">
    <w:name w:val="_Style 12"/>
    <w:basedOn w:val="16"/>
    <w:qFormat/>
    <w:uiPriority w:val="0"/>
    <w:pPr>
      <w:snapToGrid w:val="0"/>
      <w:spacing w:line="360" w:lineRule="auto"/>
    </w:pPr>
  </w:style>
  <w:style w:type="paragraph" w:customStyle="1" w:styleId="70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702">
    <w:name w:val="样式 正文文本缩进 2 + 仿宋_GB2312 黑色 行距: 1.5 倍行距"/>
    <w:basedOn w:val="32"/>
    <w:qFormat/>
    <w:uiPriority w:val="0"/>
    <w:pPr>
      <w:adjustRightInd/>
      <w:ind w:firstLine="560" w:firstLineChars="200"/>
      <w:textAlignment w:val="auto"/>
    </w:pPr>
    <w:rPr>
      <w:rFonts w:hAnsi="宋体" w:cs="宋体"/>
      <w:color w:val="000000"/>
      <w:kern w:val="2"/>
      <w:sz w:val="24"/>
    </w:rPr>
  </w:style>
  <w:style w:type="paragraph" w:customStyle="1" w:styleId="703">
    <w:name w:val="样式 左侧:  0.85 厘米"/>
    <w:basedOn w:val="1"/>
    <w:qFormat/>
    <w:uiPriority w:val="2"/>
    <w:pPr>
      <w:adjustRightInd/>
      <w:spacing w:line="360" w:lineRule="auto"/>
    </w:pPr>
    <w:rPr>
      <w:rFonts w:cs="宋体"/>
      <w:sz w:val="24"/>
      <w:szCs w:val="20"/>
    </w:rPr>
  </w:style>
  <w:style w:type="paragraph" w:customStyle="1" w:styleId="704">
    <w:name w:val="Bulleted List"/>
    <w:basedOn w:val="1"/>
    <w:qFormat/>
    <w:uiPriority w:val="0"/>
    <w:pPr>
      <w:tabs>
        <w:tab w:val="left" w:pos="1260"/>
      </w:tabs>
      <w:adjustRightInd/>
      <w:ind w:left="1260" w:hanging="420"/>
    </w:p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70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70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10">
    <w:name w:val="MM Topic 4"/>
    <w:basedOn w:val="5"/>
    <w:qFormat/>
    <w:uiPriority w:val="0"/>
    <w:pPr>
      <w:tabs>
        <w:tab w:val="left" w:pos="2100"/>
      </w:tabs>
      <w:adjustRightInd/>
      <w:ind w:left="2100" w:hanging="420"/>
    </w:pPr>
    <w:rPr>
      <w:lang w:val="en-US"/>
    </w:rPr>
  </w:style>
  <w:style w:type="paragraph" w:customStyle="1" w:styleId="71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1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71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715">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71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717">
    <w:name w:val="Char3"/>
    <w:basedOn w:val="1"/>
    <w:qFormat/>
    <w:uiPriority w:val="0"/>
    <w:pPr>
      <w:adjustRightInd/>
      <w:ind w:firstLine="200" w:firstLineChars="200"/>
    </w:pPr>
    <w:rPr>
      <w:rFonts w:ascii="Tahoma" w:hAnsi="Tahoma"/>
      <w:sz w:val="24"/>
      <w:szCs w:val="20"/>
    </w:rPr>
  </w:style>
  <w:style w:type="paragraph" w:customStyle="1" w:styleId="71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19">
    <w:name w:val="Char3 Char Char Char"/>
    <w:basedOn w:val="1"/>
    <w:qFormat/>
    <w:uiPriority w:val="0"/>
    <w:pPr>
      <w:widowControl/>
      <w:adjustRightInd/>
      <w:spacing w:after="160" w:line="240" w:lineRule="exact"/>
      <w:jc w:val="left"/>
    </w:pPr>
    <w:rPr>
      <w:szCs w:val="20"/>
    </w:rPr>
  </w:style>
  <w:style w:type="paragraph" w:customStyle="1" w:styleId="72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2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22">
    <w:name w:val="文章标题"/>
    <w:next w:val="49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72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索引 11"/>
    <w:basedOn w:val="1"/>
    <w:next w:val="1"/>
    <w:qFormat/>
    <w:uiPriority w:val="0"/>
    <w:pPr>
      <w:adjustRightInd/>
      <w:spacing w:line="360" w:lineRule="auto"/>
    </w:pPr>
    <w:rPr>
      <w:rFonts w:ascii="仿宋_GB2312" w:eastAsia="仿宋_GB2312"/>
      <w:sz w:val="24"/>
      <w:szCs w:val="20"/>
    </w:rPr>
  </w:style>
  <w:style w:type="character" w:customStyle="1" w:styleId="725">
    <w:name w:val="页眉 Char2"/>
    <w:qFormat/>
    <w:uiPriority w:val="99"/>
    <w:rPr>
      <w:kern w:val="2"/>
      <w:sz w:val="18"/>
      <w:szCs w:val="18"/>
    </w:rPr>
  </w:style>
  <w:style w:type="character" w:customStyle="1" w:styleId="726">
    <w:name w:val="页脚 Char2"/>
    <w:qFormat/>
    <w:uiPriority w:val="99"/>
    <w:rPr>
      <w:kern w:val="2"/>
      <w:sz w:val="18"/>
      <w:szCs w:val="18"/>
    </w:rPr>
  </w:style>
  <w:style w:type="paragraph" w:customStyle="1" w:styleId="727">
    <w:name w:val="纯文本_0_0"/>
    <w:basedOn w:val="1"/>
    <w:link w:val="728"/>
    <w:qFormat/>
    <w:uiPriority w:val="0"/>
    <w:pPr>
      <w:adjustRightInd/>
    </w:pPr>
    <w:rPr>
      <w:rFonts w:ascii="宋体" w:hAnsi="Courier New"/>
      <w:szCs w:val="21"/>
    </w:rPr>
  </w:style>
  <w:style w:type="character" w:customStyle="1" w:styleId="728">
    <w:name w:val="纯文本 Char_0"/>
    <w:link w:val="727"/>
    <w:qFormat/>
    <w:uiPriority w:val="0"/>
    <w:rPr>
      <w:rFonts w:ascii="宋体" w:hAnsi="Courier New"/>
      <w:kern w:val="2"/>
      <w:sz w:val="21"/>
      <w:szCs w:val="21"/>
      <w:lang w:val="en-US" w:eastAsia="zh-CN"/>
    </w:rPr>
  </w:style>
  <w:style w:type="paragraph" w:customStyle="1" w:styleId="729">
    <w:name w:val="样式9"/>
    <w:basedOn w:val="35"/>
    <w:link w:val="731"/>
    <w:qFormat/>
    <w:uiPriority w:val="0"/>
    <w:pPr>
      <w:pBdr>
        <w:bottom w:val="none" w:color="auto" w:sz="0" w:space="0"/>
      </w:pBdr>
    </w:pPr>
  </w:style>
  <w:style w:type="paragraph" w:customStyle="1" w:styleId="730">
    <w:name w:val="样式10"/>
    <w:basedOn w:val="35"/>
    <w:link w:val="733"/>
    <w:qFormat/>
    <w:uiPriority w:val="0"/>
    <w:pPr>
      <w:pBdr>
        <w:bottom w:val="none" w:color="auto" w:sz="0" w:space="0"/>
      </w:pBdr>
    </w:pPr>
  </w:style>
  <w:style w:type="character" w:customStyle="1" w:styleId="731">
    <w:name w:val="样式9 Char"/>
    <w:basedOn w:val="168"/>
    <w:link w:val="729"/>
    <w:qFormat/>
    <w:uiPriority w:val="0"/>
    <w:rPr>
      <w:rFonts w:ascii="仿宋" w:hAnsi="仿宋" w:eastAsia="仿宋"/>
      <w:snapToGrid w:val="0"/>
      <w:kern w:val="2"/>
      <w:sz w:val="18"/>
      <w:szCs w:val="18"/>
      <w:u w:val="single"/>
      <w:lang w:val="en-GB"/>
    </w:rPr>
  </w:style>
  <w:style w:type="paragraph" w:customStyle="1" w:styleId="732">
    <w:name w:val="样式11"/>
    <w:basedOn w:val="35"/>
    <w:link w:val="734"/>
    <w:qFormat/>
    <w:uiPriority w:val="0"/>
    <w:pPr>
      <w:pBdr>
        <w:bottom w:val="none" w:color="auto" w:sz="0" w:space="0"/>
      </w:pBdr>
    </w:pPr>
  </w:style>
  <w:style w:type="character" w:customStyle="1" w:styleId="733">
    <w:name w:val="样式10 Char"/>
    <w:basedOn w:val="168"/>
    <w:link w:val="730"/>
    <w:qFormat/>
    <w:uiPriority w:val="0"/>
    <w:rPr>
      <w:rFonts w:ascii="仿宋" w:hAnsi="仿宋" w:eastAsia="仿宋"/>
      <w:snapToGrid w:val="0"/>
      <w:kern w:val="2"/>
      <w:sz w:val="18"/>
      <w:szCs w:val="18"/>
      <w:u w:val="single"/>
      <w:lang w:val="en-GB"/>
    </w:rPr>
  </w:style>
  <w:style w:type="character" w:customStyle="1" w:styleId="734">
    <w:name w:val="样式11 Char"/>
    <w:basedOn w:val="168"/>
    <w:link w:val="732"/>
    <w:qFormat/>
    <w:uiPriority w:val="0"/>
    <w:rPr>
      <w:rFonts w:ascii="仿宋" w:hAnsi="仿宋" w:eastAsia="仿宋"/>
      <w:snapToGrid w:val="0"/>
      <w:kern w:val="2"/>
      <w:sz w:val="18"/>
      <w:szCs w:val="18"/>
      <w:u w:val="single"/>
      <w:lang w:val="en-GB"/>
    </w:rPr>
  </w:style>
  <w:style w:type="paragraph" w:customStyle="1" w:styleId="735">
    <w:name w:val="列出段落6"/>
    <w:basedOn w:val="1"/>
    <w:qFormat/>
    <w:uiPriority w:val="34"/>
    <w:pPr>
      <w:ind w:firstLine="420" w:firstLineChars="200"/>
    </w:pPr>
    <w:rPr>
      <w:rFonts w:ascii="Calibri" w:hAnsi="Calibri"/>
    </w:rPr>
  </w:style>
  <w:style w:type="paragraph" w:customStyle="1" w:styleId="736">
    <w:name w:val="列出段落7"/>
    <w:basedOn w:val="1"/>
    <w:qFormat/>
    <w:uiPriority w:val="34"/>
    <w:pPr>
      <w:adjustRightInd/>
      <w:ind w:firstLine="420" w:firstLineChars="200"/>
    </w:pPr>
    <w:rPr>
      <w:rFonts w:ascii="Calibri" w:hAnsi="Calibri"/>
      <w:szCs w:val="22"/>
    </w:rPr>
  </w:style>
  <w:style w:type="paragraph" w:customStyle="1" w:styleId="737">
    <w:name w:val="Table Paragraph"/>
    <w:basedOn w:val="1"/>
    <w:qFormat/>
    <w:uiPriority w:val="1"/>
    <w:pPr>
      <w:autoSpaceDE w:val="0"/>
      <w:autoSpaceDN w:val="0"/>
      <w:adjustRightInd/>
      <w:jc w:val="left"/>
    </w:pPr>
    <w:rPr>
      <w:rFonts w:ascii="宋体" w:hAnsi="宋体" w:cs="宋体"/>
      <w:kern w:val="0"/>
      <w:sz w:val="22"/>
      <w:szCs w:val="22"/>
      <w:lang w:val="zh-CN" w:bidi="zh-CN"/>
    </w:rPr>
  </w:style>
  <w:style w:type="table" w:customStyle="1" w:styleId="738">
    <w:name w:val="Table Normal"/>
    <w:qFormat/>
    <w:uiPriority w:val="2"/>
    <w:pPr>
      <w:widowControl w:val="0"/>
      <w:autoSpaceDE w:val="0"/>
      <w:autoSpaceDN w:val="0"/>
    </w:pPr>
    <w:rPr>
      <w:rFonts w:ascii="Calibri" w:hAnsi="Calibri" w:eastAsia="Times New Roman" w:cs="宋体"/>
      <w:sz w:val="22"/>
      <w:szCs w:val="22"/>
      <w:lang w:eastAsia="en-US"/>
    </w:rPr>
    <w:tblPr>
      <w:tblCellMar>
        <w:top w:w="0" w:type="dxa"/>
        <w:left w:w="0" w:type="dxa"/>
        <w:bottom w:w="0" w:type="dxa"/>
        <w:right w:w="0" w:type="dxa"/>
      </w:tblCellMar>
    </w:tblPr>
  </w:style>
  <w:style w:type="character" w:customStyle="1" w:styleId="739">
    <w:name w:val="font91"/>
    <w:basedOn w:val="53"/>
    <w:qFormat/>
    <w:uiPriority w:val="0"/>
    <w:rPr>
      <w:rFonts w:hint="eastAsia" w:ascii="宋体" w:hAnsi="宋体" w:eastAsia="宋体" w:cs="宋体"/>
      <w:color w:val="000000"/>
      <w:sz w:val="18"/>
      <w:szCs w:val="18"/>
      <w:u w:val="none"/>
    </w:rPr>
  </w:style>
  <w:style w:type="paragraph" w:customStyle="1" w:styleId="740">
    <w:name w:val="无间隔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41">
    <w:name w:val="正文-段落"/>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742">
    <w:name w:val="xl63"/>
    <w:basedOn w:val="1"/>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43">
    <w:name w:val="xl6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5">
    <w:name w:val="xl6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7">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pPr>
    <w:rPr>
      <w:rFonts w:ascii="仿宋" w:hAnsi="仿宋" w:eastAsia="仿宋" w:cs="宋体"/>
      <w:kern w:val="0"/>
      <w:sz w:val="24"/>
    </w:rPr>
  </w:style>
  <w:style w:type="paragraph" w:customStyle="1" w:styleId="748">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49">
    <w:name w:val="xl70"/>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50">
    <w:name w:val="xl71"/>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1">
    <w:name w:val="xl72"/>
    <w:basedOn w:val="1"/>
    <w:qFormat/>
    <w:uiPriority w:val="0"/>
    <w:pPr>
      <w:widowControl/>
      <w:pBdr>
        <w:top w:val="single" w:color="auto" w:sz="4" w:space="0"/>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2">
    <w:name w:val="xl73"/>
    <w:basedOn w:val="1"/>
    <w:qFormat/>
    <w:uiPriority w:val="0"/>
    <w:pPr>
      <w:widowControl/>
      <w:pBdr>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3">
    <w:name w:val="xl74"/>
    <w:basedOn w:val="1"/>
    <w:qFormat/>
    <w:uiPriority w:val="0"/>
    <w:pPr>
      <w:widowControl/>
      <w:pBdr>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4">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5">
    <w:name w:val="xl76"/>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6">
    <w:name w:val="xl77"/>
    <w:basedOn w:val="1"/>
    <w:qFormat/>
    <w:uiPriority w:val="0"/>
    <w:pPr>
      <w:widowControl/>
      <w:pBdr>
        <w:top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7">
    <w:name w:val="xl78"/>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58">
    <w:name w:val="xl79"/>
    <w:basedOn w:val="1"/>
    <w:qFormat/>
    <w:uiPriority w:val="0"/>
    <w:pPr>
      <w:widowControl/>
      <w:pBdr>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9">
    <w:name w:val="xl80"/>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60">
    <w:name w:val="xl81"/>
    <w:basedOn w:val="1"/>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61">
    <w:name w:val="xl82"/>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62">
    <w:name w:val="xl83"/>
    <w:basedOn w:val="1"/>
    <w:qFormat/>
    <w:uiPriority w:val="0"/>
    <w:pPr>
      <w:widowControl/>
      <w:pBdr>
        <w:top w:val="single" w:color="auto" w:sz="4" w:space="0"/>
        <w:left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3">
    <w:name w:val="xl84"/>
    <w:basedOn w:val="1"/>
    <w:qFormat/>
    <w:uiPriority w:val="0"/>
    <w:pPr>
      <w:widowControl/>
      <w:pBdr>
        <w:top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4">
    <w:name w:val="xl85"/>
    <w:basedOn w:val="1"/>
    <w:qFormat/>
    <w:uiPriority w:val="0"/>
    <w:pPr>
      <w:widowControl/>
      <w:pBdr>
        <w:top w:val="single" w:color="auto" w:sz="4" w:space="0"/>
        <w:bottom w:val="single" w:color="auto" w:sz="4" w:space="0"/>
        <w:right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5">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66">
    <w:name w:val="正文首行缩进 21"/>
    <w:basedOn w:val="1"/>
    <w:qFormat/>
    <w:uiPriority w:val="0"/>
    <w:pPr>
      <w:adjustRightInd/>
      <w:spacing w:after="120"/>
      <w:ind w:left="420" w:leftChars="200" w:firstLine="420"/>
    </w:pPr>
    <w:rPr>
      <w:rFonts w:cs="宋体"/>
      <w:color w:val="000000"/>
      <w:szCs w:val="21"/>
    </w:rPr>
  </w:style>
  <w:style w:type="paragraph" w:customStyle="1" w:styleId="767">
    <w:name w:val="封面标题"/>
    <w:qFormat/>
    <w:uiPriority w:val="0"/>
    <w:pPr>
      <w:widowControl w:val="0"/>
      <w:jc w:val="center"/>
    </w:pPr>
    <w:rPr>
      <w:rFonts w:ascii="黑体" w:hAnsi="黑体" w:eastAsia="黑体" w:cs="黑体"/>
      <w:b/>
      <w:bCs/>
      <w:color w:val="000000"/>
      <w:sz w:val="40"/>
      <w:szCs w:val="40"/>
      <w:u w:color="000000"/>
      <w:lang w:val="en-US" w:eastAsia="zh-CN" w:bidi="ar-SA"/>
    </w:rPr>
  </w:style>
  <w:style w:type="paragraph" w:customStyle="1" w:styleId="768">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769">
    <w:name w:val="author-p-144115210953314684"/>
    <w:basedOn w:val="53"/>
    <w:qFormat/>
    <w:uiPriority w:val="0"/>
  </w:style>
  <w:style w:type="character" w:customStyle="1" w:styleId="770">
    <w:name w:val="fontstyle01"/>
    <w:basedOn w:val="53"/>
    <w:qFormat/>
    <w:uiPriority w:val="0"/>
    <w:rPr>
      <w:rFonts w:hint="eastAsia" w:ascii="黑体" w:hAnsi="黑体" w:eastAsia="黑体"/>
      <w:color w:val="000000"/>
      <w:sz w:val="52"/>
      <w:szCs w:val="52"/>
    </w:rPr>
  </w:style>
  <w:style w:type="paragraph" w:customStyle="1" w:styleId="77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772">
    <w:name w:val="正文文本缩进 Char3"/>
    <w:qFormat/>
    <w:uiPriority w:val="0"/>
    <w:rPr>
      <w:rFonts w:ascii="宋体" w:hAnsi="宋体"/>
      <w:kern w:val="2"/>
      <w:sz w:val="24"/>
      <w:szCs w:val="24"/>
    </w:rPr>
  </w:style>
  <w:style w:type="character" w:customStyle="1" w:styleId="773">
    <w:name w:val="font51"/>
    <w:basedOn w:val="53"/>
    <w:qFormat/>
    <w:uiPriority w:val="0"/>
    <w:rPr>
      <w:rFonts w:ascii="宋体" w:hAnsi="宋体" w:eastAsia="宋体" w:cs="宋体"/>
      <w:color w:val="000000"/>
      <w:sz w:val="14"/>
      <w:szCs w:val="14"/>
      <w:u w:val="none"/>
    </w:rPr>
  </w:style>
  <w:style w:type="character" w:customStyle="1" w:styleId="774">
    <w:name w:val="font112"/>
    <w:basedOn w:val="53"/>
    <w:qFormat/>
    <w:uiPriority w:val="0"/>
    <w:rPr>
      <w:rFonts w:ascii="Calibri" w:hAnsi="Calibri" w:cs="Calibri"/>
      <w:color w:val="000000"/>
      <w:sz w:val="14"/>
      <w:szCs w:val="14"/>
      <w:u w:val="none"/>
    </w:rPr>
  </w:style>
  <w:style w:type="character" w:customStyle="1" w:styleId="775">
    <w:name w:val="bookmark-item"/>
    <w:basedOn w:val="53"/>
    <w:qFormat/>
    <w:uiPriority w:val="0"/>
  </w:style>
  <w:style w:type="character" w:customStyle="1" w:styleId="776">
    <w:name w:val="font141"/>
    <w:basedOn w:val="53"/>
    <w:qFormat/>
    <w:uiPriority w:val="0"/>
    <w:rPr>
      <w:rFonts w:hint="default" w:ascii="Arial" w:hAnsi="Arial" w:cs="Arial"/>
      <w:b/>
      <w:color w:val="000000"/>
      <w:sz w:val="20"/>
      <w:szCs w:val="20"/>
      <w:u w:val="none"/>
    </w:rPr>
  </w:style>
  <w:style w:type="paragraph" w:customStyle="1" w:styleId="777">
    <w:name w:val="样式12"/>
    <w:basedOn w:val="1"/>
    <w:link w:val="779"/>
    <w:qFormat/>
    <w:uiPriority w:val="0"/>
  </w:style>
  <w:style w:type="paragraph" w:customStyle="1" w:styleId="778">
    <w:name w:val="样式13"/>
    <w:basedOn w:val="35"/>
    <w:link w:val="781"/>
    <w:qFormat/>
    <w:uiPriority w:val="0"/>
    <w:pPr>
      <w:pBdr>
        <w:bottom w:val="none" w:color="auto" w:sz="0" w:space="0"/>
      </w:pBdr>
    </w:pPr>
  </w:style>
  <w:style w:type="character" w:customStyle="1" w:styleId="779">
    <w:name w:val="样式12 Char"/>
    <w:basedOn w:val="53"/>
    <w:link w:val="777"/>
    <w:qFormat/>
    <w:uiPriority w:val="0"/>
    <w:rPr>
      <w:kern w:val="2"/>
      <w:sz w:val="21"/>
      <w:szCs w:val="24"/>
    </w:rPr>
  </w:style>
  <w:style w:type="paragraph" w:customStyle="1" w:styleId="780">
    <w:name w:val="样式14"/>
    <w:basedOn w:val="35"/>
    <w:link w:val="782"/>
    <w:qFormat/>
    <w:uiPriority w:val="0"/>
    <w:pPr>
      <w:pBdr>
        <w:bottom w:val="none" w:color="auto" w:sz="0" w:space="0"/>
      </w:pBdr>
      <w:tabs>
        <w:tab w:val="center" w:pos="4535"/>
        <w:tab w:val="right" w:pos="9070"/>
        <w:tab w:val="clear" w:pos="4153"/>
        <w:tab w:val="clear" w:pos="8306"/>
      </w:tabs>
    </w:pPr>
  </w:style>
  <w:style w:type="character" w:customStyle="1" w:styleId="781">
    <w:name w:val="样式13 Char"/>
    <w:basedOn w:val="168"/>
    <w:link w:val="778"/>
    <w:qFormat/>
    <w:uiPriority w:val="0"/>
    <w:rPr>
      <w:rFonts w:ascii="仿宋" w:hAnsi="仿宋" w:eastAsia="仿宋"/>
      <w:snapToGrid w:val="0"/>
      <w:kern w:val="2"/>
      <w:sz w:val="18"/>
      <w:szCs w:val="18"/>
      <w:u w:val="single"/>
      <w:lang w:val="en-GB"/>
    </w:rPr>
  </w:style>
  <w:style w:type="character" w:customStyle="1" w:styleId="782">
    <w:name w:val="样式14 Char"/>
    <w:basedOn w:val="168"/>
    <w:link w:val="780"/>
    <w:qFormat/>
    <w:uiPriority w:val="0"/>
    <w:rPr>
      <w:rFonts w:ascii="仿宋" w:hAnsi="仿宋" w:eastAsia="仿宋"/>
      <w:snapToGrid w:val="0"/>
      <w:kern w:val="2"/>
      <w:sz w:val="18"/>
      <w:szCs w:val="18"/>
      <w:u w:val="single"/>
      <w:lang w:val="en-GB"/>
    </w:rPr>
  </w:style>
  <w:style w:type="character" w:customStyle="1" w:styleId="783">
    <w:name w:val="未处理的提及2"/>
    <w:basedOn w:val="53"/>
    <w:unhideWhenUsed/>
    <w:qFormat/>
    <w:uiPriority w:val="99"/>
    <w:rPr>
      <w:color w:val="605E5C"/>
      <w:shd w:val="clear" w:color="auto" w:fill="E1DFDD"/>
    </w:rPr>
  </w:style>
  <w:style w:type="paragraph" w:customStyle="1" w:styleId="784">
    <w:name w:val="jd-正文1"/>
    <w:basedOn w:val="1"/>
    <w:qFormat/>
    <w:uiPriority w:val="0"/>
    <w:pPr>
      <w:widowControl/>
      <w:adjustRightInd/>
      <w:spacing w:line="360" w:lineRule="auto"/>
      <w:ind w:firstLine="482" w:firstLineChars="200"/>
    </w:pPr>
    <w:rPr>
      <w:rFonts w:ascii="宋体" w:hAnsi="宋体" w:cs="宋体"/>
      <w:sz w:val="24"/>
      <w:szCs w:val="20"/>
    </w:rPr>
  </w:style>
  <w:style w:type="character" w:customStyle="1" w:styleId="785">
    <w:name w:val="正文缩进 字符2"/>
    <w:qFormat/>
    <w:uiPriority w:val="0"/>
    <w:rPr>
      <w:rFonts w:ascii="宋体" w:eastAsia="宋体"/>
      <w:snapToGrid w:val="0"/>
      <w:color w:val="000000"/>
      <w:kern w:val="28"/>
      <w:sz w:val="28"/>
      <w:lang w:val="en-US" w:eastAsia="zh-CN" w:bidi="ar-SA"/>
    </w:rPr>
  </w:style>
  <w:style w:type="character" w:customStyle="1" w:styleId="786">
    <w:name w:val="正文文本缩进 字符1"/>
    <w:qFormat/>
    <w:uiPriority w:val="0"/>
    <w:rPr>
      <w:rFonts w:ascii="宋体" w:hAnsi="宋体"/>
      <w:kern w:val="2"/>
      <w:sz w:val="24"/>
      <w:szCs w:val="24"/>
    </w:rPr>
  </w:style>
  <w:style w:type="paragraph" w:customStyle="1" w:styleId="787">
    <w:name w:val="列出段落8"/>
    <w:basedOn w:val="1"/>
    <w:unhideWhenUsed/>
    <w:qFormat/>
    <w:uiPriority w:val="99"/>
    <w:pPr>
      <w:ind w:firstLine="420" w:firstLineChars="200"/>
    </w:pPr>
  </w:style>
  <w:style w:type="character" w:customStyle="1" w:styleId="788">
    <w:name w:val="正文首行缩进 Char"/>
    <w:basedOn w:val="86"/>
    <w:link w:val="21"/>
    <w:qFormat/>
    <w:uiPriority w:val="99"/>
    <w:rPr>
      <w:rFonts w:ascii="宋体" w:hAnsi="Arial" w:eastAsia="黑体" w:cs="Arial"/>
      <w:snapToGrid/>
      <w:kern w:val="2"/>
      <w:sz w:val="21"/>
      <w:szCs w:val="24"/>
      <w:lang w:val="zh-CN"/>
    </w:rPr>
  </w:style>
  <w:style w:type="character" w:customStyle="1" w:styleId="789">
    <w:name w:val="NormalCharacter"/>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43.png"/><Relationship Id="rId81" Type="http://schemas.openxmlformats.org/officeDocument/2006/relationships/image" Target="media/image42.png"/><Relationship Id="rId80" Type="http://schemas.openxmlformats.org/officeDocument/2006/relationships/image" Target="media/image41.png"/><Relationship Id="rId8" Type="http://schemas.openxmlformats.org/officeDocument/2006/relationships/header" Target="header3.xml"/><Relationship Id="rId79" Type="http://schemas.openxmlformats.org/officeDocument/2006/relationships/image" Target="media/image40.png"/><Relationship Id="rId78" Type="http://schemas.openxmlformats.org/officeDocument/2006/relationships/image" Target="media/image39.png"/><Relationship Id="rId77" Type="http://schemas.openxmlformats.org/officeDocument/2006/relationships/image" Target="media/image38.png"/><Relationship Id="rId76" Type="http://schemas.openxmlformats.org/officeDocument/2006/relationships/image" Target="media/image37.png"/><Relationship Id="rId75" Type="http://schemas.openxmlformats.org/officeDocument/2006/relationships/image" Target="media/image36.png"/><Relationship Id="rId74" Type="http://schemas.openxmlformats.org/officeDocument/2006/relationships/image" Target="media/image35.png"/><Relationship Id="rId73" Type="http://schemas.openxmlformats.org/officeDocument/2006/relationships/image" Target="media/image34.png"/><Relationship Id="rId72" Type="http://schemas.openxmlformats.org/officeDocument/2006/relationships/image" Target="media/image33.png"/><Relationship Id="rId71" Type="http://schemas.openxmlformats.org/officeDocument/2006/relationships/image" Target="media/image32.png"/><Relationship Id="rId70" Type="http://schemas.openxmlformats.org/officeDocument/2006/relationships/image" Target="media/image31.png"/><Relationship Id="rId7" Type="http://schemas.openxmlformats.org/officeDocument/2006/relationships/footer" Target="footer3.xml"/><Relationship Id="rId69" Type="http://schemas.openxmlformats.org/officeDocument/2006/relationships/image" Target="media/image30.png"/><Relationship Id="rId68" Type="http://schemas.openxmlformats.org/officeDocument/2006/relationships/image" Target="media/image29.png"/><Relationship Id="rId67" Type="http://schemas.openxmlformats.org/officeDocument/2006/relationships/image" Target="media/image28.png"/><Relationship Id="rId66" Type="http://schemas.openxmlformats.org/officeDocument/2006/relationships/image" Target="media/image27.png"/><Relationship Id="rId65" Type="http://schemas.openxmlformats.org/officeDocument/2006/relationships/image" Target="media/image26.png"/><Relationship Id="rId64" Type="http://schemas.openxmlformats.org/officeDocument/2006/relationships/image" Target="media/image25.png"/><Relationship Id="rId63" Type="http://schemas.openxmlformats.org/officeDocument/2006/relationships/image" Target="media/image24.png"/><Relationship Id="rId62" Type="http://schemas.openxmlformats.org/officeDocument/2006/relationships/image" Target="media/image23.png"/><Relationship Id="rId61" Type="http://schemas.openxmlformats.org/officeDocument/2006/relationships/image" Target="media/image22.png"/><Relationship Id="rId60" Type="http://schemas.openxmlformats.org/officeDocument/2006/relationships/image" Target="media/image21.png"/><Relationship Id="rId6" Type="http://schemas.openxmlformats.org/officeDocument/2006/relationships/header" Target="header2.xml"/><Relationship Id="rId59" Type="http://schemas.openxmlformats.org/officeDocument/2006/relationships/image" Target="media/image20.png"/><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2.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20.xml"/><Relationship Id="rId37" Type="http://schemas.openxmlformats.org/officeDocument/2006/relationships/footer" Target="footer19.xml"/><Relationship Id="rId36" Type="http://schemas.openxmlformats.org/officeDocument/2006/relationships/header" Target="header16.xml"/><Relationship Id="rId35" Type="http://schemas.openxmlformats.org/officeDocument/2006/relationships/header" Target="header15.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155</Pages>
  <Words>10961</Words>
  <Characters>12127</Characters>
  <Lines>324</Lines>
  <Paragraphs>91</Paragraphs>
  <TotalTime>4</TotalTime>
  <ScaleCrop>false</ScaleCrop>
  <LinksUpToDate>false</LinksUpToDate>
  <CharactersWithSpaces>12278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2023-07-23T15:57:00Z</dcterms:created>
  <dc:creator>杨</dc:creator>
  <cp:lastModifiedBy>snfian</cp:lastModifiedBy>
  <cp:lastPrinted>2026-04-15T07:52:00Z</cp:lastPrinted>
  <dcterms:modified xsi:type="dcterms:W3CDTF">2026-05-06T07:49:19Z</dcterms:modified>
  <dc:title>公开招标文件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819F2A0D1CC24843BFD2C185D78E3873_13</vt:lpwstr>
  </property>
  <property fmtid="{D5CDD505-2E9C-101B-9397-08002B2CF9AE}" pid="4" name="woTemplateTypoMode">
    <vt:lpwstr>web</vt:lpwstr>
  </property>
  <property fmtid="{D5CDD505-2E9C-101B-9397-08002B2CF9AE}" pid="5" name="woTemplate">
    <vt:i4>1</vt:i4>
  </property>
  <property fmtid="{D5CDD505-2E9C-101B-9397-08002B2CF9AE}" pid="6" name="KSOTemplateDocerSaveRecord">
    <vt:lpwstr>eyJoZGlkIjoiNTg0MDRlOGM5Y2U2MzNkNWE1YjNiN2U2ZWUyMzFmOWEiLCJ1c2VySWQiOiIxMTUxODI5MjE3In0=</vt:lpwstr>
  </property>
</Properties>
</file>