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2A712">
      <w:pPr>
        <w:spacing w:line="360" w:lineRule="auto"/>
        <w:jc w:val="center"/>
        <w:rPr>
          <w:rFonts w:ascii="宋体" w:hAnsi="宋体" w:cs="宋体"/>
          <w:b/>
          <w:color w:val="auto"/>
          <w:sz w:val="24"/>
          <w:highlight w:val="none"/>
        </w:rPr>
      </w:pPr>
    </w:p>
    <w:p w14:paraId="33247C18">
      <w:pPr>
        <w:spacing w:line="360" w:lineRule="auto"/>
        <w:jc w:val="center"/>
        <w:rPr>
          <w:rFonts w:ascii="宋体" w:hAnsi="宋体" w:cs="宋体"/>
          <w:b/>
          <w:color w:val="auto"/>
          <w:sz w:val="24"/>
          <w:highlight w:val="none"/>
        </w:rPr>
      </w:pPr>
    </w:p>
    <w:p w14:paraId="39D027CB">
      <w:pPr>
        <w:spacing w:line="360" w:lineRule="auto"/>
        <w:jc w:val="center"/>
        <w:rPr>
          <w:rFonts w:ascii="宋体" w:hAnsi="宋体" w:cs="宋体"/>
          <w:b/>
          <w:color w:val="auto"/>
          <w:sz w:val="24"/>
          <w:highlight w:val="none"/>
        </w:rPr>
      </w:pPr>
    </w:p>
    <w:p w14:paraId="019370D0">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杭州交通信息指挥中心及视频平台维护项目</w:t>
      </w:r>
    </w:p>
    <w:p w14:paraId="105B9BC7">
      <w:pPr>
        <w:adjustRightInd/>
        <w:spacing w:line="360" w:lineRule="auto"/>
        <w:jc w:val="center"/>
        <w:rPr>
          <w:rFonts w:ascii="宋体" w:hAnsi="宋体" w:cs="宋体"/>
          <w:color w:val="auto"/>
          <w:sz w:val="48"/>
          <w:szCs w:val="48"/>
          <w:highlight w:val="none"/>
        </w:rPr>
      </w:pPr>
    </w:p>
    <w:p w14:paraId="6B8A9AA3">
      <w:pPr>
        <w:adjustRightInd/>
        <w:spacing w:line="360" w:lineRule="auto"/>
        <w:jc w:val="center"/>
        <w:rPr>
          <w:rFonts w:ascii="宋体" w:hAnsi="宋体" w:cs="宋体"/>
          <w:color w:val="auto"/>
          <w:sz w:val="48"/>
          <w:szCs w:val="48"/>
          <w:highlight w:val="none"/>
        </w:rPr>
      </w:pPr>
    </w:p>
    <w:p w14:paraId="2DE89ED9">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5022AE6B">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5D8A1291">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330100264120030000041-ZJZC-ZFGK-202615</w:t>
      </w:r>
    </w:p>
    <w:p w14:paraId="14F71A66">
      <w:pPr>
        <w:adjustRightInd/>
        <w:spacing w:line="360" w:lineRule="auto"/>
        <w:rPr>
          <w:rFonts w:ascii="宋体" w:hAnsi="宋体" w:cs="宋体"/>
          <w:color w:val="auto"/>
          <w:sz w:val="28"/>
          <w:szCs w:val="20"/>
          <w:highlight w:val="none"/>
        </w:rPr>
      </w:pPr>
    </w:p>
    <w:p w14:paraId="66BC66BC">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64BE3687">
      <w:pPr>
        <w:spacing w:line="360" w:lineRule="auto"/>
        <w:jc w:val="center"/>
        <w:rPr>
          <w:rFonts w:ascii="宋体" w:hAnsi="宋体" w:cs="宋体"/>
          <w:b/>
          <w:color w:val="auto"/>
          <w:sz w:val="44"/>
          <w:szCs w:val="44"/>
          <w:highlight w:val="none"/>
        </w:rPr>
      </w:pPr>
    </w:p>
    <w:p w14:paraId="314D0F2B">
      <w:pPr>
        <w:spacing w:line="360" w:lineRule="auto"/>
        <w:jc w:val="center"/>
        <w:rPr>
          <w:rFonts w:ascii="宋体" w:hAnsi="宋体" w:cs="宋体"/>
          <w:color w:val="auto"/>
          <w:sz w:val="24"/>
          <w:highlight w:val="none"/>
        </w:rPr>
      </w:pPr>
    </w:p>
    <w:p w14:paraId="744BC55A">
      <w:pPr>
        <w:spacing w:line="360" w:lineRule="auto"/>
        <w:rPr>
          <w:rFonts w:ascii="宋体" w:hAnsi="宋体" w:cs="宋体"/>
          <w:color w:val="auto"/>
          <w:sz w:val="32"/>
          <w:szCs w:val="32"/>
          <w:highlight w:val="none"/>
        </w:rPr>
      </w:pPr>
    </w:p>
    <w:p w14:paraId="1E301F67">
      <w:pPr>
        <w:snapToGrid w:val="0"/>
        <w:spacing w:line="360" w:lineRule="auto"/>
        <w:jc w:val="center"/>
        <w:rPr>
          <w:rFonts w:hint="eastAsia" w:ascii="宋体" w:hAnsi="宋体" w:cs="宋体"/>
          <w:color w:val="auto"/>
          <w:sz w:val="32"/>
          <w:szCs w:val="32"/>
          <w:highlight w:val="none"/>
          <w:lang w:eastAsia="zh-CN"/>
        </w:rPr>
      </w:pPr>
    </w:p>
    <w:p w14:paraId="3B14D2F2">
      <w:pPr>
        <w:snapToGrid w:val="0"/>
        <w:spacing w:line="360" w:lineRule="auto"/>
        <w:jc w:val="center"/>
        <w:rPr>
          <w:rFonts w:hint="eastAsia" w:ascii="宋体" w:hAnsi="宋体" w:cs="宋体"/>
          <w:color w:val="auto"/>
          <w:sz w:val="32"/>
          <w:szCs w:val="32"/>
          <w:highlight w:val="none"/>
          <w:lang w:eastAsia="zh-CN"/>
        </w:rPr>
      </w:pPr>
    </w:p>
    <w:p w14:paraId="747B7DC2">
      <w:pPr>
        <w:snapToGrid w:val="0"/>
        <w:spacing w:line="360" w:lineRule="auto"/>
        <w:jc w:val="center"/>
        <w:rPr>
          <w:rFonts w:hint="eastAsia" w:ascii="宋体" w:hAnsi="宋体" w:cs="宋体"/>
          <w:color w:val="auto"/>
          <w:sz w:val="32"/>
          <w:szCs w:val="32"/>
          <w:highlight w:val="none"/>
          <w:lang w:eastAsia="zh-CN"/>
        </w:rPr>
      </w:pPr>
    </w:p>
    <w:p w14:paraId="19DEFAA5">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杭州市公路与港航管理服务中心（杭州市低空交通运行管理服务中心）</w:t>
      </w:r>
    </w:p>
    <w:p w14:paraId="1A42439E">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浙江中诚工程管理科技有限公司</w:t>
      </w:r>
    </w:p>
    <w:p w14:paraId="7B28B64C">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63E680C3">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1CE69C1F">
      <w:pPr>
        <w:pStyle w:val="22"/>
        <w:rPr>
          <w:color w:val="auto"/>
          <w:highlight w:val="none"/>
        </w:rPr>
      </w:pPr>
    </w:p>
    <w:p w14:paraId="56001E96">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DA24BB7">
      <w:pPr>
        <w:spacing w:line="360" w:lineRule="auto"/>
        <w:rPr>
          <w:rFonts w:ascii="宋体" w:hAnsi="宋体" w:cs="宋体"/>
          <w:color w:val="auto"/>
          <w:sz w:val="32"/>
          <w:szCs w:val="32"/>
          <w:highlight w:val="none"/>
        </w:rPr>
      </w:pPr>
    </w:p>
    <w:p w14:paraId="363F828C">
      <w:pPr>
        <w:spacing w:line="360" w:lineRule="auto"/>
        <w:rPr>
          <w:rFonts w:ascii="宋体" w:hAnsi="宋体" w:cs="宋体"/>
          <w:color w:val="auto"/>
          <w:sz w:val="32"/>
          <w:szCs w:val="32"/>
          <w:highlight w:val="none"/>
        </w:rPr>
      </w:pPr>
    </w:p>
    <w:p w14:paraId="3D80113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7522764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46214EB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06D5041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3509CE4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543A516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5C52BD2E">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6D306DD7">
      <w:pPr>
        <w:spacing w:line="360" w:lineRule="auto"/>
        <w:ind w:firstLine="549" w:firstLineChars="229"/>
        <w:rPr>
          <w:rFonts w:ascii="宋体" w:hAnsi="宋体" w:cs="宋体"/>
          <w:color w:val="auto"/>
          <w:sz w:val="24"/>
          <w:highlight w:val="none"/>
        </w:rPr>
      </w:pPr>
    </w:p>
    <w:p w14:paraId="75F2D307">
      <w:pPr>
        <w:spacing w:line="360" w:lineRule="auto"/>
        <w:ind w:firstLine="549" w:firstLineChars="229"/>
        <w:rPr>
          <w:rFonts w:ascii="宋体" w:hAnsi="宋体" w:cs="宋体"/>
          <w:color w:val="auto"/>
          <w:sz w:val="24"/>
          <w:highlight w:val="none"/>
        </w:rPr>
      </w:pPr>
    </w:p>
    <w:p w14:paraId="7F96B28B">
      <w:pPr>
        <w:spacing w:line="360" w:lineRule="auto"/>
        <w:ind w:firstLine="549" w:firstLineChars="229"/>
        <w:rPr>
          <w:rFonts w:ascii="宋体" w:hAnsi="宋体" w:cs="宋体"/>
          <w:color w:val="auto"/>
          <w:sz w:val="24"/>
          <w:highlight w:val="none"/>
        </w:rPr>
      </w:pPr>
    </w:p>
    <w:p w14:paraId="534C7A34">
      <w:pPr>
        <w:spacing w:line="360" w:lineRule="auto"/>
        <w:ind w:firstLine="549" w:firstLineChars="229"/>
        <w:rPr>
          <w:rFonts w:ascii="宋体" w:hAnsi="宋体" w:cs="宋体"/>
          <w:color w:val="auto"/>
          <w:sz w:val="24"/>
          <w:highlight w:val="none"/>
        </w:rPr>
      </w:pPr>
    </w:p>
    <w:p w14:paraId="37F8F289">
      <w:pPr>
        <w:spacing w:line="360" w:lineRule="auto"/>
        <w:ind w:firstLine="549" w:firstLineChars="229"/>
        <w:rPr>
          <w:rFonts w:ascii="宋体" w:hAnsi="宋体" w:cs="宋体"/>
          <w:color w:val="auto"/>
          <w:sz w:val="24"/>
          <w:highlight w:val="none"/>
        </w:rPr>
      </w:pPr>
    </w:p>
    <w:p w14:paraId="647D3CD9">
      <w:pPr>
        <w:spacing w:line="360" w:lineRule="auto"/>
        <w:ind w:firstLine="549" w:firstLineChars="229"/>
        <w:rPr>
          <w:rFonts w:ascii="宋体" w:hAnsi="宋体" w:cs="宋体"/>
          <w:color w:val="auto"/>
          <w:sz w:val="24"/>
          <w:highlight w:val="none"/>
        </w:rPr>
      </w:pPr>
    </w:p>
    <w:p w14:paraId="33942AD2">
      <w:pPr>
        <w:spacing w:line="360" w:lineRule="auto"/>
        <w:ind w:firstLine="549" w:firstLineChars="229"/>
        <w:rPr>
          <w:rFonts w:ascii="宋体" w:hAnsi="宋体" w:cs="宋体"/>
          <w:color w:val="auto"/>
          <w:sz w:val="24"/>
          <w:highlight w:val="none"/>
        </w:rPr>
      </w:pPr>
    </w:p>
    <w:p w14:paraId="563B99E6">
      <w:pPr>
        <w:spacing w:line="360" w:lineRule="auto"/>
        <w:ind w:firstLine="549" w:firstLineChars="229"/>
        <w:rPr>
          <w:rFonts w:ascii="宋体" w:hAnsi="宋体" w:cs="宋体"/>
          <w:color w:val="auto"/>
          <w:sz w:val="24"/>
          <w:highlight w:val="none"/>
        </w:rPr>
      </w:pPr>
    </w:p>
    <w:p w14:paraId="478BDDB4">
      <w:pPr>
        <w:spacing w:line="360" w:lineRule="auto"/>
        <w:ind w:firstLine="549" w:firstLineChars="229"/>
        <w:rPr>
          <w:rFonts w:ascii="宋体" w:hAnsi="宋体" w:cs="宋体"/>
          <w:color w:val="auto"/>
          <w:sz w:val="24"/>
          <w:highlight w:val="none"/>
        </w:rPr>
      </w:pPr>
    </w:p>
    <w:p w14:paraId="5BC5115D">
      <w:pPr>
        <w:spacing w:line="360" w:lineRule="auto"/>
        <w:ind w:firstLine="549" w:firstLineChars="229"/>
        <w:rPr>
          <w:rFonts w:ascii="宋体" w:hAnsi="宋体" w:cs="宋体"/>
          <w:color w:val="auto"/>
          <w:sz w:val="24"/>
          <w:highlight w:val="none"/>
        </w:rPr>
      </w:pPr>
    </w:p>
    <w:p w14:paraId="323807DC">
      <w:pPr>
        <w:spacing w:line="360" w:lineRule="auto"/>
        <w:ind w:firstLine="549" w:firstLineChars="229"/>
        <w:rPr>
          <w:rFonts w:ascii="宋体" w:hAnsi="宋体" w:cs="宋体"/>
          <w:color w:val="auto"/>
          <w:sz w:val="24"/>
          <w:highlight w:val="none"/>
        </w:rPr>
      </w:pPr>
    </w:p>
    <w:p w14:paraId="2A924C0E">
      <w:pPr>
        <w:spacing w:line="360" w:lineRule="auto"/>
        <w:ind w:firstLine="549" w:firstLineChars="229"/>
        <w:rPr>
          <w:rFonts w:ascii="宋体" w:hAnsi="宋体" w:cs="宋体"/>
          <w:color w:val="auto"/>
          <w:sz w:val="24"/>
          <w:highlight w:val="none"/>
        </w:rPr>
      </w:pPr>
    </w:p>
    <w:p w14:paraId="497C735A">
      <w:pPr>
        <w:spacing w:line="360" w:lineRule="auto"/>
        <w:rPr>
          <w:rFonts w:ascii="宋体" w:hAnsi="宋体" w:cs="宋体"/>
          <w:color w:val="auto"/>
          <w:sz w:val="24"/>
          <w:highlight w:val="none"/>
        </w:rPr>
      </w:pPr>
    </w:p>
    <w:p w14:paraId="46621B5D">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728647"/>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3CC0863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40E8E39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杭州交通信息指挥中心及视频平台维护项目</w:t>
      </w:r>
      <w:r>
        <w:rPr>
          <w:rFonts w:hint="eastAsia" w:ascii="宋体" w:hAnsi="宋体" w:cs="宋体"/>
          <w:color w:val="auto"/>
          <w:sz w:val="24"/>
          <w:highlight w:val="none"/>
        </w:rPr>
        <w:t>招标项目的潜在投标人应在政采云平台（https://www.zcygov.cn/）获取（下载）招标文件，并于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4170C165">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1DB824D9">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330100264120030000041-ZJZC-ZFGK-202615</w:t>
      </w:r>
    </w:p>
    <w:p w14:paraId="3C6A548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杭州交通信息指挥中心及视频平台维护项目</w:t>
      </w:r>
    </w:p>
    <w:p w14:paraId="563A7625">
      <w:pPr>
        <w:spacing w:line="360" w:lineRule="auto"/>
        <w:rPr>
          <w:rFonts w:hint="eastAsia" w:ascii="宋体" w:hAnsi="宋体" w:eastAsia="仿宋"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2000000</w:t>
      </w:r>
      <w:r>
        <w:rPr>
          <w:rFonts w:hint="eastAsia" w:ascii="仿宋" w:hAnsi="仿宋" w:eastAsia="仿宋" w:cs="仿宋"/>
          <w:color w:val="auto"/>
          <w:sz w:val="24"/>
          <w:szCs w:val="24"/>
          <w:highlight w:val="none"/>
          <w:lang w:eastAsia="zh-CN"/>
        </w:rPr>
        <w:t>；</w:t>
      </w:r>
    </w:p>
    <w:p w14:paraId="6CAEFA94">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2000000</w:t>
      </w:r>
      <w:r>
        <w:rPr>
          <w:rFonts w:hint="eastAsia" w:ascii="宋体" w:hAnsi="宋体" w:cs="宋体"/>
          <w:color w:val="auto"/>
          <w:sz w:val="24"/>
          <w:highlight w:val="none"/>
          <w:lang w:eastAsia="zh-CN"/>
        </w:rPr>
        <w:t>；</w:t>
      </w:r>
    </w:p>
    <w:p w14:paraId="13C5E773">
      <w:pPr>
        <w:pStyle w:val="5"/>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hAnsi="宋体" w:cs="宋体"/>
          <w:b/>
          <w:color w:val="auto"/>
          <w:sz w:val="24"/>
          <w:highlight w:val="none"/>
        </w:rPr>
        <w:t>采购需求：</w:t>
      </w:r>
      <w:r>
        <w:rPr>
          <w:rFonts w:hint="eastAsia" w:hAnsi="宋体" w:cs="宋体"/>
          <w:color w:val="auto"/>
          <w:sz w:val="24"/>
          <w:highlight w:val="none"/>
          <w:lang w:eastAsia="zh-CN"/>
        </w:rPr>
        <w:t>杭州交通信息指挥中心运行维护、视频平台维护包括(1)交通指挥中心运行维保服务、(2)杭州交通系统视频综合平台运行维保服务、(3)交通营运车（船）载视频平台维保服务、(4)杭州市交通建设工程视频平台维保服务、（5）交通、港航大楼楼内监控维保服务。</w:t>
      </w:r>
      <w:r>
        <w:rPr>
          <w:rFonts w:hint="eastAsia" w:asciiTheme="minorEastAsia" w:hAnsiTheme="minorEastAsia" w:eastAsiaTheme="minorEastAsia"/>
          <w:snapToGrid/>
          <w:color w:val="auto"/>
          <w:kern w:val="2"/>
          <w:sz w:val="24"/>
          <w:szCs w:val="24"/>
          <w:highlight w:val="none"/>
        </w:rPr>
        <w:t>具体以招标文件第三部分采购需求为准</w:t>
      </w:r>
      <w:r>
        <w:rPr>
          <w:rFonts w:hint="eastAsia" w:asciiTheme="minorEastAsia" w:hAnsiTheme="minorEastAsia" w:eastAsiaTheme="minorEastAsia"/>
          <w:snapToGrid/>
          <w:color w:val="auto"/>
          <w:kern w:val="2"/>
          <w:sz w:val="24"/>
          <w:szCs w:val="24"/>
          <w:highlight w:val="none"/>
          <w:lang w:eastAsia="zh-CN"/>
        </w:rPr>
        <w:t>，</w:t>
      </w:r>
      <w:r>
        <w:rPr>
          <w:rFonts w:hint="eastAsia" w:asciiTheme="minorEastAsia" w:hAnsiTheme="minorEastAsia" w:eastAsiaTheme="minorEastAsia"/>
          <w:snapToGrid/>
          <w:color w:val="auto"/>
          <w:kern w:val="2"/>
          <w:sz w:val="24"/>
          <w:szCs w:val="24"/>
          <w:highlight w:val="none"/>
          <w:lang w:val="en-US" w:eastAsia="zh-CN"/>
        </w:rPr>
        <w:t>供应商可点击本</w:t>
      </w:r>
      <w:r>
        <w:rPr>
          <w:rFonts w:hint="eastAsia" w:asciiTheme="minorEastAsia" w:hAnsiTheme="minorEastAsia" w:eastAsiaTheme="minorEastAsia"/>
          <w:snapToGrid/>
          <w:color w:val="auto"/>
          <w:kern w:val="2"/>
          <w:sz w:val="24"/>
          <w:szCs w:val="24"/>
          <w:highlight w:val="none"/>
        </w:rPr>
        <w:t>公告下方“浏览采购文件”查看采购需求。</w:t>
      </w:r>
    </w:p>
    <w:p w14:paraId="56F88573">
      <w:pPr>
        <w:pStyle w:val="23"/>
        <w:ind w:firstLine="482"/>
        <w:outlineLvl w:val="2"/>
        <w:rPr>
          <w:rFonts w:hint="eastAsia" w:ascii="宋体" w:hAnsi="宋体" w:cs="宋体"/>
          <w:b/>
          <w:color w:val="auto"/>
          <w:highlight w:val="none"/>
        </w:rPr>
      </w:pPr>
      <w:r>
        <w:rPr>
          <w:rFonts w:hint="eastAsia" w:ascii="宋体" w:hAnsi="宋体" w:cs="宋体"/>
          <w:b/>
          <w:color w:val="auto"/>
          <w:highlight w:val="none"/>
        </w:rPr>
        <w:t>合同履约期限：</w:t>
      </w:r>
      <w:r>
        <w:rPr>
          <w:rFonts w:hint="eastAsia" w:ascii="宋体" w:hAnsi="宋体" w:cs="宋体"/>
          <w:b/>
          <w:color w:val="auto"/>
          <w:highlight w:val="none"/>
        </w:rPr>
        <w:t>服务期限</w:t>
      </w:r>
      <w:r>
        <w:rPr>
          <w:rFonts w:hint="eastAsia" w:ascii="宋体" w:hAnsi="宋体" w:cs="宋体"/>
          <w:b/>
          <w:color w:val="auto"/>
          <w:highlight w:val="none"/>
          <w:lang w:val="en-US" w:eastAsia="zh-CN"/>
        </w:rPr>
        <w:t>为1</w:t>
      </w:r>
      <w:r>
        <w:rPr>
          <w:rFonts w:hint="eastAsia" w:ascii="宋体" w:hAnsi="宋体" w:cs="宋体"/>
          <w:b/>
          <w:color w:val="auto"/>
          <w:highlight w:val="none"/>
        </w:rPr>
        <w:t>年，</w:t>
      </w:r>
      <w:r>
        <w:rPr>
          <w:rFonts w:hint="eastAsia" w:ascii="宋体" w:hAnsi="宋体" w:cs="宋体"/>
          <w:b/>
          <w:color w:val="auto"/>
          <w:highlight w:val="none"/>
          <w:lang w:val="en-US" w:eastAsia="zh-CN"/>
        </w:rPr>
        <w:t>自2026年6月1日—2027年5月31日</w:t>
      </w: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具体</w:t>
      </w:r>
      <w:r>
        <w:rPr>
          <w:rFonts w:hint="eastAsia" w:ascii="宋体" w:hAnsi="宋体" w:cs="宋体"/>
          <w:b/>
          <w:color w:val="auto"/>
          <w:highlight w:val="none"/>
        </w:rPr>
        <w:t>以合同</w:t>
      </w:r>
      <w:r>
        <w:rPr>
          <w:rFonts w:hint="eastAsia" w:ascii="宋体" w:hAnsi="宋体" w:cs="宋体"/>
          <w:b/>
          <w:color w:val="auto"/>
          <w:highlight w:val="none"/>
          <w:lang w:val="en-US" w:eastAsia="zh-CN"/>
        </w:rPr>
        <w:t>签订</w:t>
      </w:r>
      <w:r>
        <w:rPr>
          <w:rFonts w:hint="eastAsia" w:ascii="宋体" w:hAnsi="宋体" w:cs="宋体"/>
          <w:b/>
          <w:color w:val="auto"/>
          <w:highlight w:val="none"/>
        </w:rPr>
        <w:t>为准。</w:t>
      </w:r>
    </w:p>
    <w:p w14:paraId="64715DD9">
      <w:pPr>
        <w:pStyle w:val="23"/>
        <w:ind w:firstLine="482"/>
        <w:outlineLvl w:val="2"/>
        <w:rPr>
          <w:rFonts w:hAnsi="宋体" w:cs="宋体"/>
          <w:b/>
          <w:color w:val="auto"/>
          <w:highlight w:val="none"/>
        </w:rPr>
      </w:pPr>
      <w:r>
        <w:rPr>
          <w:rFonts w:hint="eastAsia" w:hAnsi="宋体" w:cs="宋体"/>
          <w:b/>
          <w:color w:val="auto"/>
          <w:highlight w:val="none"/>
        </w:rPr>
        <w:t>本项目接受联合体投标：</w:t>
      </w:r>
      <w:sdt>
        <w:sdtPr>
          <w:rPr>
            <w:rFonts w:hAnsi="宋体" w:cs="宋体"/>
            <w:color w:val="auto"/>
            <w:kern w:val="0"/>
            <w:highlight w:val="none"/>
          </w:rPr>
          <w:id w:val="-1"/>
          <w14:checkbox>
            <w14:checked w14:val="1"/>
            <w14:checkedState w14:val="00FE" w14:font="Wingdings"/>
            <w14:uncheckedState w14:val="2610" w14:font="MS Gothic"/>
          </w14:checkbox>
        </w:sdtPr>
        <w:sdtEndPr>
          <w:rPr>
            <w:rFonts w:hAnsi="宋体" w:cs="宋体"/>
            <w:color w:val="auto"/>
            <w:kern w:val="0"/>
            <w:highlight w:val="none"/>
          </w:rPr>
        </w:sdtEndPr>
        <w:sdtContent>
          <w:r>
            <w:rPr>
              <w:rFonts w:ascii="Wingdings" w:hAnsi="Wingdings" w:eastAsia="宋体" w:cs="宋体"/>
              <w:color w:val="auto"/>
              <w:kern w:val="0"/>
              <w:sz w:val="24"/>
              <w:szCs w:val="20"/>
              <w:highlight w:val="none"/>
              <w:lang w:val="en-US" w:eastAsia="zh-CN" w:bidi="ar-SA"/>
            </w:rPr>
            <w:t>þ</w:t>
          </w:r>
        </w:sdtContent>
      </w:sdt>
      <w:r>
        <w:rPr>
          <w:rFonts w:hint="eastAsia" w:hAnsi="宋体" w:cs="宋体"/>
          <w:b/>
          <w:color w:val="auto"/>
          <w:highlight w:val="none"/>
        </w:rPr>
        <w:t>是；</w:t>
      </w:r>
      <w:sdt>
        <w:sdtPr>
          <w:rPr>
            <w:rFonts w:hAnsi="宋体" w:cs="宋体"/>
            <w:color w:val="auto"/>
            <w:kern w:val="0"/>
            <w:highlight w:val="none"/>
          </w:rPr>
          <w:id w:val="147462611"/>
          <w14:checkbox>
            <w14:checked w14:val="0"/>
            <w14:checkedState w14:val="00FE" w14:font="Wingdings"/>
            <w14:uncheckedState w14:val="2610" w14:font="MS Gothic"/>
          </w14:checkbox>
        </w:sdtPr>
        <w:sdtEndPr>
          <w:rPr>
            <w:rFonts w:hAnsi="宋体" w:cs="宋体"/>
            <w:color w:val="auto"/>
            <w:kern w:val="0"/>
            <w:highlight w:val="none"/>
          </w:rPr>
        </w:sdtEndPr>
        <w:sdtContent>
          <w:r>
            <w:rPr>
              <w:rFonts w:ascii="MS Gothic" w:hAnsi="MS Gothic" w:eastAsia="宋体" w:cs="Segoe UI Symbol"/>
              <w:color w:val="auto"/>
              <w:kern w:val="0"/>
              <w:sz w:val="24"/>
              <w:szCs w:val="20"/>
              <w:highlight w:val="none"/>
              <w:lang w:val="en-US" w:eastAsia="zh-CN" w:bidi="ar-SA"/>
            </w:rPr>
            <w:t>☐</w:t>
          </w:r>
        </w:sdtContent>
      </w:sdt>
      <w:r>
        <w:rPr>
          <w:rFonts w:hint="eastAsia" w:hAnsi="宋体" w:cs="宋体"/>
          <w:b/>
          <w:color w:val="auto"/>
          <w:highlight w:val="none"/>
        </w:rPr>
        <w:t>否</w:t>
      </w:r>
      <w:r>
        <w:rPr>
          <w:rFonts w:hint="eastAsia" w:hAnsi="宋体" w:cs="宋体"/>
          <w:color w:val="auto"/>
          <w:kern w:val="0"/>
          <w:highlight w:val="none"/>
        </w:rPr>
        <w:t>。</w:t>
      </w:r>
    </w:p>
    <w:p w14:paraId="6C2A3CF3">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2B711E6E">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2DA92805">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4D711B49">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0730A6B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7077D912">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7626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0CF82A6">
      <w:pPr>
        <w:spacing w:line="360" w:lineRule="auto"/>
        <w:ind w:firstLine="897" w:firstLineChars="374"/>
        <w:rPr>
          <w:rFonts w:ascii="宋体" w:hAnsi="宋体" w:cs="宋体"/>
          <w:b w:val="0"/>
          <w:bCs w:val="0"/>
          <w:color w:val="auto"/>
          <w:sz w:val="24"/>
          <w:highlight w:val="none"/>
          <w:u w:val="single"/>
        </w:rPr>
      </w:pPr>
      <w:sdt>
        <w:sdtPr>
          <w:rPr>
            <w:rFonts w:hint="eastAsia" w:ascii="宋体" w:hAnsi="宋体" w:cs="宋体"/>
            <w:color w:val="auto"/>
            <w:kern w:val="0"/>
            <w:sz w:val="24"/>
            <w:highlight w:val="none"/>
          </w:rPr>
          <w:id w:val="147462150"/>
          <w14:checkbox>
            <w14:checked w14:val="1"/>
            <w14:checkedState w14:val="00FE" w14:font="Wingdings"/>
            <w14:uncheckedState w14:val="2610" w14:font="MS Gothic"/>
          </w14:checkbox>
        </w:sdtPr>
        <w:sdtEndPr>
          <w:rPr>
            <w:rFonts w:hint="eastAsia" w:ascii="宋体" w:hAnsi="宋体" w:cs="宋体"/>
            <w:b w:val="0"/>
            <w:bCs w:val="0"/>
            <w:color w:val="auto"/>
            <w:kern w:val="0"/>
            <w:sz w:val="24"/>
            <w:highlight w:val="none"/>
            <w:u w:val="single"/>
          </w:rPr>
        </w:sdtEndPr>
        <w:sdtContent>
          <w:r>
            <w:rPr>
              <w:rFonts w:ascii="Wingdings" w:hAnsi="Wingdings" w:eastAsia="MS Gothic" w:cs="宋体"/>
              <w:color w:val="auto"/>
              <w:kern w:val="0"/>
              <w:sz w:val="24"/>
              <w:highlight w:val="none"/>
            </w:rPr>
            <w:t></w:t>
          </w:r>
        </w:sdtContent>
      </w:sdt>
      <w:r>
        <w:rPr>
          <w:rFonts w:hint="eastAsia" w:ascii="宋体" w:hAnsi="宋体" w:cs="宋体"/>
          <w:b w:val="0"/>
          <w:bCs w:val="0"/>
          <w:color w:val="auto"/>
          <w:kern w:val="0"/>
          <w:sz w:val="24"/>
          <w:highlight w:val="none"/>
          <w:u w:val="single"/>
        </w:rPr>
        <w:t>服务全部由符合政策要求的中小企业承接，提供中小企业声明函</w:t>
      </w:r>
      <w:r>
        <w:rPr>
          <w:rFonts w:hint="eastAsia" w:ascii="宋体" w:hAnsi="宋体" w:cs="宋体"/>
          <w:b w:val="0"/>
          <w:bCs w:val="0"/>
          <w:color w:val="auto"/>
          <w:sz w:val="24"/>
          <w:highlight w:val="none"/>
          <w:u w:val="single"/>
        </w:rPr>
        <w:t>；</w:t>
      </w:r>
    </w:p>
    <w:p w14:paraId="73D3DE90">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4745147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服务全部由符合政策要求的小微企业承接，按要求提供中小企业声明函；</w:t>
      </w:r>
    </w:p>
    <w:p w14:paraId="220E265C">
      <w:pPr>
        <w:rPr>
          <w:rFonts w:ascii="宋体" w:hAnsi="宋体" w:cs="宋体"/>
          <w:color w:val="auto"/>
          <w:highlight w:val="none"/>
        </w:rPr>
      </w:pPr>
    </w:p>
    <w:p w14:paraId="13E26E91">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780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应以联合体形式参加，并按要求提供联合协议和中小企业声明函，联合协议中，中小企业合同金额应当达到</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w:t>
      </w:r>
      <w:r>
        <w:rPr>
          <w:rFonts w:hint="eastAsia" w:ascii="宋体" w:hAnsi="宋体" w:cs="宋体"/>
          <w:color w:val="auto"/>
          <w:spacing w:val="8"/>
          <w:kern w:val="0"/>
          <w:sz w:val="24"/>
          <w:highlight w:val="none"/>
          <w:lang w:val="en-US" w:eastAsia="zh-CN"/>
        </w:rPr>
        <w:t>供应商</w:t>
      </w:r>
      <w:r>
        <w:rPr>
          <w:rFonts w:hint="eastAsia" w:ascii="宋体" w:hAnsi="宋体" w:cs="宋体"/>
          <w:color w:val="auto"/>
          <w:spacing w:val="8"/>
          <w:kern w:val="0"/>
          <w:sz w:val="24"/>
          <w:highlight w:val="none"/>
        </w:rPr>
        <w:t>提供的所有标的均由中小企业制造、承建或承接，并相应达到了前述比例要求，无需再与其他中小企业组成联合体参加政府采购活动，</w:t>
      </w:r>
      <w:r>
        <w:rPr>
          <w:rFonts w:hint="eastAsia" w:ascii="宋体" w:hAnsi="宋体" w:cs="宋体"/>
          <w:color w:val="auto"/>
          <w:sz w:val="24"/>
          <w:highlight w:val="none"/>
        </w:rPr>
        <w:t>按要求提供中小企业声明函；</w:t>
      </w:r>
    </w:p>
    <w:p w14:paraId="70B86DAA">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应合同分包形式参加，并按要求提供分包意向协议和中小企业声明函，分包意向协议中，中小企业合同金额应当达到</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w:t>
      </w:r>
      <w:r>
        <w:rPr>
          <w:rFonts w:hint="eastAsia" w:ascii="宋体" w:hAnsi="宋体" w:cs="宋体"/>
          <w:color w:val="auto"/>
          <w:spacing w:val="8"/>
          <w:kern w:val="0"/>
          <w:sz w:val="24"/>
          <w:highlight w:val="none"/>
          <w:lang w:val="en-US" w:eastAsia="zh-CN"/>
        </w:rPr>
        <w:t>供应商</w:t>
      </w:r>
      <w:r>
        <w:rPr>
          <w:rFonts w:hint="eastAsia" w:ascii="宋体" w:hAnsi="宋体" w:cs="宋体"/>
          <w:color w:val="auto"/>
          <w:spacing w:val="8"/>
          <w:kern w:val="0"/>
          <w:sz w:val="24"/>
          <w:highlight w:val="none"/>
        </w:rPr>
        <w:t>提供的所有标的均由中小企业制造、承建或承接，并相应达到了前述比例要求，无需再向中小企业分包，</w:t>
      </w:r>
      <w:r>
        <w:rPr>
          <w:rFonts w:hint="eastAsia" w:ascii="宋体" w:hAnsi="宋体" w:cs="宋体"/>
          <w:color w:val="auto"/>
          <w:sz w:val="24"/>
          <w:highlight w:val="none"/>
        </w:rPr>
        <w:t>按要求提供中小企业声明函；</w:t>
      </w:r>
    </w:p>
    <w:p w14:paraId="6E540D6A">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299382B0">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592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sz w:val="24"/>
          <w:highlight w:val="none"/>
        </w:rPr>
        <w:t>无。</w:t>
      </w:r>
    </w:p>
    <w:p w14:paraId="1B095210">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5718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F9DE529">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，不得参加同一合同项下的政府采购活动；为采购项目提供整体设计、规范编制或者项目管理、监理、检测等服务后不得再参加该采购项目的其他采购活动。</w:t>
      </w:r>
    </w:p>
    <w:p w14:paraId="776D3C5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34AFFB3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5E46514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4AA86C1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 xml:space="preserve">登录政采云平台https://www.zcygov.cn/在线申请获取采购文件（进入“项目采购”应用，在获取采购文件菜单中选择项目，申请获取采购文件）。 </w:t>
      </w:r>
    </w:p>
    <w:p w14:paraId="3A4714F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53FBBEBD">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7BD13A4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color w:val="auto"/>
          <w:sz w:val="24"/>
          <w:highlight w:val="none"/>
        </w:rPr>
        <w:t>（北京时间）</w:t>
      </w:r>
    </w:p>
    <w:p w14:paraId="24B61CB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7978B826">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 xml:space="preserve">00秒 </w:t>
      </w:r>
      <w:r>
        <w:rPr>
          <w:rFonts w:hint="eastAsia" w:ascii="宋体" w:hAnsi="宋体" w:cs="宋体"/>
          <w:color w:val="auto"/>
          <w:sz w:val="24"/>
          <w:highlight w:val="none"/>
        </w:rPr>
        <w:t>（北京时间）</w:t>
      </w:r>
    </w:p>
    <w:p w14:paraId="273D8CE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F545B80">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624743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6305897A">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C344C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490BB3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w:t>
      </w:r>
      <w:r>
        <w:rPr>
          <w:rFonts w:hint="eastAsia" w:ascii="宋体" w:hAnsi="宋体" w:cs="宋体"/>
          <w:color w:val="auto"/>
          <w:sz w:val="24"/>
          <w:highlight w:val="none"/>
        </w:rPr>
        <w:t>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76A3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5CAFEED">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4. 其他事项：（1）需要落实的政府采购政策：</w:t>
      </w:r>
      <w:r>
        <w:rPr>
          <w:rFonts w:hint="eastAsia" w:ascii="宋体" w:hAnsi="宋体" w:cs="宋体"/>
          <w:color w:val="auto"/>
          <w:kern w:val="0"/>
          <w:sz w:val="24"/>
          <w:highlight w:val="none"/>
        </w:rPr>
        <w:t>包括节约资源、保护环境、</w:t>
      </w:r>
      <w:r>
        <w:rPr>
          <w:rFonts w:hint="eastAsia" w:ascii="宋体" w:hAnsi="宋体" w:cs="宋体"/>
          <w:color w:val="auto"/>
          <w:sz w:val="24"/>
          <w:highlight w:val="none"/>
        </w:rPr>
        <w:t>支持创新、</w:t>
      </w:r>
      <w:r>
        <w:rPr>
          <w:rFonts w:hint="eastAsia" w:ascii="宋体" w:hAnsi="宋体" w:cs="宋体"/>
          <w:color w:val="auto"/>
          <w:kern w:val="0"/>
          <w:sz w:val="24"/>
          <w:highlight w:val="none"/>
        </w:rPr>
        <w:t>促进中小企业发展等，详见</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w:t>
      </w:r>
      <w:r>
        <w:rPr>
          <w:rFonts w:hint="eastAsia" w:ascii="宋体" w:hAnsi="宋体" w:cs="宋体"/>
          <w:b/>
          <w:color w:val="auto"/>
          <w:kern w:val="0"/>
          <w:sz w:val="24"/>
          <w:szCs w:val="20"/>
          <w:highlight w:val="none"/>
        </w:rPr>
        <w:t>（2）</w:t>
      </w:r>
      <w:r>
        <w:rPr>
          <w:rFonts w:hint="eastAsia" w:ascii="宋体" w:hAnsi="宋体" w:cs="宋体"/>
          <w:b/>
          <w:color w:val="auto"/>
          <w:sz w:val="24"/>
          <w:highlight w:val="none"/>
        </w:rPr>
        <w:t>电子交易的说明: 1）电子交易：</w:t>
      </w:r>
      <w:r>
        <w:rPr>
          <w:rFonts w:hint="eastAsia" w:ascii="宋体" w:hAnsi="宋体" w:cs="宋体"/>
          <w:color w:val="auto"/>
          <w:sz w:val="24"/>
          <w:highlight w:val="none"/>
        </w:rPr>
        <w:t>本项目以数据电文形式，依托“政府采购云平台（www.zcygov.cn）”进行采购活动，不接受纸质响应文件。</w:t>
      </w:r>
      <w:r>
        <w:rPr>
          <w:rFonts w:hint="eastAsia" w:ascii="宋体" w:hAnsi="宋体" w:cs="宋体"/>
          <w:b/>
          <w:color w:val="auto"/>
          <w:sz w:val="24"/>
          <w:highlight w:val="none"/>
        </w:rPr>
        <w:t>2）响应准备：</w:t>
      </w:r>
      <w:r>
        <w:rPr>
          <w:rFonts w:hint="eastAsia" w:ascii="宋体" w:hAnsi="宋体" w:cs="宋体"/>
          <w:color w:val="auto"/>
          <w:sz w:val="24"/>
          <w:highlight w:val="none"/>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宋体" w:hAnsi="宋体" w:cs="宋体"/>
          <w:b/>
          <w:color w:val="auto"/>
          <w:sz w:val="24"/>
          <w:highlight w:val="none"/>
        </w:rPr>
        <w:t>3）</w:t>
      </w:r>
      <w:r>
        <w:rPr>
          <w:rFonts w:hint="eastAsia" w:ascii="宋体" w:hAnsi="宋体" w:cs="宋体"/>
          <w:b/>
          <w:color w:val="auto"/>
          <w:sz w:val="24"/>
          <w:highlight w:val="none"/>
          <w:lang w:eastAsia="zh-CN"/>
        </w:rPr>
        <w:t>招标文件</w:t>
      </w:r>
      <w:r>
        <w:rPr>
          <w:rFonts w:hint="eastAsia" w:ascii="宋体" w:hAnsi="宋体" w:cs="宋体"/>
          <w:b/>
          <w:color w:val="auto"/>
          <w:sz w:val="24"/>
          <w:highlight w:val="none"/>
        </w:rPr>
        <w:t>的获取：</w:t>
      </w:r>
      <w:r>
        <w:rPr>
          <w:rFonts w:hint="eastAsia" w:ascii="宋体" w:hAnsi="宋体" w:cs="宋体"/>
          <w:color w:val="auto"/>
          <w:sz w:val="24"/>
          <w:highlight w:val="none"/>
        </w:rPr>
        <w:t>使用账号登录或者使用CA登录政采云平台；进入“项目采购”应用，在获取采购文件菜单中选择项目，获取</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w:t>
      </w:r>
      <w:r>
        <w:rPr>
          <w:rFonts w:hint="eastAsia" w:ascii="宋体" w:hAnsi="宋体" w:cs="宋体"/>
          <w:b/>
          <w:color w:val="auto"/>
          <w:sz w:val="24"/>
          <w:highlight w:val="none"/>
        </w:rPr>
        <w:t>4）响应文件的制作：</w:t>
      </w:r>
      <w:r>
        <w:rPr>
          <w:rFonts w:hint="eastAsia" w:ascii="宋体" w:hAnsi="宋体" w:cs="宋体"/>
          <w:color w:val="auto"/>
          <w:sz w:val="24"/>
          <w:highlight w:val="none"/>
        </w:rPr>
        <w:t>在“政采云电子交易客户端”中完成“填写基本信息”、“导入投标文件”、“标书关联”、“标书检查”、“电子签名”、“生成电子标书”等操作。</w:t>
      </w:r>
      <w:r>
        <w:rPr>
          <w:rFonts w:hint="eastAsia" w:ascii="宋体" w:hAnsi="宋体" w:cs="宋体"/>
          <w:b/>
          <w:color w:val="auto"/>
          <w:sz w:val="24"/>
          <w:highlight w:val="none"/>
        </w:rPr>
        <w:t>5）</w:t>
      </w:r>
      <w:r>
        <w:rPr>
          <w:rFonts w:hint="eastAsia" w:ascii="宋体" w:hAnsi="宋体" w:cs="宋体"/>
          <w:color w:val="auto"/>
          <w:sz w:val="24"/>
          <w:highlight w:val="none"/>
        </w:rPr>
        <w:t>采购人、采购机构将依托政采云平台完成本项目的电子交易活动，平台不接受未按本公告约定方式获取</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的供应商进行响应活动；</w:t>
      </w:r>
      <w:r>
        <w:rPr>
          <w:rFonts w:hint="eastAsia" w:ascii="宋体" w:hAnsi="宋体" w:cs="宋体"/>
          <w:b/>
          <w:color w:val="auto"/>
          <w:sz w:val="24"/>
          <w:highlight w:val="none"/>
        </w:rPr>
        <w:t>6）</w:t>
      </w:r>
      <w:r>
        <w:rPr>
          <w:rFonts w:hint="eastAsia" w:ascii="宋体" w:hAnsi="宋体" w:cs="宋体"/>
          <w:color w:val="auto"/>
          <w:sz w:val="24"/>
          <w:highlight w:val="none"/>
        </w:rPr>
        <w:t>对未按上述方式获取</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的供应商对该文件提出的质疑，采购人或采购代理机构将不予处理</w:t>
      </w:r>
      <w:r>
        <w:rPr>
          <w:rFonts w:hint="eastAsia" w:ascii="宋体" w:hAnsi="宋体" w:cs="宋体"/>
          <w:b/>
          <w:color w:val="auto"/>
          <w:sz w:val="24"/>
          <w:highlight w:val="none"/>
        </w:rPr>
        <w:t>；7）</w:t>
      </w:r>
      <w:r>
        <w:rPr>
          <w:rFonts w:hint="eastAsia" w:ascii="宋体" w:hAnsi="宋体" w:cs="宋体"/>
          <w:color w:val="auto"/>
          <w:sz w:val="24"/>
          <w:highlight w:val="none"/>
        </w:rPr>
        <w:t>不提供</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纸质版；</w:t>
      </w:r>
      <w:r>
        <w:rPr>
          <w:rFonts w:hint="eastAsia" w:ascii="宋体" w:hAnsi="宋体" w:cs="宋体"/>
          <w:b/>
          <w:color w:val="auto"/>
          <w:sz w:val="24"/>
          <w:highlight w:val="none"/>
        </w:rPr>
        <w:t>8）响应文件的传输提交：</w:t>
      </w:r>
      <w:r>
        <w:rPr>
          <w:rFonts w:hint="eastAsia" w:ascii="宋体" w:hAnsi="宋体" w:cs="宋体"/>
          <w:color w:val="auto"/>
          <w:sz w:val="24"/>
          <w:highlight w:val="none"/>
        </w:rPr>
        <w:t>供应商在提交响应文件的截止时间前将加密的响应文件上传至政府采购云平台，还可以在提交响应文件的截止时间前直接提交或者以邮政快递方式提交备份响应文件1份。备份响应文件的制作、存储、密封详见谈判文 “备份响应文件”；</w:t>
      </w:r>
      <w:r>
        <w:rPr>
          <w:rFonts w:hint="eastAsia" w:ascii="宋体" w:hAnsi="宋体" w:cs="宋体"/>
          <w:b/>
          <w:color w:val="auto"/>
          <w:sz w:val="24"/>
          <w:highlight w:val="none"/>
        </w:rPr>
        <w:t>9）响应文件的解密：</w:t>
      </w:r>
      <w:r>
        <w:rPr>
          <w:rFonts w:hint="eastAsia" w:ascii="宋体" w:hAnsi="宋体" w:cs="宋体"/>
          <w:color w:val="auto"/>
          <w:sz w:val="24"/>
          <w:highlight w:val="none"/>
        </w:rPr>
        <w:t>供应商按照平台提示和</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宋体" w:hAnsi="宋体" w:cs="宋体"/>
          <w:b/>
          <w:color w:val="auto"/>
          <w:sz w:val="24"/>
          <w:highlight w:val="none"/>
        </w:rPr>
        <w:t>）具体操作指南</w:t>
      </w:r>
      <w:r>
        <w:rPr>
          <w:rFonts w:hint="eastAsia" w:ascii="宋体" w:hAnsi="宋体" w:cs="宋体"/>
          <w:color w:val="auto"/>
          <w:sz w:val="24"/>
          <w:highlight w:val="none"/>
        </w:rPr>
        <w:t>：详见政采云平台“服务中心-帮助文档-项目采购-操作流程-电子招投标-政府采购项目电子交易管理操作指南-供应商”。（3</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公告期限与谈判公告的公告期限一致。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中的项目编号与浙江政府采购网招标公告中的项目编号均指向同一次采购活动，具有同等效力（如：某</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中项目编号为“</w:t>
      </w:r>
      <w:r>
        <w:rPr>
          <w:rFonts w:hint="eastAsia" w:ascii="宋体" w:hAnsi="宋体" w:cs="宋体"/>
          <w:color w:val="auto"/>
          <w:sz w:val="24"/>
          <w:highlight w:val="none"/>
          <w:lang w:eastAsia="zh-CN"/>
        </w:rPr>
        <w:t>ZJZC-ZFGK-202615</w:t>
      </w:r>
      <w:r>
        <w:rPr>
          <w:rFonts w:hint="eastAsia" w:ascii="宋体" w:hAnsi="宋体" w:cs="宋体"/>
          <w:color w:val="auto"/>
          <w:sz w:val="24"/>
          <w:highlight w:val="none"/>
        </w:rPr>
        <w:t>”，浙江政府采购网招标公告中的项目编号为“</w:t>
      </w:r>
      <w:r>
        <w:rPr>
          <w:rFonts w:hint="eastAsia" w:ascii="宋体" w:hAnsi="宋体" w:cs="宋体"/>
          <w:color w:val="auto"/>
          <w:sz w:val="24"/>
          <w:highlight w:val="none"/>
          <w:lang w:eastAsia="zh-CN"/>
        </w:rPr>
        <w:t>330100264120030000041-ZJZC-ZFGK-202615</w:t>
      </w:r>
      <w:r>
        <w:rPr>
          <w:rFonts w:hint="eastAsia" w:ascii="宋体" w:hAnsi="宋体" w:cs="宋体"/>
          <w:color w:val="auto"/>
          <w:sz w:val="24"/>
          <w:highlight w:val="none"/>
        </w:rPr>
        <w:t>”，两者在采购活动中具有同等效力）。</w:t>
      </w:r>
    </w:p>
    <w:p w14:paraId="1DF52175">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60115A1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14BA4DB2">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杭州市公路与港航管理服务中心（杭州市低空交通运行管理服务中心）</w:t>
      </w:r>
    </w:p>
    <w:p w14:paraId="4A436C9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color w:val="auto"/>
          <w:sz w:val="24"/>
          <w:szCs w:val="24"/>
          <w:highlight w:val="none"/>
        </w:rPr>
        <w:t>杭州市拱墅区中河北路108号交通西大楼</w:t>
      </w:r>
    </w:p>
    <w:p w14:paraId="17AAEA2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42426CE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Arial"/>
          <w:color w:val="auto"/>
          <w:sz w:val="24"/>
          <w:szCs w:val="24"/>
          <w:highlight w:val="none"/>
          <w:u w:val="none"/>
          <w:lang w:val="en-US" w:eastAsia="zh-CN"/>
        </w:rPr>
        <w:t>王</w:t>
      </w:r>
      <w:r>
        <w:rPr>
          <w:rFonts w:hint="eastAsia" w:ascii="宋体" w:hAnsi="宋体" w:cs="Arial"/>
          <w:color w:val="auto"/>
          <w:sz w:val="24"/>
          <w:szCs w:val="24"/>
          <w:highlight w:val="none"/>
          <w:u w:val="none"/>
        </w:rPr>
        <w:t>先生</w:t>
      </w:r>
      <w:r>
        <w:rPr>
          <w:rFonts w:hint="eastAsia" w:ascii="宋体" w:hAnsi="宋体" w:cs="宋体"/>
          <w:color w:val="auto"/>
          <w:sz w:val="24"/>
          <w:highlight w:val="none"/>
        </w:rPr>
        <w:t xml:space="preserve">  </w:t>
      </w:r>
    </w:p>
    <w:p w14:paraId="09579DC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项目联系方式（询问）：0571-</w:t>
      </w:r>
      <w:r>
        <w:rPr>
          <w:rFonts w:hint="eastAsia" w:ascii="宋体" w:hAnsi="宋体" w:cs="宋体"/>
          <w:color w:val="auto"/>
          <w:sz w:val="24"/>
          <w:highlight w:val="none"/>
          <w:lang w:eastAsia="zh-CN"/>
        </w:rPr>
        <w:t>85460056</w:t>
      </w:r>
    </w:p>
    <w:p w14:paraId="014C8AF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倪</w:t>
      </w:r>
      <w:r>
        <w:rPr>
          <w:rFonts w:hint="eastAsia" w:ascii="宋体" w:hAnsi="宋体" w:cs="宋体"/>
          <w:color w:val="auto"/>
          <w:sz w:val="24"/>
          <w:highlight w:val="none"/>
        </w:rPr>
        <w:t xml:space="preserve">先生 </w:t>
      </w:r>
    </w:p>
    <w:p w14:paraId="557FDF0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质疑联系方式：0571-</w:t>
      </w:r>
      <w:r>
        <w:rPr>
          <w:rFonts w:hint="eastAsia" w:ascii="宋体" w:hAnsi="宋体" w:cs="宋体"/>
          <w:color w:val="auto"/>
          <w:sz w:val="24"/>
          <w:highlight w:val="none"/>
          <w:lang w:val="en-US" w:eastAsia="zh-CN"/>
        </w:rPr>
        <w:t xml:space="preserve"> </w:t>
      </w:r>
      <w:r>
        <w:rPr>
          <w:rFonts w:hint="default" w:ascii="宋体" w:hAnsi="宋体" w:cs="宋体"/>
          <w:color w:val="auto"/>
          <w:sz w:val="24"/>
          <w:highlight w:val="none"/>
          <w:lang w:eastAsia="zh-CN"/>
          <w:woUserID w:val="2"/>
        </w:rPr>
        <w:t>85460080</w:t>
      </w:r>
      <w:r>
        <w:rPr>
          <w:rFonts w:hint="eastAsia" w:ascii="宋体" w:hAnsi="宋体" w:cs="宋体"/>
          <w:color w:val="auto"/>
          <w:sz w:val="24"/>
          <w:highlight w:val="none"/>
        </w:rPr>
        <w:t xml:space="preserve"> （请通过以下路径在线提起质疑：政采云-项目采购-询问质疑投诉-质疑列表）</w:t>
      </w:r>
    </w:p>
    <w:p w14:paraId="259B24E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BE439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称：浙江中诚工程管理科技有限公司</w:t>
      </w:r>
    </w:p>
    <w:p w14:paraId="0D7997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址：杭州市西湖区莲花街333号莲花商务中心B座6楼</w:t>
      </w:r>
    </w:p>
    <w:p w14:paraId="0CB5E6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真：0571-88259337             </w:t>
      </w:r>
    </w:p>
    <w:p w14:paraId="1F71C09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项目联系人（询问）： 项</w:t>
      </w:r>
      <w:r>
        <w:rPr>
          <w:rFonts w:hint="eastAsia" w:ascii="宋体" w:hAnsi="宋体" w:cs="宋体"/>
          <w:color w:val="auto"/>
          <w:sz w:val="24"/>
          <w:highlight w:val="none"/>
          <w:lang w:val="en-US" w:eastAsia="zh-CN"/>
        </w:rPr>
        <w:t>麟钧</w:t>
      </w:r>
    </w:p>
    <w:p w14:paraId="69F59E18">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13819150435</w:t>
      </w:r>
    </w:p>
    <w:p w14:paraId="1FB172DF">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冯先生</w:t>
      </w:r>
    </w:p>
    <w:p w14:paraId="253274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17764539486</w:t>
      </w:r>
      <w:r>
        <w:rPr>
          <w:rFonts w:hint="eastAsia" w:ascii="宋体" w:hAnsi="宋体" w:cs="宋体"/>
          <w:color w:val="auto"/>
          <w:sz w:val="24"/>
          <w:highlight w:val="none"/>
        </w:rPr>
        <w:t>（请通过以下路径在线提起质疑：政采云-项目采购-询问质疑投诉-质疑列表）</w:t>
      </w:r>
    </w:p>
    <w:p w14:paraId="1B9B99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3B4F330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14:paraId="68646BE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址：杭州市上城区清泰街549号城建综合大楼11楼（快递仅限ems或顺丰） </w:t>
      </w:r>
    </w:p>
    <w:p w14:paraId="6F8D56A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1C41888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191E75E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监督投诉电话： 0571-87227671,0571-87800218   </w:t>
      </w:r>
    </w:p>
    <w:p w14:paraId="409D41B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政策咨询：陈先生、</w:t>
      </w:r>
      <w:r>
        <w:rPr>
          <w:rFonts w:hint="eastAsia" w:ascii="宋体" w:hAnsi="宋体" w:cs="宋体"/>
          <w:color w:val="auto"/>
          <w:sz w:val="24"/>
          <w:highlight w:val="none"/>
          <w:lang w:val="en-US" w:eastAsia="zh-CN"/>
        </w:rPr>
        <w:t>陈</w:t>
      </w:r>
      <w:r>
        <w:rPr>
          <w:rFonts w:hint="eastAsia" w:ascii="宋体" w:hAnsi="宋体" w:cs="宋体"/>
          <w:color w:val="auto"/>
          <w:sz w:val="24"/>
          <w:highlight w:val="none"/>
        </w:rPr>
        <w:t>先生，0571-89580457、0571-89580460</w:t>
      </w:r>
    </w:p>
    <w:p w14:paraId="6BEE981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3B4D94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2A3F482F">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58C0F05D">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7CD20FF3">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17"/>
        <w:tblpPr w:leftFromText="180" w:rightFromText="180" w:vertAnchor="text" w:tblpX="108"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326"/>
      </w:tblGrid>
      <w:tr w14:paraId="3E6B2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1BADA4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853EEE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326" w:type="dxa"/>
            <w:tcBorders>
              <w:top w:val="single" w:color="000000" w:sz="8" w:space="0"/>
              <w:left w:val="single" w:color="000000" w:sz="2" w:space="0"/>
              <w:bottom w:val="single" w:color="000000" w:sz="8" w:space="0"/>
              <w:right w:val="single" w:color="000000" w:sz="8" w:space="0"/>
            </w:tcBorders>
            <w:vAlign w:val="center"/>
          </w:tcPr>
          <w:p w14:paraId="6701782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1D7B4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0DB704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D6E16E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326" w:type="dxa"/>
            <w:tcBorders>
              <w:top w:val="single" w:color="000000" w:sz="8" w:space="0"/>
              <w:left w:val="single" w:color="000000" w:sz="2" w:space="0"/>
              <w:bottom w:val="single" w:color="000000" w:sz="8" w:space="0"/>
              <w:right w:val="single" w:color="000000" w:sz="8" w:space="0"/>
            </w:tcBorders>
            <w:vAlign w:val="center"/>
          </w:tcPr>
          <w:p w14:paraId="3371529E">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3B27A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C9DFD3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407FD1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326" w:type="dxa"/>
            <w:tcBorders>
              <w:top w:val="single" w:color="000000" w:sz="8" w:space="0"/>
              <w:left w:val="single" w:color="000000" w:sz="2" w:space="0"/>
              <w:bottom w:val="single" w:color="000000" w:sz="8" w:space="0"/>
              <w:right w:val="single" w:color="000000" w:sz="8" w:space="0"/>
            </w:tcBorders>
            <w:vAlign w:val="center"/>
          </w:tcPr>
          <w:p w14:paraId="22762A1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标的：</w:t>
            </w:r>
            <w:r>
              <w:rPr>
                <w:rFonts w:hint="eastAsia" w:ascii="宋体" w:hAnsi="宋体" w:cs="宋体"/>
                <w:color w:val="auto"/>
                <w:sz w:val="24"/>
                <w:highlight w:val="none"/>
                <w:u w:val="single"/>
                <w:lang w:val="en-US" w:eastAsia="zh-CN"/>
              </w:rPr>
              <w:t>杭州交通信息指挥中心及视频平台维护项目</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none"/>
                <w:lang w:val="en-US" w:eastAsia="zh-CN"/>
              </w:rPr>
              <w:t>属于</w:t>
            </w:r>
            <w:r>
              <w:rPr>
                <w:rFonts w:hint="eastAsia" w:ascii="宋体" w:hAnsi="宋体" w:eastAsia="宋体" w:cs="宋体"/>
                <w:color w:val="auto"/>
                <w:sz w:val="24"/>
                <w:highlight w:val="none"/>
                <w:u w:val="single"/>
                <w:lang w:val="en-US" w:eastAsia="zh-CN"/>
              </w:rPr>
              <w:t>软件和信息技术服务业</w:t>
            </w:r>
            <w:r>
              <w:rPr>
                <w:rFonts w:hint="eastAsia" w:ascii="宋体" w:hAnsi="宋体" w:eastAsia="宋体" w:cs="宋体"/>
                <w:color w:val="auto"/>
                <w:sz w:val="24"/>
                <w:highlight w:val="none"/>
                <w:u w:val="none"/>
                <w:lang w:val="en-US" w:eastAsia="zh-CN"/>
              </w:rPr>
              <w:t>行业</w:t>
            </w:r>
            <w:r>
              <w:rPr>
                <w:rFonts w:hint="eastAsia" w:ascii="宋体" w:hAnsi="宋体" w:eastAsia="宋体" w:cs="宋体"/>
                <w:color w:val="auto"/>
                <w:sz w:val="24"/>
                <w:highlight w:val="none"/>
                <w:lang w:val="en-US" w:eastAsia="zh-CN"/>
              </w:rPr>
              <w:t>；</w:t>
            </w:r>
          </w:p>
          <w:p w14:paraId="05A58D3A">
            <w:pPr>
              <w:spacing w:line="360" w:lineRule="auto"/>
              <w:jc w:val="left"/>
              <w:rPr>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534E4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B0A479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46847F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326" w:type="dxa"/>
            <w:tcBorders>
              <w:top w:val="single" w:color="000000" w:sz="8" w:space="0"/>
              <w:left w:val="single" w:color="000000" w:sz="2" w:space="0"/>
              <w:bottom w:val="single" w:color="000000" w:sz="8" w:space="0"/>
              <w:right w:val="single" w:color="000000" w:sz="8" w:space="0"/>
            </w:tcBorders>
            <w:vAlign w:val="center"/>
          </w:tcPr>
          <w:p w14:paraId="3F9E854F">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5699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3F6CFDB8">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748108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1F87C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C7C8BC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510C18F4">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326" w:type="dxa"/>
            <w:tcBorders>
              <w:top w:val="single" w:color="000000" w:sz="8" w:space="0"/>
              <w:left w:val="single" w:color="000000" w:sz="2" w:space="0"/>
              <w:bottom w:val="single" w:color="000000" w:sz="8" w:space="0"/>
              <w:right w:val="single" w:color="000000" w:sz="8" w:space="0"/>
            </w:tcBorders>
            <w:vAlign w:val="center"/>
          </w:tcPr>
          <w:p w14:paraId="58262E9E">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56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lang w:val="en-US" w:eastAsia="zh-CN"/>
              </w:rPr>
              <w:t>设备维修、巡检等</w:t>
            </w:r>
            <w:r>
              <w:rPr>
                <w:rFonts w:hint="eastAsia" w:ascii="宋体" w:hAnsi="宋体" w:cs="宋体"/>
                <w:color w:val="auto"/>
                <w:sz w:val="24"/>
                <w:highlight w:val="none"/>
              </w:rPr>
              <w:t>工作分包。</w:t>
            </w:r>
          </w:p>
          <w:p w14:paraId="4BD7456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7628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C8E70BD">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371D0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5FE3BE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54C8BB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326" w:type="dxa"/>
            <w:tcBorders>
              <w:top w:val="single" w:color="000000" w:sz="8" w:space="0"/>
              <w:left w:val="single" w:color="000000" w:sz="2" w:space="0"/>
              <w:bottom w:val="single" w:color="000000" w:sz="8" w:space="0"/>
              <w:right w:val="single" w:color="000000" w:sz="8" w:space="0"/>
            </w:tcBorders>
            <w:vAlign w:val="center"/>
          </w:tcPr>
          <w:p w14:paraId="1498EF4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619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A20641D">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14747480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  </w:t>
            </w:r>
            <w:r>
              <w:rPr>
                <w:rFonts w:hint="eastAsia" w:ascii="宋体" w:hAnsi="宋体" w:cs="宋体"/>
                <w:color w:val="auto"/>
                <w:sz w:val="24"/>
                <w:szCs w:val="20"/>
                <w:highlight w:val="none"/>
              </w:rPr>
              <w:t>。</w:t>
            </w:r>
          </w:p>
          <w:p w14:paraId="57AD86E6">
            <w:pPr>
              <w:pStyle w:val="24"/>
              <w:ind w:firstLine="0" w:firstLineChars="0"/>
              <w:rPr>
                <w:color w:val="auto"/>
                <w:highlight w:val="none"/>
              </w:rPr>
            </w:pPr>
            <w:sdt>
              <w:sdtPr>
                <w:rPr>
                  <w:rFonts w:hint="eastAsia" w:ascii="宋体" w:hAnsi="宋体" w:cs="宋体"/>
                  <w:color w:val="auto"/>
                  <w:sz w:val="24"/>
                  <w:highlight w:val="none"/>
                </w:rPr>
                <w:id w:val="147481674"/>
                <w14:checkbox>
                  <w14:checked w14:val="0"/>
                  <w14:checkedState w14:val="00FE" w14:font="Wingdings"/>
                  <w14:uncheckedState w14:val="2610" w14:font="MS Gothic"/>
                </w14:checkbox>
              </w:sdtPr>
              <w:sdtEndPr>
                <w:rPr>
                  <w:rFonts w:hint="eastAsia" w:ascii="宋体" w:hAnsi="宋体" w:cs="宋体"/>
                  <w:color w:val="auto"/>
                  <w:sz w:val="24"/>
                  <w:highlight w:val="none"/>
                </w:rPr>
              </w:sdtEndPr>
              <w:sdtContent>
                <w:r>
                  <w:rPr>
                    <w:rFonts w:hint="eastAsia" w:ascii="MS Gothic" w:hAnsi="MS Gothic" w:eastAsia="MS Gothic" w:cs="宋体"/>
                    <w:color w:val="auto"/>
                    <w:sz w:val="24"/>
                    <w:szCs w:val="24"/>
                    <w:highlight w:val="none"/>
                    <w:lang w:val="en-US" w:eastAsia="zh-CN" w:bidi="ar-SA"/>
                  </w:rPr>
                  <w:t>☐</w:t>
                </w:r>
              </w:sdtContent>
            </w:sdt>
            <w:r>
              <w:rPr>
                <w:rFonts w:hint="eastAsia" w:ascii="宋体" w:hAnsi="宋体" w:eastAsia="宋体" w:cs="宋体"/>
                <w:color w:val="auto"/>
                <w:sz w:val="24"/>
                <w:szCs w:val="24"/>
                <w:highlight w:val="none"/>
              </w:rPr>
              <w:t>C不统一组织，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在获取采购文件后，自行至项目现场考察。地点：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D0CC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ED4D37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5C20CE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326" w:type="dxa"/>
            <w:tcBorders>
              <w:top w:val="single" w:color="000000" w:sz="8" w:space="0"/>
              <w:left w:val="single" w:color="000000" w:sz="2" w:space="0"/>
              <w:bottom w:val="single" w:color="000000" w:sz="8" w:space="0"/>
              <w:right w:val="single" w:color="000000" w:sz="8" w:space="0"/>
            </w:tcBorders>
            <w:vAlign w:val="center"/>
          </w:tcPr>
          <w:p w14:paraId="307586B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5357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27BE902C">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B要求提供（未提供样品或提供样品不满足采购需求实质性条件的</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，投标无效）：</w:t>
            </w:r>
          </w:p>
          <w:p w14:paraId="54ADB27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  </w:t>
            </w:r>
            <w:r>
              <w:rPr>
                <w:rFonts w:hint="eastAsia" w:ascii="宋体" w:hAnsi="宋体" w:cs="宋体"/>
                <w:color w:val="auto"/>
                <w:kern w:val="0"/>
                <w:sz w:val="24"/>
                <w:highlight w:val="none"/>
              </w:rPr>
              <w:t>；</w:t>
            </w:r>
          </w:p>
          <w:p w14:paraId="26A447D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  </w:t>
            </w:r>
            <w:r>
              <w:rPr>
                <w:rFonts w:hint="eastAsia" w:ascii="宋体" w:hAnsi="宋体" w:cs="宋体"/>
                <w:color w:val="auto"/>
                <w:kern w:val="0"/>
                <w:sz w:val="24"/>
                <w:highlight w:val="none"/>
              </w:rPr>
              <w:t>；</w:t>
            </w:r>
          </w:p>
          <w:p w14:paraId="0764B6F6">
            <w:pPr>
              <w:spacing w:line="360" w:lineRule="auto"/>
              <w:rPr>
                <w:rFonts w:ascii="宋体" w:hAnsi="宋体" w:cs="宋体"/>
                <w:snapToGrid w:val="0"/>
                <w:color w:val="auto"/>
                <w:kern w:val="28"/>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w:t>
            </w:r>
          </w:p>
          <w:p w14:paraId="3DCBA328">
            <w:pPr>
              <w:spacing w:line="360" w:lineRule="auto"/>
              <w:ind w:firstLine="240" w:firstLineChars="100"/>
              <w:rPr>
                <w:rFonts w:ascii="宋体" w:hAnsi="宋体" w:cs="宋体"/>
                <w:color w:val="auto"/>
                <w:sz w:val="24"/>
                <w:highlight w:val="none"/>
              </w:rPr>
            </w:pPr>
            <w:sdt>
              <w:sdtPr>
                <w:rPr>
                  <w:rFonts w:hint="eastAsia" w:ascii="宋体" w:hAnsi="宋体" w:cs="宋体"/>
                  <w:color w:val="auto"/>
                  <w:kern w:val="0"/>
                  <w:sz w:val="24"/>
                  <w:highlight w:val="none"/>
                </w:rPr>
                <w:id w:val="1474717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样品分未超过价格分的50%；</w:t>
            </w:r>
          </w:p>
          <w:p w14:paraId="483EFA51">
            <w:pPr>
              <w:spacing w:line="360" w:lineRule="auto"/>
              <w:ind w:firstLine="240" w:firstLineChars="100"/>
              <w:rPr>
                <w:rFonts w:ascii="宋体" w:hAnsi="宋体" w:cs="宋体"/>
                <w:color w:val="auto"/>
                <w:kern w:val="0"/>
                <w:sz w:val="24"/>
                <w:highlight w:val="none"/>
              </w:rPr>
            </w:pPr>
            <w:sdt>
              <w:sdtPr>
                <w:rPr>
                  <w:rFonts w:hint="eastAsia" w:ascii="宋体" w:hAnsi="宋体" w:cs="宋体"/>
                  <w:color w:val="auto"/>
                  <w:kern w:val="0"/>
                  <w:sz w:val="24"/>
                  <w:highlight w:val="none"/>
                </w:rPr>
                <w:id w:val="14745198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315C586">
            <w:pPr>
              <w:spacing w:line="360" w:lineRule="auto"/>
              <w:ind w:firstLine="240" w:firstLineChars="100"/>
              <w:rPr>
                <w:rFonts w:ascii="宋体" w:hAnsi="宋体" w:cs="宋体"/>
                <w:color w:val="auto"/>
                <w:kern w:val="0"/>
                <w:sz w:val="24"/>
                <w:highlight w:val="none"/>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评标办分法</w:t>
            </w:r>
            <w:r>
              <w:rPr>
                <w:rFonts w:hint="eastAsia" w:ascii="宋体" w:hAnsi="宋体" w:cs="宋体"/>
                <w:color w:val="auto"/>
                <w:kern w:val="0"/>
                <w:sz w:val="24"/>
                <w:highlight w:val="none"/>
              </w:rPr>
              <w:t xml:space="preserve">。 </w:t>
            </w:r>
          </w:p>
          <w:p w14:paraId="6547862F">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  </w:t>
            </w:r>
            <w:r>
              <w:rPr>
                <w:rFonts w:hint="eastAsia" w:ascii="宋体" w:hAnsi="宋体" w:cs="宋体"/>
                <w:color w:val="auto"/>
                <w:kern w:val="0"/>
                <w:sz w:val="24"/>
                <w:highlight w:val="none"/>
              </w:rPr>
              <w:t>。</w:t>
            </w:r>
          </w:p>
          <w:p w14:paraId="03F3B77B">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37D2AD9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2859833F">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5176D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F25F1C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DBA59FB">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326" w:type="dxa"/>
            <w:tcBorders>
              <w:top w:val="single" w:color="000000" w:sz="8" w:space="0"/>
              <w:left w:val="single" w:color="000000" w:sz="2" w:space="0"/>
              <w:bottom w:val="single" w:color="000000" w:sz="8" w:space="0"/>
              <w:right w:val="single" w:color="000000" w:sz="8" w:space="0"/>
            </w:tcBorders>
            <w:vAlign w:val="center"/>
          </w:tcPr>
          <w:p w14:paraId="611ACC7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664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5C231313">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489FA6E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2FD3C8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6AD055C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5578CFF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16D055C3">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3328C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564D86F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7404E7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326" w:type="dxa"/>
            <w:tcBorders>
              <w:top w:val="single" w:color="000000" w:sz="8" w:space="0"/>
              <w:left w:val="single" w:color="000000" w:sz="2" w:space="0"/>
              <w:bottom w:val="single" w:color="auto" w:sz="4" w:space="0"/>
              <w:right w:val="single" w:color="000000" w:sz="8" w:space="0"/>
            </w:tcBorders>
            <w:vAlign w:val="center"/>
          </w:tcPr>
          <w:p w14:paraId="790EC155">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461BCA32">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5A83B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3E12776A">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57BE4EA">
            <w:pPr>
              <w:snapToGrid w:val="0"/>
              <w:spacing w:line="360" w:lineRule="auto"/>
              <w:jc w:val="center"/>
              <w:rPr>
                <w:rFonts w:ascii="宋体" w:hAnsi="宋体" w:cs="宋体"/>
                <w:b/>
                <w:color w:val="auto"/>
                <w:sz w:val="24"/>
                <w:highlight w:val="none"/>
              </w:rPr>
            </w:pPr>
          </w:p>
        </w:tc>
        <w:tc>
          <w:tcPr>
            <w:tcW w:w="6326" w:type="dxa"/>
            <w:tcBorders>
              <w:top w:val="single" w:color="auto" w:sz="4" w:space="0"/>
              <w:left w:val="single" w:color="000000" w:sz="2" w:space="0"/>
              <w:bottom w:val="single" w:color="000000" w:sz="8" w:space="0"/>
              <w:right w:val="single" w:color="000000" w:sz="8" w:space="0"/>
            </w:tcBorders>
            <w:vAlign w:val="center"/>
          </w:tcPr>
          <w:p w14:paraId="5D09C2D1">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35637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9DC867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C1F189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326" w:type="dxa"/>
            <w:tcBorders>
              <w:top w:val="single" w:color="000000" w:sz="8" w:space="0"/>
              <w:left w:val="single" w:color="000000" w:sz="2" w:space="0"/>
              <w:bottom w:val="single" w:color="000000" w:sz="8" w:space="0"/>
              <w:right w:val="single" w:color="000000" w:sz="8" w:space="0"/>
            </w:tcBorders>
            <w:vAlign w:val="center"/>
          </w:tcPr>
          <w:p w14:paraId="7FFF0369">
            <w:pPr>
              <w:spacing w:line="360" w:lineRule="auto"/>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386232013"/>
                <w14:checkbox>
                  <w14:checked w14:val="0"/>
                  <w14:checkedState w14:val="00FE" w14:font="Wingdings"/>
                  <w14:uncheckedState w14:val="2610" w14:font="MS Gothic"/>
                </w14:checkbox>
              </w:sdtPr>
              <w:sdtEndPr>
                <w:rPr>
                  <w:rFonts w:hint="eastAsia" w:ascii="宋体" w:hAnsi="宋体" w:cs="宋体"/>
                  <w:color w:val="auto"/>
                  <w:kern w:val="0"/>
                  <w:sz w:val="24"/>
                  <w:highlight w:val="none"/>
                  <w:lang w:val="zh-CN"/>
                </w:rPr>
              </w:sdtEndPr>
              <w:sdtContent>
                <w:r>
                  <w:rPr>
                    <w:rFonts w:hint="eastAsia" w:ascii="宋体" w:hAnsi="宋体" w:cs="宋体"/>
                    <w:color w:val="auto"/>
                    <w:kern w:val="0"/>
                    <w:sz w:val="24"/>
                    <w:highlight w:val="none"/>
                    <w:lang w:val="zh-CN"/>
                  </w:rPr>
                  <w:t>☐</w:t>
                </w:r>
              </w:sdtContent>
            </w:sdt>
            <w:r>
              <w:rPr>
                <w:rFonts w:hint="eastAsia" w:ascii="宋体" w:hAnsi="宋体" w:cs="宋体"/>
                <w:color w:val="auto"/>
                <w:kern w:val="0"/>
                <w:sz w:val="24"/>
                <w:highlight w:val="none"/>
                <w:lang w:val="zh-CN"/>
              </w:rPr>
              <w:t>依据国家确定的认证机构出具的、处于有效期之内的节能产品认证证书，对获得证书的产品实施政府优先采购或强制采购；其中，对</w:t>
            </w:r>
            <w:r>
              <w:rPr>
                <w:rFonts w:hint="eastAsia" w:ascii="宋体" w:hAnsi="宋体" w:cs="宋体"/>
                <w:color w:val="auto"/>
                <w:kern w:val="0"/>
                <w:sz w:val="24"/>
                <w:highlight w:val="none"/>
                <w:u w:val="single"/>
                <w:shd w:val="pct10" w:color="auto" w:fill="FFFFFF"/>
                <w:lang w:val="zh-CN"/>
              </w:rPr>
              <w:t>产品名称XXX</w:t>
            </w:r>
            <w:r>
              <w:rPr>
                <w:rFonts w:hint="eastAsia" w:ascii="宋体" w:hAnsi="宋体" w:cs="宋体"/>
                <w:color w:val="auto"/>
                <w:kern w:val="0"/>
                <w:sz w:val="24"/>
                <w:highlight w:val="none"/>
                <w:lang w:val="zh-CN"/>
              </w:rPr>
              <w:t>实施政府优先采购，</w:t>
            </w:r>
            <w:r>
              <w:rPr>
                <w:rFonts w:hint="eastAsia" w:ascii="宋体" w:hAnsi="宋体" w:cs="宋体"/>
                <w:color w:val="auto"/>
                <w:kern w:val="0"/>
                <w:sz w:val="24"/>
                <w:highlight w:val="none"/>
              </w:rPr>
              <w:t>详</w:t>
            </w:r>
            <w:r>
              <w:rPr>
                <w:rFonts w:hint="eastAsia" w:ascii="宋体" w:hAnsi="宋体" w:cs="宋体"/>
                <w:color w:val="auto"/>
                <w:kern w:val="0"/>
                <w:sz w:val="24"/>
                <w:highlight w:val="none"/>
                <w:lang w:val="zh-CN"/>
              </w:rPr>
              <w:t>见</w:t>
            </w:r>
            <w:r>
              <w:rPr>
                <w:rFonts w:hint="eastAsia" w:ascii="宋体" w:hAnsi="宋体" w:cs="宋体"/>
                <w:color w:val="auto"/>
                <w:kern w:val="0"/>
                <w:sz w:val="24"/>
                <w:highlight w:val="none"/>
                <w:u w:val="single"/>
                <w:lang w:val="zh-CN"/>
              </w:rPr>
              <w:t>评分标准</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r>
              <w:rPr>
                <w:rFonts w:hint="eastAsia" w:ascii="宋体" w:hAnsi="宋体" w:cs="宋体"/>
                <w:color w:val="auto"/>
                <w:kern w:val="0"/>
                <w:sz w:val="24"/>
                <w:highlight w:val="none"/>
                <w:lang w:val="zh-CN"/>
              </w:rPr>
              <w:t>对</w:t>
            </w:r>
            <w:r>
              <w:rPr>
                <w:rFonts w:hint="eastAsia" w:ascii="宋体" w:hAnsi="宋体" w:cs="宋体"/>
                <w:color w:val="auto"/>
                <w:kern w:val="0"/>
                <w:sz w:val="24"/>
                <w:highlight w:val="none"/>
                <w:u w:val="single"/>
                <w:shd w:val="pct10" w:color="auto" w:fill="FFFFFF"/>
                <w:lang w:val="zh-CN"/>
              </w:rPr>
              <w:t>产品名称XXX</w:t>
            </w:r>
            <w:r>
              <w:rPr>
                <w:rFonts w:hint="eastAsia" w:ascii="宋体" w:hAnsi="宋体" w:cs="宋体"/>
                <w:color w:val="auto"/>
                <w:kern w:val="0"/>
                <w:sz w:val="24"/>
                <w:highlight w:val="none"/>
                <w:lang w:val="zh-CN"/>
              </w:rPr>
              <w:t>实施政府强制采购，</w:t>
            </w:r>
            <w:r>
              <w:rPr>
                <w:rFonts w:hint="eastAsia" w:ascii="宋体" w:hAnsi="宋体" w:cs="宋体"/>
                <w:b/>
                <w:bCs/>
                <w:color w:val="auto"/>
                <w:kern w:val="0"/>
                <w:sz w:val="24"/>
                <w:highlight w:val="none"/>
                <w:lang w:val="zh-CN"/>
              </w:rPr>
              <w:t>投标人</w:t>
            </w:r>
            <w:r>
              <w:rPr>
                <w:rFonts w:hint="eastAsia" w:ascii="宋体" w:hAnsi="宋体" w:cs="宋体"/>
                <w:b/>
                <w:bCs/>
                <w:color w:val="auto"/>
                <w:kern w:val="0"/>
                <w:sz w:val="24"/>
                <w:highlight w:val="none"/>
              </w:rPr>
              <w:t>就</w:t>
            </w:r>
            <w:r>
              <w:rPr>
                <w:rFonts w:hint="eastAsia" w:ascii="宋体" w:hAnsi="宋体" w:cs="宋体"/>
                <w:b/>
                <w:bCs/>
                <w:color w:val="auto"/>
                <w:kern w:val="0"/>
                <w:sz w:val="24"/>
                <w:highlight w:val="none"/>
                <w:lang w:val="zh-CN"/>
              </w:rPr>
              <w:t>相应的投标产品未</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zh-CN"/>
              </w:rPr>
              <w:t>国家确定的认证机构出具的、处于有效期之内的节能产品认证证书的，投标无效</w:t>
            </w:r>
            <w:r>
              <w:rPr>
                <w:rFonts w:hint="eastAsia" w:ascii="宋体" w:hAnsi="宋体" w:cs="宋体"/>
                <w:color w:val="auto"/>
                <w:kern w:val="0"/>
                <w:sz w:val="24"/>
                <w:highlight w:val="none"/>
                <w:lang w:val="zh-CN"/>
              </w:rPr>
              <w:t>。</w:t>
            </w:r>
          </w:p>
          <w:p w14:paraId="7532D9F0">
            <w:pPr>
              <w:spacing w:line="360" w:lineRule="auto"/>
              <w:rPr>
                <w:rFonts w:ascii="宋体" w:hAnsi="宋体" w:cs="宋体"/>
                <w:color w:val="auto"/>
                <w:kern w:val="0"/>
                <w:sz w:val="24"/>
                <w:highlight w:val="none"/>
                <w:lang w:val="zh-CN"/>
              </w:rPr>
            </w:pPr>
            <w:sdt>
              <w:sdtPr>
                <w:rPr>
                  <w:rFonts w:hint="eastAsia" w:ascii="宋体" w:hAnsi="宋体" w:cs="宋体"/>
                  <w:color w:val="auto"/>
                  <w:kern w:val="0"/>
                  <w:sz w:val="24"/>
                  <w:highlight w:val="none"/>
                  <w:lang w:val="zh-CN"/>
                </w:rPr>
                <w:id w:val="93515011"/>
                <w14:checkbox>
                  <w14:checked w14:val="0"/>
                  <w14:checkedState w14:val="00FE" w14:font="Wingdings"/>
                  <w14:uncheckedState w14:val="2610" w14:font="MS Gothic"/>
                </w14:checkbox>
              </w:sdtPr>
              <w:sdtEndPr>
                <w:rPr>
                  <w:rFonts w:hint="eastAsia" w:ascii="宋体" w:hAnsi="宋体" w:cs="宋体"/>
                  <w:color w:val="auto"/>
                  <w:kern w:val="0"/>
                  <w:sz w:val="24"/>
                  <w:highlight w:val="none"/>
                  <w:lang w:val="zh-CN"/>
                </w:rPr>
              </w:sdtEndPr>
              <w:sdtContent>
                <w:r>
                  <w:rPr>
                    <w:rFonts w:hint="eastAsia" w:ascii="宋体" w:hAnsi="宋体" w:cs="宋体"/>
                    <w:color w:val="auto"/>
                    <w:kern w:val="0"/>
                    <w:sz w:val="24"/>
                    <w:highlight w:val="none"/>
                    <w:lang w:val="zh-CN"/>
                  </w:rPr>
                  <w:t>☐</w:t>
                </w:r>
              </w:sdtContent>
            </w:sdt>
            <w:r>
              <w:rPr>
                <w:rFonts w:hint="eastAsia" w:ascii="宋体" w:hAnsi="宋体" w:cs="宋体"/>
                <w:color w:val="auto"/>
                <w:kern w:val="0"/>
                <w:sz w:val="24"/>
                <w:highlight w:val="none"/>
                <w:lang w:val="zh-CN"/>
              </w:rPr>
              <w:t>依据国家确定的认证机构出具的、处于有效期之内的环境标志产品认证证书，对获得证书的</w:t>
            </w:r>
            <w:r>
              <w:rPr>
                <w:rFonts w:hint="eastAsia" w:ascii="宋体" w:hAnsi="宋体" w:cs="宋体"/>
                <w:color w:val="auto"/>
                <w:kern w:val="0"/>
                <w:sz w:val="24"/>
                <w:highlight w:val="none"/>
                <w:u w:val="single"/>
                <w:shd w:val="pct10" w:color="auto" w:fill="FFFFFF"/>
                <w:lang w:val="zh-CN"/>
              </w:rPr>
              <w:t>产品名称XXX</w:t>
            </w:r>
            <w:r>
              <w:rPr>
                <w:rFonts w:hint="eastAsia" w:ascii="宋体" w:hAnsi="宋体" w:cs="宋体"/>
                <w:color w:val="auto"/>
                <w:kern w:val="0"/>
                <w:sz w:val="24"/>
                <w:highlight w:val="none"/>
                <w:lang w:val="zh-CN"/>
              </w:rPr>
              <w:t>实施政府优先采购，</w:t>
            </w:r>
            <w:r>
              <w:rPr>
                <w:rFonts w:hint="eastAsia" w:ascii="宋体" w:hAnsi="宋体" w:cs="宋体"/>
                <w:color w:val="auto"/>
                <w:kern w:val="0"/>
                <w:sz w:val="24"/>
                <w:highlight w:val="none"/>
              </w:rPr>
              <w:t>详</w:t>
            </w:r>
            <w:r>
              <w:rPr>
                <w:rFonts w:hint="eastAsia" w:ascii="宋体" w:hAnsi="宋体" w:cs="宋体"/>
                <w:color w:val="auto"/>
                <w:kern w:val="0"/>
                <w:sz w:val="24"/>
                <w:highlight w:val="none"/>
                <w:lang w:val="zh-CN"/>
              </w:rPr>
              <w:t>见</w:t>
            </w:r>
            <w:r>
              <w:rPr>
                <w:rFonts w:hint="eastAsia" w:ascii="宋体" w:hAnsi="宋体" w:cs="宋体"/>
                <w:color w:val="auto"/>
                <w:kern w:val="0"/>
                <w:sz w:val="24"/>
                <w:highlight w:val="none"/>
                <w:u w:val="single"/>
                <w:lang w:val="zh-CN"/>
              </w:rPr>
              <w:t>评分标准</w:t>
            </w:r>
            <w:r>
              <w:rPr>
                <w:rFonts w:hint="eastAsia" w:ascii="宋体" w:hAnsi="宋体" w:cs="宋体"/>
                <w:color w:val="auto"/>
                <w:kern w:val="0"/>
                <w:sz w:val="24"/>
                <w:highlight w:val="none"/>
                <w:lang w:val="zh-CN"/>
              </w:rPr>
              <w:t>。</w:t>
            </w:r>
          </w:p>
          <w:p w14:paraId="3ADFC3B3">
            <w:pPr>
              <w:snapToGrid w:val="0"/>
              <w:spacing w:line="360" w:lineRule="auto"/>
              <w:rPr>
                <w:rFonts w:ascii="宋体" w:hAnsi="宋体" w:cs="宋体"/>
                <w:color w:val="auto"/>
                <w:highlight w:val="none"/>
              </w:rPr>
            </w:pPr>
            <w:sdt>
              <w:sdtPr>
                <w:rPr>
                  <w:rFonts w:hint="eastAsia" w:ascii="宋体" w:hAnsi="宋体" w:cs="宋体"/>
                  <w:color w:val="auto"/>
                  <w:kern w:val="0"/>
                  <w:sz w:val="24"/>
                  <w:highlight w:val="none"/>
                </w:rPr>
                <w:id w:val="14746122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无。</w:t>
            </w:r>
          </w:p>
        </w:tc>
      </w:tr>
      <w:tr w14:paraId="29688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428BFF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A586BE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326" w:type="dxa"/>
            <w:tcBorders>
              <w:top w:val="single" w:color="000000" w:sz="8" w:space="0"/>
              <w:left w:val="single" w:color="000000" w:sz="2" w:space="0"/>
              <w:bottom w:val="single" w:color="000000" w:sz="8" w:space="0"/>
              <w:right w:val="single" w:color="000000" w:sz="8" w:space="0"/>
            </w:tcBorders>
            <w:vAlign w:val="center"/>
          </w:tcPr>
          <w:p w14:paraId="1808CA32">
            <w:pPr>
              <w:spacing w:line="280" w:lineRule="exact"/>
              <w:ind w:firstLine="240" w:firstLineChars="100"/>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rPr>
              <w:t>）有关本项目实施所需的所有费用（含税费）均计入报价。投标文件</w:t>
            </w:r>
            <w:r>
              <w:rPr>
                <w:rFonts w:hint="eastAsia" w:ascii="宋体" w:hAnsi="宋体" w:cs="宋体"/>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sz w:val="24"/>
                <w:highlight w:val="none"/>
                <w:lang w:val="zh-CN"/>
              </w:rPr>
              <w:t>投标文件中价格全部采用人民币报价。招标文件未列明，而投标人认为必需的费用也需列入报价。提醒：验收时检测费用由采购人承担，不包含在投标总价中。</w:t>
            </w:r>
          </w:p>
          <w:p w14:paraId="33F956B2">
            <w:pPr>
              <w:spacing w:line="2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（2）政府采购评审中出现下列情形之一的，评审委员会应当启动异常低价投标（响应）审查程序：</w:t>
            </w:r>
          </w:p>
          <w:p w14:paraId="602469D6">
            <w:pPr>
              <w:spacing w:line="2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1.投标（响应）报价低于全部通过符合性审查供应商投标（响应）报价平均值 50 %的，即投标（响应）报价&lt;全部通过符合性审查供应商投标（响应）报价平均值× 50 %；</w:t>
            </w:r>
          </w:p>
          <w:p w14:paraId="0DC4D78E">
            <w:pPr>
              <w:spacing w:line="2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2.投标（响应）报价低于通过符合性审查的次低报价供应商投标（响应）报价 50 %的，即投标（响应）报价&lt;通过符合性审查的次低报价供应商投标（响应）报价× 50 %；</w:t>
            </w:r>
          </w:p>
          <w:p w14:paraId="2659AFD3">
            <w:pPr>
              <w:spacing w:line="2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3.投标（响应）报价低于采购项目最高限价 45 %的，即投标（响应）报价&lt;采购项目最高限价× 45 %；</w:t>
            </w:r>
          </w:p>
          <w:p w14:paraId="01F88591">
            <w:pPr>
              <w:spacing w:line="2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4.评审委员会基于专业判断，认为供应商报价过低，有可能影响产品质量或者不能诚信履约的其他情形。</w:t>
            </w:r>
          </w:p>
          <w:p w14:paraId="3C14BFB6">
            <w:pPr>
              <w:spacing w:line="2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注：采购人可以结合具体项目实际情况，提高上述第1项至第3项中启动异常低价投标（响应）审查的数值标准，并在招标文件中予以明确，但是最高不得超过65%。</w:t>
            </w:r>
          </w:p>
          <w:p w14:paraId="49F63CDB">
            <w:pPr>
              <w:spacing w:line="2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相关法律法规对供应商报价有规定的，从其规定。</w:t>
            </w:r>
          </w:p>
          <w:p w14:paraId="671F37A9">
            <w:pPr>
              <w:spacing w:line="280" w:lineRule="exact"/>
              <w:ind w:firstLine="240" w:firstLineChars="100"/>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3</w:t>
            </w:r>
            <w:r>
              <w:rPr>
                <w:rFonts w:hint="eastAsia" w:ascii="宋体" w:hAnsi="宋体" w:cs="宋体"/>
                <w:color w:val="auto"/>
                <w:sz w:val="24"/>
                <w:highlight w:val="none"/>
                <w:lang w:val="zh-CN"/>
              </w:rPr>
              <w:t>）投标报价出现下列情形的，投标无效：</w:t>
            </w:r>
          </w:p>
          <w:p w14:paraId="3185CDE3">
            <w:pPr>
              <w:spacing w:line="280" w:lineRule="exact"/>
              <w:ind w:firstLine="240" w:firstLineChars="100"/>
              <w:rPr>
                <w:rFonts w:ascii="宋体" w:hAnsi="宋体" w:cs="宋体"/>
                <w:color w:val="auto"/>
                <w:sz w:val="24"/>
                <w:highlight w:val="none"/>
                <w:lang w:val="zh-CN"/>
              </w:rPr>
            </w:pPr>
            <w:r>
              <w:rPr>
                <w:rFonts w:hint="eastAsia" w:ascii="宋体" w:hAnsi="宋体" w:cs="宋体"/>
                <w:color w:val="auto"/>
                <w:sz w:val="24"/>
                <w:highlight w:val="none"/>
                <w:lang w:val="zh-CN"/>
              </w:rPr>
              <w:t>投标文件出现不是唯一的、有选择性投标报价的；</w:t>
            </w:r>
          </w:p>
          <w:p w14:paraId="03020730">
            <w:pPr>
              <w:spacing w:line="280" w:lineRule="exact"/>
              <w:ind w:firstLine="240" w:firstLineChars="100"/>
              <w:rPr>
                <w:rFonts w:ascii="宋体" w:hAnsi="宋体" w:cs="宋体"/>
                <w:color w:val="auto"/>
                <w:sz w:val="24"/>
                <w:highlight w:val="none"/>
                <w:lang w:val="zh-CN"/>
              </w:rPr>
            </w:pPr>
            <w:r>
              <w:rPr>
                <w:rFonts w:hint="eastAsia" w:ascii="宋体" w:hAnsi="宋体" w:cs="宋体"/>
                <w:color w:val="auto"/>
                <w:sz w:val="24"/>
                <w:highlight w:val="none"/>
                <w:lang w:val="zh-CN"/>
              </w:rPr>
              <w:t>投标报价超过招标文件中规定的预算金额或者最高限价的;</w:t>
            </w:r>
          </w:p>
          <w:p w14:paraId="50DD2295">
            <w:pPr>
              <w:spacing w:line="2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评审委员会启动异常低价投标（响应）审查后，投标（响应）供应商不能提供书面说明、证明材料，或者提供的书面说明、证明材料不能证明其报价合理性的;</w:t>
            </w:r>
          </w:p>
          <w:p w14:paraId="7ED0C02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投标人对根据修正原则修正后的报价不确认的。</w:t>
            </w:r>
          </w:p>
        </w:tc>
      </w:tr>
      <w:tr w14:paraId="01F68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514" w:hRule="atLeast"/>
          <w:tblHeader/>
        </w:trPr>
        <w:tc>
          <w:tcPr>
            <w:tcW w:w="629" w:type="dxa"/>
            <w:tcBorders>
              <w:top w:val="single" w:color="auto" w:sz="4" w:space="0"/>
              <w:left w:val="single" w:color="000000" w:sz="8" w:space="0"/>
              <w:right w:val="single" w:color="000000" w:sz="2" w:space="0"/>
            </w:tcBorders>
            <w:vAlign w:val="center"/>
          </w:tcPr>
          <w:p w14:paraId="298E0A2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49287E7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326" w:type="dxa"/>
            <w:tcBorders>
              <w:top w:val="single" w:color="000000" w:sz="8" w:space="0"/>
              <w:left w:val="single" w:color="000000" w:sz="2" w:space="0"/>
              <w:right w:val="single" w:color="000000" w:sz="8" w:space="0"/>
            </w:tcBorders>
            <w:vAlign w:val="center"/>
          </w:tcPr>
          <w:p w14:paraId="31897912">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lang w:eastAsia="zh-CN"/>
              </w:rPr>
              <w:t>供应商</w:t>
            </w:r>
            <w:r>
              <w:rPr>
                <w:rFonts w:hint="eastAsia" w:ascii="宋体" w:hAnsi="宋体" w:cs="宋体"/>
                <w:snapToGrid w:val="0"/>
                <w:color w:val="auto"/>
                <w:kern w:val="28"/>
                <w:sz w:val="24"/>
                <w:highlight w:val="none"/>
              </w:rPr>
              <w:t>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076E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944129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38AB48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326" w:type="dxa"/>
            <w:tcBorders>
              <w:top w:val="single" w:color="000000" w:sz="8" w:space="0"/>
              <w:left w:val="single" w:color="000000" w:sz="2" w:space="0"/>
              <w:bottom w:val="single" w:color="000000" w:sz="8" w:space="0"/>
              <w:right w:val="single" w:color="000000" w:sz="8" w:space="0"/>
            </w:tcBorders>
            <w:vAlign w:val="center"/>
          </w:tcPr>
          <w:p w14:paraId="2B3D79D0">
            <w:pPr>
              <w:pStyle w:val="11"/>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杭州市西湖区莲花街333号莲花商务中心B座6楼</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冯先生，1</w:t>
            </w:r>
            <w:r>
              <w:rPr>
                <w:rFonts w:hint="eastAsia" w:hAnsi="宋体" w:cs="宋体"/>
                <w:color w:val="auto"/>
                <w:sz w:val="24"/>
                <w:highlight w:val="none"/>
                <w:u w:val="single"/>
                <w:lang w:val="en-US" w:eastAsia="zh-CN"/>
              </w:rPr>
              <w:t>7764539486</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14:paraId="6EC20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3" w:hRule="atLeast"/>
          <w:tblHeader/>
        </w:trPr>
        <w:tc>
          <w:tcPr>
            <w:tcW w:w="629" w:type="dxa"/>
            <w:vMerge w:val="restart"/>
            <w:tcBorders>
              <w:top w:val="single" w:color="auto" w:sz="4" w:space="0"/>
              <w:left w:val="single" w:color="000000" w:sz="8" w:space="0"/>
              <w:right w:val="single" w:color="000000" w:sz="2" w:space="0"/>
            </w:tcBorders>
            <w:vAlign w:val="center"/>
          </w:tcPr>
          <w:p w14:paraId="1D54AB68">
            <w:pPr>
              <w:snapToGrid w:val="0"/>
              <w:spacing w:line="360" w:lineRule="auto"/>
              <w:jc w:val="center"/>
              <w:rPr>
                <w:rFonts w:ascii="宋体" w:hAnsi="宋体" w:cs="宋体"/>
                <w:color w:val="auto"/>
                <w:sz w:val="24"/>
                <w:highlight w:val="none"/>
                <w:lang w:val="en"/>
              </w:rPr>
            </w:pPr>
            <w:r>
              <w:rPr>
                <w:rFonts w:hint="eastAsia" w:ascii="宋体" w:hAnsi="宋体" w:cs="宋体"/>
                <w:color w:val="auto"/>
                <w:sz w:val="24"/>
                <w:highlight w:val="none"/>
              </w:rPr>
              <w:t>1</w:t>
            </w:r>
            <w:r>
              <w:rPr>
                <w:rFonts w:ascii="宋体" w:hAnsi="宋体" w:cs="宋体"/>
                <w:color w:val="auto"/>
                <w:sz w:val="24"/>
                <w:highlight w:val="none"/>
                <w:lang w:val="en"/>
              </w:rPr>
              <w:t>3</w:t>
            </w:r>
          </w:p>
        </w:tc>
        <w:tc>
          <w:tcPr>
            <w:tcW w:w="1843" w:type="dxa"/>
            <w:vMerge w:val="restart"/>
            <w:tcBorders>
              <w:top w:val="single" w:color="000000" w:sz="8" w:space="0"/>
              <w:left w:val="single" w:color="000000" w:sz="2" w:space="0"/>
              <w:right w:val="single" w:color="000000" w:sz="8" w:space="0"/>
            </w:tcBorders>
            <w:vAlign w:val="center"/>
          </w:tcPr>
          <w:p w14:paraId="54406F73">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326" w:type="dxa"/>
            <w:tcBorders>
              <w:top w:val="single" w:color="000000" w:sz="8" w:space="0"/>
              <w:left w:val="single" w:color="000000" w:sz="2" w:space="0"/>
              <w:bottom w:val="single" w:color="auto" w:sz="4" w:space="0"/>
              <w:right w:val="single" w:color="000000" w:sz="8" w:space="0"/>
            </w:tcBorders>
            <w:vAlign w:val="center"/>
          </w:tcPr>
          <w:p w14:paraId="6F8250A1">
            <w:pPr>
              <w:pStyle w:val="23"/>
              <w:snapToGrid w:val="0"/>
              <w:spacing w:before="0"/>
              <w:ind w:firstLine="0" w:firstLineChars="0"/>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招标代理服务费参照国家计委关于印发《招标代理服务收费管理暂行办法》(计价格[2002]1980号)文件规定收费标准为参照基础，以中标价为收费基数，按收费标准的</w:t>
            </w:r>
            <w:r>
              <w:rPr>
                <w:rFonts w:hint="eastAsia" w:ascii="宋体" w:hAnsi="宋体" w:cs="宋体"/>
                <w:snapToGrid w:val="0"/>
                <w:color w:val="auto"/>
                <w:kern w:val="0"/>
                <w:szCs w:val="24"/>
                <w:highlight w:val="none"/>
                <w:lang w:val="en-US" w:eastAsia="zh-CN"/>
              </w:rPr>
              <w:t>70</w:t>
            </w:r>
            <w:r>
              <w:rPr>
                <w:rFonts w:hint="eastAsia" w:ascii="宋体" w:hAnsi="宋体" w:cs="宋体"/>
                <w:snapToGrid w:val="0"/>
                <w:color w:val="auto"/>
                <w:kern w:val="0"/>
                <w:szCs w:val="24"/>
                <w:highlight w:val="none"/>
              </w:rPr>
              <w:t>%收取，计算费用不足</w:t>
            </w:r>
            <w:r>
              <w:rPr>
                <w:rFonts w:hint="eastAsia" w:ascii="宋体" w:hAnsi="宋体" w:cs="宋体"/>
                <w:snapToGrid w:val="0"/>
                <w:color w:val="auto"/>
                <w:kern w:val="0"/>
                <w:szCs w:val="24"/>
                <w:highlight w:val="none"/>
                <w:lang w:val="en-US" w:eastAsia="zh-CN"/>
              </w:rPr>
              <w:t>15</w:t>
            </w:r>
            <w:r>
              <w:rPr>
                <w:rFonts w:hint="eastAsia" w:ascii="宋体" w:hAnsi="宋体" w:cs="宋体"/>
                <w:snapToGrid w:val="0"/>
                <w:color w:val="auto"/>
                <w:kern w:val="0"/>
                <w:szCs w:val="24"/>
                <w:highlight w:val="none"/>
              </w:rPr>
              <w:t>00元的，按</w:t>
            </w:r>
            <w:r>
              <w:rPr>
                <w:rFonts w:hint="eastAsia" w:ascii="宋体" w:hAnsi="宋体" w:cs="宋体"/>
                <w:snapToGrid w:val="0"/>
                <w:color w:val="auto"/>
                <w:kern w:val="0"/>
                <w:szCs w:val="24"/>
                <w:highlight w:val="none"/>
                <w:lang w:val="en-US" w:eastAsia="zh-CN"/>
              </w:rPr>
              <w:t>15</w:t>
            </w:r>
            <w:r>
              <w:rPr>
                <w:rFonts w:hint="eastAsia" w:ascii="宋体" w:hAnsi="宋体" w:cs="宋体"/>
                <w:snapToGrid w:val="0"/>
                <w:color w:val="auto"/>
                <w:kern w:val="0"/>
                <w:szCs w:val="24"/>
                <w:highlight w:val="none"/>
              </w:rPr>
              <w:t>00元计取。</w:t>
            </w:r>
          </w:p>
          <w:p w14:paraId="60CB7496">
            <w:pPr>
              <w:pStyle w:val="23"/>
              <w:snapToGrid w:val="0"/>
              <w:spacing w:before="0"/>
              <w:ind w:firstLine="0" w:firstLineChars="0"/>
              <w:rPr>
                <w:rFonts w:ascii="宋体" w:hAnsi="宋体" w:cs="宋体"/>
                <w:snapToGrid w:val="0"/>
                <w:color w:val="auto"/>
                <w:kern w:val="0"/>
                <w:szCs w:val="24"/>
                <w:highlight w:val="none"/>
                <w:lang w:val="zh-TW" w:eastAsia="zh-TW"/>
              </w:rPr>
            </w:pPr>
            <w:r>
              <w:rPr>
                <w:rFonts w:hint="eastAsia" w:ascii="宋体" w:hAnsi="宋体" w:cs="宋体"/>
                <w:snapToGrid w:val="0"/>
                <w:color w:val="auto"/>
                <w:kern w:val="0"/>
                <w:szCs w:val="24"/>
                <w:highlight w:val="none"/>
                <w:lang w:val="zh-TW" w:eastAsia="zh-TW"/>
              </w:rPr>
              <w:t>收款单位（户名）：浙江中诚工程管理科技有限公司</w:t>
            </w:r>
          </w:p>
          <w:p w14:paraId="66509993">
            <w:pPr>
              <w:pStyle w:val="23"/>
              <w:snapToGrid w:val="0"/>
              <w:spacing w:before="0"/>
              <w:ind w:firstLine="0" w:firstLineChars="0"/>
              <w:rPr>
                <w:rFonts w:ascii="宋体" w:hAnsi="宋体" w:cs="宋体"/>
                <w:snapToGrid w:val="0"/>
                <w:color w:val="auto"/>
                <w:kern w:val="0"/>
                <w:szCs w:val="24"/>
                <w:highlight w:val="none"/>
                <w:lang w:val="zh-TW" w:eastAsia="zh-TW"/>
              </w:rPr>
            </w:pPr>
            <w:r>
              <w:rPr>
                <w:rFonts w:hint="eastAsia" w:ascii="宋体" w:hAnsi="宋体" w:cs="宋体"/>
                <w:snapToGrid w:val="0"/>
                <w:color w:val="auto"/>
                <w:kern w:val="0"/>
                <w:szCs w:val="24"/>
                <w:highlight w:val="none"/>
                <w:lang w:val="zh-TW" w:eastAsia="zh-TW"/>
              </w:rPr>
              <w:t>开户：中国农业银行杭州城西支行</w:t>
            </w:r>
          </w:p>
          <w:p w14:paraId="0B30F523">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0"/>
                <w:sz w:val="24"/>
                <w:highlight w:val="none"/>
              </w:rPr>
              <w:t>账</w:t>
            </w:r>
            <w:r>
              <w:rPr>
                <w:rFonts w:hint="eastAsia" w:ascii="宋体" w:hAnsi="宋体" w:cs="宋体"/>
                <w:snapToGrid w:val="0"/>
                <w:color w:val="auto"/>
                <w:kern w:val="0"/>
                <w:sz w:val="24"/>
                <w:highlight w:val="none"/>
                <w:lang w:val="zh-TW" w:eastAsia="zh-TW"/>
              </w:rPr>
              <w:t>号：19020101040014120</w:t>
            </w:r>
          </w:p>
        </w:tc>
      </w:tr>
      <w:tr w14:paraId="26A9B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10" w:hRule="atLeast"/>
          <w:tblHeader/>
        </w:trPr>
        <w:tc>
          <w:tcPr>
            <w:tcW w:w="629" w:type="dxa"/>
            <w:vMerge w:val="continue"/>
            <w:tcBorders>
              <w:left w:val="single" w:color="000000" w:sz="8" w:space="0"/>
              <w:right w:val="single" w:color="000000" w:sz="2" w:space="0"/>
            </w:tcBorders>
            <w:vAlign w:val="center"/>
          </w:tcPr>
          <w:p w14:paraId="34610613">
            <w:pPr>
              <w:snapToGrid w:val="0"/>
              <w:spacing w:line="360" w:lineRule="auto"/>
              <w:jc w:val="center"/>
              <w:rPr>
                <w:rFonts w:hint="eastAsia"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37C4F474">
            <w:pPr>
              <w:snapToGrid w:val="0"/>
              <w:spacing w:line="360" w:lineRule="auto"/>
              <w:jc w:val="center"/>
              <w:rPr>
                <w:rFonts w:hint="eastAsia" w:cs="仿宋_GB2312" w:asciiTheme="minorEastAsia" w:hAnsiTheme="minorEastAsia" w:eastAsiaTheme="minorEastAsia"/>
                <w:b/>
                <w:color w:val="auto"/>
                <w:sz w:val="24"/>
                <w:highlight w:val="none"/>
              </w:rPr>
            </w:pPr>
          </w:p>
        </w:tc>
        <w:tc>
          <w:tcPr>
            <w:tcW w:w="6326" w:type="dxa"/>
            <w:tcBorders>
              <w:top w:val="single" w:color="000000" w:sz="8" w:space="0"/>
              <w:left w:val="single" w:color="000000" w:sz="2" w:space="0"/>
              <w:bottom w:val="single" w:color="000000" w:sz="8" w:space="0"/>
              <w:right w:val="single" w:color="000000" w:sz="8" w:space="0"/>
            </w:tcBorders>
            <w:vAlign w:val="center"/>
          </w:tcPr>
          <w:p w14:paraId="19BDDA1A">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37520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59C264B3">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119E00B8">
            <w:pPr>
              <w:snapToGrid w:val="0"/>
              <w:spacing w:line="360" w:lineRule="auto"/>
              <w:jc w:val="center"/>
              <w:rPr>
                <w:rFonts w:ascii="宋体" w:hAnsi="宋体" w:cs="宋体"/>
                <w:b/>
                <w:color w:val="auto"/>
                <w:sz w:val="24"/>
                <w:highlight w:val="none"/>
              </w:rPr>
            </w:pPr>
          </w:p>
        </w:tc>
        <w:tc>
          <w:tcPr>
            <w:tcW w:w="6326" w:type="dxa"/>
            <w:tcBorders>
              <w:top w:val="single" w:color="000000" w:sz="8" w:space="0"/>
              <w:left w:val="single" w:color="000000" w:sz="2" w:space="0"/>
              <w:bottom w:val="single" w:color="000000" w:sz="8" w:space="0"/>
              <w:right w:val="single" w:color="000000" w:sz="8" w:space="0"/>
            </w:tcBorders>
            <w:vAlign w:val="center"/>
          </w:tcPr>
          <w:p w14:paraId="758E5693">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7172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709C4D6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71829"/>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7EF88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622D8725">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07A68E7B">
            <w:pPr>
              <w:snapToGrid w:val="0"/>
              <w:spacing w:line="360" w:lineRule="auto"/>
              <w:jc w:val="center"/>
              <w:rPr>
                <w:rFonts w:ascii="宋体" w:hAnsi="宋体" w:cs="宋体"/>
                <w:b/>
                <w:color w:val="auto"/>
                <w:sz w:val="24"/>
                <w:highlight w:val="none"/>
              </w:rPr>
            </w:pPr>
          </w:p>
        </w:tc>
        <w:tc>
          <w:tcPr>
            <w:tcW w:w="6326" w:type="dxa"/>
            <w:tcBorders>
              <w:top w:val="single" w:color="000000" w:sz="8" w:space="0"/>
              <w:left w:val="single" w:color="000000" w:sz="2" w:space="0"/>
              <w:bottom w:val="single" w:color="000000" w:sz="8" w:space="0"/>
              <w:right w:val="single" w:color="000000" w:sz="8" w:space="0"/>
            </w:tcBorders>
            <w:vAlign w:val="center"/>
          </w:tcPr>
          <w:p w14:paraId="1BB4B7B6">
            <w:pPr>
              <w:spacing w:line="360" w:lineRule="auto"/>
              <w:rPr>
                <w:rFonts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34315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77DF03EF">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151AF0E3">
            <w:pPr>
              <w:snapToGrid w:val="0"/>
              <w:spacing w:line="360" w:lineRule="auto"/>
              <w:jc w:val="center"/>
              <w:rPr>
                <w:rFonts w:ascii="宋体" w:hAnsi="宋体" w:cs="宋体"/>
                <w:b/>
                <w:color w:val="auto"/>
                <w:sz w:val="24"/>
                <w:highlight w:val="none"/>
              </w:rPr>
            </w:pPr>
          </w:p>
        </w:tc>
        <w:tc>
          <w:tcPr>
            <w:tcW w:w="6326" w:type="dxa"/>
            <w:tcBorders>
              <w:top w:val="single" w:color="000000" w:sz="8" w:space="0"/>
              <w:left w:val="single" w:color="000000" w:sz="2" w:space="0"/>
              <w:bottom w:val="single" w:color="000000" w:sz="8" w:space="0"/>
              <w:right w:val="single" w:color="000000" w:sz="8" w:space="0"/>
            </w:tcBorders>
            <w:vAlign w:val="center"/>
          </w:tcPr>
          <w:p w14:paraId="5DE78820">
            <w:pPr>
              <w:spacing w:line="360" w:lineRule="auto"/>
              <w:rPr>
                <w:rFonts w:hint="eastAsia" w:ascii="宋体" w:hAnsi="宋体" w:cs="Arial"/>
                <w:color w:val="auto"/>
                <w:kern w:val="0"/>
                <w:sz w:val="24"/>
                <w:highlight w:val="none"/>
              </w:rPr>
            </w:pPr>
            <w:r>
              <w:rPr>
                <w:rFonts w:hint="eastAsia" w:ascii="宋体" w:hAnsi="宋体" w:cs="Arial"/>
                <w:b/>
                <w:bCs/>
                <w:color w:val="auto"/>
                <w:kern w:val="0"/>
                <w:sz w:val="24"/>
                <w:highlight w:val="none"/>
              </w:rPr>
              <w:t>评审结束后、确认采购结果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将书面报告同级财政部门。</w:t>
            </w:r>
          </w:p>
        </w:tc>
      </w:tr>
      <w:tr w14:paraId="0BA76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35" w:hRule="atLeast"/>
          <w:tblHeader/>
        </w:trPr>
        <w:tc>
          <w:tcPr>
            <w:tcW w:w="629" w:type="dxa"/>
            <w:vMerge w:val="continue"/>
            <w:tcBorders>
              <w:left w:val="single" w:color="000000" w:sz="8" w:space="0"/>
              <w:right w:val="single" w:color="000000" w:sz="2" w:space="0"/>
            </w:tcBorders>
            <w:vAlign w:val="center"/>
          </w:tcPr>
          <w:p w14:paraId="7882645F">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3295FB43">
            <w:pPr>
              <w:snapToGrid w:val="0"/>
              <w:spacing w:line="360" w:lineRule="auto"/>
              <w:jc w:val="center"/>
              <w:rPr>
                <w:rFonts w:ascii="宋体" w:hAnsi="宋体" w:cs="宋体"/>
                <w:b/>
                <w:color w:val="auto"/>
                <w:sz w:val="24"/>
                <w:highlight w:val="none"/>
              </w:rPr>
            </w:pPr>
          </w:p>
        </w:tc>
        <w:tc>
          <w:tcPr>
            <w:tcW w:w="6326" w:type="dxa"/>
            <w:tcBorders>
              <w:top w:val="single" w:color="000000" w:sz="8" w:space="0"/>
              <w:left w:val="single" w:color="000000" w:sz="2" w:space="0"/>
              <w:bottom w:val="single" w:color="000000" w:sz="8" w:space="0"/>
              <w:right w:val="single" w:color="000000" w:sz="8" w:space="0"/>
            </w:tcBorders>
            <w:vAlign w:val="center"/>
          </w:tcPr>
          <w:p w14:paraId="3ED4FAD4">
            <w:pPr>
              <w:spacing w:line="360" w:lineRule="auto"/>
              <w:rPr>
                <w:rFonts w:ascii="宋体" w:hAnsi="宋体" w:cs="Arial"/>
                <w:color w:val="auto"/>
                <w:kern w:val="0"/>
                <w:sz w:val="24"/>
                <w:highlight w:val="none"/>
                <w:lang w:val="en"/>
              </w:rPr>
            </w:pPr>
            <w:r>
              <w:rPr>
                <w:rFonts w:hint="eastAsia" w:ascii="宋体" w:hAnsi="宋体" w:cs="宋体"/>
                <w:color w:val="auto"/>
                <w:kern w:val="0"/>
                <w:sz w:val="24"/>
                <w:highlight w:val="none"/>
                <w:lang w:val="en"/>
              </w:rPr>
              <w:t>本项目评审报告推荐的中标候选人数量：</w:t>
            </w:r>
            <w:r>
              <w:rPr>
                <w:rFonts w:hint="eastAsia" w:ascii="宋体" w:hAnsi="宋体" w:cs="宋体"/>
                <w:color w:val="auto"/>
                <w:kern w:val="0"/>
                <w:sz w:val="24"/>
                <w:highlight w:val="none"/>
                <w:u w:val="single"/>
              </w:rPr>
              <w:t xml:space="preserve">  1名  </w:t>
            </w:r>
            <w:r>
              <w:rPr>
                <w:rFonts w:hint="eastAsia" w:ascii="宋体" w:hAnsi="宋体" w:cs="宋体"/>
                <w:color w:val="auto"/>
                <w:kern w:val="0"/>
                <w:sz w:val="24"/>
                <w:highlight w:val="none"/>
                <w:lang w:val="en"/>
              </w:rPr>
              <w:t>。</w:t>
            </w:r>
          </w:p>
        </w:tc>
      </w:tr>
    </w:tbl>
    <w:p w14:paraId="30372387">
      <w:pPr>
        <w:snapToGrid w:val="0"/>
        <w:spacing w:line="360" w:lineRule="auto"/>
        <w:jc w:val="center"/>
        <w:rPr>
          <w:rFonts w:ascii="宋体" w:hAnsi="宋体" w:cs="宋体"/>
          <w:b/>
          <w:color w:val="auto"/>
          <w:sz w:val="32"/>
          <w:szCs w:val="20"/>
          <w:highlight w:val="none"/>
        </w:rPr>
      </w:pPr>
    </w:p>
    <w:p w14:paraId="4E5AB999">
      <w:pPr>
        <w:snapToGrid w:val="0"/>
        <w:spacing w:line="360" w:lineRule="auto"/>
        <w:jc w:val="center"/>
        <w:rPr>
          <w:rFonts w:ascii="宋体" w:hAnsi="宋体" w:cs="宋体"/>
          <w:b/>
          <w:color w:val="auto"/>
          <w:sz w:val="32"/>
          <w:szCs w:val="20"/>
          <w:highlight w:val="none"/>
        </w:rPr>
      </w:pPr>
    </w:p>
    <w:p w14:paraId="098F0E55">
      <w:pPr>
        <w:snapToGrid w:val="0"/>
        <w:spacing w:line="360" w:lineRule="auto"/>
        <w:jc w:val="center"/>
        <w:rPr>
          <w:rFonts w:ascii="宋体" w:hAnsi="宋体" w:cs="宋体"/>
          <w:b/>
          <w:color w:val="auto"/>
          <w:sz w:val="32"/>
          <w:szCs w:val="20"/>
          <w:highlight w:val="none"/>
        </w:rPr>
      </w:pPr>
    </w:p>
    <w:p w14:paraId="3703CE0F">
      <w:pPr>
        <w:snapToGrid w:val="0"/>
        <w:spacing w:line="360" w:lineRule="auto"/>
        <w:jc w:val="center"/>
        <w:rPr>
          <w:rFonts w:ascii="宋体" w:hAnsi="宋体" w:cs="宋体"/>
          <w:b/>
          <w:color w:val="auto"/>
          <w:sz w:val="32"/>
          <w:szCs w:val="20"/>
          <w:highlight w:val="none"/>
        </w:rPr>
      </w:pPr>
    </w:p>
    <w:bookmarkEnd w:id="10"/>
    <w:p w14:paraId="38D232C7">
      <w:pPr>
        <w:adjustRightInd/>
        <w:spacing w:line="360" w:lineRule="auto"/>
        <w:ind w:firstLine="3845" w:firstLineChars="1197"/>
        <w:outlineLvl w:val="0"/>
        <w:rPr>
          <w:rFonts w:hint="eastAsia" w:ascii="宋体" w:hAnsi="宋体" w:cs="宋体"/>
          <w:b/>
          <w:color w:val="auto"/>
          <w:sz w:val="32"/>
          <w:szCs w:val="20"/>
          <w:highlight w:val="none"/>
        </w:rPr>
        <w:sectPr>
          <w:headerReference r:id="rId4" w:type="first"/>
          <w:footerReference r:id="rId7" w:type="first"/>
          <w:headerReference r:id="rId3" w:type="default"/>
          <w:footerReference r:id="rId5" w:type="default"/>
          <w:footerReference r:id="rId6" w:type="even"/>
          <w:pgSz w:w="11906" w:h="16838"/>
          <w:pgMar w:top="1320" w:right="828" w:bottom="1238" w:left="1418" w:header="851" w:footer="992" w:gutter="0"/>
          <w:cols w:space="720" w:num="1"/>
          <w:titlePg/>
          <w:docGrid w:linePitch="312" w:charSpace="0"/>
        </w:sectPr>
      </w:pPr>
      <w:bookmarkStart w:id="11" w:name="_Toc91899903"/>
      <w:bookmarkStart w:id="12" w:name="_Toc164416483"/>
      <w:bookmarkStart w:id="13" w:name="第三部分"/>
    </w:p>
    <w:p w14:paraId="75264CA2">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6B79E12">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0B2D25F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874DAD6">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52AA1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7D0D8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7719B6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25340D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F6878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E8537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12A4C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14747153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1474813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9F2398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74331A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34CA64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70B78FE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▲按要求</w:t>
      </w:r>
      <w:r>
        <w:rPr>
          <w:rFonts w:hint="eastAsia" w:ascii="宋体" w:hAnsi="宋体" w:cs="宋体"/>
          <w:b/>
          <w:bCs/>
          <w:color w:val="auto"/>
          <w:kern w:val="0"/>
          <w:sz w:val="24"/>
          <w:highlight w:val="none"/>
          <w:lang w:val="zh-CN"/>
        </w:rPr>
        <w:t>实施政府强制采购的</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投标人</w:t>
      </w:r>
      <w:r>
        <w:rPr>
          <w:rFonts w:hint="eastAsia" w:ascii="宋体" w:hAnsi="宋体" w:cs="宋体"/>
          <w:b/>
          <w:bCs/>
          <w:color w:val="auto"/>
          <w:kern w:val="0"/>
          <w:sz w:val="24"/>
          <w:highlight w:val="none"/>
        </w:rPr>
        <w:t>就</w:t>
      </w:r>
      <w:r>
        <w:rPr>
          <w:rFonts w:hint="eastAsia" w:ascii="宋体" w:hAnsi="宋体" w:cs="宋体"/>
          <w:b/>
          <w:bCs/>
          <w:color w:val="auto"/>
          <w:kern w:val="0"/>
          <w:sz w:val="24"/>
          <w:highlight w:val="none"/>
          <w:lang w:val="zh-CN"/>
        </w:rPr>
        <w:t>相应的投标产品未</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51ADA5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358A0B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FE2BED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5958D2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4D267C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E520B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5D5B39E">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2CE230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46AAD4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1556A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7862C9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0CE372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7C7E74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2DB10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663ABCB">
      <w:pPr>
        <w:pStyle w:val="3"/>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3097E8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7E799012">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75E51544">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3.6 支持本国产品</w:t>
      </w:r>
    </w:p>
    <w:p w14:paraId="0DF20251">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3.6.1 本国产品标准适用于货物，包括政府采购货物项目和服务项目中涉及的货物。</w:t>
      </w:r>
    </w:p>
    <w:p w14:paraId="5E074292">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3.6.2 本项目既有本国产品又有非本国产品参与竞争的，对本国产品的报价给予20%的价格扣除，用扣除后的价格参与评审。</w:t>
      </w:r>
    </w:p>
    <w:p w14:paraId="5CFE08C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58AEB15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3.6.4 评审委员会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p>
    <w:p w14:paraId="3EE38953">
      <w:pPr>
        <w:spacing w:line="360" w:lineRule="auto"/>
        <w:ind w:firstLine="241" w:firstLineChars="100"/>
        <w:rPr>
          <w:rFonts w:hint="eastAsia" w:ascii="宋体" w:hAnsi="宋体" w:eastAsia="宋体" w:cs="宋体"/>
          <w:b/>
          <w:color w:val="auto"/>
          <w:sz w:val="24"/>
          <w:highlight w:val="none"/>
        </w:rPr>
      </w:pP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6F1AE62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2F5A9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ACB746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1C00706">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53F4E11">
      <w:pPr>
        <w:pStyle w:val="11"/>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DB81FF4">
      <w:pPr>
        <w:pStyle w:val="11"/>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6521B6BF">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93C149A">
      <w:pPr>
        <w:pStyle w:val="11"/>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4CBB85F">
      <w:pPr>
        <w:pStyle w:val="11"/>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C727DD6">
      <w:pPr>
        <w:pStyle w:val="11"/>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E3EAF25">
      <w:pPr>
        <w:pStyle w:val="11"/>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2486A27E">
      <w:pPr>
        <w:pStyle w:val="11"/>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4D239430">
      <w:pPr>
        <w:pStyle w:val="11"/>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6C90EC9C">
      <w:pPr>
        <w:pStyle w:val="11"/>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5D64CD02">
      <w:pPr>
        <w:pStyle w:val="11"/>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35E9E5F8">
      <w:pPr>
        <w:pStyle w:val="2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CE89DCF">
      <w:pPr>
        <w:pStyle w:val="2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13D330D2">
      <w:pPr>
        <w:pStyle w:val="2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6BAEB4ED">
      <w:pPr>
        <w:pStyle w:val="25"/>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1CE0FF4C">
      <w:pPr>
        <w:pStyle w:val="25"/>
        <w:shd w:val="clear" w:color="auto" w:fill="FFFFFF"/>
        <w:snapToGrid w:val="0"/>
        <w:spacing w:after="240" w:line="360" w:lineRule="auto"/>
        <w:ind w:firstLine="400"/>
        <w:contextualSpacing/>
        <w:rPr>
          <w:color w:val="auto"/>
          <w:highlight w:val="none"/>
        </w:rPr>
      </w:pPr>
      <w:r>
        <w:rPr>
          <w:rFonts w:hint="eastAsia"/>
          <w:color w:val="auto"/>
          <w:highlight w:val="none"/>
        </w:rPr>
        <w:t>询问、质疑答复责任主体如下：</w:t>
      </w:r>
    </w:p>
    <w:p w14:paraId="46C993A3">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询问、质疑答复责任主体一览表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69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215BAC06">
            <w:pPr>
              <w:pStyle w:val="11"/>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询问、质疑内容</w:t>
            </w:r>
          </w:p>
        </w:tc>
        <w:tc>
          <w:tcPr>
            <w:tcW w:w="2232" w:type="dxa"/>
            <w:vAlign w:val="center"/>
          </w:tcPr>
          <w:p w14:paraId="342E7E9C">
            <w:pPr>
              <w:pStyle w:val="11"/>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询问、质疑答复</w:t>
            </w:r>
          </w:p>
          <w:p w14:paraId="1DB4CEE4">
            <w:pPr>
              <w:pStyle w:val="11"/>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14:paraId="34A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B3DB89">
            <w:pPr>
              <w:pStyle w:val="1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对采购文件提出询问、质疑</w:t>
            </w:r>
          </w:p>
        </w:tc>
        <w:tc>
          <w:tcPr>
            <w:tcW w:w="4536" w:type="dxa"/>
            <w:vAlign w:val="center"/>
          </w:tcPr>
          <w:p w14:paraId="444B967A">
            <w:pPr>
              <w:pStyle w:val="1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对采购文件中“申请人的资格要求”、“采购需求”、“评审办法”、“采购合同的主要条款”、“采购文件前附表内容”、“报价内容”的询问、质疑</w:t>
            </w:r>
          </w:p>
        </w:tc>
        <w:tc>
          <w:tcPr>
            <w:tcW w:w="2232" w:type="dxa"/>
            <w:vAlign w:val="center"/>
          </w:tcPr>
          <w:p w14:paraId="3F6E214D">
            <w:pPr>
              <w:pStyle w:val="1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73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0B916">
            <w:pPr>
              <w:pStyle w:val="11"/>
              <w:spacing w:line="360" w:lineRule="auto"/>
              <w:jc w:val="center"/>
              <w:rPr>
                <w:rFonts w:asciiTheme="minorEastAsia" w:hAnsiTheme="minorEastAsia" w:eastAsiaTheme="minorEastAsia"/>
                <w:color w:val="auto"/>
                <w:sz w:val="24"/>
                <w:highlight w:val="none"/>
              </w:rPr>
            </w:pPr>
          </w:p>
        </w:tc>
        <w:tc>
          <w:tcPr>
            <w:tcW w:w="4536" w:type="dxa"/>
            <w:vAlign w:val="center"/>
          </w:tcPr>
          <w:p w14:paraId="620CCE0E">
            <w:pPr>
              <w:pStyle w:val="1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对采购文件中其他内容提出的询问、质疑</w:t>
            </w:r>
          </w:p>
        </w:tc>
        <w:tc>
          <w:tcPr>
            <w:tcW w:w="2232" w:type="dxa"/>
            <w:vAlign w:val="center"/>
          </w:tcPr>
          <w:p w14:paraId="5C5C1F67">
            <w:pPr>
              <w:pStyle w:val="1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14:paraId="2C5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DFB2C8">
            <w:pPr>
              <w:pStyle w:val="1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对采购过程、采购结果提出询问、质疑</w:t>
            </w:r>
          </w:p>
        </w:tc>
        <w:tc>
          <w:tcPr>
            <w:tcW w:w="4536" w:type="dxa"/>
            <w:vAlign w:val="center"/>
          </w:tcPr>
          <w:p w14:paraId="4498C457">
            <w:pPr>
              <w:pStyle w:val="1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对“现场考察、答疑会”、 “甲方负责接收和保存的样品” 、“资格审查”、“评审”等环节的询问、质疑</w:t>
            </w:r>
          </w:p>
        </w:tc>
        <w:tc>
          <w:tcPr>
            <w:tcW w:w="2232" w:type="dxa"/>
            <w:vAlign w:val="center"/>
          </w:tcPr>
          <w:p w14:paraId="75A54FB7">
            <w:pPr>
              <w:pStyle w:val="1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82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9B346E">
            <w:pPr>
              <w:pStyle w:val="11"/>
              <w:spacing w:line="360" w:lineRule="auto"/>
              <w:jc w:val="center"/>
              <w:rPr>
                <w:rFonts w:asciiTheme="minorEastAsia" w:hAnsiTheme="minorEastAsia" w:eastAsiaTheme="minorEastAsia"/>
                <w:color w:val="auto"/>
                <w:sz w:val="24"/>
                <w:highlight w:val="none"/>
              </w:rPr>
            </w:pPr>
          </w:p>
        </w:tc>
        <w:tc>
          <w:tcPr>
            <w:tcW w:w="4536" w:type="dxa"/>
            <w:vAlign w:val="center"/>
          </w:tcPr>
          <w:p w14:paraId="3280B8AA">
            <w:pPr>
              <w:pStyle w:val="1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对采购过程、采购结果其他环节的询问、质疑</w:t>
            </w:r>
          </w:p>
        </w:tc>
        <w:tc>
          <w:tcPr>
            <w:tcW w:w="2232" w:type="dxa"/>
            <w:vAlign w:val="center"/>
          </w:tcPr>
          <w:p w14:paraId="3342DB1D">
            <w:pPr>
              <w:pStyle w:val="1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14:paraId="63F18984">
      <w:pPr>
        <w:pStyle w:val="25"/>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2680FC7B">
      <w:pPr>
        <w:pStyle w:val="25"/>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B98A2A9">
      <w:pPr>
        <w:pStyle w:val="2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0B604195">
      <w:pPr>
        <w:pStyle w:val="2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45CA2ED">
      <w:pPr>
        <w:pStyle w:val="2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65D7F310">
      <w:pPr>
        <w:pStyle w:val="2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700A975D">
      <w:pPr>
        <w:pStyle w:val="25"/>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712FF852">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54AEF82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72BB4CFD">
      <w:pPr>
        <w:pStyle w:val="2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00B71198">
      <w:pPr>
        <w:pStyle w:val="23"/>
        <w:snapToGrid w:val="0"/>
        <w:spacing w:before="0"/>
        <w:ind w:firstLine="360"/>
        <w:rPr>
          <w:rFonts w:ascii="宋体" w:hAnsi="宋体" w:cs="宋体"/>
          <w:color w:val="auto"/>
          <w:sz w:val="18"/>
          <w:szCs w:val="18"/>
          <w:highlight w:val="none"/>
        </w:rPr>
      </w:pPr>
    </w:p>
    <w:p w14:paraId="60847ABF">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4B83C9F8">
      <w:pPr>
        <w:pStyle w:val="11"/>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43FBF41">
      <w:pPr>
        <w:pStyle w:val="11"/>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48832F7">
      <w:pPr>
        <w:pStyle w:val="11"/>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0208193">
      <w:pPr>
        <w:pStyle w:val="11"/>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DECB49D">
      <w:pPr>
        <w:pStyle w:val="11"/>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B107D15">
      <w:pPr>
        <w:pStyle w:val="11"/>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FEA5162">
      <w:pPr>
        <w:pStyle w:val="11"/>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C8291B4">
      <w:pPr>
        <w:pStyle w:val="11"/>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196C0D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455F096">
      <w:pPr>
        <w:pStyle w:val="11"/>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6177C236">
      <w:pPr>
        <w:pStyle w:val="23"/>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64AD250A">
      <w:pPr>
        <w:pStyle w:val="23"/>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B4D946">
      <w:pPr>
        <w:pStyle w:val="7"/>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53A42102">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11640B7F">
      <w:pPr>
        <w:pStyle w:val="11"/>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FE5694F">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7BCB54C">
      <w:pPr>
        <w:pStyle w:val="11"/>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04728D9E">
      <w:pPr>
        <w:pStyle w:val="11"/>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0177369">
      <w:pPr>
        <w:pStyle w:val="11"/>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17BD70F">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37DA2D84">
      <w:pPr>
        <w:pStyle w:val="11"/>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910770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99A92E7">
      <w:pPr>
        <w:pStyle w:val="11"/>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693E5C2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B3DB47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3F8D47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08560E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9013B6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AD56734">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A185A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B74C80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279A306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3E7F7D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DDBD84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B9291F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1A42F8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5AAD2E4">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37ABAA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C3D93F9">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2BDB0CA6">
      <w:pPr>
        <w:pStyle w:val="3"/>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p>
    <w:p w14:paraId="1DC36947">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68BB57C">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30120E37">
      <w:pPr>
        <w:pStyle w:val="23"/>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599684A">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44919A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99FF37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16CD10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B93CB6D">
      <w:pPr>
        <w:pStyle w:val="23"/>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286B4080">
      <w:pPr>
        <w:pStyle w:val="23"/>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F65C72E">
      <w:pPr>
        <w:pStyle w:val="23"/>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348BCF79">
      <w:pPr>
        <w:pStyle w:val="23"/>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5BCDF5B">
      <w:pPr>
        <w:pStyle w:val="23"/>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D029645">
      <w:pPr>
        <w:pStyle w:val="23"/>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C0FF7C3">
      <w:pPr>
        <w:pStyle w:val="23"/>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1CFFFBD8">
      <w:pPr>
        <w:pStyle w:val="11"/>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2A04E0C">
      <w:pPr>
        <w:pStyle w:val="11"/>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45B22E94">
      <w:pPr>
        <w:pStyle w:val="11"/>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7435F7A">
      <w:pPr>
        <w:pStyle w:val="11"/>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43F0A03">
      <w:pPr>
        <w:pStyle w:val="11"/>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251A884F">
      <w:pPr>
        <w:pStyle w:val="11"/>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DB60A0B">
      <w:pPr>
        <w:pStyle w:val="23"/>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74E5FFB">
      <w:pPr>
        <w:pStyle w:val="10"/>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77669CCC">
      <w:pPr>
        <w:pStyle w:val="23"/>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4E78CE15">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59A5936">
      <w:pPr>
        <w:pStyle w:val="23"/>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0B27342F">
      <w:pPr>
        <w:pStyle w:val="23"/>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25870E80">
      <w:pPr>
        <w:pStyle w:val="23"/>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1D3F69FE">
      <w:pPr>
        <w:pStyle w:val="26"/>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B6042C8">
      <w:pPr>
        <w:pStyle w:val="2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75EC8592">
      <w:pPr>
        <w:pStyle w:val="2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2E1B55E9">
      <w:pPr>
        <w:pStyle w:val="26"/>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CBE3002">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02306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7ECDA655">
      <w:pPr>
        <w:pStyle w:val="23"/>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8AA200A">
      <w:pPr>
        <w:pStyle w:val="23"/>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869969E">
      <w:pPr>
        <w:pStyle w:val="23"/>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56CCE8D2">
      <w:pPr>
        <w:pStyle w:val="23"/>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385E7C5D">
      <w:pPr>
        <w:pStyle w:val="23"/>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1F25F72F">
      <w:pPr>
        <w:pStyle w:val="23"/>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987AE4E">
      <w:pPr>
        <w:pStyle w:val="23"/>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E3A0A42">
      <w:pPr>
        <w:pStyle w:val="23"/>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18D73C6">
      <w:pPr>
        <w:pStyle w:val="23"/>
        <w:spacing w:before="0"/>
        <w:ind w:firstLine="0" w:firstLineChars="0"/>
        <w:rPr>
          <w:rFonts w:ascii="宋体" w:hAnsi="宋体" w:cs="宋体"/>
          <w:color w:val="auto"/>
          <w:kern w:val="0"/>
          <w:szCs w:val="24"/>
          <w:highlight w:val="none"/>
        </w:rPr>
      </w:pPr>
    </w:p>
    <w:p w14:paraId="46D47E96">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11FD2421">
      <w:pPr>
        <w:spacing w:line="360" w:lineRule="auto"/>
        <w:rPr>
          <w:rFonts w:ascii="宋体" w:hAnsi="宋体" w:cs="宋体"/>
          <w:b/>
          <w:color w:val="auto"/>
          <w:sz w:val="24"/>
          <w:highlight w:val="none"/>
        </w:rPr>
      </w:pPr>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DC5F1C0">
      <w:pPr>
        <w:spacing w:line="360" w:lineRule="auto"/>
        <w:rPr>
          <w:rFonts w:ascii="宋体" w:hAnsi="宋体" w:cs="宋体"/>
          <w:b/>
          <w:color w:val="auto"/>
          <w:sz w:val="24"/>
          <w:highlight w:val="none"/>
        </w:rPr>
      </w:pPr>
    </w:p>
    <w:p w14:paraId="53E6E205">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1F2C2BB3">
      <w:pPr>
        <w:pStyle w:val="10"/>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24C3DA6">
      <w:pPr>
        <w:pStyle w:val="23"/>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5FA0F692">
      <w:pPr>
        <w:pStyle w:val="23"/>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6E71B6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39A557C1">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23.2</w:t>
      </w:r>
      <w:r>
        <w:rPr>
          <w:rFonts w:hint="eastAsia" w:ascii="宋体" w:hAnsi="宋体" w:cs="宋体"/>
          <w:color w:val="auto"/>
          <w:sz w:val="24"/>
          <w:highlight w:val="none"/>
        </w:rPr>
        <w:t>中标结果公告内容包括采购人及其委托的采购机构的名称、地址、联系方式，项目名称和项目编号，中标人名称、地址和中标金额，主要中标标的的名称、规格型号、数量、单价、服务要求，中标公告期限以及评审专家名单。</w:t>
      </w:r>
    </w:p>
    <w:p w14:paraId="63BD62E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BEABF55">
      <w:pPr>
        <w:pStyle w:val="23"/>
        <w:adjustRightInd w:val="0"/>
        <w:snapToGrid w:val="0"/>
        <w:spacing w:before="0"/>
        <w:ind w:firstLine="482" w:firstLineChars="200"/>
        <w:rPr>
          <w:rStyle w:val="21"/>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45E8376F">
      <w:pPr>
        <w:pStyle w:val="27"/>
        <w:rPr>
          <w:color w:val="auto"/>
          <w:highlight w:val="none"/>
        </w:rPr>
      </w:pPr>
    </w:p>
    <w:p w14:paraId="0F58D64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3BB7C477">
      <w:pPr>
        <w:pStyle w:val="10"/>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16AA38D">
      <w:pPr>
        <w:pStyle w:val="10"/>
        <w:spacing w:line="360" w:lineRule="auto"/>
        <w:ind w:left="479" w:hanging="479" w:hangingChars="199"/>
        <w:rPr>
          <w:rFonts w:cs="宋体"/>
          <w:b/>
          <w:color w:val="auto"/>
          <w:highlight w:val="none"/>
        </w:rPr>
      </w:pPr>
      <w:r>
        <w:rPr>
          <w:rFonts w:hint="eastAsia" w:cs="宋体"/>
          <w:b/>
          <w:color w:val="auto"/>
          <w:highlight w:val="none"/>
        </w:rPr>
        <w:t>25. 合同的签订</w:t>
      </w:r>
    </w:p>
    <w:p w14:paraId="6670DD7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54482F7">
      <w:pPr>
        <w:pStyle w:val="23"/>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2A0FF6F">
      <w:pPr>
        <w:pStyle w:val="23"/>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FE73C7B">
      <w:pPr>
        <w:pStyle w:val="23"/>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0E217D3C">
      <w:pPr>
        <w:pStyle w:val="23"/>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686FF9F0">
      <w:pPr>
        <w:pStyle w:val="10"/>
        <w:spacing w:line="360" w:lineRule="auto"/>
        <w:ind w:left="479" w:hanging="479" w:hangingChars="199"/>
        <w:rPr>
          <w:rFonts w:cs="宋体"/>
          <w:b/>
          <w:color w:val="auto"/>
          <w:highlight w:val="none"/>
        </w:rPr>
      </w:pPr>
      <w:r>
        <w:rPr>
          <w:rFonts w:hint="eastAsia" w:cs="宋体"/>
          <w:b/>
          <w:color w:val="auto"/>
          <w:highlight w:val="none"/>
        </w:rPr>
        <w:t>26. 履约保证金</w:t>
      </w:r>
    </w:p>
    <w:p w14:paraId="5155207B">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068AD04">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3C939F7B">
      <w:pPr>
        <w:pStyle w:val="3"/>
        <w:rPr>
          <w:color w:val="auto"/>
          <w:highlight w:val="none"/>
        </w:rPr>
      </w:pPr>
      <w:r>
        <w:rPr>
          <w:rFonts w:ascii="宋体" w:hAnsi="宋体" w:eastAsia="宋体"/>
          <w:b/>
          <w:bCs/>
          <w:color w:val="auto"/>
          <w:sz w:val="24"/>
          <w:szCs w:val="32"/>
          <w:highlight w:val="none"/>
          <w:lang w:val="en-US"/>
        </w:rPr>
        <w:t>27.预付款</w:t>
      </w:r>
    </w:p>
    <w:p w14:paraId="02CAFB67">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3E18607F">
      <w:pPr>
        <w:rPr>
          <w:color w:val="auto"/>
          <w:highlight w:val="none"/>
        </w:rPr>
      </w:pPr>
    </w:p>
    <w:p w14:paraId="6CF853D2">
      <w:pPr>
        <w:snapToGrid w:val="0"/>
        <w:spacing w:line="360" w:lineRule="auto"/>
        <w:ind w:firstLine="3357" w:firstLineChars="1045"/>
        <w:rPr>
          <w:rFonts w:ascii="宋体" w:hAnsi="宋体" w:cs="宋体"/>
          <w:b/>
          <w:color w:val="auto"/>
          <w:sz w:val="32"/>
          <w:highlight w:val="none"/>
        </w:rPr>
      </w:pPr>
    </w:p>
    <w:p w14:paraId="3C901466">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26658814">
      <w:pPr>
        <w:pStyle w:val="23"/>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B73C079">
      <w:pPr>
        <w:pStyle w:val="23"/>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3E46E7D4">
      <w:pPr>
        <w:pStyle w:val="23"/>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7FAC8CC">
      <w:pPr>
        <w:pStyle w:val="23"/>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FD1FB31">
      <w:pPr>
        <w:pStyle w:val="23"/>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C80746A">
      <w:pPr>
        <w:pStyle w:val="23"/>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45181751">
      <w:pPr>
        <w:pStyle w:val="23"/>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F4F139C">
      <w:pPr>
        <w:tabs>
          <w:tab w:val="left" w:pos="0"/>
        </w:tabs>
        <w:spacing w:line="360" w:lineRule="auto"/>
        <w:ind w:firstLine="480"/>
        <w:rPr>
          <w:rFonts w:ascii="宋体" w:hAnsi="宋体" w:cs="宋体"/>
          <w:color w:val="auto"/>
          <w:sz w:val="24"/>
          <w:highlight w:val="none"/>
        </w:rPr>
      </w:pPr>
    </w:p>
    <w:p w14:paraId="652757CD">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E32013D">
      <w:pPr>
        <w:pStyle w:val="10"/>
        <w:spacing w:line="360" w:lineRule="auto"/>
        <w:ind w:firstLine="0" w:firstLineChars="0"/>
        <w:rPr>
          <w:rFonts w:cs="宋体"/>
          <w:b/>
          <w:color w:val="auto"/>
          <w:highlight w:val="none"/>
        </w:rPr>
      </w:pPr>
      <w:r>
        <w:rPr>
          <w:rFonts w:hint="eastAsia" w:cs="宋体"/>
          <w:b/>
          <w:color w:val="auto"/>
          <w:highlight w:val="none"/>
        </w:rPr>
        <w:t>30.验收</w:t>
      </w:r>
    </w:p>
    <w:p w14:paraId="76A3AA3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9E4F8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1658F91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5485AF">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515D65">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66FFFCA7">
      <w:pPr>
        <w:pStyle w:val="27"/>
        <w:ind w:firstLine="480"/>
        <w:rPr>
          <w:color w:val="auto"/>
          <w:highlight w:val="none"/>
        </w:rPr>
      </w:pPr>
    </w:p>
    <w:bookmarkEnd w:id="11"/>
    <w:p w14:paraId="0967D4F4">
      <w:pPr>
        <w:tabs>
          <w:tab w:val="left" w:pos="0"/>
        </w:tabs>
        <w:spacing w:line="360" w:lineRule="auto"/>
        <w:ind w:firstLine="480"/>
        <w:rPr>
          <w:rFonts w:ascii="宋体" w:hAnsi="宋体" w:cs="宋体"/>
          <w:color w:val="auto"/>
          <w:kern w:val="0"/>
          <w:sz w:val="24"/>
          <w:highlight w:val="none"/>
        </w:rPr>
        <w:sectPr>
          <w:pgSz w:w="11906" w:h="16838"/>
          <w:pgMar w:top="1320" w:right="828" w:bottom="1238" w:left="1418" w:header="851" w:footer="992" w:gutter="0"/>
          <w:cols w:space="720" w:num="1"/>
          <w:titlePg/>
          <w:docGrid w:linePitch="312" w:charSpace="0"/>
        </w:sectPr>
      </w:pPr>
      <w:bookmarkStart w:id="14" w:name="_Hlt75236011"/>
      <w:bookmarkEnd w:id="14"/>
      <w:bookmarkStart w:id="15" w:name="_Hlt68072990"/>
      <w:bookmarkEnd w:id="15"/>
      <w:bookmarkStart w:id="16" w:name="_Hlt74730295"/>
      <w:bookmarkEnd w:id="16"/>
      <w:bookmarkStart w:id="17" w:name="_Hlt75236290"/>
      <w:bookmarkEnd w:id="17"/>
      <w:bookmarkStart w:id="18" w:name="_Hlt75236101"/>
      <w:bookmarkEnd w:id="18"/>
      <w:bookmarkStart w:id="19" w:name="_Hlt68057669"/>
      <w:bookmarkEnd w:id="19"/>
      <w:bookmarkStart w:id="20" w:name="_Hlt68403820"/>
      <w:bookmarkEnd w:id="20"/>
      <w:bookmarkStart w:id="21" w:name="_Hlt74729768"/>
      <w:bookmarkEnd w:id="21"/>
      <w:bookmarkStart w:id="22" w:name="_Hlt68073093"/>
      <w:bookmarkEnd w:id="22"/>
      <w:bookmarkStart w:id="23" w:name="_Hlt74707468"/>
      <w:bookmarkEnd w:id="23"/>
      <w:bookmarkStart w:id="24" w:name="_Hlt68072998"/>
      <w:bookmarkEnd w:id="24"/>
      <w:bookmarkStart w:id="25" w:name="_Hlt74714665"/>
      <w:bookmarkEnd w:id="25"/>
    </w:p>
    <w:bookmarkEnd w:id="12"/>
    <w:bookmarkEnd w:id="13"/>
    <w:p w14:paraId="62E7EA50">
      <w:pPr>
        <w:spacing w:line="360" w:lineRule="auto"/>
        <w:jc w:val="center"/>
        <w:outlineLvl w:val="0"/>
        <w:rPr>
          <w:rFonts w:ascii="宋体" w:hAnsi="宋体" w:cs="宋体"/>
          <w:b/>
          <w:color w:val="auto"/>
          <w:sz w:val="36"/>
          <w:szCs w:val="36"/>
          <w:highlight w:val="none"/>
        </w:rPr>
      </w:pPr>
      <w:bookmarkStart w:id="26" w:name="第四部分"/>
      <w:r>
        <w:rPr>
          <w:rFonts w:hint="eastAsia" w:ascii="宋体" w:hAnsi="宋体" w:cs="宋体"/>
          <w:b/>
          <w:color w:val="auto"/>
          <w:sz w:val="36"/>
          <w:szCs w:val="36"/>
          <w:highlight w:val="none"/>
        </w:rPr>
        <w:t>第三部分   采购需求</w:t>
      </w:r>
    </w:p>
    <w:p w14:paraId="0CCABE42">
      <w:pPr>
        <w:spacing w:line="360" w:lineRule="auto"/>
        <w:ind w:firstLine="480" w:firstLineChars="200"/>
        <w:jc w:val="left"/>
        <w:rPr>
          <w:color w:val="auto"/>
          <w:highlight w:val="none"/>
        </w:rPr>
      </w:pPr>
      <w:r>
        <w:rPr>
          <w:rFonts w:hint="eastAsia" w:ascii="仿宋" w:hAnsi="仿宋" w:eastAsia="仿宋"/>
          <w:color w:val="auto"/>
          <w:sz w:val="24"/>
          <w:highlight w:val="none"/>
        </w:rPr>
        <w:t>本项目运维服务主要包括以下内容：交通指挥中心运行维保服务、杭州交通系统视频综合平台运行维保服务、交通营运车（船）载视频平台维保服务、杭州市交通建设工程视频平台维保服务、交通、港航大楼楼内监控维保服务。具体</w:t>
      </w:r>
      <w:r>
        <w:rPr>
          <w:rFonts w:hint="eastAsia" w:ascii="仿宋" w:hAnsi="仿宋" w:eastAsia="仿宋"/>
          <w:color w:val="auto"/>
          <w:sz w:val="24"/>
          <w:highlight w:val="none"/>
          <w:lang w:val="en-US" w:eastAsia="zh-CN"/>
        </w:rPr>
        <w:t>工作</w:t>
      </w:r>
      <w:r>
        <w:rPr>
          <w:rFonts w:hint="eastAsia" w:ascii="仿宋" w:hAnsi="仿宋" w:eastAsia="仿宋"/>
          <w:color w:val="auto"/>
          <w:sz w:val="24"/>
          <w:highlight w:val="none"/>
        </w:rPr>
        <w:t>要求如下：</w:t>
      </w:r>
    </w:p>
    <w:p w14:paraId="3D5CC6C2">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一、交通指挥中心运行维保服务</w:t>
      </w:r>
    </w:p>
    <w:p w14:paraId="75B342A4">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主要包括指挥中心使用频率较高的视频系统硬件维护；指挥室大屏（包括交通大楼形象展示屏）；二楼、三楼会议室大屏；指挥中心涉及的楼内监控；机房；外场等设备维护及维修更换；指挥中心展示系统的日常运维。</w:t>
      </w:r>
    </w:p>
    <w:p w14:paraId="0ADE52F1">
      <w:pPr>
        <w:pStyle w:val="16"/>
        <w:ind w:left="0" w:leftChars="0" w:firstLine="0" w:firstLineChars="0"/>
        <w:rPr>
          <w:rFonts w:ascii="仿宋" w:hAnsi="仿宋" w:eastAsia="仿宋"/>
          <w:b/>
          <w:color w:val="auto"/>
          <w:sz w:val="24"/>
          <w:highlight w:val="none"/>
        </w:rPr>
      </w:pPr>
      <w:r>
        <w:rPr>
          <w:rFonts w:hint="eastAsia" w:ascii="仿宋" w:hAnsi="仿宋" w:eastAsia="仿宋"/>
          <w:b/>
          <w:color w:val="auto"/>
          <w:sz w:val="24"/>
          <w:highlight w:val="none"/>
        </w:rPr>
        <w:t xml:space="preserve"> </w:t>
      </w:r>
      <w:r>
        <w:rPr>
          <w:rFonts w:ascii="仿宋" w:hAnsi="仿宋" w:eastAsia="仿宋"/>
          <w:b/>
          <w:color w:val="auto"/>
          <w:sz w:val="24"/>
          <w:highlight w:val="none"/>
        </w:rPr>
        <w:t xml:space="preserve">   </w:t>
      </w:r>
      <w:r>
        <w:rPr>
          <w:rFonts w:hint="eastAsia" w:ascii="仿宋" w:hAnsi="仿宋" w:eastAsia="仿宋"/>
          <w:b/>
          <w:color w:val="auto"/>
          <w:sz w:val="24"/>
          <w:highlight w:val="none"/>
        </w:rPr>
        <w:t>（一）日常的软硬件巡检、维修</w:t>
      </w:r>
    </w:p>
    <w:p w14:paraId="5EA5130D">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1、维护内容主要包括：视频系统硬件维护、指挥室大屏（包括交通大楼形象展示屏）、二楼及三楼会议室大屏、指挥中心内监控、机房、外场等设备维护；</w:t>
      </w:r>
    </w:p>
    <w:p w14:paraId="1211C805">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w:t>
      </w:r>
      <w:bookmarkStart w:id="27" w:name="OLE_LINK2"/>
      <w:bookmarkStart w:id="28" w:name="OLE_LINK3"/>
      <w:r>
        <w:rPr>
          <w:rFonts w:hint="eastAsia" w:ascii="仿宋" w:hAnsi="仿宋" w:eastAsia="仿宋"/>
          <w:color w:val="auto"/>
          <w:sz w:val="24"/>
          <w:highlight w:val="none"/>
        </w:rPr>
        <w:t>视频系统硬件维修：解码器、视频存储等硬件维修。设备清单：存储服务器(4200)一台；NAS存储（6块4T硬盘）；二楼B</w:t>
      </w:r>
      <w:r>
        <w:rPr>
          <w:rFonts w:ascii="仿宋" w:hAnsi="仿宋" w:eastAsia="仿宋"/>
          <w:color w:val="auto"/>
          <w:sz w:val="24"/>
          <w:highlight w:val="none"/>
        </w:rPr>
        <w:t>20</w:t>
      </w:r>
      <w:r>
        <w:rPr>
          <w:rFonts w:hint="eastAsia" w:ascii="仿宋" w:hAnsi="仿宋" w:eastAsia="仿宋"/>
          <w:color w:val="auto"/>
          <w:sz w:val="24"/>
          <w:highlight w:val="none"/>
        </w:rPr>
        <w:t>一台；联网网关2台；</w:t>
      </w:r>
    </w:p>
    <w:p w14:paraId="7CC2D32E">
      <w:pPr>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交通强国示范城市数字交通建设试点项目（一期）项目中的服务器（DS-VM21S-B）9台，B20(DS-B20-S10-A)一台。</w:t>
      </w:r>
    </w:p>
    <w:bookmarkEnd w:id="27"/>
    <w:bookmarkEnd w:id="28"/>
    <w:p w14:paraId="710DC705">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3、指挥室大屏（交通大楼形象展示屏）：</w:t>
      </w:r>
      <w:r>
        <w:rPr>
          <w:rFonts w:ascii="仿宋" w:hAnsi="仿宋" w:eastAsia="仿宋"/>
          <w:color w:val="auto"/>
          <w:sz w:val="24"/>
          <w:highlight w:val="none"/>
        </w:rPr>
        <w:t xml:space="preserve"> </w:t>
      </w:r>
      <w:r>
        <w:rPr>
          <w:rFonts w:hint="eastAsia" w:ascii="仿宋" w:hAnsi="仿宋" w:eastAsia="仿宋"/>
          <w:color w:val="auto"/>
          <w:sz w:val="24"/>
          <w:highlight w:val="none"/>
        </w:rPr>
        <w:t>指挥</w:t>
      </w:r>
      <w:r>
        <w:rPr>
          <w:rFonts w:ascii="仿宋" w:hAnsi="仿宋" w:eastAsia="仿宋"/>
          <w:color w:val="auto"/>
          <w:sz w:val="24"/>
          <w:highlight w:val="none"/>
        </w:rPr>
        <w:t>中心</w:t>
      </w:r>
      <w:r>
        <w:rPr>
          <w:rFonts w:hint="eastAsia" w:ascii="仿宋" w:hAnsi="仿宋" w:eastAsia="仿宋"/>
          <w:color w:val="auto"/>
          <w:sz w:val="24"/>
          <w:highlight w:val="none"/>
        </w:rPr>
        <w:t>L</w:t>
      </w:r>
      <w:r>
        <w:rPr>
          <w:rFonts w:ascii="仿宋" w:hAnsi="仿宋" w:eastAsia="仿宋"/>
          <w:color w:val="auto"/>
          <w:sz w:val="24"/>
          <w:highlight w:val="none"/>
        </w:rPr>
        <w:t>ED屏</w:t>
      </w:r>
      <w:r>
        <w:rPr>
          <w:rFonts w:hint="eastAsia" w:ascii="仿宋" w:hAnsi="仿宋" w:eastAsia="仿宋"/>
          <w:color w:val="auto"/>
          <w:sz w:val="24"/>
          <w:highlight w:val="none"/>
        </w:rPr>
        <w:t>和交通大楼形象展示屏的日常抢修维护、线路的维护、整机巡检、系统运行记录、软件维护、设备的维修更换。一年两次的原厂巡检，一年一次的几何调整、颜色一致性调整。</w:t>
      </w:r>
    </w:p>
    <w:p w14:paraId="33564E86">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4、二楼、三楼会议室大屏、指挥中心涉及的楼内监控：LED大屏日常的维护抢修、线路的维护、整机一年两次的巡检、几何调整、颜色一致性调整、系统运行记录、软件维护；LED大屏每年至少需进行一次修补工作；楼内监控日常设备的维护、调试、线路维护、设备维修更换。</w:t>
      </w:r>
    </w:p>
    <w:p w14:paraId="585D7276">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5、机房：门禁系统、</w:t>
      </w:r>
      <w:r>
        <w:rPr>
          <w:rFonts w:ascii="仿宋" w:hAnsi="仿宋" w:eastAsia="仿宋"/>
          <w:color w:val="auto"/>
          <w:sz w:val="24"/>
          <w:highlight w:val="none"/>
        </w:rPr>
        <w:t>UPS</w:t>
      </w:r>
      <w:r>
        <w:rPr>
          <w:rFonts w:hint="eastAsia" w:ascii="仿宋" w:hAnsi="仿宋" w:eastAsia="仿宋"/>
          <w:color w:val="auto"/>
          <w:sz w:val="24"/>
          <w:highlight w:val="none"/>
        </w:rPr>
        <w:t>、精密空调、机柜及其内部设备线缆、强弱电、气体消防的维护、设备维修更换。门禁系统每月巡检；精密空调每年二次的常规保养、检测，每月巡检；</w:t>
      </w:r>
      <w:r>
        <w:rPr>
          <w:rFonts w:ascii="仿宋" w:hAnsi="仿宋" w:eastAsia="仿宋"/>
          <w:color w:val="auto"/>
          <w:sz w:val="24"/>
          <w:highlight w:val="none"/>
        </w:rPr>
        <w:t>UPS</w:t>
      </w:r>
      <w:r>
        <w:rPr>
          <w:rFonts w:hint="eastAsia" w:ascii="仿宋" w:hAnsi="仿宋" w:eastAsia="仿宋"/>
          <w:color w:val="auto"/>
          <w:sz w:val="24"/>
          <w:highlight w:val="none"/>
        </w:rPr>
        <w:t>每年一次的电池检测，提供电池性能检测数据，供采购人更换电池参考，每月巡检；综合布线，需按照采购人需求增加或调整作相应的变动，包含但不限于线缆材料的增加，费用由中标单位承担。</w:t>
      </w:r>
    </w:p>
    <w:p w14:paraId="3D2315C2">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6、外场：外场监控线缆、管路的维修更换；断线第一时间到现场查看故障原因，配合网络运营商检查网络等；球机调整移位和维修更换；做好监控点位平台巡检，对于网络不通及图像差等故障做到一报一查一回复。昱岭关、千秋关、市岭、下沙大桥南、勾庄</w:t>
      </w:r>
      <w:r>
        <w:rPr>
          <w:rFonts w:ascii="仿宋" w:hAnsi="仿宋" w:eastAsia="仿宋"/>
          <w:color w:val="auto"/>
          <w:sz w:val="24"/>
          <w:highlight w:val="none"/>
        </w:rPr>
        <w:t>104</w:t>
      </w:r>
      <w:r>
        <w:rPr>
          <w:rFonts w:hint="eastAsia" w:ascii="仿宋" w:hAnsi="仿宋" w:eastAsia="仿宋"/>
          <w:color w:val="auto"/>
          <w:sz w:val="24"/>
          <w:highlight w:val="none"/>
        </w:rPr>
        <w:t>国道、留下</w:t>
      </w:r>
      <w:r>
        <w:rPr>
          <w:rFonts w:ascii="仿宋" w:hAnsi="仿宋" w:eastAsia="仿宋"/>
          <w:color w:val="auto"/>
          <w:sz w:val="24"/>
          <w:highlight w:val="none"/>
        </w:rPr>
        <w:t>02</w:t>
      </w:r>
      <w:r>
        <w:rPr>
          <w:rFonts w:hint="eastAsia" w:ascii="仿宋" w:hAnsi="仿宋" w:eastAsia="仿宋"/>
          <w:color w:val="auto"/>
          <w:sz w:val="24"/>
          <w:highlight w:val="none"/>
        </w:rPr>
        <w:t>省道、绕城龙坞跨线桥、五常文二西路监控、峰会新增外场52处监控以及京杭运河四改三视频监控3</w:t>
      </w:r>
      <w:r>
        <w:rPr>
          <w:rFonts w:ascii="仿宋" w:hAnsi="仿宋" w:eastAsia="仿宋"/>
          <w:color w:val="auto"/>
          <w:sz w:val="24"/>
          <w:highlight w:val="none"/>
        </w:rPr>
        <w:t>9</w:t>
      </w:r>
      <w:r>
        <w:rPr>
          <w:rFonts w:hint="eastAsia" w:ascii="仿宋" w:hAnsi="仿宋" w:eastAsia="仿宋"/>
          <w:color w:val="auto"/>
          <w:sz w:val="24"/>
          <w:highlight w:val="none"/>
        </w:rPr>
        <w:t>个点位5</w:t>
      </w:r>
      <w:r>
        <w:rPr>
          <w:rFonts w:ascii="仿宋" w:hAnsi="仿宋" w:eastAsia="仿宋"/>
          <w:color w:val="auto"/>
          <w:sz w:val="24"/>
          <w:highlight w:val="none"/>
        </w:rPr>
        <w:t>1路视频，</w:t>
      </w:r>
      <w:r>
        <w:rPr>
          <w:rFonts w:hint="eastAsia" w:ascii="仿宋" w:hAnsi="仿宋" w:eastAsia="仿宋"/>
          <w:color w:val="auto"/>
          <w:sz w:val="24"/>
          <w:highlight w:val="none"/>
        </w:rPr>
        <w:t>京杭运河新开挖段4</w:t>
      </w:r>
      <w:r>
        <w:rPr>
          <w:rFonts w:ascii="仿宋" w:hAnsi="仿宋" w:eastAsia="仿宋"/>
          <w:color w:val="auto"/>
          <w:sz w:val="24"/>
          <w:highlight w:val="none"/>
        </w:rPr>
        <w:t>0个点位88路视频</w:t>
      </w:r>
      <w:r>
        <w:rPr>
          <w:rFonts w:hint="eastAsia" w:ascii="仿宋" w:hAnsi="仿宋" w:eastAsia="仿宋"/>
          <w:color w:val="auto"/>
          <w:sz w:val="24"/>
          <w:highlight w:val="none"/>
        </w:rPr>
        <w:t>。维护设备清单明细表如下：</w:t>
      </w:r>
    </w:p>
    <w:p w14:paraId="5D8FB3CE">
      <w:pPr>
        <w:spacing w:line="360" w:lineRule="auto"/>
        <w:ind w:firstLine="480" w:firstLineChars="200"/>
        <w:jc w:val="center"/>
        <w:rPr>
          <w:rFonts w:ascii="仿宋" w:hAnsi="仿宋" w:eastAsia="仿宋"/>
          <w:color w:val="auto"/>
          <w:sz w:val="24"/>
          <w:highlight w:val="none"/>
        </w:rPr>
      </w:pPr>
      <w:r>
        <w:rPr>
          <w:rFonts w:hint="eastAsia" w:ascii="仿宋" w:hAnsi="仿宋" w:eastAsia="仿宋"/>
          <w:color w:val="auto"/>
          <w:sz w:val="24"/>
          <w:highlight w:val="none"/>
        </w:rPr>
        <w:t>维护设备清单明细表一</w:t>
      </w:r>
    </w:p>
    <w:tbl>
      <w:tblPr>
        <w:tblStyle w:val="17"/>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0"/>
        <w:gridCol w:w="2838"/>
        <w:gridCol w:w="2963"/>
        <w:gridCol w:w="1566"/>
        <w:gridCol w:w="1336"/>
      </w:tblGrid>
      <w:tr w14:paraId="503A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0726C305">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3005" w:type="pct"/>
            <w:gridSpan w:val="2"/>
            <w:tcMar>
              <w:top w:w="15" w:type="dxa"/>
              <w:left w:w="15" w:type="dxa"/>
              <w:right w:w="15" w:type="dxa"/>
            </w:tcMar>
            <w:vAlign w:val="center"/>
          </w:tcPr>
          <w:p w14:paraId="364B6892">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sz w:val="24"/>
                <w:highlight w:val="none"/>
              </w:rPr>
              <w:t>内容</w:t>
            </w:r>
          </w:p>
        </w:tc>
        <w:tc>
          <w:tcPr>
            <w:tcW w:w="811" w:type="pct"/>
            <w:tcMar>
              <w:top w:w="15" w:type="dxa"/>
              <w:left w:w="15" w:type="dxa"/>
              <w:right w:w="15" w:type="dxa"/>
            </w:tcMar>
            <w:vAlign w:val="center"/>
          </w:tcPr>
          <w:p w14:paraId="138CEB7E">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sz w:val="24"/>
                <w:highlight w:val="none"/>
              </w:rPr>
              <w:t>数量（项）</w:t>
            </w:r>
          </w:p>
        </w:tc>
        <w:tc>
          <w:tcPr>
            <w:tcW w:w="692" w:type="pct"/>
          </w:tcPr>
          <w:p w14:paraId="7E29FED5">
            <w:pPr>
              <w:widowControl/>
              <w:jc w:val="center"/>
              <w:textAlignment w:val="center"/>
              <w:rPr>
                <w:rFonts w:ascii="仿宋" w:hAnsi="仿宋" w:eastAsia="仿宋" w:cs="仿宋"/>
                <w:b/>
                <w:color w:val="auto"/>
                <w:sz w:val="24"/>
                <w:highlight w:val="none"/>
              </w:rPr>
            </w:pPr>
            <w:r>
              <w:rPr>
                <w:rFonts w:hint="eastAsia" w:ascii="仿宋" w:hAnsi="仿宋" w:eastAsia="仿宋" w:cs="仿宋"/>
                <w:b/>
                <w:color w:val="auto"/>
                <w:sz w:val="24"/>
                <w:highlight w:val="none"/>
              </w:rPr>
              <w:t>过保日期</w:t>
            </w:r>
          </w:p>
        </w:tc>
      </w:tr>
      <w:tr w14:paraId="2054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2" w:type="pct"/>
            <w:tcMar>
              <w:top w:w="15" w:type="dxa"/>
              <w:left w:w="15" w:type="dxa"/>
              <w:right w:w="15" w:type="dxa"/>
            </w:tcMar>
            <w:vAlign w:val="center"/>
          </w:tcPr>
          <w:p w14:paraId="508A50A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1470" w:type="pct"/>
            <w:vMerge w:val="restart"/>
            <w:tcMar>
              <w:top w:w="15" w:type="dxa"/>
              <w:left w:w="15" w:type="dxa"/>
              <w:right w:w="15" w:type="dxa"/>
            </w:tcMar>
            <w:vAlign w:val="center"/>
          </w:tcPr>
          <w:p w14:paraId="5325729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多媒体互动屏</w:t>
            </w:r>
          </w:p>
        </w:tc>
        <w:tc>
          <w:tcPr>
            <w:tcW w:w="1535" w:type="pct"/>
            <w:tcMar>
              <w:top w:w="15" w:type="dxa"/>
              <w:left w:w="15" w:type="dxa"/>
              <w:right w:w="15" w:type="dxa"/>
            </w:tcMar>
            <w:vAlign w:val="center"/>
          </w:tcPr>
          <w:p w14:paraId="4AC739B2">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多点触控屏</w:t>
            </w:r>
          </w:p>
        </w:tc>
        <w:tc>
          <w:tcPr>
            <w:tcW w:w="811" w:type="pct"/>
            <w:tcMar>
              <w:top w:w="15" w:type="dxa"/>
              <w:left w:w="15" w:type="dxa"/>
              <w:right w:w="15" w:type="dxa"/>
            </w:tcMar>
            <w:vAlign w:val="center"/>
          </w:tcPr>
          <w:p w14:paraId="6260ACB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92" w:type="pct"/>
          </w:tcPr>
          <w:p w14:paraId="49E33306">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12DC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2" w:type="pct"/>
            <w:tcMar>
              <w:top w:w="15" w:type="dxa"/>
              <w:left w:w="15" w:type="dxa"/>
              <w:right w:w="15" w:type="dxa"/>
            </w:tcMar>
            <w:vAlign w:val="center"/>
          </w:tcPr>
          <w:p w14:paraId="65EC31FC">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1470" w:type="pct"/>
            <w:vMerge w:val="continue"/>
            <w:tcMar>
              <w:top w:w="15" w:type="dxa"/>
              <w:left w:w="15" w:type="dxa"/>
              <w:right w:w="15" w:type="dxa"/>
            </w:tcMar>
            <w:vAlign w:val="center"/>
          </w:tcPr>
          <w:p w14:paraId="1BE0FA59">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203061D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嵌入式电脑</w:t>
            </w:r>
          </w:p>
        </w:tc>
        <w:tc>
          <w:tcPr>
            <w:tcW w:w="811" w:type="pct"/>
            <w:tcMar>
              <w:top w:w="15" w:type="dxa"/>
              <w:left w:w="15" w:type="dxa"/>
              <w:right w:w="15" w:type="dxa"/>
            </w:tcMar>
            <w:vAlign w:val="center"/>
          </w:tcPr>
          <w:p w14:paraId="26BE951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92" w:type="pct"/>
          </w:tcPr>
          <w:p w14:paraId="6AA40C65">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5BA3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2" w:type="pct"/>
            <w:tcMar>
              <w:top w:w="15" w:type="dxa"/>
              <w:left w:w="15" w:type="dxa"/>
              <w:right w:w="15" w:type="dxa"/>
            </w:tcMar>
            <w:vAlign w:val="center"/>
          </w:tcPr>
          <w:p w14:paraId="74A3C528">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1470" w:type="pct"/>
            <w:vMerge w:val="restart"/>
            <w:tcMar>
              <w:top w:w="15" w:type="dxa"/>
              <w:left w:w="15" w:type="dxa"/>
              <w:right w:w="15" w:type="dxa"/>
            </w:tcMar>
            <w:vAlign w:val="center"/>
          </w:tcPr>
          <w:p w14:paraId="3727C11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桌面液晶屏升降器</w:t>
            </w:r>
          </w:p>
        </w:tc>
        <w:tc>
          <w:tcPr>
            <w:tcW w:w="1535" w:type="pct"/>
            <w:tcMar>
              <w:top w:w="15" w:type="dxa"/>
              <w:left w:w="15" w:type="dxa"/>
              <w:right w:w="15" w:type="dxa"/>
            </w:tcMar>
            <w:vAlign w:val="center"/>
          </w:tcPr>
          <w:p w14:paraId="2A915B7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显示屏</w:t>
            </w:r>
          </w:p>
        </w:tc>
        <w:tc>
          <w:tcPr>
            <w:tcW w:w="811" w:type="pct"/>
            <w:tcMar>
              <w:top w:w="15" w:type="dxa"/>
              <w:left w:w="15" w:type="dxa"/>
              <w:right w:w="15" w:type="dxa"/>
            </w:tcMar>
            <w:vAlign w:val="center"/>
          </w:tcPr>
          <w:p w14:paraId="54601C78">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16</w:t>
            </w:r>
          </w:p>
        </w:tc>
        <w:tc>
          <w:tcPr>
            <w:tcW w:w="692" w:type="pct"/>
          </w:tcPr>
          <w:p w14:paraId="3954F0F4">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4E0B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2" w:type="pct"/>
            <w:tcMar>
              <w:top w:w="15" w:type="dxa"/>
              <w:left w:w="15" w:type="dxa"/>
              <w:right w:w="15" w:type="dxa"/>
            </w:tcMar>
            <w:vAlign w:val="center"/>
          </w:tcPr>
          <w:p w14:paraId="2287843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1470" w:type="pct"/>
            <w:vMerge w:val="continue"/>
            <w:tcMar>
              <w:top w:w="15" w:type="dxa"/>
              <w:left w:w="15" w:type="dxa"/>
              <w:right w:w="15" w:type="dxa"/>
            </w:tcMar>
            <w:vAlign w:val="center"/>
          </w:tcPr>
          <w:p w14:paraId="7C17560C">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7F821E4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PC机</w:t>
            </w:r>
          </w:p>
        </w:tc>
        <w:tc>
          <w:tcPr>
            <w:tcW w:w="811" w:type="pct"/>
            <w:tcMar>
              <w:top w:w="15" w:type="dxa"/>
              <w:left w:w="15" w:type="dxa"/>
              <w:right w:w="15" w:type="dxa"/>
            </w:tcMar>
            <w:vAlign w:val="center"/>
          </w:tcPr>
          <w:p w14:paraId="2EBAF12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79B966C8">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7DF4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2" w:type="pct"/>
            <w:tcMar>
              <w:top w:w="15" w:type="dxa"/>
              <w:left w:w="15" w:type="dxa"/>
              <w:right w:w="15" w:type="dxa"/>
            </w:tcMar>
            <w:vAlign w:val="center"/>
          </w:tcPr>
          <w:p w14:paraId="6A1BA50B">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5</w:t>
            </w:r>
          </w:p>
        </w:tc>
        <w:tc>
          <w:tcPr>
            <w:tcW w:w="1470" w:type="pct"/>
            <w:vMerge w:val="continue"/>
            <w:tcMar>
              <w:top w:w="15" w:type="dxa"/>
              <w:left w:w="15" w:type="dxa"/>
              <w:right w:w="15" w:type="dxa"/>
            </w:tcMar>
            <w:vAlign w:val="center"/>
          </w:tcPr>
          <w:p w14:paraId="56CCDD6A">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6668305E">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电动升降器</w:t>
            </w:r>
          </w:p>
        </w:tc>
        <w:tc>
          <w:tcPr>
            <w:tcW w:w="811" w:type="pct"/>
            <w:tcMar>
              <w:top w:w="15" w:type="dxa"/>
              <w:left w:w="15" w:type="dxa"/>
              <w:right w:w="15" w:type="dxa"/>
            </w:tcMar>
            <w:vAlign w:val="center"/>
          </w:tcPr>
          <w:p w14:paraId="50981046">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16</w:t>
            </w:r>
          </w:p>
        </w:tc>
        <w:tc>
          <w:tcPr>
            <w:tcW w:w="692" w:type="pct"/>
          </w:tcPr>
          <w:p w14:paraId="25AE1BCF">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38B7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2" w:type="pct"/>
            <w:tcMar>
              <w:top w:w="15" w:type="dxa"/>
              <w:left w:w="15" w:type="dxa"/>
              <w:right w:w="15" w:type="dxa"/>
            </w:tcMar>
            <w:vAlign w:val="center"/>
          </w:tcPr>
          <w:p w14:paraId="09827428">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6</w:t>
            </w:r>
          </w:p>
        </w:tc>
        <w:tc>
          <w:tcPr>
            <w:tcW w:w="1470" w:type="pct"/>
            <w:vMerge w:val="continue"/>
            <w:tcMar>
              <w:top w:w="15" w:type="dxa"/>
              <w:left w:w="15" w:type="dxa"/>
              <w:right w:w="15" w:type="dxa"/>
            </w:tcMar>
            <w:vAlign w:val="center"/>
          </w:tcPr>
          <w:p w14:paraId="5D9A3BCB">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6335D00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20路视频共享器</w:t>
            </w:r>
          </w:p>
        </w:tc>
        <w:tc>
          <w:tcPr>
            <w:tcW w:w="811" w:type="pct"/>
            <w:tcMar>
              <w:top w:w="15" w:type="dxa"/>
              <w:left w:w="15" w:type="dxa"/>
              <w:right w:w="15" w:type="dxa"/>
            </w:tcMar>
            <w:vAlign w:val="center"/>
          </w:tcPr>
          <w:p w14:paraId="334EB6A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72917D34">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77C7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2" w:type="pct"/>
            <w:tcMar>
              <w:top w:w="15" w:type="dxa"/>
              <w:left w:w="15" w:type="dxa"/>
              <w:right w:w="15" w:type="dxa"/>
            </w:tcMar>
            <w:vAlign w:val="center"/>
          </w:tcPr>
          <w:p w14:paraId="3471E143">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7</w:t>
            </w:r>
          </w:p>
        </w:tc>
        <w:tc>
          <w:tcPr>
            <w:tcW w:w="1470" w:type="pct"/>
            <w:vMerge w:val="restart"/>
            <w:tcMar>
              <w:top w:w="15" w:type="dxa"/>
              <w:left w:w="15" w:type="dxa"/>
              <w:right w:w="15" w:type="dxa"/>
            </w:tcMar>
            <w:vAlign w:val="center"/>
          </w:tcPr>
          <w:p w14:paraId="46C6CCD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视频会议</w:t>
            </w:r>
          </w:p>
        </w:tc>
        <w:tc>
          <w:tcPr>
            <w:tcW w:w="1535" w:type="pct"/>
            <w:tcMar>
              <w:top w:w="15" w:type="dxa"/>
              <w:left w:w="15" w:type="dxa"/>
              <w:right w:w="15" w:type="dxa"/>
            </w:tcMar>
            <w:vAlign w:val="center"/>
          </w:tcPr>
          <w:p w14:paraId="53C7694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视频会议控制器</w:t>
            </w:r>
          </w:p>
        </w:tc>
        <w:tc>
          <w:tcPr>
            <w:tcW w:w="811" w:type="pct"/>
            <w:tcMar>
              <w:top w:w="15" w:type="dxa"/>
              <w:left w:w="15" w:type="dxa"/>
              <w:right w:w="15" w:type="dxa"/>
            </w:tcMar>
            <w:vAlign w:val="center"/>
          </w:tcPr>
          <w:p w14:paraId="0DD75F3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37D10BD0">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14F1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2" w:type="pct"/>
            <w:tcMar>
              <w:top w:w="15" w:type="dxa"/>
              <w:left w:w="15" w:type="dxa"/>
              <w:right w:w="15" w:type="dxa"/>
            </w:tcMar>
            <w:vAlign w:val="center"/>
          </w:tcPr>
          <w:p w14:paraId="059CC5D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8</w:t>
            </w:r>
          </w:p>
        </w:tc>
        <w:tc>
          <w:tcPr>
            <w:tcW w:w="1470" w:type="pct"/>
            <w:vMerge w:val="continue"/>
            <w:tcMar>
              <w:top w:w="15" w:type="dxa"/>
              <w:left w:w="15" w:type="dxa"/>
              <w:right w:w="15" w:type="dxa"/>
            </w:tcMar>
            <w:vAlign w:val="center"/>
          </w:tcPr>
          <w:p w14:paraId="60CA8456">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1A11AB9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视频会议控制器</w:t>
            </w:r>
          </w:p>
        </w:tc>
        <w:tc>
          <w:tcPr>
            <w:tcW w:w="811" w:type="pct"/>
            <w:tcMar>
              <w:top w:w="15" w:type="dxa"/>
              <w:left w:w="15" w:type="dxa"/>
              <w:right w:w="15" w:type="dxa"/>
            </w:tcMar>
            <w:vAlign w:val="center"/>
          </w:tcPr>
          <w:p w14:paraId="10CB0DD8">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52FE60E7">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3D88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2" w:type="pct"/>
            <w:tcMar>
              <w:top w:w="15" w:type="dxa"/>
              <w:left w:w="15" w:type="dxa"/>
              <w:right w:w="15" w:type="dxa"/>
            </w:tcMar>
            <w:vAlign w:val="center"/>
          </w:tcPr>
          <w:p w14:paraId="41A35892">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9</w:t>
            </w:r>
          </w:p>
        </w:tc>
        <w:tc>
          <w:tcPr>
            <w:tcW w:w="1470" w:type="pct"/>
            <w:vMerge w:val="continue"/>
            <w:tcMar>
              <w:top w:w="15" w:type="dxa"/>
              <w:left w:w="15" w:type="dxa"/>
              <w:right w:w="15" w:type="dxa"/>
            </w:tcMar>
            <w:vAlign w:val="center"/>
          </w:tcPr>
          <w:p w14:paraId="5FE8B9A5">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02732E6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视频会议终端</w:t>
            </w:r>
          </w:p>
        </w:tc>
        <w:tc>
          <w:tcPr>
            <w:tcW w:w="811" w:type="pct"/>
            <w:tcMar>
              <w:top w:w="15" w:type="dxa"/>
              <w:left w:w="15" w:type="dxa"/>
              <w:right w:w="15" w:type="dxa"/>
            </w:tcMar>
            <w:vAlign w:val="center"/>
          </w:tcPr>
          <w:p w14:paraId="5E38944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28AC49EE">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3ADD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2" w:type="pct"/>
            <w:tcMar>
              <w:top w:w="15" w:type="dxa"/>
              <w:left w:w="15" w:type="dxa"/>
              <w:right w:w="15" w:type="dxa"/>
            </w:tcMar>
            <w:vAlign w:val="center"/>
          </w:tcPr>
          <w:p w14:paraId="0B9CA92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10</w:t>
            </w:r>
          </w:p>
        </w:tc>
        <w:tc>
          <w:tcPr>
            <w:tcW w:w="1470" w:type="pct"/>
            <w:vMerge w:val="restart"/>
            <w:tcMar>
              <w:top w:w="15" w:type="dxa"/>
              <w:left w:w="15" w:type="dxa"/>
              <w:right w:w="15" w:type="dxa"/>
            </w:tcMar>
            <w:vAlign w:val="center"/>
          </w:tcPr>
          <w:p w14:paraId="6B5C29CF">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指挥大屏</w:t>
            </w:r>
          </w:p>
        </w:tc>
        <w:tc>
          <w:tcPr>
            <w:tcW w:w="1535" w:type="pct"/>
            <w:tcMar>
              <w:top w:w="15" w:type="dxa"/>
              <w:left w:w="15" w:type="dxa"/>
              <w:right w:w="15" w:type="dxa"/>
            </w:tcMar>
            <w:vAlign w:val="center"/>
          </w:tcPr>
          <w:p w14:paraId="0B13F155">
            <w:pPr>
              <w:widowControl/>
              <w:jc w:val="center"/>
              <w:textAlignment w:val="center"/>
              <w:rPr>
                <w:rFonts w:ascii="仿宋" w:hAnsi="仿宋" w:eastAsia="仿宋" w:cs="仿宋"/>
                <w:color w:val="auto"/>
                <w:sz w:val="24"/>
                <w:highlight w:val="none"/>
              </w:rPr>
            </w:pPr>
            <w:r>
              <w:rPr>
                <w:rFonts w:ascii="仿宋" w:hAnsi="仿宋" w:eastAsia="仿宋" w:cs="仿宋"/>
                <w:color w:val="auto"/>
                <w:kern w:val="0"/>
                <w:sz w:val="24"/>
                <w:highlight w:val="none"/>
                <w:lang w:bidi="ar"/>
              </w:rPr>
              <w:t>LED</w:t>
            </w:r>
            <w:r>
              <w:rPr>
                <w:rFonts w:hint="eastAsia" w:ascii="仿宋" w:hAnsi="仿宋" w:eastAsia="仿宋" w:cs="仿宋"/>
                <w:color w:val="auto"/>
                <w:kern w:val="0"/>
                <w:sz w:val="24"/>
                <w:highlight w:val="none"/>
                <w:lang w:bidi="ar"/>
              </w:rPr>
              <w:t>大屏</w:t>
            </w:r>
          </w:p>
        </w:tc>
        <w:tc>
          <w:tcPr>
            <w:tcW w:w="811" w:type="pct"/>
            <w:tcMar>
              <w:top w:w="15" w:type="dxa"/>
              <w:left w:w="15" w:type="dxa"/>
              <w:right w:w="15" w:type="dxa"/>
            </w:tcMar>
            <w:vAlign w:val="center"/>
          </w:tcPr>
          <w:p w14:paraId="4655BB41">
            <w:pPr>
              <w:widowControl/>
              <w:jc w:val="center"/>
              <w:textAlignment w:val="center"/>
              <w:rPr>
                <w:rFonts w:ascii="仿宋" w:hAnsi="仿宋" w:eastAsia="仿宋" w:cs="仿宋"/>
                <w:color w:val="auto"/>
                <w:sz w:val="24"/>
                <w:highlight w:val="none"/>
              </w:rPr>
            </w:pPr>
            <w:r>
              <w:rPr>
                <w:rFonts w:ascii="仿宋" w:hAnsi="仿宋" w:eastAsia="仿宋" w:cs="仿宋"/>
                <w:color w:val="auto"/>
                <w:kern w:val="0"/>
                <w:sz w:val="24"/>
                <w:highlight w:val="none"/>
                <w:lang w:bidi="ar"/>
              </w:rPr>
              <w:t>1</w:t>
            </w:r>
          </w:p>
        </w:tc>
        <w:tc>
          <w:tcPr>
            <w:tcW w:w="692" w:type="pct"/>
          </w:tcPr>
          <w:p w14:paraId="481F3B1C">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w:t>
            </w:r>
            <w:r>
              <w:rPr>
                <w:rFonts w:ascii="仿宋" w:hAnsi="仿宋" w:eastAsia="仿宋" w:cs="仿宋"/>
                <w:color w:val="auto"/>
                <w:kern w:val="0"/>
                <w:sz w:val="24"/>
                <w:highlight w:val="none"/>
                <w:lang w:bidi="ar"/>
              </w:rPr>
              <w:t>24</w:t>
            </w:r>
            <w:r>
              <w:rPr>
                <w:rFonts w:hint="eastAsia" w:ascii="仿宋" w:hAnsi="仿宋" w:eastAsia="仿宋" w:cs="仿宋"/>
                <w:color w:val="auto"/>
                <w:kern w:val="0"/>
                <w:sz w:val="24"/>
                <w:highlight w:val="none"/>
                <w:lang w:bidi="ar"/>
              </w:rPr>
              <w:t>.</w:t>
            </w:r>
            <w:r>
              <w:rPr>
                <w:rFonts w:ascii="仿宋" w:hAnsi="仿宋" w:eastAsia="仿宋" w:cs="仿宋"/>
                <w:color w:val="auto"/>
                <w:kern w:val="0"/>
                <w:sz w:val="24"/>
                <w:highlight w:val="none"/>
                <w:lang w:bidi="ar"/>
              </w:rPr>
              <w:t>03</w:t>
            </w:r>
          </w:p>
        </w:tc>
      </w:tr>
      <w:tr w14:paraId="7C2B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491" w:type="pct"/>
            <w:tcMar>
              <w:top w:w="15" w:type="dxa"/>
              <w:left w:w="15" w:type="dxa"/>
              <w:right w:w="15" w:type="dxa"/>
            </w:tcMar>
            <w:vAlign w:val="center"/>
          </w:tcPr>
          <w:p w14:paraId="3F6A962B">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11</w:t>
            </w:r>
          </w:p>
        </w:tc>
        <w:tc>
          <w:tcPr>
            <w:tcW w:w="1470" w:type="pct"/>
            <w:vMerge w:val="continue"/>
            <w:tcMar>
              <w:top w:w="15" w:type="dxa"/>
              <w:left w:w="15" w:type="dxa"/>
              <w:right w:w="15" w:type="dxa"/>
            </w:tcMar>
            <w:vAlign w:val="center"/>
          </w:tcPr>
          <w:p w14:paraId="0EE072B5">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0A2F903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发送卡</w:t>
            </w:r>
          </w:p>
        </w:tc>
        <w:tc>
          <w:tcPr>
            <w:tcW w:w="811" w:type="pct"/>
            <w:tcMar>
              <w:top w:w="15" w:type="dxa"/>
              <w:left w:w="15" w:type="dxa"/>
              <w:right w:w="15" w:type="dxa"/>
            </w:tcMar>
            <w:vAlign w:val="center"/>
          </w:tcPr>
          <w:p w14:paraId="0EAE8325">
            <w:pPr>
              <w:widowControl/>
              <w:jc w:val="center"/>
              <w:textAlignment w:val="center"/>
              <w:rPr>
                <w:rFonts w:ascii="仿宋" w:hAnsi="仿宋" w:eastAsia="仿宋" w:cs="仿宋"/>
                <w:color w:val="auto"/>
                <w:sz w:val="24"/>
                <w:highlight w:val="none"/>
              </w:rPr>
            </w:pPr>
            <w:r>
              <w:rPr>
                <w:rFonts w:ascii="仿宋" w:hAnsi="仿宋" w:eastAsia="仿宋" w:cs="仿宋"/>
                <w:color w:val="auto"/>
                <w:kern w:val="0"/>
                <w:sz w:val="24"/>
                <w:highlight w:val="none"/>
                <w:lang w:bidi="ar"/>
              </w:rPr>
              <w:t>24</w:t>
            </w:r>
          </w:p>
        </w:tc>
        <w:tc>
          <w:tcPr>
            <w:tcW w:w="692" w:type="pct"/>
          </w:tcPr>
          <w:p w14:paraId="6587EA51">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w:t>
            </w:r>
            <w:r>
              <w:rPr>
                <w:rFonts w:ascii="仿宋" w:hAnsi="仿宋" w:eastAsia="仿宋" w:cs="仿宋"/>
                <w:color w:val="auto"/>
                <w:kern w:val="0"/>
                <w:sz w:val="24"/>
                <w:highlight w:val="none"/>
                <w:lang w:bidi="ar"/>
              </w:rPr>
              <w:t>24</w:t>
            </w:r>
            <w:r>
              <w:rPr>
                <w:rFonts w:hint="eastAsia" w:ascii="仿宋" w:hAnsi="仿宋" w:eastAsia="仿宋" w:cs="仿宋"/>
                <w:color w:val="auto"/>
                <w:kern w:val="0"/>
                <w:sz w:val="24"/>
                <w:highlight w:val="none"/>
                <w:lang w:bidi="ar"/>
              </w:rPr>
              <w:t>.</w:t>
            </w:r>
            <w:r>
              <w:rPr>
                <w:rFonts w:ascii="仿宋" w:hAnsi="仿宋" w:eastAsia="仿宋" w:cs="仿宋"/>
                <w:color w:val="auto"/>
                <w:kern w:val="0"/>
                <w:sz w:val="24"/>
                <w:highlight w:val="none"/>
                <w:lang w:bidi="ar"/>
              </w:rPr>
              <w:t>03</w:t>
            </w:r>
          </w:p>
        </w:tc>
      </w:tr>
      <w:tr w14:paraId="01D7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491" w:type="pct"/>
            <w:tcMar>
              <w:top w:w="15" w:type="dxa"/>
              <w:left w:w="15" w:type="dxa"/>
              <w:right w:w="15" w:type="dxa"/>
            </w:tcMar>
            <w:vAlign w:val="center"/>
          </w:tcPr>
          <w:p w14:paraId="54E40982">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w:t>
            </w:r>
            <w:r>
              <w:rPr>
                <w:rFonts w:ascii="仿宋" w:hAnsi="仿宋" w:eastAsia="仿宋" w:cs="仿宋"/>
                <w:color w:val="auto"/>
                <w:kern w:val="0"/>
                <w:sz w:val="24"/>
                <w:highlight w:val="none"/>
                <w:lang w:bidi="ar"/>
              </w:rPr>
              <w:t>2</w:t>
            </w:r>
          </w:p>
        </w:tc>
        <w:tc>
          <w:tcPr>
            <w:tcW w:w="1470" w:type="pct"/>
            <w:vMerge w:val="continue"/>
            <w:tcMar>
              <w:top w:w="15" w:type="dxa"/>
              <w:left w:w="15" w:type="dxa"/>
              <w:right w:w="15" w:type="dxa"/>
            </w:tcMar>
            <w:vAlign w:val="center"/>
          </w:tcPr>
          <w:p w14:paraId="0515056E">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3FAA54F2">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超高分服务器</w:t>
            </w:r>
          </w:p>
        </w:tc>
        <w:tc>
          <w:tcPr>
            <w:tcW w:w="811" w:type="pct"/>
            <w:tcMar>
              <w:top w:w="15" w:type="dxa"/>
              <w:left w:w="15" w:type="dxa"/>
              <w:right w:w="15" w:type="dxa"/>
            </w:tcMar>
            <w:vAlign w:val="center"/>
          </w:tcPr>
          <w:p w14:paraId="160FD2F0">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w:t>
            </w:r>
          </w:p>
        </w:tc>
        <w:tc>
          <w:tcPr>
            <w:tcW w:w="692" w:type="pct"/>
          </w:tcPr>
          <w:p w14:paraId="4315E1C8">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w:t>
            </w:r>
            <w:r>
              <w:rPr>
                <w:rFonts w:ascii="仿宋" w:hAnsi="仿宋" w:eastAsia="仿宋" w:cs="仿宋"/>
                <w:color w:val="auto"/>
                <w:kern w:val="0"/>
                <w:sz w:val="24"/>
                <w:highlight w:val="none"/>
                <w:lang w:bidi="ar"/>
              </w:rPr>
              <w:t>024.03</w:t>
            </w:r>
          </w:p>
        </w:tc>
      </w:tr>
      <w:tr w14:paraId="60C9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48DE0A23">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r>
              <w:rPr>
                <w:rFonts w:ascii="仿宋" w:hAnsi="仿宋" w:eastAsia="仿宋" w:cs="仿宋"/>
                <w:color w:val="auto"/>
                <w:kern w:val="0"/>
                <w:sz w:val="24"/>
                <w:highlight w:val="none"/>
                <w:lang w:bidi="ar"/>
              </w:rPr>
              <w:t>3</w:t>
            </w:r>
          </w:p>
        </w:tc>
        <w:tc>
          <w:tcPr>
            <w:tcW w:w="1470" w:type="pct"/>
            <w:vMerge w:val="restart"/>
            <w:tcMar>
              <w:top w:w="15" w:type="dxa"/>
              <w:left w:w="15" w:type="dxa"/>
              <w:right w:w="15" w:type="dxa"/>
            </w:tcMar>
            <w:vAlign w:val="center"/>
          </w:tcPr>
          <w:p w14:paraId="3563603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存储服务器</w:t>
            </w:r>
          </w:p>
        </w:tc>
        <w:tc>
          <w:tcPr>
            <w:tcW w:w="1535" w:type="pct"/>
            <w:tcMar>
              <w:top w:w="15" w:type="dxa"/>
              <w:left w:w="15" w:type="dxa"/>
              <w:right w:w="15" w:type="dxa"/>
            </w:tcMar>
            <w:vAlign w:val="center"/>
          </w:tcPr>
          <w:p w14:paraId="2D5530B2">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NAS服务器</w:t>
            </w:r>
          </w:p>
        </w:tc>
        <w:tc>
          <w:tcPr>
            <w:tcW w:w="811" w:type="pct"/>
            <w:tcMar>
              <w:top w:w="15" w:type="dxa"/>
              <w:left w:w="15" w:type="dxa"/>
              <w:right w:w="15" w:type="dxa"/>
            </w:tcMar>
            <w:vAlign w:val="center"/>
          </w:tcPr>
          <w:p w14:paraId="5AEFD41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5C0D6309">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2A1B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647259B6">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r>
              <w:rPr>
                <w:rFonts w:ascii="仿宋" w:hAnsi="仿宋" w:eastAsia="仿宋" w:cs="仿宋"/>
                <w:color w:val="auto"/>
                <w:kern w:val="0"/>
                <w:sz w:val="24"/>
                <w:highlight w:val="none"/>
                <w:lang w:bidi="ar"/>
              </w:rPr>
              <w:t>4</w:t>
            </w:r>
          </w:p>
        </w:tc>
        <w:tc>
          <w:tcPr>
            <w:tcW w:w="1470" w:type="pct"/>
            <w:vMerge w:val="continue"/>
            <w:tcMar>
              <w:top w:w="15" w:type="dxa"/>
              <w:left w:w="15" w:type="dxa"/>
              <w:right w:w="15" w:type="dxa"/>
            </w:tcMar>
            <w:vAlign w:val="center"/>
          </w:tcPr>
          <w:p w14:paraId="444F37D7">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2210207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硬盘</w:t>
            </w:r>
          </w:p>
        </w:tc>
        <w:tc>
          <w:tcPr>
            <w:tcW w:w="811" w:type="pct"/>
            <w:tcMar>
              <w:top w:w="15" w:type="dxa"/>
              <w:left w:w="15" w:type="dxa"/>
              <w:right w:w="15" w:type="dxa"/>
            </w:tcMar>
            <w:vAlign w:val="center"/>
          </w:tcPr>
          <w:p w14:paraId="374E0249">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6</w:t>
            </w:r>
          </w:p>
        </w:tc>
        <w:tc>
          <w:tcPr>
            <w:tcW w:w="692" w:type="pct"/>
          </w:tcPr>
          <w:p w14:paraId="2C3FA764">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5AF3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10CDA2B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r>
              <w:rPr>
                <w:rFonts w:ascii="仿宋" w:hAnsi="仿宋" w:eastAsia="仿宋" w:cs="仿宋"/>
                <w:color w:val="auto"/>
                <w:kern w:val="0"/>
                <w:sz w:val="24"/>
                <w:highlight w:val="none"/>
                <w:lang w:bidi="ar"/>
              </w:rPr>
              <w:t>5</w:t>
            </w:r>
          </w:p>
        </w:tc>
        <w:tc>
          <w:tcPr>
            <w:tcW w:w="1470" w:type="pct"/>
            <w:vMerge w:val="restart"/>
            <w:tcMar>
              <w:top w:w="15" w:type="dxa"/>
              <w:left w:w="15" w:type="dxa"/>
              <w:right w:w="15" w:type="dxa"/>
            </w:tcMar>
            <w:vAlign w:val="center"/>
          </w:tcPr>
          <w:p w14:paraId="681C911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会议设备</w:t>
            </w:r>
          </w:p>
        </w:tc>
        <w:tc>
          <w:tcPr>
            <w:tcW w:w="1535" w:type="pct"/>
            <w:shd w:val="clear" w:color="auto" w:fill="FFFFFF" w:themeFill="background1"/>
            <w:tcMar>
              <w:top w:w="15" w:type="dxa"/>
              <w:left w:w="15" w:type="dxa"/>
              <w:right w:w="15" w:type="dxa"/>
            </w:tcMar>
            <w:vAlign w:val="center"/>
          </w:tcPr>
          <w:p w14:paraId="398316F2">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中央控制单元</w:t>
            </w:r>
          </w:p>
        </w:tc>
        <w:tc>
          <w:tcPr>
            <w:tcW w:w="811" w:type="pct"/>
            <w:tcMar>
              <w:top w:w="15" w:type="dxa"/>
              <w:left w:w="15" w:type="dxa"/>
              <w:right w:w="15" w:type="dxa"/>
            </w:tcMar>
            <w:vAlign w:val="center"/>
          </w:tcPr>
          <w:p w14:paraId="70F7A5BE">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7E0F0B6E">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264C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shd w:val="clear" w:color="auto" w:fill="auto"/>
            <w:tcMar>
              <w:top w:w="15" w:type="dxa"/>
              <w:left w:w="15" w:type="dxa"/>
              <w:right w:w="15" w:type="dxa"/>
            </w:tcMar>
            <w:vAlign w:val="center"/>
          </w:tcPr>
          <w:p w14:paraId="1E56852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r>
              <w:rPr>
                <w:rFonts w:ascii="仿宋" w:hAnsi="仿宋" w:eastAsia="仿宋" w:cs="仿宋"/>
                <w:color w:val="auto"/>
                <w:kern w:val="0"/>
                <w:sz w:val="24"/>
                <w:highlight w:val="none"/>
                <w:lang w:bidi="ar"/>
              </w:rPr>
              <w:t>6</w:t>
            </w:r>
          </w:p>
        </w:tc>
        <w:tc>
          <w:tcPr>
            <w:tcW w:w="1470" w:type="pct"/>
            <w:vMerge w:val="continue"/>
            <w:shd w:val="clear" w:color="auto" w:fill="auto"/>
            <w:tcMar>
              <w:top w:w="15" w:type="dxa"/>
              <w:left w:w="15" w:type="dxa"/>
              <w:right w:w="15" w:type="dxa"/>
            </w:tcMar>
            <w:vAlign w:val="center"/>
          </w:tcPr>
          <w:p w14:paraId="26397DED">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657F587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数字会议主机</w:t>
            </w:r>
          </w:p>
        </w:tc>
        <w:tc>
          <w:tcPr>
            <w:tcW w:w="811" w:type="pct"/>
            <w:tcMar>
              <w:top w:w="15" w:type="dxa"/>
              <w:left w:w="15" w:type="dxa"/>
              <w:right w:w="15" w:type="dxa"/>
            </w:tcMar>
            <w:vAlign w:val="center"/>
          </w:tcPr>
          <w:p w14:paraId="1074AE0B">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475630B0">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23B8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469C809F">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r>
              <w:rPr>
                <w:rFonts w:ascii="仿宋" w:hAnsi="仿宋" w:eastAsia="仿宋" w:cs="仿宋"/>
                <w:color w:val="auto"/>
                <w:kern w:val="0"/>
                <w:sz w:val="24"/>
                <w:highlight w:val="none"/>
                <w:lang w:bidi="ar"/>
              </w:rPr>
              <w:t>7</w:t>
            </w:r>
          </w:p>
        </w:tc>
        <w:tc>
          <w:tcPr>
            <w:tcW w:w="1470" w:type="pct"/>
            <w:vMerge w:val="continue"/>
            <w:tcMar>
              <w:top w:w="15" w:type="dxa"/>
              <w:left w:w="15" w:type="dxa"/>
              <w:right w:w="15" w:type="dxa"/>
            </w:tcMar>
            <w:vAlign w:val="center"/>
          </w:tcPr>
          <w:p w14:paraId="63F62080">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0399BF1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拾音单元</w:t>
            </w:r>
          </w:p>
        </w:tc>
        <w:tc>
          <w:tcPr>
            <w:tcW w:w="811" w:type="pct"/>
            <w:tcMar>
              <w:top w:w="15" w:type="dxa"/>
              <w:left w:w="15" w:type="dxa"/>
              <w:right w:w="15" w:type="dxa"/>
            </w:tcMar>
            <w:vAlign w:val="center"/>
          </w:tcPr>
          <w:p w14:paraId="08955E62">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20</w:t>
            </w:r>
          </w:p>
        </w:tc>
        <w:tc>
          <w:tcPr>
            <w:tcW w:w="692" w:type="pct"/>
          </w:tcPr>
          <w:p w14:paraId="2B426B06">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206B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513C1D0F">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r>
              <w:rPr>
                <w:rFonts w:ascii="仿宋" w:hAnsi="仿宋" w:eastAsia="仿宋" w:cs="仿宋"/>
                <w:color w:val="auto"/>
                <w:kern w:val="0"/>
                <w:sz w:val="24"/>
                <w:highlight w:val="none"/>
                <w:lang w:bidi="ar"/>
              </w:rPr>
              <w:t>8</w:t>
            </w:r>
          </w:p>
        </w:tc>
        <w:tc>
          <w:tcPr>
            <w:tcW w:w="1470" w:type="pct"/>
            <w:vMerge w:val="continue"/>
            <w:tcMar>
              <w:top w:w="15" w:type="dxa"/>
              <w:left w:w="15" w:type="dxa"/>
              <w:right w:w="15" w:type="dxa"/>
            </w:tcMar>
            <w:vAlign w:val="center"/>
          </w:tcPr>
          <w:p w14:paraId="08B8397C">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27E3D2E8">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主功率放大器</w:t>
            </w:r>
          </w:p>
        </w:tc>
        <w:tc>
          <w:tcPr>
            <w:tcW w:w="811" w:type="pct"/>
            <w:tcMar>
              <w:top w:w="15" w:type="dxa"/>
              <w:left w:w="15" w:type="dxa"/>
              <w:right w:w="15" w:type="dxa"/>
            </w:tcMar>
            <w:vAlign w:val="center"/>
          </w:tcPr>
          <w:p w14:paraId="6D44468B">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92" w:type="pct"/>
          </w:tcPr>
          <w:p w14:paraId="3AAD2849">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0687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182E2C4F">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r>
              <w:rPr>
                <w:rFonts w:ascii="仿宋" w:hAnsi="仿宋" w:eastAsia="仿宋" w:cs="仿宋"/>
                <w:color w:val="auto"/>
                <w:kern w:val="0"/>
                <w:sz w:val="24"/>
                <w:highlight w:val="none"/>
                <w:lang w:bidi="ar"/>
              </w:rPr>
              <w:t>9</w:t>
            </w:r>
          </w:p>
        </w:tc>
        <w:tc>
          <w:tcPr>
            <w:tcW w:w="1470" w:type="pct"/>
            <w:vMerge w:val="continue"/>
            <w:tcMar>
              <w:top w:w="15" w:type="dxa"/>
              <w:left w:w="15" w:type="dxa"/>
              <w:right w:w="15" w:type="dxa"/>
            </w:tcMar>
            <w:vAlign w:val="center"/>
          </w:tcPr>
          <w:p w14:paraId="33E8C773">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39EEB69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辅助功率放大器</w:t>
            </w:r>
          </w:p>
        </w:tc>
        <w:tc>
          <w:tcPr>
            <w:tcW w:w="811" w:type="pct"/>
            <w:tcMar>
              <w:top w:w="15" w:type="dxa"/>
              <w:left w:w="15" w:type="dxa"/>
              <w:right w:w="15" w:type="dxa"/>
            </w:tcMar>
            <w:vAlign w:val="center"/>
          </w:tcPr>
          <w:p w14:paraId="4178D6BE">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692" w:type="pct"/>
          </w:tcPr>
          <w:p w14:paraId="49C553E6">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18D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4C7D2C0D">
            <w:pPr>
              <w:widowControl/>
              <w:jc w:val="center"/>
              <w:textAlignment w:val="center"/>
              <w:rPr>
                <w:rFonts w:ascii="仿宋" w:hAnsi="仿宋" w:eastAsia="仿宋" w:cs="仿宋"/>
                <w:color w:val="auto"/>
                <w:sz w:val="24"/>
                <w:highlight w:val="none"/>
              </w:rPr>
            </w:pPr>
            <w:r>
              <w:rPr>
                <w:rFonts w:ascii="仿宋" w:hAnsi="仿宋" w:eastAsia="仿宋" w:cs="仿宋"/>
                <w:color w:val="auto"/>
                <w:kern w:val="0"/>
                <w:sz w:val="24"/>
                <w:highlight w:val="none"/>
                <w:lang w:bidi="ar"/>
              </w:rPr>
              <w:t>20</w:t>
            </w:r>
          </w:p>
        </w:tc>
        <w:tc>
          <w:tcPr>
            <w:tcW w:w="1470" w:type="pct"/>
            <w:vMerge w:val="continue"/>
            <w:tcMar>
              <w:top w:w="15" w:type="dxa"/>
              <w:left w:w="15" w:type="dxa"/>
              <w:right w:w="15" w:type="dxa"/>
            </w:tcMar>
            <w:vAlign w:val="center"/>
          </w:tcPr>
          <w:p w14:paraId="780600DB">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1268E8A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主扩音箱</w:t>
            </w:r>
          </w:p>
        </w:tc>
        <w:tc>
          <w:tcPr>
            <w:tcW w:w="811" w:type="pct"/>
            <w:tcMar>
              <w:top w:w="15" w:type="dxa"/>
              <w:left w:w="15" w:type="dxa"/>
              <w:right w:w="15" w:type="dxa"/>
            </w:tcMar>
            <w:vAlign w:val="center"/>
          </w:tcPr>
          <w:p w14:paraId="4B4EAA53">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4</w:t>
            </w:r>
          </w:p>
        </w:tc>
        <w:tc>
          <w:tcPr>
            <w:tcW w:w="692" w:type="pct"/>
          </w:tcPr>
          <w:p w14:paraId="0454E106">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661F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shd w:val="clear" w:color="auto" w:fill="auto"/>
            <w:tcMar>
              <w:top w:w="15" w:type="dxa"/>
              <w:left w:w="15" w:type="dxa"/>
              <w:right w:w="15" w:type="dxa"/>
            </w:tcMar>
            <w:vAlign w:val="center"/>
          </w:tcPr>
          <w:p w14:paraId="7F6EDEB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r>
              <w:rPr>
                <w:rFonts w:ascii="仿宋" w:hAnsi="仿宋" w:eastAsia="仿宋" w:cs="仿宋"/>
                <w:color w:val="auto"/>
                <w:kern w:val="0"/>
                <w:sz w:val="24"/>
                <w:highlight w:val="none"/>
                <w:lang w:bidi="ar"/>
              </w:rPr>
              <w:t>1</w:t>
            </w:r>
          </w:p>
        </w:tc>
        <w:tc>
          <w:tcPr>
            <w:tcW w:w="1470" w:type="pct"/>
            <w:vMerge w:val="continue"/>
            <w:shd w:val="clear" w:color="auto" w:fill="auto"/>
            <w:tcMar>
              <w:top w:w="15" w:type="dxa"/>
              <w:left w:w="15" w:type="dxa"/>
              <w:right w:w="15" w:type="dxa"/>
            </w:tcMar>
            <w:vAlign w:val="center"/>
          </w:tcPr>
          <w:p w14:paraId="45E355C4">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18495B2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辅助吸顶扬声器</w:t>
            </w:r>
          </w:p>
        </w:tc>
        <w:tc>
          <w:tcPr>
            <w:tcW w:w="811" w:type="pct"/>
            <w:tcMar>
              <w:top w:w="15" w:type="dxa"/>
              <w:left w:w="15" w:type="dxa"/>
              <w:right w:w="15" w:type="dxa"/>
            </w:tcMar>
            <w:vAlign w:val="center"/>
          </w:tcPr>
          <w:p w14:paraId="1598F16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12</w:t>
            </w:r>
          </w:p>
        </w:tc>
        <w:tc>
          <w:tcPr>
            <w:tcW w:w="692" w:type="pct"/>
          </w:tcPr>
          <w:p w14:paraId="5B34BD9C">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73BF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701C84E6">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r>
              <w:rPr>
                <w:rFonts w:ascii="仿宋" w:hAnsi="仿宋" w:eastAsia="仿宋" w:cs="仿宋"/>
                <w:color w:val="auto"/>
                <w:kern w:val="0"/>
                <w:sz w:val="24"/>
                <w:highlight w:val="none"/>
                <w:lang w:bidi="ar"/>
              </w:rPr>
              <w:t>2</w:t>
            </w:r>
          </w:p>
        </w:tc>
        <w:tc>
          <w:tcPr>
            <w:tcW w:w="1470" w:type="pct"/>
            <w:vMerge w:val="continue"/>
            <w:tcMar>
              <w:top w:w="15" w:type="dxa"/>
              <w:left w:w="15" w:type="dxa"/>
              <w:right w:w="15" w:type="dxa"/>
            </w:tcMar>
            <w:vAlign w:val="center"/>
          </w:tcPr>
          <w:p w14:paraId="1E693BDA">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36A663A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音频处理单元</w:t>
            </w:r>
          </w:p>
        </w:tc>
        <w:tc>
          <w:tcPr>
            <w:tcW w:w="811" w:type="pct"/>
            <w:tcMar>
              <w:top w:w="15" w:type="dxa"/>
              <w:left w:w="15" w:type="dxa"/>
              <w:right w:w="15" w:type="dxa"/>
            </w:tcMar>
            <w:vAlign w:val="center"/>
          </w:tcPr>
          <w:p w14:paraId="052265A3">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0EBC49C7">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0FB4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42DE52A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r>
              <w:rPr>
                <w:rFonts w:ascii="仿宋" w:hAnsi="仿宋" w:eastAsia="仿宋" w:cs="仿宋"/>
                <w:color w:val="auto"/>
                <w:kern w:val="0"/>
                <w:sz w:val="24"/>
                <w:highlight w:val="none"/>
                <w:lang w:bidi="ar"/>
              </w:rPr>
              <w:t>3</w:t>
            </w:r>
          </w:p>
        </w:tc>
        <w:tc>
          <w:tcPr>
            <w:tcW w:w="1470" w:type="pct"/>
            <w:vMerge w:val="continue"/>
            <w:tcMar>
              <w:top w:w="15" w:type="dxa"/>
              <w:left w:w="15" w:type="dxa"/>
              <w:right w:w="15" w:type="dxa"/>
            </w:tcMar>
            <w:vAlign w:val="center"/>
          </w:tcPr>
          <w:p w14:paraId="7F56BEF4">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5158A002">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7串口控制主机</w:t>
            </w:r>
          </w:p>
        </w:tc>
        <w:tc>
          <w:tcPr>
            <w:tcW w:w="811" w:type="pct"/>
            <w:tcMar>
              <w:top w:w="15" w:type="dxa"/>
              <w:left w:w="15" w:type="dxa"/>
              <w:right w:w="15" w:type="dxa"/>
            </w:tcMar>
            <w:vAlign w:val="center"/>
          </w:tcPr>
          <w:p w14:paraId="5948737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4E07A79D">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5825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0EBE2038">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r>
              <w:rPr>
                <w:rFonts w:ascii="仿宋" w:hAnsi="仿宋" w:eastAsia="仿宋" w:cs="仿宋"/>
                <w:color w:val="auto"/>
                <w:kern w:val="0"/>
                <w:sz w:val="24"/>
                <w:highlight w:val="none"/>
                <w:lang w:bidi="ar"/>
              </w:rPr>
              <w:t>4</w:t>
            </w:r>
          </w:p>
        </w:tc>
        <w:tc>
          <w:tcPr>
            <w:tcW w:w="1470" w:type="pct"/>
            <w:vMerge w:val="continue"/>
            <w:tcMar>
              <w:top w:w="15" w:type="dxa"/>
              <w:left w:w="15" w:type="dxa"/>
              <w:right w:w="15" w:type="dxa"/>
            </w:tcMar>
            <w:vAlign w:val="center"/>
          </w:tcPr>
          <w:p w14:paraId="28E3D5B5">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5255DFC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8路强电控制器</w:t>
            </w:r>
          </w:p>
        </w:tc>
        <w:tc>
          <w:tcPr>
            <w:tcW w:w="811" w:type="pct"/>
            <w:tcMar>
              <w:top w:w="15" w:type="dxa"/>
              <w:left w:w="15" w:type="dxa"/>
              <w:right w:w="15" w:type="dxa"/>
            </w:tcMar>
            <w:vAlign w:val="center"/>
          </w:tcPr>
          <w:p w14:paraId="17AF42DF">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20129D65">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09C7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shd w:val="clear" w:color="auto" w:fill="auto"/>
            <w:tcMar>
              <w:top w:w="15" w:type="dxa"/>
              <w:left w:w="15" w:type="dxa"/>
              <w:right w:w="15" w:type="dxa"/>
            </w:tcMar>
            <w:vAlign w:val="center"/>
          </w:tcPr>
          <w:p w14:paraId="1897F70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r>
              <w:rPr>
                <w:rFonts w:ascii="仿宋" w:hAnsi="仿宋" w:eastAsia="仿宋" w:cs="仿宋"/>
                <w:color w:val="auto"/>
                <w:kern w:val="0"/>
                <w:sz w:val="24"/>
                <w:highlight w:val="none"/>
                <w:lang w:bidi="ar"/>
              </w:rPr>
              <w:t>5</w:t>
            </w:r>
          </w:p>
        </w:tc>
        <w:tc>
          <w:tcPr>
            <w:tcW w:w="1470" w:type="pct"/>
            <w:vMerge w:val="continue"/>
            <w:shd w:val="clear" w:color="auto" w:fill="auto"/>
            <w:tcMar>
              <w:top w:w="15" w:type="dxa"/>
              <w:left w:w="15" w:type="dxa"/>
              <w:right w:w="15" w:type="dxa"/>
            </w:tcMar>
            <w:vAlign w:val="center"/>
          </w:tcPr>
          <w:p w14:paraId="1B3627DC">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3FA1B7A6">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电源净化时序器</w:t>
            </w:r>
          </w:p>
        </w:tc>
        <w:tc>
          <w:tcPr>
            <w:tcW w:w="811" w:type="pct"/>
            <w:tcMar>
              <w:top w:w="15" w:type="dxa"/>
              <w:left w:w="15" w:type="dxa"/>
              <w:right w:w="15" w:type="dxa"/>
            </w:tcMar>
            <w:vAlign w:val="center"/>
          </w:tcPr>
          <w:p w14:paraId="52FBFE3B">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1EC90751">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58BB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shd w:val="clear" w:color="auto" w:fill="auto"/>
            <w:tcMar>
              <w:top w:w="15" w:type="dxa"/>
              <w:left w:w="15" w:type="dxa"/>
              <w:right w:w="15" w:type="dxa"/>
            </w:tcMar>
            <w:vAlign w:val="center"/>
          </w:tcPr>
          <w:p w14:paraId="2A8A32E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r>
              <w:rPr>
                <w:rFonts w:ascii="仿宋" w:hAnsi="仿宋" w:eastAsia="仿宋" w:cs="仿宋"/>
                <w:color w:val="auto"/>
                <w:kern w:val="0"/>
                <w:sz w:val="24"/>
                <w:highlight w:val="none"/>
                <w:lang w:bidi="ar"/>
              </w:rPr>
              <w:t>6</w:t>
            </w:r>
          </w:p>
        </w:tc>
        <w:tc>
          <w:tcPr>
            <w:tcW w:w="1470" w:type="pct"/>
            <w:vMerge w:val="restart"/>
            <w:shd w:val="clear" w:color="auto" w:fill="auto"/>
            <w:tcMar>
              <w:top w:w="15" w:type="dxa"/>
              <w:left w:w="15" w:type="dxa"/>
              <w:right w:w="15" w:type="dxa"/>
            </w:tcMar>
            <w:vAlign w:val="center"/>
          </w:tcPr>
          <w:p w14:paraId="4F8C13D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形象墙</w:t>
            </w:r>
          </w:p>
        </w:tc>
        <w:tc>
          <w:tcPr>
            <w:tcW w:w="1535" w:type="pct"/>
            <w:shd w:val="clear" w:color="auto" w:fill="FFFFFF" w:themeFill="background1"/>
            <w:tcMar>
              <w:top w:w="15" w:type="dxa"/>
              <w:left w:w="15" w:type="dxa"/>
              <w:right w:w="15" w:type="dxa"/>
            </w:tcMar>
            <w:vAlign w:val="center"/>
          </w:tcPr>
          <w:p w14:paraId="6D83F2DC">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形象展示屏</w:t>
            </w:r>
          </w:p>
        </w:tc>
        <w:tc>
          <w:tcPr>
            <w:tcW w:w="811" w:type="pct"/>
            <w:tcMar>
              <w:top w:w="15" w:type="dxa"/>
              <w:left w:w="15" w:type="dxa"/>
              <w:right w:w="15" w:type="dxa"/>
            </w:tcMar>
            <w:vAlign w:val="center"/>
          </w:tcPr>
          <w:p w14:paraId="37D29E7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2D5BCE8E">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7A4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shd w:val="clear" w:color="auto" w:fill="auto"/>
            <w:tcMar>
              <w:top w:w="15" w:type="dxa"/>
              <w:left w:w="15" w:type="dxa"/>
              <w:right w:w="15" w:type="dxa"/>
            </w:tcMar>
            <w:vAlign w:val="center"/>
          </w:tcPr>
          <w:p w14:paraId="62948DBF">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r>
              <w:rPr>
                <w:rFonts w:ascii="仿宋" w:hAnsi="仿宋" w:eastAsia="仿宋" w:cs="仿宋"/>
                <w:color w:val="auto"/>
                <w:kern w:val="0"/>
                <w:sz w:val="24"/>
                <w:highlight w:val="none"/>
                <w:lang w:bidi="ar"/>
              </w:rPr>
              <w:t>7</w:t>
            </w:r>
          </w:p>
        </w:tc>
        <w:tc>
          <w:tcPr>
            <w:tcW w:w="1470" w:type="pct"/>
            <w:vMerge w:val="continue"/>
            <w:shd w:val="clear" w:color="auto" w:fill="auto"/>
            <w:tcMar>
              <w:top w:w="15" w:type="dxa"/>
              <w:left w:w="15" w:type="dxa"/>
              <w:right w:w="15" w:type="dxa"/>
            </w:tcMar>
            <w:vAlign w:val="center"/>
          </w:tcPr>
          <w:p w14:paraId="01627954">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3AAA1342">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图形工作站</w:t>
            </w:r>
          </w:p>
        </w:tc>
        <w:tc>
          <w:tcPr>
            <w:tcW w:w="811" w:type="pct"/>
            <w:tcMar>
              <w:top w:w="15" w:type="dxa"/>
              <w:left w:w="15" w:type="dxa"/>
              <w:right w:w="15" w:type="dxa"/>
            </w:tcMar>
            <w:vAlign w:val="center"/>
          </w:tcPr>
          <w:p w14:paraId="29B0ED1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692" w:type="pct"/>
          </w:tcPr>
          <w:p w14:paraId="1350EE94">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3173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0A18535C">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r>
              <w:rPr>
                <w:rFonts w:ascii="仿宋" w:hAnsi="仿宋" w:eastAsia="仿宋" w:cs="仿宋"/>
                <w:color w:val="auto"/>
                <w:kern w:val="0"/>
                <w:sz w:val="24"/>
                <w:highlight w:val="none"/>
                <w:lang w:bidi="ar"/>
              </w:rPr>
              <w:t>8</w:t>
            </w:r>
          </w:p>
        </w:tc>
        <w:tc>
          <w:tcPr>
            <w:tcW w:w="1470" w:type="pct"/>
            <w:tcMar>
              <w:top w:w="15" w:type="dxa"/>
              <w:left w:w="15" w:type="dxa"/>
              <w:right w:w="15" w:type="dxa"/>
            </w:tcMar>
            <w:vAlign w:val="center"/>
          </w:tcPr>
          <w:p w14:paraId="1349DFF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UPS</w:t>
            </w:r>
          </w:p>
        </w:tc>
        <w:tc>
          <w:tcPr>
            <w:tcW w:w="1535" w:type="pct"/>
            <w:shd w:val="clear" w:color="auto" w:fill="FFFFFF" w:themeFill="background1"/>
            <w:tcMar>
              <w:top w:w="15" w:type="dxa"/>
              <w:left w:w="15" w:type="dxa"/>
              <w:right w:w="15" w:type="dxa"/>
            </w:tcMar>
            <w:vAlign w:val="center"/>
          </w:tcPr>
          <w:p w14:paraId="13A82F5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UPS</w:t>
            </w:r>
          </w:p>
        </w:tc>
        <w:tc>
          <w:tcPr>
            <w:tcW w:w="811" w:type="pct"/>
            <w:tcMar>
              <w:top w:w="15" w:type="dxa"/>
              <w:left w:w="15" w:type="dxa"/>
              <w:right w:w="15" w:type="dxa"/>
            </w:tcMar>
            <w:vAlign w:val="center"/>
          </w:tcPr>
          <w:p w14:paraId="703ED5A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1CF200F9">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0A1F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3295BFC3">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r>
              <w:rPr>
                <w:rFonts w:ascii="仿宋" w:hAnsi="仿宋" w:eastAsia="仿宋" w:cs="仿宋"/>
                <w:color w:val="auto"/>
                <w:kern w:val="0"/>
                <w:sz w:val="24"/>
                <w:highlight w:val="none"/>
                <w:lang w:bidi="ar"/>
              </w:rPr>
              <w:t>9</w:t>
            </w:r>
          </w:p>
        </w:tc>
        <w:tc>
          <w:tcPr>
            <w:tcW w:w="1470" w:type="pct"/>
            <w:tcMar>
              <w:top w:w="15" w:type="dxa"/>
              <w:left w:w="15" w:type="dxa"/>
              <w:right w:w="15" w:type="dxa"/>
            </w:tcMar>
            <w:vAlign w:val="center"/>
          </w:tcPr>
          <w:p w14:paraId="203E3E32">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机柜</w:t>
            </w:r>
          </w:p>
        </w:tc>
        <w:tc>
          <w:tcPr>
            <w:tcW w:w="1535" w:type="pct"/>
            <w:shd w:val="clear" w:color="auto" w:fill="FFFFFF" w:themeFill="background1"/>
            <w:tcMar>
              <w:top w:w="15" w:type="dxa"/>
              <w:left w:w="15" w:type="dxa"/>
              <w:right w:w="15" w:type="dxa"/>
            </w:tcMar>
            <w:vAlign w:val="center"/>
          </w:tcPr>
          <w:p w14:paraId="3AE7D11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节能机柜</w:t>
            </w:r>
          </w:p>
        </w:tc>
        <w:tc>
          <w:tcPr>
            <w:tcW w:w="811" w:type="pct"/>
            <w:tcMar>
              <w:top w:w="15" w:type="dxa"/>
              <w:left w:w="15" w:type="dxa"/>
              <w:right w:w="15" w:type="dxa"/>
            </w:tcMar>
            <w:vAlign w:val="center"/>
          </w:tcPr>
          <w:p w14:paraId="3C614BC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34</w:t>
            </w:r>
          </w:p>
        </w:tc>
        <w:tc>
          <w:tcPr>
            <w:tcW w:w="692" w:type="pct"/>
          </w:tcPr>
          <w:p w14:paraId="757548F4">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4AF5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0BCE5367">
            <w:pPr>
              <w:widowControl/>
              <w:jc w:val="center"/>
              <w:textAlignment w:val="center"/>
              <w:rPr>
                <w:rFonts w:ascii="仿宋" w:hAnsi="仿宋" w:eastAsia="仿宋" w:cs="仿宋"/>
                <w:color w:val="auto"/>
                <w:sz w:val="24"/>
                <w:highlight w:val="none"/>
              </w:rPr>
            </w:pPr>
            <w:r>
              <w:rPr>
                <w:rFonts w:ascii="仿宋" w:hAnsi="仿宋" w:eastAsia="仿宋" w:cs="仿宋"/>
                <w:color w:val="auto"/>
                <w:kern w:val="0"/>
                <w:sz w:val="24"/>
                <w:highlight w:val="none"/>
                <w:lang w:bidi="ar"/>
              </w:rPr>
              <w:t>30</w:t>
            </w:r>
          </w:p>
        </w:tc>
        <w:tc>
          <w:tcPr>
            <w:tcW w:w="1470" w:type="pct"/>
            <w:tcMar>
              <w:top w:w="15" w:type="dxa"/>
              <w:left w:w="15" w:type="dxa"/>
              <w:right w:w="15" w:type="dxa"/>
            </w:tcMar>
            <w:vAlign w:val="center"/>
          </w:tcPr>
          <w:p w14:paraId="25B2CD4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空调</w:t>
            </w:r>
          </w:p>
        </w:tc>
        <w:tc>
          <w:tcPr>
            <w:tcW w:w="1535" w:type="pct"/>
            <w:shd w:val="clear" w:color="auto" w:fill="FFFFFF" w:themeFill="background1"/>
            <w:tcMar>
              <w:top w:w="15" w:type="dxa"/>
              <w:left w:w="15" w:type="dxa"/>
              <w:right w:w="15" w:type="dxa"/>
            </w:tcMar>
            <w:vAlign w:val="center"/>
          </w:tcPr>
          <w:p w14:paraId="0888198C">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精密空调</w:t>
            </w:r>
          </w:p>
        </w:tc>
        <w:tc>
          <w:tcPr>
            <w:tcW w:w="811" w:type="pct"/>
            <w:tcMar>
              <w:top w:w="15" w:type="dxa"/>
              <w:left w:w="15" w:type="dxa"/>
              <w:right w:w="15" w:type="dxa"/>
            </w:tcMar>
            <w:vAlign w:val="center"/>
          </w:tcPr>
          <w:p w14:paraId="00A0067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92" w:type="pct"/>
          </w:tcPr>
          <w:p w14:paraId="5C316D5E">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7728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3CCAC06F">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r>
              <w:rPr>
                <w:rFonts w:ascii="仿宋" w:hAnsi="仿宋" w:eastAsia="仿宋" w:cs="仿宋"/>
                <w:color w:val="auto"/>
                <w:kern w:val="0"/>
                <w:sz w:val="24"/>
                <w:highlight w:val="none"/>
                <w:lang w:bidi="ar"/>
              </w:rPr>
              <w:t>1</w:t>
            </w:r>
          </w:p>
        </w:tc>
        <w:tc>
          <w:tcPr>
            <w:tcW w:w="1470" w:type="pct"/>
            <w:vMerge w:val="restart"/>
            <w:tcMar>
              <w:top w:w="15" w:type="dxa"/>
              <w:left w:w="15" w:type="dxa"/>
              <w:right w:w="15" w:type="dxa"/>
            </w:tcMar>
            <w:vAlign w:val="center"/>
          </w:tcPr>
          <w:p w14:paraId="7DBF012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楼内监控</w:t>
            </w:r>
          </w:p>
        </w:tc>
        <w:tc>
          <w:tcPr>
            <w:tcW w:w="1535" w:type="pct"/>
            <w:shd w:val="clear" w:color="auto" w:fill="FFFFFF" w:themeFill="background1"/>
            <w:tcMar>
              <w:top w:w="15" w:type="dxa"/>
              <w:left w:w="15" w:type="dxa"/>
              <w:right w:w="15" w:type="dxa"/>
            </w:tcMar>
            <w:vAlign w:val="center"/>
          </w:tcPr>
          <w:p w14:paraId="7D36C5C9">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高清半球机</w:t>
            </w:r>
          </w:p>
        </w:tc>
        <w:tc>
          <w:tcPr>
            <w:tcW w:w="811" w:type="pct"/>
            <w:tcMar>
              <w:top w:w="15" w:type="dxa"/>
              <w:left w:w="15" w:type="dxa"/>
              <w:right w:w="15" w:type="dxa"/>
            </w:tcMar>
            <w:vAlign w:val="center"/>
          </w:tcPr>
          <w:p w14:paraId="1FA57ABA">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9</w:t>
            </w:r>
          </w:p>
        </w:tc>
        <w:tc>
          <w:tcPr>
            <w:tcW w:w="692" w:type="pct"/>
          </w:tcPr>
          <w:p w14:paraId="478C10B6">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6B98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6FBE09F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r>
              <w:rPr>
                <w:rFonts w:ascii="仿宋" w:hAnsi="仿宋" w:eastAsia="仿宋" w:cs="仿宋"/>
                <w:color w:val="auto"/>
                <w:kern w:val="0"/>
                <w:sz w:val="24"/>
                <w:highlight w:val="none"/>
                <w:lang w:bidi="ar"/>
              </w:rPr>
              <w:t>2</w:t>
            </w:r>
          </w:p>
        </w:tc>
        <w:tc>
          <w:tcPr>
            <w:tcW w:w="1470" w:type="pct"/>
            <w:vMerge w:val="continue"/>
            <w:tcMar>
              <w:top w:w="15" w:type="dxa"/>
              <w:left w:w="15" w:type="dxa"/>
              <w:right w:w="15" w:type="dxa"/>
            </w:tcMar>
            <w:vAlign w:val="center"/>
          </w:tcPr>
          <w:p w14:paraId="781BE39E">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5367F37E">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高清球机</w:t>
            </w:r>
          </w:p>
        </w:tc>
        <w:tc>
          <w:tcPr>
            <w:tcW w:w="811" w:type="pct"/>
            <w:tcMar>
              <w:top w:w="15" w:type="dxa"/>
              <w:left w:w="15" w:type="dxa"/>
              <w:right w:w="15" w:type="dxa"/>
            </w:tcMar>
            <w:vAlign w:val="center"/>
          </w:tcPr>
          <w:p w14:paraId="01FFDB18">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p>
        </w:tc>
        <w:tc>
          <w:tcPr>
            <w:tcW w:w="692" w:type="pct"/>
          </w:tcPr>
          <w:p w14:paraId="55E9632A">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7C6A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57A14C9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r>
              <w:rPr>
                <w:rFonts w:ascii="仿宋" w:hAnsi="仿宋" w:eastAsia="仿宋" w:cs="仿宋"/>
                <w:color w:val="auto"/>
                <w:kern w:val="0"/>
                <w:sz w:val="24"/>
                <w:highlight w:val="none"/>
                <w:lang w:bidi="ar"/>
              </w:rPr>
              <w:t>3</w:t>
            </w:r>
          </w:p>
        </w:tc>
        <w:tc>
          <w:tcPr>
            <w:tcW w:w="1470" w:type="pct"/>
            <w:vMerge w:val="continue"/>
            <w:tcMar>
              <w:top w:w="15" w:type="dxa"/>
              <w:left w:w="15" w:type="dxa"/>
              <w:right w:w="15" w:type="dxa"/>
            </w:tcMar>
            <w:vAlign w:val="center"/>
          </w:tcPr>
          <w:p w14:paraId="3B927B34">
            <w:pPr>
              <w:jc w:val="center"/>
              <w:rPr>
                <w:rFonts w:ascii="仿宋" w:hAnsi="仿宋" w:eastAsia="仿宋" w:cs="仿宋"/>
                <w:color w:val="auto"/>
                <w:sz w:val="24"/>
                <w:highlight w:val="none"/>
              </w:rPr>
            </w:pPr>
          </w:p>
        </w:tc>
        <w:tc>
          <w:tcPr>
            <w:tcW w:w="1535" w:type="pct"/>
            <w:shd w:val="clear" w:color="auto" w:fill="FFFFFF" w:themeFill="background1"/>
            <w:tcMar>
              <w:top w:w="15" w:type="dxa"/>
              <w:left w:w="15" w:type="dxa"/>
              <w:right w:w="15" w:type="dxa"/>
            </w:tcMar>
            <w:vAlign w:val="center"/>
          </w:tcPr>
          <w:p w14:paraId="3712648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高清球机</w:t>
            </w:r>
          </w:p>
        </w:tc>
        <w:tc>
          <w:tcPr>
            <w:tcW w:w="811" w:type="pct"/>
            <w:tcMar>
              <w:top w:w="15" w:type="dxa"/>
              <w:left w:w="15" w:type="dxa"/>
              <w:right w:w="15" w:type="dxa"/>
            </w:tcMar>
            <w:vAlign w:val="center"/>
          </w:tcPr>
          <w:p w14:paraId="1585ECD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692" w:type="pct"/>
          </w:tcPr>
          <w:p w14:paraId="225F3C5D">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0F19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0F497659">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r>
              <w:rPr>
                <w:rFonts w:ascii="仿宋" w:hAnsi="仿宋" w:eastAsia="仿宋" w:cs="仿宋"/>
                <w:color w:val="auto"/>
                <w:kern w:val="0"/>
                <w:sz w:val="24"/>
                <w:highlight w:val="none"/>
                <w:lang w:bidi="ar"/>
              </w:rPr>
              <w:t>4</w:t>
            </w:r>
          </w:p>
        </w:tc>
        <w:tc>
          <w:tcPr>
            <w:tcW w:w="1470" w:type="pct"/>
            <w:vMerge w:val="restart"/>
            <w:tcMar>
              <w:top w:w="15" w:type="dxa"/>
              <w:left w:w="15" w:type="dxa"/>
              <w:right w:w="15" w:type="dxa"/>
            </w:tcMar>
            <w:vAlign w:val="center"/>
          </w:tcPr>
          <w:p w14:paraId="26D99F2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门禁</w:t>
            </w:r>
          </w:p>
        </w:tc>
        <w:tc>
          <w:tcPr>
            <w:tcW w:w="1535" w:type="pct"/>
            <w:shd w:val="clear" w:color="auto" w:fill="FFFFFF" w:themeFill="background1"/>
            <w:tcMar>
              <w:top w:w="15" w:type="dxa"/>
              <w:left w:w="15" w:type="dxa"/>
              <w:right w:w="15" w:type="dxa"/>
            </w:tcMar>
            <w:vAlign w:val="center"/>
          </w:tcPr>
          <w:p w14:paraId="6D53843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门禁管理器</w:t>
            </w:r>
          </w:p>
        </w:tc>
        <w:tc>
          <w:tcPr>
            <w:tcW w:w="811" w:type="pct"/>
            <w:tcMar>
              <w:top w:w="15" w:type="dxa"/>
              <w:left w:w="15" w:type="dxa"/>
              <w:right w:w="15" w:type="dxa"/>
            </w:tcMar>
            <w:vAlign w:val="center"/>
          </w:tcPr>
          <w:p w14:paraId="0F24E06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71D242D0">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703E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491" w:type="pct"/>
            <w:tcMar>
              <w:top w:w="15" w:type="dxa"/>
              <w:left w:w="15" w:type="dxa"/>
              <w:right w:w="15" w:type="dxa"/>
            </w:tcMar>
            <w:vAlign w:val="center"/>
          </w:tcPr>
          <w:p w14:paraId="78DC73E6">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r>
              <w:rPr>
                <w:rFonts w:ascii="仿宋" w:hAnsi="仿宋" w:eastAsia="仿宋" w:cs="仿宋"/>
                <w:color w:val="auto"/>
                <w:kern w:val="0"/>
                <w:sz w:val="24"/>
                <w:highlight w:val="none"/>
                <w:lang w:bidi="ar"/>
              </w:rPr>
              <w:t>5</w:t>
            </w:r>
          </w:p>
        </w:tc>
        <w:tc>
          <w:tcPr>
            <w:tcW w:w="1470" w:type="pct"/>
            <w:vMerge w:val="continue"/>
            <w:tcMar>
              <w:top w:w="15" w:type="dxa"/>
              <w:left w:w="15" w:type="dxa"/>
              <w:right w:w="15" w:type="dxa"/>
            </w:tcMar>
            <w:vAlign w:val="center"/>
          </w:tcPr>
          <w:p w14:paraId="1D7A0069">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620EB493">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指纹机（带刷卡功能）</w:t>
            </w:r>
          </w:p>
        </w:tc>
        <w:tc>
          <w:tcPr>
            <w:tcW w:w="811" w:type="pct"/>
            <w:tcMar>
              <w:top w:w="15" w:type="dxa"/>
              <w:left w:w="15" w:type="dxa"/>
              <w:right w:w="15" w:type="dxa"/>
            </w:tcMar>
            <w:vAlign w:val="center"/>
          </w:tcPr>
          <w:p w14:paraId="49189B5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17</w:t>
            </w:r>
          </w:p>
        </w:tc>
        <w:tc>
          <w:tcPr>
            <w:tcW w:w="692" w:type="pct"/>
          </w:tcPr>
          <w:p w14:paraId="57E87FBA">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5616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4247B5BC">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r>
              <w:rPr>
                <w:rFonts w:ascii="仿宋" w:hAnsi="仿宋" w:eastAsia="仿宋" w:cs="仿宋"/>
                <w:color w:val="auto"/>
                <w:kern w:val="0"/>
                <w:sz w:val="24"/>
                <w:highlight w:val="none"/>
                <w:lang w:bidi="ar"/>
              </w:rPr>
              <w:t>6</w:t>
            </w:r>
          </w:p>
        </w:tc>
        <w:tc>
          <w:tcPr>
            <w:tcW w:w="1470" w:type="pct"/>
            <w:vMerge w:val="continue"/>
            <w:tcMar>
              <w:top w:w="15" w:type="dxa"/>
              <w:left w:w="15" w:type="dxa"/>
              <w:right w:w="15" w:type="dxa"/>
            </w:tcMar>
            <w:vAlign w:val="center"/>
          </w:tcPr>
          <w:p w14:paraId="2140D04D">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7DB3DFFF">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双门磁力锁</w:t>
            </w:r>
          </w:p>
        </w:tc>
        <w:tc>
          <w:tcPr>
            <w:tcW w:w="811" w:type="pct"/>
            <w:tcMar>
              <w:top w:w="15" w:type="dxa"/>
              <w:left w:w="15" w:type="dxa"/>
              <w:right w:w="15" w:type="dxa"/>
            </w:tcMar>
            <w:vAlign w:val="center"/>
          </w:tcPr>
          <w:p w14:paraId="05B1238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9</w:t>
            </w:r>
          </w:p>
        </w:tc>
        <w:tc>
          <w:tcPr>
            <w:tcW w:w="692" w:type="pct"/>
          </w:tcPr>
          <w:p w14:paraId="4DAEC68E">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7F66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3F35757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r>
              <w:rPr>
                <w:rFonts w:ascii="仿宋" w:hAnsi="仿宋" w:eastAsia="仿宋" w:cs="仿宋"/>
                <w:color w:val="auto"/>
                <w:kern w:val="0"/>
                <w:sz w:val="24"/>
                <w:highlight w:val="none"/>
                <w:lang w:bidi="ar"/>
              </w:rPr>
              <w:t>7</w:t>
            </w:r>
          </w:p>
        </w:tc>
        <w:tc>
          <w:tcPr>
            <w:tcW w:w="1470" w:type="pct"/>
            <w:vMerge w:val="continue"/>
            <w:tcMar>
              <w:top w:w="15" w:type="dxa"/>
              <w:left w:w="15" w:type="dxa"/>
              <w:right w:w="15" w:type="dxa"/>
            </w:tcMar>
            <w:vAlign w:val="center"/>
          </w:tcPr>
          <w:p w14:paraId="781D0034">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51D5BEEF">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单门磁力锁</w:t>
            </w:r>
          </w:p>
        </w:tc>
        <w:tc>
          <w:tcPr>
            <w:tcW w:w="811" w:type="pct"/>
            <w:tcMar>
              <w:top w:w="15" w:type="dxa"/>
              <w:left w:w="15" w:type="dxa"/>
              <w:right w:w="15" w:type="dxa"/>
            </w:tcMar>
            <w:vAlign w:val="center"/>
          </w:tcPr>
          <w:p w14:paraId="0A67A59C">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8</w:t>
            </w:r>
          </w:p>
        </w:tc>
        <w:tc>
          <w:tcPr>
            <w:tcW w:w="692" w:type="pct"/>
          </w:tcPr>
          <w:p w14:paraId="47FBC36F">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0746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7EE5E77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r>
              <w:rPr>
                <w:rFonts w:ascii="仿宋" w:hAnsi="仿宋" w:eastAsia="仿宋" w:cs="仿宋"/>
                <w:color w:val="auto"/>
                <w:kern w:val="0"/>
                <w:sz w:val="24"/>
                <w:highlight w:val="none"/>
                <w:lang w:bidi="ar"/>
              </w:rPr>
              <w:t>8</w:t>
            </w:r>
          </w:p>
        </w:tc>
        <w:tc>
          <w:tcPr>
            <w:tcW w:w="1470" w:type="pct"/>
            <w:vMerge w:val="continue"/>
            <w:tcMar>
              <w:top w:w="15" w:type="dxa"/>
              <w:left w:w="15" w:type="dxa"/>
              <w:right w:w="15" w:type="dxa"/>
            </w:tcMar>
            <w:vAlign w:val="center"/>
          </w:tcPr>
          <w:p w14:paraId="0DA9B1D1">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40791BD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开门按钮</w:t>
            </w:r>
          </w:p>
        </w:tc>
        <w:tc>
          <w:tcPr>
            <w:tcW w:w="811" w:type="pct"/>
            <w:tcMar>
              <w:top w:w="15" w:type="dxa"/>
              <w:left w:w="15" w:type="dxa"/>
              <w:right w:w="15" w:type="dxa"/>
            </w:tcMar>
            <w:vAlign w:val="center"/>
          </w:tcPr>
          <w:p w14:paraId="380E19F6">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17</w:t>
            </w:r>
          </w:p>
        </w:tc>
        <w:tc>
          <w:tcPr>
            <w:tcW w:w="692" w:type="pct"/>
          </w:tcPr>
          <w:p w14:paraId="411452C4">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7CA2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08FA8E3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w:t>
            </w:r>
            <w:r>
              <w:rPr>
                <w:rFonts w:ascii="仿宋" w:hAnsi="仿宋" w:eastAsia="仿宋" w:cs="仿宋"/>
                <w:color w:val="auto"/>
                <w:kern w:val="0"/>
                <w:sz w:val="24"/>
                <w:highlight w:val="none"/>
                <w:lang w:bidi="ar"/>
              </w:rPr>
              <w:t>9</w:t>
            </w:r>
          </w:p>
        </w:tc>
        <w:tc>
          <w:tcPr>
            <w:tcW w:w="1470" w:type="pct"/>
            <w:vMerge w:val="continue"/>
            <w:tcMar>
              <w:top w:w="15" w:type="dxa"/>
              <w:left w:w="15" w:type="dxa"/>
              <w:right w:w="15" w:type="dxa"/>
            </w:tcMar>
            <w:vAlign w:val="center"/>
          </w:tcPr>
          <w:p w14:paraId="4417F161">
            <w:pPr>
              <w:jc w:val="center"/>
              <w:rPr>
                <w:rFonts w:ascii="仿宋" w:hAnsi="仿宋" w:eastAsia="仿宋" w:cs="仿宋"/>
                <w:color w:val="auto"/>
                <w:sz w:val="24"/>
                <w:highlight w:val="none"/>
              </w:rPr>
            </w:pPr>
          </w:p>
        </w:tc>
        <w:tc>
          <w:tcPr>
            <w:tcW w:w="1535" w:type="pct"/>
            <w:tcMar>
              <w:top w:w="15" w:type="dxa"/>
              <w:left w:w="15" w:type="dxa"/>
              <w:right w:w="15" w:type="dxa"/>
            </w:tcMar>
            <w:vAlign w:val="center"/>
          </w:tcPr>
          <w:p w14:paraId="66EDE9FB">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四门禁控制器</w:t>
            </w:r>
          </w:p>
        </w:tc>
        <w:tc>
          <w:tcPr>
            <w:tcW w:w="811" w:type="pct"/>
            <w:tcMar>
              <w:top w:w="15" w:type="dxa"/>
              <w:left w:w="15" w:type="dxa"/>
              <w:right w:w="15" w:type="dxa"/>
            </w:tcMar>
            <w:vAlign w:val="center"/>
          </w:tcPr>
          <w:p w14:paraId="59D6E08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5</w:t>
            </w:r>
          </w:p>
        </w:tc>
        <w:tc>
          <w:tcPr>
            <w:tcW w:w="692" w:type="pct"/>
          </w:tcPr>
          <w:p w14:paraId="6C2EA4D9">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57C9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1E7606A1">
            <w:pPr>
              <w:widowControl/>
              <w:jc w:val="center"/>
              <w:textAlignment w:val="center"/>
              <w:rPr>
                <w:rFonts w:ascii="仿宋" w:hAnsi="仿宋" w:eastAsia="仿宋" w:cs="仿宋"/>
                <w:color w:val="auto"/>
                <w:sz w:val="24"/>
                <w:highlight w:val="none"/>
              </w:rPr>
            </w:pPr>
            <w:r>
              <w:rPr>
                <w:rFonts w:ascii="仿宋" w:hAnsi="仿宋" w:eastAsia="仿宋" w:cs="仿宋"/>
                <w:color w:val="auto"/>
                <w:kern w:val="0"/>
                <w:sz w:val="24"/>
                <w:highlight w:val="none"/>
                <w:lang w:bidi="ar"/>
              </w:rPr>
              <w:t>40</w:t>
            </w:r>
          </w:p>
        </w:tc>
        <w:tc>
          <w:tcPr>
            <w:tcW w:w="1470" w:type="pct"/>
            <w:tcMar>
              <w:top w:w="15" w:type="dxa"/>
              <w:left w:w="15" w:type="dxa"/>
              <w:right w:w="15" w:type="dxa"/>
            </w:tcMar>
            <w:vAlign w:val="center"/>
          </w:tcPr>
          <w:p w14:paraId="3F511ACE">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标准时间</w:t>
            </w:r>
          </w:p>
        </w:tc>
        <w:tc>
          <w:tcPr>
            <w:tcW w:w="1535" w:type="pct"/>
            <w:tcMar>
              <w:top w:w="15" w:type="dxa"/>
              <w:left w:w="15" w:type="dxa"/>
              <w:right w:w="15" w:type="dxa"/>
            </w:tcMar>
            <w:vAlign w:val="center"/>
          </w:tcPr>
          <w:p w14:paraId="631FB8E9">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标准时钟系统</w:t>
            </w:r>
          </w:p>
        </w:tc>
        <w:tc>
          <w:tcPr>
            <w:tcW w:w="811" w:type="pct"/>
            <w:tcMar>
              <w:top w:w="15" w:type="dxa"/>
              <w:left w:w="15" w:type="dxa"/>
              <w:right w:w="15" w:type="dxa"/>
            </w:tcMar>
            <w:vAlign w:val="center"/>
          </w:tcPr>
          <w:p w14:paraId="4E094006">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20941FFF">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r w14:paraId="4A59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91" w:type="pct"/>
            <w:tcMar>
              <w:top w:w="15" w:type="dxa"/>
              <w:left w:w="15" w:type="dxa"/>
              <w:right w:w="15" w:type="dxa"/>
            </w:tcMar>
            <w:vAlign w:val="center"/>
          </w:tcPr>
          <w:p w14:paraId="5A685322">
            <w:pPr>
              <w:widowControl/>
              <w:jc w:val="center"/>
              <w:textAlignment w:val="center"/>
              <w:rPr>
                <w:rFonts w:ascii="仿宋" w:hAnsi="仿宋" w:eastAsia="仿宋" w:cs="仿宋"/>
                <w:color w:val="auto"/>
                <w:sz w:val="24"/>
                <w:highlight w:val="none"/>
              </w:rPr>
            </w:pPr>
            <w:r>
              <w:rPr>
                <w:rFonts w:ascii="仿宋" w:hAnsi="仿宋" w:eastAsia="仿宋" w:cs="仿宋"/>
                <w:color w:val="auto"/>
                <w:kern w:val="0"/>
                <w:sz w:val="24"/>
                <w:highlight w:val="none"/>
                <w:lang w:bidi="ar"/>
              </w:rPr>
              <w:t>41</w:t>
            </w:r>
          </w:p>
        </w:tc>
        <w:tc>
          <w:tcPr>
            <w:tcW w:w="1470" w:type="pct"/>
            <w:tcMar>
              <w:top w:w="15" w:type="dxa"/>
              <w:left w:w="15" w:type="dxa"/>
              <w:right w:w="15" w:type="dxa"/>
            </w:tcMar>
            <w:vAlign w:val="center"/>
          </w:tcPr>
          <w:p w14:paraId="122BAED1">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智能楼宇控制器</w:t>
            </w:r>
          </w:p>
        </w:tc>
        <w:tc>
          <w:tcPr>
            <w:tcW w:w="1535" w:type="pct"/>
            <w:tcMar>
              <w:top w:w="15" w:type="dxa"/>
              <w:left w:w="15" w:type="dxa"/>
              <w:right w:w="15" w:type="dxa"/>
            </w:tcMar>
            <w:vAlign w:val="center"/>
          </w:tcPr>
          <w:p w14:paraId="6050F0E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PLC等</w:t>
            </w:r>
          </w:p>
        </w:tc>
        <w:tc>
          <w:tcPr>
            <w:tcW w:w="811" w:type="pct"/>
            <w:tcMar>
              <w:top w:w="15" w:type="dxa"/>
              <w:left w:w="15" w:type="dxa"/>
              <w:right w:w="15" w:type="dxa"/>
            </w:tcMar>
            <w:vAlign w:val="center"/>
          </w:tcPr>
          <w:p w14:paraId="660A1DFF">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692" w:type="pct"/>
          </w:tcPr>
          <w:p w14:paraId="1B8255F7">
            <w:pPr>
              <w:widowControl/>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2017.12</w:t>
            </w:r>
          </w:p>
        </w:tc>
      </w:tr>
    </w:tbl>
    <w:p w14:paraId="00592DCA">
      <w:pPr>
        <w:spacing w:line="360" w:lineRule="auto"/>
        <w:ind w:firstLine="480" w:firstLineChars="200"/>
        <w:jc w:val="left"/>
        <w:rPr>
          <w:rFonts w:ascii="仿宋" w:hAnsi="仿宋" w:eastAsia="仿宋"/>
          <w:color w:val="auto"/>
          <w:sz w:val="24"/>
          <w:highlight w:val="none"/>
        </w:rPr>
      </w:pPr>
    </w:p>
    <w:p w14:paraId="5649D954">
      <w:pPr>
        <w:spacing w:line="360" w:lineRule="auto"/>
        <w:ind w:firstLine="480" w:firstLineChars="200"/>
        <w:jc w:val="center"/>
        <w:rPr>
          <w:rFonts w:ascii="仿宋" w:hAnsi="仿宋" w:eastAsia="仿宋"/>
          <w:color w:val="auto"/>
          <w:sz w:val="24"/>
          <w:highlight w:val="none"/>
        </w:rPr>
      </w:pPr>
      <w:r>
        <w:rPr>
          <w:rFonts w:hint="eastAsia" w:ascii="仿宋" w:hAnsi="仿宋" w:eastAsia="仿宋"/>
          <w:color w:val="auto"/>
          <w:sz w:val="24"/>
          <w:highlight w:val="none"/>
        </w:rPr>
        <w:t>维护设备清单明细表二</w:t>
      </w:r>
    </w:p>
    <w:tbl>
      <w:tblPr>
        <w:tblStyle w:val="17"/>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485"/>
        <w:gridCol w:w="1440"/>
        <w:gridCol w:w="1860"/>
        <w:gridCol w:w="4519"/>
        <w:gridCol w:w="746"/>
        <w:gridCol w:w="909"/>
      </w:tblGrid>
      <w:tr w14:paraId="5056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9" w:hRule="atLeast"/>
        </w:trPr>
        <w:tc>
          <w:tcPr>
            <w:tcW w:w="243" w:type="pct"/>
            <w:shd w:val="clear" w:color="auto" w:fill="FFFFFF" w:themeFill="background1"/>
            <w:vAlign w:val="center"/>
          </w:tcPr>
          <w:p w14:paraId="41228CD3">
            <w:pPr>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序号</w:t>
            </w:r>
          </w:p>
        </w:tc>
        <w:tc>
          <w:tcPr>
            <w:tcW w:w="723" w:type="pct"/>
            <w:shd w:val="clear" w:color="auto" w:fill="FFFFFF" w:themeFill="background1"/>
            <w:vAlign w:val="center"/>
          </w:tcPr>
          <w:p w14:paraId="0AA07122">
            <w:pPr>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设备名称</w:t>
            </w:r>
          </w:p>
        </w:tc>
        <w:tc>
          <w:tcPr>
            <w:tcW w:w="934" w:type="pct"/>
            <w:shd w:val="clear" w:color="auto" w:fill="FFFFFF" w:themeFill="background1"/>
            <w:vAlign w:val="center"/>
          </w:tcPr>
          <w:p w14:paraId="7D98BBAB">
            <w:pPr>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品牌及型号</w:t>
            </w:r>
          </w:p>
        </w:tc>
        <w:tc>
          <w:tcPr>
            <w:tcW w:w="2269" w:type="pct"/>
            <w:shd w:val="clear" w:color="auto" w:fill="FFFFFF" w:themeFill="background1"/>
            <w:vAlign w:val="center"/>
          </w:tcPr>
          <w:p w14:paraId="1931FD18">
            <w:pPr>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规格配置详细说明及主要技术参数</w:t>
            </w:r>
          </w:p>
        </w:tc>
        <w:tc>
          <w:tcPr>
            <w:tcW w:w="375" w:type="pct"/>
            <w:shd w:val="clear" w:color="auto" w:fill="FFFFFF" w:themeFill="background1"/>
            <w:vAlign w:val="center"/>
          </w:tcPr>
          <w:p w14:paraId="45B360DC">
            <w:pPr>
              <w:widowControl/>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数量</w:t>
            </w:r>
          </w:p>
        </w:tc>
        <w:tc>
          <w:tcPr>
            <w:tcW w:w="453" w:type="pct"/>
            <w:shd w:val="clear" w:color="auto" w:fill="FFFFFF" w:themeFill="background1"/>
            <w:vAlign w:val="center"/>
          </w:tcPr>
          <w:p w14:paraId="01A4EE57">
            <w:pPr>
              <w:widowControl/>
              <w:jc w:val="cente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 xml:space="preserve">过保时间 </w:t>
            </w:r>
          </w:p>
        </w:tc>
      </w:tr>
      <w:tr w14:paraId="297B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5000" w:type="pct"/>
            <w:gridSpan w:val="6"/>
            <w:shd w:val="clear" w:color="auto" w:fill="FFFFFF" w:themeFill="background1"/>
            <w:vAlign w:val="center"/>
          </w:tcPr>
          <w:p w14:paraId="540CCDC3">
            <w:pPr>
              <w:pStyle w:val="43"/>
              <w:jc w:val="left"/>
              <w:rPr>
                <w:rFonts w:ascii="仿宋" w:hAnsi="仿宋" w:eastAsia="仿宋"/>
                <w:color w:val="auto"/>
                <w:sz w:val="24"/>
                <w:szCs w:val="24"/>
                <w:highlight w:val="none"/>
              </w:rPr>
            </w:pPr>
            <w:r>
              <w:rPr>
                <w:rFonts w:hint="eastAsia" w:ascii="仿宋" w:hAnsi="仿宋" w:eastAsia="仿宋"/>
                <w:b/>
                <w:color w:val="auto"/>
                <w:sz w:val="24"/>
                <w:szCs w:val="24"/>
                <w:highlight w:val="none"/>
              </w:rPr>
              <w:t>一、视频监控</w:t>
            </w:r>
          </w:p>
        </w:tc>
      </w:tr>
      <w:tr w14:paraId="32AD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8" w:hRule="atLeast"/>
        </w:trPr>
        <w:tc>
          <w:tcPr>
            <w:tcW w:w="243" w:type="pct"/>
            <w:shd w:val="clear" w:color="auto" w:fill="FFFFFF" w:themeFill="background1"/>
            <w:vAlign w:val="center"/>
          </w:tcPr>
          <w:p w14:paraId="326ABE1E">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723" w:type="pct"/>
            <w:shd w:val="clear" w:color="auto" w:fill="FFFFFF" w:themeFill="background1"/>
            <w:vAlign w:val="center"/>
          </w:tcPr>
          <w:p w14:paraId="0A4D31F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联网网关（NCG）</w:t>
            </w:r>
          </w:p>
        </w:tc>
        <w:tc>
          <w:tcPr>
            <w:tcW w:w="934" w:type="pct"/>
            <w:shd w:val="clear" w:color="auto" w:fill="FFFFFF" w:themeFill="background1"/>
            <w:vAlign w:val="center"/>
          </w:tcPr>
          <w:p w14:paraId="2F6EAD29">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海康威视</w:t>
            </w:r>
          </w:p>
          <w:p w14:paraId="74BBC34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iVMS-8201E-NCG</w:t>
            </w:r>
          </w:p>
        </w:tc>
        <w:tc>
          <w:tcPr>
            <w:tcW w:w="2269" w:type="pct"/>
            <w:shd w:val="clear" w:color="auto" w:fill="FFFFFF" w:themeFill="background1"/>
            <w:vAlign w:val="center"/>
          </w:tcPr>
          <w:p w14:paraId="7C586CA4">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设备采用运营级ATCA机箱、双电源冗余、实现智能风扇自动调温；标准机架式设计，业务模块支持热插拔，易安装、调试及维护</w:t>
            </w:r>
          </w:p>
          <w:p w14:paraId="2D9A8A5A">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单台网关能同时接入多个异构平台，实现转码、转发功能，支持同时实现对接上级平台和接入下级平台的能力，监控点管理能力不低于3万路</w:t>
            </w:r>
          </w:p>
          <w:p w14:paraId="018B8D52">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设备支持转码和转发，单台设备能同时实现64路4CIF视频流转码，千兆网络环境下支持400M码流转发支持穿越网闸或视频安全接入平台，实现在内网接入外网资源</w:t>
            </w:r>
          </w:p>
        </w:tc>
        <w:tc>
          <w:tcPr>
            <w:tcW w:w="375" w:type="pct"/>
            <w:shd w:val="clear" w:color="auto" w:fill="FFFFFF" w:themeFill="background1"/>
            <w:vAlign w:val="center"/>
          </w:tcPr>
          <w:p w14:paraId="1FAA43C3">
            <w:pPr>
              <w:pStyle w:val="43"/>
              <w:jc w:val="center"/>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台</w:t>
            </w:r>
          </w:p>
        </w:tc>
        <w:tc>
          <w:tcPr>
            <w:tcW w:w="453" w:type="pct"/>
            <w:shd w:val="clear" w:color="auto" w:fill="FFFFFF" w:themeFill="background1"/>
            <w:vAlign w:val="center"/>
          </w:tcPr>
          <w:p w14:paraId="322C3273">
            <w:pPr>
              <w:pStyle w:val="43"/>
              <w:jc w:val="center"/>
              <w:rPr>
                <w:rFonts w:ascii="仿宋" w:hAnsi="仿宋" w:eastAsia="仿宋"/>
                <w:color w:val="auto"/>
                <w:sz w:val="24"/>
                <w:szCs w:val="24"/>
                <w:highlight w:val="none"/>
              </w:rPr>
            </w:pPr>
            <w:r>
              <w:rPr>
                <w:rFonts w:ascii="仿宋" w:hAnsi="仿宋" w:eastAsia="仿宋"/>
                <w:color w:val="auto"/>
                <w:sz w:val="24"/>
                <w:szCs w:val="24"/>
                <w:highlight w:val="none"/>
              </w:rPr>
              <w:t>2019.10</w:t>
            </w:r>
          </w:p>
        </w:tc>
      </w:tr>
      <w:tr w14:paraId="13A6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5000" w:type="pct"/>
            <w:gridSpan w:val="6"/>
            <w:shd w:val="clear" w:color="auto" w:fill="FFFFFF" w:themeFill="background1"/>
            <w:vAlign w:val="center"/>
          </w:tcPr>
          <w:p w14:paraId="0AA6B4C8">
            <w:pPr>
              <w:pStyle w:val="43"/>
              <w:rPr>
                <w:rFonts w:ascii="仿宋" w:hAnsi="仿宋" w:eastAsia="仿宋"/>
                <w:color w:val="auto"/>
                <w:sz w:val="24"/>
                <w:szCs w:val="24"/>
                <w:highlight w:val="none"/>
              </w:rPr>
            </w:pPr>
            <w:r>
              <w:rPr>
                <w:rFonts w:hint="eastAsia" w:ascii="仿宋" w:hAnsi="仿宋" w:eastAsia="仿宋"/>
                <w:b/>
                <w:color w:val="auto"/>
                <w:sz w:val="24"/>
                <w:szCs w:val="24"/>
                <w:highlight w:val="none"/>
              </w:rPr>
              <w:t>二、会商室</w:t>
            </w:r>
          </w:p>
        </w:tc>
      </w:tr>
      <w:tr w14:paraId="426E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5000" w:type="pct"/>
            <w:gridSpan w:val="6"/>
            <w:shd w:val="clear" w:color="auto" w:fill="FFFFFF" w:themeFill="background1"/>
            <w:vAlign w:val="center"/>
          </w:tcPr>
          <w:p w14:paraId="332EFC84">
            <w:pPr>
              <w:pStyle w:val="43"/>
              <w:rPr>
                <w:rFonts w:ascii="仿宋" w:hAnsi="仿宋" w:eastAsia="仿宋"/>
                <w:color w:val="auto"/>
                <w:sz w:val="24"/>
                <w:szCs w:val="24"/>
                <w:highlight w:val="none"/>
              </w:rPr>
            </w:pPr>
            <w:r>
              <w:rPr>
                <w:rFonts w:ascii="仿宋" w:hAnsi="仿宋" w:eastAsia="仿宋"/>
                <w:b/>
                <w:color w:val="auto"/>
                <w:sz w:val="24"/>
                <w:szCs w:val="24"/>
                <w:highlight w:val="none"/>
              </w:rPr>
              <w:t>2</w:t>
            </w:r>
            <w:r>
              <w:rPr>
                <w:rFonts w:hint="eastAsia" w:ascii="仿宋" w:hAnsi="仿宋" w:eastAsia="仿宋"/>
                <w:b/>
                <w:color w:val="auto"/>
                <w:sz w:val="24"/>
                <w:szCs w:val="24"/>
                <w:highlight w:val="none"/>
              </w:rPr>
              <w:t>.1图像显示单元</w:t>
            </w:r>
          </w:p>
        </w:tc>
      </w:tr>
      <w:tr w14:paraId="37F6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9" w:hRule="atLeast"/>
        </w:trPr>
        <w:tc>
          <w:tcPr>
            <w:tcW w:w="243" w:type="pct"/>
            <w:shd w:val="clear" w:color="auto" w:fill="FFFFFF" w:themeFill="background1"/>
            <w:vAlign w:val="center"/>
          </w:tcPr>
          <w:p w14:paraId="2B5744C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723" w:type="pct"/>
            <w:shd w:val="clear" w:color="auto" w:fill="FFFFFF" w:themeFill="background1"/>
            <w:vAlign w:val="center"/>
          </w:tcPr>
          <w:p w14:paraId="2A849B0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P1.2室内全彩屏</w:t>
            </w:r>
          </w:p>
        </w:tc>
        <w:tc>
          <w:tcPr>
            <w:tcW w:w="934" w:type="pct"/>
            <w:shd w:val="clear" w:color="auto" w:fill="FFFFFF" w:themeFill="background1"/>
            <w:vAlign w:val="center"/>
          </w:tcPr>
          <w:p w14:paraId="4ED3B2A4">
            <w:pPr>
              <w:jc w:val="center"/>
              <w:rPr>
                <w:rFonts w:ascii="仿宋" w:hAnsi="仿宋" w:eastAsia="仿宋"/>
                <w:color w:val="auto"/>
                <w:kern w:val="0"/>
                <w:sz w:val="24"/>
                <w:highlight w:val="none"/>
              </w:rPr>
            </w:pPr>
            <w:r>
              <w:rPr>
                <w:rFonts w:hint="eastAsia" w:ascii="仿宋" w:hAnsi="仿宋" w:eastAsia="仿宋"/>
                <w:color w:val="auto"/>
                <w:kern w:val="0"/>
                <w:sz w:val="24"/>
                <w:highlight w:val="none"/>
              </w:rPr>
              <w:t>海康威视</w:t>
            </w:r>
          </w:p>
          <w:p w14:paraId="629C678B">
            <w:pPr>
              <w:jc w:val="center"/>
              <w:rPr>
                <w:rFonts w:ascii="仿宋" w:hAnsi="仿宋" w:eastAsia="仿宋"/>
                <w:color w:val="auto"/>
                <w:kern w:val="0"/>
                <w:sz w:val="24"/>
                <w:highlight w:val="none"/>
              </w:rPr>
            </w:pPr>
            <w:r>
              <w:rPr>
                <w:rFonts w:hint="eastAsia" w:ascii="仿宋" w:hAnsi="仿宋" w:eastAsia="仿宋"/>
                <w:color w:val="auto"/>
                <w:kern w:val="0"/>
                <w:sz w:val="24"/>
                <w:highlight w:val="none"/>
              </w:rPr>
              <w:t>DS-D4012FI-EW</w:t>
            </w:r>
          </w:p>
        </w:tc>
        <w:tc>
          <w:tcPr>
            <w:tcW w:w="2269" w:type="pct"/>
            <w:shd w:val="clear" w:color="auto" w:fill="FFFFFF" w:themeFill="background1"/>
            <w:vAlign w:val="center"/>
          </w:tcPr>
          <w:p w14:paraId="5898A5DF">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1）基本参数</w:t>
            </w:r>
          </w:p>
          <w:p w14:paraId="78666656">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物理像素间距&lt;1.3mm ,像素密度: 像素密度≥620000点/㎡。</w:t>
            </w:r>
          </w:p>
          <w:p w14:paraId="61AEEC7D">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像素组成：每个像素点内采用1红1绿1蓝，共3颗LED发光二极管，封装方式表贴三合一；</w:t>
            </w:r>
          </w:p>
          <w:p w14:paraId="6D78704B">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2）屏幕参数</w:t>
            </w:r>
          </w:p>
          <w:p w14:paraId="6E70F032">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单块屏体面积：显示屏尺寸(宽*高）显示屏有效显示尺寸为3.0496M*1.7154M（16：9），箱体要求：箱体采用模组+铝板+压铸铝箱体设计，黑色PCB基板, 一体化驱动主板设计，信号稳定可靠；屏幕表面做不反光处理、单元模组加装黑色面罩；采用密封式铝合金压铸箱体，安装要求为箱体拼装，并且带后盖，表面平整无明显缝隙；箱体间缝隙≤0.2mm；整屏平整度≤0.2mm；</w:t>
            </w:r>
          </w:p>
          <w:p w14:paraId="7CCD5CA5">
            <w:pPr>
              <w:jc w:val="left"/>
              <w:rPr>
                <w:rFonts w:ascii="仿宋" w:hAnsi="仿宋" w:eastAsia="仿宋"/>
                <w:color w:val="auto"/>
                <w:kern w:val="0"/>
                <w:sz w:val="24"/>
                <w:highlight w:val="none"/>
              </w:rPr>
            </w:pPr>
            <w:r>
              <w:rPr>
                <w:rFonts w:hint="eastAsia" w:ascii="仿宋" w:hAnsi="仿宋" w:eastAsia="仿宋"/>
                <w:color w:val="auto"/>
                <w:kern w:val="0"/>
                <w:sz w:val="24"/>
                <w:highlight w:val="none"/>
              </w:rPr>
              <w:t>屏体工艺：整屏带面罩</w:t>
            </w:r>
          </w:p>
          <w:p w14:paraId="40D61A08">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均匀性：整屏亮度均匀性≥98%，具有单点校正功能；整屏色度均匀性±0.003Cx，Cy之内，具有单点色度校正功能；</w:t>
            </w:r>
          </w:p>
        </w:tc>
        <w:tc>
          <w:tcPr>
            <w:tcW w:w="375" w:type="pct"/>
            <w:shd w:val="clear" w:color="auto" w:fill="FFFFFF" w:themeFill="background1"/>
            <w:vAlign w:val="center"/>
          </w:tcPr>
          <w:p w14:paraId="54155DFD">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5.23㎡</w:t>
            </w:r>
          </w:p>
        </w:tc>
        <w:tc>
          <w:tcPr>
            <w:tcW w:w="453" w:type="pct"/>
            <w:shd w:val="clear" w:color="auto" w:fill="FFFFFF" w:themeFill="background1"/>
            <w:vAlign w:val="center"/>
          </w:tcPr>
          <w:p w14:paraId="51A63D13">
            <w:pPr>
              <w:pStyle w:val="43"/>
              <w:jc w:val="center"/>
              <w:rPr>
                <w:rFonts w:ascii="仿宋" w:hAnsi="仿宋" w:eastAsia="仿宋"/>
                <w:color w:val="auto"/>
                <w:sz w:val="24"/>
                <w:szCs w:val="24"/>
                <w:highlight w:val="none"/>
              </w:rPr>
            </w:pPr>
            <w:r>
              <w:rPr>
                <w:rFonts w:ascii="仿宋" w:hAnsi="仿宋" w:eastAsia="仿宋"/>
                <w:color w:val="auto"/>
                <w:sz w:val="24"/>
                <w:szCs w:val="24"/>
                <w:highlight w:val="none"/>
              </w:rPr>
              <w:t>2019.10</w:t>
            </w:r>
          </w:p>
        </w:tc>
      </w:tr>
      <w:tr w14:paraId="7532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43" w:type="pct"/>
            <w:shd w:val="clear" w:color="auto" w:fill="FFFFFF" w:themeFill="background1"/>
            <w:vAlign w:val="center"/>
          </w:tcPr>
          <w:p w14:paraId="384299B2">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723" w:type="pct"/>
            <w:shd w:val="clear" w:color="auto" w:fill="FFFFFF" w:themeFill="background1"/>
            <w:vAlign w:val="center"/>
          </w:tcPr>
          <w:p w14:paraId="0568768F">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LED全彩屏发送卡</w:t>
            </w:r>
          </w:p>
        </w:tc>
        <w:tc>
          <w:tcPr>
            <w:tcW w:w="934" w:type="pct"/>
            <w:shd w:val="clear" w:color="auto" w:fill="FFFFFF" w:themeFill="background1"/>
            <w:vAlign w:val="center"/>
          </w:tcPr>
          <w:p w14:paraId="12593DF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海康威视DS-D40C02</w:t>
            </w:r>
          </w:p>
        </w:tc>
        <w:tc>
          <w:tcPr>
            <w:tcW w:w="2269" w:type="pct"/>
            <w:shd w:val="clear" w:color="auto" w:fill="FFFFFF" w:themeFill="background1"/>
            <w:vAlign w:val="center"/>
          </w:tcPr>
          <w:p w14:paraId="6B83C257">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LED全彩显示屏控制器,1路DVI进,2路RJ45出,带载分辨率1280*1024</w:t>
            </w:r>
          </w:p>
        </w:tc>
        <w:tc>
          <w:tcPr>
            <w:tcW w:w="375" w:type="pct"/>
            <w:shd w:val="clear" w:color="auto" w:fill="FFFFFF" w:themeFill="background1"/>
            <w:vAlign w:val="center"/>
          </w:tcPr>
          <w:p w14:paraId="2A38D7F2">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1套</w:t>
            </w:r>
          </w:p>
        </w:tc>
        <w:tc>
          <w:tcPr>
            <w:tcW w:w="453" w:type="pct"/>
            <w:shd w:val="clear" w:color="auto" w:fill="FFFFFF" w:themeFill="background1"/>
            <w:vAlign w:val="center"/>
          </w:tcPr>
          <w:p w14:paraId="53D4729C">
            <w:pPr>
              <w:pStyle w:val="43"/>
              <w:jc w:val="center"/>
              <w:rPr>
                <w:rFonts w:ascii="仿宋" w:hAnsi="仿宋" w:eastAsia="仿宋"/>
                <w:color w:val="auto"/>
                <w:sz w:val="24"/>
                <w:szCs w:val="24"/>
                <w:highlight w:val="none"/>
              </w:rPr>
            </w:pPr>
            <w:r>
              <w:rPr>
                <w:rFonts w:ascii="仿宋" w:hAnsi="仿宋" w:eastAsia="仿宋"/>
                <w:color w:val="auto"/>
                <w:sz w:val="24"/>
                <w:szCs w:val="24"/>
                <w:highlight w:val="none"/>
              </w:rPr>
              <w:t>2019.10</w:t>
            </w:r>
          </w:p>
        </w:tc>
      </w:tr>
      <w:tr w14:paraId="5A5F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5000" w:type="pct"/>
            <w:gridSpan w:val="6"/>
            <w:shd w:val="clear" w:color="auto" w:fill="FFFFFF" w:themeFill="background1"/>
            <w:vAlign w:val="center"/>
          </w:tcPr>
          <w:p w14:paraId="61C34A95">
            <w:pPr>
              <w:pStyle w:val="43"/>
              <w:rPr>
                <w:rFonts w:ascii="仿宋" w:hAnsi="仿宋" w:eastAsia="仿宋"/>
                <w:color w:val="auto"/>
                <w:sz w:val="24"/>
                <w:szCs w:val="24"/>
                <w:highlight w:val="none"/>
              </w:rPr>
            </w:pPr>
            <w:r>
              <w:rPr>
                <w:rFonts w:ascii="仿宋" w:hAnsi="仿宋" w:eastAsia="仿宋"/>
                <w:b/>
                <w:color w:val="auto"/>
                <w:sz w:val="24"/>
                <w:szCs w:val="24"/>
                <w:highlight w:val="none"/>
              </w:rPr>
              <w:t>2</w:t>
            </w:r>
            <w:r>
              <w:rPr>
                <w:rFonts w:hint="eastAsia" w:ascii="仿宋" w:hAnsi="仿宋" w:eastAsia="仿宋"/>
                <w:b/>
                <w:color w:val="auto"/>
                <w:sz w:val="24"/>
                <w:szCs w:val="24"/>
                <w:highlight w:val="none"/>
              </w:rPr>
              <w:t>.2信号源处理单元</w:t>
            </w:r>
          </w:p>
        </w:tc>
      </w:tr>
      <w:tr w14:paraId="3CFC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43" w:type="pct"/>
            <w:shd w:val="clear" w:color="auto" w:fill="FFFFFF" w:themeFill="background1"/>
            <w:vAlign w:val="center"/>
          </w:tcPr>
          <w:p w14:paraId="176AF727">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723" w:type="pct"/>
            <w:shd w:val="clear" w:color="auto" w:fill="FFFFFF" w:themeFill="background1"/>
            <w:vAlign w:val="center"/>
          </w:tcPr>
          <w:p w14:paraId="6D0EE153">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视频</w:t>
            </w:r>
          </w:p>
        </w:tc>
        <w:tc>
          <w:tcPr>
            <w:tcW w:w="934" w:type="pct"/>
            <w:shd w:val="clear" w:color="auto" w:fill="FFFFFF" w:themeFill="background1"/>
            <w:vAlign w:val="center"/>
          </w:tcPr>
          <w:p w14:paraId="1731ACB4">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海康威视</w:t>
            </w:r>
          </w:p>
          <w:p w14:paraId="137686F6">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DS-B20-S03-A</w:t>
            </w:r>
          </w:p>
        </w:tc>
        <w:tc>
          <w:tcPr>
            <w:tcW w:w="2269" w:type="pct"/>
            <w:shd w:val="clear" w:color="auto" w:fill="FFFFFF" w:themeFill="background1"/>
            <w:vAlign w:val="center"/>
          </w:tcPr>
          <w:p w14:paraId="46DF0C0D">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支持模拟及数字视频的矩阵切换、视音频编解码、集中存储管理、网络实时预览等功能，是一款集图像处理、网络功能、日志管理、设备维护于一体的设备</w:t>
            </w:r>
          </w:p>
          <w:p w14:paraId="18EE9E3B">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采用3槽位机箱，双电源适配器，单主控板；</w:t>
            </w:r>
          </w:p>
          <w:p w14:paraId="64BA1393">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采用7U标准机箱，满足各种规模的监控需求；</w:t>
            </w:r>
          </w:p>
          <w:p w14:paraId="0AEEFA67">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采用模块化设计，支持热插拔，相应功能可通过板卡扩展；</w:t>
            </w:r>
          </w:p>
          <w:p w14:paraId="0234B1C2">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采用双高速无阻塞背板设计，保证大容量视频业务数据传输的要求；</w:t>
            </w:r>
          </w:p>
        </w:tc>
        <w:tc>
          <w:tcPr>
            <w:tcW w:w="375" w:type="pct"/>
            <w:shd w:val="clear" w:color="auto" w:fill="FFFFFF" w:themeFill="background1"/>
            <w:vAlign w:val="center"/>
          </w:tcPr>
          <w:p w14:paraId="775FA0A3">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1块</w:t>
            </w:r>
          </w:p>
        </w:tc>
        <w:tc>
          <w:tcPr>
            <w:tcW w:w="453" w:type="pct"/>
            <w:shd w:val="clear" w:color="auto" w:fill="FFFFFF" w:themeFill="background1"/>
            <w:vAlign w:val="center"/>
          </w:tcPr>
          <w:p w14:paraId="7523D753">
            <w:pPr>
              <w:pStyle w:val="43"/>
              <w:jc w:val="center"/>
              <w:rPr>
                <w:rFonts w:ascii="仿宋" w:hAnsi="仿宋" w:eastAsia="仿宋"/>
                <w:color w:val="auto"/>
                <w:sz w:val="24"/>
                <w:szCs w:val="24"/>
                <w:highlight w:val="none"/>
              </w:rPr>
            </w:pPr>
            <w:r>
              <w:rPr>
                <w:rFonts w:ascii="仿宋" w:hAnsi="仿宋" w:eastAsia="仿宋"/>
                <w:color w:val="auto"/>
                <w:sz w:val="24"/>
                <w:szCs w:val="24"/>
                <w:highlight w:val="none"/>
              </w:rPr>
              <w:t>2019.10</w:t>
            </w:r>
          </w:p>
        </w:tc>
      </w:tr>
      <w:tr w14:paraId="6665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3" w:type="pct"/>
            <w:shd w:val="clear" w:color="auto" w:fill="FFFFFF" w:themeFill="background1"/>
            <w:vAlign w:val="center"/>
          </w:tcPr>
          <w:p w14:paraId="4DFCEDB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723" w:type="pct"/>
            <w:shd w:val="clear" w:color="auto" w:fill="FFFFFF" w:themeFill="background1"/>
            <w:vAlign w:val="center"/>
          </w:tcPr>
          <w:p w14:paraId="4363176C">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B20输入编码板</w:t>
            </w:r>
          </w:p>
        </w:tc>
        <w:tc>
          <w:tcPr>
            <w:tcW w:w="934" w:type="pct"/>
            <w:shd w:val="clear" w:color="auto" w:fill="FFFFFF" w:themeFill="background1"/>
            <w:vAlign w:val="center"/>
          </w:tcPr>
          <w:p w14:paraId="49DCFB0C">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海康威视</w:t>
            </w:r>
          </w:p>
          <w:p w14:paraId="375E749F">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DS-6408HFH-B20D</w:t>
            </w:r>
          </w:p>
        </w:tc>
        <w:tc>
          <w:tcPr>
            <w:tcW w:w="2269" w:type="pct"/>
            <w:shd w:val="clear" w:color="auto" w:fill="FFFFFF" w:themeFill="background1"/>
            <w:vAlign w:val="center"/>
          </w:tcPr>
          <w:p w14:paraId="51D3177B">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视频输入口：8路视频输入，DVI口；</w:t>
            </w:r>
          </w:p>
          <w:p w14:paraId="442FE0B2">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输入分辨率：1024×768@60Hz、1280×1024@60Hz、1280×800@60Hz、1366×768@60Hz、1440×900@60Hz、1680×1050@60Hz、1280×960@60Hz、1600×1200@60Hz、1280×720P@50Hz、1280×720P@60Hz、1920×1080I@50Hz、1920×1080I@60Hz、1920×1080P@50Hz、1920×1080P@60Hz；</w:t>
            </w:r>
          </w:p>
          <w:p w14:paraId="14D37C34">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音频输入口：8路音频输入，1个DB15转BNC接口；</w:t>
            </w:r>
          </w:p>
          <w:p w14:paraId="0569AA76">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编码标准：标准H.264；</w:t>
            </w:r>
          </w:p>
          <w:p w14:paraId="3EB61CDF">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编码能力：8路，支持的编码分辨率为：1080P/720P/4CIF/CIF/QCIF；</w:t>
            </w:r>
          </w:p>
        </w:tc>
        <w:tc>
          <w:tcPr>
            <w:tcW w:w="375" w:type="pct"/>
            <w:shd w:val="clear" w:color="auto" w:fill="FFFFFF" w:themeFill="background1"/>
            <w:vAlign w:val="center"/>
          </w:tcPr>
          <w:p w14:paraId="4EDA0C56">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1块</w:t>
            </w:r>
          </w:p>
        </w:tc>
        <w:tc>
          <w:tcPr>
            <w:tcW w:w="453" w:type="pct"/>
            <w:shd w:val="clear" w:color="auto" w:fill="FFFFFF" w:themeFill="background1"/>
            <w:vAlign w:val="center"/>
          </w:tcPr>
          <w:p w14:paraId="043E2926">
            <w:pPr>
              <w:pStyle w:val="43"/>
              <w:jc w:val="center"/>
              <w:rPr>
                <w:rFonts w:ascii="仿宋" w:hAnsi="仿宋" w:eastAsia="仿宋"/>
                <w:color w:val="auto"/>
                <w:sz w:val="24"/>
                <w:szCs w:val="24"/>
                <w:highlight w:val="none"/>
              </w:rPr>
            </w:pPr>
            <w:r>
              <w:rPr>
                <w:rFonts w:ascii="仿宋" w:hAnsi="仿宋" w:eastAsia="仿宋"/>
                <w:color w:val="auto"/>
                <w:sz w:val="24"/>
                <w:szCs w:val="24"/>
                <w:highlight w:val="none"/>
              </w:rPr>
              <w:t>2019.10</w:t>
            </w:r>
          </w:p>
        </w:tc>
      </w:tr>
      <w:tr w14:paraId="4FA8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43" w:type="pct"/>
            <w:shd w:val="clear" w:color="auto" w:fill="FFFFFF" w:themeFill="background1"/>
            <w:vAlign w:val="center"/>
          </w:tcPr>
          <w:p w14:paraId="00990CEE">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723" w:type="pct"/>
            <w:shd w:val="clear" w:color="auto" w:fill="FFFFFF" w:themeFill="background1"/>
            <w:vAlign w:val="center"/>
          </w:tcPr>
          <w:p w14:paraId="26AD98BC">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B20输出解码板</w:t>
            </w:r>
          </w:p>
        </w:tc>
        <w:tc>
          <w:tcPr>
            <w:tcW w:w="934" w:type="pct"/>
            <w:shd w:val="clear" w:color="auto" w:fill="FFFFFF" w:themeFill="background1"/>
            <w:vAlign w:val="center"/>
          </w:tcPr>
          <w:p w14:paraId="07BE4663">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海康威视</w:t>
            </w:r>
          </w:p>
          <w:p w14:paraId="38B985D2">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DS-6532HD-B20D</w:t>
            </w:r>
          </w:p>
        </w:tc>
        <w:tc>
          <w:tcPr>
            <w:tcW w:w="2269" w:type="pct"/>
            <w:shd w:val="clear" w:color="auto" w:fill="FFFFFF" w:themeFill="background1"/>
            <w:vAlign w:val="center"/>
          </w:tcPr>
          <w:p w14:paraId="47E54605">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视频输出接口：8路视频输出，DVI接口；</w:t>
            </w:r>
          </w:p>
          <w:p w14:paraId="486B13D3">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输出分辨率：1600×1200@60Hz、1920×1080@60Hz、1920×1080@50Hz、1440×1050@60Hz、1680×1050@60Hz、1280×720@60Hz、1280×720@50Hz、1360×768@60Hz1280×1024@60Hz、1024×768@60Hz；</w:t>
            </w:r>
          </w:p>
          <w:p w14:paraId="4526DB33">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音频输出接口：1个DB15接口，转8路BNC（线性电平，阻抗：600Ω）；</w:t>
            </w:r>
          </w:p>
          <w:p w14:paraId="0B11EF31">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解码通道数：128个；</w:t>
            </w:r>
          </w:p>
          <w:p w14:paraId="44835877">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解码能力：解码32路1080P，或64路720P，或128路4CIF以下分辨率；</w:t>
            </w:r>
          </w:p>
          <w:p w14:paraId="28222C93">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画面分割数：1/4/6/8/9/16画面分割；</w:t>
            </w:r>
          </w:p>
        </w:tc>
        <w:tc>
          <w:tcPr>
            <w:tcW w:w="375" w:type="pct"/>
            <w:shd w:val="clear" w:color="auto" w:fill="FFFFFF" w:themeFill="background1"/>
            <w:vAlign w:val="center"/>
          </w:tcPr>
          <w:p w14:paraId="4ECC5779">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1块</w:t>
            </w:r>
          </w:p>
        </w:tc>
        <w:tc>
          <w:tcPr>
            <w:tcW w:w="453" w:type="pct"/>
            <w:shd w:val="clear" w:color="auto" w:fill="FFFFFF" w:themeFill="background1"/>
            <w:vAlign w:val="center"/>
          </w:tcPr>
          <w:p w14:paraId="04E6B369">
            <w:pPr>
              <w:pStyle w:val="43"/>
              <w:jc w:val="center"/>
              <w:rPr>
                <w:rFonts w:ascii="仿宋" w:hAnsi="仿宋" w:eastAsia="仿宋"/>
                <w:color w:val="auto"/>
                <w:sz w:val="24"/>
                <w:szCs w:val="24"/>
                <w:highlight w:val="none"/>
              </w:rPr>
            </w:pPr>
            <w:r>
              <w:rPr>
                <w:rFonts w:ascii="仿宋" w:hAnsi="仿宋" w:eastAsia="仿宋"/>
                <w:color w:val="auto"/>
                <w:sz w:val="24"/>
                <w:szCs w:val="24"/>
                <w:highlight w:val="none"/>
              </w:rPr>
              <w:t>2019.10</w:t>
            </w:r>
          </w:p>
        </w:tc>
      </w:tr>
      <w:tr w14:paraId="37FB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3" w:type="pct"/>
            <w:shd w:val="clear" w:color="auto" w:fill="FFFFFF" w:themeFill="background1"/>
            <w:vAlign w:val="center"/>
          </w:tcPr>
          <w:p w14:paraId="11304CA7">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723" w:type="pct"/>
            <w:shd w:val="clear" w:color="auto" w:fill="FFFFFF" w:themeFill="background1"/>
            <w:vAlign w:val="center"/>
          </w:tcPr>
          <w:p w14:paraId="58B051C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DVI视频线</w:t>
            </w:r>
          </w:p>
        </w:tc>
        <w:tc>
          <w:tcPr>
            <w:tcW w:w="934" w:type="pct"/>
            <w:shd w:val="clear" w:color="auto" w:fill="FFFFFF" w:themeFill="background1"/>
            <w:vAlign w:val="center"/>
          </w:tcPr>
          <w:p w14:paraId="734E034A">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海康威视定制</w:t>
            </w:r>
          </w:p>
        </w:tc>
        <w:tc>
          <w:tcPr>
            <w:tcW w:w="2269" w:type="pct"/>
            <w:shd w:val="clear" w:color="auto" w:fill="FFFFFF" w:themeFill="background1"/>
            <w:vAlign w:val="center"/>
          </w:tcPr>
          <w:p w14:paraId="4E37C711">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DVI电缆,50m,黑色</w:t>
            </w:r>
          </w:p>
        </w:tc>
        <w:tc>
          <w:tcPr>
            <w:tcW w:w="375" w:type="pct"/>
            <w:shd w:val="clear" w:color="auto" w:fill="FFFFFF" w:themeFill="background1"/>
            <w:vAlign w:val="center"/>
          </w:tcPr>
          <w:p w14:paraId="76D5B4E7">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1套</w:t>
            </w:r>
          </w:p>
        </w:tc>
        <w:tc>
          <w:tcPr>
            <w:tcW w:w="453" w:type="pct"/>
            <w:shd w:val="clear" w:color="auto" w:fill="FFFFFF" w:themeFill="background1"/>
            <w:vAlign w:val="center"/>
          </w:tcPr>
          <w:p w14:paraId="2B25F649">
            <w:pPr>
              <w:pStyle w:val="43"/>
              <w:jc w:val="center"/>
              <w:rPr>
                <w:rFonts w:ascii="仿宋" w:hAnsi="仿宋" w:eastAsia="仿宋"/>
                <w:color w:val="auto"/>
                <w:sz w:val="24"/>
                <w:szCs w:val="24"/>
                <w:highlight w:val="none"/>
              </w:rPr>
            </w:pPr>
            <w:r>
              <w:rPr>
                <w:rFonts w:ascii="仿宋" w:hAnsi="仿宋" w:eastAsia="仿宋"/>
                <w:color w:val="auto"/>
                <w:sz w:val="24"/>
                <w:szCs w:val="24"/>
                <w:highlight w:val="none"/>
              </w:rPr>
              <w:t>2019.10</w:t>
            </w:r>
          </w:p>
        </w:tc>
      </w:tr>
      <w:tr w14:paraId="67FD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5000" w:type="pct"/>
            <w:gridSpan w:val="6"/>
            <w:shd w:val="clear" w:color="auto" w:fill="FFFFFF" w:themeFill="background1"/>
            <w:vAlign w:val="center"/>
          </w:tcPr>
          <w:p w14:paraId="02928553">
            <w:pPr>
              <w:pStyle w:val="43"/>
              <w:rPr>
                <w:rFonts w:ascii="仿宋" w:hAnsi="仿宋" w:eastAsia="仿宋"/>
                <w:color w:val="auto"/>
                <w:sz w:val="24"/>
                <w:szCs w:val="24"/>
                <w:highlight w:val="none"/>
              </w:rPr>
            </w:pPr>
            <w:r>
              <w:rPr>
                <w:rFonts w:ascii="仿宋" w:hAnsi="仿宋" w:eastAsia="仿宋"/>
                <w:b/>
                <w:color w:val="auto"/>
                <w:sz w:val="24"/>
                <w:szCs w:val="24"/>
                <w:highlight w:val="none"/>
              </w:rPr>
              <w:t>2</w:t>
            </w:r>
            <w:r>
              <w:rPr>
                <w:rFonts w:hint="eastAsia" w:ascii="仿宋" w:hAnsi="仿宋" w:eastAsia="仿宋"/>
                <w:b/>
                <w:color w:val="auto"/>
                <w:sz w:val="24"/>
                <w:szCs w:val="24"/>
                <w:highlight w:val="none"/>
              </w:rPr>
              <w:t>.3交通强国（一期）项目硬件</w:t>
            </w:r>
          </w:p>
        </w:tc>
      </w:tr>
      <w:tr w14:paraId="410C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43" w:type="pct"/>
            <w:shd w:val="clear" w:color="auto" w:fill="FFFFFF" w:themeFill="background1"/>
            <w:vAlign w:val="center"/>
          </w:tcPr>
          <w:p w14:paraId="0E91C819">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723" w:type="pct"/>
            <w:shd w:val="clear" w:color="auto" w:fill="FFFFFF" w:themeFill="background1"/>
            <w:vAlign w:val="center"/>
          </w:tcPr>
          <w:p w14:paraId="008CDAF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视频综合平台</w:t>
            </w:r>
          </w:p>
        </w:tc>
        <w:tc>
          <w:tcPr>
            <w:tcW w:w="934" w:type="pct"/>
            <w:shd w:val="clear" w:color="auto" w:fill="FFFFFF" w:themeFill="background1"/>
            <w:vAlign w:val="center"/>
          </w:tcPr>
          <w:p w14:paraId="0534C203">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海康威视DS-B20-S10-A</w:t>
            </w:r>
          </w:p>
        </w:tc>
        <w:tc>
          <w:tcPr>
            <w:tcW w:w="2269" w:type="pct"/>
            <w:shd w:val="clear" w:color="auto" w:fill="FFFFFF" w:themeFill="background1"/>
            <w:vAlign w:val="center"/>
          </w:tcPr>
          <w:p w14:paraId="17F478B9">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插拔式模块化设计，可灵活拓展；</w:t>
            </w:r>
          </w:p>
          <w:p w14:paraId="2AEB24B6">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10槽位机箱，双电源适配器，单主控板</w:t>
            </w:r>
          </w:p>
          <w:p w14:paraId="6960F7D3">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业务模块支持热插拔、双电源冗余、智能风扇自动调温，确保系统稳定可靠；</w:t>
            </w:r>
          </w:p>
          <w:p w14:paraId="79ED509D">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双高速无阻塞背板设计，满足大容量视频数据高速交换。</w:t>
            </w:r>
          </w:p>
        </w:tc>
        <w:tc>
          <w:tcPr>
            <w:tcW w:w="375" w:type="pct"/>
            <w:shd w:val="clear" w:color="auto" w:fill="FFFFFF" w:themeFill="background1"/>
            <w:vAlign w:val="center"/>
          </w:tcPr>
          <w:p w14:paraId="761E218E">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1套</w:t>
            </w:r>
          </w:p>
        </w:tc>
        <w:tc>
          <w:tcPr>
            <w:tcW w:w="453" w:type="pct"/>
            <w:shd w:val="clear" w:color="auto" w:fill="FFFFFF" w:themeFill="background1"/>
            <w:vAlign w:val="center"/>
          </w:tcPr>
          <w:p w14:paraId="19615D24">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2021.12</w:t>
            </w:r>
          </w:p>
        </w:tc>
      </w:tr>
      <w:tr w14:paraId="790E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43" w:type="pct"/>
            <w:shd w:val="clear" w:color="auto" w:fill="FFFFFF" w:themeFill="background1"/>
            <w:vAlign w:val="center"/>
          </w:tcPr>
          <w:p w14:paraId="3A8B61D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723" w:type="pct"/>
            <w:shd w:val="clear" w:color="auto" w:fill="FFFFFF" w:themeFill="background1"/>
            <w:vAlign w:val="center"/>
          </w:tcPr>
          <w:p w14:paraId="46B5C3C4">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服务器</w:t>
            </w:r>
          </w:p>
        </w:tc>
        <w:tc>
          <w:tcPr>
            <w:tcW w:w="934" w:type="pct"/>
            <w:shd w:val="clear" w:color="auto" w:fill="FFFFFF" w:themeFill="background1"/>
            <w:vAlign w:val="center"/>
          </w:tcPr>
          <w:p w14:paraId="5E0CDD4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海康威视DS-VM21S-B</w:t>
            </w:r>
          </w:p>
        </w:tc>
        <w:tc>
          <w:tcPr>
            <w:tcW w:w="2269" w:type="pct"/>
            <w:shd w:val="clear" w:color="auto" w:fill="FFFFFF" w:themeFill="background1"/>
            <w:vAlign w:val="center"/>
          </w:tcPr>
          <w:p w14:paraId="5FF68E17">
            <w:pPr>
              <w:pStyle w:val="43"/>
              <w:jc w:val="left"/>
              <w:rPr>
                <w:rFonts w:ascii="仿宋" w:hAnsi="仿宋" w:eastAsia="仿宋"/>
                <w:color w:val="auto"/>
                <w:sz w:val="24"/>
                <w:szCs w:val="24"/>
                <w:highlight w:val="none"/>
              </w:rPr>
            </w:pPr>
            <w:r>
              <w:rPr>
                <w:rFonts w:hint="eastAsia" w:ascii="仿宋" w:hAnsi="仿宋" w:eastAsia="仿宋"/>
                <w:color w:val="auto"/>
                <w:sz w:val="24"/>
                <w:szCs w:val="24"/>
                <w:highlight w:val="none"/>
              </w:rPr>
              <w:t>（1）2U标准机架式服务器。</w:t>
            </w:r>
          </w:p>
          <w:p w14:paraId="08BB7CB1">
            <w:pPr>
              <w:pStyle w:val="43"/>
              <w:numPr>
                <w:ilvl w:val="0"/>
                <w:numId w:val="1"/>
              </w:num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CPU：1颗HYGON处理器，核数≥16核，频率≥2.4Ghz。</w:t>
            </w:r>
          </w:p>
          <w:p w14:paraId="7DE21C00">
            <w:pPr>
              <w:pStyle w:val="43"/>
              <w:numPr>
                <w:ilvl w:val="0"/>
                <w:numId w:val="1"/>
              </w:num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内存：≥64G，DDR4。</w:t>
            </w:r>
          </w:p>
        </w:tc>
        <w:tc>
          <w:tcPr>
            <w:tcW w:w="375" w:type="pct"/>
            <w:shd w:val="clear" w:color="auto" w:fill="FFFFFF" w:themeFill="background1"/>
            <w:vAlign w:val="center"/>
          </w:tcPr>
          <w:p w14:paraId="18FCD8D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9台</w:t>
            </w:r>
          </w:p>
        </w:tc>
        <w:tc>
          <w:tcPr>
            <w:tcW w:w="453" w:type="pct"/>
            <w:shd w:val="clear" w:color="auto" w:fill="FFFFFF" w:themeFill="background1"/>
            <w:vAlign w:val="center"/>
          </w:tcPr>
          <w:p w14:paraId="0617C906">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2021.12</w:t>
            </w:r>
          </w:p>
        </w:tc>
      </w:tr>
    </w:tbl>
    <w:p w14:paraId="5DCCF56F">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注：以上设备如有误差以实际为准。</w:t>
      </w:r>
    </w:p>
    <w:p w14:paraId="6C104E81">
      <w:pPr>
        <w:pStyle w:val="16"/>
        <w:ind w:firstLine="420"/>
        <w:rPr>
          <w:color w:val="auto"/>
          <w:highlight w:val="none"/>
        </w:rPr>
      </w:pPr>
    </w:p>
    <w:p w14:paraId="778CBEE4">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外场维护点位清单明细表三</w:t>
      </w:r>
    </w:p>
    <w:tbl>
      <w:tblPr>
        <w:tblStyle w:val="17"/>
        <w:tblW w:w="80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Layout w:type="autofit"/>
        <w:tblCellMar>
          <w:top w:w="0" w:type="dxa"/>
          <w:left w:w="108" w:type="dxa"/>
          <w:bottom w:w="0" w:type="dxa"/>
          <w:right w:w="108" w:type="dxa"/>
        </w:tblCellMar>
      </w:tblPr>
      <w:tblGrid>
        <w:gridCol w:w="2217"/>
        <w:gridCol w:w="5862"/>
      </w:tblGrid>
      <w:tr w14:paraId="3DDE6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280" w:hRule="atLeast"/>
        </w:trPr>
        <w:tc>
          <w:tcPr>
            <w:tcW w:w="2217" w:type="dxa"/>
            <w:shd w:val="clear" w:color="auto" w:fill="FFFFFF" w:themeFill="background1"/>
            <w:noWrap/>
            <w:vAlign w:val="center"/>
          </w:tcPr>
          <w:p w14:paraId="639EBF2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5862" w:type="dxa"/>
            <w:shd w:val="clear" w:color="auto" w:fill="FFFFFF" w:themeFill="background1"/>
            <w:noWrap/>
            <w:vAlign w:val="center"/>
          </w:tcPr>
          <w:p w14:paraId="4969F5B0">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监控点名称</w:t>
            </w:r>
          </w:p>
        </w:tc>
      </w:tr>
      <w:tr w14:paraId="2706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142" w:hRule="atLeast"/>
        </w:trPr>
        <w:tc>
          <w:tcPr>
            <w:tcW w:w="0" w:type="auto"/>
            <w:shd w:val="clear" w:color="auto" w:fill="FFFFFF" w:themeFill="background1"/>
            <w:noWrap/>
            <w:vAlign w:val="center"/>
          </w:tcPr>
          <w:p w14:paraId="51459BB4">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0" w:type="auto"/>
            <w:shd w:val="clear" w:color="auto" w:fill="FFFFFF" w:themeFill="background1"/>
            <w:noWrap/>
            <w:vAlign w:val="center"/>
          </w:tcPr>
          <w:p w14:paraId="1994116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绕城高速下沙收费站</w:t>
            </w:r>
          </w:p>
        </w:tc>
      </w:tr>
      <w:tr w14:paraId="6D2CF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2A176CDF">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0" w:type="auto"/>
            <w:shd w:val="clear" w:color="auto" w:fill="FFFFFF" w:themeFill="background1"/>
            <w:noWrap/>
            <w:vAlign w:val="center"/>
          </w:tcPr>
          <w:p w14:paraId="02BEA853">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绕城高速下沙南收费站</w:t>
            </w:r>
          </w:p>
        </w:tc>
      </w:tr>
      <w:tr w14:paraId="40A3C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5D81C01C">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0" w:type="auto"/>
            <w:shd w:val="clear" w:color="auto" w:fill="FFFFFF" w:themeFill="background1"/>
            <w:noWrap/>
            <w:vAlign w:val="center"/>
          </w:tcPr>
          <w:p w14:paraId="737B4BD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杭金衢新街收费站</w:t>
            </w:r>
          </w:p>
        </w:tc>
      </w:tr>
      <w:tr w14:paraId="37DD5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69452E5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0" w:type="auto"/>
            <w:shd w:val="clear" w:color="auto" w:fill="FFFFFF" w:themeFill="background1"/>
            <w:noWrap/>
            <w:vAlign w:val="center"/>
          </w:tcPr>
          <w:p w14:paraId="6CA6F976">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机场高速主线</w:t>
            </w:r>
          </w:p>
        </w:tc>
      </w:tr>
      <w:tr w14:paraId="47039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2594CD5A">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0" w:type="auto"/>
            <w:shd w:val="clear" w:color="auto" w:fill="FFFFFF" w:themeFill="background1"/>
            <w:noWrap/>
            <w:vAlign w:val="center"/>
          </w:tcPr>
          <w:p w14:paraId="24F823E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杭甬高速萧山收费站</w:t>
            </w:r>
          </w:p>
        </w:tc>
      </w:tr>
      <w:tr w14:paraId="2E1B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E95F1F6">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6</w:t>
            </w:r>
          </w:p>
        </w:tc>
        <w:tc>
          <w:tcPr>
            <w:tcW w:w="0" w:type="auto"/>
            <w:shd w:val="clear" w:color="auto" w:fill="FFFFFF" w:themeFill="background1"/>
            <w:noWrap/>
            <w:vAlign w:val="center"/>
          </w:tcPr>
          <w:p w14:paraId="60E12E33">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杭金衢萧山东收费站</w:t>
            </w:r>
          </w:p>
        </w:tc>
      </w:tr>
      <w:tr w14:paraId="4BA2A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5EA0FD1C">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7</w:t>
            </w:r>
          </w:p>
        </w:tc>
        <w:tc>
          <w:tcPr>
            <w:tcW w:w="0" w:type="auto"/>
            <w:shd w:val="clear" w:color="auto" w:fill="FFFFFF" w:themeFill="background1"/>
            <w:noWrap/>
            <w:vAlign w:val="center"/>
          </w:tcPr>
          <w:p w14:paraId="3A1A1B52">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绕城高速萧山南收费站</w:t>
            </w:r>
          </w:p>
        </w:tc>
      </w:tr>
      <w:tr w14:paraId="60003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3A31A882">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8</w:t>
            </w:r>
          </w:p>
        </w:tc>
        <w:tc>
          <w:tcPr>
            <w:tcW w:w="0" w:type="auto"/>
            <w:shd w:val="clear" w:color="auto" w:fill="FFFFFF" w:themeFill="background1"/>
            <w:noWrap/>
            <w:vAlign w:val="center"/>
          </w:tcPr>
          <w:p w14:paraId="258304A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绕城高速义桥收费站</w:t>
            </w:r>
          </w:p>
        </w:tc>
      </w:tr>
      <w:tr w14:paraId="6F2D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0A36570F">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0" w:type="auto"/>
            <w:shd w:val="clear" w:color="auto" w:fill="FFFFFF" w:themeFill="background1"/>
            <w:noWrap/>
            <w:vAlign w:val="center"/>
          </w:tcPr>
          <w:p w14:paraId="51EDC5D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绕城高速袁浦收费站</w:t>
            </w:r>
          </w:p>
        </w:tc>
      </w:tr>
      <w:tr w14:paraId="17FF7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8938EE0">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0" w:type="auto"/>
            <w:shd w:val="clear" w:color="auto" w:fill="FFFFFF" w:themeFill="background1"/>
            <w:noWrap/>
            <w:vAlign w:val="center"/>
          </w:tcPr>
          <w:p w14:paraId="27651936">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杭新景杭州南收费站</w:t>
            </w:r>
          </w:p>
        </w:tc>
      </w:tr>
      <w:tr w14:paraId="0A614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6270C92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11</w:t>
            </w:r>
          </w:p>
        </w:tc>
        <w:tc>
          <w:tcPr>
            <w:tcW w:w="0" w:type="auto"/>
            <w:shd w:val="clear" w:color="auto" w:fill="FFFFFF" w:themeFill="background1"/>
            <w:noWrap/>
            <w:vAlign w:val="center"/>
          </w:tcPr>
          <w:p w14:paraId="2E3869CF">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绕城高速转塘收费站</w:t>
            </w:r>
          </w:p>
        </w:tc>
      </w:tr>
      <w:tr w14:paraId="42B82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D52DB4A">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12</w:t>
            </w:r>
          </w:p>
        </w:tc>
        <w:tc>
          <w:tcPr>
            <w:tcW w:w="0" w:type="auto"/>
            <w:shd w:val="clear" w:color="auto" w:fill="FFFFFF" w:themeFill="background1"/>
            <w:noWrap/>
            <w:vAlign w:val="center"/>
          </w:tcPr>
          <w:p w14:paraId="73046EA7">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绕城高速龙坞收费站</w:t>
            </w:r>
          </w:p>
        </w:tc>
      </w:tr>
      <w:tr w14:paraId="2EC42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5A679573">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13</w:t>
            </w:r>
          </w:p>
        </w:tc>
        <w:tc>
          <w:tcPr>
            <w:tcW w:w="0" w:type="auto"/>
            <w:shd w:val="clear" w:color="auto" w:fill="FFFFFF" w:themeFill="background1"/>
            <w:noWrap/>
            <w:vAlign w:val="center"/>
          </w:tcPr>
          <w:p w14:paraId="5D3348B7">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绕城高速留下收费站</w:t>
            </w:r>
          </w:p>
        </w:tc>
      </w:tr>
      <w:tr w14:paraId="23E8C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09E561B1">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14</w:t>
            </w:r>
          </w:p>
        </w:tc>
        <w:tc>
          <w:tcPr>
            <w:tcW w:w="0" w:type="auto"/>
            <w:shd w:val="clear" w:color="auto" w:fill="FFFFFF" w:themeFill="background1"/>
            <w:noWrap/>
            <w:vAlign w:val="center"/>
          </w:tcPr>
          <w:p w14:paraId="192D02E7">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杭徽高速杭州西收费站</w:t>
            </w:r>
          </w:p>
        </w:tc>
      </w:tr>
      <w:tr w14:paraId="5FF0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4D51AFBE">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15</w:t>
            </w:r>
          </w:p>
        </w:tc>
        <w:tc>
          <w:tcPr>
            <w:tcW w:w="0" w:type="auto"/>
            <w:shd w:val="clear" w:color="auto" w:fill="FFFFFF" w:themeFill="background1"/>
            <w:noWrap/>
            <w:vAlign w:val="center"/>
          </w:tcPr>
          <w:p w14:paraId="7C1AF5D9">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杭徽高速余杭收费站</w:t>
            </w:r>
          </w:p>
        </w:tc>
      </w:tr>
      <w:tr w14:paraId="2E7CB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0FFF8F16">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16</w:t>
            </w:r>
          </w:p>
        </w:tc>
        <w:tc>
          <w:tcPr>
            <w:tcW w:w="0" w:type="auto"/>
            <w:shd w:val="clear" w:color="auto" w:fill="FFFFFF" w:themeFill="background1"/>
            <w:noWrap/>
            <w:vAlign w:val="center"/>
          </w:tcPr>
          <w:p w14:paraId="6072C6C7">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绕城高速五常收费站</w:t>
            </w:r>
          </w:p>
        </w:tc>
      </w:tr>
      <w:tr w14:paraId="37B8E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2A8F491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17</w:t>
            </w:r>
          </w:p>
        </w:tc>
        <w:tc>
          <w:tcPr>
            <w:tcW w:w="0" w:type="auto"/>
            <w:shd w:val="clear" w:color="auto" w:fill="FFFFFF" w:themeFill="background1"/>
            <w:noWrap/>
            <w:vAlign w:val="center"/>
          </w:tcPr>
          <w:p w14:paraId="3A22676E">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绕城高速三墩收费站</w:t>
            </w:r>
          </w:p>
        </w:tc>
      </w:tr>
      <w:tr w14:paraId="71230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D1DB78E">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18</w:t>
            </w:r>
          </w:p>
        </w:tc>
        <w:tc>
          <w:tcPr>
            <w:tcW w:w="0" w:type="auto"/>
            <w:shd w:val="clear" w:color="auto" w:fill="FFFFFF" w:themeFill="background1"/>
            <w:noWrap/>
            <w:vAlign w:val="center"/>
          </w:tcPr>
          <w:p w14:paraId="328EBBDA">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杭长高速紫金港收费站</w:t>
            </w:r>
          </w:p>
        </w:tc>
      </w:tr>
      <w:tr w14:paraId="7A36D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B89AF6A">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19</w:t>
            </w:r>
          </w:p>
        </w:tc>
        <w:tc>
          <w:tcPr>
            <w:tcW w:w="0" w:type="auto"/>
            <w:shd w:val="clear" w:color="auto" w:fill="FFFFFF" w:themeFill="background1"/>
            <w:noWrap/>
            <w:vAlign w:val="center"/>
          </w:tcPr>
          <w:p w14:paraId="0F2B2CD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绕城高速良渚收费站</w:t>
            </w:r>
          </w:p>
        </w:tc>
      </w:tr>
      <w:tr w14:paraId="0BB21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71E4D727">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20</w:t>
            </w:r>
          </w:p>
        </w:tc>
        <w:tc>
          <w:tcPr>
            <w:tcW w:w="0" w:type="auto"/>
            <w:shd w:val="clear" w:color="auto" w:fill="FFFFFF" w:themeFill="background1"/>
            <w:noWrap/>
            <w:vAlign w:val="center"/>
          </w:tcPr>
          <w:p w14:paraId="35EB93A4">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绕城高速南庄兜收费站</w:t>
            </w:r>
          </w:p>
        </w:tc>
      </w:tr>
      <w:tr w14:paraId="5C474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F2176AC">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21</w:t>
            </w:r>
          </w:p>
        </w:tc>
        <w:tc>
          <w:tcPr>
            <w:tcW w:w="0" w:type="auto"/>
            <w:shd w:val="clear" w:color="auto" w:fill="FFFFFF" w:themeFill="background1"/>
            <w:noWrap/>
            <w:vAlign w:val="center"/>
          </w:tcPr>
          <w:p w14:paraId="0E336B9D">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绕城高速半山收费站</w:t>
            </w:r>
          </w:p>
        </w:tc>
      </w:tr>
      <w:tr w14:paraId="09C2F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4232CCEE">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22</w:t>
            </w:r>
          </w:p>
        </w:tc>
        <w:tc>
          <w:tcPr>
            <w:tcW w:w="0" w:type="auto"/>
            <w:shd w:val="clear" w:color="auto" w:fill="FFFFFF" w:themeFill="background1"/>
            <w:noWrap/>
            <w:vAlign w:val="center"/>
          </w:tcPr>
          <w:p w14:paraId="19C46E39">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绕城高速杭州北收费站</w:t>
            </w:r>
          </w:p>
        </w:tc>
      </w:tr>
      <w:tr w14:paraId="7E804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BDCC562">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23</w:t>
            </w:r>
          </w:p>
        </w:tc>
        <w:tc>
          <w:tcPr>
            <w:tcW w:w="0" w:type="auto"/>
            <w:shd w:val="clear" w:color="auto" w:fill="FFFFFF" w:themeFill="background1"/>
            <w:noWrap/>
            <w:vAlign w:val="center"/>
          </w:tcPr>
          <w:p w14:paraId="5B2D20C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沪杭高速临平迎宾路收费站</w:t>
            </w:r>
          </w:p>
        </w:tc>
      </w:tr>
      <w:tr w14:paraId="43A4A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2019EA73">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24</w:t>
            </w:r>
          </w:p>
        </w:tc>
        <w:tc>
          <w:tcPr>
            <w:tcW w:w="0" w:type="auto"/>
            <w:shd w:val="clear" w:color="auto" w:fill="FFFFFF" w:themeFill="background1"/>
            <w:noWrap/>
            <w:vAlign w:val="center"/>
          </w:tcPr>
          <w:p w14:paraId="30916F44">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沪杭高速杭州收费站</w:t>
            </w:r>
          </w:p>
        </w:tc>
      </w:tr>
      <w:tr w14:paraId="656BB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094C010">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25</w:t>
            </w:r>
          </w:p>
        </w:tc>
        <w:tc>
          <w:tcPr>
            <w:tcW w:w="0" w:type="auto"/>
            <w:shd w:val="clear" w:color="auto" w:fill="FFFFFF" w:themeFill="background1"/>
            <w:noWrap/>
            <w:vAlign w:val="center"/>
          </w:tcPr>
          <w:p w14:paraId="6D6F37CA">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杭浦高速临平收费站</w:t>
            </w:r>
          </w:p>
        </w:tc>
      </w:tr>
      <w:tr w14:paraId="4DEB4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69347A1C">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26</w:t>
            </w:r>
          </w:p>
        </w:tc>
        <w:tc>
          <w:tcPr>
            <w:tcW w:w="0" w:type="auto"/>
            <w:shd w:val="clear" w:color="auto" w:fill="FFFFFF" w:themeFill="background1"/>
            <w:noWrap/>
            <w:vAlign w:val="center"/>
          </w:tcPr>
          <w:p w14:paraId="275F4E49">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沪杭高速原德胜收费站</w:t>
            </w:r>
          </w:p>
        </w:tc>
      </w:tr>
      <w:tr w14:paraId="04AD7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69803D97">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27</w:t>
            </w:r>
          </w:p>
        </w:tc>
        <w:tc>
          <w:tcPr>
            <w:tcW w:w="0" w:type="auto"/>
            <w:shd w:val="clear" w:color="auto" w:fill="FFFFFF" w:themeFill="background1"/>
            <w:noWrap/>
            <w:vAlign w:val="center"/>
          </w:tcPr>
          <w:p w14:paraId="57E9EA0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练杭高速崇贤收费站</w:t>
            </w:r>
          </w:p>
        </w:tc>
      </w:tr>
      <w:tr w14:paraId="5368D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49DF1C5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28</w:t>
            </w:r>
          </w:p>
        </w:tc>
        <w:tc>
          <w:tcPr>
            <w:tcW w:w="0" w:type="auto"/>
            <w:shd w:val="clear" w:color="auto" w:fill="FFFFFF" w:themeFill="background1"/>
            <w:noWrap/>
            <w:vAlign w:val="center"/>
          </w:tcPr>
          <w:p w14:paraId="53DED4DC">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绕城高速张家畈收费站</w:t>
            </w:r>
          </w:p>
        </w:tc>
      </w:tr>
      <w:tr w14:paraId="3F7B2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38C50F1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29</w:t>
            </w:r>
          </w:p>
        </w:tc>
        <w:tc>
          <w:tcPr>
            <w:tcW w:w="0" w:type="auto"/>
            <w:shd w:val="clear" w:color="auto" w:fill="FFFFFF" w:themeFill="background1"/>
            <w:noWrap/>
            <w:vAlign w:val="center"/>
          </w:tcPr>
          <w:p w14:paraId="0792E57F">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练杭高速塘栖收费站</w:t>
            </w:r>
          </w:p>
        </w:tc>
      </w:tr>
      <w:tr w14:paraId="45C8D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64466F60">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30</w:t>
            </w:r>
          </w:p>
        </w:tc>
        <w:tc>
          <w:tcPr>
            <w:tcW w:w="0" w:type="auto"/>
            <w:shd w:val="clear" w:color="auto" w:fill="FFFFFF" w:themeFill="background1"/>
            <w:noWrap/>
            <w:vAlign w:val="center"/>
          </w:tcPr>
          <w:p w14:paraId="59C4DC43">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沪杭高速临平东湖路收费站</w:t>
            </w:r>
          </w:p>
        </w:tc>
      </w:tr>
      <w:tr w14:paraId="2E35F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4240AB0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31</w:t>
            </w:r>
          </w:p>
        </w:tc>
        <w:tc>
          <w:tcPr>
            <w:tcW w:w="0" w:type="auto"/>
            <w:shd w:val="clear" w:color="auto" w:fill="FFFFFF" w:themeFill="background1"/>
            <w:noWrap/>
            <w:vAlign w:val="center"/>
          </w:tcPr>
          <w:p w14:paraId="1CE6F2F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绕城高速下沙大桥</w:t>
            </w:r>
          </w:p>
        </w:tc>
      </w:tr>
      <w:tr w14:paraId="35BDE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2BA53776">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32</w:t>
            </w:r>
          </w:p>
        </w:tc>
        <w:tc>
          <w:tcPr>
            <w:tcW w:w="0" w:type="auto"/>
            <w:shd w:val="clear" w:color="auto" w:fill="FFFFFF" w:themeFill="background1"/>
            <w:noWrap/>
            <w:vAlign w:val="center"/>
          </w:tcPr>
          <w:p w14:paraId="212ABAE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绕城高速袁浦大桥</w:t>
            </w:r>
          </w:p>
        </w:tc>
      </w:tr>
      <w:tr w14:paraId="4C98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0EEE41AA">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33</w:t>
            </w:r>
          </w:p>
        </w:tc>
        <w:tc>
          <w:tcPr>
            <w:tcW w:w="0" w:type="auto"/>
            <w:shd w:val="clear" w:color="auto" w:fill="FFFFFF" w:themeFill="background1"/>
            <w:noWrap/>
            <w:vAlign w:val="center"/>
          </w:tcPr>
          <w:p w14:paraId="3AC76E1A">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江东大桥北球机</w:t>
            </w:r>
          </w:p>
        </w:tc>
      </w:tr>
      <w:tr w14:paraId="34431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068A0F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34</w:t>
            </w:r>
          </w:p>
        </w:tc>
        <w:tc>
          <w:tcPr>
            <w:tcW w:w="0" w:type="auto"/>
            <w:shd w:val="clear" w:color="auto" w:fill="FFFFFF" w:themeFill="background1"/>
            <w:noWrap/>
            <w:vAlign w:val="center"/>
          </w:tcPr>
          <w:p w14:paraId="478DCAE3">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钱江一桥南球机</w:t>
            </w:r>
          </w:p>
        </w:tc>
      </w:tr>
      <w:tr w14:paraId="436D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2B4E7A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35</w:t>
            </w:r>
          </w:p>
        </w:tc>
        <w:tc>
          <w:tcPr>
            <w:tcW w:w="0" w:type="auto"/>
            <w:shd w:val="clear" w:color="auto" w:fill="FFFFFF" w:themeFill="background1"/>
            <w:noWrap/>
            <w:vAlign w:val="center"/>
          </w:tcPr>
          <w:p w14:paraId="5597BD52">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西兴大桥北云台</w:t>
            </w:r>
          </w:p>
        </w:tc>
      </w:tr>
      <w:tr w14:paraId="1D029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513DC77A">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36</w:t>
            </w:r>
          </w:p>
        </w:tc>
        <w:tc>
          <w:tcPr>
            <w:tcW w:w="0" w:type="auto"/>
            <w:shd w:val="clear" w:color="auto" w:fill="FFFFFF" w:themeFill="background1"/>
            <w:noWrap/>
            <w:vAlign w:val="center"/>
          </w:tcPr>
          <w:p w14:paraId="5CA8BE3A">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复兴大桥北云台</w:t>
            </w:r>
          </w:p>
        </w:tc>
      </w:tr>
      <w:tr w14:paraId="1B27A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412BC694">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37</w:t>
            </w:r>
          </w:p>
        </w:tc>
        <w:tc>
          <w:tcPr>
            <w:tcW w:w="0" w:type="auto"/>
            <w:shd w:val="clear" w:color="auto" w:fill="FFFFFF" w:themeFill="background1"/>
            <w:noWrap/>
            <w:vAlign w:val="center"/>
          </w:tcPr>
          <w:p w14:paraId="193C294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复兴大桥南云台</w:t>
            </w:r>
          </w:p>
        </w:tc>
      </w:tr>
      <w:tr w14:paraId="6C00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A24B3C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38</w:t>
            </w:r>
          </w:p>
        </w:tc>
        <w:tc>
          <w:tcPr>
            <w:tcW w:w="0" w:type="auto"/>
            <w:shd w:val="clear" w:color="auto" w:fill="FFFFFF" w:themeFill="background1"/>
            <w:noWrap/>
            <w:vAlign w:val="center"/>
          </w:tcPr>
          <w:p w14:paraId="7E5558C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西兴大桥南云台西</w:t>
            </w:r>
          </w:p>
        </w:tc>
      </w:tr>
      <w:tr w14:paraId="7BE05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4D4B08A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39</w:t>
            </w:r>
          </w:p>
        </w:tc>
        <w:tc>
          <w:tcPr>
            <w:tcW w:w="0" w:type="auto"/>
            <w:shd w:val="clear" w:color="auto" w:fill="FFFFFF" w:themeFill="background1"/>
            <w:noWrap/>
            <w:vAlign w:val="center"/>
          </w:tcPr>
          <w:p w14:paraId="6ADDCD6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绕城下沙大桥南球机</w:t>
            </w:r>
          </w:p>
        </w:tc>
      </w:tr>
      <w:tr w14:paraId="054F9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7ABEC863">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40</w:t>
            </w:r>
          </w:p>
        </w:tc>
        <w:tc>
          <w:tcPr>
            <w:tcW w:w="0" w:type="auto"/>
            <w:shd w:val="clear" w:color="auto" w:fill="FFFFFF" w:themeFill="background1"/>
            <w:noWrap/>
            <w:vAlign w:val="center"/>
          </w:tcPr>
          <w:p w14:paraId="74ECECCE">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之江大桥西球机</w:t>
            </w:r>
          </w:p>
        </w:tc>
      </w:tr>
      <w:tr w14:paraId="3324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10A0BDB7">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41</w:t>
            </w:r>
          </w:p>
        </w:tc>
        <w:tc>
          <w:tcPr>
            <w:tcW w:w="0" w:type="auto"/>
            <w:shd w:val="clear" w:color="auto" w:fill="FFFFFF" w:themeFill="background1"/>
            <w:noWrap/>
            <w:vAlign w:val="center"/>
          </w:tcPr>
          <w:p w14:paraId="739E60FC">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九堡大桥北球机</w:t>
            </w:r>
          </w:p>
        </w:tc>
      </w:tr>
      <w:tr w14:paraId="53A93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3E85E680">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42</w:t>
            </w:r>
          </w:p>
        </w:tc>
        <w:tc>
          <w:tcPr>
            <w:tcW w:w="0" w:type="auto"/>
            <w:shd w:val="clear" w:color="auto" w:fill="FFFFFF" w:themeFill="background1"/>
            <w:noWrap/>
            <w:vAlign w:val="center"/>
          </w:tcPr>
          <w:p w14:paraId="0052A047">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良渚104国道球机</w:t>
            </w:r>
          </w:p>
        </w:tc>
      </w:tr>
      <w:tr w14:paraId="1FD86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7BDECE22">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43</w:t>
            </w:r>
          </w:p>
        </w:tc>
        <w:tc>
          <w:tcPr>
            <w:tcW w:w="0" w:type="auto"/>
            <w:shd w:val="clear" w:color="auto" w:fill="FFFFFF" w:themeFill="background1"/>
            <w:noWrap/>
            <w:vAlign w:val="center"/>
          </w:tcPr>
          <w:p w14:paraId="670896B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机场高速西兴互通</w:t>
            </w:r>
          </w:p>
        </w:tc>
      </w:tr>
      <w:tr w14:paraId="581CA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51A59EC0">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44</w:t>
            </w:r>
          </w:p>
        </w:tc>
        <w:tc>
          <w:tcPr>
            <w:tcW w:w="0" w:type="auto"/>
            <w:shd w:val="clear" w:color="auto" w:fill="FFFFFF" w:themeFill="background1"/>
            <w:noWrap/>
            <w:vAlign w:val="center"/>
          </w:tcPr>
          <w:p w14:paraId="6E3C4D61">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绕城高速龙坞跨线桥</w:t>
            </w:r>
          </w:p>
        </w:tc>
      </w:tr>
      <w:tr w14:paraId="20AC1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3425FCF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45</w:t>
            </w:r>
          </w:p>
        </w:tc>
        <w:tc>
          <w:tcPr>
            <w:tcW w:w="0" w:type="auto"/>
            <w:shd w:val="clear" w:color="auto" w:fill="FFFFFF" w:themeFill="background1"/>
            <w:noWrap/>
            <w:vAlign w:val="center"/>
          </w:tcPr>
          <w:p w14:paraId="2E1A992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S205市岭</w:t>
            </w:r>
          </w:p>
        </w:tc>
      </w:tr>
      <w:tr w14:paraId="0B3A0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3392F562">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46</w:t>
            </w:r>
          </w:p>
        </w:tc>
        <w:tc>
          <w:tcPr>
            <w:tcW w:w="0" w:type="auto"/>
            <w:shd w:val="clear" w:color="auto" w:fill="FFFFFF" w:themeFill="background1"/>
            <w:noWrap/>
            <w:vAlign w:val="center"/>
          </w:tcPr>
          <w:p w14:paraId="07C5249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329千秋关</w:t>
            </w:r>
          </w:p>
        </w:tc>
      </w:tr>
      <w:tr w14:paraId="12408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7E6E6" w:themeFill="background2"/>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7EA516E4">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47</w:t>
            </w:r>
          </w:p>
        </w:tc>
        <w:tc>
          <w:tcPr>
            <w:tcW w:w="0" w:type="auto"/>
            <w:shd w:val="clear" w:color="auto" w:fill="FFFFFF" w:themeFill="background1"/>
            <w:noWrap/>
            <w:vAlign w:val="center"/>
          </w:tcPr>
          <w:p w14:paraId="6A2E9DD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02省道昱岭关</w:t>
            </w:r>
          </w:p>
        </w:tc>
      </w:tr>
      <w:tr w14:paraId="5BF8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295755F1">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48</w:t>
            </w:r>
          </w:p>
        </w:tc>
        <w:tc>
          <w:tcPr>
            <w:tcW w:w="0" w:type="auto"/>
            <w:shd w:val="clear" w:color="auto" w:fill="FFFFFF" w:themeFill="background1"/>
            <w:noWrap/>
            <w:vAlign w:val="center"/>
          </w:tcPr>
          <w:p w14:paraId="29214415">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应急中心大仓库1</w:t>
            </w:r>
          </w:p>
        </w:tc>
      </w:tr>
      <w:tr w14:paraId="28DF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67A1B1D9">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49</w:t>
            </w:r>
          </w:p>
        </w:tc>
        <w:tc>
          <w:tcPr>
            <w:tcW w:w="0" w:type="auto"/>
            <w:shd w:val="clear" w:color="auto" w:fill="FFFFFF" w:themeFill="background1"/>
            <w:noWrap/>
            <w:vAlign w:val="center"/>
          </w:tcPr>
          <w:p w14:paraId="0A0F666C">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应急中心大仓库2</w:t>
            </w:r>
          </w:p>
        </w:tc>
      </w:tr>
      <w:tr w14:paraId="29B79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373E5E8B">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50</w:t>
            </w:r>
          </w:p>
        </w:tc>
        <w:tc>
          <w:tcPr>
            <w:tcW w:w="0" w:type="auto"/>
            <w:shd w:val="clear" w:color="auto" w:fill="FFFFFF" w:themeFill="background1"/>
            <w:noWrap/>
            <w:vAlign w:val="center"/>
          </w:tcPr>
          <w:p w14:paraId="4237DFCA">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应急中心停车场2</w:t>
            </w:r>
          </w:p>
        </w:tc>
      </w:tr>
      <w:tr w14:paraId="6C273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0" w:type="auto"/>
            <w:shd w:val="clear" w:color="auto" w:fill="FFFFFF" w:themeFill="background1"/>
            <w:noWrap/>
            <w:vAlign w:val="center"/>
          </w:tcPr>
          <w:p w14:paraId="5A73AE82">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51</w:t>
            </w:r>
          </w:p>
        </w:tc>
        <w:tc>
          <w:tcPr>
            <w:tcW w:w="0" w:type="auto"/>
            <w:shd w:val="clear" w:color="auto" w:fill="FFFFFF" w:themeFill="background1"/>
            <w:noWrap/>
            <w:vAlign w:val="center"/>
          </w:tcPr>
          <w:p w14:paraId="27263AE2">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应急中心大门通道</w:t>
            </w:r>
          </w:p>
        </w:tc>
      </w:tr>
      <w:tr w14:paraId="7E1AE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0" w:type="auto"/>
            <w:shd w:val="clear" w:color="auto" w:fill="FFFFFF" w:themeFill="background1"/>
            <w:noWrap/>
            <w:vAlign w:val="center"/>
          </w:tcPr>
          <w:p w14:paraId="63C38BA4">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52</w:t>
            </w:r>
          </w:p>
        </w:tc>
        <w:tc>
          <w:tcPr>
            <w:tcW w:w="0" w:type="auto"/>
            <w:shd w:val="clear" w:color="auto" w:fill="FFFFFF" w:themeFill="background1"/>
            <w:noWrap/>
            <w:vAlign w:val="center"/>
          </w:tcPr>
          <w:p w14:paraId="7EA73958">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应急中心停车场22d0v</w:t>
            </w:r>
          </w:p>
        </w:tc>
      </w:tr>
    </w:tbl>
    <w:p w14:paraId="25E181EF">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京杭运河四改三视频监控清单表四</w:t>
      </w:r>
    </w:p>
    <w:tbl>
      <w:tblPr>
        <w:tblStyle w:val="17"/>
        <w:tblW w:w="8079" w:type="dxa"/>
        <w:tblInd w:w="0" w:type="dxa"/>
        <w:tblLayout w:type="autofit"/>
        <w:tblCellMar>
          <w:top w:w="0" w:type="dxa"/>
          <w:left w:w="108" w:type="dxa"/>
          <w:bottom w:w="0" w:type="dxa"/>
          <w:right w:w="108" w:type="dxa"/>
        </w:tblCellMar>
      </w:tblPr>
      <w:tblGrid>
        <w:gridCol w:w="2217"/>
        <w:gridCol w:w="5862"/>
      </w:tblGrid>
      <w:tr w14:paraId="42F32DD5">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7748">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序号</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DC177E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点位名称</w:t>
            </w:r>
          </w:p>
        </w:tc>
      </w:tr>
      <w:tr w14:paraId="02156C91">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4001">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022D8E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邵家村</w:t>
            </w:r>
          </w:p>
        </w:tc>
      </w:tr>
      <w:tr w14:paraId="727E5484">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5803">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D6416F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东戴对岸</w:t>
            </w:r>
          </w:p>
        </w:tc>
      </w:tr>
      <w:tr w14:paraId="22AE78D8">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813A">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BEC1AE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德曼汽车</w:t>
            </w:r>
          </w:p>
        </w:tc>
      </w:tr>
      <w:tr w14:paraId="7E34F603">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FB10">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0A8A45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邵家坝村</w:t>
            </w:r>
          </w:p>
        </w:tc>
      </w:tr>
      <w:tr w14:paraId="080AD6A7">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42EE">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5A54F8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塘栖新桥上游南岸</w:t>
            </w:r>
          </w:p>
        </w:tc>
      </w:tr>
      <w:tr w14:paraId="3479E4BF">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213A">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324208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塘栖新桥下游南岸</w:t>
            </w:r>
          </w:p>
        </w:tc>
      </w:tr>
      <w:tr w14:paraId="6F3D05C9">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63CB">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66033D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争光塑料化工对岸</w:t>
            </w:r>
          </w:p>
        </w:tc>
      </w:tr>
      <w:tr w14:paraId="22EC05FE">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7BDB">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E36642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练杭高速运河2#大桥下游北岸</w:t>
            </w:r>
          </w:p>
        </w:tc>
      </w:tr>
      <w:tr w14:paraId="6B5C2EE6">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6354">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5D9EDD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武林所东对岸</w:t>
            </w:r>
          </w:p>
        </w:tc>
      </w:tr>
      <w:tr w14:paraId="61A3FFCA">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4974">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10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6C8188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老良塘公路桥下游西岸</w:t>
            </w:r>
          </w:p>
        </w:tc>
      </w:tr>
      <w:tr w14:paraId="5A369538">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8CD9">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11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DE823E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仁和港区</w:t>
            </w:r>
          </w:p>
        </w:tc>
      </w:tr>
      <w:tr w14:paraId="52073647">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4E67">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12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A8B454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平宅村对岸</w:t>
            </w:r>
          </w:p>
        </w:tc>
      </w:tr>
      <w:tr w14:paraId="58910CB9">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32F6">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13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2760E3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恒强货物码头对岸</w:t>
            </w:r>
          </w:p>
        </w:tc>
      </w:tr>
      <w:tr w14:paraId="22DA20BA">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2E35">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14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4D68F6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藕粉协会生产基地对岸</w:t>
            </w:r>
          </w:p>
        </w:tc>
      </w:tr>
      <w:tr w14:paraId="14CB8381">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6202">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15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30354F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三家村</w:t>
            </w:r>
          </w:p>
        </w:tc>
      </w:tr>
      <w:tr w14:paraId="5FDE55BC">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883A">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16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8B37D1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仁和镇马口闸站下游</w:t>
            </w:r>
          </w:p>
        </w:tc>
      </w:tr>
      <w:tr w14:paraId="1B7EF062">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1789">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17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52ADB8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杭宁高铁跨运河大桥下游西岸</w:t>
            </w:r>
          </w:p>
        </w:tc>
      </w:tr>
      <w:tr w14:paraId="7E58BBE0">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353B">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18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E7668F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杭州农副产品物流中心北</w:t>
            </w:r>
          </w:p>
        </w:tc>
      </w:tr>
      <w:tr w14:paraId="254EEDAD">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5FC0">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19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12726A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杭州农副产品物流中心南</w:t>
            </w:r>
          </w:p>
        </w:tc>
      </w:tr>
      <w:tr w14:paraId="7F68C24B">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AAB7">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20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7A9C5B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半山北线汇流口对岸</w:t>
            </w:r>
          </w:p>
        </w:tc>
      </w:tr>
      <w:tr w14:paraId="40DB176A">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143A">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21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E8DB89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浙江物产物流投资有限公司</w:t>
            </w:r>
          </w:p>
        </w:tc>
      </w:tr>
      <w:tr w14:paraId="0DADB337">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C6C3">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22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A59518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半山南线流口对岸</w:t>
            </w:r>
          </w:p>
        </w:tc>
      </w:tr>
      <w:tr w14:paraId="09F991CF">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92DC">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23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96300F0">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新市岔口东</w:t>
            </w:r>
          </w:p>
        </w:tc>
      </w:tr>
      <w:tr w14:paraId="433B94F4">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8EF9">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24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A6EFB4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新华大桥下游南岸</w:t>
            </w:r>
          </w:p>
        </w:tc>
      </w:tr>
      <w:tr w14:paraId="0F015A40">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4D37">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25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3E5498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大塘湾对岸</w:t>
            </w:r>
          </w:p>
        </w:tc>
      </w:tr>
      <w:tr w14:paraId="447F153B">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4266">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26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0214C6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代田河村西北</w:t>
            </w:r>
          </w:p>
        </w:tc>
      </w:tr>
      <w:tr w14:paraId="04810E41">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6C9F">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27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67A7DB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龙光桥下游南岸1</w:t>
            </w:r>
          </w:p>
        </w:tc>
      </w:tr>
      <w:tr w14:paraId="17B48AE5">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E8C0">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28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17F1420">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龙光桥下游南岸2</w:t>
            </w:r>
          </w:p>
        </w:tc>
      </w:tr>
      <w:tr w14:paraId="56FD7390">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E054">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29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4FA948D">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龙光桥下游南岸3</w:t>
            </w:r>
          </w:p>
        </w:tc>
      </w:tr>
      <w:tr w14:paraId="094E9328">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0E0E">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30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FD6E07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塘泾漾西北</w:t>
            </w:r>
          </w:p>
        </w:tc>
      </w:tr>
      <w:tr w14:paraId="4BD63F69">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9794">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31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5E4441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南河村 对岸</w:t>
            </w:r>
          </w:p>
        </w:tc>
      </w:tr>
      <w:tr w14:paraId="4BE5532A">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8BE4">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32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7F88B95">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博路社区上游1</w:t>
            </w:r>
          </w:p>
        </w:tc>
      </w:tr>
      <w:tr w14:paraId="16EE186C">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22B5">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33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426207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博路社区上游2</w:t>
            </w:r>
          </w:p>
        </w:tc>
      </w:tr>
      <w:tr w14:paraId="55AE126D">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2739">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34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B3FE5F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富春砂石场西</w:t>
            </w:r>
          </w:p>
        </w:tc>
      </w:tr>
      <w:tr w14:paraId="379BB89C">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397C">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35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8A8E38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博陆东大桥下游南岸</w:t>
            </w:r>
          </w:p>
        </w:tc>
      </w:tr>
      <w:tr w14:paraId="06A8D57A">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7702">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36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10066C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美德利墙体</w:t>
            </w:r>
          </w:p>
        </w:tc>
      </w:tr>
      <w:tr w14:paraId="6A0BE683">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6208">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37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2DD920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东宁建设</w:t>
            </w:r>
          </w:p>
        </w:tc>
      </w:tr>
      <w:tr w14:paraId="5A892719">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331B">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38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D9490A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东方电力</w:t>
            </w:r>
          </w:p>
        </w:tc>
      </w:tr>
      <w:tr w14:paraId="50A146FD">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07BB">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39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E59B59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宇胜煤炭</w:t>
            </w:r>
          </w:p>
        </w:tc>
      </w:tr>
      <w:tr w14:paraId="6C220FA0">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4051">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40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AD8493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塘栖热电厂1</w:t>
            </w:r>
          </w:p>
        </w:tc>
      </w:tr>
      <w:tr w14:paraId="4DC065B9">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6A2A">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41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F7C004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同鑫工贸</w:t>
            </w:r>
          </w:p>
        </w:tc>
      </w:tr>
      <w:tr w14:paraId="2ECBE5D5">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F320">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42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FFF7F3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金属压延长</w:t>
            </w:r>
          </w:p>
        </w:tc>
      </w:tr>
      <w:tr w14:paraId="1FADBC76">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002E">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43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22DAEB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兴泉黄沙场</w:t>
            </w:r>
          </w:p>
        </w:tc>
      </w:tr>
      <w:tr w14:paraId="1B60ABFB">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989F">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44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0990B2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五友建材</w:t>
            </w:r>
          </w:p>
        </w:tc>
      </w:tr>
      <w:tr w14:paraId="50F6FAF6">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2EED">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45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AA487A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恒强货物码头</w:t>
            </w:r>
          </w:p>
        </w:tc>
      </w:tr>
      <w:tr w14:paraId="1286CC7A">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7A14">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46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9B472C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合一建材</w:t>
            </w:r>
          </w:p>
        </w:tc>
      </w:tr>
      <w:tr w14:paraId="1686908A">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C3D5">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47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Pr>
          <w:p w14:paraId="13D35BB0">
            <w:pPr>
              <w:widowControl/>
              <w:jc w:val="center"/>
              <w:textAlignment w:val="top"/>
              <w:rPr>
                <w:rFonts w:ascii="仿宋" w:hAnsi="仿宋" w:eastAsia="仿宋"/>
                <w:color w:val="auto"/>
                <w:kern w:val="0"/>
                <w:sz w:val="24"/>
                <w:highlight w:val="none"/>
              </w:rPr>
            </w:pPr>
            <w:r>
              <w:rPr>
                <w:rFonts w:hint="eastAsia" w:ascii="仿宋" w:hAnsi="仿宋" w:eastAsia="仿宋"/>
                <w:color w:val="auto"/>
                <w:kern w:val="0"/>
                <w:sz w:val="24"/>
                <w:highlight w:val="none"/>
              </w:rPr>
              <w:t>金利丝业</w:t>
            </w:r>
          </w:p>
        </w:tc>
      </w:tr>
      <w:tr w14:paraId="1FBEBF1B">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895D">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48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4E539D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运河郭信码头</w:t>
            </w:r>
          </w:p>
        </w:tc>
      </w:tr>
      <w:tr w14:paraId="51935591">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E83A">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49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0943F4E">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卫康码头</w:t>
            </w:r>
          </w:p>
        </w:tc>
      </w:tr>
      <w:tr w14:paraId="65E89BE4">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7943">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50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6544D3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联合玻璃</w:t>
            </w:r>
          </w:p>
        </w:tc>
      </w:tr>
      <w:tr w14:paraId="286E645F">
        <w:tblPrEx>
          <w:tblCellMar>
            <w:top w:w="0" w:type="dxa"/>
            <w:left w:w="108" w:type="dxa"/>
            <w:bottom w:w="0" w:type="dxa"/>
            <w:right w:w="108" w:type="dxa"/>
          </w:tblCellMar>
        </w:tblPrEx>
        <w:trPr>
          <w:trHeight w:val="285"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507E">
            <w:pPr>
              <w:widowControl/>
              <w:jc w:val="center"/>
              <w:textAlignment w:val="center"/>
              <w:rPr>
                <w:rFonts w:ascii="仿宋" w:hAnsi="仿宋" w:eastAsia="仿宋"/>
                <w:color w:val="auto"/>
                <w:kern w:val="0"/>
                <w:sz w:val="24"/>
                <w:highlight w:val="none"/>
              </w:rPr>
            </w:pPr>
            <w:r>
              <w:rPr>
                <w:rFonts w:hint="eastAsia" w:ascii="仿宋" w:hAnsi="仿宋" w:eastAsia="仿宋"/>
                <w:color w:val="auto"/>
                <w:kern w:val="0"/>
                <w:sz w:val="24"/>
                <w:highlight w:val="none"/>
              </w:rPr>
              <w:t>51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A6325E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申华石油煤炭码头</w:t>
            </w:r>
          </w:p>
        </w:tc>
      </w:tr>
    </w:tbl>
    <w:p w14:paraId="56463E04">
      <w:pPr>
        <w:pStyle w:val="43"/>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京杭运河新开挖段视频监控清单表五</w:t>
      </w:r>
    </w:p>
    <w:tbl>
      <w:tblPr>
        <w:tblStyle w:val="17"/>
        <w:tblW w:w="7979" w:type="dxa"/>
        <w:tblInd w:w="93" w:type="dxa"/>
        <w:tblLayout w:type="fixed"/>
        <w:tblCellMar>
          <w:top w:w="0" w:type="dxa"/>
          <w:left w:w="108" w:type="dxa"/>
          <w:bottom w:w="0" w:type="dxa"/>
          <w:right w:w="108" w:type="dxa"/>
        </w:tblCellMar>
      </w:tblPr>
      <w:tblGrid>
        <w:gridCol w:w="2129"/>
        <w:gridCol w:w="5850"/>
      </w:tblGrid>
      <w:tr w14:paraId="22BD4E5D">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26B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序号</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D2B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名称</w:t>
            </w:r>
          </w:p>
        </w:tc>
      </w:tr>
      <w:tr w14:paraId="65258DBD">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798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1</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49D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F02东洋埭服务区全景 </w:t>
            </w:r>
          </w:p>
        </w:tc>
      </w:tr>
      <w:tr w14:paraId="4C64833D">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5B8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2</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32D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F03东洋埭服务器东侧枪机2 </w:t>
            </w:r>
          </w:p>
        </w:tc>
      </w:tr>
      <w:tr w14:paraId="05D4A1E4">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F84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3</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C3D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F03东洋埭服务区东侧枪机1 </w:t>
            </w:r>
          </w:p>
        </w:tc>
      </w:tr>
      <w:tr w14:paraId="62C5E5F8">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5CC5">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4</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2DFD">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F03-东洋埭服务区东侧球机 </w:t>
            </w:r>
          </w:p>
        </w:tc>
      </w:tr>
      <w:tr w14:paraId="1920323E">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7AF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5</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174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2-二通道东岸435球机 </w:t>
            </w:r>
          </w:p>
        </w:tc>
      </w:tr>
      <w:tr w14:paraId="61ADACD6">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03FE">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6</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EFFD">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3-东桥头桥 </w:t>
            </w:r>
          </w:p>
        </w:tc>
      </w:tr>
      <w:tr w14:paraId="111CFB4B">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5F4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7</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8D9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5-东新大桥南（西）夜视 </w:t>
            </w:r>
          </w:p>
        </w:tc>
      </w:tr>
      <w:tr w14:paraId="7610F9B4">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08B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8</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838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5-东新大桥南球机 </w:t>
            </w:r>
          </w:p>
        </w:tc>
      </w:tr>
      <w:tr w14:paraId="2C81D432">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BD7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9</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1FC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7-明智大桥（东）枪机 </w:t>
            </w:r>
          </w:p>
        </w:tc>
      </w:tr>
      <w:tr w14:paraId="14ACE9AE">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EBD0">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10</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6CF0">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7-明智大桥北（西）夜视 </w:t>
            </w:r>
          </w:p>
        </w:tc>
      </w:tr>
      <w:tr w14:paraId="223E7B22">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E1F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11</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695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9-明智大桥（东）枪机 </w:t>
            </w:r>
          </w:p>
        </w:tc>
      </w:tr>
      <w:tr w14:paraId="7210799F">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611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12</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E94D">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9-明智大桥（东）夜视 </w:t>
            </w:r>
          </w:p>
        </w:tc>
      </w:tr>
      <w:tr w14:paraId="4CFAD6EA">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D66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13</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EDA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9-明智大桥（东）球机 </w:t>
            </w:r>
          </w:p>
        </w:tc>
      </w:tr>
      <w:tr w14:paraId="56C27598">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5C8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14</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796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12-南庄锚地全景球机 </w:t>
            </w:r>
          </w:p>
        </w:tc>
      </w:tr>
      <w:tr w14:paraId="45720676">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BC5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15</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624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14-过军桥北（东）夜视 </w:t>
            </w:r>
          </w:p>
        </w:tc>
      </w:tr>
      <w:tr w14:paraId="3AB8AE5A">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C41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16</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EBDE">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14-过军桥北（东）球机 </w:t>
            </w:r>
          </w:p>
        </w:tc>
      </w:tr>
      <w:tr w14:paraId="31770EA9">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51E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17</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547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14-过军桥北（东）枪机 </w:t>
            </w:r>
          </w:p>
        </w:tc>
      </w:tr>
      <w:tr w14:paraId="1DE189C7">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989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18</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19B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16-过军桥南（东）夜视 </w:t>
            </w:r>
          </w:p>
        </w:tc>
      </w:tr>
      <w:tr w14:paraId="15993529">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66F0">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19</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B38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16-过军桥南（东）球机 </w:t>
            </w:r>
          </w:p>
        </w:tc>
      </w:tr>
      <w:tr w14:paraId="18E48775">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CAC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20</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4FE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18-五号桥北水管桥（西）球机 </w:t>
            </w:r>
          </w:p>
        </w:tc>
      </w:tr>
      <w:tr w14:paraId="734C6F67">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87B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21</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ECA0">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18-五号桥北水管桥（西）夜视 </w:t>
            </w:r>
          </w:p>
        </w:tc>
      </w:tr>
      <w:tr w14:paraId="0BF23214">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37A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22</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56F0">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19-五号桥北枪机 </w:t>
            </w:r>
          </w:p>
        </w:tc>
      </w:tr>
      <w:tr w14:paraId="25416D53">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49F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23</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1B4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19-五号桥北（西）球机 </w:t>
            </w:r>
          </w:p>
        </w:tc>
      </w:tr>
      <w:tr w14:paraId="17D23884">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F78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24</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100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19-五号桥北（西）夜视 </w:t>
            </w:r>
          </w:p>
        </w:tc>
      </w:tr>
      <w:tr w14:paraId="3EE02E3E">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9A8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25</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EDE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21-双林大桥北（西）夜视 </w:t>
            </w:r>
          </w:p>
        </w:tc>
      </w:tr>
      <w:tr w14:paraId="71635AA4">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AD6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26</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ADF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21-双林大桥北（西）球机 </w:t>
            </w:r>
          </w:p>
        </w:tc>
      </w:tr>
      <w:tr w14:paraId="6412207C">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97E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27</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294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21-双林大桥北（西）夜视 </w:t>
            </w:r>
          </w:p>
        </w:tc>
      </w:tr>
      <w:tr w14:paraId="2D1BA1D4">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BB3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28</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7490">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23-丁塘大桥北（西）夜视 </w:t>
            </w:r>
          </w:p>
        </w:tc>
      </w:tr>
      <w:tr w14:paraId="3FA5517B">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204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29</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B48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23-丁塘大桥北（西）枪机 </w:t>
            </w:r>
          </w:p>
        </w:tc>
      </w:tr>
      <w:tr w14:paraId="4295B8FF">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D02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30</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23F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23-丁塘大桥北（西）夜视 </w:t>
            </w:r>
          </w:p>
        </w:tc>
      </w:tr>
      <w:tr w14:paraId="69195473">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AC1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31</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C81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24-丁塘大桥南（东）球机 </w:t>
            </w:r>
          </w:p>
        </w:tc>
      </w:tr>
      <w:tr w14:paraId="5FEE7840">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C71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32</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A11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24-丁塘大桥南（东）夜视 </w:t>
            </w:r>
          </w:p>
        </w:tc>
      </w:tr>
      <w:tr w14:paraId="3ADA820F">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CE5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33</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98F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24-丁塘大桥南（东）夜视 </w:t>
            </w:r>
          </w:p>
        </w:tc>
      </w:tr>
      <w:tr w14:paraId="5DF5935A">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EF9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34</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2D6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27-团结桥南（西）球机 </w:t>
            </w:r>
          </w:p>
        </w:tc>
      </w:tr>
      <w:tr w14:paraId="560DD88A">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B54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35</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57A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27-团结桥南（西）夜视 </w:t>
            </w:r>
          </w:p>
        </w:tc>
      </w:tr>
      <w:tr w14:paraId="78F6D143">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550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36</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B3BE">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28-人民大道桥北2（西）夜视 </w:t>
            </w:r>
          </w:p>
        </w:tc>
      </w:tr>
      <w:tr w14:paraId="2F0FCD5A">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9510">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37</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976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28-人民大道桥北2（西）球机 </w:t>
            </w:r>
          </w:p>
        </w:tc>
      </w:tr>
      <w:tr w14:paraId="576A71C2">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E4A0">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38</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EA70">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29-人民大道桥北1（西）枪机 </w:t>
            </w:r>
          </w:p>
        </w:tc>
      </w:tr>
      <w:tr w14:paraId="70B8AB64">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F0D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39</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CE7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29-人民大道桥北1（西）夜视 </w:t>
            </w:r>
          </w:p>
        </w:tc>
      </w:tr>
      <w:tr w14:paraId="74D6A94C">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517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40</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1E1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29-人民大道桥北1（西） </w:t>
            </w:r>
          </w:p>
        </w:tc>
      </w:tr>
      <w:tr w14:paraId="094B9A8B">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49A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41</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033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30-人民大道桥南1（东）夜视 </w:t>
            </w:r>
          </w:p>
        </w:tc>
      </w:tr>
      <w:tr w14:paraId="11577741">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4EF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42</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34A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31-人民大道桥南2（西）夜视 </w:t>
            </w:r>
          </w:p>
        </w:tc>
      </w:tr>
      <w:tr w14:paraId="0FE0D534">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751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43</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070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31-人民大道桥南2（西）球机 </w:t>
            </w:r>
          </w:p>
        </w:tc>
      </w:tr>
      <w:tr w14:paraId="41D53DBA">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B57E">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44</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645D">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33-世纪大道桥北（西）球机 </w:t>
            </w:r>
          </w:p>
        </w:tc>
      </w:tr>
      <w:tr w14:paraId="65C01124">
        <w:tblPrEx>
          <w:tblCellMar>
            <w:top w:w="0" w:type="dxa"/>
            <w:left w:w="108" w:type="dxa"/>
            <w:bottom w:w="0" w:type="dxa"/>
            <w:right w:w="108" w:type="dxa"/>
          </w:tblCellMar>
        </w:tblPrEx>
        <w:trPr>
          <w:trHeight w:val="219"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51B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45</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ECB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33-世界大道桥北（西）夜视 </w:t>
            </w:r>
          </w:p>
        </w:tc>
      </w:tr>
      <w:tr w14:paraId="428C000B">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59E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46</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DFE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33-世界大道桥北（西）夜视 </w:t>
            </w:r>
          </w:p>
        </w:tc>
      </w:tr>
      <w:tr w14:paraId="1B9A8D12">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0AD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47</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A3D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35-黄家门公路桥北1（西）球机 </w:t>
            </w:r>
          </w:p>
        </w:tc>
      </w:tr>
      <w:tr w14:paraId="490A39A7">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60B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48</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1575">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35-黄家门公路桥北1（西）夜视 </w:t>
            </w:r>
          </w:p>
        </w:tc>
      </w:tr>
      <w:tr w14:paraId="2D856EA3">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AEC5">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49</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F95E">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35-黄家门公路桥北1（西）夜视 </w:t>
            </w:r>
          </w:p>
        </w:tc>
      </w:tr>
      <w:tr w14:paraId="7C16622D">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1105">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50</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650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37胜利桥北球东岸 </w:t>
            </w:r>
          </w:p>
        </w:tc>
      </w:tr>
      <w:tr w14:paraId="31C6F191">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1D4D">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51</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925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37-胜利桥北（东）枪机 </w:t>
            </w:r>
          </w:p>
        </w:tc>
      </w:tr>
      <w:tr w14:paraId="5C82AC6A">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B7D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52</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CD4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40-沪杭高速公路桥南1（东）夜视 </w:t>
            </w:r>
          </w:p>
        </w:tc>
      </w:tr>
      <w:tr w14:paraId="10873655">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357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53</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C92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40-沪杭高速公路桥南1（东） </w:t>
            </w:r>
          </w:p>
        </w:tc>
      </w:tr>
      <w:tr w14:paraId="56D234D2">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2555">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54</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B12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41-沪杭高速公路桥南2（西）夜视 </w:t>
            </w:r>
          </w:p>
        </w:tc>
      </w:tr>
      <w:tr w14:paraId="168CB49C">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96EE">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55</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588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41-沪杭高速公路桥南1（东）球机 </w:t>
            </w:r>
          </w:p>
        </w:tc>
      </w:tr>
      <w:tr w14:paraId="247E7BBE">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AFB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56</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B4C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42-东西大道桥北（西）球机 </w:t>
            </w:r>
          </w:p>
        </w:tc>
      </w:tr>
      <w:tr w14:paraId="55A5FA90">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97B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57</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9FE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42-东西大道桥北（西）枪机 </w:t>
            </w:r>
          </w:p>
        </w:tc>
      </w:tr>
      <w:tr w14:paraId="5C8E1555">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524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58</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A5E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42-东西大道桥北（西）夜视 </w:t>
            </w:r>
          </w:p>
        </w:tc>
      </w:tr>
      <w:tr w14:paraId="24E9E900">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4BB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59</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64E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45-前进服务区全景 </w:t>
            </w:r>
          </w:p>
        </w:tc>
      </w:tr>
      <w:tr w14:paraId="6762DAC9">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25BE">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60</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655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47-倪桥头公路桥北（西）球机 </w:t>
            </w:r>
          </w:p>
        </w:tc>
      </w:tr>
      <w:tr w14:paraId="27851CC5">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F66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61</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AD2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47-倪桥头公路桥北（西）枪机 </w:t>
            </w:r>
          </w:p>
        </w:tc>
      </w:tr>
      <w:tr w14:paraId="21DE3719">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4DD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62</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334D">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47-倪桥头公路桥北（西）夜视 </w:t>
            </w:r>
          </w:p>
        </w:tc>
      </w:tr>
      <w:tr w14:paraId="3BF25D9F">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7FF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63</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2B4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49-杭浦高速公路桥北（东）球机 </w:t>
            </w:r>
          </w:p>
        </w:tc>
      </w:tr>
      <w:tr w14:paraId="3A2A39C2">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F70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64</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A4A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49-杭浦高速公路桥北（东）夜视 </w:t>
            </w:r>
          </w:p>
        </w:tc>
      </w:tr>
      <w:tr w14:paraId="6E6501FF">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8F4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65</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90B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49-杭浦高速公路桥北（东）夜视 </w:t>
            </w:r>
          </w:p>
        </w:tc>
      </w:tr>
      <w:tr w14:paraId="4604E448">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DD05">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66</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0B2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51-新天桥北（东）夜视二 </w:t>
            </w:r>
          </w:p>
        </w:tc>
      </w:tr>
      <w:tr w14:paraId="4E71A5F0">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C87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67</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1345">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51-新天桥北（东）夜视 </w:t>
            </w:r>
          </w:p>
        </w:tc>
      </w:tr>
      <w:tr w14:paraId="46F701DC">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07C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68</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630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51-新天大桥北（东）球机 </w:t>
            </w:r>
          </w:p>
        </w:tc>
      </w:tr>
      <w:tr w14:paraId="5FD33FD2">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A54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69</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206E">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53-新宜大桥北（东）球机 </w:t>
            </w:r>
          </w:p>
        </w:tc>
      </w:tr>
      <w:tr w14:paraId="6CA22ABE">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CC1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70</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018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53-新宜大桥北（东）夜视二 </w:t>
            </w:r>
          </w:p>
        </w:tc>
      </w:tr>
      <w:tr w14:paraId="1C380F78">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0AE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71</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52D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53-新宜大桥北（东）夜视一 </w:t>
            </w:r>
          </w:p>
        </w:tc>
      </w:tr>
      <w:tr w14:paraId="56333C27">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652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72</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85E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55-永玄大桥（东）夜视二 </w:t>
            </w:r>
          </w:p>
        </w:tc>
      </w:tr>
      <w:tr w14:paraId="7042EB07">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875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73</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45C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55-永玄大桥（东）夜视一 </w:t>
            </w:r>
          </w:p>
        </w:tc>
      </w:tr>
      <w:tr w14:paraId="67C2AA19">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B18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74</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36A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56-新万大桥北（东）球机 </w:t>
            </w:r>
          </w:p>
        </w:tc>
      </w:tr>
      <w:tr w14:paraId="6932F8FC">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2326">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75</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4DCB">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56-新万大桥北（东）夜视 </w:t>
            </w:r>
          </w:p>
        </w:tc>
      </w:tr>
      <w:tr w14:paraId="27678020">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4F5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76</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BFA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56-新万大桥北（东）夜视 </w:t>
            </w:r>
          </w:p>
        </w:tc>
      </w:tr>
      <w:tr w14:paraId="3EC6DF78">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E17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77</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BF5E">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58-新万大桥南1（东）夜视 </w:t>
            </w:r>
          </w:p>
        </w:tc>
      </w:tr>
      <w:tr w14:paraId="53A9274C">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016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78</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819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60-绕城高速公路桥北2（西）夜视 </w:t>
            </w:r>
          </w:p>
        </w:tc>
      </w:tr>
      <w:tr w14:paraId="510AC15C">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E08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79</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68E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61-绕城高速公路桥北1（东）球机 </w:t>
            </w:r>
          </w:p>
        </w:tc>
      </w:tr>
      <w:tr w14:paraId="6726E423">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C7F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80</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F59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61-绕城高速公路桥北1（东）夜视 </w:t>
            </w:r>
          </w:p>
        </w:tc>
      </w:tr>
      <w:tr w14:paraId="5979D04B">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2903">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81</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35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61-绕城高速公路桥北1（东）夜视 </w:t>
            </w:r>
          </w:p>
        </w:tc>
      </w:tr>
      <w:tr w14:paraId="24D61B46">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632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82</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4F28">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63-下沙港对面 </w:t>
            </w:r>
          </w:p>
        </w:tc>
      </w:tr>
      <w:tr w14:paraId="2EA9B852">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09B7">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83</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635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63-下沙港 </w:t>
            </w:r>
          </w:p>
        </w:tc>
      </w:tr>
      <w:tr w14:paraId="13AEF777">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005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84</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BF0F">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65-德胜快速路桥北（东）夜视 </w:t>
            </w:r>
          </w:p>
        </w:tc>
      </w:tr>
      <w:tr w14:paraId="3CDD1CCB">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285C">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85</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6762">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65-德盛快速路桥北枪机 </w:t>
            </w:r>
          </w:p>
        </w:tc>
      </w:tr>
      <w:tr w14:paraId="09FA5314">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C559">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86</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C934">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65-德盛快速路桥北（东） </w:t>
            </w:r>
          </w:p>
        </w:tc>
      </w:tr>
      <w:tr w14:paraId="1C73CB20">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AAFA">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87</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4B5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67-德胜服务区全景球机 </w:t>
            </w:r>
          </w:p>
        </w:tc>
      </w:tr>
      <w:tr w14:paraId="16FE4C08">
        <w:tblPrEx>
          <w:tblCellMar>
            <w:top w:w="0" w:type="dxa"/>
            <w:left w:w="108" w:type="dxa"/>
            <w:bottom w:w="0" w:type="dxa"/>
            <w:right w:w="108" w:type="dxa"/>
          </w:tblCellMar>
        </w:tblPrEx>
        <w:trPr>
          <w:trHeight w:val="285" w:hRule="atLeast"/>
        </w:trPr>
        <w:tc>
          <w:tcPr>
            <w:tcW w:w="2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C50E">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88</w:t>
            </w:r>
          </w:p>
        </w:tc>
        <w:tc>
          <w:tcPr>
            <w:tcW w:w="5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0EB1">
            <w:pPr>
              <w:widowControl/>
              <w:jc w:val="center"/>
              <w:textAlignment w:val="bottom"/>
              <w:rPr>
                <w:rFonts w:ascii="仿宋" w:hAnsi="仿宋" w:eastAsia="仿宋"/>
                <w:color w:val="auto"/>
                <w:kern w:val="0"/>
                <w:sz w:val="24"/>
                <w:highlight w:val="none"/>
              </w:rPr>
            </w:pPr>
            <w:r>
              <w:rPr>
                <w:rFonts w:hint="eastAsia" w:ascii="仿宋" w:hAnsi="仿宋" w:eastAsia="仿宋"/>
                <w:color w:val="auto"/>
                <w:kern w:val="0"/>
                <w:sz w:val="24"/>
                <w:highlight w:val="none"/>
              </w:rPr>
              <w:t xml:space="preserve">70-八宝船闸夜视 </w:t>
            </w:r>
          </w:p>
        </w:tc>
      </w:tr>
    </w:tbl>
    <w:p w14:paraId="75855CDB">
      <w:pPr>
        <w:pStyle w:val="44"/>
        <w:rPr>
          <w:color w:val="auto"/>
          <w:highlight w:val="none"/>
        </w:rPr>
      </w:pPr>
    </w:p>
    <w:p w14:paraId="5135E216">
      <w:pPr>
        <w:pStyle w:val="16"/>
        <w:ind w:left="0" w:leftChars="0" w:firstLine="0" w:firstLineChars="0"/>
        <w:rPr>
          <w:color w:val="auto"/>
          <w:highlight w:val="none"/>
        </w:rPr>
      </w:pPr>
      <w:r>
        <w:rPr>
          <w:rFonts w:hint="eastAsia" w:ascii="仿宋" w:hAnsi="仿宋" w:eastAsia="仿宋"/>
          <w:color w:val="auto"/>
          <w:sz w:val="24"/>
          <w:highlight w:val="none"/>
        </w:rPr>
        <w:t>注：以上设备如有误差以实际为准。</w:t>
      </w:r>
    </w:p>
    <w:p w14:paraId="5D5EB702">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（二）运维管理要求</w:t>
      </w:r>
    </w:p>
    <w:p w14:paraId="7A1202AA">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1、要求投标人提供相对固定的维护工程师，</w:t>
      </w:r>
      <w:bookmarkStart w:id="29" w:name="_Hlk185157206"/>
      <w:r>
        <w:rPr>
          <w:rFonts w:hint="eastAsia" w:ascii="仿宋" w:hAnsi="仿宋" w:eastAsia="仿宋"/>
          <w:color w:val="auto"/>
          <w:sz w:val="24"/>
          <w:highlight w:val="none"/>
        </w:rPr>
        <w:t>确保7×24小时电话应急响应。发生故障时，投标人接到采购人通知后即刻服务响应，</w:t>
      </w:r>
      <w:r>
        <w:rPr>
          <w:rFonts w:hint="eastAsia" w:ascii="仿宋" w:hAnsi="仿宋" w:eastAsia="仿宋"/>
          <w:color w:val="auto"/>
          <w:sz w:val="24"/>
          <w:highlight w:val="none"/>
          <w:lang w:val="en-US" w:eastAsia="zh-CN"/>
        </w:rPr>
        <w:t>30</w:t>
      </w:r>
      <w:r>
        <w:rPr>
          <w:rFonts w:hint="eastAsia" w:ascii="仿宋" w:hAnsi="仿宋" w:eastAsia="仿宋"/>
          <w:color w:val="auto"/>
          <w:sz w:val="24"/>
          <w:highlight w:val="none"/>
        </w:rPr>
        <w:t>分钟内到达现场维修；</w:t>
      </w:r>
      <w:bookmarkEnd w:id="29"/>
      <w:r>
        <w:rPr>
          <w:rFonts w:hint="eastAsia" w:ascii="仿宋" w:hAnsi="仿宋" w:eastAsia="仿宋"/>
          <w:color w:val="auto"/>
          <w:sz w:val="24"/>
          <w:highlight w:val="none"/>
        </w:rPr>
        <w:t>1个工作日无法修复的必须提供备用设备供采购人使用；针对指挥中心视频监控系统、视频会议系统运维，会议或展示按需提前安排人员进行调试，使用期间提前1小时到达现场确保设备正常运行，并做好全程服务保障。</w:t>
      </w:r>
    </w:p>
    <w:p w14:paraId="5FFB8C5F">
      <w:pPr>
        <w:pStyle w:val="16"/>
        <w:spacing w:after="0" w:line="360" w:lineRule="auto"/>
        <w:ind w:left="0" w:leftChars="0" w:firstLine="0" w:firstLineChars="0"/>
        <w:rPr>
          <w:rFonts w:ascii="仿宋" w:hAnsi="仿宋" w:eastAsia="仿宋"/>
          <w:color w:val="auto"/>
          <w:sz w:val="24"/>
          <w:highlight w:val="none"/>
        </w:rPr>
      </w:pPr>
      <w:r>
        <w:rPr>
          <w:color w:val="auto"/>
          <w:highlight w:val="none"/>
        </w:rPr>
        <w:t xml:space="preserve">     </w:t>
      </w:r>
      <w:r>
        <w:rPr>
          <w:rFonts w:ascii="仿宋" w:hAnsi="仿宋" w:eastAsia="仿宋"/>
          <w:color w:val="auto"/>
          <w:sz w:val="24"/>
          <w:highlight w:val="none"/>
        </w:rPr>
        <w:t>2</w:t>
      </w:r>
      <w:r>
        <w:rPr>
          <w:rFonts w:hint="eastAsia" w:ascii="仿宋" w:hAnsi="仿宋" w:eastAsia="仿宋"/>
          <w:color w:val="auto"/>
          <w:sz w:val="24"/>
          <w:highlight w:val="none"/>
        </w:rPr>
        <w:t>、自建外场点位确因设备引起的一般故障应在24小时内修复；因网络、供电等非设备故障或客观原因除外。</w:t>
      </w:r>
    </w:p>
    <w:p w14:paraId="20BB5C90">
      <w:pPr>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二、杭州交通系统视频综合平台运行维保服务</w:t>
      </w:r>
    </w:p>
    <w:p w14:paraId="36EE154B">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服务工作内容：</w:t>
      </w:r>
    </w:p>
    <w:p w14:paraId="54338ACE">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1、平台服务器运行状态的日常巡检和软件维护。</w:t>
      </w:r>
    </w:p>
    <w:p w14:paraId="5512C277">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涉及设备：</w:t>
      </w:r>
      <w:r>
        <w:rPr>
          <w:rFonts w:ascii="仿宋" w:hAnsi="仿宋" w:eastAsia="仿宋"/>
          <w:color w:val="auto"/>
          <w:sz w:val="24"/>
          <w:highlight w:val="none"/>
        </w:rPr>
        <w:t>对杭州市交通运输局已安装的海康威视视频监控平台服务器和数据库服务器日常运行状态进行1 次/周巡检维护，巡检过程中发现问题或风险，负责及时跟进解决。</w:t>
      </w:r>
    </w:p>
    <w:p w14:paraId="78E53D72">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软件：杭州交通系统视频综合平台为海康威视品牌综合安防平台（i</w:t>
      </w:r>
      <w:r>
        <w:rPr>
          <w:rFonts w:ascii="仿宋" w:hAnsi="仿宋" w:eastAsia="仿宋"/>
          <w:color w:val="auto"/>
          <w:sz w:val="24"/>
          <w:highlight w:val="none"/>
        </w:rPr>
        <w:t>sc）。</w:t>
      </w:r>
      <w:r>
        <w:rPr>
          <w:rFonts w:hint="eastAsia" w:ascii="仿宋" w:hAnsi="仿宋" w:eastAsia="仿宋"/>
          <w:color w:val="auto"/>
          <w:sz w:val="24"/>
          <w:highlight w:val="none"/>
          <w:lang w:val="en-US" w:eastAsia="zh-CN"/>
        </w:rPr>
        <w:t>投标人</w:t>
      </w:r>
      <w:r>
        <w:rPr>
          <w:rFonts w:ascii="仿宋" w:hAnsi="仿宋" w:eastAsia="仿宋"/>
          <w:color w:val="auto"/>
          <w:sz w:val="24"/>
          <w:highlight w:val="none"/>
        </w:rPr>
        <w:t>承诺1次/周定期对平台服务状态进行运维巡检，保障平台稳定运行。对每个监控点的图像显示是否正常进行主动监测，发现问题后，第一时间联系</w:t>
      </w:r>
      <w:r>
        <w:rPr>
          <w:rFonts w:hint="eastAsia" w:ascii="仿宋" w:hAnsi="仿宋" w:eastAsia="仿宋"/>
          <w:color w:val="auto"/>
          <w:sz w:val="24"/>
          <w:highlight w:val="none"/>
        </w:rPr>
        <w:t>相关具体责任单位</w:t>
      </w:r>
      <w:r>
        <w:rPr>
          <w:rFonts w:ascii="仿宋" w:hAnsi="仿宋" w:eastAsia="仿宋"/>
          <w:color w:val="auto"/>
          <w:sz w:val="24"/>
          <w:highlight w:val="none"/>
        </w:rPr>
        <w:t>，以尽快修复。系统的相关数据（</w:t>
      </w:r>
      <w:r>
        <w:rPr>
          <w:rFonts w:hint="eastAsia" w:ascii="仿宋" w:hAnsi="仿宋" w:eastAsia="仿宋"/>
          <w:color w:val="auto"/>
          <w:sz w:val="24"/>
          <w:highlight w:val="none"/>
        </w:rPr>
        <w:t>定时截图的</w:t>
      </w:r>
      <w:r>
        <w:rPr>
          <w:rFonts w:ascii="仿宋" w:hAnsi="仿宋" w:eastAsia="仿宋"/>
          <w:color w:val="auto"/>
          <w:sz w:val="24"/>
          <w:highlight w:val="none"/>
        </w:rPr>
        <w:t>图片）是否完整，软件的运行环境是否正常，服务器性能(CPU、内存、网络利用率)。针对巡检过程中出现的不同问题及风险采取不同措施：针对定性为软件问题或风险的，及时进行处理，必要时可进行定制处理。涉及新的应用需求</w:t>
      </w:r>
      <w:r>
        <w:rPr>
          <w:rFonts w:hint="eastAsia" w:ascii="仿宋" w:hAnsi="仿宋" w:eastAsia="仿宋"/>
          <w:color w:val="auto"/>
          <w:sz w:val="24"/>
          <w:highlight w:val="none"/>
        </w:rPr>
        <w:t>，需进行开发测试并应用。</w:t>
      </w:r>
    </w:p>
    <w:p w14:paraId="06C349DB">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w:t>
      </w:r>
      <w:r>
        <w:rPr>
          <w:rFonts w:ascii="仿宋" w:hAnsi="仿宋" w:eastAsia="仿宋"/>
          <w:color w:val="auto"/>
          <w:sz w:val="24"/>
          <w:highlight w:val="none"/>
        </w:rPr>
        <w:t>1</w:t>
      </w:r>
      <w:r>
        <w:rPr>
          <w:rFonts w:hint="eastAsia" w:ascii="仿宋" w:hAnsi="仿宋" w:eastAsia="仿宋"/>
          <w:color w:val="auto"/>
          <w:sz w:val="24"/>
          <w:highlight w:val="none"/>
        </w:rPr>
        <w:t>台联网网关设备的日常巡检和维护。共</w:t>
      </w:r>
      <w:r>
        <w:rPr>
          <w:rFonts w:ascii="仿宋" w:hAnsi="仿宋" w:eastAsia="仿宋"/>
          <w:color w:val="auto"/>
          <w:sz w:val="24"/>
          <w:highlight w:val="none"/>
        </w:rPr>
        <w:t>2</w:t>
      </w:r>
      <w:r>
        <w:rPr>
          <w:rFonts w:hint="eastAsia" w:ascii="仿宋" w:hAnsi="仿宋" w:eastAsia="仿宋"/>
          <w:color w:val="auto"/>
          <w:sz w:val="24"/>
          <w:highlight w:val="none"/>
        </w:rPr>
        <w:t>块板卡，</w:t>
      </w:r>
      <w:r>
        <w:rPr>
          <w:rFonts w:ascii="仿宋" w:hAnsi="仿宋" w:eastAsia="仿宋"/>
          <w:color w:val="auto"/>
          <w:sz w:val="24"/>
          <w:highlight w:val="none"/>
        </w:rPr>
        <w:t>对</w:t>
      </w:r>
      <w:r>
        <w:rPr>
          <w:rFonts w:hint="eastAsia" w:ascii="仿宋" w:hAnsi="仿宋" w:eastAsia="仿宋"/>
          <w:color w:val="auto"/>
          <w:sz w:val="24"/>
          <w:highlight w:val="none"/>
        </w:rPr>
        <w:t>板卡系统和软件程序(</w:t>
      </w:r>
      <w:r>
        <w:rPr>
          <w:rFonts w:ascii="仿宋" w:hAnsi="仿宋" w:eastAsia="仿宋"/>
          <w:color w:val="auto"/>
          <w:sz w:val="24"/>
          <w:highlight w:val="none"/>
        </w:rPr>
        <w:t>NCG)日常运行状态进行1 次/周巡检维护，</w:t>
      </w:r>
      <w:r>
        <w:rPr>
          <w:rFonts w:hint="eastAsia" w:ascii="仿宋" w:hAnsi="仿宋" w:eastAsia="仿宋"/>
          <w:color w:val="auto"/>
          <w:sz w:val="24"/>
          <w:highlight w:val="none"/>
        </w:rPr>
        <w:t>软件的运行环境是否正常，系统性能</w:t>
      </w:r>
      <w:r>
        <w:rPr>
          <w:rFonts w:ascii="仿宋" w:hAnsi="仿宋" w:eastAsia="仿宋"/>
          <w:color w:val="auto"/>
          <w:sz w:val="24"/>
          <w:highlight w:val="none"/>
        </w:rPr>
        <w:t>(CPU、内存、网络利用率)</w:t>
      </w:r>
      <w:r>
        <w:rPr>
          <w:rFonts w:hint="eastAsia" w:ascii="仿宋" w:hAnsi="仿宋" w:eastAsia="仿宋"/>
          <w:color w:val="auto"/>
          <w:sz w:val="24"/>
          <w:highlight w:val="none"/>
        </w:rPr>
        <w:t>。</w:t>
      </w:r>
      <w:r>
        <w:rPr>
          <w:rFonts w:ascii="仿宋" w:hAnsi="仿宋" w:eastAsia="仿宋"/>
          <w:color w:val="auto"/>
          <w:sz w:val="24"/>
          <w:highlight w:val="none"/>
        </w:rPr>
        <w:t>巡检过程中发现问题或风险，负责及时跟进解决。</w:t>
      </w:r>
      <w:r>
        <w:rPr>
          <w:rFonts w:hint="eastAsia" w:ascii="仿宋" w:hAnsi="仿宋" w:eastAsia="仿宋"/>
          <w:color w:val="auto"/>
          <w:sz w:val="24"/>
          <w:highlight w:val="none"/>
        </w:rPr>
        <w:t>（详见附件一）</w:t>
      </w:r>
    </w:p>
    <w:p w14:paraId="541EDB2E">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w:t>
      </w:r>
      <w:r>
        <w:rPr>
          <w:rFonts w:ascii="仿宋" w:hAnsi="仿宋" w:eastAsia="仿宋"/>
          <w:color w:val="auto"/>
          <w:sz w:val="24"/>
          <w:highlight w:val="none"/>
        </w:rPr>
        <w:t>2</w:t>
      </w:r>
      <w:r>
        <w:rPr>
          <w:rFonts w:hint="eastAsia" w:ascii="仿宋" w:hAnsi="仿宋" w:eastAsia="仿宋"/>
          <w:color w:val="auto"/>
          <w:sz w:val="24"/>
          <w:highlight w:val="none"/>
        </w:rPr>
        <w:t>台视频综合平台设备的日常巡检和维护。主要查看视频综合平台设备（B</w:t>
      </w:r>
      <w:r>
        <w:rPr>
          <w:rFonts w:ascii="仿宋" w:hAnsi="仿宋" w:eastAsia="仿宋"/>
          <w:color w:val="auto"/>
          <w:sz w:val="24"/>
          <w:highlight w:val="none"/>
        </w:rPr>
        <w:t>20</w:t>
      </w:r>
      <w:r>
        <w:rPr>
          <w:rFonts w:hint="eastAsia" w:ascii="仿宋" w:hAnsi="仿宋" w:eastAsia="仿宋"/>
          <w:color w:val="auto"/>
          <w:sz w:val="24"/>
          <w:highlight w:val="none"/>
        </w:rPr>
        <w:t>）输出到大屏图像显示是否正常，切换电视墙预案功能是否正常。（详见附件一）</w:t>
      </w:r>
    </w:p>
    <w:p w14:paraId="1300B342">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、1台解码设备的关键功能巡检维护。解码器主要供传输电视台、媒体直播等使用，图像显示是否正常，登陆是否正常。（详见附件一）</w:t>
      </w:r>
    </w:p>
    <w:p w14:paraId="6B93DFDA">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5</w:t>
      </w:r>
      <w:r>
        <w:rPr>
          <w:rFonts w:hint="eastAsia" w:ascii="仿宋" w:hAnsi="仿宋" w:eastAsia="仿宋"/>
          <w:color w:val="auto"/>
          <w:sz w:val="24"/>
          <w:highlight w:val="none"/>
        </w:rPr>
        <w:t>、处理系统使用中突发性问题，如为软件自身问题，及时联系后台开发人员处理；如果其他第三方厂家软硬件问题，协助协调第三方厂家解决。</w:t>
      </w:r>
    </w:p>
    <w:p w14:paraId="0FAFFC0E">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6</w:t>
      </w:r>
      <w:r>
        <w:rPr>
          <w:rFonts w:hint="eastAsia" w:ascii="仿宋" w:hAnsi="仿宋" w:eastAsia="仿宋"/>
          <w:color w:val="auto"/>
          <w:sz w:val="24"/>
          <w:highlight w:val="none"/>
        </w:rPr>
        <w:t>、中心数据定期更新、调整、数据备份（1次</w:t>
      </w:r>
      <w:r>
        <w:rPr>
          <w:rFonts w:ascii="仿宋" w:hAnsi="仿宋" w:eastAsia="仿宋"/>
          <w:color w:val="auto"/>
          <w:sz w:val="24"/>
          <w:highlight w:val="none"/>
        </w:rPr>
        <w:t>/</w:t>
      </w:r>
      <w:r>
        <w:rPr>
          <w:rFonts w:hint="eastAsia" w:ascii="仿宋" w:hAnsi="仿宋" w:eastAsia="仿宋"/>
          <w:color w:val="auto"/>
          <w:sz w:val="24"/>
          <w:highlight w:val="none"/>
        </w:rPr>
        <w:t>月）和数据恢复等运维，确保平台正常稳定运行。</w:t>
      </w:r>
    </w:p>
    <w:p w14:paraId="314AE1D1">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7</w:t>
      </w:r>
      <w:r>
        <w:rPr>
          <w:rFonts w:hint="eastAsia" w:ascii="仿宋" w:hAnsi="仿宋" w:eastAsia="仿宋"/>
          <w:color w:val="auto"/>
          <w:sz w:val="24"/>
          <w:highlight w:val="none"/>
        </w:rPr>
        <w:t>、平台软件的月度安全性检查和升级。</w:t>
      </w:r>
    </w:p>
    <w:p w14:paraId="5F29ED12">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8</w:t>
      </w:r>
      <w:r>
        <w:rPr>
          <w:rFonts w:hint="eastAsia" w:ascii="仿宋" w:hAnsi="仿宋" w:eastAsia="仿宋"/>
          <w:color w:val="auto"/>
          <w:sz w:val="24"/>
          <w:highlight w:val="none"/>
        </w:rPr>
        <w:t>、杭州交通系统所有视频平台的新增监控点管理和维护。</w:t>
      </w:r>
    </w:p>
    <w:p w14:paraId="2F3BA2F8">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9</w:t>
      </w:r>
      <w:r>
        <w:rPr>
          <w:rFonts w:hint="eastAsia" w:ascii="仿宋" w:hAnsi="仿宋" w:eastAsia="仿宋"/>
          <w:color w:val="auto"/>
          <w:sz w:val="24"/>
          <w:highlight w:val="none"/>
        </w:rPr>
        <w:t>、杭州交通系统所有视频平台的新增用户信息、分配角色、分配权限的管理和维护。</w:t>
      </w:r>
    </w:p>
    <w:p w14:paraId="2AD6D152">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0</w:t>
      </w:r>
      <w:r>
        <w:rPr>
          <w:rFonts w:hint="eastAsia" w:ascii="仿宋" w:hAnsi="仿宋" w:eastAsia="仿宋"/>
          <w:color w:val="auto"/>
          <w:sz w:val="24"/>
          <w:highlight w:val="none"/>
        </w:rPr>
        <w:t>、24个接入平台的对接维护，</w:t>
      </w:r>
      <w:r>
        <w:rPr>
          <w:rFonts w:ascii="仿宋" w:hAnsi="仿宋" w:eastAsia="仿宋"/>
          <w:color w:val="auto"/>
          <w:sz w:val="24"/>
          <w:highlight w:val="none"/>
        </w:rPr>
        <w:t>16</w:t>
      </w:r>
      <w:r>
        <w:rPr>
          <w:rFonts w:hint="eastAsia" w:ascii="仿宋" w:hAnsi="仿宋" w:eastAsia="仿宋"/>
          <w:color w:val="auto"/>
          <w:sz w:val="24"/>
          <w:highlight w:val="none"/>
        </w:rPr>
        <w:t>个共享到其他单位视频平台（数量以实际为准）的对接协助处理：包括高速公路视频、港航航道码头视频、运管运输场站视频、部分国省道视频、地铁场站及车载视频、长运客运班车视频、公安交警视频、地铁视频、火车东站东西广场视频、及省厅视频，同时共享给市政府、市公安局、执法大队、各区县市及省厅等部门。检查对接的视频平台是否在线，如不在线及时处理；检查对接视频平台的重点监控点的视频预览情况，如有问题及时处理；对接平台的监控点、资源等更新。（详见附件二）</w:t>
      </w:r>
    </w:p>
    <w:p w14:paraId="061C1729">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、交通运输局杭州交通系统视频综合平台与其他单位视频对接时，跟踪调研，提供对接方案，并做对接测试。</w:t>
      </w:r>
    </w:p>
    <w:p w14:paraId="6D6BDBAA">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、对上级单位检查、参观或演示进行服务保障。</w:t>
      </w:r>
    </w:p>
    <w:p w14:paraId="05975B51">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w:t>
      </w: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、协助处理平台对接的定制软件问题和升级；对接平台如有升级或更换服务器，需重新进行对接。</w:t>
      </w:r>
    </w:p>
    <w:p w14:paraId="73C84F74">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w:t>
      </w: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、若交通运输局或其他相关单位有视频业务新需求时，提供专业的相关技术文档及服务。</w:t>
      </w:r>
    </w:p>
    <w:p w14:paraId="70DEC981">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附件一</w:t>
      </w:r>
      <w:r>
        <w:rPr>
          <w:rFonts w:hint="eastAsia" w:ascii="仿宋" w:hAnsi="仿宋" w:eastAsia="仿宋"/>
          <w:color w:val="auto"/>
          <w:sz w:val="24"/>
          <w:highlight w:val="none"/>
        </w:rPr>
        <w:t>、</w:t>
      </w:r>
      <w:r>
        <w:rPr>
          <w:rFonts w:ascii="仿宋" w:hAnsi="仿宋" w:eastAsia="仿宋"/>
          <w:color w:val="auto"/>
          <w:sz w:val="24"/>
          <w:highlight w:val="none"/>
        </w:rPr>
        <w:t>软件维护涉及设备</w:t>
      </w:r>
      <w:r>
        <w:rPr>
          <w:rFonts w:hint="eastAsia" w:ascii="仿宋" w:hAnsi="仿宋" w:eastAsia="仿宋"/>
          <w:color w:val="auto"/>
          <w:sz w:val="24"/>
          <w:highlight w:val="none"/>
        </w:rPr>
        <w:t>清单（此清单不涉及硬件维修）</w:t>
      </w:r>
    </w:p>
    <w:tbl>
      <w:tblPr>
        <w:tblStyle w:val="17"/>
        <w:tblW w:w="4942" w:type="pct"/>
        <w:tblInd w:w="0" w:type="dxa"/>
        <w:shd w:val="clear" w:color="auto" w:fill="FFFFFF"/>
        <w:tblLayout w:type="fixed"/>
        <w:tblCellMar>
          <w:top w:w="0" w:type="dxa"/>
          <w:left w:w="108" w:type="dxa"/>
          <w:bottom w:w="0" w:type="dxa"/>
          <w:right w:w="108" w:type="dxa"/>
        </w:tblCellMar>
      </w:tblPr>
      <w:tblGrid>
        <w:gridCol w:w="487"/>
        <w:gridCol w:w="1227"/>
        <w:gridCol w:w="2800"/>
        <w:gridCol w:w="1629"/>
        <w:gridCol w:w="1808"/>
        <w:gridCol w:w="1812"/>
      </w:tblGrid>
      <w:tr w14:paraId="395F6D67">
        <w:tblPrEx>
          <w:tblCellMar>
            <w:top w:w="0" w:type="dxa"/>
            <w:left w:w="108" w:type="dxa"/>
            <w:bottom w:w="0" w:type="dxa"/>
            <w:right w:w="108" w:type="dxa"/>
          </w:tblCellMar>
        </w:tblPrEx>
        <w:trPr>
          <w:trHeight w:val="599" w:hRule="atLeast"/>
        </w:trPr>
        <w:tc>
          <w:tcPr>
            <w:tcW w:w="25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4F7371">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序号</w:t>
            </w:r>
          </w:p>
        </w:tc>
        <w:tc>
          <w:tcPr>
            <w:tcW w:w="629" w:type="pct"/>
            <w:tcBorders>
              <w:top w:val="single" w:color="auto" w:sz="4" w:space="0"/>
              <w:left w:val="nil"/>
              <w:bottom w:val="single" w:color="auto" w:sz="4" w:space="0"/>
              <w:right w:val="single" w:color="auto" w:sz="4" w:space="0"/>
            </w:tcBorders>
            <w:shd w:val="clear" w:color="auto" w:fill="FFFFFF"/>
            <w:noWrap/>
            <w:vAlign w:val="center"/>
          </w:tcPr>
          <w:p w14:paraId="02E414B1">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设备名称</w:t>
            </w:r>
          </w:p>
        </w:tc>
        <w:tc>
          <w:tcPr>
            <w:tcW w:w="1433" w:type="pct"/>
            <w:tcBorders>
              <w:top w:val="single" w:color="auto" w:sz="4" w:space="0"/>
              <w:left w:val="nil"/>
              <w:bottom w:val="single" w:color="auto" w:sz="4" w:space="0"/>
              <w:right w:val="single" w:color="auto" w:sz="4" w:space="0"/>
            </w:tcBorders>
            <w:shd w:val="clear" w:color="auto" w:fill="FFFFFF"/>
            <w:noWrap/>
            <w:vAlign w:val="center"/>
          </w:tcPr>
          <w:p w14:paraId="1623E6D1">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配置信息</w:t>
            </w:r>
          </w:p>
        </w:tc>
        <w:tc>
          <w:tcPr>
            <w:tcW w:w="833" w:type="pct"/>
            <w:tcBorders>
              <w:top w:val="single" w:color="auto" w:sz="4" w:space="0"/>
              <w:left w:val="nil"/>
              <w:bottom w:val="single" w:color="auto" w:sz="4" w:space="0"/>
              <w:right w:val="single" w:color="auto" w:sz="4" w:space="0"/>
            </w:tcBorders>
            <w:shd w:val="clear" w:color="auto" w:fill="FFFFFF"/>
            <w:noWrap/>
            <w:vAlign w:val="center"/>
          </w:tcPr>
          <w:p w14:paraId="6B6D65B1">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用途</w:t>
            </w:r>
          </w:p>
        </w:tc>
        <w:tc>
          <w:tcPr>
            <w:tcW w:w="925" w:type="pct"/>
            <w:tcBorders>
              <w:top w:val="single" w:color="auto" w:sz="4" w:space="0"/>
              <w:left w:val="nil"/>
              <w:bottom w:val="single" w:color="auto" w:sz="4" w:space="0"/>
              <w:right w:val="single" w:color="auto" w:sz="4" w:space="0"/>
            </w:tcBorders>
            <w:shd w:val="clear" w:color="auto" w:fill="FFFFFF"/>
            <w:noWrap/>
            <w:vAlign w:val="center"/>
          </w:tcPr>
          <w:p w14:paraId="00700DFF">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巡检内容</w:t>
            </w:r>
          </w:p>
        </w:tc>
        <w:tc>
          <w:tcPr>
            <w:tcW w:w="926" w:type="pct"/>
            <w:tcBorders>
              <w:top w:val="single" w:color="auto" w:sz="4" w:space="0"/>
              <w:left w:val="nil"/>
              <w:bottom w:val="single" w:color="auto" w:sz="4" w:space="0"/>
              <w:right w:val="single" w:color="auto" w:sz="4" w:space="0"/>
            </w:tcBorders>
            <w:shd w:val="clear" w:color="auto" w:fill="FFFFFF"/>
            <w:vAlign w:val="center"/>
          </w:tcPr>
          <w:p w14:paraId="07481BC7">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数量</w:t>
            </w:r>
          </w:p>
        </w:tc>
      </w:tr>
      <w:tr w14:paraId="179E484F">
        <w:tblPrEx>
          <w:tblCellMar>
            <w:top w:w="0" w:type="dxa"/>
            <w:left w:w="108" w:type="dxa"/>
            <w:bottom w:w="0" w:type="dxa"/>
            <w:right w:w="108" w:type="dxa"/>
          </w:tblCellMar>
        </w:tblPrEx>
        <w:trPr>
          <w:trHeight w:val="2369" w:hRule="atLeast"/>
        </w:trPr>
        <w:tc>
          <w:tcPr>
            <w:tcW w:w="25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11D2AA0">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629" w:type="pct"/>
            <w:tcBorders>
              <w:top w:val="single" w:color="auto" w:sz="4" w:space="0"/>
              <w:left w:val="nil"/>
              <w:bottom w:val="single" w:color="auto" w:sz="4" w:space="0"/>
              <w:right w:val="single" w:color="auto" w:sz="4" w:space="0"/>
            </w:tcBorders>
            <w:shd w:val="clear" w:color="auto" w:fill="FFFFFF"/>
            <w:noWrap/>
            <w:vAlign w:val="center"/>
          </w:tcPr>
          <w:p w14:paraId="59AB0081">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服务器（杭州交通系统视频综合平台）</w:t>
            </w:r>
          </w:p>
        </w:tc>
        <w:tc>
          <w:tcPr>
            <w:tcW w:w="1433" w:type="pct"/>
            <w:tcBorders>
              <w:top w:val="single" w:color="auto" w:sz="4" w:space="0"/>
              <w:left w:val="nil"/>
              <w:bottom w:val="single" w:color="auto" w:sz="4" w:space="0"/>
              <w:right w:val="single" w:color="auto" w:sz="4" w:space="0"/>
            </w:tcBorders>
            <w:shd w:val="clear" w:color="auto" w:fill="FFFFFF"/>
            <w:noWrap/>
            <w:vAlign w:val="center"/>
          </w:tcPr>
          <w:p w14:paraId="329FDEAD">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HG7169(24核2.2GHz)×1/64G</w:t>
            </w:r>
          </w:p>
          <w:p w14:paraId="700A826C">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DDR4/600G 10K SAS×4(RAID_10)/SAS_HBA/1GbE×2/550W(1+1)/2U/16DIMM</w:t>
            </w:r>
          </w:p>
        </w:tc>
        <w:tc>
          <w:tcPr>
            <w:tcW w:w="833" w:type="pct"/>
            <w:tcBorders>
              <w:top w:val="single" w:color="auto" w:sz="4" w:space="0"/>
              <w:left w:val="nil"/>
              <w:bottom w:val="single" w:color="auto" w:sz="4" w:space="0"/>
              <w:right w:val="single" w:color="auto" w:sz="4" w:space="0"/>
            </w:tcBorders>
            <w:shd w:val="clear" w:color="auto" w:fill="FFFFFF"/>
            <w:noWrap/>
            <w:vAlign w:val="center"/>
          </w:tcPr>
          <w:p w14:paraId="7A8C6666">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视频汇聚平台</w:t>
            </w:r>
          </w:p>
        </w:tc>
        <w:tc>
          <w:tcPr>
            <w:tcW w:w="925" w:type="pct"/>
            <w:tcBorders>
              <w:top w:val="single" w:color="auto" w:sz="4" w:space="0"/>
              <w:left w:val="nil"/>
              <w:bottom w:val="single" w:color="auto" w:sz="4" w:space="0"/>
              <w:right w:val="single" w:color="auto" w:sz="4" w:space="0"/>
            </w:tcBorders>
            <w:shd w:val="clear" w:color="auto" w:fill="FFFFFF"/>
            <w:noWrap/>
            <w:vAlign w:val="center"/>
          </w:tcPr>
          <w:p w14:paraId="1620B945">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 xml:space="preserve">1.CPU、内存、磁盘使用情况 </w:t>
            </w:r>
            <w:r>
              <w:rPr>
                <w:rFonts w:ascii="仿宋" w:hAnsi="仿宋" w:eastAsia="仿宋" w:cs="宋体"/>
                <w:color w:val="auto"/>
                <w:kern w:val="0"/>
                <w:sz w:val="24"/>
                <w:highlight w:val="none"/>
              </w:rPr>
              <w:t xml:space="preserve">                      2.</w:t>
            </w:r>
            <w:r>
              <w:rPr>
                <w:rFonts w:hint="eastAsia" w:ascii="仿宋" w:hAnsi="仿宋" w:eastAsia="仿宋" w:cs="宋体"/>
                <w:color w:val="auto"/>
                <w:kern w:val="0"/>
                <w:sz w:val="24"/>
                <w:highlight w:val="none"/>
              </w:rPr>
              <w:t>服务是否正常运行</w:t>
            </w:r>
          </w:p>
        </w:tc>
        <w:tc>
          <w:tcPr>
            <w:tcW w:w="926" w:type="pct"/>
            <w:tcBorders>
              <w:top w:val="single" w:color="auto" w:sz="4" w:space="0"/>
              <w:left w:val="nil"/>
              <w:bottom w:val="single" w:color="auto" w:sz="4" w:space="0"/>
              <w:right w:val="single" w:color="auto" w:sz="4" w:space="0"/>
            </w:tcBorders>
            <w:shd w:val="clear" w:color="auto" w:fill="FFFFFF"/>
            <w:vAlign w:val="center"/>
          </w:tcPr>
          <w:p w14:paraId="71860BB9">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5</w:t>
            </w:r>
          </w:p>
        </w:tc>
      </w:tr>
      <w:tr w14:paraId="234A907B">
        <w:tblPrEx>
          <w:tblCellMar>
            <w:top w:w="0" w:type="dxa"/>
            <w:left w:w="108" w:type="dxa"/>
            <w:bottom w:w="0" w:type="dxa"/>
            <w:right w:w="108" w:type="dxa"/>
          </w:tblCellMar>
        </w:tblPrEx>
        <w:trPr>
          <w:trHeight w:val="1779" w:hRule="atLeast"/>
        </w:trPr>
        <w:tc>
          <w:tcPr>
            <w:tcW w:w="250" w:type="pct"/>
            <w:tcBorders>
              <w:top w:val="nil"/>
              <w:left w:val="single" w:color="auto" w:sz="4" w:space="0"/>
              <w:bottom w:val="single" w:color="auto" w:sz="4" w:space="0"/>
              <w:right w:val="single" w:color="auto" w:sz="4" w:space="0"/>
            </w:tcBorders>
            <w:shd w:val="clear" w:color="auto" w:fill="FFFFFF"/>
            <w:noWrap/>
            <w:vAlign w:val="center"/>
          </w:tcPr>
          <w:p w14:paraId="6396AC14">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2</w:t>
            </w:r>
          </w:p>
        </w:tc>
        <w:tc>
          <w:tcPr>
            <w:tcW w:w="629" w:type="pct"/>
            <w:tcBorders>
              <w:top w:val="nil"/>
              <w:left w:val="nil"/>
              <w:bottom w:val="single" w:color="auto" w:sz="4" w:space="0"/>
              <w:right w:val="single" w:color="auto" w:sz="4" w:space="0"/>
            </w:tcBorders>
            <w:shd w:val="clear" w:color="auto" w:fill="FFFFFF"/>
            <w:vAlign w:val="center"/>
          </w:tcPr>
          <w:p w14:paraId="27FC2005">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级联服务器 四（78）</w:t>
            </w:r>
          </w:p>
        </w:tc>
        <w:tc>
          <w:tcPr>
            <w:tcW w:w="1433" w:type="pct"/>
            <w:tcBorders>
              <w:top w:val="nil"/>
              <w:left w:val="nil"/>
              <w:bottom w:val="single" w:color="auto" w:sz="4" w:space="0"/>
              <w:right w:val="single" w:color="auto" w:sz="4" w:space="0"/>
            </w:tcBorders>
            <w:shd w:val="clear" w:color="auto" w:fill="FFFFFF"/>
            <w:vAlign w:val="center"/>
          </w:tcPr>
          <w:p w14:paraId="75BC39B7">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X86 板卡/ncg定制win7系统/500G/8G内存</w:t>
            </w:r>
          </w:p>
        </w:tc>
        <w:tc>
          <w:tcPr>
            <w:tcW w:w="833" w:type="pct"/>
            <w:tcBorders>
              <w:top w:val="nil"/>
              <w:left w:val="nil"/>
              <w:bottom w:val="single" w:color="auto" w:sz="4" w:space="0"/>
              <w:right w:val="single" w:color="auto" w:sz="4" w:space="0"/>
            </w:tcBorders>
            <w:shd w:val="clear" w:color="auto" w:fill="FFFFFF"/>
            <w:vAlign w:val="center"/>
          </w:tcPr>
          <w:p w14:paraId="5A43C81D">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联网网关对接西复线等高速视频</w:t>
            </w:r>
          </w:p>
        </w:tc>
        <w:tc>
          <w:tcPr>
            <w:tcW w:w="925" w:type="pct"/>
            <w:tcBorders>
              <w:top w:val="nil"/>
              <w:left w:val="nil"/>
              <w:bottom w:val="single" w:color="auto" w:sz="4" w:space="0"/>
              <w:right w:val="single" w:color="auto" w:sz="4" w:space="0"/>
            </w:tcBorders>
            <w:shd w:val="clear" w:color="auto" w:fill="FFFFFF"/>
            <w:vAlign w:val="center"/>
          </w:tcPr>
          <w:p w14:paraId="56A3A8AA">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1.CPU、内存、磁盘使用情况</w:t>
            </w:r>
          </w:p>
        </w:tc>
        <w:tc>
          <w:tcPr>
            <w:tcW w:w="926" w:type="pct"/>
            <w:tcBorders>
              <w:top w:val="nil"/>
              <w:left w:val="nil"/>
              <w:bottom w:val="single" w:color="auto" w:sz="4" w:space="0"/>
              <w:right w:val="single" w:color="auto" w:sz="4" w:space="0"/>
            </w:tcBorders>
            <w:shd w:val="clear" w:color="auto" w:fill="FFFFFF"/>
            <w:vAlign w:val="center"/>
          </w:tcPr>
          <w:p w14:paraId="3175C744">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2.cascade/media 运行正常                                    3.联网网关登陆是否正常</w:t>
            </w:r>
          </w:p>
        </w:tc>
      </w:tr>
      <w:tr w14:paraId="7572A34A">
        <w:tblPrEx>
          <w:tblCellMar>
            <w:top w:w="0" w:type="dxa"/>
            <w:left w:w="108" w:type="dxa"/>
            <w:bottom w:w="0" w:type="dxa"/>
            <w:right w:w="108" w:type="dxa"/>
          </w:tblCellMar>
        </w:tblPrEx>
        <w:trPr>
          <w:trHeight w:val="1779" w:hRule="atLeast"/>
        </w:trPr>
        <w:tc>
          <w:tcPr>
            <w:tcW w:w="250" w:type="pct"/>
            <w:tcBorders>
              <w:top w:val="nil"/>
              <w:left w:val="single" w:color="auto" w:sz="4" w:space="0"/>
              <w:bottom w:val="single" w:color="auto" w:sz="4" w:space="0"/>
              <w:right w:val="single" w:color="auto" w:sz="4" w:space="0"/>
            </w:tcBorders>
            <w:shd w:val="clear" w:color="auto" w:fill="FFFFFF"/>
            <w:noWrap/>
            <w:vAlign w:val="center"/>
          </w:tcPr>
          <w:p w14:paraId="2581C63D">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3</w:t>
            </w:r>
          </w:p>
        </w:tc>
        <w:tc>
          <w:tcPr>
            <w:tcW w:w="629" w:type="pct"/>
            <w:tcBorders>
              <w:top w:val="nil"/>
              <w:left w:val="nil"/>
              <w:bottom w:val="single" w:color="auto" w:sz="4" w:space="0"/>
              <w:right w:val="single" w:color="auto" w:sz="4" w:space="0"/>
            </w:tcBorders>
            <w:shd w:val="clear" w:color="auto" w:fill="FFFFFF"/>
            <w:vAlign w:val="center"/>
          </w:tcPr>
          <w:p w14:paraId="6BD8449E">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存储服务器（102）</w:t>
            </w:r>
          </w:p>
        </w:tc>
        <w:tc>
          <w:tcPr>
            <w:tcW w:w="1433" w:type="pct"/>
            <w:tcBorders>
              <w:top w:val="nil"/>
              <w:left w:val="nil"/>
              <w:bottom w:val="single" w:color="auto" w:sz="4" w:space="0"/>
              <w:right w:val="single" w:color="auto" w:sz="4" w:space="0"/>
            </w:tcBorders>
            <w:shd w:val="clear" w:color="auto" w:fill="FFFFFF"/>
            <w:vAlign w:val="center"/>
          </w:tcPr>
          <w:p w14:paraId="36AB6DF2">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windows server 2008R2 64位操作系统/8G内存/12T/处理器Intel Xeon CPU 10核</w:t>
            </w:r>
          </w:p>
        </w:tc>
        <w:tc>
          <w:tcPr>
            <w:tcW w:w="833" w:type="pct"/>
            <w:tcBorders>
              <w:top w:val="nil"/>
              <w:left w:val="nil"/>
              <w:bottom w:val="single" w:color="auto" w:sz="4" w:space="0"/>
              <w:right w:val="single" w:color="auto" w:sz="4" w:space="0"/>
            </w:tcBorders>
            <w:shd w:val="clear" w:color="auto" w:fill="FFFFFF"/>
            <w:vAlign w:val="center"/>
          </w:tcPr>
          <w:p w14:paraId="69B21B3B">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交通大楼录像存储</w:t>
            </w:r>
          </w:p>
        </w:tc>
        <w:tc>
          <w:tcPr>
            <w:tcW w:w="925" w:type="pct"/>
            <w:tcBorders>
              <w:top w:val="nil"/>
              <w:left w:val="nil"/>
              <w:bottom w:val="single" w:color="auto" w:sz="4" w:space="0"/>
              <w:right w:val="single" w:color="auto" w:sz="4" w:space="0"/>
            </w:tcBorders>
            <w:shd w:val="clear" w:color="auto" w:fill="FFFFFF"/>
            <w:vAlign w:val="center"/>
          </w:tcPr>
          <w:p w14:paraId="49221E22">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1.CPU、内存、磁盘使用情况</w:t>
            </w:r>
          </w:p>
        </w:tc>
        <w:tc>
          <w:tcPr>
            <w:tcW w:w="926" w:type="pct"/>
            <w:tcBorders>
              <w:top w:val="nil"/>
              <w:left w:val="nil"/>
              <w:bottom w:val="single" w:color="auto" w:sz="4" w:space="0"/>
              <w:right w:val="single" w:color="auto" w:sz="4" w:space="0"/>
            </w:tcBorders>
            <w:shd w:val="clear" w:color="auto" w:fill="FFFFFF"/>
            <w:vAlign w:val="center"/>
          </w:tcPr>
          <w:p w14:paraId="719629C8">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2.硬盘存储                                                           3.实时预览和录像回放情况</w:t>
            </w:r>
          </w:p>
        </w:tc>
      </w:tr>
      <w:tr w14:paraId="37266C36">
        <w:tblPrEx>
          <w:tblCellMar>
            <w:top w:w="0" w:type="dxa"/>
            <w:left w:w="108" w:type="dxa"/>
            <w:bottom w:w="0" w:type="dxa"/>
            <w:right w:w="108" w:type="dxa"/>
          </w:tblCellMar>
        </w:tblPrEx>
        <w:trPr>
          <w:trHeight w:val="1484" w:hRule="atLeast"/>
        </w:trPr>
        <w:tc>
          <w:tcPr>
            <w:tcW w:w="250" w:type="pct"/>
            <w:tcBorders>
              <w:top w:val="nil"/>
              <w:left w:val="single" w:color="auto" w:sz="4" w:space="0"/>
              <w:bottom w:val="single" w:color="auto" w:sz="4" w:space="0"/>
              <w:right w:val="single" w:color="auto" w:sz="4" w:space="0"/>
            </w:tcBorders>
            <w:shd w:val="clear" w:color="auto" w:fill="FFFFFF"/>
            <w:noWrap/>
            <w:vAlign w:val="center"/>
          </w:tcPr>
          <w:p w14:paraId="5456B154">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4</w:t>
            </w:r>
          </w:p>
        </w:tc>
        <w:tc>
          <w:tcPr>
            <w:tcW w:w="629" w:type="pct"/>
            <w:tcBorders>
              <w:top w:val="nil"/>
              <w:left w:val="nil"/>
              <w:bottom w:val="single" w:color="auto" w:sz="4" w:space="0"/>
              <w:right w:val="single" w:color="auto" w:sz="4" w:space="0"/>
            </w:tcBorders>
            <w:shd w:val="clear" w:color="auto" w:fill="FFFFFF"/>
            <w:vAlign w:val="center"/>
          </w:tcPr>
          <w:p w14:paraId="713A2922">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B20视频综合平台（2楼)</w:t>
            </w:r>
          </w:p>
        </w:tc>
        <w:tc>
          <w:tcPr>
            <w:tcW w:w="1433" w:type="pct"/>
            <w:tcBorders>
              <w:top w:val="nil"/>
              <w:left w:val="nil"/>
              <w:bottom w:val="single" w:color="auto" w:sz="4" w:space="0"/>
              <w:right w:val="single" w:color="auto" w:sz="4" w:space="0"/>
            </w:tcBorders>
            <w:shd w:val="clear" w:color="auto" w:fill="FFFFFF"/>
            <w:vAlign w:val="center"/>
          </w:tcPr>
          <w:p w14:paraId="75BAC1E7">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69板卡</w:t>
            </w:r>
          </w:p>
        </w:tc>
        <w:tc>
          <w:tcPr>
            <w:tcW w:w="833" w:type="pct"/>
            <w:tcBorders>
              <w:top w:val="nil"/>
              <w:left w:val="nil"/>
              <w:bottom w:val="single" w:color="auto" w:sz="4" w:space="0"/>
              <w:right w:val="single" w:color="auto" w:sz="4" w:space="0"/>
            </w:tcBorders>
            <w:shd w:val="clear" w:color="auto" w:fill="FFFFFF"/>
            <w:vAlign w:val="center"/>
          </w:tcPr>
          <w:p w14:paraId="69675878">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1块主控板、1块编码板、1块解码板</w:t>
            </w:r>
          </w:p>
        </w:tc>
        <w:tc>
          <w:tcPr>
            <w:tcW w:w="1852" w:type="pct"/>
            <w:gridSpan w:val="2"/>
            <w:tcBorders>
              <w:top w:val="nil"/>
              <w:left w:val="nil"/>
              <w:bottom w:val="single" w:color="auto" w:sz="4" w:space="0"/>
              <w:right w:val="single" w:color="auto" w:sz="4" w:space="0"/>
            </w:tcBorders>
            <w:shd w:val="clear" w:color="auto" w:fill="FFFFFF"/>
            <w:vAlign w:val="center"/>
          </w:tcPr>
          <w:p w14:paraId="664C0919">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大屏显示情况</w:t>
            </w:r>
          </w:p>
        </w:tc>
      </w:tr>
      <w:tr w14:paraId="5BF86FC8">
        <w:tblPrEx>
          <w:tblCellMar>
            <w:top w:w="0" w:type="dxa"/>
            <w:left w:w="108" w:type="dxa"/>
            <w:bottom w:w="0" w:type="dxa"/>
            <w:right w:w="108" w:type="dxa"/>
          </w:tblCellMar>
        </w:tblPrEx>
        <w:trPr>
          <w:trHeight w:val="894" w:hRule="atLeast"/>
        </w:trPr>
        <w:tc>
          <w:tcPr>
            <w:tcW w:w="250" w:type="pct"/>
            <w:tcBorders>
              <w:top w:val="nil"/>
              <w:left w:val="single" w:color="auto" w:sz="4" w:space="0"/>
              <w:bottom w:val="single" w:color="auto" w:sz="4" w:space="0"/>
              <w:right w:val="single" w:color="auto" w:sz="4" w:space="0"/>
            </w:tcBorders>
            <w:shd w:val="clear" w:color="auto" w:fill="FFFFFF"/>
            <w:noWrap/>
            <w:vAlign w:val="center"/>
          </w:tcPr>
          <w:p w14:paraId="78A41462">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5</w:t>
            </w:r>
          </w:p>
        </w:tc>
        <w:tc>
          <w:tcPr>
            <w:tcW w:w="629" w:type="pct"/>
            <w:tcBorders>
              <w:top w:val="nil"/>
              <w:left w:val="nil"/>
              <w:bottom w:val="single" w:color="auto" w:sz="4" w:space="0"/>
              <w:right w:val="single" w:color="auto" w:sz="4" w:space="0"/>
            </w:tcBorders>
            <w:shd w:val="clear" w:color="auto" w:fill="FFFFFF"/>
            <w:noWrap/>
            <w:vAlign w:val="center"/>
          </w:tcPr>
          <w:p w14:paraId="43311398">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2楼LED大屏</w:t>
            </w:r>
          </w:p>
        </w:tc>
        <w:tc>
          <w:tcPr>
            <w:tcW w:w="1433" w:type="pct"/>
            <w:tcBorders>
              <w:top w:val="nil"/>
              <w:left w:val="nil"/>
              <w:bottom w:val="single" w:color="auto" w:sz="4" w:space="0"/>
              <w:right w:val="single" w:color="auto" w:sz="4" w:space="0"/>
            </w:tcBorders>
            <w:shd w:val="clear" w:color="auto" w:fill="FFFFFF"/>
            <w:noWrap/>
            <w:vAlign w:val="center"/>
          </w:tcPr>
          <w:p w14:paraId="5E3D96EF">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海康威视DS-D4012FI-EW</w:t>
            </w:r>
          </w:p>
        </w:tc>
        <w:tc>
          <w:tcPr>
            <w:tcW w:w="833" w:type="pct"/>
            <w:tcBorders>
              <w:top w:val="nil"/>
              <w:left w:val="nil"/>
              <w:bottom w:val="single" w:color="auto" w:sz="4" w:space="0"/>
              <w:right w:val="single" w:color="auto" w:sz="4" w:space="0"/>
            </w:tcBorders>
            <w:shd w:val="clear" w:color="auto" w:fill="FFFFFF"/>
            <w:noWrap/>
            <w:vAlign w:val="center"/>
          </w:tcPr>
          <w:p w14:paraId="5C5D2A18">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大屏</w:t>
            </w:r>
          </w:p>
        </w:tc>
        <w:tc>
          <w:tcPr>
            <w:tcW w:w="1852" w:type="pct"/>
            <w:gridSpan w:val="2"/>
            <w:tcBorders>
              <w:top w:val="nil"/>
              <w:left w:val="nil"/>
              <w:bottom w:val="single" w:color="auto" w:sz="4" w:space="0"/>
              <w:right w:val="single" w:color="auto" w:sz="4" w:space="0"/>
            </w:tcBorders>
            <w:shd w:val="clear" w:color="auto" w:fill="FFFFFF"/>
            <w:vAlign w:val="center"/>
          </w:tcPr>
          <w:p w14:paraId="233C85B4">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大屏显示情况</w:t>
            </w:r>
          </w:p>
        </w:tc>
      </w:tr>
      <w:tr w14:paraId="76B48EF1">
        <w:tblPrEx>
          <w:tblCellMar>
            <w:top w:w="0" w:type="dxa"/>
            <w:left w:w="108" w:type="dxa"/>
            <w:bottom w:w="0" w:type="dxa"/>
            <w:right w:w="108" w:type="dxa"/>
          </w:tblCellMar>
        </w:tblPrEx>
        <w:trPr>
          <w:trHeight w:val="1779" w:hRule="atLeast"/>
        </w:trPr>
        <w:tc>
          <w:tcPr>
            <w:tcW w:w="250" w:type="pct"/>
            <w:tcBorders>
              <w:top w:val="nil"/>
              <w:left w:val="single" w:color="auto" w:sz="4" w:space="0"/>
              <w:bottom w:val="single" w:color="auto" w:sz="4" w:space="0"/>
              <w:right w:val="single" w:color="auto" w:sz="4" w:space="0"/>
            </w:tcBorders>
            <w:shd w:val="clear" w:color="auto" w:fill="FFFFFF"/>
            <w:noWrap/>
            <w:vAlign w:val="center"/>
          </w:tcPr>
          <w:p w14:paraId="7E94EB38">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6</w:t>
            </w:r>
          </w:p>
        </w:tc>
        <w:tc>
          <w:tcPr>
            <w:tcW w:w="629" w:type="pct"/>
            <w:tcBorders>
              <w:top w:val="nil"/>
              <w:left w:val="nil"/>
              <w:bottom w:val="single" w:color="auto" w:sz="4" w:space="0"/>
              <w:right w:val="single" w:color="auto" w:sz="4" w:space="0"/>
            </w:tcBorders>
            <w:shd w:val="clear" w:color="auto" w:fill="FFFFFF"/>
            <w:noWrap/>
            <w:vAlign w:val="center"/>
          </w:tcPr>
          <w:p w14:paraId="23F8CBE7">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LED全彩显示屏控制器(发送卡）</w:t>
            </w:r>
          </w:p>
        </w:tc>
        <w:tc>
          <w:tcPr>
            <w:tcW w:w="1433" w:type="pct"/>
            <w:tcBorders>
              <w:top w:val="nil"/>
              <w:left w:val="nil"/>
              <w:bottom w:val="single" w:color="auto" w:sz="4" w:space="0"/>
              <w:right w:val="single" w:color="auto" w:sz="4" w:space="0"/>
            </w:tcBorders>
            <w:shd w:val="clear" w:color="auto" w:fill="FFFFFF"/>
            <w:noWrap/>
            <w:vAlign w:val="center"/>
          </w:tcPr>
          <w:p w14:paraId="113B3DF2">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海康威视DS-D40C02</w:t>
            </w:r>
          </w:p>
        </w:tc>
        <w:tc>
          <w:tcPr>
            <w:tcW w:w="833" w:type="pct"/>
            <w:tcBorders>
              <w:top w:val="nil"/>
              <w:left w:val="nil"/>
              <w:bottom w:val="single" w:color="auto" w:sz="4" w:space="0"/>
              <w:right w:val="single" w:color="auto" w:sz="4" w:space="0"/>
            </w:tcBorders>
            <w:shd w:val="clear" w:color="auto" w:fill="FFFFFF"/>
            <w:noWrap/>
            <w:vAlign w:val="center"/>
          </w:tcPr>
          <w:p w14:paraId="165BF945">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发送卡</w:t>
            </w:r>
          </w:p>
        </w:tc>
        <w:tc>
          <w:tcPr>
            <w:tcW w:w="1852" w:type="pct"/>
            <w:gridSpan w:val="2"/>
            <w:tcBorders>
              <w:top w:val="nil"/>
              <w:left w:val="nil"/>
              <w:bottom w:val="single" w:color="auto" w:sz="4" w:space="0"/>
              <w:right w:val="single" w:color="auto" w:sz="4" w:space="0"/>
            </w:tcBorders>
            <w:shd w:val="clear" w:color="auto" w:fill="FFFFFF"/>
            <w:vAlign w:val="center"/>
          </w:tcPr>
          <w:p w14:paraId="2C858983">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大屏显示情况</w:t>
            </w:r>
          </w:p>
        </w:tc>
      </w:tr>
      <w:tr w14:paraId="6E046259">
        <w:tblPrEx>
          <w:tblCellMar>
            <w:top w:w="0" w:type="dxa"/>
            <w:left w:w="108" w:type="dxa"/>
            <w:bottom w:w="0" w:type="dxa"/>
            <w:right w:w="108" w:type="dxa"/>
          </w:tblCellMar>
        </w:tblPrEx>
        <w:trPr>
          <w:trHeight w:val="599" w:hRule="atLeast"/>
        </w:trPr>
        <w:tc>
          <w:tcPr>
            <w:tcW w:w="250" w:type="pct"/>
            <w:vMerge w:val="restart"/>
            <w:tcBorders>
              <w:top w:val="nil"/>
              <w:left w:val="single" w:color="auto" w:sz="4" w:space="0"/>
              <w:bottom w:val="single" w:color="000000" w:sz="4" w:space="0"/>
              <w:right w:val="single" w:color="auto" w:sz="4" w:space="0"/>
            </w:tcBorders>
            <w:shd w:val="clear" w:color="auto" w:fill="FFFFFF"/>
            <w:noWrap/>
            <w:vAlign w:val="center"/>
          </w:tcPr>
          <w:p w14:paraId="036E904E">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7</w:t>
            </w:r>
          </w:p>
        </w:tc>
        <w:tc>
          <w:tcPr>
            <w:tcW w:w="629" w:type="pct"/>
            <w:vMerge w:val="restart"/>
            <w:tcBorders>
              <w:top w:val="nil"/>
              <w:left w:val="single" w:color="auto" w:sz="4" w:space="0"/>
              <w:bottom w:val="single" w:color="000000" w:sz="4" w:space="0"/>
              <w:right w:val="single" w:color="auto" w:sz="4" w:space="0"/>
            </w:tcBorders>
            <w:shd w:val="clear" w:color="auto" w:fill="FFFFFF"/>
            <w:noWrap/>
            <w:vAlign w:val="center"/>
          </w:tcPr>
          <w:p w14:paraId="10E96F18">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B20视频综合平台（1楼）</w:t>
            </w:r>
          </w:p>
        </w:tc>
        <w:tc>
          <w:tcPr>
            <w:tcW w:w="1433" w:type="pct"/>
            <w:tcBorders>
              <w:top w:val="nil"/>
              <w:left w:val="nil"/>
              <w:bottom w:val="single" w:color="auto" w:sz="4" w:space="0"/>
              <w:right w:val="single" w:color="auto" w:sz="4" w:space="0"/>
            </w:tcBorders>
            <w:shd w:val="clear" w:color="auto" w:fill="FFFFFF"/>
            <w:noWrap/>
            <w:vAlign w:val="center"/>
          </w:tcPr>
          <w:p w14:paraId="687003CC">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海康威视DS-B20-MCU-NP</w:t>
            </w:r>
          </w:p>
        </w:tc>
        <w:tc>
          <w:tcPr>
            <w:tcW w:w="833" w:type="pct"/>
            <w:tcBorders>
              <w:top w:val="nil"/>
              <w:left w:val="nil"/>
              <w:bottom w:val="single" w:color="auto" w:sz="4" w:space="0"/>
              <w:right w:val="single" w:color="auto" w:sz="4" w:space="0"/>
            </w:tcBorders>
            <w:shd w:val="clear" w:color="auto" w:fill="FFFFFF"/>
            <w:noWrap/>
            <w:vAlign w:val="center"/>
          </w:tcPr>
          <w:p w14:paraId="29DB84CD">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1块主控板</w:t>
            </w:r>
          </w:p>
        </w:tc>
        <w:tc>
          <w:tcPr>
            <w:tcW w:w="1852" w:type="pct"/>
            <w:gridSpan w:val="2"/>
            <w:vMerge w:val="restart"/>
            <w:tcBorders>
              <w:top w:val="nil"/>
              <w:left w:val="single" w:color="auto" w:sz="4" w:space="0"/>
              <w:bottom w:val="single" w:color="000000" w:sz="4" w:space="0"/>
              <w:right w:val="single" w:color="auto" w:sz="4" w:space="0"/>
            </w:tcBorders>
            <w:shd w:val="clear" w:color="auto" w:fill="FFFFFF"/>
            <w:noWrap/>
            <w:vAlign w:val="center"/>
          </w:tcPr>
          <w:p w14:paraId="40F77838">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大屏显示和编码设备输入</w:t>
            </w:r>
          </w:p>
        </w:tc>
      </w:tr>
      <w:tr w14:paraId="291658CE">
        <w:tblPrEx>
          <w:tblCellMar>
            <w:top w:w="0" w:type="dxa"/>
            <w:left w:w="108" w:type="dxa"/>
            <w:bottom w:w="0" w:type="dxa"/>
            <w:right w:w="108" w:type="dxa"/>
          </w:tblCellMar>
        </w:tblPrEx>
        <w:trPr>
          <w:trHeight w:val="599" w:hRule="atLeast"/>
        </w:trPr>
        <w:tc>
          <w:tcPr>
            <w:tcW w:w="250" w:type="pct"/>
            <w:vMerge w:val="continue"/>
            <w:tcBorders>
              <w:top w:val="nil"/>
              <w:left w:val="single" w:color="auto" w:sz="4" w:space="0"/>
              <w:bottom w:val="single" w:color="000000" w:sz="4" w:space="0"/>
              <w:right w:val="single" w:color="auto" w:sz="4" w:space="0"/>
            </w:tcBorders>
            <w:shd w:val="clear" w:color="auto" w:fill="FFFFFF"/>
            <w:vAlign w:val="center"/>
          </w:tcPr>
          <w:p w14:paraId="6F9FCBC1">
            <w:pPr>
              <w:widowControl/>
              <w:snapToGrid w:val="0"/>
              <w:jc w:val="center"/>
              <w:rPr>
                <w:rFonts w:ascii="仿宋" w:hAnsi="仿宋" w:eastAsia="仿宋" w:cs="宋体"/>
                <w:color w:val="auto"/>
                <w:kern w:val="0"/>
                <w:sz w:val="24"/>
                <w:highlight w:val="none"/>
              </w:rPr>
            </w:pPr>
          </w:p>
        </w:tc>
        <w:tc>
          <w:tcPr>
            <w:tcW w:w="629" w:type="pct"/>
            <w:vMerge w:val="continue"/>
            <w:tcBorders>
              <w:top w:val="nil"/>
              <w:left w:val="single" w:color="auto" w:sz="4" w:space="0"/>
              <w:bottom w:val="single" w:color="000000" w:sz="4" w:space="0"/>
              <w:right w:val="single" w:color="auto" w:sz="4" w:space="0"/>
            </w:tcBorders>
            <w:shd w:val="clear" w:color="auto" w:fill="FFFFFF"/>
            <w:vAlign w:val="center"/>
          </w:tcPr>
          <w:p w14:paraId="02637F9F">
            <w:pPr>
              <w:widowControl/>
              <w:snapToGrid w:val="0"/>
              <w:jc w:val="center"/>
              <w:rPr>
                <w:rFonts w:ascii="仿宋" w:hAnsi="仿宋" w:eastAsia="仿宋" w:cs="宋体"/>
                <w:color w:val="auto"/>
                <w:kern w:val="0"/>
                <w:sz w:val="24"/>
                <w:highlight w:val="none"/>
              </w:rPr>
            </w:pPr>
          </w:p>
        </w:tc>
        <w:tc>
          <w:tcPr>
            <w:tcW w:w="1433" w:type="pct"/>
            <w:tcBorders>
              <w:top w:val="nil"/>
              <w:left w:val="nil"/>
              <w:bottom w:val="single" w:color="auto" w:sz="4" w:space="0"/>
              <w:right w:val="single" w:color="auto" w:sz="4" w:space="0"/>
            </w:tcBorders>
            <w:shd w:val="clear" w:color="auto" w:fill="FFFFFF"/>
            <w:noWrap/>
            <w:vAlign w:val="center"/>
          </w:tcPr>
          <w:p w14:paraId="1CECDF9B">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高清输出板32路DS-6</w:t>
            </w:r>
            <w:r>
              <w:rPr>
                <w:rFonts w:ascii="仿宋" w:hAnsi="仿宋" w:eastAsia="仿宋" w:cs="宋体"/>
                <w:color w:val="auto"/>
                <w:kern w:val="0"/>
                <w:sz w:val="24"/>
                <w:highlight w:val="none"/>
              </w:rPr>
              <w:t>916U</w:t>
            </w:r>
            <w:r>
              <w:rPr>
                <w:rFonts w:hint="eastAsia" w:ascii="仿宋" w:hAnsi="仿宋" w:eastAsia="仿宋" w:cs="宋体"/>
                <w:color w:val="auto"/>
                <w:kern w:val="0"/>
                <w:sz w:val="24"/>
                <w:highlight w:val="none"/>
              </w:rPr>
              <w:t>D-B20D</w:t>
            </w:r>
          </w:p>
        </w:tc>
        <w:tc>
          <w:tcPr>
            <w:tcW w:w="833" w:type="pct"/>
            <w:tcBorders>
              <w:top w:val="nil"/>
              <w:left w:val="nil"/>
              <w:bottom w:val="single" w:color="auto" w:sz="4" w:space="0"/>
              <w:right w:val="single" w:color="auto" w:sz="4" w:space="0"/>
            </w:tcBorders>
            <w:shd w:val="clear" w:color="auto" w:fill="FFFFFF"/>
            <w:noWrap/>
            <w:vAlign w:val="center"/>
          </w:tcPr>
          <w:p w14:paraId="7F775030">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4块6</w:t>
            </w:r>
            <w:r>
              <w:rPr>
                <w:rFonts w:ascii="仿宋" w:hAnsi="仿宋" w:eastAsia="仿宋" w:cs="宋体"/>
                <w:color w:val="auto"/>
                <w:kern w:val="0"/>
                <w:sz w:val="24"/>
                <w:highlight w:val="none"/>
              </w:rPr>
              <w:t>9</w:t>
            </w:r>
            <w:r>
              <w:rPr>
                <w:rFonts w:hint="eastAsia" w:ascii="仿宋" w:hAnsi="仿宋" w:eastAsia="仿宋" w:cs="宋体"/>
                <w:color w:val="auto"/>
                <w:kern w:val="0"/>
                <w:sz w:val="24"/>
                <w:highlight w:val="none"/>
              </w:rPr>
              <w:t>解码板</w:t>
            </w:r>
          </w:p>
        </w:tc>
        <w:tc>
          <w:tcPr>
            <w:tcW w:w="1852" w:type="pct"/>
            <w:gridSpan w:val="2"/>
            <w:vMerge w:val="continue"/>
            <w:tcBorders>
              <w:top w:val="nil"/>
              <w:left w:val="single" w:color="auto" w:sz="4" w:space="0"/>
              <w:bottom w:val="single" w:color="000000" w:sz="4" w:space="0"/>
              <w:right w:val="single" w:color="auto" w:sz="4" w:space="0"/>
            </w:tcBorders>
            <w:shd w:val="clear" w:color="auto" w:fill="FFFFFF"/>
            <w:vAlign w:val="center"/>
          </w:tcPr>
          <w:p w14:paraId="2F28817B">
            <w:pPr>
              <w:widowControl/>
              <w:snapToGrid w:val="0"/>
              <w:jc w:val="left"/>
              <w:rPr>
                <w:rFonts w:ascii="仿宋" w:hAnsi="仿宋" w:eastAsia="仿宋" w:cs="宋体"/>
                <w:color w:val="auto"/>
                <w:kern w:val="0"/>
                <w:sz w:val="24"/>
                <w:highlight w:val="none"/>
              </w:rPr>
            </w:pPr>
          </w:p>
        </w:tc>
      </w:tr>
      <w:tr w14:paraId="482BA4E4">
        <w:tblPrEx>
          <w:tblCellMar>
            <w:top w:w="0" w:type="dxa"/>
            <w:left w:w="108" w:type="dxa"/>
            <w:bottom w:w="0" w:type="dxa"/>
            <w:right w:w="108" w:type="dxa"/>
          </w:tblCellMar>
        </w:tblPrEx>
        <w:trPr>
          <w:trHeight w:val="599" w:hRule="atLeast"/>
        </w:trPr>
        <w:tc>
          <w:tcPr>
            <w:tcW w:w="250" w:type="pct"/>
            <w:vMerge w:val="continue"/>
            <w:tcBorders>
              <w:top w:val="nil"/>
              <w:left w:val="single" w:color="auto" w:sz="4" w:space="0"/>
              <w:bottom w:val="single" w:color="000000" w:sz="4" w:space="0"/>
              <w:right w:val="single" w:color="auto" w:sz="4" w:space="0"/>
            </w:tcBorders>
            <w:shd w:val="clear" w:color="auto" w:fill="FFFFFF"/>
            <w:vAlign w:val="center"/>
          </w:tcPr>
          <w:p w14:paraId="7AE1AB82">
            <w:pPr>
              <w:widowControl/>
              <w:snapToGrid w:val="0"/>
              <w:jc w:val="center"/>
              <w:rPr>
                <w:rFonts w:ascii="仿宋" w:hAnsi="仿宋" w:eastAsia="仿宋" w:cs="宋体"/>
                <w:color w:val="auto"/>
                <w:kern w:val="0"/>
                <w:sz w:val="24"/>
                <w:highlight w:val="none"/>
              </w:rPr>
            </w:pPr>
          </w:p>
        </w:tc>
        <w:tc>
          <w:tcPr>
            <w:tcW w:w="629" w:type="pct"/>
            <w:vMerge w:val="continue"/>
            <w:tcBorders>
              <w:top w:val="nil"/>
              <w:left w:val="single" w:color="auto" w:sz="4" w:space="0"/>
              <w:bottom w:val="single" w:color="000000" w:sz="4" w:space="0"/>
              <w:right w:val="single" w:color="auto" w:sz="4" w:space="0"/>
            </w:tcBorders>
            <w:shd w:val="clear" w:color="auto" w:fill="FFFFFF"/>
            <w:vAlign w:val="center"/>
          </w:tcPr>
          <w:p w14:paraId="3E1469A3">
            <w:pPr>
              <w:widowControl/>
              <w:snapToGrid w:val="0"/>
              <w:jc w:val="center"/>
              <w:rPr>
                <w:rFonts w:ascii="仿宋" w:hAnsi="仿宋" w:eastAsia="仿宋" w:cs="宋体"/>
                <w:color w:val="auto"/>
                <w:kern w:val="0"/>
                <w:sz w:val="24"/>
                <w:highlight w:val="none"/>
              </w:rPr>
            </w:pPr>
          </w:p>
        </w:tc>
        <w:tc>
          <w:tcPr>
            <w:tcW w:w="1433" w:type="pct"/>
            <w:tcBorders>
              <w:top w:val="nil"/>
              <w:left w:val="nil"/>
              <w:bottom w:val="single" w:color="auto" w:sz="4" w:space="0"/>
              <w:right w:val="single" w:color="auto" w:sz="4" w:space="0"/>
            </w:tcBorders>
            <w:shd w:val="clear" w:color="auto" w:fill="FFFFFF"/>
            <w:noWrap/>
            <w:vAlign w:val="center"/>
          </w:tcPr>
          <w:p w14:paraId="4B2C0FE6">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高清输入板8路DS-6408HFH-B20D</w:t>
            </w:r>
          </w:p>
        </w:tc>
        <w:tc>
          <w:tcPr>
            <w:tcW w:w="833" w:type="pct"/>
            <w:tcBorders>
              <w:top w:val="nil"/>
              <w:left w:val="nil"/>
              <w:bottom w:val="single" w:color="auto" w:sz="4" w:space="0"/>
              <w:right w:val="single" w:color="auto" w:sz="4" w:space="0"/>
            </w:tcBorders>
            <w:shd w:val="clear" w:color="auto" w:fill="FFFFFF"/>
            <w:noWrap/>
            <w:vAlign w:val="center"/>
          </w:tcPr>
          <w:p w14:paraId="007B00A9">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1块编码板</w:t>
            </w:r>
          </w:p>
        </w:tc>
        <w:tc>
          <w:tcPr>
            <w:tcW w:w="1852" w:type="pct"/>
            <w:gridSpan w:val="2"/>
            <w:vMerge w:val="continue"/>
            <w:tcBorders>
              <w:top w:val="nil"/>
              <w:left w:val="single" w:color="auto" w:sz="4" w:space="0"/>
              <w:bottom w:val="single" w:color="000000" w:sz="4" w:space="0"/>
              <w:right w:val="single" w:color="auto" w:sz="4" w:space="0"/>
            </w:tcBorders>
            <w:shd w:val="clear" w:color="auto" w:fill="FFFFFF"/>
            <w:vAlign w:val="center"/>
          </w:tcPr>
          <w:p w14:paraId="0D00FF4B">
            <w:pPr>
              <w:widowControl/>
              <w:snapToGrid w:val="0"/>
              <w:jc w:val="left"/>
              <w:rPr>
                <w:rFonts w:ascii="仿宋" w:hAnsi="仿宋" w:eastAsia="仿宋" w:cs="宋体"/>
                <w:color w:val="auto"/>
                <w:kern w:val="0"/>
                <w:sz w:val="24"/>
                <w:highlight w:val="none"/>
              </w:rPr>
            </w:pPr>
          </w:p>
        </w:tc>
      </w:tr>
      <w:tr w14:paraId="1D17C143">
        <w:tblPrEx>
          <w:tblCellMar>
            <w:top w:w="0" w:type="dxa"/>
            <w:left w:w="108" w:type="dxa"/>
            <w:bottom w:w="0" w:type="dxa"/>
            <w:right w:w="108" w:type="dxa"/>
          </w:tblCellMar>
        </w:tblPrEx>
        <w:trPr>
          <w:trHeight w:val="894" w:hRule="atLeast"/>
        </w:trPr>
        <w:tc>
          <w:tcPr>
            <w:tcW w:w="250" w:type="pct"/>
            <w:vMerge w:val="restart"/>
            <w:tcBorders>
              <w:top w:val="nil"/>
              <w:left w:val="single" w:color="auto" w:sz="4" w:space="0"/>
              <w:bottom w:val="single" w:color="auto" w:sz="4" w:space="0"/>
              <w:right w:val="single" w:color="auto" w:sz="4" w:space="0"/>
            </w:tcBorders>
            <w:shd w:val="clear" w:color="auto" w:fill="FFFFFF"/>
            <w:noWrap/>
            <w:vAlign w:val="center"/>
          </w:tcPr>
          <w:p w14:paraId="49C8717D">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8</w:t>
            </w:r>
          </w:p>
        </w:tc>
        <w:tc>
          <w:tcPr>
            <w:tcW w:w="629" w:type="pct"/>
            <w:vMerge w:val="restart"/>
            <w:tcBorders>
              <w:top w:val="nil"/>
              <w:left w:val="single" w:color="auto" w:sz="4" w:space="0"/>
              <w:bottom w:val="single" w:color="000000" w:sz="4" w:space="0"/>
              <w:right w:val="single" w:color="auto" w:sz="4" w:space="0"/>
            </w:tcBorders>
            <w:shd w:val="clear" w:color="auto" w:fill="FFFFFF"/>
            <w:noWrap/>
            <w:vAlign w:val="center"/>
          </w:tcPr>
          <w:p w14:paraId="277CD250">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鹰眼设备</w:t>
            </w:r>
          </w:p>
        </w:tc>
        <w:tc>
          <w:tcPr>
            <w:tcW w:w="1433" w:type="pct"/>
            <w:tcBorders>
              <w:top w:val="nil"/>
              <w:left w:val="nil"/>
              <w:bottom w:val="single" w:color="auto" w:sz="4" w:space="0"/>
              <w:right w:val="single" w:color="auto" w:sz="4" w:space="0"/>
            </w:tcBorders>
            <w:shd w:val="clear" w:color="auto" w:fill="FFFFFF"/>
            <w:noWrap/>
            <w:vAlign w:val="center"/>
          </w:tcPr>
          <w:p w14:paraId="450B55DC">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设备一：37倍中型云台DS-2DY9237IAW-A</w:t>
            </w:r>
          </w:p>
        </w:tc>
        <w:tc>
          <w:tcPr>
            <w:tcW w:w="833" w:type="pct"/>
            <w:tcBorders>
              <w:top w:val="nil"/>
              <w:left w:val="nil"/>
              <w:bottom w:val="single" w:color="auto" w:sz="4" w:space="0"/>
              <w:right w:val="single" w:color="auto" w:sz="4" w:space="0"/>
            </w:tcBorders>
            <w:shd w:val="clear" w:color="auto" w:fill="FFFFFF"/>
            <w:noWrap/>
            <w:vAlign w:val="center"/>
          </w:tcPr>
          <w:p w14:paraId="45C65DD4">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云台控制</w:t>
            </w:r>
          </w:p>
        </w:tc>
        <w:tc>
          <w:tcPr>
            <w:tcW w:w="1852" w:type="pct"/>
            <w:gridSpan w:val="2"/>
            <w:vMerge w:val="restart"/>
            <w:tcBorders>
              <w:top w:val="nil"/>
              <w:left w:val="single" w:color="auto" w:sz="4" w:space="0"/>
              <w:bottom w:val="single" w:color="000000" w:sz="4" w:space="0"/>
              <w:right w:val="single" w:color="auto" w:sz="4" w:space="0"/>
            </w:tcBorders>
            <w:shd w:val="clear" w:color="auto" w:fill="FFFFFF"/>
            <w:noWrap/>
            <w:vAlign w:val="center"/>
          </w:tcPr>
          <w:p w14:paraId="05DBD557">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鹰眼相机显示情况</w:t>
            </w:r>
          </w:p>
        </w:tc>
      </w:tr>
      <w:tr w14:paraId="3A45EF95">
        <w:tblPrEx>
          <w:shd w:val="clear" w:color="auto" w:fill="FFFFFF"/>
          <w:tblCellMar>
            <w:top w:w="0" w:type="dxa"/>
            <w:left w:w="108" w:type="dxa"/>
            <w:bottom w:w="0" w:type="dxa"/>
            <w:right w:w="108" w:type="dxa"/>
          </w:tblCellMar>
        </w:tblPrEx>
        <w:trPr>
          <w:trHeight w:val="1190" w:hRule="atLeast"/>
        </w:trPr>
        <w:tc>
          <w:tcPr>
            <w:tcW w:w="250" w:type="pct"/>
            <w:vMerge w:val="continue"/>
            <w:tcBorders>
              <w:top w:val="nil"/>
              <w:left w:val="single" w:color="auto" w:sz="4" w:space="0"/>
              <w:bottom w:val="single" w:color="auto" w:sz="4" w:space="0"/>
              <w:right w:val="single" w:color="auto" w:sz="4" w:space="0"/>
            </w:tcBorders>
            <w:shd w:val="clear" w:color="auto" w:fill="FFFFFF"/>
            <w:vAlign w:val="center"/>
          </w:tcPr>
          <w:p w14:paraId="0AAE14CF">
            <w:pPr>
              <w:widowControl/>
              <w:snapToGrid w:val="0"/>
              <w:jc w:val="center"/>
              <w:rPr>
                <w:rFonts w:ascii="仿宋" w:hAnsi="仿宋" w:eastAsia="仿宋" w:cs="宋体"/>
                <w:color w:val="auto"/>
                <w:kern w:val="0"/>
                <w:sz w:val="24"/>
                <w:highlight w:val="none"/>
              </w:rPr>
            </w:pPr>
          </w:p>
        </w:tc>
        <w:tc>
          <w:tcPr>
            <w:tcW w:w="629" w:type="pct"/>
            <w:vMerge w:val="continue"/>
            <w:tcBorders>
              <w:top w:val="nil"/>
              <w:left w:val="single" w:color="auto" w:sz="4" w:space="0"/>
              <w:bottom w:val="single" w:color="000000" w:sz="4" w:space="0"/>
              <w:right w:val="single" w:color="auto" w:sz="4" w:space="0"/>
            </w:tcBorders>
            <w:shd w:val="clear" w:color="auto" w:fill="FFFFFF"/>
            <w:vAlign w:val="center"/>
          </w:tcPr>
          <w:p w14:paraId="157E4039">
            <w:pPr>
              <w:widowControl/>
              <w:snapToGrid w:val="0"/>
              <w:jc w:val="center"/>
              <w:rPr>
                <w:rFonts w:ascii="仿宋" w:hAnsi="仿宋" w:eastAsia="仿宋" w:cs="宋体"/>
                <w:color w:val="auto"/>
                <w:kern w:val="0"/>
                <w:sz w:val="24"/>
                <w:highlight w:val="none"/>
              </w:rPr>
            </w:pPr>
          </w:p>
        </w:tc>
        <w:tc>
          <w:tcPr>
            <w:tcW w:w="1433" w:type="pct"/>
            <w:tcBorders>
              <w:top w:val="nil"/>
              <w:left w:val="nil"/>
              <w:bottom w:val="single" w:color="auto" w:sz="4" w:space="0"/>
              <w:right w:val="single" w:color="auto" w:sz="4" w:space="0"/>
            </w:tcBorders>
            <w:shd w:val="clear" w:color="auto" w:fill="FFFFFF"/>
            <w:noWrap/>
            <w:vAlign w:val="center"/>
          </w:tcPr>
          <w:p w14:paraId="5FCAF8FB">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设备二：360°鹰眼相机DS-2DP1636Z-D</w:t>
            </w:r>
          </w:p>
        </w:tc>
        <w:tc>
          <w:tcPr>
            <w:tcW w:w="833" w:type="pct"/>
            <w:tcBorders>
              <w:top w:val="nil"/>
              <w:left w:val="nil"/>
              <w:bottom w:val="single" w:color="auto" w:sz="4" w:space="0"/>
              <w:right w:val="single" w:color="auto" w:sz="4" w:space="0"/>
            </w:tcBorders>
            <w:shd w:val="clear" w:color="auto" w:fill="FFFFFF"/>
            <w:noWrap/>
            <w:vAlign w:val="center"/>
          </w:tcPr>
          <w:p w14:paraId="2701CADF">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4个相机拼装成一个鹰眼相机</w:t>
            </w:r>
          </w:p>
        </w:tc>
        <w:tc>
          <w:tcPr>
            <w:tcW w:w="1852" w:type="pct"/>
            <w:gridSpan w:val="2"/>
            <w:vMerge w:val="continue"/>
            <w:tcBorders>
              <w:top w:val="nil"/>
              <w:left w:val="single" w:color="auto" w:sz="4" w:space="0"/>
              <w:bottom w:val="single" w:color="000000" w:sz="4" w:space="0"/>
              <w:right w:val="single" w:color="auto" w:sz="4" w:space="0"/>
            </w:tcBorders>
            <w:shd w:val="clear" w:color="auto" w:fill="FFFFFF"/>
            <w:vAlign w:val="center"/>
          </w:tcPr>
          <w:p w14:paraId="2C12F36D">
            <w:pPr>
              <w:widowControl/>
              <w:snapToGrid w:val="0"/>
              <w:jc w:val="left"/>
              <w:rPr>
                <w:rFonts w:ascii="仿宋" w:hAnsi="仿宋" w:eastAsia="仿宋" w:cs="宋体"/>
                <w:color w:val="auto"/>
                <w:kern w:val="0"/>
                <w:sz w:val="24"/>
                <w:highlight w:val="none"/>
              </w:rPr>
            </w:pPr>
          </w:p>
        </w:tc>
      </w:tr>
      <w:tr w14:paraId="28C1EFD0">
        <w:tblPrEx>
          <w:tblCellMar>
            <w:top w:w="0" w:type="dxa"/>
            <w:left w:w="108" w:type="dxa"/>
            <w:bottom w:w="0" w:type="dxa"/>
            <w:right w:w="108" w:type="dxa"/>
          </w:tblCellMar>
        </w:tblPrEx>
        <w:trPr>
          <w:trHeight w:val="599" w:hRule="atLeast"/>
        </w:trPr>
        <w:tc>
          <w:tcPr>
            <w:tcW w:w="250" w:type="pct"/>
            <w:vMerge w:val="continue"/>
            <w:tcBorders>
              <w:top w:val="nil"/>
              <w:left w:val="single" w:color="auto" w:sz="4" w:space="0"/>
              <w:bottom w:val="single" w:color="auto" w:sz="4" w:space="0"/>
              <w:right w:val="single" w:color="auto" w:sz="4" w:space="0"/>
            </w:tcBorders>
            <w:shd w:val="clear" w:color="auto" w:fill="FFFFFF"/>
            <w:vAlign w:val="center"/>
          </w:tcPr>
          <w:p w14:paraId="668FDE03">
            <w:pPr>
              <w:widowControl/>
              <w:snapToGrid w:val="0"/>
              <w:jc w:val="center"/>
              <w:rPr>
                <w:rFonts w:ascii="仿宋" w:hAnsi="仿宋" w:eastAsia="仿宋" w:cs="宋体"/>
                <w:color w:val="auto"/>
                <w:kern w:val="0"/>
                <w:sz w:val="24"/>
                <w:highlight w:val="none"/>
              </w:rPr>
            </w:pPr>
          </w:p>
        </w:tc>
        <w:tc>
          <w:tcPr>
            <w:tcW w:w="629" w:type="pct"/>
            <w:vMerge w:val="continue"/>
            <w:tcBorders>
              <w:top w:val="nil"/>
              <w:left w:val="single" w:color="auto" w:sz="4" w:space="0"/>
              <w:bottom w:val="single" w:color="000000" w:sz="4" w:space="0"/>
              <w:right w:val="single" w:color="auto" w:sz="4" w:space="0"/>
            </w:tcBorders>
            <w:shd w:val="clear" w:color="auto" w:fill="FFFFFF"/>
            <w:vAlign w:val="center"/>
          </w:tcPr>
          <w:p w14:paraId="5E313506">
            <w:pPr>
              <w:widowControl/>
              <w:snapToGrid w:val="0"/>
              <w:jc w:val="center"/>
              <w:rPr>
                <w:rFonts w:ascii="仿宋" w:hAnsi="仿宋" w:eastAsia="仿宋" w:cs="宋体"/>
                <w:color w:val="auto"/>
                <w:kern w:val="0"/>
                <w:sz w:val="24"/>
                <w:highlight w:val="none"/>
              </w:rPr>
            </w:pPr>
          </w:p>
        </w:tc>
        <w:tc>
          <w:tcPr>
            <w:tcW w:w="1433" w:type="pct"/>
            <w:tcBorders>
              <w:top w:val="nil"/>
              <w:left w:val="nil"/>
              <w:bottom w:val="single" w:color="auto" w:sz="4" w:space="0"/>
              <w:right w:val="single" w:color="auto" w:sz="4" w:space="0"/>
            </w:tcBorders>
            <w:shd w:val="clear" w:color="auto" w:fill="FFFFFF"/>
            <w:noWrap/>
            <w:vAlign w:val="center"/>
          </w:tcPr>
          <w:p w14:paraId="0548425B">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设备三：解码板DS-6916UD-B20D</w:t>
            </w:r>
          </w:p>
        </w:tc>
        <w:tc>
          <w:tcPr>
            <w:tcW w:w="833" w:type="pct"/>
            <w:tcBorders>
              <w:top w:val="nil"/>
              <w:left w:val="nil"/>
              <w:bottom w:val="single" w:color="auto" w:sz="4" w:space="0"/>
              <w:right w:val="single" w:color="auto" w:sz="4" w:space="0"/>
            </w:tcBorders>
            <w:shd w:val="clear" w:color="auto" w:fill="FFFFFF"/>
            <w:noWrap/>
            <w:vAlign w:val="center"/>
          </w:tcPr>
          <w:p w14:paraId="112C6953">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1块69解码板</w:t>
            </w:r>
          </w:p>
        </w:tc>
        <w:tc>
          <w:tcPr>
            <w:tcW w:w="1852" w:type="pct"/>
            <w:gridSpan w:val="2"/>
            <w:vMerge w:val="continue"/>
            <w:tcBorders>
              <w:top w:val="nil"/>
              <w:left w:val="single" w:color="auto" w:sz="4" w:space="0"/>
              <w:bottom w:val="single" w:color="000000" w:sz="4" w:space="0"/>
              <w:right w:val="single" w:color="auto" w:sz="4" w:space="0"/>
            </w:tcBorders>
            <w:shd w:val="clear" w:color="auto" w:fill="FFFFFF"/>
            <w:vAlign w:val="center"/>
          </w:tcPr>
          <w:p w14:paraId="35F66170">
            <w:pPr>
              <w:widowControl/>
              <w:snapToGrid w:val="0"/>
              <w:jc w:val="left"/>
              <w:rPr>
                <w:rFonts w:ascii="仿宋" w:hAnsi="仿宋" w:eastAsia="仿宋" w:cs="宋体"/>
                <w:color w:val="auto"/>
                <w:kern w:val="0"/>
                <w:sz w:val="24"/>
                <w:highlight w:val="none"/>
              </w:rPr>
            </w:pPr>
          </w:p>
        </w:tc>
      </w:tr>
      <w:tr w14:paraId="649E5320">
        <w:tblPrEx>
          <w:tblCellMar>
            <w:top w:w="0" w:type="dxa"/>
            <w:left w:w="108" w:type="dxa"/>
            <w:bottom w:w="0" w:type="dxa"/>
            <w:right w:w="108" w:type="dxa"/>
          </w:tblCellMar>
        </w:tblPrEx>
        <w:trPr>
          <w:trHeight w:val="1199" w:hRule="atLeast"/>
        </w:trPr>
        <w:tc>
          <w:tcPr>
            <w:tcW w:w="250" w:type="pct"/>
            <w:tcBorders>
              <w:top w:val="nil"/>
              <w:left w:val="single" w:color="auto" w:sz="4" w:space="0"/>
              <w:bottom w:val="single" w:color="auto" w:sz="4" w:space="0"/>
              <w:right w:val="single" w:color="auto" w:sz="4" w:space="0"/>
            </w:tcBorders>
            <w:shd w:val="clear" w:color="auto" w:fill="FFFFFF"/>
            <w:noWrap/>
            <w:vAlign w:val="center"/>
          </w:tcPr>
          <w:p w14:paraId="7A730E56">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9</w:t>
            </w:r>
          </w:p>
        </w:tc>
        <w:tc>
          <w:tcPr>
            <w:tcW w:w="629" w:type="pct"/>
            <w:tcBorders>
              <w:top w:val="nil"/>
              <w:left w:val="nil"/>
              <w:bottom w:val="single" w:color="auto" w:sz="4" w:space="0"/>
              <w:right w:val="single" w:color="auto" w:sz="4" w:space="0"/>
            </w:tcBorders>
            <w:shd w:val="clear" w:color="auto" w:fill="FFFFFF"/>
            <w:noWrap/>
            <w:vAlign w:val="center"/>
          </w:tcPr>
          <w:p w14:paraId="3C9470BC">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媒体直播解码器</w:t>
            </w:r>
          </w:p>
        </w:tc>
        <w:tc>
          <w:tcPr>
            <w:tcW w:w="1433" w:type="pct"/>
            <w:tcBorders>
              <w:top w:val="nil"/>
              <w:left w:val="nil"/>
              <w:bottom w:val="single" w:color="auto" w:sz="4" w:space="0"/>
              <w:right w:val="single" w:color="auto" w:sz="4" w:space="0"/>
            </w:tcBorders>
            <w:shd w:val="clear" w:color="auto" w:fill="FFFFFF"/>
            <w:noWrap/>
            <w:vAlign w:val="center"/>
          </w:tcPr>
          <w:p w14:paraId="60EAF097">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解码器DS-6404HD-T</w:t>
            </w:r>
          </w:p>
        </w:tc>
        <w:tc>
          <w:tcPr>
            <w:tcW w:w="833" w:type="pct"/>
            <w:tcBorders>
              <w:top w:val="nil"/>
              <w:left w:val="nil"/>
              <w:bottom w:val="single" w:color="auto" w:sz="4" w:space="0"/>
              <w:right w:val="single" w:color="auto" w:sz="4" w:space="0"/>
            </w:tcBorders>
            <w:shd w:val="clear" w:color="auto" w:fill="FFFFFF"/>
            <w:noWrap/>
            <w:vAlign w:val="center"/>
          </w:tcPr>
          <w:p w14:paraId="498A424A">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媒体直播解码</w:t>
            </w:r>
          </w:p>
        </w:tc>
        <w:tc>
          <w:tcPr>
            <w:tcW w:w="1852" w:type="pct"/>
            <w:gridSpan w:val="2"/>
            <w:tcBorders>
              <w:top w:val="nil"/>
              <w:left w:val="nil"/>
              <w:bottom w:val="single" w:color="auto" w:sz="4" w:space="0"/>
              <w:right w:val="single" w:color="auto" w:sz="4" w:space="0"/>
            </w:tcBorders>
            <w:shd w:val="clear" w:color="auto" w:fill="FFFFFF"/>
            <w:noWrap/>
            <w:vAlign w:val="center"/>
          </w:tcPr>
          <w:p w14:paraId="5BBA8580">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媒体直播是否正常</w:t>
            </w:r>
          </w:p>
        </w:tc>
      </w:tr>
    </w:tbl>
    <w:p w14:paraId="3D80E7D1">
      <w:pPr>
        <w:rPr>
          <w:rFonts w:ascii="仿宋" w:hAnsi="仿宋" w:eastAsia="仿宋"/>
          <w:color w:val="auto"/>
          <w:sz w:val="24"/>
          <w:highlight w:val="none"/>
        </w:rPr>
      </w:pPr>
      <w:r>
        <w:rPr>
          <w:rFonts w:ascii="仿宋" w:hAnsi="仿宋" w:eastAsia="仿宋"/>
          <w:color w:val="auto"/>
          <w:sz w:val="24"/>
          <w:highlight w:val="none"/>
        </w:rPr>
        <w:t>附件二</w:t>
      </w:r>
      <w:r>
        <w:rPr>
          <w:rFonts w:hint="eastAsia" w:ascii="仿宋" w:hAnsi="仿宋" w:eastAsia="仿宋"/>
          <w:color w:val="auto"/>
          <w:sz w:val="24"/>
          <w:highlight w:val="none"/>
        </w:rPr>
        <w:t>：涉及</w:t>
      </w:r>
      <w:r>
        <w:rPr>
          <w:rFonts w:ascii="仿宋" w:hAnsi="仿宋" w:eastAsia="仿宋"/>
          <w:color w:val="auto"/>
          <w:sz w:val="24"/>
          <w:highlight w:val="none"/>
        </w:rPr>
        <w:t>级联平台</w:t>
      </w:r>
      <w:r>
        <w:rPr>
          <w:rFonts w:hint="eastAsia" w:ascii="仿宋" w:hAnsi="仿宋" w:eastAsia="仿宋"/>
          <w:color w:val="auto"/>
          <w:sz w:val="24"/>
          <w:highlight w:val="none"/>
        </w:rPr>
        <w:t>（如有差错，以实际为准）</w:t>
      </w:r>
    </w:p>
    <w:p w14:paraId="7099A8B6">
      <w:pPr>
        <w:autoSpaceDE w:val="0"/>
        <w:autoSpaceDN w:val="0"/>
        <w:snapToGrid w:val="0"/>
        <w:spacing w:line="360" w:lineRule="auto"/>
        <w:rPr>
          <w:rFonts w:ascii="仿宋" w:hAnsi="仿宋" w:eastAsia="仿宋"/>
          <w:b/>
          <w:color w:val="auto"/>
          <w:sz w:val="24"/>
          <w:highlight w:val="none"/>
        </w:rPr>
      </w:pPr>
      <w:r>
        <w:rPr>
          <w:rFonts w:ascii="仿宋" w:hAnsi="仿宋" w:eastAsia="仿宋"/>
          <w:b/>
          <w:color w:val="auto"/>
          <w:sz w:val="24"/>
          <w:highlight w:val="none"/>
        </w:rPr>
        <w:drawing>
          <wp:inline distT="0" distB="0" distL="0" distR="0">
            <wp:extent cx="5274310" cy="64566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74310" cy="6456680"/>
                    </a:xfrm>
                    <a:prstGeom prst="rect">
                      <a:avLst/>
                    </a:prstGeom>
                  </pic:spPr>
                </pic:pic>
              </a:graphicData>
            </a:graphic>
          </wp:inline>
        </w:drawing>
      </w:r>
    </w:p>
    <w:p w14:paraId="27F11CE3">
      <w:pPr>
        <w:pStyle w:val="16"/>
        <w:ind w:firstLine="420"/>
        <w:rPr>
          <w:color w:val="auto"/>
          <w:highlight w:val="none"/>
        </w:rPr>
      </w:pPr>
    </w:p>
    <w:p w14:paraId="2FE6BA0B">
      <w:pPr>
        <w:spacing w:after="120"/>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三、</w:t>
      </w:r>
      <w:bookmarkStart w:id="30" w:name="_Hlk185173383"/>
      <w:bookmarkStart w:id="31" w:name="_Hlk185185249"/>
      <w:r>
        <w:rPr>
          <w:rFonts w:hint="eastAsia" w:ascii="仿宋" w:hAnsi="仿宋" w:eastAsia="仿宋"/>
          <w:b/>
          <w:color w:val="auto"/>
          <w:sz w:val="24"/>
          <w:highlight w:val="none"/>
        </w:rPr>
        <w:t>交通营运车（船）载视频平台</w:t>
      </w:r>
      <w:bookmarkEnd w:id="30"/>
      <w:r>
        <w:rPr>
          <w:rFonts w:hint="eastAsia" w:ascii="仿宋" w:hAnsi="仿宋" w:eastAsia="仿宋"/>
          <w:b/>
          <w:color w:val="auto"/>
          <w:sz w:val="24"/>
          <w:highlight w:val="none"/>
        </w:rPr>
        <w:t>维保服务</w:t>
      </w:r>
    </w:p>
    <w:bookmarkEnd w:id="31"/>
    <w:p w14:paraId="50A91682">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营运车（船）载视频平台接入全市范围内出租车、两客一危、网约车车水上船载视频监控，并将数据按需推送至杭州市交通局视频总平台。目前截止接入出租车9</w:t>
      </w:r>
      <w:r>
        <w:rPr>
          <w:rFonts w:ascii="仿宋" w:hAnsi="仿宋" w:eastAsia="仿宋"/>
          <w:color w:val="auto"/>
          <w:sz w:val="24"/>
          <w:highlight w:val="none"/>
        </w:rPr>
        <w:t>871</w:t>
      </w:r>
      <w:r>
        <w:rPr>
          <w:rFonts w:hint="eastAsia" w:ascii="仿宋" w:hAnsi="仿宋" w:eastAsia="仿宋"/>
          <w:color w:val="auto"/>
          <w:sz w:val="24"/>
          <w:highlight w:val="none"/>
        </w:rPr>
        <w:t>辆，船只3</w:t>
      </w:r>
      <w:r>
        <w:rPr>
          <w:rFonts w:ascii="仿宋" w:hAnsi="仿宋" w:eastAsia="仿宋"/>
          <w:color w:val="auto"/>
          <w:sz w:val="24"/>
          <w:highlight w:val="none"/>
        </w:rPr>
        <w:t>5</w:t>
      </w:r>
      <w:r>
        <w:rPr>
          <w:rFonts w:hint="eastAsia" w:ascii="仿宋" w:hAnsi="仿宋" w:eastAsia="仿宋"/>
          <w:color w:val="auto"/>
          <w:sz w:val="24"/>
          <w:highlight w:val="none"/>
        </w:rPr>
        <w:t>艘，监控点约5万路，用户1</w:t>
      </w:r>
      <w:r>
        <w:rPr>
          <w:rFonts w:ascii="仿宋" w:hAnsi="仿宋" w:eastAsia="仿宋"/>
          <w:color w:val="auto"/>
          <w:sz w:val="24"/>
          <w:highlight w:val="none"/>
        </w:rPr>
        <w:t>1</w:t>
      </w:r>
      <w:r>
        <w:rPr>
          <w:rFonts w:hint="eastAsia" w:ascii="仿宋" w:hAnsi="仿宋" w:eastAsia="仿宋"/>
          <w:color w:val="auto"/>
          <w:sz w:val="24"/>
          <w:highlight w:val="none"/>
        </w:rPr>
        <w:t>个（具体以实际为准）。</w:t>
      </w:r>
    </w:p>
    <w:p w14:paraId="724D20ED">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工作内容主要包括服务器资源、组织划分、车载监控接入标准审核、平台软件维护更新、车辆监控点位数据更新、用户角色权限分配及三方接口对接协助处理等。</w:t>
      </w:r>
    </w:p>
    <w:p w14:paraId="48D76DC1">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（一）平台巡检维护：</w:t>
      </w:r>
    </w:p>
    <w:p w14:paraId="62C03D54">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1、硬件：平台服务器</w:t>
      </w:r>
      <w:r>
        <w:rPr>
          <w:rFonts w:ascii="仿宋" w:hAnsi="仿宋" w:eastAsia="仿宋"/>
          <w:color w:val="auto"/>
          <w:sz w:val="24"/>
          <w:highlight w:val="none"/>
        </w:rPr>
        <w:t>7台，</w:t>
      </w:r>
      <w:r>
        <w:rPr>
          <w:rFonts w:hint="eastAsia" w:ascii="仿宋" w:hAnsi="仿宋" w:eastAsia="仿宋"/>
          <w:color w:val="auto"/>
          <w:sz w:val="24"/>
          <w:highlight w:val="none"/>
        </w:rPr>
        <w:t>云存储1台，</w:t>
      </w:r>
      <w:r>
        <w:rPr>
          <w:rFonts w:ascii="仿宋" w:hAnsi="仿宋" w:eastAsia="仿宋"/>
          <w:color w:val="auto"/>
          <w:sz w:val="24"/>
          <w:highlight w:val="none"/>
        </w:rPr>
        <w:t>对</w:t>
      </w:r>
      <w:r>
        <w:rPr>
          <w:rFonts w:hint="eastAsia" w:ascii="仿宋" w:hAnsi="仿宋" w:eastAsia="仿宋"/>
          <w:color w:val="auto"/>
          <w:sz w:val="24"/>
          <w:highlight w:val="none"/>
        </w:rPr>
        <w:t>已使用的</w:t>
      </w:r>
      <w:r>
        <w:rPr>
          <w:rFonts w:ascii="仿宋" w:hAnsi="仿宋" w:eastAsia="仿宋"/>
          <w:color w:val="auto"/>
          <w:sz w:val="24"/>
          <w:highlight w:val="none"/>
        </w:rPr>
        <w:t>平台服务器和数据库服务器日常运行状态进行1</w:t>
      </w:r>
      <w:r>
        <w:rPr>
          <w:rFonts w:hint="eastAsia" w:ascii="仿宋" w:hAnsi="仿宋" w:eastAsia="仿宋"/>
          <w:color w:val="auto"/>
          <w:sz w:val="24"/>
          <w:highlight w:val="none"/>
        </w:rPr>
        <w:t>次</w:t>
      </w:r>
      <w:r>
        <w:rPr>
          <w:rFonts w:ascii="仿宋" w:hAnsi="仿宋" w:eastAsia="仿宋"/>
          <w:color w:val="auto"/>
          <w:sz w:val="24"/>
          <w:highlight w:val="none"/>
        </w:rPr>
        <w:t>/周巡检维护，巡检过程中发现问题或风险，及时负责跟进解决。</w:t>
      </w:r>
    </w:p>
    <w:p w14:paraId="403CD95D">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2、软件：交通营运车（船）载视频平台软件为海康威视品牌（车辆运行监管平台</w:t>
      </w:r>
      <w:r>
        <w:rPr>
          <w:rFonts w:ascii="仿宋" w:hAnsi="仿宋" w:eastAsia="仿宋"/>
          <w:color w:val="auto"/>
          <w:sz w:val="24"/>
          <w:highlight w:val="none"/>
        </w:rPr>
        <w:t>）。1次/周对平台服务状态进行运维巡检，保障平台稳定运行。对每个监控点的图像显示是否正常进行主动监测，发现问题后，第一时间联系</w:t>
      </w:r>
      <w:r>
        <w:rPr>
          <w:rFonts w:hint="eastAsia" w:ascii="仿宋" w:hAnsi="仿宋" w:eastAsia="仿宋"/>
          <w:color w:val="auto"/>
          <w:sz w:val="24"/>
          <w:highlight w:val="none"/>
        </w:rPr>
        <w:t>设备厂家维护</w:t>
      </w:r>
      <w:r>
        <w:rPr>
          <w:rFonts w:ascii="仿宋" w:hAnsi="仿宋" w:eastAsia="仿宋"/>
          <w:color w:val="auto"/>
          <w:sz w:val="24"/>
          <w:highlight w:val="none"/>
        </w:rPr>
        <w:t>单位，以尽快修复。系统的相关数据（录像、图片等信息）是否完整，存储时效是否满足系统要求。软件的运行环境是否正常，服务器性能(CPU、内存、网络利用率)。针对巡检过程中出现的不同问题及风险采取不同措施：针对定性为软件问题或风险的，及时进行处理，必要时可进行定制处理。</w:t>
      </w:r>
    </w:p>
    <w:p w14:paraId="0761498A">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（二）故障诊断及处理：</w:t>
      </w:r>
    </w:p>
    <w:p w14:paraId="076154DD">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对中心系统使用中突发的问题进行诊断排查；针对定位为软件自身问题负责进行解决，其他网络或第三方厂家软硬件问题进行协调解决。</w:t>
      </w:r>
    </w:p>
    <w:p w14:paraId="4CB651F9">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（三）数据运维（日常数据整理及维护）：</w:t>
      </w:r>
    </w:p>
    <w:p w14:paraId="6EEA7C97">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对交通营运车（船）载视频平台日常运行必要的数据进行整理和维护，主要包括数据更新、数据调整、数据内容增加、数据备份（</w:t>
      </w:r>
      <w:r>
        <w:rPr>
          <w:rFonts w:ascii="仿宋" w:hAnsi="仿宋" w:eastAsia="仿宋"/>
          <w:color w:val="auto"/>
          <w:sz w:val="24"/>
          <w:highlight w:val="none"/>
        </w:rPr>
        <w:t>1次/</w:t>
      </w:r>
      <w:r>
        <w:rPr>
          <w:rFonts w:hint="eastAsia" w:ascii="仿宋" w:hAnsi="仿宋" w:eastAsia="仿宋"/>
          <w:color w:val="auto"/>
          <w:sz w:val="24"/>
          <w:highlight w:val="none"/>
        </w:rPr>
        <w:t>周</w:t>
      </w:r>
      <w:r>
        <w:rPr>
          <w:rFonts w:ascii="仿宋" w:hAnsi="仿宋" w:eastAsia="仿宋"/>
          <w:color w:val="auto"/>
          <w:sz w:val="24"/>
          <w:highlight w:val="none"/>
        </w:rPr>
        <w:t>）与恢复等方面的维护，确保平台正常稳定运行。</w:t>
      </w:r>
    </w:p>
    <w:p w14:paraId="57FDDCB1">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（四）</w:t>
      </w:r>
      <w:r>
        <w:rPr>
          <w:rFonts w:ascii="仿宋" w:hAnsi="仿宋" w:eastAsia="仿宋"/>
          <w:color w:val="auto"/>
          <w:sz w:val="24"/>
          <w:highlight w:val="none"/>
        </w:rPr>
        <w:t>新点位、新用户信息的管理与维护：</w:t>
      </w:r>
    </w:p>
    <w:p w14:paraId="01633C6C">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对交通营运车（船）载视频平台中新增的点位和用户信息进行管理与维护，包括新增车辆船载的点位接入、级联推送与拆除点位的删除清理；若涉及第三方网络、软硬件等问题，由工程师联系第三方厂家或工程上技术人员协调解决。</w:t>
      </w:r>
    </w:p>
    <w:p w14:paraId="0F5EA34E">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附件</w:t>
      </w:r>
      <w:r>
        <w:rPr>
          <w:rFonts w:hint="eastAsia" w:ascii="仿宋" w:hAnsi="仿宋" w:eastAsia="仿宋"/>
          <w:color w:val="auto"/>
          <w:sz w:val="24"/>
          <w:highlight w:val="none"/>
        </w:rPr>
        <w:t>三、</w:t>
      </w:r>
      <w:r>
        <w:rPr>
          <w:rFonts w:ascii="仿宋" w:hAnsi="仿宋" w:eastAsia="仿宋"/>
          <w:color w:val="auto"/>
          <w:sz w:val="24"/>
          <w:highlight w:val="none"/>
        </w:rPr>
        <w:t>软件维护涉及设备</w:t>
      </w:r>
      <w:r>
        <w:rPr>
          <w:rFonts w:hint="eastAsia" w:ascii="仿宋" w:hAnsi="仿宋" w:eastAsia="仿宋"/>
          <w:color w:val="auto"/>
          <w:sz w:val="24"/>
          <w:highlight w:val="none"/>
        </w:rPr>
        <w:t>清单（此清单不涉及硬件维修）</w:t>
      </w:r>
    </w:p>
    <w:tbl>
      <w:tblPr>
        <w:tblStyle w:val="17"/>
        <w:tblW w:w="5260" w:type="pct"/>
        <w:tblInd w:w="0" w:type="dxa"/>
        <w:shd w:val="clear" w:color="auto" w:fill="FFFFFF"/>
        <w:tblLayout w:type="fixed"/>
        <w:tblCellMar>
          <w:top w:w="0" w:type="dxa"/>
          <w:left w:w="108" w:type="dxa"/>
          <w:bottom w:w="0" w:type="dxa"/>
          <w:right w:w="108" w:type="dxa"/>
        </w:tblCellMar>
      </w:tblPr>
      <w:tblGrid>
        <w:gridCol w:w="951"/>
        <w:gridCol w:w="881"/>
        <w:gridCol w:w="2980"/>
        <w:gridCol w:w="1733"/>
        <w:gridCol w:w="1923"/>
        <w:gridCol w:w="1924"/>
      </w:tblGrid>
      <w:tr w14:paraId="58103153">
        <w:tblPrEx>
          <w:tblCellMar>
            <w:top w:w="0" w:type="dxa"/>
            <w:left w:w="108" w:type="dxa"/>
            <w:bottom w:w="0" w:type="dxa"/>
            <w:right w:w="108" w:type="dxa"/>
          </w:tblCellMar>
        </w:tblPrEx>
        <w:trPr>
          <w:trHeight w:val="748" w:hRule="atLeast"/>
        </w:trPr>
        <w:tc>
          <w:tcPr>
            <w:tcW w:w="4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09A7DF8">
            <w:pPr>
              <w:widowControl/>
              <w:snapToGrid w:val="0"/>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序号</w:t>
            </w:r>
          </w:p>
        </w:tc>
        <w:tc>
          <w:tcPr>
            <w:tcW w:w="424" w:type="pct"/>
            <w:tcBorders>
              <w:top w:val="single" w:color="auto" w:sz="4" w:space="0"/>
              <w:left w:val="nil"/>
              <w:bottom w:val="single" w:color="auto" w:sz="4" w:space="0"/>
              <w:right w:val="single" w:color="auto" w:sz="4" w:space="0"/>
            </w:tcBorders>
            <w:shd w:val="clear" w:color="auto" w:fill="FFFFFF"/>
            <w:noWrap/>
            <w:vAlign w:val="center"/>
          </w:tcPr>
          <w:p w14:paraId="72632034">
            <w:pPr>
              <w:widowControl/>
              <w:snapToGrid w:val="0"/>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设备名称</w:t>
            </w:r>
          </w:p>
        </w:tc>
        <w:tc>
          <w:tcPr>
            <w:tcW w:w="1434" w:type="pct"/>
            <w:tcBorders>
              <w:top w:val="single" w:color="auto" w:sz="4" w:space="0"/>
              <w:left w:val="nil"/>
              <w:bottom w:val="single" w:color="auto" w:sz="4" w:space="0"/>
              <w:right w:val="single" w:color="auto" w:sz="4" w:space="0"/>
            </w:tcBorders>
            <w:shd w:val="clear" w:color="auto" w:fill="FFFFFF"/>
            <w:noWrap/>
            <w:vAlign w:val="center"/>
          </w:tcPr>
          <w:p w14:paraId="138BFCD5">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配置信息</w:t>
            </w:r>
          </w:p>
        </w:tc>
        <w:tc>
          <w:tcPr>
            <w:tcW w:w="834" w:type="pct"/>
            <w:tcBorders>
              <w:top w:val="single" w:color="auto" w:sz="4" w:space="0"/>
              <w:left w:val="nil"/>
              <w:bottom w:val="single" w:color="auto" w:sz="4" w:space="0"/>
              <w:right w:val="single" w:color="auto" w:sz="4" w:space="0"/>
            </w:tcBorders>
            <w:shd w:val="clear" w:color="auto" w:fill="FFFFFF"/>
            <w:noWrap/>
            <w:vAlign w:val="center"/>
          </w:tcPr>
          <w:p w14:paraId="2EFF3717">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用途</w:t>
            </w:r>
          </w:p>
        </w:tc>
        <w:tc>
          <w:tcPr>
            <w:tcW w:w="925" w:type="pct"/>
            <w:tcBorders>
              <w:top w:val="single" w:color="auto" w:sz="4" w:space="0"/>
              <w:left w:val="nil"/>
              <w:bottom w:val="single" w:color="auto" w:sz="4" w:space="0"/>
              <w:right w:val="single" w:color="auto" w:sz="4" w:space="0"/>
            </w:tcBorders>
            <w:shd w:val="clear" w:color="auto" w:fill="FFFFFF"/>
            <w:noWrap/>
            <w:vAlign w:val="center"/>
          </w:tcPr>
          <w:p w14:paraId="01CBDAA6">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巡检内容</w:t>
            </w:r>
          </w:p>
        </w:tc>
        <w:tc>
          <w:tcPr>
            <w:tcW w:w="926" w:type="pct"/>
            <w:tcBorders>
              <w:top w:val="single" w:color="auto" w:sz="4" w:space="0"/>
              <w:left w:val="nil"/>
              <w:bottom w:val="single" w:color="auto" w:sz="4" w:space="0"/>
              <w:right w:val="single" w:color="auto" w:sz="4" w:space="0"/>
            </w:tcBorders>
            <w:shd w:val="clear" w:color="auto" w:fill="FFFFFF"/>
            <w:vAlign w:val="center"/>
          </w:tcPr>
          <w:p w14:paraId="0ACF8458">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数量</w:t>
            </w:r>
          </w:p>
        </w:tc>
      </w:tr>
      <w:tr w14:paraId="4BA659C0">
        <w:tblPrEx>
          <w:shd w:val="clear" w:color="auto" w:fill="FFFFFF"/>
          <w:tblCellMar>
            <w:top w:w="0" w:type="dxa"/>
            <w:left w:w="108" w:type="dxa"/>
            <w:bottom w:w="0" w:type="dxa"/>
            <w:right w:w="108" w:type="dxa"/>
          </w:tblCellMar>
        </w:tblPrEx>
        <w:trPr>
          <w:trHeight w:val="1735" w:hRule="atLeast"/>
        </w:trPr>
        <w:tc>
          <w:tcPr>
            <w:tcW w:w="4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63842F1">
            <w:pPr>
              <w:widowControl/>
              <w:snapToGrid w:val="0"/>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1</w:t>
            </w:r>
          </w:p>
        </w:tc>
        <w:tc>
          <w:tcPr>
            <w:tcW w:w="424" w:type="pct"/>
            <w:tcBorders>
              <w:top w:val="single" w:color="auto" w:sz="4" w:space="0"/>
              <w:left w:val="nil"/>
              <w:bottom w:val="single" w:color="auto" w:sz="4" w:space="0"/>
              <w:right w:val="single" w:color="auto" w:sz="4" w:space="0"/>
            </w:tcBorders>
            <w:shd w:val="clear" w:color="auto" w:fill="FFFFFF"/>
            <w:noWrap/>
            <w:vAlign w:val="center"/>
          </w:tcPr>
          <w:p w14:paraId="08EF1819">
            <w:pPr>
              <w:widowControl/>
              <w:snapToGrid w:val="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服务器（交通营运车（船）载视频平台）</w:t>
            </w:r>
          </w:p>
        </w:tc>
        <w:tc>
          <w:tcPr>
            <w:tcW w:w="1434" w:type="pct"/>
            <w:tcBorders>
              <w:top w:val="single" w:color="auto" w:sz="4" w:space="0"/>
              <w:left w:val="nil"/>
              <w:bottom w:val="single" w:color="auto" w:sz="4" w:space="0"/>
              <w:right w:val="single" w:color="auto" w:sz="4" w:space="0"/>
            </w:tcBorders>
            <w:shd w:val="clear" w:color="auto" w:fill="FFFFFF"/>
            <w:noWrap/>
            <w:vAlign w:val="center"/>
          </w:tcPr>
          <w:p w14:paraId="427BFB0A">
            <w:pPr>
              <w:widowControl/>
              <w:snapToGrid w:val="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HG7169(24核2.2GHz)×1/64G</w:t>
            </w:r>
          </w:p>
          <w:p w14:paraId="0C52EA17">
            <w:pPr>
              <w:widowControl/>
              <w:snapToGrid w:val="0"/>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DDR4/600G 10K SAS×4(RAID_10)/SAS_HBA/1GbE×2/550W(1+1)/2U/16DIMM</w:t>
            </w:r>
          </w:p>
        </w:tc>
        <w:tc>
          <w:tcPr>
            <w:tcW w:w="834" w:type="pct"/>
            <w:tcBorders>
              <w:top w:val="single" w:color="auto" w:sz="4" w:space="0"/>
              <w:left w:val="nil"/>
              <w:bottom w:val="single" w:color="auto" w:sz="4" w:space="0"/>
              <w:right w:val="single" w:color="auto" w:sz="4" w:space="0"/>
            </w:tcBorders>
            <w:shd w:val="clear" w:color="auto" w:fill="FFFFFF"/>
            <w:noWrap/>
            <w:vAlign w:val="center"/>
          </w:tcPr>
          <w:p w14:paraId="78C4C15A">
            <w:pPr>
              <w:widowControl/>
              <w:snapToGrid w:val="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车载船载等部标设备视频接入</w:t>
            </w:r>
          </w:p>
        </w:tc>
        <w:tc>
          <w:tcPr>
            <w:tcW w:w="925" w:type="pct"/>
            <w:tcBorders>
              <w:top w:val="single" w:color="auto" w:sz="4" w:space="0"/>
              <w:left w:val="nil"/>
              <w:bottom w:val="single" w:color="auto" w:sz="4" w:space="0"/>
              <w:right w:val="single" w:color="auto" w:sz="4" w:space="0"/>
            </w:tcBorders>
            <w:shd w:val="clear" w:color="auto" w:fill="FFFFFF"/>
            <w:noWrap/>
            <w:vAlign w:val="center"/>
          </w:tcPr>
          <w:p w14:paraId="2F0BD085">
            <w:pPr>
              <w:widowControl/>
              <w:snapToGrid w:val="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 xml:space="preserve">1.CPU、内存、磁盘使用情况 </w:t>
            </w:r>
            <w:r>
              <w:rPr>
                <w:rFonts w:ascii="仿宋" w:hAnsi="仿宋" w:eastAsia="仿宋" w:cs="宋体"/>
                <w:color w:val="auto"/>
                <w:kern w:val="0"/>
                <w:szCs w:val="21"/>
                <w:highlight w:val="none"/>
              </w:rPr>
              <w:t xml:space="preserve">                      2.</w:t>
            </w:r>
            <w:r>
              <w:rPr>
                <w:rFonts w:hint="eastAsia" w:ascii="仿宋" w:hAnsi="仿宋" w:eastAsia="仿宋" w:cs="宋体"/>
                <w:color w:val="auto"/>
                <w:kern w:val="0"/>
                <w:szCs w:val="21"/>
                <w:highlight w:val="none"/>
              </w:rPr>
              <w:t>服务是否正常运行</w:t>
            </w:r>
          </w:p>
        </w:tc>
        <w:tc>
          <w:tcPr>
            <w:tcW w:w="926" w:type="pct"/>
            <w:tcBorders>
              <w:top w:val="single" w:color="auto" w:sz="4" w:space="0"/>
              <w:left w:val="nil"/>
              <w:bottom w:val="single" w:color="auto" w:sz="4" w:space="0"/>
              <w:right w:val="single" w:color="auto" w:sz="4" w:space="0"/>
            </w:tcBorders>
            <w:shd w:val="clear" w:color="auto" w:fill="FFFFFF"/>
            <w:vAlign w:val="center"/>
          </w:tcPr>
          <w:p w14:paraId="1594C7EE">
            <w:pPr>
              <w:widowControl/>
              <w:snapToGrid w:val="0"/>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7</w:t>
            </w:r>
          </w:p>
        </w:tc>
      </w:tr>
      <w:tr w14:paraId="1C982327">
        <w:tblPrEx>
          <w:shd w:val="clear" w:color="auto" w:fill="FFFFFF"/>
          <w:tblCellMar>
            <w:top w:w="0" w:type="dxa"/>
            <w:left w:w="108" w:type="dxa"/>
            <w:bottom w:w="0" w:type="dxa"/>
            <w:right w:w="108" w:type="dxa"/>
          </w:tblCellMar>
        </w:tblPrEx>
        <w:trPr>
          <w:trHeight w:val="2366" w:hRule="atLeast"/>
        </w:trPr>
        <w:tc>
          <w:tcPr>
            <w:tcW w:w="457"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6AD4D51">
            <w:pPr>
              <w:widowControl/>
              <w:snapToGrid w:val="0"/>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2</w:t>
            </w:r>
          </w:p>
        </w:tc>
        <w:tc>
          <w:tcPr>
            <w:tcW w:w="424" w:type="pct"/>
            <w:tcBorders>
              <w:top w:val="single" w:color="auto" w:sz="4" w:space="0"/>
              <w:left w:val="nil"/>
              <w:bottom w:val="single" w:color="auto" w:sz="4" w:space="0"/>
              <w:right w:val="single" w:color="auto" w:sz="4" w:space="0"/>
            </w:tcBorders>
            <w:shd w:val="clear" w:color="auto" w:fill="FFFFFF"/>
            <w:noWrap/>
            <w:vAlign w:val="center"/>
          </w:tcPr>
          <w:p w14:paraId="1034964D">
            <w:pPr>
              <w:widowControl/>
              <w:snapToGrid w:val="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数据存储服务器</w:t>
            </w:r>
          </w:p>
        </w:tc>
        <w:tc>
          <w:tcPr>
            <w:tcW w:w="1434" w:type="pct"/>
            <w:tcBorders>
              <w:top w:val="single" w:color="auto" w:sz="4" w:space="0"/>
              <w:left w:val="nil"/>
              <w:bottom w:val="single" w:color="auto" w:sz="4" w:space="0"/>
              <w:right w:val="single" w:color="auto" w:sz="4" w:space="0"/>
            </w:tcBorders>
            <w:shd w:val="clear" w:color="auto" w:fill="FFFFFF"/>
            <w:noWrap/>
            <w:vAlign w:val="center"/>
          </w:tcPr>
          <w:p w14:paraId="78C6C392">
            <w:pPr>
              <w:widowControl/>
              <w:snapToGrid w:val="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机架式/4U 24盘位/2048Mbps接入带宽（1024路2M）/24块6T企业级SATA硬盘/双颗64位多核处理器/8GB缓存（可扩展至256GB）/4个千兆数据网口/1个千兆管理网口/冗余电源/RAID5/网络协议：RTSP/ONVIF/PSIA/（GB/T28181）</w:t>
            </w:r>
          </w:p>
        </w:tc>
        <w:tc>
          <w:tcPr>
            <w:tcW w:w="834" w:type="pct"/>
            <w:tcBorders>
              <w:top w:val="single" w:color="auto" w:sz="4" w:space="0"/>
              <w:left w:val="nil"/>
              <w:bottom w:val="single" w:color="auto" w:sz="4" w:space="0"/>
              <w:right w:val="single" w:color="auto" w:sz="4" w:space="0"/>
            </w:tcBorders>
            <w:shd w:val="clear" w:color="auto" w:fill="FFFFFF"/>
            <w:noWrap/>
            <w:vAlign w:val="center"/>
          </w:tcPr>
          <w:p w14:paraId="123C8FA6">
            <w:pPr>
              <w:widowControl/>
              <w:snapToGrid w:val="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抓图数据存储</w:t>
            </w:r>
          </w:p>
        </w:tc>
        <w:tc>
          <w:tcPr>
            <w:tcW w:w="925" w:type="pct"/>
            <w:tcBorders>
              <w:top w:val="single" w:color="auto" w:sz="4" w:space="0"/>
              <w:left w:val="nil"/>
              <w:bottom w:val="single" w:color="auto" w:sz="4" w:space="0"/>
              <w:right w:val="single" w:color="auto" w:sz="4" w:space="0"/>
            </w:tcBorders>
            <w:shd w:val="clear" w:color="auto" w:fill="FFFFFF"/>
            <w:noWrap/>
            <w:vAlign w:val="center"/>
          </w:tcPr>
          <w:p w14:paraId="51135DBE">
            <w:pPr>
              <w:widowControl/>
              <w:snapToGrid w:val="0"/>
              <w:jc w:val="left"/>
              <w:rPr>
                <w:rFonts w:ascii="仿宋" w:hAnsi="仿宋" w:eastAsia="仿宋" w:cs="宋体"/>
                <w:color w:val="auto"/>
                <w:kern w:val="0"/>
                <w:szCs w:val="21"/>
                <w:highlight w:val="none"/>
              </w:rPr>
            </w:pPr>
            <w:r>
              <w:rPr>
                <w:rFonts w:ascii="仿宋" w:hAnsi="仿宋" w:eastAsia="仿宋" w:cs="宋体"/>
                <w:color w:val="auto"/>
                <w:kern w:val="0"/>
                <w:szCs w:val="21"/>
                <w:highlight w:val="none"/>
              </w:rPr>
              <w:t>1.</w:t>
            </w:r>
            <w:r>
              <w:rPr>
                <w:rFonts w:hint="eastAsia" w:ascii="仿宋" w:hAnsi="仿宋" w:eastAsia="仿宋" w:cs="宋体"/>
                <w:color w:val="auto"/>
                <w:kern w:val="0"/>
                <w:szCs w:val="21"/>
                <w:highlight w:val="none"/>
              </w:rPr>
              <w:t xml:space="preserve">查看云存储容量使用情况 </w:t>
            </w:r>
            <w:r>
              <w:rPr>
                <w:rFonts w:ascii="仿宋" w:hAnsi="仿宋" w:eastAsia="仿宋" w:cs="宋体"/>
                <w:color w:val="auto"/>
                <w:kern w:val="0"/>
                <w:szCs w:val="21"/>
                <w:highlight w:val="none"/>
              </w:rPr>
              <w:t xml:space="preserve">         2.</w:t>
            </w:r>
            <w:r>
              <w:rPr>
                <w:rFonts w:hint="eastAsia" w:ascii="仿宋" w:hAnsi="仿宋" w:eastAsia="仿宋" w:cs="宋体"/>
                <w:color w:val="auto"/>
                <w:kern w:val="0"/>
                <w:szCs w:val="21"/>
                <w:highlight w:val="none"/>
              </w:rPr>
              <w:t>存储是否正常</w:t>
            </w:r>
          </w:p>
        </w:tc>
        <w:tc>
          <w:tcPr>
            <w:tcW w:w="926" w:type="pct"/>
            <w:tcBorders>
              <w:top w:val="single" w:color="auto" w:sz="4" w:space="0"/>
              <w:left w:val="nil"/>
              <w:bottom w:val="single" w:color="auto" w:sz="4" w:space="0"/>
              <w:right w:val="single" w:color="auto" w:sz="4" w:space="0"/>
            </w:tcBorders>
            <w:shd w:val="clear" w:color="auto" w:fill="FFFFFF"/>
            <w:vAlign w:val="center"/>
          </w:tcPr>
          <w:p w14:paraId="38BEF14C">
            <w:pPr>
              <w:widowControl/>
              <w:snapToGrid w:val="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r>
    </w:tbl>
    <w:p w14:paraId="178859A6">
      <w:pPr>
        <w:rPr>
          <w:color w:val="auto"/>
          <w:highlight w:val="none"/>
        </w:rPr>
      </w:pPr>
      <w:r>
        <w:rPr>
          <w:rFonts w:ascii="仿宋" w:hAnsi="仿宋" w:eastAsia="仿宋"/>
          <w:color w:val="auto"/>
          <w:sz w:val="24"/>
          <w:highlight w:val="none"/>
        </w:rPr>
        <w:t>附件</w:t>
      </w:r>
      <w:r>
        <w:rPr>
          <w:rFonts w:hint="eastAsia" w:ascii="仿宋" w:hAnsi="仿宋" w:eastAsia="仿宋"/>
          <w:color w:val="auto"/>
          <w:sz w:val="24"/>
          <w:highlight w:val="none"/>
        </w:rPr>
        <w:t>四、交通营运车（船）载视频平台构架图</w:t>
      </w:r>
    </w:p>
    <w:p w14:paraId="3858934C">
      <w:pPr>
        <w:rPr>
          <w:color w:val="auto"/>
          <w:highlight w:val="none"/>
        </w:rPr>
      </w:pPr>
      <w:r>
        <w:rPr>
          <w:color w:val="auto"/>
          <w:highlight w:val="none"/>
        </w:rPr>
        <w:drawing>
          <wp:inline distT="0" distB="0" distL="0" distR="0">
            <wp:extent cx="5274310" cy="4020820"/>
            <wp:effectExtent l="0" t="0" r="254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5274310" cy="4020820"/>
                    </a:xfrm>
                    <a:prstGeom prst="rect">
                      <a:avLst/>
                    </a:prstGeom>
                  </pic:spPr>
                </pic:pic>
              </a:graphicData>
            </a:graphic>
          </wp:inline>
        </w:drawing>
      </w:r>
    </w:p>
    <w:p w14:paraId="257A6988">
      <w:pPr>
        <w:rPr>
          <w:color w:val="auto"/>
          <w:highlight w:val="none"/>
        </w:rPr>
      </w:pPr>
    </w:p>
    <w:p w14:paraId="75F6D099">
      <w:pPr>
        <w:adjustRightInd/>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四、杭州市交通建设工程视频平台维保服务</w:t>
      </w:r>
    </w:p>
    <w:p w14:paraId="30AD655C">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（一）平台巡检维护：</w:t>
      </w:r>
    </w:p>
    <w:p w14:paraId="29C9AD4F">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1、硬件：平台服务器</w:t>
      </w:r>
      <w:r>
        <w:rPr>
          <w:rFonts w:ascii="仿宋" w:hAnsi="仿宋" w:eastAsia="仿宋"/>
          <w:color w:val="auto"/>
          <w:sz w:val="24"/>
          <w:highlight w:val="none"/>
        </w:rPr>
        <w:t>1台，对</w:t>
      </w:r>
      <w:r>
        <w:rPr>
          <w:rFonts w:hint="eastAsia" w:ascii="仿宋" w:hAnsi="仿宋" w:eastAsia="仿宋"/>
          <w:color w:val="auto"/>
          <w:sz w:val="24"/>
          <w:highlight w:val="none"/>
        </w:rPr>
        <w:t>杭州市交通建设工程视频平台</w:t>
      </w:r>
      <w:r>
        <w:rPr>
          <w:rFonts w:ascii="仿宋" w:hAnsi="仿宋" w:eastAsia="仿宋"/>
          <w:color w:val="auto"/>
          <w:sz w:val="24"/>
          <w:highlight w:val="none"/>
        </w:rPr>
        <w:t>服务器和数据库服务器日常运行状态进行</w:t>
      </w:r>
      <w:r>
        <w:rPr>
          <w:rFonts w:hint="eastAsia" w:ascii="仿宋" w:hAnsi="仿宋" w:eastAsia="仿宋"/>
          <w:color w:val="auto"/>
          <w:sz w:val="24"/>
          <w:highlight w:val="none"/>
        </w:rPr>
        <w:t>每周一次</w:t>
      </w:r>
      <w:r>
        <w:rPr>
          <w:rFonts w:ascii="仿宋" w:hAnsi="仿宋" w:eastAsia="仿宋"/>
          <w:color w:val="auto"/>
          <w:sz w:val="24"/>
          <w:highlight w:val="none"/>
        </w:rPr>
        <w:t>巡检维护，巡检过程中发现问题或风险，负责及时跟进解决。</w:t>
      </w:r>
    </w:p>
    <w:p w14:paraId="4CA62401">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2、软件：杭州市交通建设工程视频平台软件为海康威视品牌（</w:t>
      </w:r>
      <w:r>
        <w:rPr>
          <w:rFonts w:ascii="仿宋" w:hAnsi="仿宋" w:eastAsia="仿宋"/>
          <w:color w:val="auto"/>
          <w:sz w:val="24"/>
          <w:highlight w:val="none"/>
        </w:rPr>
        <w:t>ISC）。</w:t>
      </w:r>
      <w:r>
        <w:rPr>
          <w:rFonts w:hint="eastAsia" w:ascii="仿宋" w:hAnsi="仿宋" w:eastAsia="仿宋"/>
          <w:color w:val="auto"/>
          <w:sz w:val="24"/>
          <w:highlight w:val="none"/>
        </w:rPr>
        <w:t>确保至少每天1次</w:t>
      </w:r>
      <w:r>
        <w:rPr>
          <w:rFonts w:ascii="仿宋" w:hAnsi="仿宋" w:eastAsia="仿宋"/>
          <w:color w:val="auto"/>
          <w:sz w:val="24"/>
          <w:highlight w:val="none"/>
        </w:rPr>
        <w:t>对平台服务状态进行运维巡检，保障平台稳定运行。对每个监控点的图像显示是否正常进行主动监测，发现问题后，第一时间联系工程建设单位，以尽快修复。系统的相关数据（录像、图片等信息）是否完整，存储时效是否满足系统要求。软件的运行环境是否正常，服务器性能(CPU、内存、网络利用率)。针对巡检过程中出现的不同问题及风险采取不同措施：针对定性为软件问题或风险的，及时进行处理，必要时可进行定制处理。</w:t>
      </w:r>
    </w:p>
    <w:p w14:paraId="653CF46B">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（二）故障诊断及处理：</w:t>
      </w:r>
    </w:p>
    <w:p w14:paraId="79DA519C">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对系统使用中突发的问题进行诊断排查；针对定位为软件自身问题负责进行解决，其他网络或第三方厂家软硬问题进行协调解决。</w:t>
      </w:r>
    </w:p>
    <w:p w14:paraId="6221AF63">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（三）数据运维（日常数据整理及维护）：</w:t>
      </w:r>
    </w:p>
    <w:p w14:paraId="493D6456">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对杭州市交通建设工程视频平台日常运行必要的数据进行整理和维护，主要包括数据更新、数据调整、数据内容增加、数据备份（</w:t>
      </w:r>
      <w:r>
        <w:rPr>
          <w:rFonts w:ascii="仿宋" w:hAnsi="仿宋" w:eastAsia="仿宋"/>
          <w:color w:val="auto"/>
          <w:sz w:val="24"/>
          <w:highlight w:val="none"/>
        </w:rPr>
        <w:t>1次/</w:t>
      </w:r>
      <w:r>
        <w:rPr>
          <w:rFonts w:hint="eastAsia" w:ascii="仿宋" w:hAnsi="仿宋" w:eastAsia="仿宋"/>
          <w:color w:val="auto"/>
          <w:sz w:val="24"/>
          <w:highlight w:val="none"/>
        </w:rPr>
        <w:t>周</w:t>
      </w:r>
      <w:r>
        <w:rPr>
          <w:rFonts w:ascii="仿宋" w:hAnsi="仿宋" w:eastAsia="仿宋"/>
          <w:color w:val="auto"/>
          <w:sz w:val="24"/>
          <w:highlight w:val="none"/>
        </w:rPr>
        <w:t>）与恢复等方面的维护，确保平台正常稳定运行。</w:t>
      </w:r>
    </w:p>
    <w:p w14:paraId="4462C290">
      <w:pPr>
        <w:adjustRightInd/>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（四）</w:t>
      </w:r>
      <w:r>
        <w:rPr>
          <w:rFonts w:ascii="仿宋" w:hAnsi="仿宋" w:eastAsia="仿宋"/>
          <w:color w:val="auto"/>
          <w:sz w:val="24"/>
          <w:highlight w:val="none"/>
        </w:rPr>
        <w:t>新点位、新用户信息的管理与维护：</w:t>
      </w:r>
    </w:p>
    <w:p w14:paraId="021226F8">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对杭州市交通建设工程视频平台中新增的点位和用户信息进行管理与维护，包括新工程项目的点位接入、级联推送与拆除点位的删除清理；若涉及第三方网络、软硬件等问题，由工程师联系第三方厂家或工程上技术人员协调解决。</w:t>
      </w:r>
    </w:p>
    <w:p w14:paraId="0708DC69">
      <w:pPr>
        <w:spacing w:line="360" w:lineRule="auto"/>
        <w:ind w:firstLine="480" w:firstLineChars="200"/>
        <w:jc w:val="left"/>
        <w:rPr>
          <w:rFonts w:ascii="仿宋" w:hAnsi="仿宋" w:eastAsia="仿宋"/>
          <w:color w:val="auto"/>
          <w:sz w:val="24"/>
          <w:highlight w:val="none"/>
        </w:rPr>
      </w:pPr>
      <w:r>
        <w:rPr>
          <w:rFonts w:ascii="仿宋" w:hAnsi="仿宋" w:eastAsia="仿宋"/>
          <w:color w:val="auto"/>
          <w:sz w:val="24"/>
          <w:highlight w:val="none"/>
        </w:rPr>
        <w:t>附件</w:t>
      </w:r>
      <w:r>
        <w:rPr>
          <w:rFonts w:hint="eastAsia" w:ascii="仿宋" w:hAnsi="仿宋" w:eastAsia="仿宋"/>
          <w:color w:val="auto"/>
          <w:sz w:val="24"/>
          <w:highlight w:val="none"/>
        </w:rPr>
        <w:t>五、</w:t>
      </w:r>
      <w:r>
        <w:rPr>
          <w:rFonts w:ascii="仿宋" w:hAnsi="仿宋" w:eastAsia="仿宋"/>
          <w:color w:val="auto"/>
          <w:sz w:val="24"/>
          <w:highlight w:val="none"/>
        </w:rPr>
        <w:t>软件维护涉及设备</w:t>
      </w:r>
      <w:r>
        <w:rPr>
          <w:rFonts w:hint="eastAsia" w:ascii="仿宋" w:hAnsi="仿宋" w:eastAsia="仿宋"/>
          <w:color w:val="auto"/>
          <w:sz w:val="24"/>
          <w:highlight w:val="none"/>
        </w:rPr>
        <w:t>清单（此清单不涉及硬件维修）</w:t>
      </w:r>
    </w:p>
    <w:tbl>
      <w:tblPr>
        <w:tblStyle w:val="17"/>
        <w:tblW w:w="5037" w:type="pct"/>
        <w:tblInd w:w="0" w:type="dxa"/>
        <w:shd w:val="clear" w:color="auto" w:fill="FFFFFF"/>
        <w:tblLayout w:type="fixed"/>
        <w:tblCellMar>
          <w:top w:w="0" w:type="dxa"/>
          <w:left w:w="108" w:type="dxa"/>
          <w:bottom w:w="0" w:type="dxa"/>
          <w:right w:w="108" w:type="dxa"/>
        </w:tblCellMar>
      </w:tblPr>
      <w:tblGrid>
        <w:gridCol w:w="496"/>
        <w:gridCol w:w="1251"/>
        <w:gridCol w:w="2854"/>
        <w:gridCol w:w="1660"/>
        <w:gridCol w:w="1845"/>
        <w:gridCol w:w="1845"/>
      </w:tblGrid>
      <w:tr w14:paraId="19EDFC48">
        <w:tblPrEx>
          <w:tblCellMar>
            <w:top w:w="0" w:type="dxa"/>
            <w:left w:w="108" w:type="dxa"/>
            <w:bottom w:w="0" w:type="dxa"/>
            <w:right w:w="108" w:type="dxa"/>
          </w:tblCellMar>
        </w:tblPrEx>
        <w:trPr>
          <w:trHeight w:val="534" w:hRule="atLeast"/>
        </w:trPr>
        <w:tc>
          <w:tcPr>
            <w:tcW w:w="25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6AE225">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序号</w:t>
            </w:r>
          </w:p>
        </w:tc>
        <w:tc>
          <w:tcPr>
            <w:tcW w:w="629" w:type="pct"/>
            <w:tcBorders>
              <w:top w:val="single" w:color="auto" w:sz="4" w:space="0"/>
              <w:left w:val="nil"/>
              <w:bottom w:val="single" w:color="auto" w:sz="4" w:space="0"/>
              <w:right w:val="single" w:color="auto" w:sz="4" w:space="0"/>
            </w:tcBorders>
            <w:shd w:val="clear" w:color="auto" w:fill="FFFFFF"/>
            <w:noWrap/>
            <w:vAlign w:val="center"/>
          </w:tcPr>
          <w:p w14:paraId="13A7BD3D">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设备名称</w:t>
            </w:r>
          </w:p>
        </w:tc>
        <w:tc>
          <w:tcPr>
            <w:tcW w:w="1433" w:type="pct"/>
            <w:tcBorders>
              <w:top w:val="single" w:color="auto" w:sz="4" w:space="0"/>
              <w:left w:val="nil"/>
              <w:bottom w:val="single" w:color="auto" w:sz="4" w:space="0"/>
              <w:right w:val="single" w:color="auto" w:sz="4" w:space="0"/>
            </w:tcBorders>
            <w:shd w:val="clear" w:color="auto" w:fill="FFFFFF"/>
            <w:noWrap/>
            <w:vAlign w:val="center"/>
          </w:tcPr>
          <w:p w14:paraId="58726BA9">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配置信息</w:t>
            </w:r>
          </w:p>
        </w:tc>
        <w:tc>
          <w:tcPr>
            <w:tcW w:w="833" w:type="pct"/>
            <w:tcBorders>
              <w:top w:val="single" w:color="auto" w:sz="4" w:space="0"/>
              <w:left w:val="nil"/>
              <w:bottom w:val="single" w:color="auto" w:sz="4" w:space="0"/>
              <w:right w:val="single" w:color="auto" w:sz="4" w:space="0"/>
            </w:tcBorders>
            <w:shd w:val="clear" w:color="auto" w:fill="FFFFFF"/>
            <w:noWrap/>
            <w:vAlign w:val="center"/>
          </w:tcPr>
          <w:p w14:paraId="7B098882">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用途</w:t>
            </w:r>
          </w:p>
        </w:tc>
        <w:tc>
          <w:tcPr>
            <w:tcW w:w="926" w:type="pct"/>
            <w:tcBorders>
              <w:top w:val="single" w:color="auto" w:sz="4" w:space="0"/>
              <w:left w:val="nil"/>
              <w:bottom w:val="single" w:color="auto" w:sz="4" w:space="0"/>
              <w:right w:val="single" w:color="auto" w:sz="4" w:space="0"/>
            </w:tcBorders>
            <w:shd w:val="clear" w:color="auto" w:fill="FFFFFF"/>
            <w:noWrap/>
            <w:vAlign w:val="center"/>
          </w:tcPr>
          <w:p w14:paraId="13FBA621">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巡检内容</w:t>
            </w:r>
          </w:p>
        </w:tc>
        <w:tc>
          <w:tcPr>
            <w:tcW w:w="926" w:type="pct"/>
            <w:tcBorders>
              <w:top w:val="single" w:color="auto" w:sz="4" w:space="0"/>
              <w:left w:val="nil"/>
              <w:bottom w:val="single" w:color="auto" w:sz="4" w:space="0"/>
              <w:right w:val="single" w:color="auto" w:sz="4" w:space="0"/>
            </w:tcBorders>
            <w:shd w:val="clear" w:color="auto" w:fill="FFFFFF"/>
            <w:vAlign w:val="center"/>
          </w:tcPr>
          <w:p w14:paraId="7D40C3B2">
            <w:pPr>
              <w:widowControl/>
              <w:snapToGrid w:val="0"/>
              <w:jc w:val="cente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数量</w:t>
            </w:r>
          </w:p>
        </w:tc>
      </w:tr>
      <w:tr w14:paraId="62F0820E">
        <w:tblPrEx>
          <w:tblCellMar>
            <w:top w:w="0" w:type="dxa"/>
            <w:left w:w="108" w:type="dxa"/>
            <w:bottom w:w="0" w:type="dxa"/>
            <w:right w:w="108" w:type="dxa"/>
          </w:tblCellMar>
        </w:tblPrEx>
        <w:trPr>
          <w:trHeight w:val="1855" w:hRule="atLeast"/>
        </w:trPr>
        <w:tc>
          <w:tcPr>
            <w:tcW w:w="250"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C389B5">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1</w:t>
            </w:r>
          </w:p>
        </w:tc>
        <w:tc>
          <w:tcPr>
            <w:tcW w:w="629" w:type="pct"/>
            <w:tcBorders>
              <w:top w:val="single" w:color="auto" w:sz="4" w:space="0"/>
              <w:left w:val="nil"/>
              <w:bottom w:val="single" w:color="auto" w:sz="4" w:space="0"/>
              <w:right w:val="single" w:color="auto" w:sz="4" w:space="0"/>
            </w:tcBorders>
            <w:shd w:val="clear" w:color="auto" w:fill="FFFFFF"/>
            <w:noWrap/>
            <w:vAlign w:val="center"/>
          </w:tcPr>
          <w:p w14:paraId="27D9D76F">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服务器（工程视频平台）</w:t>
            </w:r>
          </w:p>
        </w:tc>
        <w:tc>
          <w:tcPr>
            <w:tcW w:w="1433" w:type="pct"/>
            <w:tcBorders>
              <w:top w:val="single" w:color="auto" w:sz="4" w:space="0"/>
              <w:left w:val="nil"/>
              <w:bottom w:val="single" w:color="auto" w:sz="4" w:space="0"/>
              <w:right w:val="single" w:color="auto" w:sz="4" w:space="0"/>
            </w:tcBorders>
            <w:shd w:val="clear" w:color="auto" w:fill="FFFFFF"/>
            <w:noWrap/>
            <w:vAlign w:val="center"/>
          </w:tcPr>
          <w:p w14:paraId="2FF8E950">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HG7169(24核2.2GHz)×1/64G</w:t>
            </w:r>
          </w:p>
          <w:p w14:paraId="62728C2F">
            <w:pPr>
              <w:widowControl/>
              <w:snapToGrid w:val="0"/>
              <w:jc w:val="center"/>
              <w:rPr>
                <w:rFonts w:ascii="仿宋" w:hAnsi="仿宋" w:eastAsia="仿宋" w:cs="宋体"/>
                <w:color w:val="auto"/>
                <w:kern w:val="0"/>
                <w:sz w:val="24"/>
                <w:highlight w:val="none"/>
              </w:rPr>
            </w:pPr>
            <w:r>
              <w:rPr>
                <w:rFonts w:ascii="仿宋" w:hAnsi="仿宋" w:eastAsia="仿宋" w:cs="宋体"/>
                <w:color w:val="auto"/>
                <w:kern w:val="0"/>
                <w:sz w:val="24"/>
                <w:highlight w:val="none"/>
              </w:rPr>
              <w:t>DDR4/600G 10K SAS×4(RAID_10)/SAS_HBA/1GbE×2/550W(1+1)/2U/16DIMM</w:t>
            </w:r>
          </w:p>
        </w:tc>
        <w:tc>
          <w:tcPr>
            <w:tcW w:w="833" w:type="pct"/>
            <w:tcBorders>
              <w:top w:val="single" w:color="auto" w:sz="4" w:space="0"/>
              <w:left w:val="nil"/>
              <w:bottom w:val="single" w:color="auto" w:sz="4" w:space="0"/>
              <w:right w:val="single" w:color="auto" w:sz="4" w:space="0"/>
            </w:tcBorders>
            <w:shd w:val="clear" w:color="auto" w:fill="FFFFFF"/>
            <w:noWrap/>
            <w:vAlign w:val="center"/>
          </w:tcPr>
          <w:p w14:paraId="5133A774">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工程和码头视频接入</w:t>
            </w:r>
          </w:p>
        </w:tc>
        <w:tc>
          <w:tcPr>
            <w:tcW w:w="926" w:type="pct"/>
            <w:tcBorders>
              <w:top w:val="single" w:color="auto" w:sz="4" w:space="0"/>
              <w:left w:val="nil"/>
              <w:bottom w:val="single" w:color="auto" w:sz="4" w:space="0"/>
              <w:right w:val="single" w:color="auto" w:sz="4" w:space="0"/>
            </w:tcBorders>
            <w:shd w:val="clear" w:color="auto" w:fill="FFFFFF"/>
            <w:noWrap/>
            <w:vAlign w:val="center"/>
          </w:tcPr>
          <w:p w14:paraId="05E60A35">
            <w:pPr>
              <w:widowControl/>
              <w:snapToGrid w:val="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 xml:space="preserve">1.CPU、内存、磁盘使用情况 </w:t>
            </w:r>
            <w:r>
              <w:rPr>
                <w:rFonts w:ascii="仿宋" w:hAnsi="仿宋" w:eastAsia="仿宋" w:cs="宋体"/>
                <w:color w:val="auto"/>
                <w:kern w:val="0"/>
                <w:sz w:val="24"/>
                <w:highlight w:val="none"/>
              </w:rPr>
              <w:t xml:space="preserve">                      2.</w:t>
            </w:r>
            <w:r>
              <w:rPr>
                <w:rFonts w:hint="eastAsia" w:ascii="仿宋" w:hAnsi="仿宋" w:eastAsia="仿宋" w:cs="宋体"/>
                <w:color w:val="auto"/>
                <w:kern w:val="0"/>
                <w:sz w:val="24"/>
                <w:highlight w:val="none"/>
              </w:rPr>
              <w:t>服务是否正常运行</w:t>
            </w:r>
          </w:p>
        </w:tc>
        <w:tc>
          <w:tcPr>
            <w:tcW w:w="926" w:type="pct"/>
            <w:tcBorders>
              <w:top w:val="single" w:color="auto" w:sz="4" w:space="0"/>
              <w:left w:val="nil"/>
              <w:bottom w:val="single" w:color="auto" w:sz="4" w:space="0"/>
              <w:right w:val="single" w:color="auto" w:sz="4" w:space="0"/>
            </w:tcBorders>
            <w:shd w:val="clear" w:color="auto" w:fill="FFFFFF"/>
            <w:vAlign w:val="center"/>
          </w:tcPr>
          <w:p w14:paraId="45919ABC">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r>
    </w:tbl>
    <w:p w14:paraId="3F5351A3">
      <w:pPr>
        <w:rPr>
          <w:color w:val="auto"/>
          <w:highlight w:val="none"/>
        </w:rPr>
      </w:pPr>
    </w:p>
    <w:p w14:paraId="4EA5675C">
      <w:pPr>
        <w:rPr>
          <w:color w:val="auto"/>
          <w:highlight w:val="none"/>
        </w:rPr>
      </w:pPr>
    </w:p>
    <w:p w14:paraId="6D11664B">
      <w:pPr>
        <w:adjustRightInd/>
        <w:spacing w:line="360" w:lineRule="auto"/>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五、交通、港航大楼楼内监控维保服务</w:t>
      </w:r>
    </w:p>
    <w:p w14:paraId="35180078">
      <w:pPr>
        <w:adjustRightInd/>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交通、港航大楼楼内监控维护，主要包括前端摄像头及其相配套的杆体设备箱内设备、监控组合大屏、监控线路及交换机、摄像机维护、前端摄像机、硬盘录像机设备及其附属设备维护，光纤收发器、交换机、视频光端机等安防设施及配套设施的进行日常维护,定期维护、保养、检修及紧急故障处理工作,确保整个系统的正常运行。包括零配件更换（含供货、安装），具体设备清单如下：</w:t>
      </w: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5542"/>
        <w:gridCol w:w="2377"/>
      </w:tblGrid>
      <w:tr w14:paraId="1E0F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42C925A0">
            <w:pPr>
              <w:widowControl/>
              <w:adjustRightInd/>
              <w:spacing w:line="360" w:lineRule="auto"/>
              <w:jc w:val="center"/>
              <w:rPr>
                <w:rFonts w:ascii="仿宋" w:hAnsi="仿宋" w:eastAsia="仿宋" w:cs="Times New Roman"/>
                <w:b w:val="0"/>
                <w:color w:val="auto"/>
                <w:kern w:val="2"/>
                <w:sz w:val="24"/>
                <w:highlight w:val="none"/>
                <w:lang w:val="en-US"/>
              </w:rPr>
            </w:pPr>
            <w:r>
              <w:rPr>
                <w:rFonts w:hint="eastAsia" w:ascii="仿宋" w:hAnsi="仿宋" w:eastAsia="仿宋" w:cs="Times New Roman"/>
                <w:b w:val="0"/>
                <w:color w:val="auto"/>
                <w:kern w:val="2"/>
                <w:sz w:val="24"/>
                <w:highlight w:val="none"/>
                <w:lang w:val="en-US"/>
              </w:rPr>
              <w:t>序号</w:t>
            </w:r>
          </w:p>
        </w:tc>
        <w:tc>
          <w:tcPr>
            <w:tcW w:w="5542" w:type="dxa"/>
            <w:tcBorders>
              <w:top w:val="single" w:color="auto" w:sz="4" w:space="0"/>
              <w:left w:val="single" w:color="auto" w:sz="4" w:space="0"/>
              <w:bottom w:val="single" w:color="auto" w:sz="4" w:space="0"/>
              <w:right w:val="single" w:color="auto" w:sz="4" w:space="0"/>
            </w:tcBorders>
            <w:noWrap/>
            <w:vAlign w:val="center"/>
          </w:tcPr>
          <w:p w14:paraId="44FDFAED">
            <w:pPr>
              <w:widowControl/>
              <w:adjustRightInd/>
              <w:spacing w:line="360" w:lineRule="auto"/>
              <w:jc w:val="center"/>
              <w:rPr>
                <w:rFonts w:ascii="仿宋" w:hAnsi="仿宋" w:eastAsia="仿宋" w:cs="Times New Roman"/>
                <w:b w:val="0"/>
                <w:color w:val="auto"/>
                <w:kern w:val="2"/>
                <w:sz w:val="24"/>
                <w:highlight w:val="none"/>
                <w:lang w:val="en-US"/>
              </w:rPr>
            </w:pPr>
            <w:r>
              <w:rPr>
                <w:rFonts w:hint="eastAsia" w:ascii="仿宋" w:hAnsi="仿宋" w:eastAsia="仿宋" w:cs="Times New Roman"/>
                <w:b w:val="0"/>
                <w:color w:val="auto"/>
                <w:kern w:val="2"/>
                <w:sz w:val="24"/>
                <w:highlight w:val="none"/>
                <w:lang w:val="en-US"/>
              </w:rPr>
              <w:t>设备名称及型号参数</w:t>
            </w:r>
          </w:p>
        </w:tc>
        <w:tc>
          <w:tcPr>
            <w:tcW w:w="2377" w:type="dxa"/>
            <w:tcBorders>
              <w:top w:val="single" w:color="auto" w:sz="4" w:space="0"/>
              <w:left w:val="single" w:color="auto" w:sz="4" w:space="0"/>
              <w:bottom w:val="single" w:color="auto" w:sz="4" w:space="0"/>
              <w:right w:val="single" w:color="auto" w:sz="4" w:space="0"/>
            </w:tcBorders>
            <w:noWrap/>
            <w:vAlign w:val="center"/>
          </w:tcPr>
          <w:p w14:paraId="5804D856">
            <w:pPr>
              <w:widowControl/>
              <w:adjustRightInd/>
              <w:spacing w:line="360" w:lineRule="auto"/>
              <w:jc w:val="center"/>
              <w:rPr>
                <w:rFonts w:ascii="仿宋" w:hAnsi="仿宋" w:eastAsia="仿宋" w:cs="Times New Roman"/>
                <w:b w:val="0"/>
                <w:color w:val="auto"/>
                <w:kern w:val="2"/>
                <w:sz w:val="24"/>
                <w:highlight w:val="none"/>
                <w:lang w:val="en-US"/>
              </w:rPr>
            </w:pPr>
            <w:r>
              <w:rPr>
                <w:rFonts w:hint="eastAsia" w:ascii="仿宋" w:hAnsi="仿宋" w:eastAsia="仿宋" w:cs="Times New Roman"/>
                <w:b w:val="0"/>
                <w:color w:val="auto"/>
                <w:kern w:val="2"/>
                <w:sz w:val="24"/>
                <w:highlight w:val="none"/>
                <w:lang w:val="en-US"/>
              </w:rPr>
              <w:t>数量</w:t>
            </w:r>
          </w:p>
        </w:tc>
      </w:tr>
      <w:tr w14:paraId="467A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6A2D0984">
            <w:pPr>
              <w:widowControl/>
              <w:adjustRightInd/>
              <w:spacing w:line="360" w:lineRule="auto"/>
              <w:jc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1</w:t>
            </w:r>
          </w:p>
        </w:tc>
        <w:tc>
          <w:tcPr>
            <w:tcW w:w="5542" w:type="dxa"/>
            <w:tcBorders>
              <w:top w:val="single" w:color="auto" w:sz="4" w:space="0"/>
              <w:left w:val="single" w:color="auto" w:sz="4" w:space="0"/>
              <w:bottom w:val="single" w:color="auto" w:sz="4" w:space="0"/>
              <w:right w:val="single" w:color="auto" w:sz="4" w:space="0"/>
            </w:tcBorders>
            <w:noWrap/>
            <w:vAlign w:val="center"/>
          </w:tcPr>
          <w:p w14:paraId="30A15E99">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hint="eastAsia" w:ascii="仿宋" w:hAnsi="仿宋" w:eastAsia="仿宋" w:cs="Times New Roman"/>
                <w:color w:val="auto"/>
                <w:kern w:val="2"/>
                <w:sz w:val="24"/>
                <w:highlight w:val="none"/>
                <w:lang w:val="en-US"/>
              </w:rPr>
              <w:t>摄像头</w:t>
            </w:r>
          </w:p>
        </w:tc>
        <w:tc>
          <w:tcPr>
            <w:tcW w:w="2377" w:type="dxa"/>
            <w:tcBorders>
              <w:top w:val="single" w:color="auto" w:sz="4" w:space="0"/>
              <w:left w:val="single" w:color="auto" w:sz="4" w:space="0"/>
              <w:bottom w:val="single" w:color="auto" w:sz="4" w:space="0"/>
              <w:right w:val="single" w:color="auto" w:sz="4" w:space="0"/>
            </w:tcBorders>
            <w:noWrap/>
            <w:vAlign w:val="center"/>
          </w:tcPr>
          <w:p w14:paraId="057D14B5">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rPr>
              <w:t>30</w:t>
            </w:r>
            <w:r>
              <w:rPr>
                <w:rFonts w:ascii="仿宋" w:hAnsi="仿宋" w:eastAsia="仿宋"/>
                <w:color w:val="auto"/>
                <w:sz w:val="24"/>
                <w:highlight w:val="none"/>
              </w:rPr>
              <w:t>1</w:t>
            </w:r>
            <w:r>
              <w:rPr>
                <w:rFonts w:hint="eastAsia" w:ascii="仿宋" w:hAnsi="仿宋" w:eastAsia="仿宋" w:cs="Times New Roman"/>
                <w:color w:val="auto"/>
                <w:kern w:val="2"/>
                <w:sz w:val="24"/>
                <w:highlight w:val="none"/>
                <w:lang w:val="en-US"/>
              </w:rPr>
              <w:t>台</w:t>
            </w:r>
          </w:p>
        </w:tc>
      </w:tr>
      <w:tr w14:paraId="229F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4A3CF318">
            <w:pPr>
              <w:widowControl/>
              <w:adjustRightInd/>
              <w:spacing w:line="360" w:lineRule="auto"/>
              <w:jc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2</w:t>
            </w:r>
          </w:p>
        </w:tc>
        <w:tc>
          <w:tcPr>
            <w:tcW w:w="5542" w:type="dxa"/>
            <w:tcBorders>
              <w:top w:val="single" w:color="auto" w:sz="4" w:space="0"/>
              <w:left w:val="single" w:color="auto" w:sz="4" w:space="0"/>
              <w:bottom w:val="single" w:color="auto" w:sz="4" w:space="0"/>
              <w:right w:val="single" w:color="auto" w:sz="4" w:space="0"/>
            </w:tcBorders>
            <w:noWrap/>
            <w:vAlign w:val="center"/>
          </w:tcPr>
          <w:p w14:paraId="44C85FAB">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hint="eastAsia" w:ascii="仿宋" w:hAnsi="仿宋" w:eastAsia="仿宋" w:cs="Times New Roman"/>
                <w:color w:val="auto"/>
                <w:kern w:val="2"/>
                <w:sz w:val="24"/>
                <w:highlight w:val="none"/>
                <w:lang w:val="en-US"/>
              </w:rPr>
              <w:t>硬盘录像机</w:t>
            </w:r>
          </w:p>
        </w:tc>
        <w:tc>
          <w:tcPr>
            <w:tcW w:w="2377" w:type="dxa"/>
            <w:tcBorders>
              <w:top w:val="single" w:color="auto" w:sz="4" w:space="0"/>
              <w:left w:val="single" w:color="auto" w:sz="4" w:space="0"/>
              <w:bottom w:val="single" w:color="auto" w:sz="4" w:space="0"/>
              <w:right w:val="single" w:color="auto" w:sz="4" w:space="0"/>
            </w:tcBorders>
            <w:noWrap/>
            <w:vAlign w:val="center"/>
          </w:tcPr>
          <w:p w14:paraId="1ED7D8D1">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5台</w:t>
            </w:r>
          </w:p>
        </w:tc>
      </w:tr>
      <w:tr w14:paraId="69AE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2B896D1D">
            <w:pPr>
              <w:widowControl/>
              <w:adjustRightInd/>
              <w:spacing w:line="360" w:lineRule="auto"/>
              <w:jc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3</w:t>
            </w:r>
          </w:p>
        </w:tc>
        <w:tc>
          <w:tcPr>
            <w:tcW w:w="5542" w:type="dxa"/>
            <w:tcBorders>
              <w:top w:val="single" w:color="auto" w:sz="4" w:space="0"/>
              <w:left w:val="single" w:color="auto" w:sz="4" w:space="0"/>
              <w:bottom w:val="single" w:color="auto" w:sz="4" w:space="0"/>
              <w:right w:val="single" w:color="auto" w:sz="4" w:space="0"/>
            </w:tcBorders>
            <w:noWrap/>
            <w:vAlign w:val="center"/>
          </w:tcPr>
          <w:p w14:paraId="4DC57DDF">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hint="eastAsia" w:ascii="仿宋" w:hAnsi="仿宋" w:eastAsia="仿宋" w:cs="Times New Roman"/>
                <w:color w:val="auto"/>
                <w:kern w:val="2"/>
                <w:sz w:val="24"/>
                <w:highlight w:val="none"/>
                <w:lang w:val="en-US"/>
              </w:rPr>
              <w:t>监控显示器</w:t>
            </w:r>
          </w:p>
        </w:tc>
        <w:tc>
          <w:tcPr>
            <w:tcW w:w="2377" w:type="dxa"/>
            <w:tcBorders>
              <w:top w:val="single" w:color="auto" w:sz="4" w:space="0"/>
              <w:left w:val="single" w:color="auto" w:sz="4" w:space="0"/>
              <w:bottom w:val="single" w:color="auto" w:sz="4" w:space="0"/>
              <w:right w:val="single" w:color="auto" w:sz="4" w:space="0"/>
            </w:tcBorders>
            <w:noWrap/>
            <w:vAlign w:val="center"/>
          </w:tcPr>
          <w:p w14:paraId="195B146B">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12台</w:t>
            </w:r>
          </w:p>
        </w:tc>
      </w:tr>
      <w:tr w14:paraId="4716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6E9BB72C">
            <w:pPr>
              <w:widowControl/>
              <w:adjustRightInd/>
              <w:spacing w:line="360" w:lineRule="auto"/>
              <w:jc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4</w:t>
            </w:r>
          </w:p>
        </w:tc>
        <w:tc>
          <w:tcPr>
            <w:tcW w:w="5542" w:type="dxa"/>
            <w:tcBorders>
              <w:top w:val="single" w:color="auto" w:sz="4" w:space="0"/>
              <w:left w:val="single" w:color="auto" w:sz="4" w:space="0"/>
              <w:bottom w:val="single" w:color="auto" w:sz="4" w:space="0"/>
              <w:right w:val="single" w:color="auto" w:sz="4" w:space="0"/>
            </w:tcBorders>
            <w:noWrap/>
            <w:vAlign w:val="center"/>
          </w:tcPr>
          <w:p w14:paraId="57E2EA34">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hint="eastAsia" w:ascii="仿宋" w:hAnsi="仿宋" w:eastAsia="仿宋" w:cs="Times New Roman"/>
                <w:color w:val="auto"/>
                <w:kern w:val="2"/>
                <w:sz w:val="24"/>
                <w:highlight w:val="none"/>
                <w:lang w:val="en-US"/>
              </w:rPr>
              <w:t>监控服务器</w:t>
            </w:r>
          </w:p>
        </w:tc>
        <w:tc>
          <w:tcPr>
            <w:tcW w:w="2377" w:type="dxa"/>
            <w:tcBorders>
              <w:top w:val="single" w:color="auto" w:sz="4" w:space="0"/>
              <w:left w:val="single" w:color="auto" w:sz="4" w:space="0"/>
              <w:bottom w:val="single" w:color="auto" w:sz="4" w:space="0"/>
              <w:right w:val="single" w:color="auto" w:sz="4" w:space="0"/>
            </w:tcBorders>
            <w:noWrap/>
            <w:vAlign w:val="center"/>
          </w:tcPr>
          <w:p w14:paraId="02F8054F">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1台</w:t>
            </w:r>
          </w:p>
        </w:tc>
      </w:tr>
      <w:tr w14:paraId="3EE2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7BB7342E">
            <w:pPr>
              <w:widowControl/>
              <w:adjustRightInd/>
              <w:spacing w:line="360" w:lineRule="auto"/>
              <w:jc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5</w:t>
            </w:r>
          </w:p>
        </w:tc>
        <w:tc>
          <w:tcPr>
            <w:tcW w:w="5542" w:type="dxa"/>
            <w:tcBorders>
              <w:top w:val="single" w:color="auto" w:sz="4" w:space="0"/>
              <w:left w:val="single" w:color="auto" w:sz="4" w:space="0"/>
              <w:bottom w:val="single" w:color="auto" w:sz="4" w:space="0"/>
              <w:right w:val="single" w:color="auto" w:sz="4" w:space="0"/>
            </w:tcBorders>
            <w:noWrap/>
            <w:vAlign w:val="center"/>
          </w:tcPr>
          <w:p w14:paraId="03BCC319">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hint="eastAsia" w:ascii="仿宋" w:hAnsi="仿宋" w:eastAsia="仿宋" w:cs="Times New Roman"/>
                <w:color w:val="auto"/>
                <w:kern w:val="2"/>
                <w:sz w:val="24"/>
                <w:highlight w:val="none"/>
                <w:lang w:val="en-US"/>
              </w:rPr>
              <w:t>监控</w:t>
            </w:r>
            <w:r>
              <w:rPr>
                <w:rFonts w:ascii="仿宋" w:hAnsi="仿宋" w:eastAsia="仿宋" w:cs="Times New Roman"/>
                <w:color w:val="auto"/>
                <w:kern w:val="2"/>
                <w:sz w:val="24"/>
                <w:highlight w:val="none"/>
                <w:lang w:val="en-US"/>
              </w:rPr>
              <w:t>POE交换机</w:t>
            </w:r>
          </w:p>
        </w:tc>
        <w:tc>
          <w:tcPr>
            <w:tcW w:w="2377" w:type="dxa"/>
            <w:tcBorders>
              <w:top w:val="single" w:color="auto" w:sz="4" w:space="0"/>
              <w:left w:val="single" w:color="auto" w:sz="4" w:space="0"/>
              <w:bottom w:val="single" w:color="auto" w:sz="4" w:space="0"/>
              <w:right w:val="single" w:color="auto" w:sz="4" w:space="0"/>
            </w:tcBorders>
            <w:noWrap/>
            <w:vAlign w:val="center"/>
          </w:tcPr>
          <w:p w14:paraId="2E414135">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12台</w:t>
            </w:r>
          </w:p>
        </w:tc>
      </w:tr>
      <w:tr w14:paraId="6FCB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2F75E21F">
            <w:pPr>
              <w:widowControl/>
              <w:adjustRightInd/>
              <w:spacing w:line="360" w:lineRule="auto"/>
              <w:jc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6</w:t>
            </w:r>
          </w:p>
        </w:tc>
        <w:tc>
          <w:tcPr>
            <w:tcW w:w="5542" w:type="dxa"/>
            <w:tcBorders>
              <w:top w:val="single" w:color="auto" w:sz="4" w:space="0"/>
              <w:left w:val="single" w:color="auto" w:sz="4" w:space="0"/>
              <w:bottom w:val="single" w:color="auto" w:sz="4" w:space="0"/>
              <w:right w:val="single" w:color="auto" w:sz="4" w:space="0"/>
            </w:tcBorders>
            <w:noWrap/>
            <w:vAlign w:val="center"/>
          </w:tcPr>
          <w:p w14:paraId="79B373AD">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hint="eastAsia" w:ascii="仿宋" w:hAnsi="仿宋" w:eastAsia="仿宋" w:cs="Times New Roman"/>
                <w:color w:val="auto"/>
                <w:kern w:val="2"/>
                <w:sz w:val="24"/>
                <w:highlight w:val="none"/>
                <w:lang w:val="en-US"/>
              </w:rPr>
              <w:t>监控视频阵列</w:t>
            </w:r>
          </w:p>
        </w:tc>
        <w:tc>
          <w:tcPr>
            <w:tcW w:w="2377" w:type="dxa"/>
            <w:tcBorders>
              <w:top w:val="single" w:color="auto" w:sz="4" w:space="0"/>
              <w:left w:val="single" w:color="auto" w:sz="4" w:space="0"/>
              <w:bottom w:val="single" w:color="auto" w:sz="4" w:space="0"/>
              <w:right w:val="single" w:color="auto" w:sz="4" w:space="0"/>
            </w:tcBorders>
            <w:noWrap/>
            <w:vAlign w:val="center"/>
          </w:tcPr>
          <w:p w14:paraId="45AB3BF3">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1台</w:t>
            </w:r>
          </w:p>
        </w:tc>
      </w:tr>
      <w:tr w14:paraId="0CBC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208845B9">
            <w:pPr>
              <w:widowControl/>
              <w:adjustRightInd/>
              <w:spacing w:line="360" w:lineRule="auto"/>
              <w:jc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7</w:t>
            </w:r>
          </w:p>
        </w:tc>
        <w:tc>
          <w:tcPr>
            <w:tcW w:w="5542" w:type="dxa"/>
            <w:tcBorders>
              <w:top w:val="single" w:color="auto" w:sz="4" w:space="0"/>
              <w:left w:val="single" w:color="auto" w:sz="4" w:space="0"/>
              <w:bottom w:val="single" w:color="auto" w:sz="4" w:space="0"/>
              <w:right w:val="single" w:color="auto" w:sz="4" w:space="0"/>
            </w:tcBorders>
            <w:noWrap/>
            <w:vAlign w:val="center"/>
          </w:tcPr>
          <w:p w14:paraId="04CF413B">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hint="eastAsia" w:ascii="仿宋" w:hAnsi="仿宋" w:eastAsia="仿宋" w:cs="Times New Roman"/>
                <w:color w:val="auto"/>
                <w:kern w:val="2"/>
                <w:sz w:val="24"/>
                <w:highlight w:val="none"/>
                <w:lang w:val="en-US"/>
              </w:rPr>
              <w:t>监控电脑</w:t>
            </w:r>
          </w:p>
        </w:tc>
        <w:tc>
          <w:tcPr>
            <w:tcW w:w="2377" w:type="dxa"/>
            <w:tcBorders>
              <w:top w:val="single" w:color="auto" w:sz="4" w:space="0"/>
              <w:left w:val="single" w:color="auto" w:sz="4" w:space="0"/>
              <w:bottom w:val="single" w:color="auto" w:sz="4" w:space="0"/>
              <w:right w:val="single" w:color="auto" w:sz="4" w:space="0"/>
            </w:tcBorders>
            <w:noWrap/>
            <w:vAlign w:val="center"/>
          </w:tcPr>
          <w:p w14:paraId="786092AF">
            <w:pPr>
              <w:widowControl/>
              <w:adjustRightInd/>
              <w:spacing w:line="360" w:lineRule="auto"/>
              <w:jc w:val="center"/>
              <w:textAlignment w:val="center"/>
              <w:rPr>
                <w:rFonts w:ascii="仿宋" w:hAnsi="仿宋" w:eastAsia="仿宋" w:cs="Times New Roman"/>
                <w:color w:val="auto"/>
                <w:kern w:val="2"/>
                <w:sz w:val="24"/>
                <w:highlight w:val="none"/>
                <w:lang w:val="en-US"/>
              </w:rPr>
            </w:pPr>
            <w:r>
              <w:rPr>
                <w:rFonts w:ascii="仿宋" w:hAnsi="仿宋" w:eastAsia="仿宋" w:cs="Times New Roman"/>
                <w:color w:val="auto"/>
                <w:kern w:val="2"/>
                <w:sz w:val="24"/>
                <w:highlight w:val="none"/>
                <w:lang w:val="en-US"/>
              </w:rPr>
              <w:t>1台</w:t>
            </w:r>
          </w:p>
        </w:tc>
      </w:tr>
    </w:tbl>
    <w:p w14:paraId="5FAD2D91">
      <w:pPr>
        <w:rPr>
          <w:color w:val="auto"/>
          <w:highlight w:val="none"/>
        </w:rPr>
      </w:pPr>
    </w:p>
    <w:p w14:paraId="0CF90517">
      <w:pPr>
        <w:rPr>
          <w:rFonts w:ascii="仿宋" w:hAnsi="仿宋" w:eastAsia="仿宋"/>
          <w:color w:val="auto"/>
          <w:sz w:val="24"/>
          <w:highlight w:val="none"/>
        </w:rPr>
      </w:pPr>
      <w:r>
        <w:rPr>
          <w:rFonts w:hint="eastAsia" w:ascii="仿宋" w:hAnsi="仿宋" w:eastAsia="仿宋"/>
          <w:color w:val="auto"/>
          <w:sz w:val="24"/>
          <w:highlight w:val="none"/>
        </w:rPr>
        <w:t>其中，摄像头分项清单如下：</w:t>
      </w: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2835"/>
        <w:gridCol w:w="1399"/>
        <w:gridCol w:w="2553"/>
      </w:tblGrid>
      <w:tr w14:paraId="2DCC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tcBorders>
              <w:top w:val="single" w:color="auto" w:sz="4" w:space="0"/>
              <w:left w:val="single" w:color="auto" w:sz="4" w:space="0"/>
              <w:bottom w:val="single" w:color="auto" w:sz="4" w:space="0"/>
              <w:right w:val="single" w:color="auto" w:sz="4" w:space="0"/>
            </w:tcBorders>
            <w:noWrap/>
            <w:vAlign w:val="center"/>
          </w:tcPr>
          <w:p w14:paraId="1E97B357">
            <w:pPr>
              <w:widowControl/>
              <w:adjustRightInd/>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名称</w:t>
            </w:r>
          </w:p>
        </w:tc>
        <w:tc>
          <w:tcPr>
            <w:tcW w:w="2835" w:type="dxa"/>
            <w:tcBorders>
              <w:top w:val="single" w:color="auto" w:sz="4" w:space="0"/>
              <w:left w:val="single" w:color="auto" w:sz="4" w:space="0"/>
              <w:bottom w:val="single" w:color="auto" w:sz="4" w:space="0"/>
              <w:right w:val="single" w:color="auto" w:sz="4" w:space="0"/>
            </w:tcBorders>
            <w:noWrap/>
            <w:vAlign w:val="center"/>
          </w:tcPr>
          <w:p w14:paraId="39F2FE5F">
            <w:pPr>
              <w:widowControl/>
              <w:adjustRightInd/>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型号</w:t>
            </w:r>
          </w:p>
        </w:tc>
        <w:tc>
          <w:tcPr>
            <w:tcW w:w="1399" w:type="dxa"/>
            <w:tcBorders>
              <w:top w:val="single" w:color="auto" w:sz="4" w:space="0"/>
              <w:left w:val="single" w:color="auto" w:sz="4" w:space="0"/>
              <w:bottom w:val="single" w:color="auto" w:sz="4" w:space="0"/>
              <w:right w:val="single" w:color="auto" w:sz="4" w:space="0"/>
            </w:tcBorders>
            <w:noWrap/>
            <w:vAlign w:val="center"/>
          </w:tcPr>
          <w:p w14:paraId="23BF1D44">
            <w:pPr>
              <w:widowControl/>
              <w:adjustRightInd/>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类型</w:t>
            </w:r>
          </w:p>
        </w:tc>
        <w:tc>
          <w:tcPr>
            <w:tcW w:w="2553" w:type="dxa"/>
            <w:tcBorders>
              <w:top w:val="single" w:color="auto" w:sz="4" w:space="0"/>
              <w:left w:val="single" w:color="auto" w:sz="4" w:space="0"/>
              <w:bottom w:val="single" w:color="auto" w:sz="4" w:space="0"/>
              <w:right w:val="single" w:color="auto" w:sz="4" w:space="0"/>
            </w:tcBorders>
            <w:noWrap/>
            <w:vAlign w:val="center"/>
          </w:tcPr>
          <w:p w14:paraId="5EEDA466">
            <w:pPr>
              <w:widowControl/>
              <w:adjustRightInd/>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数量</w:t>
            </w:r>
          </w:p>
        </w:tc>
      </w:tr>
      <w:tr w14:paraId="538D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7BA91D">
            <w:pPr>
              <w:widowControl/>
              <w:adjustRightInd/>
              <w:spacing w:line="360" w:lineRule="auto"/>
              <w:jc w:val="center"/>
              <w:textAlignment w:val="center"/>
              <w:rPr>
                <w:rFonts w:ascii="仿宋" w:hAnsi="仿宋" w:eastAsia="仿宋"/>
                <w:color w:val="auto"/>
                <w:sz w:val="24"/>
                <w:highlight w:val="none"/>
              </w:rPr>
            </w:pPr>
            <w:r>
              <w:rPr>
                <w:rFonts w:hint="eastAsia" w:ascii="仿宋" w:hAnsi="仿宋" w:eastAsia="仿宋"/>
                <w:color w:val="auto"/>
                <w:sz w:val="24"/>
                <w:highlight w:val="none"/>
              </w:rPr>
              <w:t>摄像头</w:t>
            </w:r>
          </w:p>
        </w:tc>
        <w:tc>
          <w:tcPr>
            <w:tcW w:w="2835"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420D9CB2">
            <w:pPr>
              <w:widowControl/>
              <w:adjustRightInd/>
              <w:spacing w:line="360" w:lineRule="auto"/>
              <w:jc w:val="center"/>
              <w:textAlignment w:val="bottom"/>
              <w:rPr>
                <w:rFonts w:ascii="仿宋" w:hAnsi="仿宋" w:eastAsia="仿宋"/>
                <w:color w:val="auto"/>
                <w:sz w:val="24"/>
                <w:highlight w:val="none"/>
              </w:rPr>
            </w:pPr>
            <w:r>
              <w:rPr>
                <w:rFonts w:hint="eastAsia" w:ascii="仿宋" w:hAnsi="仿宋" w:eastAsia="仿宋"/>
                <w:color w:val="auto"/>
                <w:sz w:val="24"/>
                <w:highlight w:val="none"/>
              </w:rPr>
              <w:t>DS-2CD2325ZK-L</w:t>
            </w:r>
          </w:p>
        </w:tc>
        <w:tc>
          <w:tcPr>
            <w:tcW w:w="1399"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70C0525D">
            <w:pPr>
              <w:widowControl/>
              <w:adjustRightInd/>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半球机</w:t>
            </w:r>
          </w:p>
        </w:tc>
        <w:tc>
          <w:tcPr>
            <w:tcW w:w="25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60FBA4">
            <w:pPr>
              <w:widowControl/>
              <w:adjustRightInd/>
              <w:spacing w:line="360" w:lineRule="auto"/>
              <w:jc w:val="center"/>
              <w:textAlignment w:val="center"/>
              <w:rPr>
                <w:rFonts w:ascii="仿宋" w:hAnsi="仿宋" w:eastAsia="仿宋"/>
                <w:color w:val="auto"/>
                <w:sz w:val="24"/>
                <w:highlight w:val="none"/>
              </w:rPr>
            </w:pPr>
            <w:r>
              <w:rPr>
                <w:rFonts w:hint="eastAsia" w:ascii="仿宋" w:hAnsi="仿宋" w:eastAsia="仿宋"/>
                <w:color w:val="auto"/>
                <w:sz w:val="24"/>
                <w:highlight w:val="none"/>
              </w:rPr>
              <w:t>235</w:t>
            </w:r>
          </w:p>
        </w:tc>
      </w:tr>
      <w:tr w14:paraId="5A32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642BEC">
            <w:pPr>
              <w:widowControl/>
              <w:adjustRightInd/>
              <w:spacing w:line="360" w:lineRule="auto"/>
              <w:jc w:val="center"/>
              <w:textAlignment w:val="center"/>
              <w:rPr>
                <w:rFonts w:ascii="仿宋" w:hAnsi="仿宋" w:eastAsia="仿宋"/>
                <w:color w:val="auto"/>
                <w:sz w:val="24"/>
                <w:highlight w:val="none"/>
              </w:rPr>
            </w:pPr>
            <w:r>
              <w:rPr>
                <w:rFonts w:hint="eastAsia" w:ascii="仿宋" w:hAnsi="仿宋" w:eastAsia="仿宋"/>
                <w:color w:val="auto"/>
                <w:sz w:val="24"/>
                <w:highlight w:val="none"/>
              </w:rPr>
              <w:t>摄像头</w:t>
            </w:r>
          </w:p>
        </w:tc>
        <w:tc>
          <w:tcPr>
            <w:tcW w:w="2835"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53BB4917">
            <w:pPr>
              <w:widowControl/>
              <w:adjustRightInd/>
              <w:spacing w:line="360" w:lineRule="auto"/>
              <w:jc w:val="center"/>
              <w:textAlignment w:val="bottom"/>
              <w:rPr>
                <w:rFonts w:ascii="仿宋" w:hAnsi="仿宋" w:eastAsia="仿宋"/>
                <w:color w:val="auto"/>
                <w:sz w:val="24"/>
                <w:highlight w:val="none"/>
              </w:rPr>
            </w:pPr>
            <w:r>
              <w:rPr>
                <w:rFonts w:hint="eastAsia" w:ascii="仿宋" w:hAnsi="仿宋" w:eastAsia="仿宋"/>
                <w:color w:val="auto"/>
                <w:sz w:val="24"/>
                <w:highlight w:val="none"/>
              </w:rPr>
              <w:t>DS-2CD2T25ZK-L3</w:t>
            </w:r>
          </w:p>
        </w:tc>
        <w:tc>
          <w:tcPr>
            <w:tcW w:w="1399"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7D8CC15E">
            <w:pPr>
              <w:widowControl/>
              <w:adjustRightInd/>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枪机</w:t>
            </w:r>
          </w:p>
        </w:tc>
        <w:tc>
          <w:tcPr>
            <w:tcW w:w="25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7EF0D5">
            <w:pPr>
              <w:widowControl/>
              <w:adjustRightInd/>
              <w:spacing w:line="360" w:lineRule="auto"/>
              <w:jc w:val="center"/>
              <w:textAlignment w:val="center"/>
              <w:rPr>
                <w:rFonts w:ascii="仿宋" w:hAnsi="仿宋" w:eastAsia="仿宋"/>
                <w:color w:val="auto"/>
                <w:sz w:val="24"/>
                <w:highlight w:val="none"/>
              </w:rPr>
            </w:pPr>
            <w:r>
              <w:rPr>
                <w:rFonts w:ascii="仿宋" w:hAnsi="仿宋" w:eastAsia="仿宋"/>
                <w:color w:val="auto"/>
                <w:sz w:val="24"/>
                <w:highlight w:val="none"/>
              </w:rPr>
              <w:t>48</w:t>
            </w:r>
          </w:p>
        </w:tc>
      </w:tr>
      <w:tr w14:paraId="45F8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B06C41">
            <w:pPr>
              <w:widowControl/>
              <w:adjustRightInd/>
              <w:spacing w:line="360" w:lineRule="auto"/>
              <w:jc w:val="center"/>
              <w:textAlignment w:val="center"/>
              <w:rPr>
                <w:rFonts w:ascii="仿宋" w:hAnsi="仿宋" w:eastAsia="仿宋"/>
                <w:color w:val="auto"/>
                <w:sz w:val="24"/>
                <w:highlight w:val="none"/>
              </w:rPr>
            </w:pPr>
            <w:r>
              <w:rPr>
                <w:rFonts w:hint="eastAsia" w:ascii="仿宋" w:hAnsi="仿宋" w:eastAsia="仿宋"/>
                <w:color w:val="auto"/>
                <w:sz w:val="24"/>
                <w:highlight w:val="none"/>
              </w:rPr>
              <w:t>摄像头</w:t>
            </w:r>
          </w:p>
        </w:tc>
        <w:tc>
          <w:tcPr>
            <w:tcW w:w="2835"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5A767721">
            <w:pPr>
              <w:widowControl/>
              <w:adjustRightInd/>
              <w:spacing w:line="360" w:lineRule="auto"/>
              <w:jc w:val="center"/>
              <w:textAlignment w:val="bottom"/>
              <w:rPr>
                <w:rFonts w:ascii="仿宋" w:hAnsi="仿宋" w:eastAsia="仿宋"/>
                <w:color w:val="auto"/>
                <w:sz w:val="24"/>
                <w:highlight w:val="none"/>
              </w:rPr>
            </w:pPr>
            <w:r>
              <w:rPr>
                <w:rFonts w:hint="eastAsia" w:ascii="仿宋" w:hAnsi="仿宋" w:eastAsia="仿宋"/>
                <w:color w:val="auto"/>
                <w:sz w:val="24"/>
                <w:highlight w:val="none"/>
              </w:rPr>
              <w:t>DS-2CD3325</w:t>
            </w:r>
          </w:p>
        </w:tc>
        <w:tc>
          <w:tcPr>
            <w:tcW w:w="1399"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362A8702">
            <w:pPr>
              <w:widowControl/>
              <w:adjustRightInd/>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半球机</w:t>
            </w:r>
          </w:p>
        </w:tc>
        <w:tc>
          <w:tcPr>
            <w:tcW w:w="25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258CC5">
            <w:pPr>
              <w:widowControl/>
              <w:adjustRightInd/>
              <w:spacing w:line="360" w:lineRule="auto"/>
              <w:jc w:val="center"/>
              <w:textAlignment w:val="center"/>
              <w:rPr>
                <w:rFonts w:ascii="仿宋" w:hAnsi="仿宋" w:eastAsia="仿宋"/>
                <w:color w:val="auto"/>
                <w:sz w:val="24"/>
                <w:highlight w:val="none"/>
              </w:rPr>
            </w:pPr>
            <w:r>
              <w:rPr>
                <w:rFonts w:hint="eastAsia" w:ascii="仿宋" w:hAnsi="仿宋" w:eastAsia="仿宋"/>
                <w:color w:val="auto"/>
                <w:sz w:val="24"/>
                <w:highlight w:val="none"/>
              </w:rPr>
              <w:t>3</w:t>
            </w:r>
          </w:p>
        </w:tc>
      </w:tr>
      <w:tr w14:paraId="77B8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659FCB">
            <w:pPr>
              <w:widowControl/>
              <w:adjustRightInd/>
              <w:spacing w:line="360" w:lineRule="auto"/>
              <w:jc w:val="center"/>
              <w:textAlignment w:val="center"/>
              <w:rPr>
                <w:rFonts w:ascii="仿宋" w:hAnsi="仿宋" w:eastAsia="仿宋"/>
                <w:color w:val="auto"/>
                <w:sz w:val="24"/>
                <w:highlight w:val="none"/>
              </w:rPr>
            </w:pPr>
            <w:r>
              <w:rPr>
                <w:rFonts w:hint="eastAsia" w:ascii="仿宋" w:hAnsi="仿宋" w:eastAsia="仿宋"/>
                <w:color w:val="auto"/>
                <w:sz w:val="24"/>
                <w:highlight w:val="none"/>
              </w:rPr>
              <w:t>摄像头</w:t>
            </w:r>
          </w:p>
        </w:tc>
        <w:tc>
          <w:tcPr>
            <w:tcW w:w="2835"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337AC987">
            <w:pPr>
              <w:widowControl/>
              <w:adjustRightInd/>
              <w:spacing w:line="360" w:lineRule="auto"/>
              <w:jc w:val="center"/>
              <w:textAlignment w:val="bottom"/>
              <w:rPr>
                <w:rFonts w:ascii="仿宋" w:hAnsi="仿宋" w:eastAsia="仿宋"/>
                <w:color w:val="auto"/>
                <w:sz w:val="24"/>
                <w:highlight w:val="none"/>
              </w:rPr>
            </w:pPr>
            <w:r>
              <w:rPr>
                <w:rFonts w:hint="eastAsia" w:ascii="仿宋" w:hAnsi="仿宋" w:eastAsia="仿宋"/>
                <w:color w:val="auto"/>
                <w:sz w:val="24"/>
                <w:highlight w:val="none"/>
              </w:rPr>
              <w:t>DS-2CD3320D-I</w:t>
            </w:r>
          </w:p>
        </w:tc>
        <w:tc>
          <w:tcPr>
            <w:tcW w:w="1399"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172E9B76">
            <w:pPr>
              <w:widowControl/>
              <w:adjustRightInd/>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球机</w:t>
            </w:r>
          </w:p>
        </w:tc>
        <w:tc>
          <w:tcPr>
            <w:tcW w:w="25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945FE9">
            <w:pPr>
              <w:widowControl/>
              <w:adjustRightInd/>
              <w:spacing w:line="360" w:lineRule="auto"/>
              <w:jc w:val="center"/>
              <w:textAlignment w:val="center"/>
              <w:rPr>
                <w:rFonts w:ascii="仿宋" w:hAnsi="仿宋" w:eastAsia="仿宋"/>
                <w:color w:val="auto"/>
                <w:sz w:val="24"/>
                <w:highlight w:val="none"/>
              </w:rPr>
            </w:pPr>
            <w:r>
              <w:rPr>
                <w:rFonts w:hint="eastAsia" w:ascii="仿宋" w:hAnsi="仿宋" w:eastAsia="仿宋"/>
                <w:color w:val="auto"/>
                <w:sz w:val="24"/>
                <w:highlight w:val="none"/>
              </w:rPr>
              <w:t>5</w:t>
            </w:r>
          </w:p>
        </w:tc>
      </w:tr>
      <w:tr w14:paraId="54EA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8E4A31">
            <w:pPr>
              <w:widowControl/>
              <w:adjustRightInd/>
              <w:spacing w:line="360" w:lineRule="auto"/>
              <w:jc w:val="center"/>
              <w:textAlignment w:val="center"/>
              <w:rPr>
                <w:rFonts w:ascii="仿宋" w:hAnsi="仿宋" w:eastAsia="仿宋"/>
                <w:color w:val="auto"/>
                <w:sz w:val="24"/>
                <w:highlight w:val="none"/>
              </w:rPr>
            </w:pPr>
            <w:r>
              <w:rPr>
                <w:rFonts w:hint="eastAsia" w:ascii="仿宋" w:hAnsi="仿宋" w:eastAsia="仿宋"/>
                <w:color w:val="auto"/>
                <w:sz w:val="24"/>
                <w:highlight w:val="none"/>
              </w:rPr>
              <w:t>摄像头</w:t>
            </w:r>
          </w:p>
        </w:tc>
        <w:tc>
          <w:tcPr>
            <w:tcW w:w="2835"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7A201E8B">
            <w:pPr>
              <w:widowControl/>
              <w:adjustRightInd/>
              <w:spacing w:line="360" w:lineRule="auto"/>
              <w:jc w:val="center"/>
              <w:textAlignment w:val="bottom"/>
              <w:rPr>
                <w:rFonts w:ascii="仿宋" w:hAnsi="仿宋" w:eastAsia="仿宋"/>
                <w:color w:val="auto"/>
                <w:sz w:val="24"/>
                <w:highlight w:val="none"/>
              </w:rPr>
            </w:pPr>
            <w:r>
              <w:rPr>
                <w:rFonts w:hint="eastAsia" w:ascii="仿宋" w:hAnsi="仿宋" w:eastAsia="仿宋"/>
                <w:color w:val="auto"/>
                <w:sz w:val="24"/>
                <w:highlight w:val="none"/>
              </w:rPr>
              <w:t>DS-TCG225</w:t>
            </w:r>
          </w:p>
        </w:tc>
        <w:tc>
          <w:tcPr>
            <w:tcW w:w="1399"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046BDB9E">
            <w:pPr>
              <w:widowControl/>
              <w:adjustRightInd/>
              <w:spacing w:line="360" w:lineRule="auto"/>
              <w:jc w:val="center"/>
              <w:rPr>
                <w:rFonts w:ascii="仿宋" w:hAnsi="仿宋" w:eastAsia="仿宋"/>
                <w:color w:val="auto"/>
                <w:sz w:val="24"/>
                <w:highlight w:val="none"/>
              </w:rPr>
            </w:pPr>
            <w:r>
              <w:rPr>
                <w:rFonts w:hint="eastAsia" w:ascii="仿宋" w:hAnsi="仿宋" w:eastAsia="仿宋"/>
                <w:color w:val="auto"/>
                <w:sz w:val="24"/>
                <w:highlight w:val="none"/>
              </w:rPr>
              <w:t>枪机</w:t>
            </w:r>
          </w:p>
        </w:tc>
        <w:tc>
          <w:tcPr>
            <w:tcW w:w="25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E86658">
            <w:pPr>
              <w:widowControl/>
              <w:adjustRightInd/>
              <w:spacing w:line="360" w:lineRule="auto"/>
              <w:jc w:val="center"/>
              <w:textAlignment w:val="center"/>
              <w:rPr>
                <w:rFonts w:ascii="仿宋" w:hAnsi="仿宋" w:eastAsia="仿宋"/>
                <w:color w:val="auto"/>
                <w:sz w:val="24"/>
                <w:highlight w:val="none"/>
              </w:rPr>
            </w:pPr>
            <w:r>
              <w:rPr>
                <w:rFonts w:hint="eastAsia" w:ascii="仿宋" w:hAnsi="仿宋" w:eastAsia="仿宋"/>
                <w:color w:val="auto"/>
                <w:sz w:val="24"/>
                <w:highlight w:val="none"/>
              </w:rPr>
              <w:t>10</w:t>
            </w:r>
          </w:p>
        </w:tc>
      </w:tr>
    </w:tbl>
    <w:p w14:paraId="13EAAA70">
      <w:pPr>
        <w:rPr>
          <w:color w:val="auto"/>
          <w:highlight w:val="none"/>
        </w:rPr>
      </w:pPr>
    </w:p>
    <w:p w14:paraId="724FCD2E">
      <w:pPr>
        <w:pStyle w:val="23"/>
        <w:ind w:firstLine="482"/>
        <w:outlineLvl w:val="2"/>
        <w:rPr>
          <w:rFonts w:hint="default" w:ascii="仿宋" w:hAnsi="仿宋" w:eastAsia="仿宋" w:cs="宋体"/>
          <w:b/>
          <w:color w:val="auto"/>
          <w:sz w:val="24"/>
          <w:highlight w:val="none"/>
          <w:lang w:val="en-US" w:eastAsia="zh-CN"/>
        </w:rPr>
      </w:pPr>
      <w:r>
        <w:rPr>
          <w:rFonts w:hint="eastAsia" w:ascii="仿宋" w:hAnsi="仿宋" w:eastAsia="仿宋" w:cs="宋体"/>
          <w:b/>
          <w:color w:val="auto"/>
          <w:sz w:val="24"/>
          <w:highlight w:val="none"/>
          <w:lang w:val="en-US" w:eastAsia="zh-CN"/>
        </w:rPr>
        <w:t>六、服务目标：确保杭州交通信息指挥中心及视频平台稳定运行，提供远程服务、现场服务和设备维保，确保设备安全，工作信息安全等。</w:t>
      </w:r>
    </w:p>
    <w:p w14:paraId="648F84CC">
      <w:pPr>
        <w:pStyle w:val="23"/>
        <w:ind w:firstLine="482"/>
        <w:outlineLvl w:val="2"/>
        <w:rPr>
          <w:rFonts w:hint="eastAsia" w:ascii="宋体" w:hAnsi="宋体" w:cs="宋体"/>
          <w:b/>
          <w:color w:val="auto"/>
          <w:highlight w:val="none"/>
        </w:rPr>
      </w:pPr>
      <w:r>
        <w:rPr>
          <w:rFonts w:hint="eastAsia" w:ascii="仿宋" w:hAnsi="仿宋" w:eastAsia="仿宋" w:cs="宋体"/>
          <w:b/>
          <w:color w:val="auto"/>
          <w:sz w:val="24"/>
          <w:highlight w:val="none"/>
          <w:lang w:val="en-US" w:eastAsia="zh-CN"/>
        </w:rPr>
        <w:t>七</w:t>
      </w:r>
      <w:r>
        <w:rPr>
          <w:rFonts w:hint="eastAsia" w:ascii="仿宋" w:hAnsi="仿宋" w:eastAsia="仿宋" w:cs="宋体"/>
          <w:b/>
          <w:color w:val="auto"/>
          <w:sz w:val="24"/>
          <w:highlight w:val="none"/>
        </w:rPr>
        <w:t>、项目服务期：</w:t>
      </w:r>
      <w:r>
        <w:rPr>
          <w:rFonts w:hint="eastAsia" w:ascii="宋体" w:hAnsi="宋体" w:cs="宋体"/>
          <w:b/>
          <w:color w:val="auto"/>
          <w:highlight w:val="none"/>
        </w:rPr>
        <w:t>服务期限</w:t>
      </w:r>
      <w:r>
        <w:rPr>
          <w:rFonts w:hint="eastAsia" w:ascii="宋体" w:hAnsi="宋体" w:cs="宋体"/>
          <w:b/>
          <w:color w:val="auto"/>
          <w:highlight w:val="none"/>
          <w:lang w:val="en-US" w:eastAsia="zh-CN"/>
        </w:rPr>
        <w:t>为1</w:t>
      </w:r>
      <w:r>
        <w:rPr>
          <w:rFonts w:hint="eastAsia" w:ascii="宋体" w:hAnsi="宋体" w:cs="宋体"/>
          <w:b/>
          <w:color w:val="auto"/>
          <w:highlight w:val="none"/>
        </w:rPr>
        <w:t>年，</w:t>
      </w:r>
      <w:r>
        <w:rPr>
          <w:rFonts w:hint="eastAsia" w:ascii="宋体" w:hAnsi="宋体" w:cs="宋体"/>
          <w:b/>
          <w:color w:val="auto"/>
          <w:highlight w:val="none"/>
          <w:lang w:val="en-US" w:eastAsia="zh-CN"/>
        </w:rPr>
        <w:t>自2026年6月1日—2027年5月31日</w:t>
      </w: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具体</w:t>
      </w:r>
      <w:r>
        <w:rPr>
          <w:rFonts w:hint="eastAsia" w:ascii="宋体" w:hAnsi="宋体" w:cs="宋体"/>
          <w:b/>
          <w:color w:val="auto"/>
          <w:highlight w:val="none"/>
        </w:rPr>
        <w:t>以合同</w:t>
      </w:r>
      <w:r>
        <w:rPr>
          <w:rFonts w:hint="eastAsia" w:ascii="宋体" w:hAnsi="宋体" w:cs="宋体"/>
          <w:b/>
          <w:color w:val="auto"/>
          <w:highlight w:val="none"/>
          <w:lang w:val="en-US" w:eastAsia="zh-CN"/>
        </w:rPr>
        <w:t>签订</w:t>
      </w:r>
      <w:r>
        <w:rPr>
          <w:rFonts w:hint="eastAsia" w:ascii="宋体" w:hAnsi="宋体" w:cs="宋体"/>
          <w:b/>
          <w:color w:val="auto"/>
          <w:highlight w:val="none"/>
        </w:rPr>
        <w:t>为准。</w:t>
      </w:r>
    </w:p>
    <w:p w14:paraId="612E5A8F">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lang w:val="en-US" w:eastAsia="zh-CN"/>
        </w:rPr>
        <w:t>八</w:t>
      </w:r>
      <w:r>
        <w:rPr>
          <w:rFonts w:hint="eastAsia" w:ascii="仿宋" w:hAnsi="仿宋" w:eastAsia="仿宋"/>
          <w:b/>
          <w:bCs/>
          <w:color w:val="auto"/>
          <w:sz w:val="24"/>
          <w:highlight w:val="none"/>
        </w:rPr>
        <w:t>、项目实施要求</w:t>
      </w:r>
    </w:p>
    <w:p w14:paraId="125835F5">
      <w:pPr>
        <w:spacing w:line="360" w:lineRule="auto"/>
        <w:ind w:firstLine="482" w:firstLineChars="200"/>
        <w:rPr>
          <w:rFonts w:ascii="仿宋" w:hAnsi="仿宋" w:eastAsia="仿宋" w:cs="宋体"/>
          <w:b/>
          <w:bCs/>
          <w:color w:val="auto"/>
          <w:sz w:val="24"/>
          <w:highlight w:val="none"/>
        </w:rPr>
      </w:pPr>
      <w:r>
        <w:rPr>
          <w:rFonts w:hint="eastAsia" w:ascii="仿宋" w:hAnsi="仿宋" w:eastAsia="仿宋" w:cs="宋体"/>
          <w:b/>
          <w:bCs/>
          <w:color w:val="auto"/>
          <w:sz w:val="24"/>
          <w:highlight w:val="none"/>
          <w:lang w:val="en-US" w:eastAsia="zh-CN"/>
        </w:rPr>
        <w:t>8</w:t>
      </w:r>
      <w:r>
        <w:rPr>
          <w:rFonts w:ascii="仿宋" w:hAnsi="仿宋" w:eastAsia="仿宋" w:cs="宋体"/>
          <w:b/>
          <w:bCs/>
          <w:color w:val="auto"/>
          <w:sz w:val="24"/>
          <w:highlight w:val="none"/>
        </w:rPr>
        <w:t>.1</w:t>
      </w:r>
      <w:r>
        <w:rPr>
          <w:rFonts w:hint="eastAsia" w:ascii="仿宋" w:hAnsi="仿宋" w:eastAsia="仿宋" w:cs="宋体"/>
          <w:b/>
          <w:bCs/>
          <w:color w:val="auto"/>
          <w:sz w:val="24"/>
          <w:highlight w:val="none"/>
        </w:rPr>
        <w:t>项目组织管理和人员要求</w:t>
      </w:r>
    </w:p>
    <w:p w14:paraId="4D40A370">
      <w:pPr>
        <w:pStyle w:val="29"/>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1、供应商需具有规范的内部管理和人员培训等制度。</w:t>
      </w:r>
    </w:p>
    <w:p w14:paraId="41C14885">
      <w:pPr>
        <w:pStyle w:val="29"/>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2、对项目组人员的要求</w:t>
      </w:r>
    </w:p>
    <w:p w14:paraId="1016B7C8">
      <w:pPr>
        <w:pStyle w:val="29"/>
        <w:spacing w:line="360" w:lineRule="auto"/>
        <w:ind w:firstLine="482" w:firstLineChars="200"/>
        <w:rPr>
          <w:rFonts w:ascii="仿宋" w:hAnsi="仿宋" w:eastAsia="仿宋" w:cs="宋体"/>
          <w:color w:val="auto"/>
          <w:sz w:val="24"/>
          <w:szCs w:val="24"/>
          <w:highlight w:val="none"/>
        </w:rPr>
      </w:pPr>
      <w:r>
        <w:rPr>
          <w:rFonts w:hint="eastAsia" w:ascii="仿宋" w:hAnsi="仿宋" w:eastAsia="仿宋" w:cs="仿宋"/>
          <w:b/>
          <w:color w:val="auto"/>
          <w:kern w:val="0"/>
          <w:sz w:val="24"/>
          <w:szCs w:val="24"/>
          <w:highlight w:val="none"/>
        </w:rPr>
        <w:t>拟派项目班组人员总数不得少于5人。其中：</w:t>
      </w:r>
    </w:p>
    <w:p w14:paraId="790186E0">
      <w:pPr>
        <w:pStyle w:val="29"/>
        <w:numPr>
          <w:ilvl w:val="0"/>
          <w:numId w:val="2"/>
        </w:numPr>
        <w:shd w:val="clear" w:color="auto" w:fill="FFFF0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项目负责人1名，项目负责人具有</w:t>
      </w:r>
      <w:r>
        <w:rPr>
          <w:rFonts w:hint="eastAsia" w:ascii="仿宋" w:hAnsi="仿宋" w:eastAsia="仿宋" w:cs="仿宋_GB2312"/>
          <w:bCs/>
          <w:color w:val="auto"/>
          <w:sz w:val="24"/>
          <w:highlight w:val="none"/>
        </w:rPr>
        <w:t>计算机技术与软件专业技术资格（水平）高级证书</w:t>
      </w:r>
      <w:r>
        <w:rPr>
          <w:rFonts w:hint="eastAsia" w:ascii="仿宋" w:hAnsi="仿宋" w:eastAsia="仿宋" w:cs="宋体"/>
          <w:color w:val="auto"/>
          <w:sz w:val="24"/>
          <w:szCs w:val="24"/>
          <w:highlight w:val="none"/>
        </w:rPr>
        <w:t>，且需具备一定的管理能力和经验。项目负责人必须保障每周至少到场一次，每月亲自对项目进行月度总结汇报，不得委托其他人员负责对接采购单位。</w:t>
      </w:r>
    </w:p>
    <w:p w14:paraId="29AB02D2">
      <w:pPr>
        <w:pStyle w:val="29"/>
        <w:shd w:val="clear" w:color="auto" w:fill="FFFF00"/>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highlight w:val="none"/>
        </w:rPr>
        <w:t>（2）项目组成员（不包</w:t>
      </w:r>
      <w:r>
        <w:rPr>
          <w:rFonts w:hint="eastAsia" w:ascii="仿宋" w:hAnsi="仿宋" w:eastAsia="仿宋" w:cs="宋体"/>
          <w:color w:val="auto"/>
          <w:sz w:val="24"/>
          <w:highlight w:val="none"/>
          <w:lang w:val="en-US" w:eastAsia="zh-CN"/>
        </w:rPr>
        <w:t>含</w:t>
      </w:r>
      <w:r>
        <w:rPr>
          <w:rFonts w:hint="eastAsia" w:ascii="仿宋" w:hAnsi="仿宋" w:eastAsia="仿宋" w:cs="宋体"/>
          <w:color w:val="auto"/>
          <w:sz w:val="24"/>
          <w:highlight w:val="none"/>
        </w:rPr>
        <w:t>项目负责人）4名，</w:t>
      </w:r>
      <w:r>
        <w:rPr>
          <w:rFonts w:hint="eastAsia" w:ascii="仿宋" w:hAnsi="仿宋" w:eastAsia="仿宋" w:cs="宋体"/>
          <w:color w:val="auto"/>
          <w:sz w:val="24"/>
          <w:szCs w:val="24"/>
          <w:highlight w:val="none"/>
        </w:rPr>
        <w:t>具有计算机技术与软件专业技术资格（水平）中级</w:t>
      </w:r>
      <w:r>
        <w:rPr>
          <w:rFonts w:hint="eastAsia" w:ascii="仿宋" w:hAnsi="仿宋" w:eastAsia="仿宋" w:cs="宋体"/>
          <w:color w:val="auto"/>
          <w:sz w:val="24"/>
          <w:szCs w:val="24"/>
          <w:highlight w:val="none"/>
          <w:lang w:val="en-US" w:eastAsia="zh-CN"/>
        </w:rPr>
        <w:t>及以上</w:t>
      </w:r>
      <w:r>
        <w:rPr>
          <w:rFonts w:hint="eastAsia" w:ascii="仿宋" w:hAnsi="仿宋" w:eastAsia="仿宋" w:cs="宋体"/>
          <w:color w:val="auto"/>
          <w:sz w:val="24"/>
          <w:szCs w:val="24"/>
          <w:highlight w:val="none"/>
        </w:rPr>
        <w:t>证书，具备网络、信息安全和软硬件维护等相关技术能力。</w:t>
      </w:r>
    </w:p>
    <w:p w14:paraId="28A6FED7">
      <w:pPr>
        <w:snapToGrid w:val="0"/>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3）在运维期内，应确保交通指挥中心运行维保服务、杭州交通系统视频综合平台运行维保服务、交通营运车（船）载视频平台维护、杭州市交通建设工程视频平台有相对固定的维护人员，同时配备足够的、有一定经验的技术人员提供相关技术保障支撑服务。</w:t>
      </w:r>
    </w:p>
    <w:p w14:paraId="45B42DBA">
      <w:pPr>
        <w:spacing w:line="360" w:lineRule="auto"/>
        <w:ind w:firstLine="480"/>
        <w:rPr>
          <w:rFonts w:ascii="仿宋" w:hAnsi="仿宋" w:eastAsia="仿宋" w:cs="宋体"/>
          <w:color w:val="auto"/>
          <w:sz w:val="24"/>
          <w:highlight w:val="none"/>
        </w:rPr>
      </w:pPr>
      <w:r>
        <w:rPr>
          <w:rFonts w:hint="eastAsia" w:ascii="仿宋" w:hAnsi="仿宋" w:eastAsia="仿宋" w:cs="宋体"/>
          <w:color w:val="auto"/>
          <w:sz w:val="24"/>
          <w:highlight w:val="none"/>
        </w:rPr>
        <w:t>3、对于服务人员其他要求</w:t>
      </w:r>
    </w:p>
    <w:p w14:paraId="55EF7F21">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熟悉维护范围内的相关软硬件和网络；熟悉采购人相关工作制度和规范，并服从采购人单位的管理，服从采购人单位的工作制度，服从采购人单位的工作分配等。</w:t>
      </w:r>
    </w:p>
    <w:p w14:paraId="139B0BC2">
      <w:pPr>
        <w:spacing w:line="360" w:lineRule="auto"/>
        <w:ind w:firstLine="480"/>
        <w:rPr>
          <w:rFonts w:ascii="仿宋" w:hAnsi="仿宋" w:eastAsia="仿宋" w:cs="宋体"/>
          <w:color w:val="auto"/>
          <w:sz w:val="24"/>
          <w:highlight w:val="none"/>
        </w:rPr>
      </w:pPr>
      <w:r>
        <w:rPr>
          <w:rFonts w:hint="eastAsia" w:ascii="仿宋" w:hAnsi="仿宋" w:eastAsia="仿宋" w:cs="宋体"/>
          <w:color w:val="auto"/>
          <w:sz w:val="24"/>
          <w:highlight w:val="none"/>
        </w:rPr>
        <w:t>服务期间，服务人员完成的工作成果，归采购人单位所有，未经同意不得另作它用，如有违反采购人有权追究其法律责任。</w:t>
      </w:r>
    </w:p>
    <w:p w14:paraId="695C95C7">
      <w:pPr>
        <w:spacing w:line="360" w:lineRule="auto"/>
        <w:ind w:firstLine="480"/>
        <w:rPr>
          <w:rFonts w:ascii="仿宋" w:hAnsi="仿宋" w:eastAsia="仿宋" w:cs="宋体"/>
          <w:color w:val="auto"/>
          <w:sz w:val="24"/>
          <w:highlight w:val="none"/>
        </w:rPr>
      </w:pPr>
      <w:r>
        <w:rPr>
          <w:rFonts w:hint="eastAsia" w:ascii="仿宋" w:hAnsi="仿宋" w:eastAsia="仿宋" w:cs="宋体"/>
          <w:color w:val="auto"/>
          <w:sz w:val="24"/>
          <w:highlight w:val="none"/>
        </w:rPr>
        <w:t>供应商必须在中标后7日内配齐符合采购人单位需求的人员且经采购人单位现场确认后可以开始签订合同。服务人员因为调动、辞职或被要求替换等原因导致人员不足的，而在5天内未能及时补齐符合要求的人员的，则视为中标人主动违约，采购人单位有权终止合同，并有权拒绝支付本期项目服务费。</w:t>
      </w:r>
    </w:p>
    <w:p w14:paraId="16554BEB">
      <w:pPr>
        <w:adjustRightInd/>
        <w:spacing w:line="360" w:lineRule="auto"/>
        <w:ind w:firstLine="480"/>
        <w:rPr>
          <w:rFonts w:ascii="仿宋" w:hAnsi="仿宋" w:eastAsia="仿宋" w:cs="宋体"/>
          <w:color w:val="auto"/>
          <w:sz w:val="24"/>
          <w:highlight w:val="none"/>
        </w:rPr>
      </w:pPr>
      <w:r>
        <w:rPr>
          <w:rFonts w:hint="eastAsia" w:ascii="仿宋" w:hAnsi="仿宋" w:eastAsia="仿宋" w:cs="宋体"/>
          <w:color w:val="auto"/>
          <w:sz w:val="24"/>
          <w:highlight w:val="none"/>
        </w:rPr>
        <w:t>因人员蓄意破坏设备设施、违反规程造成重大事故的，一经查实，则视为中标人严重违约，采购人单位有权终止合同，并责令中标人赔偿损失，情节严重的依法追究相关人员和中标人法律责任。</w:t>
      </w:r>
    </w:p>
    <w:p w14:paraId="0FAD3739">
      <w:pPr>
        <w:adjustRightInd/>
        <w:spacing w:line="360" w:lineRule="auto"/>
        <w:ind w:firstLine="480"/>
        <w:rPr>
          <w:rFonts w:ascii="仿宋" w:hAnsi="仿宋" w:eastAsia="仿宋" w:cs="宋体"/>
          <w:color w:val="auto"/>
          <w:sz w:val="24"/>
          <w:highlight w:val="none"/>
        </w:rPr>
      </w:pPr>
      <w:r>
        <w:rPr>
          <w:rFonts w:hint="eastAsia" w:ascii="仿宋" w:hAnsi="仿宋" w:eastAsia="仿宋" w:cs="宋体"/>
          <w:color w:val="auto"/>
          <w:sz w:val="24"/>
          <w:highlight w:val="none"/>
        </w:rPr>
        <w:t>若供应商在服务期间违反服务承诺或本招标文件的要求三次或以上，采购人有权拒绝支付本期项目服务费。</w:t>
      </w:r>
    </w:p>
    <w:p w14:paraId="19DB74FF">
      <w:pPr>
        <w:adjustRightInd/>
        <w:spacing w:line="360" w:lineRule="auto"/>
        <w:ind w:firstLine="482" w:firstLineChars="200"/>
        <w:rPr>
          <w:rFonts w:ascii="仿宋" w:hAnsi="仿宋" w:eastAsia="仿宋" w:cs="宋体"/>
          <w:b/>
          <w:bCs/>
          <w:color w:val="auto"/>
          <w:sz w:val="24"/>
          <w:highlight w:val="none"/>
        </w:rPr>
      </w:pPr>
      <w:bookmarkStart w:id="32" w:name="_Toc14052"/>
      <w:r>
        <w:rPr>
          <w:rFonts w:hint="eastAsia" w:ascii="仿宋" w:hAnsi="仿宋" w:eastAsia="仿宋" w:cs="宋体"/>
          <w:b/>
          <w:bCs/>
          <w:color w:val="auto"/>
          <w:sz w:val="24"/>
          <w:highlight w:val="none"/>
          <w:lang w:val="en-US" w:eastAsia="zh-CN"/>
        </w:rPr>
        <w:t>8</w:t>
      </w:r>
      <w:r>
        <w:rPr>
          <w:rFonts w:hint="eastAsia" w:ascii="仿宋" w:hAnsi="仿宋" w:eastAsia="仿宋" w:cs="宋体"/>
          <w:b/>
          <w:bCs/>
          <w:color w:val="auto"/>
          <w:sz w:val="24"/>
          <w:highlight w:val="none"/>
        </w:rPr>
        <w:t>.2安全违约责任</w:t>
      </w:r>
    </w:p>
    <w:p w14:paraId="77128366">
      <w:pPr>
        <w:tabs>
          <w:tab w:val="left" w:pos="432"/>
        </w:tabs>
        <w:adjustRightInd/>
        <w:spacing w:line="360" w:lineRule="auto"/>
        <w:ind w:firstLine="480"/>
        <w:rPr>
          <w:rFonts w:ascii="仿宋" w:hAnsi="仿宋" w:eastAsia="仿宋" w:cs="宋体"/>
          <w:snapToGrid w:val="0"/>
          <w:color w:val="auto"/>
          <w:sz w:val="24"/>
          <w:highlight w:val="none"/>
        </w:rPr>
      </w:pPr>
      <w:r>
        <w:rPr>
          <w:rFonts w:hint="eastAsia" w:ascii="仿宋" w:hAnsi="仿宋" w:eastAsia="仿宋" w:cs="宋体"/>
          <w:snapToGrid w:val="0"/>
          <w:color w:val="auto"/>
          <w:sz w:val="24"/>
          <w:highlight w:val="none"/>
        </w:rPr>
        <w:t>1.本项目所涉及的项目组工作人员均需签订《保密承诺书》，且供应商应对项目涉及工作人员进行背景审查，存在泄密风险的工作人员不得接触项目。供应商应做好人员保密教育工作。</w:t>
      </w:r>
    </w:p>
    <w:p w14:paraId="429EB1B6">
      <w:pPr>
        <w:tabs>
          <w:tab w:val="left" w:pos="432"/>
        </w:tabs>
        <w:spacing w:line="360" w:lineRule="auto"/>
        <w:ind w:firstLine="480"/>
        <w:rPr>
          <w:rFonts w:ascii="仿宋" w:hAnsi="仿宋" w:eastAsia="仿宋" w:cs="宋体"/>
          <w:snapToGrid w:val="0"/>
          <w:color w:val="auto"/>
          <w:sz w:val="24"/>
          <w:highlight w:val="none"/>
        </w:rPr>
      </w:pPr>
      <w:r>
        <w:rPr>
          <w:rFonts w:hint="eastAsia" w:ascii="仿宋" w:hAnsi="仿宋" w:eastAsia="仿宋" w:cs="宋体"/>
          <w:snapToGrid w:val="0"/>
          <w:color w:val="auto"/>
          <w:sz w:val="24"/>
          <w:highlight w:val="none"/>
        </w:rPr>
        <w:t>2.完成项目中涉及的上级考核指标相关工作以及市交通局交办的其他任务。</w:t>
      </w:r>
    </w:p>
    <w:p w14:paraId="23FED72C">
      <w:pPr>
        <w:tabs>
          <w:tab w:val="left" w:pos="432"/>
        </w:tabs>
        <w:spacing w:line="360" w:lineRule="auto"/>
        <w:ind w:firstLine="480"/>
        <w:rPr>
          <w:rFonts w:ascii="仿宋" w:hAnsi="仿宋" w:eastAsia="仿宋" w:cs="宋体"/>
          <w:snapToGrid w:val="0"/>
          <w:color w:val="auto"/>
          <w:sz w:val="24"/>
          <w:highlight w:val="none"/>
        </w:rPr>
      </w:pPr>
      <w:r>
        <w:rPr>
          <w:rFonts w:hint="eastAsia" w:ascii="仿宋" w:hAnsi="仿宋" w:eastAsia="仿宋" w:cs="宋体"/>
          <w:snapToGrid w:val="0"/>
          <w:color w:val="auto"/>
          <w:sz w:val="24"/>
          <w:highlight w:val="none"/>
        </w:rPr>
        <w:t>3.规范项目全过程管理，高质量完成项目验收文档管理工作，在项目合同履约到期前30天向我单位提请验收申请，并确保验收材料真实、规范和完备，材料不达标或无法通过验收，相关违约责任由中标单位负责。</w:t>
      </w:r>
    </w:p>
    <w:p w14:paraId="1480E596">
      <w:pPr>
        <w:tabs>
          <w:tab w:val="left" w:pos="432"/>
        </w:tabs>
        <w:spacing w:line="360" w:lineRule="auto"/>
        <w:ind w:firstLine="480"/>
        <w:rPr>
          <w:rFonts w:ascii="仿宋" w:hAnsi="仿宋" w:eastAsia="仿宋" w:cs="宋体"/>
          <w:snapToGrid w:val="0"/>
          <w:color w:val="auto"/>
          <w:sz w:val="24"/>
          <w:highlight w:val="none"/>
        </w:rPr>
      </w:pPr>
      <w:r>
        <w:rPr>
          <w:rFonts w:ascii="仿宋" w:hAnsi="仿宋" w:eastAsia="仿宋" w:cs="宋体"/>
          <w:snapToGrid w:val="0"/>
          <w:color w:val="auto"/>
          <w:sz w:val="24"/>
          <w:highlight w:val="none"/>
        </w:rPr>
        <w:t>4</w:t>
      </w:r>
      <w:r>
        <w:rPr>
          <w:rFonts w:hint="eastAsia" w:ascii="仿宋" w:hAnsi="仿宋" w:eastAsia="仿宋" w:cs="宋体"/>
          <w:snapToGrid w:val="0"/>
          <w:color w:val="auto"/>
          <w:sz w:val="24"/>
          <w:highlight w:val="none"/>
        </w:rPr>
        <w:t>.</w:t>
      </w:r>
      <w:r>
        <w:rPr>
          <w:rFonts w:hint="eastAsia" w:ascii="仿宋" w:hAnsi="仿宋" w:eastAsia="仿宋" w:cs="宋体"/>
          <w:color w:val="auto"/>
          <w:sz w:val="24"/>
          <w:highlight w:val="none"/>
        </w:rPr>
        <w:t>供应商</w:t>
      </w:r>
      <w:r>
        <w:rPr>
          <w:rFonts w:hint="eastAsia" w:ascii="仿宋" w:hAnsi="仿宋" w:eastAsia="仿宋" w:cs="宋体"/>
          <w:snapToGrid w:val="0"/>
          <w:color w:val="auto"/>
          <w:sz w:val="24"/>
          <w:highlight w:val="none"/>
        </w:rPr>
        <w:t>应当采取技术措施和其他必要措施，确保维护内容的网络和数据安全，防止出现信息泄露、毁损、丢失等风险。在发生或者可能发生信息泄露、毁损、丢失等情况时，应当立即采取补救措施，并将相关情况及时告知采购人。</w:t>
      </w:r>
    </w:p>
    <w:p w14:paraId="3B3322FE">
      <w:pPr>
        <w:tabs>
          <w:tab w:val="left" w:pos="432"/>
        </w:tabs>
        <w:spacing w:line="360" w:lineRule="auto"/>
        <w:ind w:firstLine="480"/>
        <w:rPr>
          <w:rFonts w:ascii="仿宋" w:hAnsi="仿宋" w:eastAsia="仿宋" w:cs="宋体"/>
          <w:snapToGrid w:val="0"/>
          <w:color w:val="auto"/>
          <w:sz w:val="24"/>
          <w:highlight w:val="none"/>
        </w:rPr>
      </w:pPr>
      <w:r>
        <w:rPr>
          <w:rFonts w:ascii="仿宋" w:hAnsi="仿宋" w:eastAsia="仿宋" w:cs="宋体"/>
          <w:snapToGrid w:val="0"/>
          <w:color w:val="auto"/>
          <w:sz w:val="24"/>
          <w:highlight w:val="none"/>
        </w:rPr>
        <w:t>5</w:t>
      </w:r>
      <w:r>
        <w:rPr>
          <w:rFonts w:hint="eastAsia" w:ascii="仿宋" w:hAnsi="仿宋" w:eastAsia="仿宋" w:cs="宋体"/>
          <w:snapToGrid w:val="0"/>
          <w:color w:val="auto"/>
          <w:sz w:val="24"/>
          <w:highlight w:val="none"/>
        </w:rPr>
        <w:t>.项目中所包含的建设、运营、运维的信息系统、应用、数据库等，</w:t>
      </w:r>
      <w:r>
        <w:rPr>
          <w:rFonts w:hint="eastAsia" w:ascii="仿宋" w:hAnsi="仿宋" w:eastAsia="仿宋" w:cs="宋体"/>
          <w:color w:val="auto"/>
          <w:sz w:val="24"/>
          <w:highlight w:val="none"/>
        </w:rPr>
        <w:t>供应商</w:t>
      </w:r>
      <w:r>
        <w:rPr>
          <w:rFonts w:hint="eastAsia" w:ascii="仿宋" w:hAnsi="仿宋" w:eastAsia="仿宋" w:cs="宋体"/>
          <w:snapToGrid w:val="0"/>
          <w:color w:val="auto"/>
          <w:sz w:val="24"/>
          <w:highlight w:val="none"/>
        </w:rPr>
        <w:t>开通相关账号、权限等必须经过采购人审批允许，不得私开账号、擅自更改权限等。</w:t>
      </w:r>
    </w:p>
    <w:p w14:paraId="39586B7A">
      <w:pPr>
        <w:tabs>
          <w:tab w:val="left" w:pos="432"/>
        </w:tabs>
        <w:spacing w:line="360" w:lineRule="auto"/>
        <w:ind w:firstLine="480"/>
        <w:rPr>
          <w:rFonts w:ascii="仿宋" w:hAnsi="仿宋" w:eastAsia="仿宋" w:cs="宋体"/>
          <w:snapToGrid w:val="0"/>
          <w:color w:val="auto"/>
          <w:sz w:val="24"/>
          <w:highlight w:val="none"/>
        </w:rPr>
      </w:pPr>
      <w:r>
        <w:rPr>
          <w:rFonts w:ascii="仿宋" w:hAnsi="仿宋" w:eastAsia="仿宋" w:cs="宋体"/>
          <w:snapToGrid w:val="0"/>
          <w:color w:val="auto"/>
          <w:sz w:val="24"/>
          <w:highlight w:val="none"/>
        </w:rPr>
        <w:t>6</w:t>
      </w:r>
      <w:r>
        <w:rPr>
          <w:rFonts w:hint="eastAsia" w:ascii="仿宋" w:hAnsi="仿宋" w:eastAsia="仿宋" w:cs="宋体"/>
          <w:snapToGrid w:val="0"/>
          <w:color w:val="auto"/>
          <w:sz w:val="24"/>
          <w:highlight w:val="none"/>
        </w:rPr>
        <w:t>.</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应合理使用操作账号，严禁</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存在多名（2人及以上）工作人员共用一个操作账号的情形，同时操作账号应采用高强度的密码，</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应妥善保管密码并定期更新账号密码。</w:t>
      </w:r>
    </w:p>
    <w:p w14:paraId="684917D4">
      <w:pPr>
        <w:tabs>
          <w:tab w:val="left" w:pos="432"/>
        </w:tabs>
        <w:spacing w:line="360" w:lineRule="auto"/>
        <w:ind w:firstLine="480"/>
        <w:rPr>
          <w:rFonts w:ascii="仿宋" w:hAnsi="仿宋" w:eastAsia="仿宋" w:cs="宋体"/>
          <w:snapToGrid w:val="0"/>
          <w:color w:val="auto"/>
          <w:sz w:val="24"/>
          <w:highlight w:val="none"/>
        </w:rPr>
      </w:pPr>
      <w:r>
        <w:rPr>
          <w:rFonts w:ascii="仿宋" w:hAnsi="仿宋" w:eastAsia="仿宋" w:cs="宋体"/>
          <w:snapToGrid w:val="0"/>
          <w:color w:val="auto"/>
          <w:sz w:val="24"/>
          <w:highlight w:val="none"/>
        </w:rPr>
        <w:t>7</w:t>
      </w:r>
      <w:r>
        <w:rPr>
          <w:rFonts w:hint="eastAsia" w:ascii="仿宋" w:hAnsi="仿宋" w:eastAsia="仿宋" w:cs="宋体"/>
          <w:snapToGrid w:val="0"/>
          <w:color w:val="auto"/>
          <w:sz w:val="24"/>
          <w:highlight w:val="none"/>
        </w:rPr>
        <w:t>.未经采购人允许，</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不得对项目云资源私开端口，不得利用项目资源进行与该项目无关的工作，不得将政务网和互联网私自打通。</w:t>
      </w:r>
    </w:p>
    <w:p w14:paraId="481D9EA5">
      <w:pPr>
        <w:tabs>
          <w:tab w:val="left" w:pos="432"/>
        </w:tabs>
        <w:spacing w:line="360" w:lineRule="auto"/>
        <w:ind w:firstLine="480"/>
        <w:rPr>
          <w:rFonts w:ascii="仿宋" w:hAnsi="仿宋" w:eastAsia="仿宋" w:cs="宋体"/>
          <w:snapToGrid w:val="0"/>
          <w:color w:val="auto"/>
          <w:sz w:val="24"/>
          <w:highlight w:val="none"/>
        </w:rPr>
      </w:pPr>
      <w:r>
        <w:rPr>
          <w:rFonts w:ascii="仿宋" w:hAnsi="仿宋" w:eastAsia="仿宋" w:cs="宋体"/>
          <w:snapToGrid w:val="0"/>
          <w:color w:val="auto"/>
          <w:sz w:val="24"/>
          <w:highlight w:val="none"/>
        </w:rPr>
        <w:t>8</w:t>
      </w:r>
      <w:r>
        <w:rPr>
          <w:rFonts w:hint="eastAsia" w:ascii="仿宋" w:hAnsi="仿宋" w:eastAsia="仿宋" w:cs="宋体"/>
          <w:snapToGrid w:val="0"/>
          <w:color w:val="auto"/>
          <w:sz w:val="24"/>
          <w:highlight w:val="none"/>
        </w:rPr>
        <w:t>.</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应严格按照相关要求收集、归集、存储、加工、传输、共享、开放、利用数据资源。做好数据落地相应的数据保护工作，严格执行数据安全技术标准和安全管理措施，不得导出、不得留存、不得下载,避免相关数据出现篡改、破坏、泄露、丢失、非法利用等风险。</w:t>
      </w:r>
    </w:p>
    <w:p w14:paraId="4E063C8E">
      <w:pPr>
        <w:tabs>
          <w:tab w:val="left" w:pos="432"/>
        </w:tabs>
        <w:spacing w:line="360" w:lineRule="auto"/>
        <w:ind w:firstLine="480"/>
        <w:rPr>
          <w:rFonts w:ascii="仿宋" w:hAnsi="仿宋" w:eastAsia="仿宋" w:cs="宋体"/>
          <w:snapToGrid w:val="0"/>
          <w:color w:val="auto"/>
          <w:sz w:val="24"/>
          <w:highlight w:val="none"/>
        </w:rPr>
      </w:pPr>
      <w:r>
        <w:rPr>
          <w:rFonts w:ascii="仿宋" w:hAnsi="仿宋" w:eastAsia="仿宋" w:cs="宋体"/>
          <w:snapToGrid w:val="0"/>
          <w:color w:val="auto"/>
          <w:sz w:val="24"/>
          <w:highlight w:val="none"/>
        </w:rPr>
        <w:t>9</w:t>
      </w:r>
      <w:r>
        <w:rPr>
          <w:rFonts w:hint="eastAsia" w:ascii="仿宋" w:hAnsi="仿宋" w:eastAsia="仿宋" w:cs="宋体"/>
          <w:snapToGrid w:val="0"/>
          <w:color w:val="auto"/>
          <w:sz w:val="24"/>
          <w:highlight w:val="none"/>
        </w:rPr>
        <w:t>.</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应认真组织开展各项数据处理活动，查找项目数据安全隐患和漏洞，对薄弱环节和潜在威胁采取有力措施并进行及时整改，避免和消除数据安全风险，履行数据安全保护义务。</w:t>
      </w:r>
    </w:p>
    <w:p w14:paraId="3121C24D">
      <w:pPr>
        <w:tabs>
          <w:tab w:val="left" w:pos="432"/>
        </w:tabs>
        <w:spacing w:line="360" w:lineRule="auto"/>
        <w:ind w:firstLine="480"/>
        <w:rPr>
          <w:rFonts w:ascii="仿宋" w:hAnsi="仿宋" w:eastAsia="仿宋" w:cs="宋体"/>
          <w:snapToGrid w:val="0"/>
          <w:color w:val="auto"/>
          <w:sz w:val="24"/>
          <w:highlight w:val="none"/>
        </w:rPr>
      </w:pPr>
      <w:r>
        <w:rPr>
          <w:rFonts w:hint="eastAsia" w:ascii="仿宋" w:hAnsi="仿宋" w:eastAsia="仿宋" w:cs="宋体"/>
          <w:snapToGrid w:val="0"/>
          <w:color w:val="auto"/>
          <w:sz w:val="24"/>
          <w:highlight w:val="none"/>
        </w:rPr>
        <w:t>1</w:t>
      </w:r>
      <w:r>
        <w:rPr>
          <w:rFonts w:ascii="仿宋" w:hAnsi="仿宋" w:eastAsia="仿宋" w:cs="宋体"/>
          <w:snapToGrid w:val="0"/>
          <w:color w:val="auto"/>
          <w:sz w:val="24"/>
          <w:highlight w:val="none"/>
        </w:rPr>
        <w:t>0</w:t>
      </w:r>
      <w:r>
        <w:rPr>
          <w:rFonts w:hint="eastAsia" w:ascii="仿宋" w:hAnsi="仿宋" w:eastAsia="仿宋" w:cs="宋体"/>
          <w:snapToGrid w:val="0"/>
          <w:color w:val="auto"/>
          <w:sz w:val="24"/>
          <w:highlight w:val="none"/>
        </w:rPr>
        <w:t>.</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应加强网络和数据安全风险监测，制定网络与数据安全应急预案，完善应急机制。一旦发现数据安全缺陷、漏洞等风险时，立即采取补救措施；发生数据安全事件时，立即采取处置措施。确保第一时间监测发现，第一时间应急处置，第一时间向采购人报告。</w:t>
      </w:r>
    </w:p>
    <w:p w14:paraId="4491D561">
      <w:pPr>
        <w:tabs>
          <w:tab w:val="left" w:pos="432"/>
        </w:tabs>
        <w:spacing w:line="360" w:lineRule="auto"/>
        <w:ind w:firstLine="480"/>
        <w:rPr>
          <w:rFonts w:ascii="仿宋" w:hAnsi="仿宋" w:eastAsia="仿宋" w:cs="宋体"/>
          <w:snapToGrid w:val="0"/>
          <w:color w:val="auto"/>
          <w:sz w:val="24"/>
          <w:highlight w:val="none"/>
        </w:rPr>
      </w:pPr>
      <w:r>
        <w:rPr>
          <w:rFonts w:hint="eastAsia" w:ascii="仿宋" w:hAnsi="仿宋" w:eastAsia="仿宋" w:cs="宋体"/>
          <w:snapToGrid w:val="0"/>
          <w:color w:val="auto"/>
          <w:sz w:val="24"/>
          <w:highlight w:val="none"/>
        </w:rPr>
        <w:t>1</w:t>
      </w:r>
      <w:r>
        <w:rPr>
          <w:rFonts w:ascii="仿宋" w:hAnsi="仿宋" w:eastAsia="仿宋" w:cs="宋体"/>
          <w:snapToGrid w:val="0"/>
          <w:color w:val="auto"/>
          <w:sz w:val="24"/>
          <w:highlight w:val="none"/>
        </w:rPr>
        <w:t>1</w:t>
      </w:r>
      <w:r>
        <w:rPr>
          <w:rFonts w:hint="eastAsia" w:ascii="仿宋" w:hAnsi="仿宋" w:eastAsia="仿宋" w:cs="宋体"/>
          <w:snapToGrid w:val="0"/>
          <w:color w:val="auto"/>
          <w:sz w:val="24"/>
          <w:highlight w:val="none"/>
        </w:rPr>
        <w:t>.</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应及时响应、处置采购人布置的安全工作，对其主管的系统、组件、云资源等所属安全事件、隐患及时发现、阻断、排查、处置、溯源（包括但不限于攻防演练等相关活动中发现的）。</w:t>
      </w:r>
    </w:p>
    <w:p w14:paraId="213863C8">
      <w:pPr>
        <w:tabs>
          <w:tab w:val="left" w:pos="432"/>
        </w:tabs>
        <w:spacing w:line="360" w:lineRule="auto"/>
        <w:ind w:firstLine="480"/>
        <w:rPr>
          <w:rFonts w:ascii="仿宋" w:hAnsi="仿宋" w:eastAsia="仿宋" w:cs="宋体"/>
          <w:snapToGrid w:val="0"/>
          <w:color w:val="auto"/>
          <w:sz w:val="24"/>
          <w:highlight w:val="none"/>
        </w:rPr>
      </w:pPr>
      <w:r>
        <w:rPr>
          <w:rFonts w:hint="eastAsia" w:ascii="仿宋" w:hAnsi="仿宋" w:eastAsia="仿宋" w:cs="宋体"/>
          <w:snapToGrid w:val="0"/>
          <w:color w:val="auto"/>
          <w:sz w:val="24"/>
          <w:highlight w:val="none"/>
        </w:rPr>
        <w:t>1</w:t>
      </w:r>
      <w:r>
        <w:rPr>
          <w:rFonts w:ascii="仿宋" w:hAnsi="仿宋" w:eastAsia="仿宋" w:cs="宋体"/>
          <w:snapToGrid w:val="0"/>
          <w:color w:val="auto"/>
          <w:sz w:val="24"/>
          <w:highlight w:val="none"/>
        </w:rPr>
        <w:t>2</w:t>
      </w:r>
      <w:r>
        <w:rPr>
          <w:rFonts w:hint="eastAsia" w:ascii="仿宋" w:hAnsi="仿宋" w:eastAsia="仿宋" w:cs="宋体"/>
          <w:snapToGrid w:val="0"/>
          <w:color w:val="auto"/>
          <w:sz w:val="24"/>
          <w:highlight w:val="none"/>
        </w:rPr>
        <w:t>.</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派驻的服务人员应按照采购人要求办理入场、离场等手续，并且遵守采购人劳动、工作纪律，按照采购人要求的工作时间进行出勤。</w:t>
      </w:r>
    </w:p>
    <w:p w14:paraId="19E258EC">
      <w:pPr>
        <w:tabs>
          <w:tab w:val="left" w:pos="432"/>
        </w:tabs>
        <w:spacing w:line="360" w:lineRule="auto"/>
        <w:ind w:firstLine="480"/>
        <w:rPr>
          <w:rFonts w:ascii="仿宋" w:hAnsi="仿宋" w:eastAsia="仿宋" w:cs="宋体"/>
          <w:snapToGrid w:val="0"/>
          <w:color w:val="auto"/>
          <w:sz w:val="24"/>
          <w:highlight w:val="none"/>
        </w:rPr>
      </w:pPr>
      <w:r>
        <w:rPr>
          <w:rFonts w:hint="eastAsia" w:ascii="仿宋" w:hAnsi="仿宋" w:eastAsia="仿宋" w:cs="宋体"/>
          <w:snapToGrid w:val="0"/>
          <w:color w:val="auto"/>
          <w:sz w:val="24"/>
          <w:highlight w:val="none"/>
        </w:rPr>
        <w:t>1</w:t>
      </w:r>
      <w:r>
        <w:rPr>
          <w:rFonts w:ascii="仿宋" w:hAnsi="仿宋" w:eastAsia="仿宋" w:cs="宋体"/>
          <w:snapToGrid w:val="0"/>
          <w:color w:val="auto"/>
          <w:sz w:val="24"/>
          <w:highlight w:val="none"/>
        </w:rPr>
        <w:t>3</w:t>
      </w:r>
      <w:r>
        <w:rPr>
          <w:rFonts w:hint="eastAsia" w:ascii="仿宋" w:hAnsi="仿宋" w:eastAsia="仿宋" w:cs="宋体"/>
          <w:snapToGrid w:val="0"/>
          <w:color w:val="auto"/>
          <w:sz w:val="24"/>
          <w:highlight w:val="none"/>
        </w:rPr>
        <w:t>.</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应配合采购人对项目涉及的资源、系统等常态化安全漏洞扫描，并且及时修复漏洞。</w:t>
      </w:r>
    </w:p>
    <w:p w14:paraId="4E3C3780">
      <w:pPr>
        <w:tabs>
          <w:tab w:val="left" w:pos="432"/>
        </w:tabs>
        <w:spacing w:line="360" w:lineRule="auto"/>
        <w:ind w:firstLine="480"/>
        <w:rPr>
          <w:rFonts w:ascii="仿宋" w:hAnsi="仿宋" w:eastAsia="仿宋" w:cs="宋体"/>
          <w:snapToGrid w:val="0"/>
          <w:color w:val="auto"/>
          <w:sz w:val="24"/>
          <w:highlight w:val="none"/>
        </w:rPr>
      </w:pPr>
      <w:r>
        <w:rPr>
          <w:rFonts w:hint="eastAsia" w:ascii="仿宋" w:hAnsi="仿宋" w:eastAsia="仿宋" w:cs="宋体"/>
          <w:snapToGrid w:val="0"/>
          <w:color w:val="auto"/>
          <w:sz w:val="24"/>
          <w:highlight w:val="none"/>
        </w:rPr>
        <w:t>1</w:t>
      </w:r>
      <w:r>
        <w:rPr>
          <w:rFonts w:ascii="仿宋" w:hAnsi="仿宋" w:eastAsia="仿宋" w:cs="宋体"/>
          <w:snapToGrid w:val="0"/>
          <w:color w:val="auto"/>
          <w:sz w:val="24"/>
          <w:highlight w:val="none"/>
        </w:rPr>
        <w:t>4</w:t>
      </w:r>
      <w:r>
        <w:rPr>
          <w:rFonts w:hint="eastAsia" w:ascii="仿宋" w:hAnsi="仿宋" w:eastAsia="仿宋" w:cs="宋体"/>
          <w:snapToGrid w:val="0"/>
          <w:color w:val="auto"/>
          <w:sz w:val="24"/>
          <w:highlight w:val="none"/>
        </w:rPr>
        <w:t>.</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应配合采购人完成项目中所建设、运营的应用系统、服务等的网络数据安全检查，并且按要求及时完成检查中发现问题的整改。</w:t>
      </w:r>
    </w:p>
    <w:p w14:paraId="59BD1E39">
      <w:pPr>
        <w:tabs>
          <w:tab w:val="left" w:pos="432"/>
        </w:tabs>
        <w:spacing w:line="360" w:lineRule="auto"/>
        <w:ind w:firstLine="480"/>
        <w:rPr>
          <w:rFonts w:ascii="仿宋" w:hAnsi="仿宋" w:eastAsia="仿宋" w:cs="宋体"/>
          <w:snapToGrid w:val="0"/>
          <w:color w:val="auto"/>
          <w:sz w:val="24"/>
          <w:highlight w:val="none"/>
        </w:rPr>
      </w:pPr>
      <w:r>
        <w:rPr>
          <w:rFonts w:hint="eastAsia" w:ascii="仿宋" w:hAnsi="仿宋" w:eastAsia="仿宋" w:cs="宋体"/>
          <w:snapToGrid w:val="0"/>
          <w:color w:val="auto"/>
          <w:sz w:val="24"/>
          <w:highlight w:val="none"/>
        </w:rPr>
        <w:t>1</w:t>
      </w:r>
      <w:r>
        <w:rPr>
          <w:rFonts w:ascii="仿宋" w:hAnsi="仿宋" w:eastAsia="仿宋" w:cs="宋体"/>
          <w:snapToGrid w:val="0"/>
          <w:color w:val="auto"/>
          <w:sz w:val="24"/>
          <w:highlight w:val="none"/>
        </w:rPr>
        <w:t>5</w:t>
      </w:r>
      <w:r>
        <w:rPr>
          <w:rFonts w:hint="eastAsia" w:ascii="仿宋" w:hAnsi="仿宋" w:eastAsia="仿宋" w:cs="宋体"/>
          <w:snapToGrid w:val="0"/>
          <w:color w:val="auto"/>
          <w:sz w:val="24"/>
          <w:highlight w:val="none"/>
        </w:rPr>
        <w:t>.未经采购人允许，</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不得擅自将项目中涉及的数据拷贝、转移出指定数据区域外进行开发、调试等，包括不限于</w:t>
      </w:r>
      <w:r>
        <w:rPr>
          <w:rFonts w:hint="eastAsia" w:ascii="仿宋" w:hAnsi="仿宋" w:eastAsia="仿宋" w:cs="宋体"/>
          <w:color w:val="auto"/>
          <w:sz w:val="24"/>
          <w:highlight w:val="none"/>
        </w:rPr>
        <w:t>中标单位</w:t>
      </w:r>
      <w:r>
        <w:rPr>
          <w:rFonts w:hint="eastAsia" w:ascii="仿宋" w:hAnsi="仿宋" w:eastAsia="仿宋" w:cs="宋体"/>
          <w:snapToGrid w:val="0"/>
          <w:color w:val="auto"/>
          <w:sz w:val="24"/>
          <w:highlight w:val="none"/>
        </w:rPr>
        <w:t>公司、第三方公司的服务器等。</w:t>
      </w:r>
    </w:p>
    <w:p w14:paraId="3EAF84B1">
      <w:pPr>
        <w:tabs>
          <w:tab w:val="left" w:pos="432"/>
        </w:tabs>
        <w:spacing w:line="360" w:lineRule="auto"/>
        <w:ind w:firstLine="480"/>
        <w:rPr>
          <w:rFonts w:ascii="仿宋" w:hAnsi="仿宋" w:eastAsia="仿宋" w:cs="宋体"/>
          <w:snapToGrid w:val="0"/>
          <w:color w:val="auto"/>
          <w:sz w:val="24"/>
          <w:highlight w:val="none"/>
        </w:rPr>
      </w:pPr>
      <w:r>
        <w:rPr>
          <w:rFonts w:hint="eastAsia" w:ascii="仿宋" w:hAnsi="仿宋" w:eastAsia="仿宋" w:cs="宋体"/>
          <w:snapToGrid w:val="0"/>
          <w:color w:val="auto"/>
          <w:sz w:val="24"/>
          <w:highlight w:val="none"/>
        </w:rPr>
        <w:t>1</w:t>
      </w:r>
      <w:r>
        <w:rPr>
          <w:rFonts w:ascii="仿宋" w:hAnsi="仿宋" w:eastAsia="仿宋" w:cs="宋体"/>
          <w:snapToGrid w:val="0"/>
          <w:color w:val="auto"/>
          <w:sz w:val="24"/>
          <w:highlight w:val="none"/>
        </w:rPr>
        <w:t>6</w:t>
      </w:r>
      <w:r>
        <w:rPr>
          <w:rFonts w:hint="eastAsia" w:ascii="仿宋" w:hAnsi="仿宋" w:eastAsia="仿宋" w:cs="宋体"/>
          <w:snapToGrid w:val="0"/>
          <w:color w:val="auto"/>
          <w:sz w:val="24"/>
          <w:highlight w:val="none"/>
        </w:rPr>
        <w:t>.中标单位在项目中所承建信息系统的开发、测试环境，不允许出现采购人及项目相关的标识名称，并且在项目建成后及时下架测试环境。</w:t>
      </w:r>
    </w:p>
    <w:p w14:paraId="7A0D2D31">
      <w:pPr>
        <w:tabs>
          <w:tab w:val="left" w:pos="432"/>
        </w:tabs>
        <w:spacing w:line="360" w:lineRule="auto"/>
        <w:ind w:firstLine="480"/>
        <w:rPr>
          <w:rFonts w:ascii="仿宋" w:hAnsi="仿宋" w:eastAsia="仿宋" w:cs="宋体"/>
          <w:snapToGrid w:val="0"/>
          <w:color w:val="auto"/>
          <w:sz w:val="24"/>
          <w:highlight w:val="none"/>
        </w:rPr>
      </w:pPr>
      <w:r>
        <w:rPr>
          <w:rFonts w:hint="eastAsia" w:ascii="仿宋" w:hAnsi="仿宋" w:eastAsia="仿宋" w:cs="宋体"/>
          <w:snapToGrid w:val="0"/>
          <w:color w:val="auto"/>
          <w:sz w:val="24"/>
          <w:highlight w:val="none"/>
        </w:rPr>
        <w:t>1</w:t>
      </w:r>
      <w:r>
        <w:rPr>
          <w:rFonts w:ascii="仿宋" w:hAnsi="仿宋" w:eastAsia="仿宋" w:cs="宋体"/>
          <w:snapToGrid w:val="0"/>
          <w:color w:val="auto"/>
          <w:sz w:val="24"/>
          <w:highlight w:val="none"/>
        </w:rPr>
        <w:t>7</w:t>
      </w:r>
      <w:r>
        <w:rPr>
          <w:rFonts w:hint="eastAsia" w:ascii="仿宋" w:hAnsi="仿宋" w:eastAsia="仿宋" w:cs="宋体"/>
          <w:snapToGrid w:val="0"/>
          <w:color w:val="auto"/>
          <w:sz w:val="24"/>
          <w:highlight w:val="none"/>
        </w:rPr>
        <w:t>.中标单位应承担在项目运维期中的安全责任，履行运维期的项目、应用系统、云资源的安全义务。</w:t>
      </w:r>
    </w:p>
    <w:bookmarkEnd w:id="32"/>
    <w:p w14:paraId="6F9DF66E">
      <w:pPr>
        <w:spacing w:line="360" w:lineRule="auto"/>
        <w:ind w:firstLine="482" w:firstLineChars="200"/>
        <w:rPr>
          <w:rFonts w:ascii="仿宋" w:hAnsi="仿宋" w:eastAsia="仿宋" w:cs="宋体"/>
          <w:b/>
          <w:bCs/>
          <w:color w:val="auto"/>
          <w:sz w:val="24"/>
          <w:highlight w:val="none"/>
        </w:rPr>
      </w:pPr>
      <w:r>
        <w:rPr>
          <w:rFonts w:hint="eastAsia" w:ascii="仿宋" w:hAnsi="仿宋" w:eastAsia="仿宋" w:cs="宋体"/>
          <w:b/>
          <w:bCs/>
          <w:color w:val="auto"/>
          <w:sz w:val="24"/>
          <w:highlight w:val="none"/>
          <w:lang w:val="en-US" w:eastAsia="zh-CN"/>
        </w:rPr>
        <w:t>8</w:t>
      </w:r>
      <w:r>
        <w:rPr>
          <w:rFonts w:hint="eastAsia" w:ascii="仿宋" w:hAnsi="仿宋" w:eastAsia="仿宋" w:cs="宋体"/>
          <w:b/>
          <w:bCs/>
          <w:color w:val="auto"/>
          <w:sz w:val="24"/>
          <w:highlight w:val="none"/>
        </w:rPr>
        <w:t>.3 质量管理</w:t>
      </w:r>
    </w:p>
    <w:p w14:paraId="72A42D94">
      <w:pPr>
        <w:pStyle w:val="29"/>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中标单位必须接受采购单位的质量监督检查，提供真实有效的相关质量活动记录、证据，无条件接受采购单位提出的质量问题整改要求，承担质量责任及因质量问题导致的进度延迟责任。</w:t>
      </w:r>
    </w:p>
    <w:p w14:paraId="25725BE2">
      <w:pPr>
        <w:spacing w:line="360" w:lineRule="auto"/>
        <w:ind w:firstLine="482" w:firstLineChars="200"/>
        <w:rPr>
          <w:rFonts w:ascii="仿宋" w:hAnsi="仿宋" w:eastAsia="仿宋" w:cs="宋体"/>
          <w:b/>
          <w:bCs/>
          <w:color w:val="auto"/>
          <w:sz w:val="24"/>
          <w:highlight w:val="none"/>
        </w:rPr>
      </w:pPr>
      <w:r>
        <w:rPr>
          <w:rFonts w:hint="eastAsia" w:ascii="仿宋" w:hAnsi="仿宋" w:eastAsia="仿宋" w:cs="宋体"/>
          <w:b/>
          <w:bCs/>
          <w:color w:val="auto"/>
          <w:sz w:val="24"/>
          <w:highlight w:val="none"/>
          <w:lang w:val="en-US" w:eastAsia="zh-CN"/>
        </w:rPr>
        <w:t>8</w:t>
      </w:r>
      <w:r>
        <w:rPr>
          <w:rFonts w:hint="eastAsia" w:ascii="仿宋" w:hAnsi="仿宋" w:eastAsia="仿宋" w:cs="宋体"/>
          <w:b/>
          <w:bCs/>
          <w:color w:val="auto"/>
          <w:sz w:val="24"/>
          <w:highlight w:val="none"/>
        </w:rPr>
        <w:t>.4 文档管理</w:t>
      </w:r>
    </w:p>
    <w:p w14:paraId="57CBF9CA">
      <w:pPr>
        <w:pStyle w:val="29"/>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需建立维护运维台账、检查台账等日常性台账，及时总结运维过程中出现的问题及解决办法、思路。运维人员应具备相应的文档编写、整理能力，应及时归类保存、更新维护文档，并按照采购单位要求接受查阅检查或移交文档。</w:t>
      </w:r>
    </w:p>
    <w:p w14:paraId="2B76455D">
      <w:pPr>
        <w:spacing w:line="360" w:lineRule="auto"/>
        <w:ind w:firstLine="482" w:firstLineChars="200"/>
        <w:rPr>
          <w:rFonts w:ascii="仿宋" w:hAnsi="仿宋" w:eastAsia="仿宋"/>
          <w:b/>
          <w:bCs/>
          <w:color w:val="auto"/>
          <w:sz w:val="24"/>
          <w:highlight w:val="none"/>
        </w:rPr>
      </w:pPr>
      <w:r>
        <w:rPr>
          <w:rFonts w:hint="eastAsia" w:ascii="仿宋" w:hAnsi="仿宋" w:eastAsia="仿宋"/>
          <w:b/>
          <w:bCs/>
          <w:color w:val="auto"/>
          <w:sz w:val="24"/>
          <w:highlight w:val="none"/>
          <w:lang w:val="en-US" w:eastAsia="zh-CN"/>
        </w:rPr>
        <w:t>九</w:t>
      </w:r>
      <w:r>
        <w:rPr>
          <w:rFonts w:hint="eastAsia" w:ascii="仿宋" w:hAnsi="仿宋" w:eastAsia="仿宋"/>
          <w:b/>
          <w:bCs/>
          <w:color w:val="auto"/>
          <w:sz w:val="24"/>
          <w:highlight w:val="none"/>
        </w:rPr>
        <w:t>、项目成果</w:t>
      </w:r>
    </w:p>
    <w:p w14:paraId="687C0F35">
      <w:pPr>
        <w:pStyle w:val="29"/>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项目实施过程中产生的各类资料（含电子文档、纸质文件等）及软件程序等输出是本项目重要成果，包括但不仅限于如下内容：</w:t>
      </w:r>
    </w:p>
    <w:p w14:paraId="6F863CDD">
      <w:pPr>
        <w:pStyle w:val="29"/>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1.工作月报（月度服务报告）</w:t>
      </w:r>
    </w:p>
    <w:p w14:paraId="67426B19">
      <w:pPr>
        <w:pStyle w:val="29"/>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2.服务总结</w:t>
      </w:r>
    </w:p>
    <w:p w14:paraId="7DFB0B8B">
      <w:pPr>
        <w:pStyle w:val="29"/>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3.运维管理过程各类档案</w:t>
      </w:r>
    </w:p>
    <w:p w14:paraId="301D4E24">
      <w:pPr>
        <w:pStyle w:val="29"/>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4.涉及到二次开发的源代码及可执行程序光盘</w:t>
      </w:r>
    </w:p>
    <w:p w14:paraId="6B8A5E36">
      <w:pPr>
        <w:pStyle w:val="29"/>
        <w:spacing w:after="156" w:afterLines="50"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5.其他根据用户需要提交的文档资料</w:t>
      </w:r>
    </w:p>
    <w:p w14:paraId="683D260B">
      <w:pPr>
        <w:ind w:firstLine="482" w:firstLineChars="200"/>
        <w:rPr>
          <w:rFonts w:ascii="仿宋" w:hAnsi="仿宋" w:eastAsia="仿宋" w:cs="宋体"/>
          <w:b/>
          <w:bCs/>
          <w:color w:val="auto"/>
          <w:sz w:val="24"/>
          <w:highlight w:val="none"/>
        </w:rPr>
      </w:pPr>
      <w:r>
        <w:rPr>
          <w:rFonts w:hint="eastAsia" w:ascii="仿宋" w:hAnsi="仿宋" w:eastAsia="仿宋" w:cs="宋体"/>
          <w:b/>
          <w:bCs/>
          <w:color w:val="auto"/>
          <w:sz w:val="24"/>
          <w:highlight w:val="none"/>
          <w:lang w:val="en-US" w:eastAsia="zh-CN"/>
        </w:rPr>
        <w:t>十</w:t>
      </w:r>
      <w:r>
        <w:rPr>
          <w:rFonts w:hint="eastAsia" w:ascii="仿宋" w:hAnsi="仿宋" w:eastAsia="仿宋" w:cs="宋体"/>
          <w:b/>
          <w:bCs/>
          <w:color w:val="auto"/>
          <w:sz w:val="24"/>
          <w:highlight w:val="none"/>
        </w:rPr>
        <w:t>、验收</w:t>
      </w:r>
    </w:p>
    <w:p w14:paraId="099990B6">
      <w:pPr>
        <w:pStyle w:val="45"/>
        <w:ind w:firstLine="480"/>
        <w:rPr>
          <w:rFonts w:ascii="仿宋" w:hAnsi="仿宋" w:eastAsia="仿宋" w:cs="仿宋"/>
          <w:color w:val="auto"/>
          <w:highlight w:val="none"/>
        </w:rPr>
      </w:pPr>
      <w:r>
        <w:rPr>
          <w:rFonts w:hint="eastAsia" w:ascii="仿宋" w:hAnsi="仿宋" w:eastAsia="仿宋" w:cs="仿宋"/>
          <w:color w:val="auto"/>
          <w:highlight w:val="none"/>
          <w:lang w:val="en-US" w:eastAsia="zh-CN"/>
        </w:rPr>
        <w:t>10</w:t>
      </w:r>
      <w:r>
        <w:rPr>
          <w:rFonts w:ascii="仿宋" w:hAnsi="仿宋" w:eastAsia="仿宋" w:cs="仿宋"/>
          <w:color w:val="auto"/>
          <w:highlight w:val="none"/>
        </w:rPr>
        <w:t>.1</w:t>
      </w:r>
      <w:r>
        <w:rPr>
          <w:rFonts w:hint="eastAsia" w:ascii="仿宋" w:hAnsi="仿宋" w:eastAsia="仿宋" w:cs="仿宋"/>
          <w:color w:val="auto"/>
          <w:highlight w:val="none"/>
        </w:rPr>
        <w:t>验收组织和程序</w:t>
      </w:r>
    </w:p>
    <w:p w14:paraId="7BDA5BCE">
      <w:pPr>
        <w:pStyle w:val="45"/>
        <w:ind w:firstLine="480"/>
        <w:rPr>
          <w:rFonts w:ascii="仿宋" w:hAnsi="仿宋" w:eastAsia="仿宋" w:cs="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1）根据《中华人民共和国政府采购法》、《中华人民共和国民法典》、《中华</w:t>
      </w:r>
      <w:r>
        <w:rPr>
          <w:rFonts w:hint="eastAsia" w:ascii="仿宋" w:hAnsi="仿宋" w:eastAsia="仿宋" w:cs="仿宋"/>
          <w:color w:val="auto"/>
          <w:highlight w:val="none"/>
        </w:rPr>
        <w:t>人民共和国政府采购法实施条例》、财政部《财政部关于进一步加强政府采购需求和履约验收管理的指导意见》（财库</w:t>
      </w:r>
      <w:r>
        <w:rPr>
          <w:rFonts w:ascii="仿宋" w:hAnsi="仿宋" w:eastAsia="仿宋" w:cs="仿宋"/>
          <w:color w:val="auto"/>
          <w:highlight w:val="none"/>
        </w:rPr>
        <w:t>[2016]205号）、杭州市财政局《杭州市政府采购履约验收暂行办法》（</w:t>
      </w:r>
      <w:r>
        <w:rPr>
          <w:rFonts w:hint="eastAsia" w:ascii="仿宋" w:hAnsi="仿宋" w:eastAsia="仿宋" w:cs="仿宋"/>
          <w:color w:val="auto"/>
          <w:highlight w:val="none"/>
        </w:rPr>
        <w:t>杭财采监</w:t>
      </w:r>
      <w:r>
        <w:rPr>
          <w:rFonts w:ascii="仿宋" w:hAnsi="仿宋" w:eastAsia="仿宋" w:cs="仿宋"/>
          <w:color w:val="auto"/>
          <w:highlight w:val="none"/>
        </w:rPr>
        <w:t>[2019]10号）等相关法律、法规、规范性文件要求组织验收。</w:t>
      </w:r>
    </w:p>
    <w:p w14:paraId="474598AD">
      <w:pPr>
        <w:pStyle w:val="45"/>
        <w:ind w:firstLine="480"/>
        <w:rPr>
          <w:rFonts w:ascii="仿宋" w:hAnsi="仿宋" w:eastAsia="仿宋" w:cs="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2）验收方法：验收小组验收。</w:t>
      </w:r>
    </w:p>
    <w:p w14:paraId="1AE8F3C4">
      <w:pPr>
        <w:pStyle w:val="45"/>
        <w:ind w:firstLine="480"/>
        <w:rPr>
          <w:rFonts w:ascii="仿宋" w:hAnsi="仿宋" w:eastAsia="仿宋" w:cs="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3）验收小组组建方式：</w:t>
      </w:r>
      <w:r>
        <w:rPr>
          <w:rFonts w:hint="eastAsia" w:ascii="仿宋" w:hAnsi="仿宋" w:eastAsia="仿宋" w:cs="仿宋"/>
          <w:color w:val="auto"/>
          <w:highlight w:val="none"/>
        </w:rPr>
        <w:t>项目验收负责人组织</w:t>
      </w:r>
      <w:r>
        <w:rPr>
          <w:rFonts w:ascii="仿宋" w:hAnsi="仿宋" w:eastAsia="仿宋" w:cs="仿宋"/>
          <w:color w:val="auto"/>
          <w:highlight w:val="none"/>
        </w:rPr>
        <w:t>验收小组，验收小组由</w:t>
      </w:r>
      <w:r>
        <w:rPr>
          <w:rFonts w:hint="eastAsia" w:ascii="仿宋" w:hAnsi="仿宋" w:eastAsia="仿宋" w:cs="仿宋"/>
          <w:color w:val="auto"/>
          <w:highlight w:val="none"/>
        </w:rPr>
        <w:t>相关</w:t>
      </w:r>
      <w:r>
        <w:rPr>
          <w:rFonts w:ascii="仿宋" w:hAnsi="仿宋" w:eastAsia="仿宋" w:cs="仿宋"/>
          <w:color w:val="auto"/>
          <w:highlight w:val="none"/>
        </w:rPr>
        <w:t>专家和用户代表</w:t>
      </w:r>
      <w:r>
        <w:rPr>
          <w:rFonts w:hint="eastAsia" w:ascii="仿宋" w:hAnsi="仿宋" w:eastAsia="仿宋" w:cs="仿宋"/>
          <w:color w:val="auto"/>
          <w:highlight w:val="none"/>
        </w:rPr>
        <w:t>按相关规定</w:t>
      </w:r>
      <w:r>
        <w:rPr>
          <w:rFonts w:ascii="仿宋" w:hAnsi="仿宋" w:eastAsia="仿宋" w:cs="仿宋"/>
          <w:color w:val="auto"/>
          <w:highlight w:val="none"/>
        </w:rPr>
        <w:t>组成。验收小组负责实施具体的验收活动。</w:t>
      </w:r>
      <w:r>
        <w:rPr>
          <w:rFonts w:hint="eastAsia" w:ascii="仿宋" w:hAnsi="仿宋" w:eastAsia="仿宋" w:cs="仿宋"/>
          <w:color w:val="auto"/>
          <w:highlight w:val="none"/>
        </w:rPr>
        <w:t>采购人</w:t>
      </w:r>
      <w:r>
        <w:rPr>
          <w:rFonts w:ascii="仿宋" w:hAnsi="仿宋" w:eastAsia="仿宋" w:cs="仿宋"/>
          <w:color w:val="auto"/>
          <w:highlight w:val="none"/>
        </w:rPr>
        <w:t>可以邀请其他单位的相关专业人员参加验收小组。验收小组推选一名组长，主持验收小组的工作。</w:t>
      </w:r>
    </w:p>
    <w:p w14:paraId="106E1BCE">
      <w:pPr>
        <w:pStyle w:val="45"/>
        <w:ind w:firstLine="480"/>
        <w:rPr>
          <w:rFonts w:ascii="仿宋" w:hAnsi="仿宋" w:eastAsia="仿宋" w:cs="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4）验收流程：</w:t>
      </w:r>
    </w:p>
    <w:p w14:paraId="72FC351B">
      <w:pPr>
        <w:pStyle w:val="45"/>
        <w:ind w:firstLine="480"/>
        <w:rPr>
          <w:rFonts w:ascii="仿宋" w:hAnsi="仿宋" w:eastAsia="仿宋" w:cs="仿宋"/>
          <w:color w:val="auto"/>
          <w:highlight w:val="none"/>
        </w:rPr>
      </w:pPr>
      <w:r>
        <w:rPr>
          <w:rFonts w:ascii="仿宋" w:hAnsi="仿宋" w:eastAsia="仿宋" w:cs="仿宋"/>
          <w:color w:val="auto"/>
          <w:highlight w:val="none"/>
        </w:rPr>
        <w:t>1）</w:t>
      </w:r>
      <w:r>
        <w:rPr>
          <w:rFonts w:hint="eastAsia" w:ascii="仿宋" w:hAnsi="仿宋" w:eastAsia="仿宋" w:cs="仿宋"/>
          <w:color w:val="auto"/>
          <w:highlight w:val="none"/>
        </w:rPr>
        <w:t>项目验收负责人</w:t>
      </w:r>
      <w:r>
        <w:rPr>
          <w:rFonts w:ascii="仿宋" w:hAnsi="仿宋" w:eastAsia="仿宋" w:cs="仿宋"/>
          <w:color w:val="auto"/>
          <w:highlight w:val="none"/>
        </w:rPr>
        <w:t>根据验收方案组织验收小组现场验收，并准备验收材料并通知各验收参与方在指定时间指定地点联合验收，包括</w:t>
      </w:r>
      <w:r>
        <w:rPr>
          <w:rFonts w:hint="eastAsia" w:ascii="仿宋" w:hAnsi="仿宋" w:eastAsia="仿宋" w:cs="仿宋"/>
          <w:color w:val="auto"/>
          <w:highlight w:val="none"/>
        </w:rPr>
        <w:t>采购人</w:t>
      </w:r>
      <w:r>
        <w:rPr>
          <w:rFonts w:ascii="仿宋" w:hAnsi="仿宋" w:eastAsia="仿宋" w:cs="仿宋"/>
          <w:color w:val="auto"/>
          <w:highlight w:val="none"/>
        </w:rPr>
        <w:t>、</w:t>
      </w:r>
      <w:r>
        <w:rPr>
          <w:rFonts w:hint="eastAsia" w:ascii="仿宋" w:hAnsi="仿宋" w:eastAsia="仿宋" w:cs="仿宋"/>
          <w:color w:val="auto"/>
          <w:highlight w:val="none"/>
        </w:rPr>
        <w:t>中标人</w:t>
      </w:r>
      <w:r>
        <w:rPr>
          <w:rFonts w:ascii="仿宋" w:hAnsi="仿宋" w:eastAsia="仿宋" w:cs="仿宋"/>
          <w:color w:val="auto"/>
          <w:highlight w:val="none"/>
        </w:rPr>
        <w:t>、验收小组、其他验收参与方等。</w:t>
      </w:r>
    </w:p>
    <w:p w14:paraId="442DA9BA">
      <w:pPr>
        <w:pStyle w:val="45"/>
        <w:ind w:firstLine="480"/>
        <w:rPr>
          <w:rFonts w:ascii="仿宋" w:hAnsi="仿宋" w:eastAsia="仿宋" w:cs="仿宋"/>
          <w:color w:val="auto"/>
          <w:highlight w:val="none"/>
        </w:rPr>
      </w:pPr>
      <w:r>
        <w:rPr>
          <w:rFonts w:ascii="仿宋" w:hAnsi="仿宋" w:eastAsia="仿宋" w:cs="仿宋"/>
          <w:color w:val="auto"/>
          <w:highlight w:val="none"/>
        </w:rPr>
        <w:t>2）验收小组应当按照验收方案独立开展验收，对</w:t>
      </w:r>
      <w:r>
        <w:rPr>
          <w:rFonts w:hint="eastAsia" w:ascii="仿宋" w:hAnsi="仿宋" w:eastAsia="仿宋" w:cs="仿宋"/>
          <w:color w:val="auto"/>
          <w:highlight w:val="none"/>
        </w:rPr>
        <w:t>中标人</w:t>
      </w:r>
      <w:r>
        <w:rPr>
          <w:rFonts w:ascii="仿宋" w:hAnsi="仿宋" w:eastAsia="仿宋" w:cs="仿宋"/>
          <w:color w:val="auto"/>
          <w:highlight w:val="none"/>
        </w:rPr>
        <w:t>提供的服务按照采购文件、投标文件、政府采购合同进行核对、验收，并做好验收记录。在验收过程中，验收小组成员不得擅自公开验收信息。验收小组可以对验收方案进行必要的修改。验收小组对验收方案</w:t>
      </w:r>
      <w:r>
        <w:rPr>
          <w:rFonts w:hint="eastAsia" w:ascii="仿宋" w:hAnsi="仿宋" w:eastAsia="仿宋" w:cs="仿宋"/>
          <w:color w:val="auto"/>
          <w:highlight w:val="none"/>
        </w:rPr>
        <w:t>作出实质性修改的，应当报经采购人同意。</w:t>
      </w:r>
    </w:p>
    <w:p w14:paraId="0647860F">
      <w:pPr>
        <w:pStyle w:val="45"/>
        <w:ind w:firstLine="480"/>
        <w:rPr>
          <w:rFonts w:ascii="仿宋" w:hAnsi="仿宋" w:eastAsia="仿宋" w:cs="仿宋"/>
          <w:color w:val="auto"/>
          <w:highlight w:val="none"/>
        </w:rPr>
      </w:pPr>
      <w:r>
        <w:rPr>
          <w:rFonts w:ascii="仿宋" w:hAnsi="仿宋" w:eastAsia="仿宋" w:cs="仿宋"/>
          <w:color w:val="auto"/>
          <w:highlight w:val="none"/>
        </w:rPr>
        <w:t>3）</w:t>
      </w:r>
      <w:r>
        <w:rPr>
          <w:rFonts w:hint="eastAsia" w:ascii="仿宋" w:hAnsi="仿宋" w:eastAsia="仿宋" w:cs="仿宋"/>
          <w:color w:val="auto"/>
          <w:highlight w:val="none"/>
        </w:rPr>
        <w:t>中标人</w:t>
      </w:r>
      <w:r>
        <w:rPr>
          <w:rFonts w:ascii="仿宋" w:hAnsi="仿宋" w:eastAsia="仿宋" w:cs="仿宋"/>
          <w:color w:val="auto"/>
          <w:highlight w:val="none"/>
        </w:rPr>
        <w:t>配合验收工作，并就验收实施过程中的疑问进行解答和澄清。项目验收过程中，</w:t>
      </w:r>
      <w:r>
        <w:rPr>
          <w:rFonts w:hint="eastAsia" w:ascii="仿宋" w:hAnsi="仿宋" w:eastAsia="仿宋" w:cs="仿宋"/>
          <w:color w:val="auto"/>
          <w:highlight w:val="none"/>
        </w:rPr>
        <w:t>中标人</w:t>
      </w:r>
      <w:r>
        <w:rPr>
          <w:rFonts w:ascii="仿宋" w:hAnsi="仿宋" w:eastAsia="仿宋" w:cs="仿宋"/>
          <w:color w:val="auto"/>
          <w:highlight w:val="none"/>
        </w:rPr>
        <w:t>不认可验收意见的，按照合同的约定的方式解决，合同未作约定的，按照《中华人民共和国民法典》等相关规定处理。</w:t>
      </w:r>
    </w:p>
    <w:p w14:paraId="11BCE749">
      <w:pPr>
        <w:pStyle w:val="45"/>
        <w:ind w:firstLine="480"/>
        <w:rPr>
          <w:rFonts w:ascii="仿宋" w:hAnsi="仿宋" w:eastAsia="仿宋" w:cs="仿宋"/>
          <w:color w:val="auto"/>
          <w:highlight w:val="none"/>
        </w:rPr>
      </w:pPr>
      <w:r>
        <w:rPr>
          <w:rFonts w:ascii="仿宋" w:hAnsi="仿宋" w:eastAsia="仿宋" w:cs="仿宋"/>
          <w:color w:val="auto"/>
          <w:highlight w:val="none"/>
        </w:rPr>
        <w:t>4）出具验收报告。验收结束后，验收小组应当出具验收报告，报告</w:t>
      </w:r>
      <w:r>
        <w:rPr>
          <w:rFonts w:hint="eastAsia" w:ascii="仿宋" w:hAnsi="仿宋" w:eastAsia="仿宋" w:cs="仿宋"/>
          <w:color w:val="auto"/>
          <w:highlight w:val="none"/>
        </w:rPr>
        <w:t>采购人</w:t>
      </w:r>
      <w:r>
        <w:rPr>
          <w:rFonts w:ascii="仿宋" w:hAnsi="仿宋" w:eastAsia="仿宋" w:cs="仿宋"/>
          <w:color w:val="auto"/>
          <w:highlight w:val="none"/>
        </w:rPr>
        <w:t>。验收报告应当根据验收方案制作，以书面形式</w:t>
      </w:r>
      <w:r>
        <w:rPr>
          <w:rFonts w:hint="eastAsia" w:ascii="仿宋" w:hAnsi="仿宋" w:eastAsia="仿宋" w:cs="仿宋"/>
          <w:color w:val="auto"/>
          <w:highlight w:val="none"/>
        </w:rPr>
        <w:t>作出结论性意见，并经验收小组全体成员签字。验收小组成员对验收报告载明的结论有异议的，应当在验收报告上签署不同意并说明理由，否则视为同意验收结论。</w:t>
      </w:r>
    </w:p>
    <w:p w14:paraId="01EE2F17">
      <w:pPr>
        <w:pStyle w:val="45"/>
        <w:ind w:firstLine="480"/>
        <w:rPr>
          <w:rFonts w:ascii="仿宋" w:hAnsi="仿宋" w:eastAsia="仿宋" w:cs="仿宋"/>
          <w:color w:val="auto"/>
          <w:highlight w:val="none"/>
        </w:rPr>
      </w:pPr>
      <w:r>
        <w:rPr>
          <w:rFonts w:ascii="仿宋" w:hAnsi="仿宋" w:eastAsia="仿宋" w:cs="仿宋"/>
          <w:color w:val="auto"/>
          <w:highlight w:val="none"/>
        </w:rPr>
        <w:t>5）验收不合格的，</w:t>
      </w:r>
      <w:r>
        <w:rPr>
          <w:rFonts w:hint="eastAsia" w:ascii="仿宋" w:hAnsi="仿宋" w:eastAsia="仿宋" w:cs="仿宋"/>
          <w:color w:val="auto"/>
          <w:highlight w:val="none"/>
        </w:rPr>
        <w:t>采购人</w:t>
      </w:r>
      <w:r>
        <w:rPr>
          <w:rFonts w:ascii="仿宋" w:hAnsi="仿宋" w:eastAsia="仿宋" w:cs="仿宋"/>
          <w:color w:val="auto"/>
          <w:highlight w:val="none"/>
        </w:rPr>
        <w:t>应责令</w:t>
      </w:r>
      <w:r>
        <w:rPr>
          <w:rFonts w:hint="eastAsia" w:ascii="仿宋" w:hAnsi="仿宋" w:eastAsia="仿宋" w:cs="仿宋"/>
          <w:color w:val="auto"/>
          <w:highlight w:val="none"/>
        </w:rPr>
        <w:t>中标人</w:t>
      </w:r>
      <w:r>
        <w:rPr>
          <w:rFonts w:ascii="仿宋" w:hAnsi="仿宋" w:eastAsia="仿宋" w:cs="仿宋"/>
          <w:color w:val="auto"/>
          <w:highlight w:val="none"/>
        </w:rPr>
        <w:t>采取补救措施，向</w:t>
      </w:r>
      <w:r>
        <w:rPr>
          <w:rFonts w:hint="eastAsia" w:ascii="仿宋" w:hAnsi="仿宋" w:eastAsia="仿宋" w:cs="仿宋"/>
          <w:color w:val="auto"/>
          <w:highlight w:val="none"/>
        </w:rPr>
        <w:t>中标人</w:t>
      </w:r>
      <w:r>
        <w:rPr>
          <w:rFonts w:ascii="仿宋" w:hAnsi="仿宋" w:eastAsia="仿宋" w:cs="仿宋"/>
          <w:color w:val="auto"/>
          <w:highlight w:val="none"/>
        </w:rPr>
        <w:t>发出整改通知书，并依法及时处理。整改结束后，由</w:t>
      </w:r>
      <w:r>
        <w:rPr>
          <w:rFonts w:hint="eastAsia" w:ascii="仿宋" w:hAnsi="仿宋" w:eastAsia="仿宋" w:cs="仿宋"/>
          <w:color w:val="auto"/>
          <w:highlight w:val="none"/>
        </w:rPr>
        <w:t>中标人</w:t>
      </w:r>
      <w:r>
        <w:rPr>
          <w:rFonts w:ascii="仿宋" w:hAnsi="仿宋" w:eastAsia="仿宋" w:cs="仿宋"/>
          <w:color w:val="auto"/>
          <w:highlight w:val="none"/>
        </w:rPr>
        <w:t>通知</w:t>
      </w:r>
      <w:r>
        <w:rPr>
          <w:rFonts w:hint="eastAsia" w:ascii="仿宋" w:hAnsi="仿宋" w:eastAsia="仿宋" w:cs="仿宋"/>
          <w:color w:val="auto"/>
          <w:highlight w:val="none"/>
        </w:rPr>
        <w:t>采购人</w:t>
      </w:r>
      <w:r>
        <w:rPr>
          <w:rFonts w:ascii="仿宋" w:hAnsi="仿宋" w:eastAsia="仿宋" w:cs="仿宋"/>
          <w:color w:val="auto"/>
          <w:highlight w:val="none"/>
        </w:rPr>
        <w:t>或其委托的验收组织机构重新验收。</w:t>
      </w:r>
    </w:p>
    <w:p w14:paraId="4CCF8502">
      <w:pPr>
        <w:pStyle w:val="45"/>
        <w:ind w:firstLine="480"/>
        <w:rPr>
          <w:rFonts w:ascii="仿宋" w:hAnsi="仿宋" w:eastAsia="仿宋" w:cs="仿宋"/>
          <w:color w:val="auto"/>
          <w:highlight w:val="none"/>
        </w:rPr>
      </w:pPr>
      <w:r>
        <w:rPr>
          <w:rFonts w:hint="eastAsia" w:ascii="仿宋" w:hAnsi="仿宋" w:eastAsia="仿宋" w:cs="仿宋"/>
          <w:color w:val="auto"/>
          <w:highlight w:val="none"/>
          <w:lang w:val="en-US" w:eastAsia="zh-CN"/>
        </w:rPr>
        <w:t>10</w:t>
      </w:r>
      <w:r>
        <w:rPr>
          <w:rFonts w:ascii="仿宋" w:hAnsi="仿宋" w:eastAsia="仿宋" w:cs="仿宋"/>
          <w:color w:val="auto"/>
          <w:highlight w:val="none"/>
        </w:rPr>
        <w:t>.2</w:t>
      </w:r>
      <w:r>
        <w:rPr>
          <w:rFonts w:hint="eastAsia" w:ascii="仿宋" w:hAnsi="仿宋" w:eastAsia="仿宋" w:cs="仿宋"/>
          <w:color w:val="auto"/>
          <w:highlight w:val="none"/>
        </w:rPr>
        <w:t>履约验收内容</w:t>
      </w:r>
    </w:p>
    <w:p w14:paraId="715A0783">
      <w:pPr>
        <w:pStyle w:val="45"/>
        <w:ind w:firstLine="480"/>
        <w:rPr>
          <w:rFonts w:ascii="仿宋" w:hAnsi="仿宋" w:eastAsia="仿宋" w:cs="仿宋"/>
          <w:color w:val="auto"/>
          <w:highlight w:val="none"/>
        </w:rPr>
      </w:pPr>
      <w:r>
        <w:rPr>
          <w:rFonts w:hint="eastAsia" w:ascii="仿宋" w:hAnsi="仿宋" w:eastAsia="仿宋" w:cs="仿宋"/>
          <w:color w:val="auto"/>
          <w:highlight w:val="none"/>
        </w:rPr>
        <w:t>1</w:t>
      </w:r>
      <w:r>
        <w:rPr>
          <w:rFonts w:ascii="仿宋" w:hAnsi="仿宋" w:eastAsia="仿宋" w:cs="仿宋"/>
          <w:color w:val="auto"/>
          <w:highlight w:val="none"/>
        </w:rPr>
        <w:t>.</w:t>
      </w:r>
      <w:r>
        <w:rPr>
          <w:rFonts w:hint="eastAsia" w:ascii="仿宋" w:hAnsi="仿宋" w:eastAsia="仿宋" w:cs="仿宋"/>
          <w:color w:val="auto"/>
          <w:highlight w:val="none"/>
        </w:rPr>
        <w:t>技术履约内容</w:t>
      </w:r>
    </w:p>
    <w:p w14:paraId="05FC2898">
      <w:pPr>
        <w:pStyle w:val="45"/>
        <w:ind w:firstLine="480"/>
        <w:rPr>
          <w:rFonts w:ascii="仿宋" w:hAnsi="仿宋" w:eastAsia="仿宋" w:cs="仿宋"/>
          <w:color w:val="auto"/>
          <w:highlight w:val="none"/>
        </w:rPr>
      </w:pPr>
      <w:r>
        <w:rPr>
          <w:rFonts w:ascii="仿宋" w:hAnsi="仿宋" w:eastAsia="仿宋" w:cs="仿宋"/>
          <w:color w:val="auto"/>
          <w:highlight w:val="none"/>
        </w:rPr>
        <w:t>1</w:t>
      </w:r>
      <w:r>
        <w:rPr>
          <w:rFonts w:hint="eastAsia" w:ascii="仿宋" w:hAnsi="仿宋" w:eastAsia="仿宋" w:cs="仿宋"/>
          <w:color w:val="auto"/>
          <w:highlight w:val="none"/>
        </w:rPr>
        <w:t>）满足所有采购需求及响应文件承诺；</w:t>
      </w:r>
    </w:p>
    <w:p w14:paraId="3D87F0D2">
      <w:pPr>
        <w:pStyle w:val="45"/>
        <w:ind w:firstLine="480"/>
        <w:rPr>
          <w:rFonts w:ascii="仿宋" w:hAnsi="仿宋" w:eastAsia="仿宋" w:cs="仿宋"/>
          <w:color w:val="auto"/>
          <w:highlight w:val="none"/>
        </w:rPr>
      </w:pPr>
      <w:r>
        <w:rPr>
          <w:rFonts w:hint="eastAsia" w:ascii="仿宋" w:hAnsi="仿宋" w:eastAsia="仿宋" w:cs="仿宋"/>
          <w:color w:val="auto"/>
          <w:highlight w:val="none"/>
        </w:rPr>
        <w:t>2）</w:t>
      </w:r>
      <w:r>
        <w:rPr>
          <w:rFonts w:ascii="仿宋" w:hAnsi="仿宋" w:eastAsia="仿宋" w:cs="仿宋"/>
          <w:color w:val="auto"/>
          <w:highlight w:val="none"/>
        </w:rPr>
        <w:t>拟投服务团队</w:t>
      </w:r>
      <w:r>
        <w:rPr>
          <w:rFonts w:hint="eastAsia" w:ascii="仿宋" w:hAnsi="仿宋" w:eastAsia="仿宋" w:cs="仿宋"/>
          <w:color w:val="auto"/>
          <w:highlight w:val="none"/>
        </w:rPr>
        <w:t>管理</w:t>
      </w:r>
      <w:r>
        <w:rPr>
          <w:rFonts w:ascii="仿宋" w:hAnsi="仿宋" w:eastAsia="仿宋" w:cs="仿宋"/>
          <w:color w:val="auto"/>
          <w:highlight w:val="none"/>
        </w:rPr>
        <w:t>人员全部到位</w:t>
      </w:r>
      <w:r>
        <w:rPr>
          <w:rFonts w:hint="eastAsia" w:ascii="仿宋" w:hAnsi="仿宋" w:eastAsia="仿宋" w:cs="仿宋"/>
          <w:color w:val="auto"/>
          <w:highlight w:val="none"/>
        </w:rPr>
        <w:t>。</w:t>
      </w:r>
    </w:p>
    <w:p w14:paraId="4CB4EA80">
      <w:pPr>
        <w:pStyle w:val="45"/>
        <w:ind w:firstLine="480"/>
        <w:rPr>
          <w:rFonts w:ascii="仿宋" w:hAnsi="仿宋" w:eastAsia="仿宋" w:cs="仿宋"/>
          <w:color w:val="auto"/>
          <w:highlight w:val="none"/>
        </w:rPr>
      </w:pPr>
      <w:r>
        <w:rPr>
          <w:rFonts w:hint="eastAsia" w:ascii="仿宋" w:hAnsi="仿宋" w:eastAsia="仿宋" w:cs="仿宋"/>
          <w:color w:val="auto"/>
          <w:highlight w:val="none"/>
        </w:rPr>
        <w:t>2.商务履约内容</w:t>
      </w:r>
    </w:p>
    <w:p w14:paraId="2D6F9AFE">
      <w:pPr>
        <w:pStyle w:val="46"/>
        <w:spacing w:line="360" w:lineRule="auto"/>
        <w:ind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1）完成时间满足采购要求。</w:t>
      </w:r>
    </w:p>
    <w:p w14:paraId="2F2C1441">
      <w:pPr>
        <w:pStyle w:val="46"/>
        <w:spacing w:line="360" w:lineRule="auto"/>
        <w:ind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3.验收标准</w:t>
      </w:r>
    </w:p>
    <w:p w14:paraId="6CFD4E57">
      <w:pPr>
        <w:pStyle w:val="29"/>
        <w:spacing w:line="360" w:lineRule="auto"/>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sz w:val="24"/>
          <w:szCs w:val="24"/>
          <w:highlight w:val="none"/>
        </w:rPr>
        <w:t>中标人完成采购文件规定的服务运维服务，使用部门无投诉，达到项目技术指标要求，满足采购人工作要求。</w:t>
      </w:r>
    </w:p>
    <w:p w14:paraId="518AB7F4">
      <w:pPr>
        <w:pStyle w:val="45"/>
        <w:ind w:firstLine="480"/>
        <w:rPr>
          <w:rFonts w:ascii="仿宋" w:hAnsi="仿宋" w:eastAsia="仿宋" w:cs="宋体"/>
          <w:color w:val="auto"/>
          <w:highlight w:val="none"/>
        </w:rPr>
      </w:pPr>
      <w:r>
        <w:rPr>
          <w:rFonts w:hint="eastAsia" w:ascii="仿宋" w:hAnsi="仿宋" w:eastAsia="仿宋" w:cs="宋体"/>
          <w:color w:val="auto"/>
          <w:highlight w:val="none"/>
        </w:rPr>
        <w:t>4.履约验收其他事项</w:t>
      </w:r>
    </w:p>
    <w:p w14:paraId="415E0BCE">
      <w:pPr>
        <w:pStyle w:val="46"/>
        <w:spacing w:after="120" w:line="360" w:lineRule="auto"/>
        <w:ind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采购人在中标人提供相关服务的过程中，有权不定期对服务内容和质量进行考核。中标人提供相关服务过程中有违反合同约定、不达约定标准情况的，采购人有权要求中标人限期整改，中标人未按采购人要求整改的，采购人有权拒绝验收，中标人应承担相应的违约责任。</w:t>
      </w:r>
    </w:p>
    <w:p w14:paraId="0D296AB1">
      <w:pPr>
        <w:pStyle w:val="46"/>
        <w:spacing w:after="120" w:line="360" w:lineRule="auto"/>
        <w:ind w:firstLine="48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中标人服务成果未通过采购人验收，采购人有权要求中标人进行整改，相关费用（包括但不限于重新组织验收等费用）由中标人承担；如中标人未在采购人要求期限内整改或整改后仍不合格或已经无法整改的，采购人有权要求中标人承担相应的违约责任。</w:t>
      </w:r>
    </w:p>
    <w:p w14:paraId="7C58258E">
      <w:pPr>
        <w:spacing w:line="360" w:lineRule="auto"/>
        <w:ind w:firstLine="482" w:firstLineChars="200"/>
        <w:rPr>
          <w:rFonts w:ascii="仿宋" w:hAnsi="仿宋" w:eastAsia="仿宋" w:cs="宋体"/>
          <w:b/>
          <w:bCs/>
          <w:color w:val="auto"/>
          <w:sz w:val="24"/>
          <w:highlight w:val="none"/>
        </w:rPr>
      </w:pPr>
      <w:r>
        <w:rPr>
          <w:rFonts w:hint="eastAsia" w:ascii="仿宋" w:hAnsi="仿宋" w:eastAsia="仿宋" w:cs="宋体"/>
          <w:b/>
          <w:bCs/>
          <w:color w:val="auto"/>
          <w:sz w:val="24"/>
          <w:highlight w:val="none"/>
          <w:lang w:val="en-US" w:eastAsia="zh-CN"/>
        </w:rPr>
        <w:t>十一</w:t>
      </w:r>
      <w:r>
        <w:rPr>
          <w:rFonts w:hint="eastAsia" w:ascii="仿宋" w:hAnsi="仿宋" w:eastAsia="仿宋" w:cs="宋体"/>
          <w:b/>
          <w:bCs/>
          <w:color w:val="auto"/>
          <w:sz w:val="24"/>
          <w:highlight w:val="none"/>
        </w:rPr>
        <w:t>、服务标准</w:t>
      </w:r>
    </w:p>
    <w:p w14:paraId="111EB4E6">
      <w:pPr>
        <w:tabs>
          <w:tab w:val="left" w:pos="0"/>
        </w:tabs>
        <w:spacing w:line="360" w:lineRule="auto"/>
        <w:ind w:firstLine="48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本次采购的服务所涉及的标准、规范、验收标准、规范，应符合国家有关条例及规范。如有新的标准应采纳新标准；若同时有几个标准（国际标准、国家标准、行业标准、企业标准等），则按最高层次的标准执行。</w:t>
      </w:r>
    </w:p>
    <w:p w14:paraId="6455BB18">
      <w:pPr>
        <w:tabs>
          <w:tab w:val="left" w:pos="0"/>
        </w:tabs>
        <w:spacing w:line="360" w:lineRule="auto"/>
        <w:ind w:firstLine="48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2．中国国家标准及其它被普遍认可的标准，由采购人认可的其他国家的其他权威标准；原有规范若已被废弃，则以相应的新规范为准。</w:t>
      </w:r>
    </w:p>
    <w:p w14:paraId="75CB12E6">
      <w:pPr>
        <w:tabs>
          <w:tab w:val="left" w:pos="0"/>
        </w:tabs>
        <w:spacing w:line="360" w:lineRule="auto"/>
        <w:ind w:firstLine="48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3．供应商提供的服务必须满足招标文件中提出的相关要求。</w:t>
      </w:r>
    </w:p>
    <w:p w14:paraId="4C47EEB3">
      <w:pPr>
        <w:spacing w:line="360" w:lineRule="auto"/>
        <w:ind w:firstLine="482" w:firstLineChars="200"/>
        <w:rPr>
          <w:rFonts w:ascii="仿宋" w:hAnsi="仿宋" w:eastAsia="仿宋" w:cs="宋体"/>
          <w:b/>
          <w:bCs/>
          <w:color w:val="auto"/>
          <w:sz w:val="24"/>
          <w:highlight w:val="none"/>
        </w:rPr>
      </w:pPr>
      <w:r>
        <w:rPr>
          <w:rFonts w:hint="eastAsia" w:ascii="仿宋" w:hAnsi="仿宋" w:eastAsia="仿宋" w:cs="宋体"/>
          <w:b/>
          <w:bCs/>
          <w:color w:val="auto"/>
          <w:sz w:val="24"/>
          <w:highlight w:val="none"/>
        </w:rPr>
        <w:t>十</w:t>
      </w:r>
      <w:r>
        <w:rPr>
          <w:rFonts w:hint="eastAsia" w:ascii="仿宋" w:hAnsi="仿宋" w:eastAsia="仿宋" w:cs="宋体"/>
          <w:b/>
          <w:bCs/>
          <w:color w:val="auto"/>
          <w:sz w:val="24"/>
          <w:highlight w:val="none"/>
          <w:lang w:val="en-US" w:eastAsia="zh-CN"/>
        </w:rPr>
        <w:t>二</w:t>
      </w:r>
      <w:r>
        <w:rPr>
          <w:rFonts w:hint="eastAsia" w:ascii="仿宋" w:hAnsi="仿宋" w:eastAsia="仿宋" w:cs="宋体"/>
          <w:b/>
          <w:bCs/>
          <w:color w:val="auto"/>
          <w:sz w:val="24"/>
          <w:highlight w:val="none"/>
        </w:rPr>
        <w:t>、阶段性考核</w:t>
      </w:r>
    </w:p>
    <w:p w14:paraId="333E2B9E">
      <w:pPr>
        <w:tabs>
          <w:tab w:val="left" w:pos="0"/>
        </w:tabs>
        <w:spacing w:line="360" w:lineRule="auto"/>
        <w:ind w:firstLine="48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考核评价采用100分制，杭州市公路与港航管理服务中心按照《运维项目考核评分表》运维考核，考核评价得分在80分以上的为合格，考核得分在80分以下的，并通知其整改，等全部整改完成后再进行支付，考核结果作为运维合同款项的支付依据。</w:t>
      </w:r>
    </w:p>
    <w:p w14:paraId="19A46E3F">
      <w:pPr>
        <w:rPr>
          <w:rFonts w:ascii="宋体" w:hAnsi="宋体" w:cs="宋体"/>
          <w:b/>
          <w:color w:val="auto"/>
          <w:sz w:val="24"/>
          <w:highlight w:val="none"/>
        </w:rPr>
      </w:pPr>
      <w:r>
        <w:rPr>
          <w:rFonts w:hint="eastAsia" w:ascii="宋体" w:hAnsi="宋体" w:cs="宋体"/>
          <w:b/>
          <w:color w:val="auto"/>
          <w:sz w:val="24"/>
          <w:highlight w:val="none"/>
        </w:rPr>
        <w:br w:type="page"/>
      </w:r>
    </w:p>
    <w:p w14:paraId="6500738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运维项目考核评分表</w:t>
      </w:r>
    </w:p>
    <w:tbl>
      <w:tblPr>
        <w:tblStyle w:val="17"/>
        <w:tblpPr w:leftFromText="180" w:rightFromText="180" w:vertAnchor="text" w:horzAnchor="margin" w:tblpXSpec="center" w:tblpY="165"/>
        <w:tblW w:w="5590" w:type="pct"/>
        <w:jc w:val="center"/>
        <w:tblLayout w:type="autofit"/>
        <w:tblCellMar>
          <w:top w:w="0" w:type="dxa"/>
          <w:left w:w="108" w:type="dxa"/>
          <w:bottom w:w="0" w:type="dxa"/>
          <w:right w:w="108" w:type="dxa"/>
        </w:tblCellMar>
      </w:tblPr>
      <w:tblGrid>
        <w:gridCol w:w="897"/>
        <w:gridCol w:w="2760"/>
        <w:gridCol w:w="6238"/>
        <w:gridCol w:w="1149"/>
      </w:tblGrid>
      <w:tr w14:paraId="58BBD586">
        <w:tblPrEx>
          <w:tblCellMar>
            <w:top w:w="0" w:type="dxa"/>
            <w:left w:w="108" w:type="dxa"/>
            <w:bottom w:w="0" w:type="dxa"/>
            <w:right w:w="108" w:type="dxa"/>
          </w:tblCellMar>
        </w:tblPrEx>
        <w:trPr>
          <w:trHeight w:val="507" w:hRule="atLeast"/>
          <w:jc w:val="center"/>
        </w:trPr>
        <w:tc>
          <w:tcPr>
            <w:tcW w:w="406" w:type="pct"/>
            <w:tcBorders>
              <w:top w:val="single" w:color="auto" w:sz="4" w:space="0"/>
              <w:left w:val="single" w:color="auto" w:sz="4" w:space="0"/>
              <w:bottom w:val="single" w:color="auto" w:sz="4" w:space="0"/>
              <w:right w:val="single" w:color="auto" w:sz="4" w:space="0"/>
            </w:tcBorders>
            <w:noWrap/>
            <w:vAlign w:val="center"/>
          </w:tcPr>
          <w:p w14:paraId="4756A510">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序号</w:t>
            </w:r>
          </w:p>
        </w:tc>
        <w:tc>
          <w:tcPr>
            <w:tcW w:w="1249" w:type="pct"/>
            <w:tcBorders>
              <w:top w:val="single" w:color="auto" w:sz="4" w:space="0"/>
              <w:left w:val="nil"/>
              <w:bottom w:val="single" w:color="auto" w:sz="4" w:space="0"/>
              <w:right w:val="single" w:color="auto" w:sz="4" w:space="0"/>
            </w:tcBorders>
            <w:noWrap/>
            <w:vAlign w:val="center"/>
          </w:tcPr>
          <w:p w14:paraId="3ABF4EF6">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考核项</w:t>
            </w:r>
          </w:p>
        </w:tc>
        <w:tc>
          <w:tcPr>
            <w:tcW w:w="2823" w:type="pct"/>
            <w:tcBorders>
              <w:top w:val="single" w:color="auto" w:sz="4" w:space="0"/>
              <w:left w:val="nil"/>
              <w:bottom w:val="single" w:color="auto" w:sz="4" w:space="0"/>
              <w:right w:val="single" w:color="auto" w:sz="4" w:space="0"/>
            </w:tcBorders>
            <w:noWrap/>
            <w:vAlign w:val="center"/>
          </w:tcPr>
          <w:p w14:paraId="3F80D8E1">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考核内容与标准</w:t>
            </w:r>
          </w:p>
        </w:tc>
        <w:tc>
          <w:tcPr>
            <w:tcW w:w="520" w:type="pct"/>
            <w:tcBorders>
              <w:top w:val="single" w:color="auto" w:sz="4" w:space="0"/>
              <w:left w:val="nil"/>
              <w:bottom w:val="single" w:color="auto" w:sz="4" w:space="0"/>
              <w:right w:val="single" w:color="auto" w:sz="4" w:space="0"/>
            </w:tcBorders>
            <w:noWrap/>
            <w:vAlign w:val="center"/>
          </w:tcPr>
          <w:p w14:paraId="044A4895">
            <w:pPr>
              <w:widowControl/>
              <w:jc w:val="center"/>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分值</w:t>
            </w:r>
          </w:p>
        </w:tc>
      </w:tr>
      <w:tr w14:paraId="7DAFEA51">
        <w:tblPrEx>
          <w:tblCellMar>
            <w:top w:w="0" w:type="dxa"/>
            <w:left w:w="108" w:type="dxa"/>
            <w:bottom w:w="0" w:type="dxa"/>
            <w:right w:w="108" w:type="dxa"/>
          </w:tblCellMar>
        </w:tblPrEx>
        <w:trPr>
          <w:trHeight w:val="762" w:hRule="atLeast"/>
          <w:jc w:val="center"/>
        </w:trPr>
        <w:tc>
          <w:tcPr>
            <w:tcW w:w="406" w:type="pct"/>
            <w:tcBorders>
              <w:top w:val="nil"/>
              <w:left w:val="single" w:color="auto" w:sz="4" w:space="0"/>
              <w:bottom w:val="single" w:color="auto" w:sz="4" w:space="0"/>
              <w:right w:val="single" w:color="auto" w:sz="4" w:space="0"/>
            </w:tcBorders>
            <w:noWrap/>
            <w:vAlign w:val="center"/>
          </w:tcPr>
          <w:p w14:paraId="323B8BBA">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1249" w:type="pct"/>
            <w:tcBorders>
              <w:top w:val="nil"/>
              <w:left w:val="nil"/>
              <w:bottom w:val="single" w:color="auto" w:sz="4" w:space="0"/>
              <w:right w:val="single" w:color="auto" w:sz="4" w:space="0"/>
            </w:tcBorders>
            <w:noWrap/>
            <w:vAlign w:val="center"/>
          </w:tcPr>
          <w:p w14:paraId="343EB4C8">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日常巡检</w:t>
            </w:r>
          </w:p>
        </w:tc>
        <w:tc>
          <w:tcPr>
            <w:tcW w:w="2823" w:type="pct"/>
            <w:tcBorders>
              <w:top w:val="nil"/>
              <w:left w:val="nil"/>
              <w:bottom w:val="single" w:color="auto" w:sz="4" w:space="0"/>
              <w:right w:val="single" w:color="auto" w:sz="4" w:space="0"/>
            </w:tcBorders>
            <w:vAlign w:val="center"/>
          </w:tcPr>
          <w:p w14:paraId="78E829C4">
            <w:pPr>
              <w:widowControl/>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按时完成各项巡检工作并做好记录工作得满分；无故漏检或未记录，扣1分/次。</w:t>
            </w:r>
          </w:p>
        </w:tc>
        <w:tc>
          <w:tcPr>
            <w:tcW w:w="520" w:type="pct"/>
            <w:tcBorders>
              <w:top w:val="nil"/>
              <w:left w:val="nil"/>
              <w:bottom w:val="single" w:color="auto" w:sz="4" w:space="0"/>
              <w:right w:val="single" w:color="auto" w:sz="4" w:space="0"/>
            </w:tcBorders>
            <w:noWrap/>
            <w:vAlign w:val="center"/>
          </w:tcPr>
          <w:p w14:paraId="7E43DF7B">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20</w:t>
            </w:r>
          </w:p>
        </w:tc>
      </w:tr>
      <w:tr w14:paraId="2DAD0493">
        <w:tblPrEx>
          <w:tblCellMar>
            <w:top w:w="0" w:type="dxa"/>
            <w:left w:w="108" w:type="dxa"/>
            <w:bottom w:w="0" w:type="dxa"/>
            <w:right w:w="108" w:type="dxa"/>
          </w:tblCellMar>
        </w:tblPrEx>
        <w:trPr>
          <w:trHeight w:val="1133" w:hRule="atLeast"/>
          <w:jc w:val="center"/>
        </w:trPr>
        <w:tc>
          <w:tcPr>
            <w:tcW w:w="406" w:type="pct"/>
            <w:tcBorders>
              <w:top w:val="nil"/>
              <w:left w:val="single" w:color="auto" w:sz="4" w:space="0"/>
              <w:bottom w:val="single" w:color="auto" w:sz="4" w:space="0"/>
              <w:right w:val="single" w:color="auto" w:sz="4" w:space="0"/>
            </w:tcBorders>
            <w:noWrap/>
            <w:vAlign w:val="center"/>
          </w:tcPr>
          <w:p w14:paraId="73B67201">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1249" w:type="pct"/>
            <w:tcBorders>
              <w:top w:val="nil"/>
              <w:left w:val="nil"/>
              <w:bottom w:val="single" w:color="auto" w:sz="4" w:space="0"/>
              <w:right w:val="single" w:color="auto" w:sz="4" w:space="0"/>
            </w:tcBorders>
            <w:noWrap/>
            <w:vAlign w:val="center"/>
          </w:tcPr>
          <w:p w14:paraId="4E535C4A">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服务文档的规范性</w:t>
            </w:r>
          </w:p>
        </w:tc>
        <w:tc>
          <w:tcPr>
            <w:tcW w:w="2823" w:type="pct"/>
            <w:tcBorders>
              <w:top w:val="nil"/>
              <w:left w:val="nil"/>
              <w:bottom w:val="single" w:color="auto" w:sz="4" w:space="0"/>
              <w:right w:val="single" w:color="auto" w:sz="4" w:space="0"/>
            </w:tcBorders>
            <w:vAlign w:val="center"/>
          </w:tcPr>
          <w:p w14:paraId="76BEC54A">
            <w:pPr>
              <w:widowControl/>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定期进行盘点的设备和网络清单的完整性和准确性，缺一次扣5分。</w:t>
            </w:r>
          </w:p>
        </w:tc>
        <w:tc>
          <w:tcPr>
            <w:tcW w:w="520" w:type="pct"/>
            <w:tcBorders>
              <w:top w:val="nil"/>
              <w:left w:val="nil"/>
              <w:bottom w:val="single" w:color="auto" w:sz="4" w:space="0"/>
              <w:right w:val="single" w:color="auto" w:sz="4" w:space="0"/>
            </w:tcBorders>
            <w:noWrap/>
            <w:vAlign w:val="center"/>
          </w:tcPr>
          <w:p w14:paraId="094B4147">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10</w:t>
            </w:r>
          </w:p>
        </w:tc>
      </w:tr>
      <w:tr w14:paraId="1E40709C">
        <w:tblPrEx>
          <w:tblCellMar>
            <w:top w:w="0" w:type="dxa"/>
            <w:left w:w="108" w:type="dxa"/>
            <w:bottom w:w="0" w:type="dxa"/>
            <w:right w:w="108" w:type="dxa"/>
          </w:tblCellMar>
        </w:tblPrEx>
        <w:trPr>
          <w:trHeight w:val="762" w:hRule="atLeast"/>
          <w:jc w:val="center"/>
        </w:trPr>
        <w:tc>
          <w:tcPr>
            <w:tcW w:w="406" w:type="pct"/>
            <w:tcBorders>
              <w:top w:val="nil"/>
              <w:left w:val="single" w:color="auto" w:sz="4" w:space="0"/>
              <w:bottom w:val="single" w:color="auto" w:sz="4" w:space="0"/>
              <w:right w:val="single" w:color="auto" w:sz="4" w:space="0"/>
            </w:tcBorders>
            <w:noWrap/>
            <w:vAlign w:val="center"/>
          </w:tcPr>
          <w:p w14:paraId="01050929">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1249" w:type="pct"/>
            <w:tcBorders>
              <w:top w:val="nil"/>
              <w:left w:val="nil"/>
              <w:bottom w:val="single" w:color="auto" w:sz="4" w:space="0"/>
              <w:right w:val="single" w:color="auto" w:sz="4" w:space="0"/>
            </w:tcBorders>
            <w:vAlign w:val="center"/>
          </w:tcPr>
          <w:p w14:paraId="42556300">
            <w:pPr>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问题解决</w:t>
            </w:r>
          </w:p>
        </w:tc>
        <w:tc>
          <w:tcPr>
            <w:tcW w:w="2823" w:type="pct"/>
            <w:tcBorders>
              <w:top w:val="nil"/>
              <w:left w:val="nil"/>
              <w:bottom w:val="single" w:color="auto" w:sz="4" w:space="0"/>
              <w:right w:val="single" w:color="auto" w:sz="4" w:space="0"/>
            </w:tcBorders>
          </w:tcPr>
          <w:p w14:paraId="043B3C74">
            <w:pP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能按计划完成系统修订、系统软件问题处理得满分；出现问题处理超时，扣0.5分/次。</w:t>
            </w:r>
          </w:p>
        </w:tc>
        <w:tc>
          <w:tcPr>
            <w:tcW w:w="520" w:type="pct"/>
            <w:tcBorders>
              <w:top w:val="nil"/>
              <w:left w:val="nil"/>
              <w:bottom w:val="single" w:color="auto" w:sz="4" w:space="0"/>
              <w:right w:val="single" w:color="auto" w:sz="4" w:space="0"/>
            </w:tcBorders>
            <w:noWrap/>
          </w:tcPr>
          <w:p w14:paraId="73AADB13">
            <w:pPr>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10</w:t>
            </w:r>
          </w:p>
        </w:tc>
      </w:tr>
      <w:tr w14:paraId="54545700">
        <w:tblPrEx>
          <w:tblCellMar>
            <w:top w:w="0" w:type="dxa"/>
            <w:left w:w="108" w:type="dxa"/>
            <w:bottom w:w="0" w:type="dxa"/>
            <w:right w:w="108" w:type="dxa"/>
          </w:tblCellMar>
        </w:tblPrEx>
        <w:trPr>
          <w:trHeight w:val="1112" w:hRule="atLeast"/>
          <w:jc w:val="center"/>
        </w:trPr>
        <w:tc>
          <w:tcPr>
            <w:tcW w:w="406" w:type="pct"/>
            <w:tcBorders>
              <w:top w:val="nil"/>
              <w:left w:val="single" w:color="auto" w:sz="4" w:space="0"/>
              <w:bottom w:val="single" w:color="auto" w:sz="4" w:space="0"/>
              <w:right w:val="single" w:color="auto" w:sz="4" w:space="0"/>
            </w:tcBorders>
            <w:noWrap/>
            <w:vAlign w:val="center"/>
          </w:tcPr>
          <w:p w14:paraId="38AF703F">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w:t>
            </w:r>
          </w:p>
        </w:tc>
        <w:tc>
          <w:tcPr>
            <w:tcW w:w="1249" w:type="pct"/>
            <w:tcBorders>
              <w:top w:val="nil"/>
              <w:left w:val="nil"/>
              <w:bottom w:val="single" w:color="auto" w:sz="4" w:space="0"/>
              <w:right w:val="single" w:color="auto" w:sz="4" w:space="0"/>
            </w:tcBorders>
            <w:noWrap/>
            <w:vAlign w:val="center"/>
          </w:tcPr>
          <w:p w14:paraId="17D58381">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技术咨询</w:t>
            </w:r>
          </w:p>
        </w:tc>
        <w:tc>
          <w:tcPr>
            <w:tcW w:w="2823" w:type="pct"/>
            <w:tcBorders>
              <w:top w:val="nil"/>
              <w:left w:val="nil"/>
              <w:bottom w:val="single" w:color="auto" w:sz="4" w:space="0"/>
              <w:right w:val="single" w:color="auto" w:sz="4" w:space="0"/>
            </w:tcBorders>
            <w:vAlign w:val="center"/>
          </w:tcPr>
          <w:p w14:paraId="293D34AA">
            <w:pPr>
              <w:widowControl/>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及时满足单位用户咨询需求，解答各类问题得满分；出现无法联系到技术支持人员的情况，扣0.5分/次。</w:t>
            </w:r>
          </w:p>
        </w:tc>
        <w:tc>
          <w:tcPr>
            <w:tcW w:w="520" w:type="pct"/>
            <w:tcBorders>
              <w:top w:val="nil"/>
              <w:left w:val="nil"/>
              <w:bottom w:val="single" w:color="auto" w:sz="4" w:space="0"/>
              <w:right w:val="single" w:color="auto" w:sz="4" w:space="0"/>
            </w:tcBorders>
            <w:noWrap/>
            <w:vAlign w:val="center"/>
          </w:tcPr>
          <w:p w14:paraId="58CC67E8">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6</w:t>
            </w:r>
          </w:p>
        </w:tc>
      </w:tr>
      <w:tr w14:paraId="3A1FF111">
        <w:tblPrEx>
          <w:tblCellMar>
            <w:top w:w="0" w:type="dxa"/>
            <w:left w:w="108" w:type="dxa"/>
            <w:bottom w:w="0" w:type="dxa"/>
            <w:right w:w="108" w:type="dxa"/>
          </w:tblCellMar>
        </w:tblPrEx>
        <w:trPr>
          <w:trHeight w:val="392" w:hRule="atLeast"/>
          <w:jc w:val="center"/>
        </w:trPr>
        <w:tc>
          <w:tcPr>
            <w:tcW w:w="406" w:type="pct"/>
            <w:tcBorders>
              <w:top w:val="nil"/>
              <w:left w:val="single" w:color="auto" w:sz="4" w:space="0"/>
              <w:bottom w:val="single" w:color="auto" w:sz="4" w:space="0"/>
              <w:right w:val="single" w:color="auto" w:sz="4" w:space="0"/>
            </w:tcBorders>
            <w:noWrap/>
            <w:vAlign w:val="center"/>
          </w:tcPr>
          <w:p w14:paraId="11F99DF4">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1249" w:type="pct"/>
            <w:tcBorders>
              <w:top w:val="nil"/>
              <w:left w:val="nil"/>
              <w:bottom w:val="single" w:color="auto" w:sz="4" w:space="0"/>
              <w:right w:val="single" w:color="auto" w:sz="4" w:space="0"/>
            </w:tcBorders>
            <w:vAlign w:val="center"/>
          </w:tcPr>
          <w:p w14:paraId="10E5B4B1">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服务态度和满意度</w:t>
            </w:r>
          </w:p>
        </w:tc>
        <w:tc>
          <w:tcPr>
            <w:tcW w:w="2823" w:type="pct"/>
            <w:tcBorders>
              <w:top w:val="nil"/>
              <w:left w:val="nil"/>
              <w:bottom w:val="single" w:color="auto" w:sz="4" w:space="0"/>
              <w:right w:val="single" w:color="auto" w:sz="4" w:space="0"/>
            </w:tcBorders>
            <w:vAlign w:val="center"/>
          </w:tcPr>
          <w:p w14:paraId="5F89ADF8">
            <w:pPr>
              <w:widowControl/>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优秀-6分，良好-4分，一般-2分，差-0分</w:t>
            </w:r>
          </w:p>
        </w:tc>
        <w:tc>
          <w:tcPr>
            <w:tcW w:w="520" w:type="pct"/>
            <w:tcBorders>
              <w:top w:val="nil"/>
              <w:left w:val="nil"/>
              <w:bottom w:val="single" w:color="auto" w:sz="4" w:space="0"/>
              <w:right w:val="single" w:color="auto" w:sz="4" w:space="0"/>
            </w:tcBorders>
            <w:noWrap/>
            <w:vAlign w:val="center"/>
          </w:tcPr>
          <w:p w14:paraId="0FE3FB6B">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6</w:t>
            </w:r>
          </w:p>
        </w:tc>
      </w:tr>
      <w:tr w14:paraId="59105FB4">
        <w:tblPrEx>
          <w:tblCellMar>
            <w:top w:w="0" w:type="dxa"/>
            <w:left w:w="108" w:type="dxa"/>
            <w:bottom w:w="0" w:type="dxa"/>
            <w:right w:w="108" w:type="dxa"/>
          </w:tblCellMar>
        </w:tblPrEx>
        <w:trPr>
          <w:trHeight w:val="1476" w:hRule="atLeast"/>
          <w:jc w:val="center"/>
        </w:trPr>
        <w:tc>
          <w:tcPr>
            <w:tcW w:w="406" w:type="pct"/>
            <w:tcBorders>
              <w:top w:val="nil"/>
              <w:left w:val="single" w:color="auto" w:sz="4" w:space="0"/>
              <w:bottom w:val="single" w:color="auto" w:sz="4" w:space="0"/>
              <w:right w:val="single" w:color="auto" w:sz="4" w:space="0"/>
            </w:tcBorders>
            <w:noWrap/>
            <w:vAlign w:val="center"/>
          </w:tcPr>
          <w:p w14:paraId="413E165C">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6</w:t>
            </w:r>
          </w:p>
        </w:tc>
        <w:tc>
          <w:tcPr>
            <w:tcW w:w="1249" w:type="pct"/>
            <w:tcBorders>
              <w:top w:val="nil"/>
              <w:left w:val="nil"/>
              <w:bottom w:val="single" w:color="auto" w:sz="4" w:space="0"/>
              <w:right w:val="single" w:color="auto" w:sz="4" w:space="0"/>
            </w:tcBorders>
            <w:noWrap/>
            <w:vAlign w:val="center"/>
          </w:tcPr>
          <w:p w14:paraId="28A69FF4">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服务响应</w:t>
            </w:r>
          </w:p>
        </w:tc>
        <w:tc>
          <w:tcPr>
            <w:tcW w:w="2823" w:type="pct"/>
            <w:tcBorders>
              <w:top w:val="nil"/>
              <w:left w:val="nil"/>
              <w:bottom w:val="single" w:color="auto" w:sz="4" w:space="0"/>
              <w:right w:val="single" w:color="auto" w:sz="4" w:space="0"/>
            </w:tcBorders>
            <w:vAlign w:val="center"/>
          </w:tcPr>
          <w:p w14:paraId="6C8822A1">
            <w:pPr>
              <w:widowControl/>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需要技术人员现场服务，或在重大活动和节假日需要重点保障期间，能按要求及时响应和配合工作得满分；出现响应不及时或人员未按时到现场的，扣1分/次。</w:t>
            </w:r>
          </w:p>
        </w:tc>
        <w:tc>
          <w:tcPr>
            <w:tcW w:w="520" w:type="pct"/>
            <w:tcBorders>
              <w:top w:val="nil"/>
              <w:left w:val="nil"/>
              <w:bottom w:val="single" w:color="auto" w:sz="4" w:space="0"/>
              <w:right w:val="single" w:color="auto" w:sz="4" w:space="0"/>
            </w:tcBorders>
            <w:noWrap/>
            <w:vAlign w:val="center"/>
          </w:tcPr>
          <w:p w14:paraId="45D79C73">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8</w:t>
            </w:r>
          </w:p>
        </w:tc>
      </w:tr>
      <w:tr w14:paraId="76EE2E69">
        <w:tblPrEx>
          <w:tblCellMar>
            <w:top w:w="0" w:type="dxa"/>
            <w:left w:w="108" w:type="dxa"/>
            <w:bottom w:w="0" w:type="dxa"/>
            <w:right w:w="108" w:type="dxa"/>
          </w:tblCellMar>
        </w:tblPrEx>
        <w:trPr>
          <w:trHeight w:val="2203" w:hRule="atLeast"/>
          <w:jc w:val="center"/>
        </w:trPr>
        <w:tc>
          <w:tcPr>
            <w:tcW w:w="406" w:type="pct"/>
            <w:tcBorders>
              <w:top w:val="single" w:color="auto" w:sz="4" w:space="0"/>
              <w:left w:val="single" w:color="auto" w:sz="4" w:space="0"/>
              <w:bottom w:val="single" w:color="auto" w:sz="4" w:space="0"/>
              <w:right w:val="single" w:color="auto" w:sz="4" w:space="0"/>
            </w:tcBorders>
            <w:noWrap/>
            <w:vAlign w:val="center"/>
          </w:tcPr>
          <w:p w14:paraId="25673C75">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7</w:t>
            </w:r>
          </w:p>
        </w:tc>
        <w:tc>
          <w:tcPr>
            <w:tcW w:w="1249" w:type="pct"/>
            <w:tcBorders>
              <w:top w:val="single" w:color="auto" w:sz="4" w:space="0"/>
              <w:left w:val="nil"/>
              <w:bottom w:val="single" w:color="auto" w:sz="4" w:space="0"/>
              <w:right w:val="single" w:color="auto" w:sz="4" w:space="0"/>
            </w:tcBorders>
            <w:noWrap/>
            <w:vAlign w:val="center"/>
          </w:tcPr>
          <w:p w14:paraId="689EA9AF">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设备运行情况</w:t>
            </w:r>
          </w:p>
        </w:tc>
        <w:tc>
          <w:tcPr>
            <w:tcW w:w="2823" w:type="pct"/>
            <w:tcBorders>
              <w:top w:val="single" w:color="auto" w:sz="4" w:space="0"/>
              <w:left w:val="nil"/>
              <w:bottom w:val="single" w:color="auto" w:sz="4" w:space="0"/>
              <w:right w:val="single" w:color="auto" w:sz="4" w:space="0"/>
            </w:tcBorders>
            <w:vAlign w:val="center"/>
          </w:tcPr>
          <w:p w14:paraId="2734DEC8">
            <w:pPr>
              <w:widowControl/>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系统及设备运行正常，无重大运行事故得满分；因运维保障工作不到位导致系统出现故障，并不规定时效内无法修复正常的，严重影响业务工作的重大事故，扣10分/次，对工作造成一点影响的中等事故，扣5分/次，影响不大的轻微事故，扣2分/次。</w:t>
            </w:r>
          </w:p>
        </w:tc>
        <w:tc>
          <w:tcPr>
            <w:tcW w:w="520" w:type="pct"/>
            <w:tcBorders>
              <w:top w:val="single" w:color="auto" w:sz="4" w:space="0"/>
              <w:left w:val="nil"/>
              <w:bottom w:val="single" w:color="auto" w:sz="4" w:space="0"/>
              <w:right w:val="single" w:color="auto" w:sz="4" w:space="0"/>
            </w:tcBorders>
            <w:noWrap/>
            <w:vAlign w:val="center"/>
          </w:tcPr>
          <w:p w14:paraId="30CF6076">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20</w:t>
            </w:r>
          </w:p>
        </w:tc>
      </w:tr>
      <w:tr w14:paraId="09A137DB">
        <w:tblPrEx>
          <w:tblCellMar>
            <w:top w:w="0" w:type="dxa"/>
            <w:left w:w="108" w:type="dxa"/>
            <w:bottom w:w="0" w:type="dxa"/>
            <w:right w:w="108" w:type="dxa"/>
          </w:tblCellMar>
        </w:tblPrEx>
        <w:trPr>
          <w:trHeight w:val="769" w:hRule="atLeast"/>
          <w:jc w:val="center"/>
        </w:trPr>
        <w:tc>
          <w:tcPr>
            <w:tcW w:w="406" w:type="pct"/>
            <w:tcBorders>
              <w:top w:val="single" w:color="auto" w:sz="4" w:space="0"/>
              <w:left w:val="single" w:color="auto" w:sz="4" w:space="0"/>
              <w:bottom w:val="single" w:color="auto" w:sz="4" w:space="0"/>
              <w:right w:val="single" w:color="auto" w:sz="4" w:space="0"/>
            </w:tcBorders>
            <w:noWrap/>
            <w:vAlign w:val="center"/>
          </w:tcPr>
          <w:p w14:paraId="7CD033EC">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8</w:t>
            </w:r>
          </w:p>
        </w:tc>
        <w:tc>
          <w:tcPr>
            <w:tcW w:w="1249" w:type="pct"/>
            <w:tcBorders>
              <w:top w:val="single" w:color="auto" w:sz="4" w:space="0"/>
              <w:left w:val="single" w:color="auto" w:sz="4" w:space="0"/>
              <w:bottom w:val="single" w:color="auto" w:sz="4" w:space="0"/>
              <w:right w:val="single" w:color="auto" w:sz="4" w:space="0"/>
            </w:tcBorders>
            <w:vAlign w:val="center"/>
          </w:tcPr>
          <w:p w14:paraId="07037DFD">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工作月报</w:t>
            </w:r>
          </w:p>
        </w:tc>
        <w:tc>
          <w:tcPr>
            <w:tcW w:w="2823" w:type="pct"/>
            <w:tcBorders>
              <w:top w:val="single" w:color="auto" w:sz="4" w:space="0"/>
              <w:left w:val="single" w:color="auto" w:sz="4" w:space="0"/>
              <w:bottom w:val="single" w:color="auto" w:sz="4" w:space="0"/>
              <w:right w:val="single" w:color="auto" w:sz="4" w:space="0"/>
            </w:tcBorders>
            <w:vAlign w:val="center"/>
          </w:tcPr>
          <w:p w14:paraId="46D70B8A">
            <w:pPr>
              <w:widowControl/>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每月按时提交运维工作月报得满分，未按时提交，扣2分/次</w:t>
            </w:r>
          </w:p>
        </w:tc>
        <w:tc>
          <w:tcPr>
            <w:tcW w:w="520" w:type="pct"/>
            <w:tcBorders>
              <w:top w:val="single" w:color="auto" w:sz="4" w:space="0"/>
              <w:left w:val="single" w:color="auto" w:sz="4" w:space="0"/>
              <w:bottom w:val="single" w:color="auto" w:sz="4" w:space="0"/>
              <w:right w:val="single" w:color="auto" w:sz="4" w:space="0"/>
            </w:tcBorders>
            <w:noWrap/>
            <w:vAlign w:val="center"/>
          </w:tcPr>
          <w:p w14:paraId="73ABC5A2">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20</w:t>
            </w:r>
          </w:p>
        </w:tc>
      </w:tr>
    </w:tbl>
    <w:p w14:paraId="2977F83B">
      <w:pPr>
        <w:rPr>
          <w:color w:val="auto"/>
          <w:highlight w:val="none"/>
        </w:rPr>
      </w:pPr>
    </w:p>
    <w:p w14:paraId="3AD597D5">
      <w:pPr>
        <w:pStyle w:val="7"/>
        <w:rPr>
          <w:color w:val="auto"/>
          <w:highlight w:val="none"/>
        </w:rPr>
      </w:pPr>
    </w:p>
    <w:p w14:paraId="2C8C2871">
      <w:pPr>
        <w:pStyle w:val="8"/>
        <w:rPr>
          <w:color w:val="auto"/>
          <w:highlight w:val="none"/>
        </w:rPr>
      </w:pPr>
    </w:p>
    <w:p w14:paraId="63EBA973">
      <w:pPr>
        <w:pStyle w:val="9"/>
        <w:rPr>
          <w:color w:val="auto"/>
          <w:highlight w:val="none"/>
        </w:rPr>
      </w:pPr>
    </w:p>
    <w:p w14:paraId="5970F8FF">
      <w:pPr>
        <w:rPr>
          <w:color w:val="auto"/>
          <w:highlight w:val="none"/>
        </w:rPr>
      </w:pPr>
    </w:p>
    <w:p w14:paraId="58BFF2A0">
      <w:pPr>
        <w:pStyle w:val="7"/>
        <w:rPr>
          <w:color w:val="auto"/>
          <w:highlight w:val="none"/>
        </w:rPr>
      </w:pPr>
    </w:p>
    <w:p w14:paraId="0DB92BEE">
      <w:pPr>
        <w:pStyle w:val="8"/>
        <w:rPr>
          <w:color w:val="auto"/>
          <w:highlight w:val="none"/>
        </w:rPr>
      </w:pPr>
    </w:p>
    <w:p w14:paraId="55CB0E06">
      <w:pPr>
        <w:pStyle w:val="9"/>
        <w:rPr>
          <w:color w:val="auto"/>
          <w:highlight w:val="none"/>
        </w:rPr>
      </w:pPr>
    </w:p>
    <w:p w14:paraId="7C344ACA">
      <w:pPr>
        <w:rPr>
          <w:color w:val="auto"/>
          <w:highlight w:val="none"/>
        </w:rPr>
      </w:pPr>
    </w:p>
    <w:p w14:paraId="01FFE328">
      <w:pPr>
        <w:pStyle w:val="7"/>
        <w:rPr>
          <w:color w:val="auto"/>
          <w:highlight w:val="none"/>
        </w:rPr>
      </w:pPr>
    </w:p>
    <w:p w14:paraId="0E9CA8CF">
      <w:pPr>
        <w:pStyle w:val="8"/>
        <w:rPr>
          <w:color w:val="auto"/>
          <w:highlight w:val="none"/>
        </w:rPr>
      </w:pPr>
    </w:p>
    <w:p w14:paraId="76C51BAF">
      <w:pPr>
        <w:pStyle w:val="9"/>
        <w:rPr>
          <w:color w:val="auto"/>
          <w:highlight w:val="none"/>
        </w:rPr>
      </w:pPr>
    </w:p>
    <w:p w14:paraId="0D6D44D5">
      <w:pPr>
        <w:rPr>
          <w:color w:val="auto"/>
          <w:highlight w:val="none"/>
        </w:rPr>
      </w:pPr>
    </w:p>
    <w:p w14:paraId="54096E90">
      <w:pPr>
        <w:pStyle w:val="7"/>
        <w:rPr>
          <w:color w:val="auto"/>
          <w:highlight w:val="none"/>
        </w:rPr>
      </w:pPr>
    </w:p>
    <w:p w14:paraId="559A1AA1">
      <w:pPr>
        <w:rPr>
          <w:color w:val="auto"/>
          <w:highlight w:val="none"/>
        </w:rPr>
      </w:pPr>
    </w:p>
    <w:p w14:paraId="23609F2F">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3" w:name="_Toc184313278"/>
      <w:bookmarkEnd w:id="33"/>
      <w:bookmarkStart w:id="34" w:name="_Toc184313282"/>
      <w:bookmarkEnd w:id="34"/>
      <w:bookmarkStart w:id="35" w:name="_Toc184313294"/>
      <w:bookmarkEnd w:id="35"/>
      <w:bookmarkStart w:id="36" w:name="_Toc184308072"/>
      <w:bookmarkEnd w:id="36"/>
      <w:bookmarkStart w:id="37" w:name="_Toc184312108"/>
      <w:bookmarkEnd w:id="37"/>
      <w:bookmarkStart w:id="38" w:name="_Toc184308055"/>
      <w:bookmarkEnd w:id="38"/>
      <w:bookmarkStart w:id="39" w:name="_Toc184310291"/>
      <w:bookmarkEnd w:id="39"/>
      <w:bookmarkStart w:id="40" w:name="_Toc184314477"/>
      <w:bookmarkEnd w:id="40"/>
      <w:bookmarkStart w:id="41" w:name="_Toc184314454"/>
      <w:bookmarkEnd w:id="41"/>
      <w:bookmarkStart w:id="42" w:name="_Toc184308056"/>
      <w:bookmarkEnd w:id="42"/>
      <w:bookmarkStart w:id="43" w:name="_Toc184312079"/>
      <w:bookmarkEnd w:id="43"/>
      <w:bookmarkStart w:id="44" w:name="_Toc184313242"/>
      <w:bookmarkEnd w:id="44"/>
      <w:bookmarkStart w:id="45" w:name="_Toc184310304"/>
      <w:bookmarkEnd w:id="45"/>
      <w:bookmarkStart w:id="46" w:name="_Toc184308048"/>
      <w:bookmarkEnd w:id="46"/>
      <w:bookmarkStart w:id="47" w:name="_Toc184310276"/>
      <w:bookmarkEnd w:id="47"/>
      <w:bookmarkStart w:id="48" w:name="_Toc184314426"/>
      <w:bookmarkEnd w:id="48"/>
      <w:bookmarkStart w:id="49" w:name="_Toc184314474"/>
      <w:bookmarkEnd w:id="49"/>
      <w:bookmarkStart w:id="50" w:name="_Toc184313265"/>
      <w:bookmarkEnd w:id="50"/>
      <w:bookmarkStart w:id="51" w:name="_Toc184313309"/>
      <w:bookmarkEnd w:id="51"/>
      <w:bookmarkStart w:id="52" w:name="_Toc184308080"/>
      <w:bookmarkEnd w:id="52"/>
      <w:bookmarkStart w:id="53" w:name="_Toc184312081"/>
      <w:bookmarkEnd w:id="53"/>
      <w:bookmarkStart w:id="54" w:name="_Toc184310301"/>
      <w:bookmarkEnd w:id="54"/>
      <w:bookmarkStart w:id="55" w:name="_Toc184310295"/>
      <w:bookmarkEnd w:id="55"/>
      <w:bookmarkStart w:id="56" w:name="_Toc184308066"/>
      <w:bookmarkEnd w:id="56"/>
      <w:bookmarkStart w:id="57" w:name="_Toc184308039"/>
      <w:bookmarkEnd w:id="57"/>
      <w:bookmarkStart w:id="58" w:name="_Toc184313238"/>
      <w:bookmarkEnd w:id="58"/>
      <w:bookmarkStart w:id="59" w:name="_Toc184310283"/>
      <w:bookmarkEnd w:id="59"/>
      <w:bookmarkStart w:id="60" w:name="_Toc184312088"/>
      <w:bookmarkEnd w:id="60"/>
      <w:bookmarkStart w:id="61" w:name="_Toc184314441"/>
      <w:bookmarkEnd w:id="61"/>
      <w:bookmarkStart w:id="62" w:name="_Toc184308091"/>
      <w:bookmarkEnd w:id="62"/>
      <w:bookmarkStart w:id="63" w:name="_Toc184310308"/>
      <w:bookmarkEnd w:id="63"/>
      <w:bookmarkStart w:id="64" w:name="_Toc184310293"/>
      <w:bookmarkEnd w:id="64"/>
      <w:bookmarkStart w:id="65" w:name="_Toc184310297"/>
      <w:bookmarkEnd w:id="65"/>
      <w:bookmarkStart w:id="66" w:name="_Toc184308105"/>
      <w:bookmarkEnd w:id="66"/>
      <w:bookmarkStart w:id="67" w:name="_Toc184310282"/>
      <w:bookmarkEnd w:id="67"/>
      <w:bookmarkStart w:id="68" w:name="_Toc184308054"/>
      <w:bookmarkEnd w:id="68"/>
      <w:bookmarkStart w:id="69" w:name="_Toc184308084"/>
      <w:bookmarkEnd w:id="69"/>
      <w:bookmarkStart w:id="70" w:name="_Toc184310299"/>
      <w:bookmarkEnd w:id="70"/>
      <w:bookmarkStart w:id="71" w:name="_Toc184313241"/>
      <w:bookmarkEnd w:id="71"/>
      <w:bookmarkStart w:id="72" w:name="_Toc184312117"/>
      <w:bookmarkEnd w:id="72"/>
      <w:bookmarkStart w:id="73" w:name="_Toc184308060"/>
      <w:bookmarkEnd w:id="73"/>
      <w:bookmarkStart w:id="74" w:name="_Toc184312118"/>
      <w:bookmarkEnd w:id="74"/>
      <w:bookmarkStart w:id="75" w:name="_Toc184312097"/>
      <w:bookmarkEnd w:id="75"/>
      <w:bookmarkStart w:id="76" w:name="_Toc184313301"/>
      <w:bookmarkEnd w:id="76"/>
      <w:bookmarkStart w:id="77" w:name="_Toc184314452"/>
      <w:bookmarkEnd w:id="77"/>
      <w:bookmarkStart w:id="78" w:name="_Toc184313259"/>
      <w:bookmarkEnd w:id="78"/>
      <w:bookmarkStart w:id="79" w:name="_Toc184308095"/>
      <w:bookmarkEnd w:id="79"/>
      <w:bookmarkStart w:id="80" w:name="_Toc184310280"/>
      <w:bookmarkEnd w:id="80"/>
      <w:bookmarkStart w:id="81" w:name="_Toc184313284"/>
      <w:bookmarkEnd w:id="81"/>
      <w:bookmarkStart w:id="82" w:name="_Toc184312094"/>
      <w:bookmarkEnd w:id="82"/>
      <w:bookmarkStart w:id="83" w:name="_Toc184313292"/>
      <w:bookmarkEnd w:id="83"/>
      <w:bookmarkStart w:id="84" w:name="_Toc184310315"/>
      <w:bookmarkEnd w:id="84"/>
      <w:bookmarkStart w:id="85" w:name="_Toc184308061"/>
      <w:bookmarkEnd w:id="85"/>
      <w:bookmarkStart w:id="86" w:name="_Toc184308090"/>
      <w:bookmarkEnd w:id="86"/>
      <w:bookmarkStart w:id="87" w:name="_Toc184313310"/>
      <w:bookmarkEnd w:id="87"/>
      <w:bookmarkStart w:id="88" w:name="_Toc184310324"/>
      <w:bookmarkEnd w:id="88"/>
      <w:bookmarkStart w:id="89" w:name="_Toc184313304"/>
      <w:bookmarkEnd w:id="89"/>
      <w:bookmarkStart w:id="90" w:name="_Toc184310309"/>
      <w:bookmarkEnd w:id="90"/>
      <w:bookmarkStart w:id="91" w:name="_Toc184313249"/>
      <w:bookmarkEnd w:id="91"/>
      <w:bookmarkStart w:id="92" w:name="_Toc184313287"/>
      <w:bookmarkEnd w:id="92"/>
      <w:bookmarkStart w:id="93" w:name="_Toc184314475"/>
      <w:bookmarkEnd w:id="93"/>
      <w:bookmarkStart w:id="94" w:name="_Toc184313253"/>
      <w:bookmarkEnd w:id="94"/>
      <w:bookmarkStart w:id="95" w:name="_Toc184310302"/>
      <w:bookmarkEnd w:id="95"/>
      <w:bookmarkStart w:id="96" w:name="_Toc184314460"/>
      <w:bookmarkEnd w:id="96"/>
      <w:bookmarkStart w:id="97" w:name="_Toc184313247"/>
      <w:bookmarkEnd w:id="97"/>
      <w:bookmarkStart w:id="98" w:name="_Toc184312114"/>
      <w:bookmarkEnd w:id="98"/>
      <w:bookmarkStart w:id="99" w:name="_Toc184308089"/>
      <w:bookmarkEnd w:id="99"/>
      <w:bookmarkStart w:id="100" w:name="_Toc184310292"/>
      <w:bookmarkEnd w:id="100"/>
      <w:bookmarkStart w:id="101" w:name="_Toc184313262"/>
      <w:bookmarkEnd w:id="101"/>
      <w:bookmarkStart w:id="102" w:name="_Toc184314430"/>
      <w:bookmarkEnd w:id="102"/>
      <w:bookmarkStart w:id="103" w:name="_Toc184312096"/>
      <w:bookmarkEnd w:id="103"/>
      <w:bookmarkStart w:id="104" w:name="_Toc184310316"/>
      <w:bookmarkEnd w:id="104"/>
      <w:bookmarkStart w:id="105" w:name="_Toc184308040"/>
      <w:bookmarkEnd w:id="105"/>
      <w:bookmarkStart w:id="106" w:name="_Toc184308083"/>
      <w:bookmarkEnd w:id="106"/>
      <w:bookmarkStart w:id="107" w:name="_Toc184314417"/>
      <w:bookmarkEnd w:id="107"/>
      <w:bookmarkStart w:id="108" w:name="_Toc184308107"/>
      <w:bookmarkEnd w:id="108"/>
      <w:bookmarkStart w:id="109" w:name="_Toc184310311"/>
      <w:bookmarkEnd w:id="109"/>
      <w:bookmarkStart w:id="110" w:name="_Toc184308037"/>
      <w:bookmarkEnd w:id="110"/>
      <w:bookmarkStart w:id="111" w:name="_Toc184310286"/>
      <w:bookmarkEnd w:id="111"/>
      <w:bookmarkStart w:id="112" w:name="_Toc184310279"/>
      <w:bookmarkEnd w:id="112"/>
      <w:bookmarkStart w:id="113" w:name="_Toc184310329"/>
      <w:bookmarkEnd w:id="113"/>
      <w:bookmarkStart w:id="114" w:name="_Toc184310274"/>
      <w:bookmarkEnd w:id="114"/>
      <w:bookmarkStart w:id="115" w:name="_Toc184308078"/>
      <w:bookmarkEnd w:id="115"/>
      <w:bookmarkStart w:id="116" w:name="_Toc184314440"/>
      <w:bookmarkEnd w:id="116"/>
      <w:bookmarkStart w:id="117" w:name="_Toc184310330"/>
      <w:bookmarkEnd w:id="117"/>
      <w:bookmarkStart w:id="118" w:name="_Toc184308098"/>
      <w:bookmarkEnd w:id="118"/>
      <w:bookmarkStart w:id="119" w:name="_Toc184313261"/>
      <w:bookmarkEnd w:id="119"/>
      <w:bookmarkStart w:id="120" w:name="_Toc184313281"/>
      <w:bookmarkEnd w:id="120"/>
      <w:bookmarkStart w:id="121" w:name="_Toc184312095"/>
      <w:bookmarkEnd w:id="121"/>
      <w:bookmarkStart w:id="122" w:name="_Toc184310281"/>
      <w:bookmarkEnd w:id="122"/>
      <w:bookmarkStart w:id="123" w:name="_Toc184314419"/>
      <w:bookmarkEnd w:id="123"/>
      <w:bookmarkStart w:id="124" w:name="_Toc184314466"/>
      <w:bookmarkEnd w:id="124"/>
      <w:bookmarkStart w:id="125" w:name="_Toc184313239"/>
      <w:bookmarkEnd w:id="125"/>
      <w:bookmarkStart w:id="126" w:name="_Toc184308036"/>
      <w:bookmarkEnd w:id="126"/>
      <w:bookmarkStart w:id="127" w:name="_Toc184313264"/>
      <w:bookmarkEnd w:id="127"/>
      <w:bookmarkStart w:id="128" w:name="_Toc184312083"/>
      <w:bookmarkEnd w:id="128"/>
      <w:bookmarkStart w:id="129" w:name="_Toc184308051"/>
      <w:bookmarkEnd w:id="129"/>
      <w:bookmarkStart w:id="130" w:name="_Toc184312100"/>
      <w:bookmarkEnd w:id="130"/>
      <w:bookmarkStart w:id="131" w:name="_Toc184313252"/>
      <w:bookmarkEnd w:id="131"/>
      <w:bookmarkStart w:id="132" w:name="_Toc184310306"/>
      <w:bookmarkEnd w:id="132"/>
      <w:bookmarkStart w:id="133" w:name="_Toc184312089"/>
      <w:bookmarkEnd w:id="133"/>
      <w:bookmarkStart w:id="134" w:name="_Toc184314461"/>
      <w:bookmarkEnd w:id="134"/>
      <w:bookmarkStart w:id="135" w:name="_Toc184314435"/>
      <w:bookmarkEnd w:id="135"/>
      <w:bookmarkStart w:id="136" w:name="_Toc184312104"/>
      <w:bookmarkEnd w:id="136"/>
      <w:bookmarkStart w:id="137" w:name="_Toc184314444"/>
      <w:bookmarkEnd w:id="137"/>
      <w:bookmarkStart w:id="138" w:name="_Toc184314431"/>
      <w:bookmarkEnd w:id="138"/>
      <w:bookmarkStart w:id="139" w:name="_Toc184308108"/>
      <w:bookmarkEnd w:id="139"/>
      <w:bookmarkStart w:id="140" w:name="_Toc184312129"/>
      <w:bookmarkEnd w:id="140"/>
      <w:bookmarkStart w:id="141" w:name="_Toc184313267"/>
      <w:bookmarkEnd w:id="141"/>
      <w:bookmarkStart w:id="142" w:name="_Toc184308049"/>
      <w:bookmarkEnd w:id="142"/>
      <w:bookmarkStart w:id="143" w:name="_Toc184308079"/>
      <w:bookmarkEnd w:id="143"/>
      <w:bookmarkStart w:id="144" w:name="_Toc184308050"/>
      <w:bookmarkEnd w:id="144"/>
      <w:bookmarkStart w:id="145" w:name="_Toc184312084"/>
      <w:bookmarkEnd w:id="145"/>
      <w:bookmarkStart w:id="146" w:name="_Toc184313290"/>
      <w:bookmarkEnd w:id="146"/>
      <w:bookmarkStart w:id="147" w:name="_Toc184308047"/>
      <w:bookmarkEnd w:id="147"/>
      <w:bookmarkStart w:id="148" w:name="_Toc184313307"/>
      <w:bookmarkEnd w:id="148"/>
      <w:bookmarkStart w:id="149" w:name="_Toc184313268"/>
      <w:bookmarkEnd w:id="149"/>
      <w:bookmarkStart w:id="150" w:name="_Toc184310332"/>
      <w:bookmarkEnd w:id="150"/>
      <w:bookmarkStart w:id="151" w:name="_Toc184310337"/>
      <w:bookmarkEnd w:id="151"/>
      <w:bookmarkStart w:id="152" w:name="_Toc184310322"/>
      <w:bookmarkEnd w:id="152"/>
      <w:bookmarkStart w:id="153" w:name="_Toc184313308"/>
      <w:bookmarkEnd w:id="153"/>
      <w:bookmarkStart w:id="154" w:name="_Toc184314428"/>
      <w:bookmarkEnd w:id="154"/>
      <w:bookmarkStart w:id="155" w:name="_Toc184310307"/>
      <w:bookmarkEnd w:id="155"/>
      <w:bookmarkStart w:id="156" w:name="_Toc184314462"/>
      <w:bookmarkEnd w:id="156"/>
      <w:bookmarkStart w:id="157" w:name="_Toc184310275"/>
      <w:bookmarkEnd w:id="157"/>
      <w:bookmarkStart w:id="158" w:name="_Toc184314437"/>
      <w:bookmarkEnd w:id="158"/>
      <w:bookmarkStart w:id="159" w:name="_Toc184308068"/>
      <w:bookmarkEnd w:id="159"/>
      <w:bookmarkStart w:id="160" w:name="_Toc184314436"/>
      <w:bookmarkEnd w:id="160"/>
      <w:bookmarkStart w:id="161" w:name="_Toc184310323"/>
      <w:bookmarkEnd w:id="161"/>
      <w:bookmarkStart w:id="162" w:name="_Toc184313255"/>
      <w:bookmarkEnd w:id="162"/>
      <w:bookmarkStart w:id="163" w:name="_Toc184312103"/>
      <w:bookmarkEnd w:id="163"/>
      <w:bookmarkStart w:id="164" w:name="_Toc184308067"/>
      <w:bookmarkEnd w:id="164"/>
      <w:bookmarkStart w:id="165" w:name="_Toc184314425"/>
      <w:bookmarkEnd w:id="165"/>
      <w:bookmarkStart w:id="166" w:name="_Toc184314410"/>
      <w:bookmarkEnd w:id="166"/>
      <w:bookmarkStart w:id="167" w:name="_Toc184314453"/>
      <w:bookmarkEnd w:id="167"/>
      <w:bookmarkStart w:id="168" w:name="_Toc184313296"/>
      <w:bookmarkEnd w:id="168"/>
      <w:bookmarkStart w:id="169" w:name="_Toc184310285"/>
      <w:bookmarkEnd w:id="169"/>
      <w:bookmarkStart w:id="170" w:name="_Toc184308093"/>
      <w:bookmarkEnd w:id="170"/>
      <w:bookmarkStart w:id="171" w:name="_Toc184312119"/>
      <w:bookmarkEnd w:id="171"/>
      <w:bookmarkStart w:id="172" w:name="_Toc184313275"/>
      <w:bookmarkEnd w:id="172"/>
      <w:bookmarkStart w:id="173" w:name="_Toc184308106"/>
      <w:bookmarkEnd w:id="173"/>
      <w:bookmarkStart w:id="174" w:name="_Toc184310336"/>
      <w:bookmarkEnd w:id="174"/>
      <w:bookmarkStart w:id="175" w:name="_Toc184308065"/>
      <w:bookmarkEnd w:id="175"/>
      <w:bookmarkStart w:id="176" w:name="_Toc184312134"/>
      <w:bookmarkEnd w:id="176"/>
      <w:bookmarkStart w:id="177" w:name="_Toc184312070"/>
      <w:bookmarkEnd w:id="177"/>
      <w:bookmarkStart w:id="178" w:name="_Toc184312135"/>
      <w:bookmarkEnd w:id="178"/>
      <w:bookmarkStart w:id="179" w:name="_Toc184312111"/>
      <w:bookmarkEnd w:id="179"/>
      <w:bookmarkStart w:id="180" w:name="_Toc184313256"/>
      <w:bookmarkEnd w:id="180"/>
      <w:bookmarkStart w:id="181" w:name="_Toc184310320"/>
      <w:bookmarkEnd w:id="181"/>
      <w:bookmarkStart w:id="182" w:name="_Toc184310290"/>
      <w:bookmarkEnd w:id="182"/>
      <w:bookmarkStart w:id="183" w:name="_Toc184310278"/>
      <w:bookmarkEnd w:id="183"/>
      <w:bookmarkStart w:id="184" w:name="_Toc184314456"/>
      <w:bookmarkEnd w:id="184"/>
      <w:bookmarkStart w:id="185" w:name="_Toc184312101"/>
      <w:bookmarkEnd w:id="185"/>
      <w:bookmarkStart w:id="186" w:name="_Toc184313272"/>
      <w:bookmarkEnd w:id="186"/>
      <w:bookmarkStart w:id="187" w:name="_Toc184312126"/>
      <w:bookmarkEnd w:id="187"/>
      <w:bookmarkStart w:id="188" w:name="_Toc184314433"/>
      <w:bookmarkEnd w:id="188"/>
      <w:bookmarkStart w:id="189" w:name="_Toc184312092"/>
      <w:bookmarkEnd w:id="189"/>
      <w:bookmarkStart w:id="190" w:name="_Toc184314457"/>
      <w:bookmarkEnd w:id="190"/>
      <w:bookmarkStart w:id="191" w:name="_Toc184308086"/>
      <w:bookmarkEnd w:id="191"/>
      <w:bookmarkStart w:id="192" w:name="_Toc184312139"/>
      <w:bookmarkEnd w:id="192"/>
      <w:bookmarkStart w:id="193" w:name="_Toc184310327"/>
      <w:bookmarkEnd w:id="193"/>
      <w:bookmarkStart w:id="194" w:name="_Toc184314455"/>
      <w:bookmarkEnd w:id="194"/>
      <w:bookmarkStart w:id="195" w:name="_Toc184314427"/>
      <w:bookmarkEnd w:id="195"/>
      <w:bookmarkStart w:id="196" w:name="_Toc184313269"/>
      <w:bookmarkEnd w:id="196"/>
      <w:bookmarkStart w:id="197" w:name="_Toc184308096"/>
      <w:bookmarkEnd w:id="197"/>
      <w:bookmarkStart w:id="198" w:name="_Toc184312116"/>
      <w:bookmarkEnd w:id="198"/>
      <w:bookmarkStart w:id="199" w:name="_Toc184314415"/>
      <w:bookmarkEnd w:id="199"/>
      <w:bookmarkStart w:id="200" w:name="_Toc184314476"/>
      <w:bookmarkEnd w:id="200"/>
      <w:bookmarkStart w:id="201" w:name="_Toc184314449"/>
      <w:bookmarkEnd w:id="201"/>
      <w:bookmarkStart w:id="202" w:name="_Toc184308057"/>
      <w:bookmarkEnd w:id="202"/>
      <w:bookmarkStart w:id="203" w:name="_Toc184313295"/>
      <w:bookmarkEnd w:id="203"/>
      <w:bookmarkStart w:id="204" w:name="_Toc184310300"/>
      <w:bookmarkEnd w:id="204"/>
      <w:bookmarkStart w:id="205" w:name="_Toc184313243"/>
      <w:bookmarkEnd w:id="205"/>
      <w:bookmarkStart w:id="206" w:name="_Toc184314468"/>
      <w:bookmarkEnd w:id="206"/>
      <w:bookmarkStart w:id="207" w:name="_Toc184313244"/>
      <w:bookmarkEnd w:id="207"/>
      <w:bookmarkStart w:id="208" w:name="_Toc184308038"/>
      <w:bookmarkEnd w:id="208"/>
      <w:bookmarkStart w:id="209" w:name="_Toc184313258"/>
      <w:bookmarkEnd w:id="209"/>
      <w:bookmarkStart w:id="210" w:name="_Toc184314472"/>
      <w:bookmarkEnd w:id="210"/>
      <w:bookmarkStart w:id="211" w:name="_Toc184312137"/>
      <w:bookmarkEnd w:id="211"/>
      <w:bookmarkStart w:id="212" w:name="_Toc184308104"/>
      <w:bookmarkEnd w:id="212"/>
      <w:bookmarkStart w:id="213" w:name="_Toc184312122"/>
      <w:bookmarkEnd w:id="213"/>
      <w:bookmarkStart w:id="214" w:name="_Toc184312077"/>
      <w:bookmarkEnd w:id="214"/>
      <w:bookmarkStart w:id="215" w:name="_Toc184313300"/>
      <w:bookmarkEnd w:id="215"/>
      <w:bookmarkStart w:id="216" w:name="_Toc184312105"/>
      <w:bookmarkEnd w:id="216"/>
      <w:bookmarkStart w:id="217" w:name="_Toc184310289"/>
      <w:bookmarkEnd w:id="217"/>
      <w:bookmarkStart w:id="218" w:name="_Toc184308042"/>
      <w:bookmarkEnd w:id="218"/>
      <w:bookmarkStart w:id="219" w:name="_Toc184308043"/>
      <w:bookmarkEnd w:id="219"/>
      <w:bookmarkStart w:id="220" w:name="_Toc184310303"/>
      <w:bookmarkEnd w:id="220"/>
      <w:bookmarkStart w:id="221" w:name="_Toc184312124"/>
      <w:bookmarkEnd w:id="221"/>
      <w:bookmarkStart w:id="222" w:name="_Toc184314459"/>
      <w:bookmarkEnd w:id="222"/>
      <w:bookmarkStart w:id="223" w:name="_Toc184308070"/>
      <w:bookmarkEnd w:id="223"/>
      <w:bookmarkStart w:id="224" w:name="_Toc184312080"/>
      <w:bookmarkEnd w:id="224"/>
      <w:bookmarkStart w:id="225" w:name="_Toc184314411"/>
      <w:bookmarkEnd w:id="225"/>
      <w:bookmarkStart w:id="226" w:name="_Toc184308045"/>
      <w:bookmarkEnd w:id="226"/>
      <w:bookmarkStart w:id="227" w:name="_Toc184314467"/>
      <w:bookmarkEnd w:id="227"/>
      <w:bookmarkStart w:id="228" w:name="_Toc184310317"/>
      <w:bookmarkEnd w:id="228"/>
      <w:bookmarkStart w:id="229" w:name="_Toc184308073"/>
      <w:bookmarkEnd w:id="229"/>
      <w:bookmarkStart w:id="230" w:name="_Toc184312069"/>
      <w:bookmarkEnd w:id="230"/>
      <w:bookmarkStart w:id="231" w:name="_Toc184308087"/>
      <w:bookmarkEnd w:id="231"/>
      <w:bookmarkStart w:id="232" w:name="_Toc184312113"/>
      <w:bookmarkEnd w:id="232"/>
      <w:bookmarkStart w:id="233" w:name="_Toc184314418"/>
      <w:bookmarkEnd w:id="233"/>
      <w:bookmarkStart w:id="234" w:name="_Toc184310284"/>
      <w:bookmarkEnd w:id="234"/>
      <w:bookmarkStart w:id="235" w:name="_Toc184312123"/>
      <w:bookmarkEnd w:id="235"/>
      <w:bookmarkStart w:id="236" w:name="_Toc184310344"/>
      <w:bookmarkEnd w:id="236"/>
      <w:bookmarkStart w:id="237" w:name="_Toc184312133"/>
      <w:bookmarkEnd w:id="237"/>
      <w:bookmarkStart w:id="238" w:name="_Toc184312078"/>
      <w:bookmarkEnd w:id="238"/>
      <w:bookmarkStart w:id="239" w:name="_Toc184314448"/>
      <w:bookmarkEnd w:id="239"/>
      <w:bookmarkStart w:id="240" w:name="_Toc184308103"/>
      <w:bookmarkEnd w:id="240"/>
      <w:bookmarkStart w:id="241" w:name="_Toc184314473"/>
      <w:bookmarkEnd w:id="241"/>
      <w:bookmarkStart w:id="242" w:name="_Toc184310325"/>
      <w:bookmarkEnd w:id="242"/>
      <w:bookmarkStart w:id="243" w:name="_Toc184308074"/>
      <w:bookmarkEnd w:id="243"/>
      <w:bookmarkStart w:id="244" w:name="_Toc184310331"/>
      <w:bookmarkEnd w:id="244"/>
      <w:bookmarkStart w:id="245" w:name="_Toc184310272"/>
      <w:bookmarkEnd w:id="245"/>
      <w:bookmarkStart w:id="246" w:name="_Toc184312067"/>
      <w:bookmarkEnd w:id="246"/>
      <w:bookmarkStart w:id="247" w:name="_Toc184313251"/>
      <w:bookmarkEnd w:id="247"/>
      <w:bookmarkStart w:id="248" w:name="_Toc184313285"/>
      <w:bookmarkEnd w:id="248"/>
      <w:bookmarkStart w:id="249" w:name="_Toc184314438"/>
      <w:bookmarkEnd w:id="249"/>
      <w:bookmarkStart w:id="250" w:name="_Toc184310298"/>
      <w:bookmarkEnd w:id="250"/>
      <w:bookmarkStart w:id="251" w:name="_Toc184313248"/>
      <w:bookmarkEnd w:id="251"/>
      <w:bookmarkStart w:id="252" w:name="_Toc184312120"/>
      <w:bookmarkEnd w:id="252"/>
      <w:bookmarkStart w:id="253" w:name="_Toc184314480"/>
      <w:bookmarkEnd w:id="253"/>
      <w:bookmarkStart w:id="254" w:name="_Toc184313254"/>
      <w:bookmarkEnd w:id="254"/>
      <w:bookmarkStart w:id="255" w:name="_Toc184313250"/>
      <w:bookmarkEnd w:id="255"/>
      <w:bookmarkStart w:id="256" w:name="_Toc184310294"/>
      <w:bookmarkEnd w:id="256"/>
      <w:bookmarkStart w:id="257" w:name="_Toc184313302"/>
      <w:bookmarkEnd w:id="257"/>
      <w:bookmarkStart w:id="258" w:name="_Toc184310273"/>
      <w:bookmarkEnd w:id="258"/>
      <w:bookmarkStart w:id="259" w:name="_Toc184313260"/>
      <w:bookmarkEnd w:id="259"/>
      <w:bookmarkStart w:id="260" w:name="_Toc184308053"/>
      <w:bookmarkEnd w:id="260"/>
      <w:bookmarkStart w:id="261" w:name="_Toc184313305"/>
      <w:bookmarkEnd w:id="261"/>
      <w:bookmarkStart w:id="262" w:name="_Toc184310321"/>
      <w:bookmarkEnd w:id="262"/>
      <w:bookmarkStart w:id="263" w:name="_Toc184310313"/>
      <w:bookmarkEnd w:id="263"/>
      <w:bookmarkStart w:id="264" w:name="_Toc184308097"/>
      <w:bookmarkEnd w:id="264"/>
      <w:bookmarkStart w:id="265" w:name="_Toc184310339"/>
      <w:bookmarkEnd w:id="265"/>
      <w:bookmarkStart w:id="266" w:name="_Toc184313306"/>
      <w:bookmarkEnd w:id="266"/>
      <w:bookmarkStart w:id="267" w:name="_Toc184312102"/>
      <w:bookmarkEnd w:id="267"/>
      <w:bookmarkStart w:id="268" w:name="_Toc184313276"/>
      <w:bookmarkEnd w:id="268"/>
      <w:bookmarkStart w:id="269" w:name="_Toc184310335"/>
      <w:bookmarkEnd w:id="269"/>
      <w:bookmarkStart w:id="270" w:name="_Toc184310277"/>
      <w:bookmarkEnd w:id="270"/>
      <w:bookmarkStart w:id="271" w:name="_Toc184314446"/>
      <w:bookmarkEnd w:id="271"/>
      <w:bookmarkStart w:id="272" w:name="_Toc184310319"/>
      <w:bookmarkEnd w:id="272"/>
      <w:bookmarkStart w:id="273" w:name="_Toc184313270"/>
      <w:bookmarkEnd w:id="273"/>
      <w:bookmarkStart w:id="274" w:name="_Toc184310333"/>
      <w:bookmarkEnd w:id="274"/>
      <w:bookmarkStart w:id="275" w:name="_Toc184310318"/>
      <w:bookmarkEnd w:id="275"/>
      <w:bookmarkStart w:id="276" w:name="_Toc184313283"/>
      <w:bookmarkEnd w:id="276"/>
      <w:bookmarkStart w:id="277" w:name="_Toc184312107"/>
      <w:bookmarkEnd w:id="277"/>
      <w:bookmarkStart w:id="278" w:name="_Toc184308085"/>
      <w:bookmarkEnd w:id="278"/>
      <w:bookmarkStart w:id="279" w:name="_Toc184308082"/>
      <w:bookmarkEnd w:id="279"/>
      <w:bookmarkStart w:id="280" w:name="_Toc184312087"/>
      <w:bookmarkEnd w:id="280"/>
      <w:bookmarkStart w:id="281" w:name="_Toc184313245"/>
      <w:bookmarkEnd w:id="281"/>
      <w:bookmarkStart w:id="282" w:name="_Toc184310310"/>
      <w:bookmarkEnd w:id="282"/>
      <w:bookmarkStart w:id="283" w:name="_Toc184313303"/>
      <w:bookmarkEnd w:id="283"/>
      <w:bookmarkStart w:id="284" w:name="_Toc184312082"/>
      <w:bookmarkEnd w:id="284"/>
      <w:bookmarkStart w:id="285" w:name="_Toc184310314"/>
      <w:bookmarkEnd w:id="285"/>
      <w:bookmarkStart w:id="286" w:name="_Toc184313246"/>
      <w:bookmarkEnd w:id="286"/>
      <w:bookmarkStart w:id="287" w:name="_Toc184310328"/>
      <w:bookmarkEnd w:id="287"/>
      <w:bookmarkStart w:id="288" w:name="_Toc184313288"/>
      <w:bookmarkEnd w:id="288"/>
      <w:bookmarkStart w:id="289" w:name="_Toc184312074"/>
      <w:bookmarkEnd w:id="289"/>
      <w:bookmarkStart w:id="290" w:name="_Toc184314478"/>
      <w:bookmarkEnd w:id="290"/>
      <w:bookmarkStart w:id="291" w:name="_Toc184313279"/>
      <w:bookmarkEnd w:id="291"/>
      <w:bookmarkStart w:id="292" w:name="_Toc184312098"/>
      <w:bookmarkEnd w:id="292"/>
      <w:bookmarkStart w:id="293" w:name="_Toc184308081"/>
      <w:bookmarkEnd w:id="293"/>
      <w:bookmarkStart w:id="294" w:name="_Toc184312130"/>
      <w:bookmarkEnd w:id="294"/>
      <w:bookmarkStart w:id="295" w:name="_Toc184308092"/>
      <w:bookmarkEnd w:id="295"/>
      <w:bookmarkStart w:id="296" w:name="_Toc184314464"/>
      <w:bookmarkEnd w:id="296"/>
      <w:bookmarkStart w:id="297" w:name="_Toc184314447"/>
      <w:bookmarkEnd w:id="297"/>
      <w:bookmarkStart w:id="298" w:name="_Toc184312075"/>
      <w:bookmarkEnd w:id="298"/>
      <w:bookmarkStart w:id="299" w:name="_Toc184314420"/>
      <w:bookmarkEnd w:id="299"/>
      <w:bookmarkStart w:id="300" w:name="_Toc184312136"/>
      <w:bookmarkEnd w:id="300"/>
      <w:bookmarkStart w:id="301" w:name="_Toc184310340"/>
      <w:bookmarkEnd w:id="301"/>
      <w:bookmarkStart w:id="302" w:name="_Toc184310342"/>
      <w:bookmarkEnd w:id="302"/>
      <w:bookmarkStart w:id="303" w:name="_Toc184312068"/>
      <w:bookmarkEnd w:id="303"/>
      <w:bookmarkStart w:id="304" w:name="_Toc184314416"/>
      <w:bookmarkEnd w:id="304"/>
      <w:bookmarkStart w:id="305" w:name="_Toc184312112"/>
      <w:bookmarkEnd w:id="305"/>
      <w:bookmarkStart w:id="306" w:name="_Toc184314412"/>
      <w:bookmarkEnd w:id="306"/>
      <w:bookmarkStart w:id="307" w:name="_Toc184312138"/>
      <w:bookmarkEnd w:id="307"/>
      <w:bookmarkStart w:id="308" w:name="_Toc184312076"/>
      <w:bookmarkEnd w:id="308"/>
      <w:bookmarkStart w:id="309" w:name="_Toc184308063"/>
      <w:bookmarkEnd w:id="309"/>
      <w:bookmarkStart w:id="310" w:name="_Toc184308046"/>
      <w:bookmarkEnd w:id="310"/>
      <w:bookmarkStart w:id="311" w:name="_Toc184313274"/>
      <w:bookmarkEnd w:id="311"/>
      <w:bookmarkStart w:id="312" w:name="_Toc184313299"/>
      <w:bookmarkEnd w:id="312"/>
      <w:bookmarkStart w:id="313" w:name="_Toc184308076"/>
      <w:bookmarkEnd w:id="313"/>
      <w:bookmarkStart w:id="314" w:name="_Toc184314482"/>
      <w:bookmarkEnd w:id="314"/>
      <w:bookmarkStart w:id="315" w:name="_Toc184308069"/>
      <w:bookmarkEnd w:id="315"/>
      <w:bookmarkStart w:id="316" w:name="_Toc184314443"/>
      <w:bookmarkEnd w:id="316"/>
      <w:bookmarkStart w:id="317" w:name="_Toc184313291"/>
      <w:bookmarkEnd w:id="317"/>
      <w:bookmarkStart w:id="318" w:name="_Toc184314458"/>
      <w:bookmarkEnd w:id="318"/>
      <w:bookmarkStart w:id="319" w:name="_Toc184314481"/>
      <w:bookmarkEnd w:id="319"/>
      <w:bookmarkStart w:id="320" w:name="_Toc184314434"/>
      <w:bookmarkEnd w:id="320"/>
      <w:bookmarkStart w:id="321" w:name="_Toc184313293"/>
      <w:bookmarkEnd w:id="321"/>
      <w:bookmarkStart w:id="322" w:name="_Toc184313240"/>
      <w:bookmarkEnd w:id="322"/>
      <w:bookmarkStart w:id="323" w:name="_Toc184308059"/>
      <w:bookmarkEnd w:id="323"/>
      <w:bookmarkStart w:id="324" w:name="_Toc184308077"/>
      <w:bookmarkEnd w:id="324"/>
      <w:bookmarkStart w:id="325" w:name="_Toc184314421"/>
      <w:bookmarkEnd w:id="325"/>
      <w:bookmarkStart w:id="326" w:name="_Toc184314413"/>
      <w:bookmarkEnd w:id="326"/>
      <w:bookmarkStart w:id="327" w:name="_Toc184313273"/>
      <w:bookmarkEnd w:id="327"/>
      <w:bookmarkStart w:id="328" w:name="_Toc184312091"/>
      <w:bookmarkEnd w:id="328"/>
      <w:bookmarkStart w:id="329" w:name="_Toc184312125"/>
      <w:bookmarkEnd w:id="329"/>
      <w:bookmarkStart w:id="330" w:name="_Toc184313280"/>
      <w:bookmarkEnd w:id="330"/>
      <w:bookmarkStart w:id="331" w:name="_Toc184314450"/>
      <w:bookmarkEnd w:id="331"/>
      <w:bookmarkStart w:id="332" w:name="_Toc184314439"/>
      <w:bookmarkEnd w:id="332"/>
      <w:bookmarkStart w:id="333" w:name="_Toc184313297"/>
      <w:bookmarkEnd w:id="333"/>
      <w:bookmarkStart w:id="334" w:name="_Toc184312099"/>
      <w:bookmarkEnd w:id="334"/>
      <w:bookmarkStart w:id="335" w:name="_Toc184313271"/>
      <w:bookmarkEnd w:id="335"/>
      <w:bookmarkStart w:id="336" w:name="_Toc184314422"/>
      <w:bookmarkEnd w:id="336"/>
      <w:bookmarkStart w:id="337" w:name="_Toc184312093"/>
      <w:bookmarkEnd w:id="337"/>
      <w:bookmarkStart w:id="338" w:name="_Toc184314463"/>
      <w:bookmarkEnd w:id="338"/>
      <w:bookmarkStart w:id="339" w:name="_Toc184310287"/>
      <w:bookmarkEnd w:id="339"/>
      <w:bookmarkStart w:id="340" w:name="_Toc184314423"/>
      <w:bookmarkEnd w:id="340"/>
      <w:bookmarkStart w:id="341" w:name="_Toc184308041"/>
      <w:bookmarkEnd w:id="341"/>
      <w:bookmarkStart w:id="342" w:name="_Toc184310341"/>
      <w:bookmarkEnd w:id="342"/>
      <w:bookmarkStart w:id="343" w:name="_Toc184314424"/>
      <w:bookmarkEnd w:id="343"/>
      <w:bookmarkStart w:id="344" w:name="_Toc184310338"/>
      <w:bookmarkEnd w:id="344"/>
      <w:bookmarkStart w:id="345" w:name="_Toc184312132"/>
      <w:bookmarkEnd w:id="345"/>
      <w:bookmarkStart w:id="346" w:name="_Toc184313286"/>
      <w:bookmarkEnd w:id="346"/>
      <w:bookmarkStart w:id="347" w:name="_Toc184312071"/>
      <w:bookmarkEnd w:id="347"/>
      <w:bookmarkStart w:id="348" w:name="_Toc184313257"/>
      <w:bookmarkEnd w:id="348"/>
      <w:bookmarkStart w:id="349" w:name="_Toc184312072"/>
      <w:bookmarkEnd w:id="349"/>
      <w:bookmarkStart w:id="350" w:name="_Toc184312115"/>
      <w:bookmarkEnd w:id="350"/>
      <w:bookmarkStart w:id="351" w:name="_Toc184312121"/>
      <w:bookmarkEnd w:id="351"/>
      <w:bookmarkStart w:id="352" w:name="_Toc184310312"/>
      <w:bookmarkEnd w:id="352"/>
      <w:bookmarkStart w:id="353" w:name="_Toc184310326"/>
      <w:bookmarkEnd w:id="353"/>
      <w:bookmarkStart w:id="354" w:name="_Toc184312106"/>
      <w:bookmarkEnd w:id="354"/>
      <w:bookmarkStart w:id="355" w:name="_Toc184308058"/>
      <w:bookmarkEnd w:id="355"/>
      <w:bookmarkStart w:id="356" w:name="_Toc184313298"/>
      <w:bookmarkEnd w:id="356"/>
      <w:bookmarkStart w:id="357" w:name="_Toc184308099"/>
      <w:bookmarkEnd w:id="357"/>
      <w:bookmarkStart w:id="358" w:name="_Toc184312110"/>
      <w:bookmarkEnd w:id="358"/>
      <w:bookmarkStart w:id="359" w:name="_Toc184314414"/>
      <w:bookmarkEnd w:id="359"/>
      <w:bookmarkStart w:id="360" w:name="_Toc184312085"/>
      <w:bookmarkEnd w:id="360"/>
      <w:bookmarkStart w:id="361" w:name="_Toc184312086"/>
      <w:bookmarkEnd w:id="361"/>
      <w:bookmarkStart w:id="362" w:name="_Toc184313289"/>
      <w:bookmarkEnd w:id="362"/>
      <w:bookmarkStart w:id="363" w:name="_Toc184310343"/>
      <w:bookmarkEnd w:id="363"/>
      <w:bookmarkStart w:id="364" w:name="_Toc184314445"/>
      <w:bookmarkEnd w:id="364"/>
      <w:bookmarkStart w:id="365" w:name="_Toc184314479"/>
      <w:bookmarkEnd w:id="365"/>
      <w:bookmarkStart w:id="366" w:name="_Toc184308100"/>
      <w:bookmarkEnd w:id="366"/>
      <w:bookmarkStart w:id="367" w:name="_Toc184314429"/>
      <w:bookmarkEnd w:id="367"/>
      <w:bookmarkStart w:id="368" w:name="_Toc184308088"/>
      <w:bookmarkEnd w:id="368"/>
      <w:bookmarkStart w:id="369" w:name="_Toc184314451"/>
      <w:bookmarkEnd w:id="369"/>
      <w:bookmarkStart w:id="370" w:name="_Toc184308101"/>
      <w:bookmarkEnd w:id="370"/>
      <w:bookmarkStart w:id="371" w:name="_Toc184313263"/>
      <w:bookmarkEnd w:id="371"/>
      <w:bookmarkStart w:id="372" w:name="_Toc184312128"/>
      <w:bookmarkEnd w:id="372"/>
      <w:bookmarkStart w:id="373" w:name="_Toc184310334"/>
      <w:bookmarkEnd w:id="373"/>
      <w:bookmarkStart w:id="374" w:name="_Toc184308064"/>
      <w:bookmarkEnd w:id="374"/>
      <w:bookmarkStart w:id="375" w:name="_Toc184313266"/>
      <w:bookmarkEnd w:id="375"/>
      <w:bookmarkStart w:id="376" w:name="_Toc184308071"/>
      <w:bookmarkEnd w:id="376"/>
      <w:bookmarkStart w:id="377" w:name="_Toc184314469"/>
      <w:bookmarkEnd w:id="377"/>
      <w:bookmarkStart w:id="378" w:name="_Toc184314432"/>
      <w:bookmarkEnd w:id="378"/>
      <w:bookmarkStart w:id="379" w:name="_Toc184314442"/>
      <w:bookmarkEnd w:id="379"/>
      <w:bookmarkStart w:id="380" w:name="_Toc184312109"/>
      <w:bookmarkEnd w:id="380"/>
      <w:bookmarkStart w:id="381" w:name="_Toc184314465"/>
      <w:bookmarkEnd w:id="381"/>
      <w:bookmarkStart w:id="382" w:name="_Toc184312131"/>
      <w:bookmarkEnd w:id="382"/>
      <w:bookmarkStart w:id="383" w:name="_Toc184308052"/>
      <w:bookmarkEnd w:id="383"/>
      <w:bookmarkStart w:id="384" w:name="_Toc184308075"/>
      <w:bookmarkEnd w:id="384"/>
      <w:bookmarkStart w:id="385" w:name="_Toc184308094"/>
      <w:bookmarkEnd w:id="385"/>
      <w:bookmarkStart w:id="386" w:name="_Toc184312127"/>
      <w:bookmarkEnd w:id="386"/>
      <w:bookmarkStart w:id="387" w:name="_Toc184313277"/>
      <w:bookmarkEnd w:id="387"/>
      <w:bookmarkStart w:id="388" w:name="_Toc184310296"/>
      <w:bookmarkEnd w:id="388"/>
      <w:bookmarkStart w:id="389" w:name="_Toc184308102"/>
      <w:bookmarkEnd w:id="389"/>
      <w:bookmarkStart w:id="390" w:name="_Toc184312090"/>
      <w:bookmarkEnd w:id="390"/>
      <w:bookmarkStart w:id="391" w:name="_Toc184310288"/>
      <w:bookmarkEnd w:id="391"/>
      <w:bookmarkStart w:id="392" w:name="_Toc184314471"/>
      <w:bookmarkEnd w:id="392"/>
      <w:bookmarkStart w:id="393" w:name="_Toc184308062"/>
      <w:bookmarkEnd w:id="393"/>
      <w:bookmarkStart w:id="394" w:name="_Toc184310305"/>
      <w:bookmarkEnd w:id="394"/>
      <w:bookmarkStart w:id="395" w:name="_Toc184312073"/>
      <w:bookmarkEnd w:id="395"/>
      <w:bookmarkStart w:id="396" w:name="_Toc184314470"/>
      <w:bookmarkEnd w:id="396"/>
      <w:bookmarkStart w:id="397" w:name="_Toc184308044"/>
      <w:bookmarkEnd w:id="397"/>
      <w:r>
        <w:rPr>
          <w:rFonts w:hint="eastAsia" w:ascii="宋体" w:hAnsi="宋体" w:cs="宋体"/>
          <w:b/>
          <w:color w:val="auto"/>
          <w:sz w:val="36"/>
          <w:szCs w:val="36"/>
          <w:highlight w:val="none"/>
        </w:rPr>
        <w:t>评标办法</w:t>
      </w:r>
    </w:p>
    <w:p w14:paraId="4CC78E10">
      <w:pPr>
        <w:snapToGrid w:val="0"/>
        <w:spacing w:line="360" w:lineRule="auto"/>
        <w:jc w:val="center"/>
        <w:rPr>
          <w:rFonts w:hint="default" w:ascii="宋体" w:hAnsi="宋体" w:eastAsia="宋体" w:cs="宋体"/>
          <w:b/>
          <w:color w:val="auto"/>
          <w:sz w:val="32"/>
          <w:szCs w:val="20"/>
          <w:highlight w:val="none"/>
          <w:lang w:val="en-US" w:eastAsia="zh-CN"/>
        </w:rPr>
      </w:pPr>
      <w:r>
        <w:rPr>
          <w:rFonts w:hint="eastAsia" w:ascii="宋体" w:hAnsi="宋体" w:cs="宋体"/>
          <w:b/>
          <w:color w:val="auto"/>
          <w:sz w:val="32"/>
          <w:szCs w:val="20"/>
          <w:highlight w:val="none"/>
        </w:rPr>
        <w:t>评标办法前附表</w:t>
      </w:r>
    </w:p>
    <w:bookmarkEnd w:id="26"/>
    <w:tbl>
      <w:tblPr>
        <w:tblStyle w:val="17"/>
        <w:tblW w:w="52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26"/>
        <w:gridCol w:w="5544"/>
        <w:gridCol w:w="842"/>
        <w:gridCol w:w="1095"/>
        <w:gridCol w:w="2085"/>
      </w:tblGrid>
      <w:tr w14:paraId="2160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7" w:hRule="atLeast"/>
        </w:trPr>
        <w:tc>
          <w:tcPr>
            <w:tcW w:w="398" w:type="pct"/>
            <w:shd w:val="clear" w:color="auto" w:fill="FFFFFF"/>
            <w:vAlign w:val="center"/>
          </w:tcPr>
          <w:p w14:paraId="65003507">
            <w:pPr>
              <w:adjustRightInd w:val="0"/>
              <w:snapToGrid w:val="0"/>
              <w:jc w:val="center"/>
              <w:outlineLvl w:val="0"/>
              <w:rPr>
                <w:rFonts w:ascii="仿宋" w:hAnsi="仿宋" w:eastAsia="仿宋" w:cs="仿宋_GB2312"/>
                <w:bCs/>
                <w:color w:val="auto"/>
                <w:sz w:val="24"/>
                <w:szCs w:val="24"/>
                <w:highlight w:val="none"/>
              </w:rPr>
            </w:pPr>
            <w:bookmarkStart w:id="398" w:name="_Toc17588"/>
            <w:bookmarkStart w:id="399" w:name="_Toc86217003"/>
            <w:bookmarkStart w:id="400" w:name="第五部分"/>
            <w:r>
              <w:rPr>
                <w:rFonts w:hint="eastAsia" w:ascii="仿宋" w:hAnsi="仿宋" w:eastAsia="仿宋" w:cs="仿宋_GB2312"/>
                <w:bCs/>
                <w:color w:val="auto"/>
                <w:sz w:val="24"/>
                <w:szCs w:val="24"/>
                <w:highlight w:val="none"/>
              </w:rPr>
              <w:t>序号</w:t>
            </w:r>
            <w:bookmarkEnd w:id="398"/>
          </w:p>
        </w:tc>
        <w:tc>
          <w:tcPr>
            <w:tcW w:w="2667" w:type="pct"/>
            <w:shd w:val="clear" w:color="auto" w:fill="FFFFFF"/>
            <w:vAlign w:val="center"/>
          </w:tcPr>
          <w:p w14:paraId="327B098E">
            <w:pPr>
              <w:adjustRightInd w:val="0"/>
              <w:jc w:val="center"/>
              <w:outlineLvl w:val="0"/>
              <w:rPr>
                <w:rFonts w:ascii="仿宋" w:hAnsi="仿宋" w:eastAsia="仿宋" w:cs="仿宋_GB2312"/>
                <w:bCs/>
                <w:color w:val="auto"/>
                <w:sz w:val="24"/>
                <w:szCs w:val="24"/>
                <w:highlight w:val="none"/>
              </w:rPr>
            </w:pPr>
            <w:bookmarkStart w:id="401" w:name="_Toc22841"/>
            <w:r>
              <w:rPr>
                <w:rFonts w:hint="eastAsia" w:ascii="仿宋" w:hAnsi="仿宋" w:eastAsia="仿宋" w:cs="仿宋_GB2312"/>
                <w:bCs/>
                <w:color w:val="auto"/>
                <w:sz w:val="24"/>
                <w:szCs w:val="24"/>
                <w:highlight w:val="none"/>
              </w:rPr>
              <w:t>评标标准</w:t>
            </w:r>
            <w:bookmarkEnd w:id="401"/>
          </w:p>
        </w:tc>
        <w:tc>
          <w:tcPr>
            <w:tcW w:w="405" w:type="pct"/>
            <w:shd w:val="clear" w:color="auto" w:fill="FFFFFF"/>
            <w:vAlign w:val="center"/>
          </w:tcPr>
          <w:p w14:paraId="28FBBA9F">
            <w:pPr>
              <w:adjustRightInd w:val="0"/>
              <w:jc w:val="center"/>
              <w:outlineLvl w:val="0"/>
              <w:rPr>
                <w:rFonts w:ascii="仿宋" w:hAnsi="仿宋" w:eastAsia="仿宋" w:cs="仿宋_GB2312"/>
                <w:bCs/>
                <w:color w:val="auto"/>
                <w:sz w:val="24"/>
                <w:szCs w:val="24"/>
                <w:highlight w:val="none"/>
              </w:rPr>
            </w:pPr>
            <w:bookmarkStart w:id="402" w:name="_Toc27932"/>
            <w:r>
              <w:rPr>
                <w:rFonts w:hint="eastAsia" w:ascii="仿宋" w:hAnsi="仿宋" w:eastAsia="仿宋" w:cs="仿宋_GB2312"/>
                <w:bCs/>
                <w:color w:val="auto"/>
                <w:sz w:val="24"/>
                <w:szCs w:val="24"/>
                <w:highlight w:val="none"/>
              </w:rPr>
              <w:t>权重</w:t>
            </w:r>
            <w:bookmarkEnd w:id="402"/>
          </w:p>
        </w:tc>
        <w:tc>
          <w:tcPr>
            <w:tcW w:w="527" w:type="pct"/>
            <w:shd w:val="clear" w:color="auto" w:fill="FFFFFF"/>
            <w:vAlign w:val="center"/>
          </w:tcPr>
          <w:p w14:paraId="0C77BD18">
            <w:pPr>
              <w:adjustRightInd w:val="0"/>
              <w:jc w:val="center"/>
              <w:outlineLvl w:val="0"/>
              <w:rPr>
                <w:rFonts w:ascii="仿宋" w:hAnsi="仿宋" w:eastAsia="仿宋" w:cs="仿宋_GB2312"/>
                <w:bCs/>
                <w:color w:val="auto"/>
                <w:sz w:val="24"/>
                <w:szCs w:val="24"/>
                <w:highlight w:val="none"/>
              </w:rPr>
            </w:pPr>
            <w:bookmarkStart w:id="403" w:name="_Toc26704"/>
            <w:r>
              <w:rPr>
                <w:rFonts w:hint="eastAsia" w:ascii="仿宋" w:hAnsi="仿宋" w:eastAsia="仿宋" w:cs="仿宋_GB2312"/>
                <w:bCs/>
                <w:color w:val="auto"/>
                <w:sz w:val="24"/>
                <w:szCs w:val="24"/>
                <w:highlight w:val="none"/>
              </w:rPr>
              <w:t>主观分/客观分属性</w:t>
            </w:r>
          </w:p>
        </w:tc>
        <w:tc>
          <w:tcPr>
            <w:tcW w:w="1003" w:type="pct"/>
            <w:shd w:val="clear" w:color="auto" w:fill="FFFFFF"/>
            <w:vAlign w:val="center"/>
          </w:tcPr>
          <w:p w14:paraId="65B73559">
            <w:pPr>
              <w:adjustRightInd w:val="0"/>
              <w:snapToGrid w:val="0"/>
              <w:jc w:val="center"/>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投标文件中评标标准相应的商务技术资料目录</w:t>
            </w:r>
            <w:r>
              <w:rPr>
                <w:rFonts w:ascii="仿宋" w:hAnsi="仿宋" w:eastAsia="仿宋" w:cs="Arial"/>
                <w:color w:val="auto"/>
                <w:sz w:val="24"/>
                <w:szCs w:val="24"/>
                <w:highlight w:val="none"/>
                <w:shd w:val="clear" w:color="auto" w:fill="FFFFFF"/>
              </w:rPr>
              <w:t>*</w:t>
            </w:r>
            <w:bookmarkEnd w:id="403"/>
          </w:p>
        </w:tc>
      </w:tr>
      <w:tr w14:paraId="1D64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84" w:hRule="atLeast"/>
        </w:trPr>
        <w:tc>
          <w:tcPr>
            <w:tcW w:w="398" w:type="pct"/>
            <w:shd w:val="clear" w:color="auto" w:fill="FFFFFF"/>
            <w:vAlign w:val="center"/>
          </w:tcPr>
          <w:p w14:paraId="3E122E54">
            <w:pPr>
              <w:adjustRightInd w:val="0"/>
              <w:snapToGrid w:val="0"/>
              <w:jc w:val="center"/>
              <w:outlineLvl w:val="0"/>
              <w:rPr>
                <w:rFonts w:ascii="仿宋" w:hAnsi="仿宋" w:eastAsia="仿宋" w:cs="仿宋_GB2312"/>
                <w:bCs/>
                <w:color w:val="auto"/>
                <w:sz w:val="24"/>
                <w:szCs w:val="24"/>
                <w:highlight w:val="none"/>
              </w:rPr>
            </w:pPr>
            <w:bookmarkStart w:id="404" w:name="_Toc4237"/>
            <w:r>
              <w:rPr>
                <w:rFonts w:hint="eastAsia" w:ascii="仿宋" w:hAnsi="仿宋" w:eastAsia="仿宋" w:cs="仿宋_GB2312"/>
                <w:bCs/>
                <w:color w:val="auto"/>
                <w:sz w:val="24"/>
                <w:szCs w:val="24"/>
                <w:highlight w:val="none"/>
              </w:rPr>
              <w:t>1</w:t>
            </w:r>
            <w:bookmarkEnd w:id="404"/>
          </w:p>
        </w:tc>
        <w:tc>
          <w:tcPr>
            <w:tcW w:w="2667" w:type="pct"/>
            <w:shd w:val="clear" w:color="auto" w:fill="FFFFFF"/>
            <w:vAlign w:val="center"/>
          </w:tcPr>
          <w:p w14:paraId="6628BFB2">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供应商具有以下证书且在有效期内，每提供一项得</w:t>
            </w:r>
            <w:r>
              <w:rPr>
                <w:rFonts w:hint="eastAsia" w:ascii="仿宋" w:hAnsi="仿宋" w:eastAsia="仿宋" w:cs="仿宋_GB2312"/>
                <w:bCs/>
                <w:color w:val="auto"/>
                <w:sz w:val="24"/>
                <w:szCs w:val="24"/>
                <w:highlight w:val="none"/>
                <w:lang w:val="en-US" w:eastAsia="zh-CN"/>
              </w:rPr>
              <w:t>0.5</w:t>
            </w:r>
            <w:r>
              <w:rPr>
                <w:rFonts w:hint="eastAsia" w:ascii="仿宋" w:hAnsi="仿宋" w:eastAsia="仿宋" w:cs="仿宋_GB2312"/>
                <w:bCs/>
                <w:color w:val="auto"/>
                <w:sz w:val="24"/>
                <w:szCs w:val="24"/>
                <w:highlight w:val="none"/>
              </w:rPr>
              <w:t>分，最高得分</w:t>
            </w:r>
            <w:r>
              <w:rPr>
                <w:rFonts w:hint="eastAsia" w:ascii="仿宋" w:hAnsi="仿宋" w:eastAsia="仿宋" w:cs="仿宋_GB2312"/>
                <w:bCs/>
                <w:color w:val="auto"/>
                <w:sz w:val="24"/>
                <w:szCs w:val="24"/>
                <w:highlight w:val="none"/>
                <w:lang w:val="en-US" w:eastAsia="zh-CN"/>
              </w:rPr>
              <w:t>2</w:t>
            </w:r>
            <w:r>
              <w:rPr>
                <w:rFonts w:hint="eastAsia" w:ascii="仿宋" w:hAnsi="仿宋" w:eastAsia="仿宋" w:cs="仿宋_GB2312"/>
                <w:bCs/>
                <w:color w:val="auto"/>
                <w:sz w:val="24"/>
                <w:szCs w:val="24"/>
                <w:highlight w:val="none"/>
              </w:rPr>
              <w:t>分：</w:t>
            </w:r>
          </w:p>
          <w:p w14:paraId="396AAE53">
            <w:pPr>
              <w:adjustRightInd w:val="0"/>
              <w:snapToGrid w:val="0"/>
              <w:jc w:val="left"/>
              <w:outlineLvl w:val="0"/>
              <w:rPr>
                <w:rFonts w:ascii="仿宋" w:hAnsi="仿宋" w:eastAsia="仿宋" w:cs="仿宋_GB2312"/>
                <w:bCs/>
                <w:color w:val="auto"/>
                <w:sz w:val="24"/>
                <w:szCs w:val="24"/>
                <w:highlight w:val="none"/>
              </w:rPr>
            </w:pPr>
            <w:bookmarkStart w:id="405" w:name="_Hlk185173608"/>
            <w:r>
              <w:rPr>
                <w:rFonts w:hint="eastAsia" w:ascii="仿宋" w:hAnsi="仿宋" w:eastAsia="仿宋" w:cs="仿宋_GB2312"/>
                <w:bCs/>
                <w:color w:val="auto"/>
                <w:sz w:val="24"/>
                <w:szCs w:val="24"/>
                <w:highlight w:val="none"/>
              </w:rPr>
              <w:t>（1）投标人具有在有效内的ISO20000信息技术服务管理体系认证证书得</w:t>
            </w:r>
            <w:r>
              <w:rPr>
                <w:rFonts w:hint="eastAsia" w:ascii="仿宋" w:hAnsi="仿宋" w:eastAsia="仿宋" w:cs="仿宋_GB2312"/>
                <w:bCs/>
                <w:color w:val="auto"/>
                <w:sz w:val="24"/>
                <w:szCs w:val="24"/>
                <w:highlight w:val="none"/>
                <w:lang w:val="en-US" w:eastAsia="zh-CN"/>
              </w:rPr>
              <w:t>0.5</w:t>
            </w:r>
            <w:r>
              <w:rPr>
                <w:rFonts w:hint="eastAsia" w:ascii="仿宋" w:hAnsi="仿宋" w:eastAsia="仿宋" w:cs="仿宋_GB2312"/>
                <w:bCs/>
                <w:color w:val="auto"/>
                <w:sz w:val="24"/>
                <w:szCs w:val="24"/>
                <w:highlight w:val="none"/>
              </w:rPr>
              <w:t>分；</w:t>
            </w:r>
          </w:p>
          <w:p w14:paraId="5481782A">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（2）具有在有效内的ISO27001信息安全管理体系认证证书得</w:t>
            </w:r>
            <w:r>
              <w:rPr>
                <w:rFonts w:hint="eastAsia" w:ascii="仿宋" w:hAnsi="仿宋" w:eastAsia="仿宋" w:cs="仿宋_GB2312"/>
                <w:bCs/>
                <w:color w:val="auto"/>
                <w:sz w:val="24"/>
                <w:szCs w:val="24"/>
                <w:highlight w:val="none"/>
                <w:lang w:val="en-US" w:eastAsia="zh-CN"/>
              </w:rPr>
              <w:t>0.5</w:t>
            </w:r>
            <w:r>
              <w:rPr>
                <w:rFonts w:hint="eastAsia" w:ascii="仿宋" w:hAnsi="仿宋" w:eastAsia="仿宋" w:cs="仿宋_GB2312"/>
                <w:bCs/>
                <w:color w:val="auto"/>
                <w:sz w:val="24"/>
                <w:szCs w:val="24"/>
                <w:highlight w:val="none"/>
              </w:rPr>
              <w:t>分；</w:t>
            </w:r>
          </w:p>
          <w:p w14:paraId="1938E2D9">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（3）具有在有效内的ISO9001质量管理体系认证证书得</w:t>
            </w:r>
            <w:r>
              <w:rPr>
                <w:rFonts w:hint="eastAsia" w:ascii="仿宋" w:hAnsi="仿宋" w:eastAsia="仿宋" w:cs="仿宋_GB2312"/>
                <w:bCs/>
                <w:color w:val="auto"/>
                <w:sz w:val="24"/>
                <w:szCs w:val="24"/>
                <w:highlight w:val="none"/>
                <w:lang w:val="en-US" w:eastAsia="zh-CN"/>
              </w:rPr>
              <w:t>0.5</w:t>
            </w:r>
            <w:r>
              <w:rPr>
                <w:rFonts w:hint="eastAsia" w:ascii="仿宋" w:hAnsi="仿宋" w:eastAsia="仿宋" w:cs="仿宋_GB2312"/>
                <w:bCs/>
                <w:color w:val="auto"/>
                <w:sz w:val="24"/>
                <w:szCs w:val="24"/>
                <w:highlight w:val="none"/>
              </w:rPr>
              <w:t>分；</w:t>
            </w:r>
          </w:p>
          <w:p w14:paraId="0E3DDA3F">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（4）具有在有效内的ISO45001职业健康安全管理体系认证证书得</w:t>
            </w:r>
            <w:r>
              <w:rPr>
                <w:rFonts w:hint="eastAsia" w:ascii="仿宋" w:hAnsi="仿宋" w:eastAsia="仿宋" w:cs="仿宋_GB2312"/>
                <w:bCs/>
                <w:color w:val="auto"/>
                <w:sz w:val="24"/>
                <w:szCs w:val="24"/>
                <w:highlight w:val="none"/>
                <w:lang w:val="en-US" w:eastAsia="zh-CN"/>
              </w:rPr>
              <w:t>0.5</w:t>
            </w:r>
            <w:r>
              <w:rPr>
                <w:rFonts w:hint="eastAsia" w:ascii="仿宋" w:hAnsi="仿宋" w:eastAsia="仿宋" w:cs="仿宋_GB2312"/>
                <w:bCs/>
                <w:color w:val="auto"/>
                <w:sz w:val="24"/>
                <w:szCs w:val="24"/>
                <w:highlight w:val="none"/>
              </w:rPr>
              <w:t>分；</w:t>
            </w:r>
          </w:p>
          <w:bookmarkEnd w:id="405"/>
          <w:p w14:paraId="4E7EDA5E">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提供有效期内的认证证书复印件，且证书在有效期内，并提供国家认证认可监督管理委员会官网（https://www.cnca.gov.cn/）查询截图。</w:t>
            </w:r>
          </w:p>
        </w:tc>
        <w:tc>
          <w:tcPr>
            <w:tcW w:w="405" w:type="pct"/>
            <w:shd w:val="clear" w:color="auto" w:fill="FFFFFF"/>
            <w:vAlign w:val="center"/>
          </w:tcPr>
          <w:p w14:paraId="7B4920C6">
            <w:pPr>
              <w:adjustRightInd w:val="0"/>
              <w:jc w:val="center"/>
              <w:outlineLvl w:val="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lang w:val="en-US" w:eastAsia="zh-CN"/>
              </w:rPr>
              <w:t>2</w:t>
            </w:r>
          </w:p>
        </w:tc>
        <w:tc>
          <w:tcPr>
            <w:tcW w:w="527" w:type="pct"/>
            <w:shd w:val="clear" w:color="auto" w:fill="FFFFFF"/>
            <w:vAlign w:val="center"/>
          </w:tcPr>
          <w:p w14:paraId="62BAA728">
            <w:pPr>
              <w:adjustRightInd w:val="0"/>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客观分</w:t>
            </w:r>
          </w:p>
        </w:tc>
        <w:tc>
          <w:tcPr>
            <w:tcW w:w="1003" w:type="pct"/>
            <w:shd w:val="clear" w:color="auto" w:fill="FFFFFF"/>
            <w:vAlign w:val="center"/>
          </w:tcPr>
          <w:p w14:paraId="0F141306">
            <w:pPr>
              <w:adjustRightInd w:val="0"/>
              <w:jc w:val="center"/>
              <w:outlineLvl w:val="0"/>
              <w:rPr>
                <w:rFonts w:ascii="仿宋" w:hAnsi="仿宋" w:eastAsia="仿宋" w:cs="仿宋_GB2312"/>
                <w:color w:val="auto"/>
                <w:sz w:val="24"/>
                <w:szCs w:val="24"/>
                <w:highlight w:val="none"/>
              </w:rPr>
            </w:pPr>
          </w:p>
        </w:tc>
      </w:tr>
      <w:tr w14:paraId="104F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98" w:type="pct"/>
            <w:shd w:val="clear" w:color="auto" w:fill="FFFFFF"/>
            <w:vAlign w:val="center"/>
          </w:tcPr>
          <w:p w14:paraId="0B50A782">
            <w:pPr>
              <w:adjustRightInd w:val="0"/>
              <w:snapToGrid w:val="0"/>
              <w:jc w:val="center"/>
              <w:outlineLvl w:val="0"/>
              <w:rPr>
                <w:rFonts w:ascii="仿宋" w:hAnsi="仿宋" w:eastAsia="仿宋" w:cs="仿宋_GB2312"/>
                <w:bCs/>
                <w:color w:val="auto"/>
                <w:sz w:val="24"/>
                <w:szCs w:val="24"/>
                <w:highlight w:val="none"/>
              </w:rPr>
            </w:pPr>
            <w:bookmarkStart w:id="406" w:name="_Toc20216"/>
            <w:r>
              <w:rPr>
                <w:rFonts w:hint="eastAsia" w:ascii="仿宋" w:hAnsi="仿宋" w:eastAsia="仿宋" w:cs="仿宋_GB2312"/>
                <w:bCs/>
                <w:color w:val="auto"/>
                <w:sz w:val="24"/>
                <w:szCs w:val="24"/>
                <w:highlight w:val="none"/>
              </w:rPr>
              <w:t>2</w:t>
            </w:r>
            <w:bookmarkEnd w:id="406"/>
          </w:p>
        </w:tc>
        <w:tc>
          <w:tcPr>
            <w:tcW w:w="2667" w:type="pct"/>
            <w:shd w:val="clear" w:color="auto" w:fill="FFFFFF"/>
            <w:vAlign w:val="center"/>
          </w:tcPr>
          <w:p w14:paraId="65F700BB">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投标人自202</w:t>
            </w:r>
            <w:r>
              <w:rPr>
                <w:rFonts w:ascii="仿宋" w:hAnsi="仿宋" w:eastAsia="仿宋" w:cs="仿宋_GB2312"/>
                <w:bCs/>
                <w:color w:val="auto"/>
                <w:sz w:val="24"/>
                <w:szCs w:val="24"/>
                <w:highlight w:val="none"/>
              </w:rPr>
              <w:t>3</w:t>
            </w:r>
            <w:r>
              <w:rPr>
                <w:rFonts w:hint="eastAsia" w:ascii="仿宋" w:hAnsi="仿宋" w:eastAsia="仿宋" w:cs="仿宋_GB2312"/>
                <w:bCs/>
                <w:color w:val="auto"/>
                <w:sz w:val="24"/>
                <w:szCs w:val="24"/>
                <w:highlight w:val="none"/>
              </w:rPr>
              <w:t>年1月1日至投标截止时间止（以合同签订的时间为准），具有类似运维项目业绩的，每提供一个业绩证明材料得</w:t>
            </w:r>
            <w:r>
              <w:rPr>
                <w:rFonts w:ascii="仿宋" w:hAnsi="仿宋" w:eastAsia="仿宋" w:cs="仿宋_GB2312"/>
                <w:bCs/>
                <w:color w:val="auto"/>
                <w:sz w:val="24"/>
                <w:szCs w:val="24"/>
                <w:highlight w:val="none"/>
              </w:rPr>
              <w:t>1</w:t>
            </w:r>
            <w:r>
              <w:rPr>
                <w:rFonts w:hint="eastAsia" w:ascii="仿宋" w:hAnsi="仿宋" w:eastAsia="仿宋" w:cs="仿宋_GB2312"/>
                <w:bCs/>
                <w:color w:val="auto"/>
                <w:sz w:val="24"/>
                <w:szCs w:val="24"/>
                <w:highlight w:val="none"/>
              </w:rPr>
              <w:t>分，最高得1</w:t>
            </w:r>
            <w:r>
              <w:rPr>
                <w:rFonts w:ascii="仿宋" w:hAnsi="仿宋" w:eastAsia="仿宋" w:cs="仿宋_GB2312"/>
                <w:bCs/>
                <w:color w:val="auto"/>
                <w:sz w:val="24"/>
                <w:szCs w:val="24"/>
                <w:highlight w:val="none"/>
              </w:rPr>
              <w:t>分</w:t>
            </w:r>
            <w:r>
              <w:rPr>
                <w:rFonts w:hint="eastAsia" w:ascii="仿宋" w:hAnsi="仿宋" w:eastAsia="仿宋" w:cs="仿宋_GB2312"/>
                <w:bCs/>
                <w:color w:val="auto"/>
                <w:sz w:val="24"/>
                <w:szCs w:val="24"/>
                <w:highlight w:val="none"/>
              </w:rPr>
              <w:t>。</w:t>
            </w:r>
          </w:p>
          <w:p w14:paraId="2B43687C">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注：提供合同和项目业主的验收证明清晰扫描件（并加盖投标人公章），否则不得分。合同中须反映项目名称、合同签订时间、项目内容。若不能反映上述内容的，投标人须提供其他证明材料。</w:t>
            </w:r>
          </w:p>
        </w:tc>
        <w:tc>
          <w:tcPr>
            <w:tcW w:w="405" w:type="pct"/>
            <w:shd w:val="clear" w:color="auto" w:fill="FFFFFF"/>
            <w:vAlign w:val="center"/>
          </w:tcPr>
          <w:p w14:paraId="3C79FDE0">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w:t>
            </w:r>
          </w:p>
        </w:tc>
        <w:tc>
          <w:tcPr>
            <w:tcW w:w="527" w:type="pct"/>
            <w:shd w:val="clear" w:color="auto" w:fill="FFFFFF"/>
            <w:vAlign w:val="center"/>
          </w:tcPr>
          <w:p w14:paraId="3C5D394A">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客观分</w:t>
            </w:r>
          </w:p>
        </w:tc>
        <w:tc>
          <w:tcPr>
            <w:tcW w:w="1003" w:type="pct"/>
            <w:shd w:val="clear" w:color="auto" w:fill="FFFFFF"/>
            <w:vAlign w:val="center"/>
          </w:tcPr>
          <w:p w14:paraId="5BD8EDCC">
            <w:pPr>
              <w:adjustRightInd w:val="0"/>
              <w:jc w:val="center"/>
              <w:outlineLvl w:val="0"/>
              <w:rPr>
                <w:rFonts w:ascii="仿宋" w:hAnsi="仿宋" w:eastAsia="仿宋" w:cs="仿宋_GB2312"/>
                <w:color w:val="auto"/>
                <w:sz w:val="24"/>
                <w:szCs w:val="24"/>
                <w:highlight w:val="none"/>
              </w:rPr>
            </w:pPr>
          </w:p>
        </w:tc>
      </w:tr>
      <w:tr w14:paraId="685E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8" w:type="pct"/>
            <w:shd w:val="clear" w:color="auto" w:fill="FFFFFF"/>
            <w:vAlign w:val="center"/>
          </w:tcPr>
          <w:p w14:paraId="7E0FFCEA">
            <w:pPr>
              <w:adjustRightInd w:val="0"/>
              <w:snapToGrid w:val="0"/>
              <w:jc w:val="center"/>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3</w:t>
            </w:r>
          </w:p>
        </w:tc>
        <w:tc>
          <w:tcPr>
            <w:tcW w:w="2667" w:type="pct"/>
            <w:shd w:val="clear" w:color="auto" w:fill="FFFFFF"/>
            <w:vAlign w:val="center"/>
          </w:tcPr>
          <w:p w14:paraId="76C03DB8">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拟派本项目的项目负责人要求：</w:t>
            </w:r>
          </w:p>
          <w:p w14:paraId="7812B7F1">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lang w:eastAsia="zh-CN"/>
              </w:rPr>
              <w:t>项目负责人</w:t>
            </w:r>
            <w:r>
              <w:rPr>
                <w:rFonts w:hint="eastAsia" w:ascii="仿宋" w:hAnsi="仿宋" w:eastAsia="仿宋" w:cs="仿宋_GB2312"/>
                <w:bCs/>
                <w:color w:val="auto"/>
                <w:sz w:val="24"/>
                <w:szCs w:val="24"/>
                <w:highlight w:val="none"/>
              </w:rPr>
              <w:t>具有</w:t>
            </w:r>
            <w:bookmarkStart w:id="407" w:name="OLE_LINK18"/>
            <w:r>
              <w:rPr>
                <w:rFonts w:hint="eastAsia" w:ascii="仿宋" w:hAnsi="仿宋" w:eastAsia="仿宋" w:cs="仿宋_GB2312"/>
                <w:bCs/>
                <w:color w:val="auto"/>
                <w:sz w:val="24"/>
                <w:szCs w:val="24"/>
                <w:highlight w:val="none"/>
              </w:rPr>
              <w:t>计算机技术与软件专业技术资格（水平）高级证书</w:t>
            </w:r>
            <w:bookmarkEnd w:id="407"/>
            <w:r>
              <w:rPr>
                <w:rFonts w:hint="eastAsia" w:ascii="仿宋" w:hAnsi="仿宋" w:eastAsia="仿宋" w:cs="仿宋_GB2312"/>
                <w:bCs/>
                <w:color w:val="auto"/>
                <w:sz w:val="24"/>
                <w:szCs w:val="24"/>
                <w:highlight w:val="none"/>
              </w:rPr>
              <w:t>的得2分。提供相关证书扫描件，以及供应商为其缴纳的近3个月内任意一个月的社保证明，未提供以上证明材料不得分。</w:t>
            </w:r>
          </w:p>
        </w:tc>
        <w:tc>
          <w:tcPr>
            <w:tcW w:w="405" w:type="pct"/>
            <w:shd w:val="clear" w:color="auto" w:fill="FFFFFF"/>
            <w:vAlign w:val="center"/>
          </w:tcPr>
          <w:p w14:paraId="52F8763D">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w:t>
            </w:r>
          </w:p>
        </w:tc>
        <w:tc>
          <w:tcPr>
            <w:tcW w:w="527" w:type="pct"/>
            <w:shd w:val="clear" w:color="auto" w:fill="FFFFFF"/>
            <w:vAlign w:val="center"/>
          </w:tcPr>
          <w:p w14:paraId="2BF423AB">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客观分</w:t>
            </w:r>
          </w:p>
        </w:tc>
        <w:tc>
          <w:tcPr>
            <w:tcW w:w="1003" w:type="pct"/>
            <w:shd w:val="clear" w:color="auto" w:fill="FFFFFF"/>
            <w:vAlign w:val="center"/>
          </w:tcPr>
          <w:p w14:paraId="34CA2896">
            <w:pPr>
              <w:adjustRightInd w:val="0"/>
              <w:jc w:val="center"/>
              <w:outlineLvl w:val="0"/>
              <w:rPr>
                <w:rFonts w:ascii="仿宋" w:hAnsi="仿宋" w:eastAsia="仿宋" w:cs="仿宋_GB2312"/>
                <w:color w:val="auto"/>
                <w:sz w:val="24"/>
                <w:szCs w:val="24"/>
                <w:highlight w:val="none"/>
              </w:rPr>
            </w:pPr>
          </w:p>
        </w:tc>
      </w:tr>
      <w:tr w14:paraId="73F2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8" w:type="pct"/>
            <w:shd w:val="clear" w:color="auto" w:fill="FFFFFF"/>
            <w:vAlign w:val="center"/>
          </w:tcPr>
          <w:p w14:paraId="3BB9E433">
            <w:pPr>
              <w:adjustRightInd w:val="0"/>
              <w:snapToGrid w:val="0"/>
              <w:jc w:val="center"/>
              <w:outlineLvl w:val="0"/>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4</w:t>
            </w:r>
          </w:p>
        </w:tc>
        <w:tc>
          <w:tcPr>
            <w:tcW w:w="2667" w:type="pct"/>
            <w:shd w:val="clear" w:color="auto" w:fill="FFFFFF"/>
            <w:vAlign w:val="center"/>
          </w:tcPr>
          <w:p w14:paraId="744A2A0D">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拟派项目组成员（除项目负责人外）：具有计算机技术与软件专业技术资格（水平）高级证书或计算机技术与软件专业高级工程师证书的，每有一人得1分；具有计算机技术与软件专业技术资格（水平）中级证书的，每有一人得0.5分，最高得</w:t>
            </w:r>
            <w:r>
              <w:rPr>
                <w:rFonts w:hint="eastAsia" w:ascii="仿宋" w:hAnsi="仿宋" w:eastAsia="仿宋" w:cs="仿宋_GB2312"/>
                <w:bCs/>
                <w:color w:val="auto"/>
                <w:sz w:val="24"/>
                <w:szCs w:val="24"/>
                <w:highlight w:val="none"/>
                <w:lang w:val="en-US" w:eastAsia="zh-CN"/>
              </w:rPr>
              <w:t>5</w:t>
            </w:r>
            <w:r>
              <w:rPr>
                <w:rFonts w:hint="eastAsia" w:ascii="仿宋" w:hAnsi="仿宋" w:eastAsia="仿宋" w:cs="仿宋_GB2312"/>
                <w:bCs/>
                <w:color w:val="auto"/>
                <w:sz w:val="24"/>
                <w:szCs w:val="24"/>
                <w:highlight w:val="none"/>
              </w:rPr>
              <w:t xml:space="preserve">分； </w:t>
            </w:r>
          </w:p>
          <w:p w14:paraId="79C3E6A1">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以上须提供相关证书扫描件，以及供应商为其缴纳的近3个月任意一个月的社保缴纳证明。</w:t>
            </w:r>
          </w:p>
        </w:tc>
        <w:tc>
          <w:tcPr>
            <w:tcW w:w="405" w:type="pct"/>
            <w:shd w:val="clear" w:color="auto" w:fill="FFFFFF"/>
            <w:vAlign w:val="center"/>
          </w:tcPr>
          <w:p w14:paraId="50892E3E">
            <w:pPr>
              <w:adjustRightInd w:val="0"/>
              <w:jc w:val="center"/>
              <w:outlineLvl w:val="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lang w:val="en-US" w:eastAsia="zh-CN"/>
              </w:rPr>
              <w:t>5</w:t>
            </w:r>
          </w:p>
        </w:tc>
        <w:tc>
          <w:tcPr>
            <w:tcW w:w="527" w:type="pct"/>
            <w:shd w:val="clear" w:color="auto" w:fill="FFFFFF"/>
            <w:vAlign w:val="center"/>
          </w:tcPr>
          <w:p w14:paraId="529F76C9">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客观分</w:t>
            </w:r>
          </w:p>
        </w:tc>
        <w:tc>
          <w:tcPr>
            <w:tcW w:w="1003" w:type="pct"/>
            <w:shd w:val="clear" w:color="auto" w:fill="FFFFFF"/>
            <w:vAlign w:val="center"/>
          </w:tcPr>
          <w:p w14:paraId="556F397D">
            <w:pPr>
              <w:adjustRightInd w:val="0"/>
              <w:jc w:val="center"/>
              <w:outlineLvl w:val="0"/>
              <w:rPr>
                <w:rFonts w:ascii="仿宋" w:hAnsi="仿宋" w:eastAsia="仿宋" w:cs="仿宋_GB2312"/>
                <w:color w:val="auto"/>
                <w:sz w:val="24"/>
                <w:szCs w:val="24"/>
                <w:highlight w:val="none"/>
              </w:rPr>
            </w:pPr>
          </w:p>
        </w:tc>
      </w:tr>
      <w:tr w14:paraId="69B3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98" w:type="pct"/>
            <w:shd w:val="clear" w:color="auto" w:fill="FFFFFF"/>
            <w:vAlign w:val="center"/>
          </w:tcPr>
          <w:p w14:paraId="1B839F87">
            <w:pPr>
              <w:adjustRightInd w:val="0"/>
              <w:snapToGrid w:val="0"/>
              <w:jc w:val="center"/>
              <w:outlineLvl w:val="0"/>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5</w:t>
            </w:r>
          </w:p>
        </w:tc>
        <w:tc>
          <w:tcPr>
            <w:tcW w:w="2667" w:type="pct"/>
            <w:shd w:val="clear" w:color="auto" w:fill="FFFFFF"/>
            <w:vAlign w:val="center"/>
          </w:tcPr>
          <w:p w14:paraId="3B342115">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交通指挥中心运行维保服务：</w:t>
            </w:r>
          </w:p>
          <w:p w14:paraId="57868431">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运维方案内容全面，针对性明确且各项运维措施到位的，得</w:t>
            </w:r>
            <w:r>
              <w:rPr>
                <w:rFonts w:ascii="仿宋" w:hAnsi="仿宋" w:eastAsia="仿宋" w:cs="仿宋_GB2312"/>
                <w:bCs/>
                <w:color w:val="auto"/>
                <w:sz w:val="24"/>
                <w:szCs w:val="24"/>
                <w:highlight w:val="none"/>
              </w:rPr>
              <w:t>3</w:t>
            </w:r>
            <w:r>
              <w:rPr>
                <w:rFonts w:hint="eastAsia" w:ascii="仿宋" w:hAnsi="仿宋" w:eastAsia="仿宋" w:cs="仿宋_GB2312"/>
                <w:bCs/>
                <w:color w:val="auto"/>
                <w:sz w:val="24"/>
                <w:szCs w:val="24"/>
                <w:highlight w:val="none"/>
              </w:rPr>
              <w:t>分；运维方案内容全面，针对性及可操作性基本满足运维服务的，得</w:t>
            </w:r>
            <w:r>
              <w:rPr>
                <w:rFonts w:ascii="仿宋" w:hAnsi="仿宋" w:eastAsia="仿宋" w:cs="仿宋_GB2312"/>
                <w:bCs/>
                <w:color w:val="auto"/>
                <w:sz w:val="24"/>
                <w:szCs w:val="24"/>
                <w:highlight w:val="none"/>
              </w:rPr>
              <w:t>2</w:t>
            </w:r>
            <w:r>
              <w:rPr>
                <w:rFonts w:hint="eastAsia" w:ascii="仿宋" w:hAnsi="仿宋" w:eastAsia="仿宋" w:cs="仿宋_GB2312"/>
                <w:bCs/>
                <w:color w:val="auto"/>
                <w:sz w:val="24"/>
                <w:szCs w:val="24"/>
                <w:highlight w:val="none"/>
              </w:rPr>
              <w:t>分；运维方案内容不全面，针对性及可操作性不满足运维服务的，得1分；运维方案内容不全或无方案的，得0分。</w:t>
            </w:r>
          </w:p>
        </w:tc>
        <w:tc>
          <w:tcPr>
            <w:tcW w:w="405" w:type="pct"/>
            <w:shd w:val="clear" w:color="auto" w:fill="FFFFFF"/>
            <w:vAlign w:val="center"/>
          </w:tcPr>
          <w:p w14:paraId="1935B989">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3</w:t>
            </w:r>
          </w:p>
        </w:tc>
        <w:tc>
          <w:tcPr>
            <w:tcW w:w="527" w:type="pct"/>
            <w:shd w:val="clear" w:color="auto" w:fill="FFFFFF"/>
            <w:vAlign w:val="center"/>
          </w:tcPr>
          <w:p w14:paraId="188A279F">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主观分</w:t>
            </w:r>
          </w:p>
        </w:tc>
        <w:tc>
          <w:tcPr>
            <w:tcW w:w="1003" w:type="pct"/>
            <w:shd w:val="clear" w:color="auto" w:fill="FFFFFF"/>
            <w:vAlign w:val="center"/>
          </w:tcPr>
          <w:p w14:paraId="3EAE3F9A">
            <w:pPr>
              <w:adjustRightInd w:val="0"/>
              <w:jc w:val="center"/>
              <w:rPr>
                <w:rFonts w:ascii="Times New Roman" w:hAnsi="Times New Roman" w:eastAsia="宋体" w:cs="Times New Roman"/>
                <w:color w:val="auto"/>
                <w:szCs w:val="24"/>
                <w:highlight w:val="none"/>
              </w:rPr>
            </w:pPr>
          </w:p>
        </w:tc>
      </w:tr>
      <w:tr w14:paraId="3E3F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98" w:type="pct"/>
            <w:shd w:val="clear" w:color="auto" w:fill="FFFFFF"/>
            <w:vAlign w:val="center"/>
          </w:tcPr>
          <w:p w14:paraId="5B75BFD1">
            <w:pPr>
              <w:adjustRightInd w:val="0"/>
              <w:snapToGrid w:val="0"/>
              <w:jc w:val="center"/>
              <w:outlineLvl w:val="0"/>
              <w:rPr>
                <w:rFonts w:ascii="仿宋" w:hAnsi="仿宋" w:eastAsia="仿宋" w:cs="仿宋_GB2312"/>
                <w:bCs/>
                <w:color w:val="auto"/>
                <w:sz w:val="24"/>
                <w:szCs w:val="24"/>
                <w:highlight w:val="none"/>
              </w:rPr>
            </w:pPr>
            <w:r>
              <w:rPr>
                <w:rFonts w:ascii="仿宋" w:hAnsi="仿宋" w:eastAsia="仿宋" w:cs="仿宋_GB2312"/>
                <w:bCs/>
                <w:color w:val="auto"/>
                <w:sz w:val="24"/>
                <w:szCs w:val="24"/>
                <w:highlight w:val="none"/>
              </w:rPr>
              <w:t>6</w:t>
            </w:r>
          </w:p>
        </w:tc>
        <w:tc>
          <w:tcPr>
            <w:tcW w:w="2667" w:type="pct"/>
            <w:shd w:val="clear" w:color="auto" w:fill="FFFFFF"/>
            <w:vAlign w:val="center"/>
          </w:tcPr>
          <w:p w14:paraId="3E9A8227">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交通指挥中心运行维保服务：</w:t>
            </w:r>
          </w:p>
          <w:p w14:paraId="286B8E84">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针对招标文件采购需求中“ 一、交通指挥中心运行维保服务”的响应情况，完全响应招标文件要求的，得1</w:t>
            </w:r>
            <w:r>
              <w:rPr>
                <w:rFonts w:ascii="仿宋" w:hAnsi="仿宋" w:eastAsia="仿宋" w:cs="仿宋_GB2312"/>
                <w:bCs/>
                <w:color w:val="auto"/>
                <w:sz w:val="24"/>
                <w:szCs w:val="24"/>
                <w:highlight w:val="none"/>
              </w:rPr>
              <w:t>2</w:t>
            </w:r>
            <w:r>
              <w:rPr>
                <w:rFonts w:hint="eastAsia" w:ascii="仿宋" w:hAnsi="仿宋" w:eastAsia="仿宋" w:cs="仿宋_GB2312"/>
                <w:bCs/>
                <w:color w:val="auto"/>
                <w:sz w:val="24"/>
                <w:szCs w:val="24"/>
                <w:highlight w:val="none"/>
              </w:rPr>
              <w:t>分；每负偏离一项扣2分；扣完12分止。</w:t>
            </w:r>
          </w:p>
        </w:tc>
        <w:tc>
          <w:tcPr>
            <w:tcW w:w="405" w:type="pct"/>
            <w:shd w:val="clear" w:color="auto" w:fill="FFFFFF"/>
            <w:vAlign w:val="center"/>
          </w:tcPr>
          <w:p w14:paraId="0F060884">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12</w:t>
            </w:r>
          </w:p>
        </w:tc>
        <w:tc>
          <w:tcPr>
            <w:tcW w:w="527" w:type="pct"/>
            <w:shd w:val="clear" w:color="auto" w:fill="FFFFFF"/>
            <w:vAlign w:val="center"/>
          </w:tcPr>
          <w:p w14:paraId="75927CAC">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客观分</w:t>
            </w:r>
          </w:p>
        </w:tc>
        <w:tc>
          <w:tcPr>
            <w:tcW w:w="1003" w:type="pct"/>
            <w:shd w:val="clear" w:color="auto" w:fill="FFFFFF"/>
            <w:vAlign w:val="center"/>
          </w:tcPr>
          <w:p w14:paraId="3724946C">
            <w:pPr>
              <w:adjustRightInd w:val="0"/>
              <w:jc w:val="center"/>
              <w:rPr>
                <w:rFonts w:ascii="Times New Roman" w:hAnsi="Times New Roman" w:eastAsia="宋体" w:cs="Times New Roman"/>
                <w:color w:val="auto"/>
                <w:szCs w:val="24"/>
                <w:highlight w:val="none"/>
              </w:rPr>
            </w:pPr>
          </w:p>
        </w:tc>
      </w:tr>
      <w:tr w14:paraId="215B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98" w:type="pct"/>
            <w:shd w:val="clear" w:color="auto" w:fill="FFFFFF"/>
            <w:vAlign w:val="center"/>
          </w:tcPr>
          <w:p w14:paraId="33FFA2CE">
            <w:pPr>
              <w:adjustRightInd w:val="0"/>
              <w:snapToGrid w:val="0"/>
              <w:jc w:val="center"/>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7</w:t>
            </w:r>
          </w:p>
        </w:tc>
        <w:tc>
          <w:tcPr>
            <w:tcW w:w="2667" w:type="pct"/>
            <w:shd w:val="clear" w:color="auto" w:fill="FFFFFF"/>
            <w:vAlign w:val="center"/>
          </w:tcPr>
          <w:p w14:paraId="23EF8D6D">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杭州交通系统视频综合平台运行维保服务：</w:t>
            </w:r>
          </w:p>
          <w:p w14:paraId="6EC5C33B">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运维方案内容全面，针对性明确且各项运维措施到位的，得</w:t>
            </w:r>
            <w:r>
              <w:rPr>
                <w:rFonts w:ascii="仿宋" w:hAnsi="仿宋" w:eastAsia="仿宋" w:cs="仿宋_GB2312"/>
                <w:bCs/>
                <w:color w:val="auto"/>
                <w:sz w:val="24"/>
                <w:szCs w:val="24"/>
                <w:highlight w:val="none"/>
              </w:rPr>
              <w:t>3</w:t>
            </w:r>
            <w:r>
              <w:rPr>
                <w:rFonts w:hint="eastAsia" w:ascii="仿宋" w:hAnsi="仿宋" w:eastAsia="仿宋" w:cs="仿宋_GB2312"/>
                <w:bCs/>
                <w:color w:val="auto"/>
                <w:sz w:val="24"/>
                <w:szCs w:val="24"/>
                <w:highlight w:val="none"/>
              </w:rPr>
              <w:t>分；运维方案内容全面，针对性及可操作性基本满足运维服务的，得</w:t>
            </w:r>
            <w:r>
              <w:rPr>
                <w:rFonts w:ascii="仿宋" w:hAnsi="仿宋" w:eastAsia="仿宋" w:cs="仿宋_GB2312"/>
                <w:bCs/>
                <w:color w:val="auto"/>
                <w:sz w:val="24"/>
                <w:szCs w:val="24"/>
                <w:highlight w:val="none"/>
              </w:rPr>
              <w:t>2</w:t>
            </w:r>
            <w:r>
              <w:rPr>
                <w:rFonts w:hint="eastAsia" w:ascii="仿宋" w:hAnsi="仿宋" w:eastAsia="仿宋" w:cs="仿宋_GB2312"/>
                <w:bCs/>
                <w:color w:val="auto"/>
                <w:sz w:val="24"/>
                <w:szCs w:val="24"/>
                <w:highlight w:val="none"/>
              </w:rPr>
              <w:t>分；运维方案内容不全面，针对性及可操作性不满足运维服务的，得1分；运维方案内容不全或无方案的，得0分。</w:t>
            </w:r>
          </w:p>
        </w:tc>
        <w:tc>
          <w:tcPr>
            <w:tcW w:w="405" w:type="pct"/>
            <w:shd w:val="clear" w:color="auto" w:fill="FFFFFF"/>
            <w:vAlign w:val="center"/>
          </w:tcPr>
          <w:p w14:paraId="2F4DE2A8">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3</w:t>
            </w:r>
          </w:p>
        </w:tc>
        <w:tc>
          <w:tcPr>
            <w:tcW w:w="527" w:type="pct"/>
            <w:shd w:val="clear" w:color="auto" w:fill="FFFFFF"/>
            <w:vAlign w:val="center"/>
          </w:tcPr>
          <w:p w14:paraId="398D2269">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主观分</w:t>
            </w:r>
          </w:p>
        </w:tc>
        <w:tc>
          <w:tcPr>
            <w:tcW w:w="1003" w:type="pct"/>
            <w:shd w:val="clear" w:color="auto" w:fill="FFFFFF"/>
            <w:vAlign w:val="center"/>
          </w:tcPr>
          <w:p w14:paraId="65E7CC8A">
            <w:pPr>
              <w:adjustRightInd w:val="0"/>
              <w:jc w:val="center"/>
              <w:rPr>
                <w:rFonts w:ascii="Times New Roman" w:hAnsi="Times New Roman" w:eastAsia="宋体" w:cs="Times New Roman"/>
                <w:color w:val="auto"/>
                <w:szCs w:val="24"/>
                <w:highlight w:val="none"/>
              </w:rPr>
            </w:pPr>
          </w:p>
        </w:tc>
      </w:tr>
      <w:tr w14:paraId="77D8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3" w:hRule="atLeast"/>
        </w:trPr>
        <w:tc>
          <w:tcPr>
            <w:tcW w:w="398" w:type="pct"/>
            <w:shd w:val="clear" w:color="auto" w:fill="FFFFFF"/>
            <w:vAlign w:val="center"/>
          </w:tcPr>
          <w:p w14:paraId="3E90EBE4">
            <w:pPr>
              <w:adjustRightInd w:val="0"/>
              <w:snapToGrid w:val="0"/>
              <w:jc w:val="center"/>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8</w:t>
            </w:r>
          </w:p>
        </w:tc>
        <w:tc>
          <w:tcPr>
            <w:tcW w:w="2667" w:type="pct"/>
            <w:shd w:val="clear" w:color="auto" w:fill="FFFFFF"/>
            <w:vAlign w:val="center"/>
          </w:tcPr>
          <w:p w14:paraId="1A90A454">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杭州交通系统视频综合平台运行维保服务：</w:t>
            </w:r>
          </w:p>
          <w:p w14:paraId="25FFCE9C">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针对招标文件采购需求“二、杭州交通系统视频综合平台运行维保服务”的响应情况，完全响应招标文件要求的，得</w:t>
            </w:r>
            <w:r>
              <w:rPr>
                <w:rFonts w:ascii="仿宋" w:hAnsi="仿宋" w:eastAsia="仿宋" w:cs="仿宋_GB2312"/>
                <w:bCs/>
                <w:color w:val="auto"/>
                <w:sz w:val="24"/>
                <w:szCs w:val="24"/>
                <w:highlight w:val="none"/>
              </w:rPr>
              <w:t>12</w:t>
            </w:r>
            <w:r>
              <w:rPr>
                <w:rFonts w:hint="eastAsia" w:ascii="仿宋" w:hAnsi="仿宋" w:eastAsia="仿宋" w:cs="仿宋_GB2312"/>
                <w:bCs/>
                <w:color w:val="auto"/>
                <w:sz w:val="24"/>
                <w:szCs w:val="24"/>
                <w:highlight w:val="none"/>
              </w:rPr>
              <w:t>分；每负偏离一项扣2分；扣完</w:t>
            </w:r>
            <w:r>
              <w:rPr>
                <w:rFonts w:ascii="仿宋" w:hAnsi="仿宋" w:eastAsia="仿宋" w:cs="仿宋_GB2312"/>
                <w:bCs/>
                <w:color w:val="auto"/>
                <w:sz w:val="24"/>
                <w:szCs w:val="24"/>
                <w:highlight w:val="none"/>
              </w:rPr>
              <w:t>12</w:t>
            </w:r>
            <w:r>
              <w:rPr>
                <w:rFonts w:hint="eastAsia" w:ascii="仿宋" w:hAnsi="仿宋" w:eastAsia="仿宋" w:cs="仿宋_GB2312"/>
                <w:bCs/>
                <w:color w:val="auto"/>
                <w:sz w:val="24"/>
                <w:szCs w:val="24"/>
                <w:highlight w:val="none"/>
              </w:rPr>
              <w:t>分止。</w:t>
            </w:r>
          </w:p>
        </w:tc>
        <w:tc>
          <w:tcPr>
            <w:tcW w:w="405" w:type="pct"/>
            <w:shd w:val="clear" w:color="auto" w:fill="FFFFFF"/>
            <w:vAlign w:val="center"/>
          </w:tcPr>
          <w:p w14:paraId="01361F4C">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12</w:t>
            </w:r>
          </w:p>
        </w:tc>
        <w:tc>
          <w:tcPr>
            <w:tcW w:w="527" w:type="pct"/>
            <w:shd w:val="clear" w:color="auto" w:fill="FFFFFF"/>
            <w:vAlign w:val="center"/>
          </w:tcPr>
          <w:p w14:paraId="10303F5A">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客观分</w:t>
            </w:r>
          </w:p>
        </w:tc>
        <w:tc>
          <w:tcPr>
            <w:tcW w:w="1003" w:type="pct"/>
            <w:shd w:val="clear" w:color="auto" w:fill="FFFFFF"/>
            <w:vAlign w:val="center"/>
          </w:tcPr>
          <w:p w14:paraId="5B63A260">
            <w:pPr>
              <w:adjustRightInd w:val="0"/>
              <w:jc w:val="center"/>
              <w:rPr>
                <w:rFonts w:ascii="Times New Roman" w:hAnsi="Times New Roman" w:eastAsia="宋体" w:cs="Times New Roman"/>
                <w:color w:val="auto"/>
                <w:szCs w:val="24"/>
                <w:highlight w:val="none"/>
              </w:rPr>
            </w:pPr>
          </w:p>
        </w:tc>
      </w:tr>
      <w:tr w14:paraId="7ED4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98" w:type="pct"/>
            <w:shd w:val="clear" w:color="auto" w:fill="FFFFFF"/>
            <w:vAlign w:val="center"/>
          </w:tcPr>
          <w:p w14:paraId="71BE064E">
            <w:pPr>
              <w:adjustRightInd w:val="0"/>
              <w:snapToGrid w:val="0"/>
              <w:jc w:val="center"/>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9</w:t>
            </w:r>
          </w:p>
        </w:tc>
        <w:tc>
          <w:tcPr>
            <w:tcW w:w="2667" w:type="pct"/>
            <w:shd w:val="clear" w:color="auto" w:fill="FFFFFF"/>
            <w:vAlign w:val="center"/>
          </w:tcPr>
          <w:p w14:paraId="77EB7833">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交通营运车（船）载视频平台维保服务：</w:t>
            </w:r>
          </w:p>
          <w:p w14:paraId="3B48A05C">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运维方案内容全面，针对性明确且各项运维措施到位的，得</w:t>
            </w:r>
            <w:r>
              <w:rPr>
                <w:rFonts w:ascii="仿宋" w:hAnsi="仿宋" w:eastAsia="仿宋" w:cs="仿宋_GB2312"/>
                <w:bCs/>
                <w:color w:val="auto"/>
                <w:sz w:val="24"/>
                <w:szCs w:val="24"/>
                <w:highlight w:val="none"/>
              </w:rPr>
              <w:t>3</w:t>
            </w:r>
            <w:r>
              <w:rPr>
                <w:rFonts w:hint="eastAsia" w:ascii="仿宋" w:hAnsi="仿宋" w:eastAsia="仿宋" w:cs="仿宋_GB2312"/>
                <w:bCs/>
                <w:color w:val="auto"/>
                <w:sz w:val="24"/>
                <w:szCs w:val="24"/>
                <w:highlight w:val="none"/>
              </w:rPr>
              <w:t>分；运维方案内容全面，针对性及可操作性基本满足运维服务的，得</w:t>
            </w:r>
            <w:r>
              <w:rPr>
                <w:rFonts w:ascii="仿宋" w:hAnsi="仿宋" w:eastAsia="仿宋" w:cs="仿宋_GB2312"/>
                <w:bCs/>
                <w:color w:val="auto"/>
                <w:sz w:val="24"/>
                <w:szCs w:val="24"/>
                <w:highlight w:val="none"/>
              </w:rPr>
              <w:t>2</w:t>
            </w:r>
            <w:r>
              <w:rPr>
                <w:rFonts w:hint="eastAsia" w:ascii="仿宋" w:hAnsi="仿宋" w:eastAsia="仿宋" w:cs="仿宋_GB2312"/>
                <w:bCs/>
                <w:color w:val="auto"/>
                <w:sz w:val="24"/>
                <w:szCs w:val="24"/>
                <w:highlight w:val="none"/>
              </w:rPr>
              <w:t>分；运维方案内容不全面，针对性及可操作性不满足运维服务的，得1分；运维方案内容不全或无方案的，得0分。</w:t>
            </w:r>
          </w:p>
        </w:tc>
        <w:tc>
          <w:tcPr>
            <w:tcW w:w="405" w:type="pct"/>
            <w:shd w:val="clear" w:color="auto" w:fill="FFFFFF"/>
            <w:vAlign w:val="center"/>
          </w:tcPr>
          <w:p w14:paraId="40962263">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3</w:t>
            </w:r>
          </w:p>
        </w:tc>
        <w:tc>
          <w:tcPr>
            <w:tcW w:w="527" w:type="pct"/>
            <w:shd w:val="clear" w:color="auto" w:fill="FFFFFF"/>
            <w:vAlign w:val="center"/>
          </w:tcPr>
          <w:p w14:paraId="145D65C9">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主观分</w:t>
            </w:r>
          </w:p>
        </w:tc>
        <w:tc>
          <w:tcPr>
            <w:tcW w:w="1003" w:type="pct"/>
            <w:shd w:val="clear" w:color="auto" w:fill="FFFFFF"/>
            <w:vAlign w:val="center"/>
          </w:tcPr>
          <w:p w14:paraId="7A58E25B">
            <w:pPr>
              <w:adjustRightInd w:val="0"/>
              <w:jc w:val="center"/>
              <w:rPr>
                <w:rFonts w:ascii="Times New Roman" w:hAnsi="Times New Roman" w:eastAsia="宋体" w:cs="Times New Roman"/>
                <w:color w:val="auto"/>
                <w:szCs w:val="24"/>
                <w:highlight w:val="none"/>
              </w:rPr>
            </w:pPr>
          </w:p>
        </w:tc>
      </w:tr>
      <w:tr w14:paraId="6B97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8" w:type="pct"/>
            <w:shd w:val="clear" w:color="auto" w:fill="FFFFFF"/>
            <w:vAlign w:val="center"/>
          </w:tcPr>
          <w:p w14:paraId="3208F241">
            <w:pPr>
              <w:adjustRightInd w:val="0"/>
              <w:snapToGrid w:val="0"/>
              <w:jc w:val="center"/>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10</w:t>
            </w:r>
          </w:p>
        </w:tc>
        <w:tc>
          <w:tcPr>
            <w:tcW w:w="2667" w:type="pct"/>
            <w:shd w:val="clear" w:color="auto" w:fill="FFFFFF"/>
            <w:vAlign w:val="center"/>
          </w:tcPr>
          <w:p w14:paraId="5D543A06">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交通营运车（船）载视频平台维保服务：</w:t>
            </w:r>
          </w:p>
          <w:p w14:paraId="6F7CB0AC">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针对招标文件采购需求“三、交通营运车（船）载视频平台维保服务”的响应情况，完全响应招标文件要求的，得</w:t>
            </w:r>
            <w:r>
              <w:rPr>
                <w:rFonts w:ascii="仿宋" w:hAnsi="仿宋" w:eastAsia="仿宋" w:cs="仿宋_GB2312"/>
                <w:bCs/>
                <w:color w:val="auto"/>
                <w:sz w:val="24"/>
                <w:szCs w:val="24"/>
                <w:highlight w:val="none"/>
              </w:rPr>
              <w:t>12</w:t>
            </w:r>
            <w:r>
              <w:rPr>
                <w:rFonts w:hint="eastAsia" w:ascii="仿宋" w:hAnsi="仿宋" w:eastAsia="仿宋" w:cs="仿宋_GB2312"/>
                <w:bCs/>
                <w:color w:val="auto"/>
                <w:sz w:val="24"/>
                <w:szCs w:val="24"/>
                <w:highlight w:val="none"/>
              </w:rPr>
              <w:t>分；每负偏离一项扣2分；扣完1</w:t>
            </w:r>
            <w:r>
              <w:rPr>
                <w:rFonts w:ascii="仿宋" w:hAnsi="仿宋" w:eastAsia="仿宋" w:cs="仿宋_GB2312"/>
                <w:bCs/>
                <w:color w:val="auto"/>
                <w:sz w:val="24"/>
                <w:szCs w:val="24"/>
                <w:highlight w:val="none"/>
              </w:rPr>
              <w:t>2</w:t>
            </w:r>
            <w:r>
              <w:rPr>
                <w:rFonts w:hint="eastAsia" w:ascii="仿宋" w:hAnsi="仿宋" w:eastAsia="仿宋" w:cs="仿宋_GB2312"/>
                <w:bCs/>
                <w:color w:val="auto"/>
                <w:sz w:val="24"/>
                <w:szCs w:val="24"/>
                <w:highlight w:val="none"/>
              </w:rPr>
              <w:t>分止。</w:t>
            </w:r>
          </w:p>
        </w:tc>
        <w:tc>
          <w:tcPr>
            <w:tcW w:w="405" w:type="pct"/>
            <w:shd w:val="clear" w:color="auto" w:fill="FFFFFF"/>
            <w:vAlign w:val="center"/>
          </w:tcPr>
          <w:p w14:paraId="67F3D376">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12</w:t>
            </w:r>
          </w:p>
        </w:tc>
        <w:tc>
          <w:tcPr>
            <w:tcW w:w="527" w:type="pct"/>
            <w:shd w:val="clear" w:color="auto" w:fill="FFFFFF"/>
            <w:vAlign w:val="center"/>
          </w:tcPr>
          <w:p w14:paraId="3C89B914">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客观分</w:t>
            </w:r>
          </w:p>
        </w:tc>
        <w:tc>
          <w:tcPr>
            <w:tcW w:w="1003" w:type="pct"/>
            <w:shd w:val="clear" w:color="auto" w:fill="FFFFFF"/>
            <w:vAlign w:val="center"/>
          </w:tcPr>
          <w:p w14:paraId="3780203F">
            <w:pPr>
              <w:adjustRightInd w:val="0"/>
              <w:jc w:val="center"/>
              <w:rPr>
                <w:rFonts w:ascii="Times New Roman" w:hAnsi="Times New Roman" w:eastAsia="宋体" w:cs="Times New Roman"/>
                <w:color w:val="auto"/>
                <w:szCs w:val="24"/>
                <w:highlight w:val="none"/>
              </w:rPr>
            </w:pPr>
          </w:p>
        </w:tc>
      </w:tr>
      <w:tr w14:paraId="7492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398" w:type="pct"/>
            <w:shd w:val="clear" w:color="auto" w:fill="FFFFFF"/>
            <w:vAlign w:val="center"/>
          </w:tcPr>
          <w:p w14:paraId="195A42B0">
            <w:pPr>
              <w:adjustRightInd w:val="0"/>
              <w:snapToGrid w:val="0"/>
              <w:jc w:val="center"/>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11</w:t>
            </w:r>
          </w:p>
        </w:tc>
        <w:tc>
          <w:tcPr>
            <w:tcW w:w="2667" w:type="pct"/>
            <w:shd w:val="clear" w:color="auto" w:fill="FFFFFF"/>
            <w:vAlign w:val="center"/>
          </w:tcPr>
          <w:p w14:paraId="2AA221B9">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杭州市交通建设工程视频平台维保服务：</w:t>
            </w:r>
          </w:p>
          <w:p w14:paraId="2A3ABC67">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运维方案内容全面，针对性明确且各项运维措施到位的，得</w:t>
            </w:r>
            <w:r>
              <w:rPr>
                <w:rFonts w:ascii="仿宋" w:hAnsi="仿宋" w:eastAsia="仿宋" w:cs="仿宋_GB2312"/>
                <w:bCs/>
                <w:color w:val="auto"/>
                <w:sz w:val="24"/>
                <w:szCs w:val="24"/>
                <w:highlight w:val="none"/>
              </w:rPr>
              <w:t>3</w:t>
            </w:r>
            <w:r>
              <w:rPr>
                <w:rFonts w:hint="eastAsia" w:ascii="仿宋" w:hAnsi="仿宋" w:eastAsia="仿宋" w:cs="仿宋_GB2312"/>
                <w:bCs/>
                <w:color w:val="auto"/>
                <w:sz w:val="24"/>
                <w:szCs w:val="24"/>
                <w:highlight w:val="none"/>
              </w:rPr>
              <w:t>分；运维方案内容全面，针对性及可操作性基本满足运维服务的，得</w:t>
            </w:r>
            <w:r>
              <w:rPr>
                <w:rFonts w:ascii="仿宋" w:hAnsi="仿宋" w:eastAsia="仿宋" w:cs="仿宋_GB2312"/>
                <w:bCs/>
                <w:color w:val="auto"/>
                <w:sz w:val="24"/>
                <w:szCs w:val="24"/>
                <w:highlight w:val="none"/>
              </w:rPr>
              <w:t>2</w:t>
            </w:r>
            <w:r>
              <w:rPr>
                <w:rFonts w:hint="eastAsia" w:ascii="仿宋" w:hAnsi="仿宋" w:eastAsia="仿宋" w:cs="仿宋_GB2312"/>
                <w:bCs/>
                <w:color w:val="auto"/>
                <w:sz w:val="24"/>
                <w:szCs w:val="24"/>
                <w:highlight w:val="none"/>
              </w:rPr>
              <w:t>分；运维方案内容不全面，针对性及可操作性不满足运维服务的，得1分；运维方案内容不全或无方案的，得0分。</w:t>
            </w:r>
          </w:p>
        </w:tc>
        <w:tc>
          <w:tcPr>
            <w:tcW w:w="405" w:type="pct"/>
            <w:shd w:val="clear" w:color="auto" w:fill="FFFFFF"/>
            <w:vAlign w:val="center"/>
          </w:tcPr>
          <w:p w14:paraId="38F4D0DF">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3</w:t>
            </w:r>
          </w:p>
        </w:tc>
        <w:tc>
          <w:tcPr>
            <w:tcW w:w="527" w:type="pct"/>
            <w:shd w:val="clear" w:color="auto" w:fill="FFFFFF"/>
            <w:vAlign w:val="center"/>
          </w:tcPr>
          <w:p w14:paraId="234FC141">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主观分</w:t>
            </w:r>
          </w:p>
        </w:tc>
        <w:tc>
          <w:tcPr>
            <w:tcW w:w="1003" w:type="pct"/>
            <w:shd w:val="clear" w:color="auto" w:fill="FFFFFF"/>
            <w:vAlign w:val="center"/>
          </w:tcPr>
          <w:p w14:paraId="27B12929">
            <w:pPr>
              <w:adjustRightInd w:val="0"/>
              <w:jc w:val="center"/>
              <w:rPr>
                <w:rFonts w:ascii="Times New Roman" w:hAnsi="Times New Roman" w:eastAsia="宋体" w:cs="Times New Roman"/>
                <w:color w:val="auto"/>
                <w:szCs w:val="24"/>
                <w:highlight w:val="none"/>
              </w:rPr>
            </w:pPr>
          </w:p>
        </w:tc>
      </w:tr>
      <w:tr w14:paraId="341E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98" w:type="pct"/>
            <w:shd w:val="clear" w:color="auto" w:fill="FFFFFF"/>
            <w:vAlign w:val="center"/>
          </w:tcPr>
          <w:p w14:paraId="506B5ED1">
            <w:pPr>
              <w:adjustRightInd w:val="0"/>
              <w:snapToGrid w:val="0"/>
              <w:jc w:val="center"/>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12</w:t>
            </w:r>
          </w:p>
        </w:tc>
        <w:tc>
          <w:tcPr>
            <w:tcW w:w="2667" w:type="pct"/>
            <w:shd w:val="clear" w:color="auto" w:fill="FFFFFF"/>
            <w:vAlign w:val="center"/>
          </w:tcPr>
          <w:p w14:paraId="3770C225">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杭州市交通建设工程视频平台维保服务：</w:t>
            </w:r>
          </w:p>
          <w:p w14:paraId="111C051C">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针对招标文件采购需求“四、杭州市交通建设工程视频综合平台维保服务”的响应情况，完全响应招标文件要求的，得1</w:t>
            </w:r>
            <w:r>
              <w:rPr>
                <w:rFonts w:ascii="仿宋" w:hAnsi="仿宋" w:eastAsia="仿宋" w:cs="仿宋_GB2312"/>
                <w:bCs/>
                <w:color w:val="auto"/>
                <w:sz w:val="24"/>
                <w:szCs w:val="24"/>
                <w:highlight w:val="none"/>
              </w:rPr>
              <w:t>0</w:t>
            </w:r>
            <w:r>
              <w:rPr>
                <w:rFonts w:hint="eastAsia" w:ascii="仿宋" w:hAnsi="仿宋" w:eastAsia="仿宋" w:cs="仿宋_GB2312"/>
                <w:bCs/>
                <w:color w:val="auto"/>
                <w:sz w:val="24"/>
                <w:szCs w:val="24"/>
                <w:highlight w:val="none"/>
              </w:rPr>
              <w:t>分；每负偏离一项扣2分；扣完</w:t>
            </w:r>
            <w:r>
              <w:rPr>
                <w:rFonts w:ascii="仿宋" w:hAnsi="仿宋" w:eastAsia="仿宋" w:cs="仿宋_GB2312"/>
                <w:bCs/>
                <w:color w:val="auto"/>
                <w:sz w:val="24"/>
                <w:szCs w:val="24"/>
                <w:highlight w:val="none"/>
              </w:rPr>
              <w:t>10</w:t>
            </w:r>
            <w:r>
              <w:rPr>
                <w:rFonts w:hint="eastAsia" w:ascii="仿宋" w:hAnsi="仿宋" w:eastAsia="仿宋" w:cs="仿宋_GB2312"/>
                <w:bCs/>
                <w:color w:val="auto"/>
                <w:sz w:val="24"/>
                <w:szCs w:val="24"/>
                <w:highlight w:val="none"/>
              </w:rPr>
              <w:t>分止。</w:t>
            </w:r>
          </w:p>
        </w:tc>
        <w:tc>
          <w:tcPr>
            <w:tcW w:w="405" w:type="pct"/>
            <w:shd w:val="clear" w:color="auto" w:fill="FFFFFF"/>
            <w:vAlign w:val="center"/>
          </w:tcPr>
          <w:p w14:paraId="7BF9E455">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10</w:t>
            </w:r>
          </w:p>
        </w:tc>
        <w:tc>
          <w:tcPr>
            <w:tcW w:w="527" w:type="pct"/>
            <w:shd w:val="clear" w:color="auto" w:fill="FFFFFF"/>
            <w:vAlign w:val="center"/>
          </w:tcPr>
          <w:p w14:paraId="3B7F82AD">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客观分</w:t>
            </w:r>
          </w:p>
        </w:tc>
        <w:tc>
          <w:tcPr>
            <w:tcW w:w="1003" w:type="pct"/>
            <w:shd w:val="clear" w:color="auto" w:fill="FFFFFF"/>
            <w:vAlign w:val="center"/>
          </w:tcPr>
          <w:p w14:paraId="0AB50667">
            <w:pPr>
              <w:adjustRightInd w:val="0"/>
              <w:jc w:val="center"/>
              <w:rPr>
                <w:rFonts w:ascii="Times New Roman" w:hAnsi="Times New Roman" w:eastAsia="仿宋" w:cs="Times New Roman"/>
                <w:color w:val="auto"/>
                <w:szCs w:val="24"/>
                <w:highlight w:val="none"/>
              </w:rPr>
            </w:pPr>
          </w:p>
        </w:tc>
      </w:tr>
      <w:tr w14:paraId="62F7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98" w:type="pct"/>
            <w:shd w:val="clear" w:color="auto" w:fill="FFFFFF"/>
            <w:vAlign w:val="center"/>
          </w:tcPr>
          <w:p w14:paraId="7ECDEE9E">
            <w:pPr>
              <w:adjustRightInd w:val="0"/>
              <w:snapToGrid w:val="0"/>
              <w:jc w:val="center"/>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13</w:t>
            </w:r>
          </w:p>
        </w:tc>
        <w:tc>
          <w:tcPr>
            <w:tcW w:w="2667" w:type="pct"/>
            <w:shd w:val="clear" w:color="auto" w:fill="FFFFFF"/>
            <w:vAlign w:val="center"/>
          </w:tcPr>
          <w:p w14:paraId="3A6989C7">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交通、港航大楼楼内监控维保服务：运维方案内容全面，针对性明确且各项运维措施到位的，得</w:t>
            </w:r>
            <w:r>
              <w:rPr>
                <w:rFonts w:hint="eastAsia" w:ascii="仿宋" w:hAnsi="仿宋" w:eastAsia="仿宋" w:cs="仿宋_GB2312"/>
                <w:bCs/>
                <w:color w:val="auto"/>
                <w:sz w:val="24"/>
                <w:szCs w:val="24"/>
                <w:highlight w:val="none"/>
                <w:lang w:val="en-US" w:eastAsia="zh-CN"/>
              </w:rPr>
              <w:t>5</w:t>
            </w:r>
            <w:r>
              <w:rPr>
                <w:rFonts w:hint="eastAsia" w:ascii="仿宋" w:hAnsi="仿宋" w:eastAsia="仿宋" w:cs="仿宋_GB2312"/>
                <w:bCs/>
                <w:color w:val="auto"/>
                <w:sz w:val="24"/>
                <w:szCs w:val="24"/>
                <w:highlight w:val="none"/>
              </w:rPr>
              <w:t>分；运维方案内容全面，针对性及可操作性基本满足运维服务的，得</w:t>
            </w:r>
            <w:r>
              <w:rPr>
                <w:rFonts w:hint="eastAsia" w:ascii="仿宋" w:hAnsi="仿宋" w:eastAsia="仿宋" w:cs="仿宋_GB2312"/>
                <w:bCs/>
                <w:color w:val="auto"/>
                <w:sz w:val="24"/>
                <w:szCs w:val="24"/>
                <w:highlight w:val="none"/>
                <w:lang w:val="en-US" w:eastAsia="zh-CN"/>
              </w:rPr>
              <w:t>3</w:t>
            </w:r>
            <w:r>
              <w:rPr>
                <w:rFonts w:hint="eastAsia" w:ascii="仿宋" w:hAnsi="仿宋" w:eastAsia="仿宋" w:cs="仿宋_GB2312"/>
                <w:bCs/>
                <w:color w:val="auto"/>
                <w:sz w:val="24"/>
                <w:szCs w:val="24"/>
                <w:highlight w:val="none"/>
              </w:rPr>
              <w:t>分；运维方案内容不全面，针对性及可操作性不满足运维服务的，得1分；运维方案内容不全或无方案的，得0分。</w:t>
            </w:r>
          </w:p>
        </w:tc>
        <w:tc>
          <w:tcPr>
            <w:tcW w:w="405" w:type="pct"/>
            <w:shd w:val="clear" w:color="auto" w:fill="FFFFFF"/>
            <w:vAlign w:val="center"/>
          </w:tcPr>
          <w:p w14:paraId="08F1CA35">
            <w:pPr>
              <w:adjustRightInd w:val="0"/>
              <w:jc w:val="center"/>
              <w:outlineLvl w:val="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lang w:val="en-US" w:eastAsia="zh-CN"/>
              </w:rPr>
              <w:t>5</w:t>
            </w:r>
          </w:p>
        </w:tc>
        <w:tc>
          <w:tcPr>
            <w:tcW w:w="527" w:type="pct"/>
            <w:shd w:val="clear" w:color="auto" w:fill="FFFFFF"/>
            <w:vAlign w:val="center"/>
          </w:tcPr>
          <w:p w14:paraId="48941E2E">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主观分</w:t>
            </w:r>
          </w:p>
        </w:tc>
        <w:tc>
          <w:tcPr>
            <w:tcW w:w="1003" w:type="pct"/>
            <w:shd w:val="clear" w:color="auto" w:fill="FFFFFF"/>
            <w:vAlign w:val="center"/>
          </w:tcPr>
          <w:p w14:paraId="0D8FC06B">
            <w:pPr>
              <w:adjustRightInd w:val="0"/>
              <w:jc w:val="center"/>
              <w:rPr>
                <w:rFonts w:ascii="Times New Roman" w:hAnsi="Times New Roman" w:eastAsia="仿宋" w:cs="Times New Roman"/>
                <w:color w:val="auto"/>
                <w:szCs w:val="24"/>
                <w:highlight w:val="none"/>
              </w:rPr>
            </w:pPr>
          </w:p>
        </w:tc>
      </w:tr>
      <w:tr w14:paraId="2E48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98" w:type="pct"/>
            <w:shd w:val="clear" w:color="auto" w:fill="FFFFFF"/>
            <w:vAlign w:val="center"/>
          </w:tcPr>
          <w:p w14:paraId="46CA8875">
            <w:pPr>
              <w:adjustRightInd w:val="0"/>
              <w:snapToGrid w:val="0"/>
              <w:jc w:val="center"/>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14</w:t>
            </w:r>
          </w:p>
        </w:tc>
        <w:tc>
          <w:tcPr>
            <w:tcW w:w="2667" w:type="pct"/>
            <w:shd w:val="clear" w:color="auto" w:fill="FFFFFF"/>
            <w:vAlign w:val="center"/>
          </w:tcPr>
          <w:p w14:paraId="56ADC303">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交通、港航大楼楼内监控维保服务：针对招标文件采购需求“五、交通、港航大楼楼内监控维保服务”的响应情况，完全响应招标文件要求的，得2分；每负偏离一项扣</w:t>
            </w:r>
            <w:r>
              <w:rPr>
                <w:rFonts w:ascii="仿宋" w:hAnsi="仿宋" w:eastAsia="仿宋" w:cs="仿宋_GB2312"/>
                <w:bCs/>
                <w:color w:val="auto"/>
                <w:sz w:val="24"/>
                <w:szCs w:val="24"/>
                <w:highlight w:val="none"/>
              </w:rPr>
              <w:t>1</w:t>
            </w:r>
            <w:r>
              <w:rPr>
                <w:rFonts w:hint="eastAsia" w:ascii="仿宋" w:hAnsi="仿宋" w:eastAsia="仿宋" w:cs="仿宋_GB2312"/>
                <w:bCs/>
                <w:color w:val="auto"/>
                <w:sz w:val="24"/>
                <w:szCs w:val="24"/>
                <w:highlight w:val="none"/>
              </w:rPr>
              <w:t>分；扣完2分止。</w:t>
            </w:r>
          </w:p>
        </w:tc>
        <w:tc>
          <w:tcPr>
            <w:tcW w:w="405" w:type="pct"/>
            <w:shd w:val="clear" w:color="auto" w:fill="FFFFFF"/>
            <w:vAlign w:val="center"/>
          </w:tcPr>
          <w:p w14:paraId="7BD28BC8">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2</w:t>
            </w:r>
          </w:p>
        </w:tc>
        <w:tc>
          <w:tcPr>
            <w:tcW w:w="527" w:type="pct"/>
            <w:shd w:val="clear" w:color="auto" w:fill="FFFFFF"/>
            <w:vAlign w:val="center"/>
          </w:tcPr>
          <w:p w14:paraId="603ED661">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客观分</w:t>
            </w:r>
          </w:p>
        </w:tc>
        <w:tc>
          <w:tcPr>
            <w:tcW w:w="1003" w:type="pct"/>
            <w:shd w:val="clear" w:color="auto" w:fill="FFFFFF"/>
            <w:vAlign w:val="center"/>
          </w:tcPr>
          <w:p w14:paraId="41E9595F">
            <w:pPr>
              <w:adjustRightInd w:val="0"/>
              <w:jc w:val="center"/>
              <w:rPr>
                <w:rFonts w:ascii="Times New Roman" w:hAnsi="Times New Roman" w:eastAsia="仿宋" w:cs="Times New Roman"/>
                <w:color w:val="auto"/>
                <w:szCs w:val="24"/>
                <w:highlight w:val="none"/>
              </w:rPr>
            </w:pPr>
          </w:p>
        </w:tc>
      </w:tr>
      <w:tr w14:paraId="753A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98" w:type="pct"/>
            <w:shd w:val="clear" w:color="auto" w:fill="FFFFFF"/>
            <w:vAlign w:val="center"/>
          </w:tcPr>
          <w:p w14:paraId="017F8FAC">
            <w:pPr>
              <w:adjustRightInd w:val="0"/>
              <w:snapToGrid w:val="0"/>
              <w:jc w:val="center"/>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15</w:t>
            </w:r>
          </w:p>
        </w:tc>
        <w:tc>
          <w:tcPr>
            <w:tcW w:w="2667" w:type="pct"/>
            <w:shd w:val="clear" w:color="auto" w:fill="FFFFFF"/>
            <w:vAlign w:val="center"/>
          </w:tcPr>
          <w:p w14:paraId="2AAE2D2B">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整体项目运维质量的保障措施：措施内容全面合理，具有可操作性的，得</w:t>
            </w:r>
            <w:r>
              <w:rPr>
                <w:rFonts w:ascii="仿宋" w:hAnsi="仿宋" w:eastAsia="仿宋" w:cs="仿宋_GB2312"/>
                <w:bCs/>
                <w:color w:val="auto"/>
                <w:sz w:val="24"/>
                <w:szCs w:val="24"/>
                <w:highlight w:val="none"/>
              </w:rPr>
              <w:t>3</w:t>
            </w:r>
            <w:r>
              <w:rPr>
                <w:rFonts w:hint="eastAsia" w:ascii="仿宋" w:hAnsi="仿宋" w:eastAsia="仿宋" w:cs="仿宋_GB2312"/>
                <w:bCs/>
                <w:color w:val="auto"/>
                <w:sz w:val="24"/>
                <w:szCs w:val="24"/>
                <w:highlight w:val="none"/>
              </w:rPr>
              <w:t>分；措施内容基本全面具有一定操作性的，得</w:t>
            </w:r>
            <w:r>
              <w:rPr>
                <w:rFonts w:ascii="仿宋" w:hAnsi="仿宋" w:eastAsia="仿宋" w:cs="仿宋_GB2312"/>
                <w:bCs/>
                <w:color w:val="auto"/>
                <w:sz w:val="24"/>
                <w:szCs w:val="24"/>
                <w:highlight w:val="none"/>
              </w:rPr>
              <w:t>2</w:t>
            </w:r>
            <w:r>
              <w:rPr>
                <w:rFonts w:hint="eastAsia" w:ascii="仿宋" w:hAnsi="仿宋" w:eastAsia="仿宋" w:cs="仿宋_GB2312"/>
                <w:bCs/>
                <w:color w:val="auto"/>
                <w:sz w:val="24"/>
                <w:szCs w:val="24"/>
                <w:highlight w:val="none"/>
              </w:rPr>
              <w:t>分；措施内容不全面、操作性差的，得1分；措施内容不全面且可操作性无法实现的，得0分。</w:t>
            </w:r>
          </w:p>
        </w:tc>
        <w:tc>
          <w:tcPr>
            <w:tcW w:w="405" w:type="pct"/>
            <w:shd w:val="clear" w:color="auto" w:fill="FFFFFF"/>
            <w:vAlign w:val="center"/>
          </w:tcPr>
          <w:p w14:paraId="5A0F0623">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3</w:t>
            </w:r>
          </w:p>
        </w:tc>
        <w:tc>
          <w:tcPr>
            <w:tcW w:w="527" w:type="pct"/>
            <w:shd w:val="clear" w:color="auto" w:fill="FFFFFF"/>
            <w:vAlign w:val="center"/>
          </w:tcPr>
          <w:p w14:paraId="595A216F">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主观分</w:t>
            </w:r>
          </w:p>
        </w:tc>
        <w:tc>
          <w:tcPr>
            <w:tcW w:w="1003" w:type="pct"/>
            <w:shd w:val="clear" w:color="auto" w:fill="FFFFFF"/>
            <w:vAlign w:val="center"/>
          </w:tcPr>
          <w:p w14:paraId="0143CFF4">
            <w:pPr>
              <w:adjustRightInd w:val="0"/>
              <w:jc w:val="center"/>
              <w:rPr>
                <w:rFonts w:ascii="Times New Roman" w:hAnsi="Times New Roman" w:eastAsia="宋体" w:cs="Times New Roman"/>
                <w:color w:val="auto"/>
                <w:szCs w:val="24"/>
                <w:highlight w:val="none"/>
              </w:rPr>
            </w:pPr>
          </w:p>
        </w:tc>
      </w:tr>
      <w:tr w14:paraId="4DFE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8" w:type="pct"/>
            <w:shd w:val="clear" w:color="auto" w:fill="FFFFFF"/>
            <w:vAlign w:val="center"/>
          </w:tcPr>
          <w:p w14:paraId="41B40BC1">
            <w:pPr>
              <w:adjustRightInd w:val="0"/>
              <w:snapToGrid w:val="0"/>
              <w:jc w:val="center"/>
              <w:outlineLvl w:val="0"/>
              <w:rPr>
                <w:rFonts w:hint="default" w:ascii="仿宋" w:hAnsi="仿宋" w:eastAsia="仿宋" w:cs="仿宋_GB2312"/>
                <w:bCs/>
                <w:color w:val="auto"/>
                <w:sz w:val="24"/>
                <w:szCs w:val="24"/>
                <w:highlight w:val="none"/>
                <w:lang w:val="en-US" w:eastAsia="zh-CN"/>
              </w:rPr>
            </w:pPr>
            <w:r>
              <w:rPr>
                <w:rFonts w:hint="eastAsia" w:ascii="仿宋" w:hAnsi="仿宋" w:eastAsia="仿宋" w:cs="仿宋_GB2312"/>
                <w:bCs/>
                <w:color w:val="auto"/>
                <w:sz w:val="24"/>
                <w:szCs w:val="24"/>
                <w:highlight w:val="none"/>
                <w:lang w:val="en-US" w:eastAsia="zh-CN"/>
              </w:rPr>
              <w:t>16</w:t>
            </w:r>
          </w:p>
        </w:tc>
        <w:tc>
          <w:tcPr>
            <w:tcW w:w="2667" w:type="pct"/>
            <w:shd w:val="clear" w:color="auto" w:fill="FFFFFF"/>
            <w:vAlign w:val="center"/>
          </w:tcPr>
          <w:p w14:paraId="3B0C11E5">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供应商针对本项目的风险防范措施、应急预案：风险防范措施内容计划全面性且合理，应急预案内容具有针对性及可操作性强的，得</w:t>
            </w:r>
            <w:r>
              <w:rPr>
                <w:rFonts w:ascii="仿宋" w:hAnsi="仿宋" w:eastAsia="仿宋" w:cs="仿宋_GB2312"/>
                <w:bCs/>
                <w:color w:val="auto"/>
                <w:sz w:val="24"/>
                <w:szCs w:val="24"/>
                <w:highlight w:val="none"/>
              </w:rPr>
              <w:t>3</w:t>
            </w:r>
            <w:r>
              <w:rPr>
                <w:rFonts w:hint="eastAsia" w:ascii="仿宋" w:hAnsi="仿宋" w:eastAsia="仿宋" w:cs="仿宋_GB2312"/>
                <w:bCs/>
                <w:color w:val="auto"/>
                <w:sz w:val="24"/>
                <w:szCs w:val="24"/>
                <w:highlight w:val="none"/>
              </w:rPr>
              <w:t>分；措施内容计划全面性及合理性一般，针对性及可操作性基本满足运维服务，可基本保障项目实施的，得2分；措施内容计划全面性及合理性一般，针对性及可操作性差，不能保障项目实施的，得1分；内容计划不明确，方案无针对性，可操作性无法实现，措施不明确且不到位的得0分。</w:t>
            </w:r>
          </w:p>
        </w:tc>
        <w:tc>
          <w:tcPr>
            <w:tcW w:w="405" w:type="pct"/>
            <w:shd w:val="clear" w:color="auto" w:fill="FFFFFF"/>
            <w:vAlign w:val="center"/>
          </w:tcPr>
          <w:p w14:paraId="13984492">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3</w:t>
            </w:r>
          </w:p>
        </w:tc>
        <w:tc>
          <w:tcPr>
            <w:tcW w:w="527" w:type="pct"/>
            <w:shd w:val="clear" w:color="auto" w:fill="FFFFFF"/>
            <w:vAlign w:val="center"/>
          </w:tcPr>
          <w:p w14:paraId="29773B08">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主观分</w:t>
            </w:r>
          </w:p>
        </w:tc>
        <w:tc>
          <w:tcPr>
            <w:tcW w:w="1003" w:type="pct"/>
            <w:shd w:val="clear" w:color="auto" w:fill="FFFFFF"/>
            <w:vAlign w:val="center"/>
          </w:tcPr>
          <w:p w14:paraId="5D9BF2BA">
            <w:pPr>
              <w:adjustRightInd w:val="0"/>
              <w:jc w:val="center"/>
              <w:rPr>
                <w:rFonts w:ascii="Times New Roman" w:hAnsi="Times New Roman" w:eastAsia="宋体" w:cs="Times New Roman"/>
                <w:color w:val="auto"/>
                <w:szCs w:val="24"/>
                <w:highlight w:val="none"/>
              </w:rPr>
            </w:pPr>
          </w:p>
        </w:tc>
      </w:tr>
      <w:tr w14:paraId="3F48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398" w:type="pct"/>
            <w:shd w:val="clear" w:color="auto" w:fill="FFFFFF"/>
            <w:vAlign w:val="center"/>
          </w:tcPr>
          <w:p w14:paraId="39FC7F7F">
            <w:pPr>
              <w:adjustRightInd w:val="0"/>
              <w:jc w:val="center"/>
              <w:outlineLvl w:val="0"/>
              <w:rPr>
                <w:rFonts w:hint="default" w:ascii="仿宋" w:hAnsi="仿宋" w:eastAsia="仿宋" w:cs="仿宋_GB2312"/>
                <w:color w:val="auto"/>
                <w:sz w:val="24"/>
                <w:szCs w:val="24"/>
                <w:highlight w:val="none"/>
                <w:lang w:val="en-US" w:eastAsia="zh-CN"/>
              </w:rPr>
            </w:pPr>
            <w:r>
              <w:rPr>
                <w:rFonts w:hint="eastAsia" w:ascii="仿宋" w:hAnsi="仿宋" w:eastAsia="仿宋" w:cs="仿宋_GB2312"/>
                <w:bCs/>
                <w:color w:val="auto"/>
                <w:sz w:val="24"/>
                <w:szCs w:val="24"/>
                <w:highlight w:val="none"/>
                <w:lang w:val="en-US" w:eastAsia="zh-CN"/>
              </w:rPr>
              <w:t>17</w:t>
            </w:r>
          </w:p>
        </w:tc>
        <w:tc>
          <w:tcPr>
            <w:tcW w:w="2667" w:type="pct"/>
            <w:shd w:val="clear" w:color="auto" w:fill="FFFFFF"/>
            <w:vAlign w:val="center"/>
          </w:tcPr>
          <w:p w14:paraId="5978EB83">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安全保障措施：根据投标人对运维期安全维护、外围安全防护措施及方案进行打分：</w:t>
            </w:r>
          </w:p>
          <w:p w14:paraId="0FA5922B">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方案完整详实、合理可行，具有可操作性的得4分；</w:t>
            </w:r>
          </w:p>
          <w:p w14:paraId="4C0888FA">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方案较完整详实、合理可行，具有可操作性的得3分；</w:t>
            </w:r>
          </w:p>
          <w:p w14:paraId="4D3779EF">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方案一般，但基本合理可行的得2分；</w:t>
            </w:r>
          </w:p>
          <w:p w14:paraId="63EF6020">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方案一般、可行性较差的得1分；</w:t>
            </w:r>
          </w:p>
          <w:p w14:paraId="3CFB1BB3">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_GB2312"/>
                <w:bCs/>
                <w:color w:val="auto"/>
                <w:sz w:val="24"/>
                <w:szCs w:val="24"/>
                <w:highlight w:val="none"/>
              </w:rPr>
              <w:t>未提供本项内容或无针对性的不得分。</w:t>
            </w:r>
          </w:p>
        </w:tc>
        <w:tc>
          <w:tcPr>
            <w:tcW w:w="405" w:type="pct"/>
            <w:shd w:val="clear" w:color="auto" w:fill="FFFFFF"/>
            <w:vAlign w:val="center"/>
          </w:tcPr>
          <w:p w14:paraId="727A5F08">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w:t>
            </w:r>
          </w:p>
        </w:tc>
        <w:tc>
          <w:tcPr>
            <w:tcW w:w="527" w:type="pct"/>
            <w:shd w:val="clear" w:color="auto" w:fill="FFFFFF"/>
            <w:vAlign w:val="center"/>
          </w:tcPr>
          <w:p w14:paraId="4DCB0217">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主观分</w:t>
            </w:r>
          </w:p>
        </w:tc>
        <w:tc>
          <w:tcPr>
            <w:tcW w:w="1003" w:type="pct"/>
            <w:shd w:val="clear" w:color="auto" w:fill="FFFFFF"/>
            <w:vAlign w:val="center"/>
          </w:tcPr>
          <w:p w14:paraId="2F6AD9A7">
            <w:pPr>
              <w:adjustRightInd w:val="0"/>
              <w:jc w:val="center"/>
              <w:rPr>
                <w:rFonts w:ascii="Times New Roman" w:hAnsi="Times New Roman" w:eastAsia="宋体" w:cs="Times New Roman"/>
                <w:color w:val="auto"/>
                <w:szCs w:val="24"/>
                <w:highlight w:val="none"/>
              </w:rPr>
            </w:pPr>
          </w:p>
        </w:tc>
      </w:tr>
      <w:tr w14:paraId="6CC5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98" w:type="pct"/>
            <w:shd w:val="clear" w:color="auto" w:fill="FFFFFF"/>
            <w:vAlign w:val="center"/>
          </w:tcPr>
          <w:p w14:paraId="1F7E842F">
            <w:pPr>
              <w:adjustRightInd w:val="0"/>
              <w:jc w:val="center"/>
              <w:outlineLvl w:val="0"/>
              <w:rPr>
                <w:rFonts w:hint="default" w:ascii="仿宋" w:hAnsi="仿宋" w:eastAsia="仿宋" w:cs="仿宋_GB2312"/>
                <w:bCs/>
                <w:color w:val="auto"/>
                <w:sz w:val="24"/>
                <w:szCs w:val="24"/>
                <w:highlight w:val="none"/>
                <w:lang w:val="en-US" w:eastAsia="zh-CN"/>
              </w:rPr>
            </w:pPr>
            <w:r>
              <w:rPr>
                <w:rFonts w:hint="eastAsia" w:ascii="仿宋" w:hAnsi="仿宋" w:eastAsia="仿宋" w:cs="仿宋_GB2312"/>
                <w:bCs/>
                <w:color w:val="auto"/>
                <w:sz w:val="24"/>
                <w:szCs w:val="24"/>
                <w:highlight w:val="none"/>
                <w:lang w:val="en-US" w:eastAsia="zh-CN"/>
              </w:rPr>
              <w:t>18</w:t>
            </w:r>
          </w:p>
        </w:tc>
        <w:tc>
          <w:tcPr>
            <w:tcW w:w="2667" w:type="pct"/>
            <w:shd w:val="clear" w:color="auto" w:fill="FFFFFF"/>
            <w:vAlign w:val="center"/>
          </w:tcPr>
          <w:p w14:paraId="1BC9B04D">
            <w:pPr>
              <w:adjustRightInd w:val="0"/>
              <w:snapToGrid w:val="0"/>
              <w:jc w:val="left"/>
              <w:outlineLvl w:val="0"/>
              <w:rPr>
                <w:rFonts w:hint="eastAsia" w:ascii="仿宋" w:hAnsi="仿宋" w:eastAsia="仿宋" w:cs="仿宋_GB2312"/>
                <w:bCs/>
                <w:color w:val="auto"/>
                <w:sz w:val="24"/>
                <w:szCs w:val="24"/>
                <w:highlight w:val="none"/>
                <w:lang w:val="en-US" w:eastAsia="zh-CN"/>
              </w:rPr>
            </w:pPr>
            <w:r>
              <w:rPr>
                <w:rFonts w:hint="eastAsia" w:ascii="仿宋" w:hAnsi="仿宋" w:eastAsia="仿宋" w:cs="仿宋_GB2312"/>
                <w:bCs/>
                <w:color w:val="auto"/>
                <w:sz w:val="24"/>
                <w:szCs w:val="24"/>
                <w:highlight w:val="none"/>
                <w:lang w:val="en-US" w:eastAsia="zh-CN"/>
              </w:rPr>
              <w:t>服务承诺：</w:t>
            </w:r>
          </w:p>
          <w:p w14:paraId="3A4820DF">
            <w:pPr>
              <w:adjustRightInd w:val="0"/>
              <w:snapToGrid w:val="0"/>
              <w:jc w:val="left"/>
              <w:outlineLvl w:val="0"/>
              <w:rPr>
                <w:rFonts w:hint="eastAsia" w:ascii="仿宋" w:hAnsi="仿宋" w:eastAsia="仿宋" w:cs="仿宋_GB2312"/>
                <w:bCs/>
                <w:color w:val="auto"/>
                <w:sz w:val="24"/>
                <w:szCs w:val="24"/>
                <w:highlight w:val="none"/>
                <w:lang w:val="en-US" w:eastAsia="zh-CN"/>
              </w:rPr>
            </w:pPr>
            <w:r>
              <w:rPr>
                <w:rFonts w:hint="eastAsia" w:ascii="仿宋" w:hAnsi="仿宋" w:eastAsia="仿宋" w:cs="仿宋_GB2312"/>
                <w:bCs/>
                <w:color w:val="auto"/>
                <w:sz w:val="24"/>
                <w:szCs w:val="24"/>
                <w:highlight w:val="none"/>
                <w:lang w:val="en-US" w:eastAsia="zh-CN"/>
              </w:rPr>
              <w:t>供应商承诺在接到采购人通知后30分钟内到达现场维修的，得2分（以承诺函形式，格式自拟）。</w:t>
            </w:r>
          </w:p>
        </w:tc>
        <w:tc>
          <w:tcPr>
            <w:tcW w:w="405" w:type="pct"/>
            <w:shd w:val="clear" w:color="auto" w:fill="FFFFFF"/>
            <w:vAlign w:val="center"/>
          </w:tcPr>
          <w:p w14:paraId="2BC927EB">
            <w:pPr>
              <w:adjustRightInd w:val="0"/>
              <w:jc w:val="center"/>
              <w:outlineLvl w:val="0"/>
              <w:rPr>
                <w:rFonts w:hint="eastAsia"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2</w:t>
            </w:r>
          </w:p>
        </w:tc>
        <w:tc>
          <w:tcPr>
            <w:tcW w:w="527" w:type="pct"/>
            <w:shd w:val="clear" w:color="auto" w:fill="FFFFFF"/>
            <w:vAlign w:val="center"/>
          </w:tcPr>
          <w:p w14:paraId="06BE06F8">
            <w:pPr>
              <w:adjustRightInd w:val="0"/>
              <w:jc w:val="center"/>
              <w:outlineLvl w:val="0"/>
              <w:rPr>
                <w:rFonts w:hint="eastAsia"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客观分</w:t>
            </w:r>
          </w:p>
        </w:tc>
        <w:tc>
          <w:tcPr>
            <w:tcW w:w="1003" w:type="pct"/>
            <w:shd w:val="clear" w:color="auto" w:fill="FFFFFF"/>
            <w:vAlign w:val="center"/>
          </w:tcPr>
          <w:p w14:paraId="00BFE564">
            <w:pPr>
              <w:adjustRightInd w:val="0"/>
              <w:jc w:val="center"/>
              <w:rPr>
                <w:rFonts w:ascii="Times New Roman" w:hAnsi="Times New Roman" w:eastAsia="宋体" w:cs="Times New Roman"/>
                <w:color w:val="auto"/>
                <w:szCs w:val="24"/>
                <w:highlight w:val="none"/>
              </w:rPr>
            </w:pPr>
          </w:p>
        </w:tc>
      </w:tr>
      <w:tr w14:paraId="6FD0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398" w:type="pct"/>
            <w:shd w:val="clear" w:color="auto" w:fill="FFFFFF"/>
            <w:vAlign w:val="center"/>
          </w:tcPr>
          <w:p w14:paraId="728B7390">
            <w:pPr>
              <w:adjustRightInd w:val="0"/>
              <w:snapToGrid w:val="0"/>
              <w:jc w:val="center"/>
              <w:outlineLvl w:val="0"/>
              <w:rPr>
                <w:rFonts w:hint="default" w:ascii="仿宋" w:hAnsi="仿宋" w:eastAsia="仿宋" w:cs="仿宋_GB2312"/>
                <w:bCs/>
                <w:color w:val="auto"/>
                <w:sz w:val="24"/>
                <w:szCs w:val="24"/>
                <w:highlight w:val="none"/>
                <w:lang w:val="en-US" w:eastAsia="zh-CN"/>
              </w:rPr>
            </w:pPr>
            <w:r>
              <w:rPr>
                <w:rFonts w:hint="eastAsia" w:ascii="仿宋" w:hAnsi="仿宋" w:eastAsia="仿宋" w:cs="仿宋_GB2312"/>
                <w:bCs/>
                <w:color w:val="auto"/>
                <w:sz w:val="24"/>
                <w:szCs w:val="24"/>
                <w:highlight w:val="none"/>
                <w:lang w:val="en-US" w:eastAsia="zh-CN"/>
              </w:rPr>
              <w:t>19</w:t>
            </w:r>
          </w:p>
        </w:tc>
        <w:tc>
          <w:tcPr>
            <w:tcW w:w="2667" w:type="pct"/>
            <w:shd w:val="clear" w:color="auto" w:fill="FFFFFF"/>
            <w:vAlign w:val="center"/>
          </w:tcPr>
          <w:p w14:paraId="21B6D7FA">
            <w:pPr>
              <w:adjustRightInd w:val="0"/>
              <w:snapToGrid w:val="0"/>
              <w:jc w:val="left"/>
              <w:outlineLvl w:val="0"/>
              <w:rPr>
                <w:rFonts w:ascii="仿宋" w:hAnsi="仿宋" w:eastAsia="仿宋" w:cs="仿宋_GB2312"/>
                <w:bCs/>
                <w:color w:val="auto"/>
                <w:sz w:val="24"/>
                <w:szCs w:val="24"/>
                <w:highlight w:val="none"/>
              </w:rPr>
            </w:pPr>
            <w:r>
              <w:rPr>
                <w:rFonts w:hint="eastAsia" w:ascii="仿宋" w:hAnsi="仿宋" w:eastAsia="仿宋" w:cs="仿宋"/>
                <w:b/>
                <w:bCs/>
                <w:color w:val="auto"/>
                <w:sz w:val="24"/>
                <w:szCs w:val="24"/>
                <w:highlight w:val="none"/>
              </w:rPr>
              <w:t>合理化建议和改进措施：</w:t>
            </w:r>
            <w:r>
              <w:rPr>
                <w:rFonts w:hint="eastAsia" w:ascii="仿宋" w:hAnsi="仿宋" w:eastAsia="仿宋" w:cs="仿宋"/>
                <w:color w:val="auto"/>
                <w:sz w:val="24"/>
                <w:szCs w:val="24"/>
                <w:highlight w:val="none"/>
              </w:rPr>
              <w:t>针对本项目工作实际情况，能切实提出相关建设性的意见建议，并有相关应对措施方案，根据提供方案的合理性及可行性评分。安排合理、可行性强的，得</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分；安排比较合理、可操作的，得</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分；安排欠合理、操作性差的，得1分；未提供本项内容或无针对性的不得分。</w:t>
            </w:r>
          </w:p>
        </w:tc>
        <w:tc>
          <w:tcPr>
            <w:tcW w:w="405" w:type="pct"/>
            <w:shd w:val="clear" w:color="auto" w:fill="FFFFFF"/>
            <w:vAlign w:val="center"/>
          </w:tcPr>
          <w:p w14:paraId="23DEAB80">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3</w:t>
            </w:r>
          </w:p>
        </w:tc>
        <w:tc>
          <w:tcPr>
            <w:tcW w:w="527" w:type="pct"/>
            <w:shd w:val="clear" w:color="auto" w:fill="FFFFFF"/>
            <w:vAlign w:val="center"/>
          </w:tcPr>
          <w:p w14:paraId="0B15E57D">
            <w:pPr>
              <w:adjustRightInd w:val="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主观分</w:t>
            </w:r>
          </w:p>
        </w:tc>
        <w:tc>
          <w:tcPr>
            <w:tcW w:w="1003" w:type="pct"/>
            <w:shd w:val="clear" w:color="auto" w:fill="FFFFFF"/>
            <w:vAlign w:val="center"/>
          </w:tcPr>
          <w:p w14:paraId="487A17F0">
            <w:pPr>
              <w:adjustRightInd w:val="0"/>
              <w:jc w:val="center"/>
              <w:rPr>
                <w:rFonts w:ascii="Times New Roman" w:hAnsi="Times New Roman" w:eastAsia="宋体" w:cs="Times New Roman"/>
                <w:color w:val="auto"/>
                <w:szCs w:val="24"/>
                <w:highlight w:val="none"/>
              </w:rPr>
            </w:pPr>
          </w:p>
        </w:tc>
      </w:tr>
      <w:tr w14:paraId="1477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98" w:type="pct"/>
            <w:shd w:val="clear" w:color="auto" w:fill="FFFFFF"/>
            <w:vAlign w:val="center"/>
          </w:tcPr>
          <w:p w14:paraId="179A6255">
            <w:pPr>
              <w:adjustRightInd w:val="0"/>
              <w:jc w:val="center"/>
              <w:outlineLvl w:val="0"/>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20</w:t>
            </w:r>
          </w:p>
        </w:tc>
        <w:tc>
          <w:tcPr>
            <w:tcW w:w="2667" w:type="pct"/>
            <w:shd w:val="clear" w:color="auto" w:fill="FFFFFF"/>
            <w:vAlign w:val="center"/>
          </w:tcPr>
          <w:p w14:paraId="6B7AAC9F">
            <w:pPr>
              <w:adjustRightInd w:val="0"/>
              <w:snapToGrid w:val="0"/>
              <w:jc w:val="left"/>
              <w:outlineLvl w:val="0"/>
              <w:rPr>
                <w:rFonts w:ascii="仿宋" w:hAnsi="仿宋" w:eastAsia="仿宋" w:cs="仿宋_GB2312"/>
                <w:bCs/>
                <w:color w:val="auto"/>
                <w:sz w:val="24"/>
                <w:szCs w:val="24"/>
                <w:highlight w:val="none"/>
              </w:rPr>
            </w:pPr>
            <w:bookmarkStart w:id="408" w:name="_Toc12829"/>
            <w:r>
              <w:rPr>
                <w:rFonts w:hint="eastAsia" w:ascii="仿宋" w:hAnsi="仿宋" w:eastAsia="仿宋" w:cs="仿宋_GB2312"/>
                <w:bCs/>
                <w:color w:val="auto"/>
                <w:sz w:val="24"/>
                <w:szCs w:val="24"/>
                <w:highlight w:val="none"/>
              </w:rPr>
              <w:t>有效投标报价的最低价作为评标基准价，其最低报价为满分；按［投标报价得分=（评标基准价/投标报价）*权重］的计算公式计算。</w:t>
            </w:r>
            <w:bookmarkEnd w:id="408"/>
          </w:p>
          <w:p w14:paraId="65FA179F">
            <w:pPr>
              <w:adjustRightInd w:val="0"/>
              <w:snapToGrid w:val="0"/>
              <w:jc w:val="left"/>
              <w:outlineLvl w:val="0"/>
              <w:rPr>
                <w:rFonts w:ascii="仿宋" w:hAnsi="仿宋" w:eastAsia="仿宋" w:cs="仿宋_GB2312"/>
                <w:bCs/>
                <w:color w:val="auto"/>
                <w:sz w:val="24"/>
                <w:szCs w:val="24"/>
                <w:highlight w:val="none"/>
              </w:rPr>
            </w:pPr>
            <w:bookmarkStart w:id="409" w:name="_Toc4105"/>
            <w:r>
              <w:rPr>
                <w:rFonts w:hint="eastAsia" w:ascii="仿宋" w:hAnsi="仿宋" w:eastAsia="仿宋" w:cs="仿宋_GB2312"/>
                <w:bCs/>
                <w:color w:val="auto"/>
                <w:sz w:val="24"/>
                <w:szCs w:val="24"/>
                <w:highlight w:val="none"/>
              </w:rPr>
              <w:t>评标过程中，不得去掉报价中的最高报价和最低报价。</w:t>
            </w:r>
            <w:bookmarkEnd w:id="409"/>
          </w:p>
        </w:tc>
        <w:tc>
          <w:tcPr>
            <w:tcW w:w="405" w:type="pct"/>
            <w:shd w:val="clear" w:color="auto" w:fill="FFFFFF"/>
            <w:vAlign w:val="center"/>
          </w:tcPr>
          <w:p w14:paraId="7669D9BA">
            <w:pPr>
              <w:adjustRightInd w:val="0"/>
              <w:ind w:firstLine="120" w:firstLineChars="50"/>
              <w:jc w:val="center"/>
              <w:outlineLvl w:val="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10</w:t>
            </w:r>
          </w:p>
        </w:tc>
        <w:tc>
          <w:tcPr>
            <w:tcW w:w="527" w:type="pct"/>
            <w:shd w:val="clear" w:color="auto" w:fill="FFFFFF"/>
            <w:vAlign w:val="center"/>
          </w:tcPr>
          <w:p w14:paraId="5A865812">
            <w:pPr>
              <w:adjustRightInd w:val="0"/>
              <w:ind w:firstLine="120" w:firstLineChars="50"/>
              <w:jc w:val="center"/>
              <w:outlineLvl w:val="0"/>
              <w:rPr>
                <w:rFonts w:ascii="仿宋" w:hAnsi="仿宋" w:eastAsia="仿宋" w:cs="仿宋_GB2312"/>
                <w:color w:val="auto"/>
                <w:sz w:val="24"/>
                <w:szCs w:val="24"/>
                <w:highlight w:val="none"/>
              </w:rPr>
            </w:pPr>
            <w:bookmarkStart w:id="410" w:name="_Toc19432"/>
          </w:p>
        </w:tc>
        <w:tc>
          <w:tcPr>
            <w:tcW w:w="1003" w:type="pct"/>
            <w:shd w:val="clear" w:color="auto" w:fill="FFFFFF"/>
            <w:vAlign w:val="center"/>
          </w:tcPr>
          <w:p w14:paraId="25911984">
            <w:pPr>
              <w:adjustRightInd w:val="0"/>
              <w:jc w:val="center"/>
              <w:outlineLvl w:val="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w:t>
            </w:r>
            <w:bookmarkEnd w:id="410"/>
          </w:p>
        </w:tc>
      </w:tr>
    </w:tbl>
    <w:p w14:paraId="4F3DE156">
      <w:pPr>
        <w:rPr>
          <w:color w:val="auto"/>
          <w:highlight w:val="none"/>
        </w:rPr>
      </w:pPr>
    </w:p>
    <w:p w14:paraId="27407E9A">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3362E634">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FF64587">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6DECDE5">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70896402">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72F4DF3D">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7153BC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54B560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F9E20F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1C988A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131978F">
      <w:pPr>
        <w:pStyle w:val="23"/>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9DA3F7B">
      <w:pPr>
        <w:pStyle w:val="2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39F5E79">
      <w:pPr>
        <w:pStyle w:val="2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85F5427">
      <w:pPr>
        <w:pStyle w:val="2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323DAB6B">
      <w:pPr>
        <w:pStyle w:val="2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1AE627D3">
      <w:pPr>
        <w:pStyle w:val="2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1E4BF763">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1ADF56E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28748C96">
      <w:pPr>
        <w:pStyle w:val="2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6F6D6CF">
      <w:pPr>
        <w:pStyle w:val="23"/>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78AAB60">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1A32EC8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845307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bookmarkStart w:id="433" w:name="_GoBack"/>
      <w:bookmarkEnd w:id="433"/>
    </w:p>
    <w:p w14:paraId="53877921">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6CEA2D94">
      <w:pPr>
        <w:pStyle w:val="23"/>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CF1E573">
      <w:pPr>
        <w:pStyle w:val="10"/>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13AD5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E7459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EDF052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0047C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1FF4B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60148EF">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856FA2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B4AA0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3AD93D1E">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48FAF0B8">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541E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7AA3D7B1">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6663592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3D4A9190">
      <w:pPr>
        <w:pStyle w:val="10"/>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37FCDD3">
      <w:pPr>
        <w:pStyle w:val="10"/>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36BE7F6">
      <w:pPr>
        <w:pStyle w:val="10"/>
        <w:snapToGrid w:val="0"/>
        <w:spacing w:line="360" w:lineRule="auto"/>
        <w:rPr>
          <w:rFonts w:cs="宋体"/>
          <w:color w:val="auto"/>
          <w:highlight w:val="none"/>
        </w:rPr>
      </w:pPr>
      <w:r>
        <w:rPr>
          <w:rFonts w:hint="eastAsia" w:cs="宋体"/>
          <w:color w:val="auto"/>
          <w:highlight w:val="none"/>
        </w:rPr>
        <w:t>5.2出现影响采购公正的违法、违规行为的；</w:t>
      </w:r>
    </w:p>
    <w:p w14:paraId="3861788E">
      <w:pPr>
        <w:pStyle w:val="10"/>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2C8A1F44">
      <w:pPr>
        <w:pStyle w:val="10"/>
        <w:snapToGrid w:val="0"/>
        <w:spacing w:line="360" w:lineRule="auto"/>
        <w:rPr>
          <w:rFonts w:cs="宋体"/>
          <w:color w:val="auto"/>
          <w:highlight w:val="none"/>
        </w:rPr>
      </w:pPr>
      <w:r>
        <w:rPr>
          <w:rFonts w:hint="eastAsia" w:cs="宋体"/>
          <w:color w:val="auto"/>
          <w:highlight w:val="none"/>
        </w:rPr>
        <w:t>5.4因重大变故，采购任务取消的。</w:t>
      </w:r>
    </w:p>
    <w:p w14:paraId="0F20D232">
      <w:pPr>
        <w:pStyle w:val="10"/>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728F5DB1">
      <w:pPr>
        <w:pStyle w:val="10"/>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4F2DA9DA">
      <w:pPr>
        <w:pStyle w:val="10"/>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2D94D34">
      <w:pPr>
        <w:pStyle w:val="10"/>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169EE18">
      <w:pPr>
        <w:pStyle w:val="10"/>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2BC1C79">
      <w:pPr>
        <w:pStyle w:val="10"/>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C0B7240">
      <w:pPr>
        <w:pStyle w:val="10"/>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94896E4">
      <w:pPr>
        <w:pStyle w:val="10"/>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3A70F79">
      <w:pPr>
        <w:widowControl/>
        <w:adjustRightInd/>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14:paraId="7B096786">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32D58654">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448F07BA">
      <w:pPr>
        <w:spacing w:line="480" w:lineRule="auto"/>
        <w:jc w:val="center"/>
        <w:rPr>
          <w:rFonts w:ascii="宋体" w:hAnsi="宋体" w:cs="宋体"/>
          <w:b/>
          <w:color w:val="auto"/>
          <w:sz w:val="28"/>
          <w:szCs w:val="28"/>
          <w:highlight w:val="none"/>
        </w:rPr>
      </w:pPr>
    </w:p>
    <w:p w14:paraId="3E2841CA">
      <w:pPr>
        <w:spacing w:line="480" w:lineRule="auto"/>
        <w:jc w:val="center"/>
        <w:rPr>
          <w:rFonts w:ascii="宋体" w:hAnsi="宋体" w:cs="宋体"/>
          <w:b/>
          <w:color w:val="auto"/>
          <w:sz w:val="24"/>
          <w:highlight w:val="none"/>
        </w:rPr>
      </w:pPr>
    </w:p>
    <w:p w14:paraId="2970A658">
      <w:pPr>
        <w:spacing w:line="480" w:lineRule="auto"/>
        <w:jc w:val="center"/>
        <w:rPr>
          <w:rFonts w:ascii="宋体" w:hAnsi="宋体" w:cs="宋体"/>
          <w:b/>
          <w:color w:val="auto"/>
          <w:sz w:val="24"/>
          <w:highlight w:val="none"/>
        </w:rPr>
      </w:pPr>
    </w:p>
    <w:p w14:paraId="61AA4E24">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5D84A28D">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445CF581">
      <w:pPr>
        <w:pStyle w:val="36"/>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3D43407D">
      <w:pPr>
        <w:spacing w:before="120" w:line="22" w:lineRule="atLeast"/>
        <w:rPr>
          <w:rFonts w:ascii="宋体" w:hAnsi="宋体" w:cs="宋体"/>
          <w:color w:val="auto"/>
          <w:sz w:val="24"/>
          <w:highlight w:val="none"/>
        </w:rPr>
      </w:pPr>
    </w:p>
    <w:p w14:paraId="580DC118">
      <w:pPr>
        <w:pStyle w:val="3"/>
        <w:rPr>
          <w:color w:val="auto"/>
          <w:highlight w:val="none"/>
        </w:rPr>
      </w:pPr>
    </w:p>
    <w:p w14:paraId="22B58CB6">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9E3F78A">
      <w:pPr>
        <w:pStyle w:val="37"/>
        <w:spacing w:before="120" w:line="22" w:lineRule="atLeast"/>
        <w:rPr>
          <w:rFonts w:ascii="宋体" w:hAnsi="宋体" w:eastAsia="宋体" w:cs="宋体"/>
          <w:color w:val="auto"/>
          <w:szCs w:val="24"/>
          <w:highlight w:val="none"/>
        </w:rPr>
      </w:pPr>
    </w:p>
    <w:p w14:paraId="299C1F4F">
      <w:pPr>
        <w:pStyle w:val="37"/>
        <w:spacing w:before="120" w:line="22" w:lineRule="atLeast"/>
        <w:rPr>
          <w:rFonts w:ascii="宋体" w:hAnsi="宋体" w:eastAsia="宋体" w:cs="宋体"/>
          <w:color w:val="auto"/>
          <w:szCs w:val="24"/>
          <w:highlight w:val="none"/>
        </w:rPr>
      </w:pPr>
    </w:p>
    <w:p w14:paraId="6569D9B0">
      <w:pPr>
        <w:rPr>
          <w:rFonts w:ascii="宋体" w:hAnsi="宋体" w:cs="宋体"/>
          <w:color w:val="auto"/>
          <w:sz w:val="24"/>
          <w:highlight w:val="none"/>
        </w:rPr>
      </w:pPr>
    </w:p>
    <w:p w14:paraId="28D1136C">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77E2F1F2">
      <w:pPr>
        <w:spacing w:before="120" w:line="22" w:lineRule="atLeast"/>
        <w:rPr>
          <w:rFonts w:ascii="宋体" w:hAnsi="宋体" w:cs="宋体"/>
          <w:color w:val="auto"/>
          <w:sz w:val="24"/>
          <w:highlight w:val="none"/>
        </w:rPr>
      </w:pPr>
    </w:p>
    <w:p w14:paraId="5868B757">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444E6A22">
      <w:pPr>
        <w:spacing w:before="120" w:line="22" w:lineRule="atLeast"/>
        <w:rPr>
          <w:rFonts w:ascii="宋体" w:hAnsi="宋体" w:cs="宋体"/>
          <w:color w:val="auto"/>
          <w:sz w:val="24"/>
          <w:highlight w:val="none"/>
        </w:rPr>
      </w:pPr>
    </w:p>
    <w:p w14:paraId="0F4A78EA">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70D6553">
      <w:pPr>
        <w:spacing w:before="120" w:line="22" w:lineRule="atLeast"/>
        <w:rPr>
          <w:rFonts w:ascii="宋体" w:hAnsi="宋体" w:cs="宋体"/>
          <w:color w:val="auto"/>
          <w:sz w:val="24"/>
          <w:highlight w:val="none"/>
        </w:rPr>
      </w:pPr>
    </w:p>
    <w:p w14:paraId="17F50376">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3376FFE">
      <w:pPr>
        <w:widowControl/>
        <w:jc w:val="left"/>
        <w:rPr>
          <w:rFonts w:ascii="宋体" w:hAnsi="宋体" w:cs="宋体"/>
          <w:color w:val="auto"/>
          <w:kern w:val="0"/>
          <w:sz w:val="24"/>
          <w:highlight w:val="none"/>
        </w:rPr>
        <w:sectPr>
          <w:headerReference r:id="rId8" w:type="default"/>
          <w:footerReference r:id="rId9" w:type="default"/>
          <w:pgSz w:w="11907" w:h="16840"/>
          <w:pgMar w:top="1054" w:right="828" w:bottom="1474" w:left="1417" w:header="851" w:footer="851" w:gutter="0"/>
          <w:cols w:space="720" w:num="1"/>
        </w:sectPr>
      </w:pPr>
    </w:p>
    <w:p w14:paraId="6911E1F2">
      <w:pPr>
        <w:rPr>
          <w:rFonts w:ascii="宋体" w:hAnsi="宋体" w:cs="宋体"/>
          <w:b/>
          <w:color w:val="auto"/>
          <w:sz w:val="24"/>
          <w:highlight w:val="none"/>
        </w:rPr>
      </w:pPr>
    </w:p>
    <w:p w14:paraId="6E15F979">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杭州市公路与港航管理服务中心（杭州市低空交通运行管理服务中心）</w:t>
      </w:r>
      <w:r>
        <w:rPr>
          <w:rFonts w:asciiTheme="minorEastAsia" w:hAnsiTheme="minorEastAsia" w:eastAsiaTheme="minorEastAsia"/>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（招标编号：</w:t>
      </w:r>
      <w:r>
        <w:rPr>
          <w:rFonts w:hint="eastAsia" w:ascii="宋体" w:hAnsi="宋体" w:cs="宋体"/>
          <w:color w:val="auto"/>
          <w:sz w:val="24"/>
          <w:highlight w:val="none"/>
          <w:u w:val="single"/>
          <w:lang w:eastAsia="zh-CN"/>
        </w:rPr>
        <w:t>330100264120030000041-ZJZC-ZFGK-202615</w:t>
      </w:r>
      <w:r>
        <w:rPr>
          <w:rFonts w:hint="eastAsia" w:ascii="宋体" w:hAnsi="宋体" w:cs="宋体"/>
          <w:color w:val="auto"/>
          <w:sz w:val="24"/>
          <w:highlight w:val="none"/>
          <w:u w:val="single"/>
        </w:rPr>
        <w:t>）</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w:t>
      </w:r>
      <w:r>
        <w:rPr>
          <w:rFonts w:hint="eastAsia" w:ascii="宋体" w:hAnsi="宋体"/>
          <w:color w:val="auto"/>
          <w:sz w:val="24"/>
          <w:highlight w:val="none"/>
        </w:rPr>
        <w:t>评定，</w:t>
      </w:r>
      <w:r>
        <w:rPr>
          <w:rFonts w:ascii="宋体" w:hAnsi="宋体"/>
          <w:color w:val="auto"/>
          <w:sz w:val="24"/>
          <w:highlight w:val="none"/>
          <w:u w:val="single"/>
        </w:rPr>
        <w:t>（中标</w:t>
      </w:r>
      <w:r>
        <w:rPr>
          <w:rFonts w:hint="eastAsia" w:ascii="宋体" w:hAnsi="宋体"/>
          <w:color w:val="auto"/>
          <w:sz w:val="24"/>
          <w:highlight w:val="none"/>
          <w:u w:val="single"/>
        </w:rPr>
        <w:t>或者成交</w:t>
      </w:r>
      <w:r>
        <w:rPr>
          <w:rFonts w:hint="eastAsia" w:ascii="宋体" w:hAnsi="宋体"/>
          <w:color w:val="auto"/>
          <w:sz w:val="24"/>
          <w:highlight w:val="none"/>
          <w:u w:val="single"/>
          <w:lang w:eastAsia="zh-CN"/>
        </w:rPr>
        <w:t>供应商</w:t>
      </w:r>
      <w:r>
        <w:rPr>
          <w:rFonts w:ascii="宋体" w:hAnsi="宋体"/>
          <w:color w:val="auto"/>
          <w:sz w:val="24"/>
          <w:highlight w:val="none"/>
          <w:u w:val="single"/>
        </w:rPr>
        <w:t>名称）</w:t>
      </w:r>
      <w:r>
        <w:rPr>
          <w:rFonts w:hint="eastAsia" w:ascii="宋体" w:hAnsi="宋体"/>
          <w:color w:val="auto"/>
          <w:sz w:val="24"/>
          <w:highlight w:val="none"/>
        </w:rPr>
        <w:t>为该项目</w:t>
      </w:r>
      <w:r>
        <w:rPr>
          <w:rFonts w:hint="eastAsia" w:ascii="宋体" w:hAnsi="宋体" w:cs="宋体"/>
          <w:color w:val="auto"/>
          <w:sz w:val="24"/>
          <w:highlight w:val="none"/>
        </w:rPr>
        <w:t>中标或者成交</w:t>
      </w:r>
      <w:r>
        <w:rPr>
          <w:rFonts w:hint="eastAsia" w:ascii="宋体" w:hAnsi="宋体" w:cs="宋体"/>
          <w:color w:val="auto"/>
          <w:sz w:val="24"/>
          <w:highlight w:val="none"/>
          <w:lang w:eastAsia="zh-CN"/>
        </w:rPr>
        <w:t>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5C107AC3">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olor w:val="auto"/>
          <w:sz w:val="24"/>
          <w:highlight w:val="none"/>
          <w:u w:val="single"/>
          <w:lang w:eastAsia="zh-CN"/>
        </w:rPr>
        <w:t>杭州市公路与港航管理服务中心（杭州市低空交通运行管理服务中心）</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（中</w:t>
      </w:r>
      <w:r>
        <w:rPr>
          <w:rFonts w:hint="eastAsia" w:ascii="宋体" w:hAnsi="宋体"/>
          <w:color w:val="auto"/>
          <w:sz w:val="24"/>
          <w:highlight w:val="none"/>
          <w:u w:val="single"/>
        </w:rPr>
        <w:t>标或者成交</w:t>
      </w:r>
      <w:r>
        <w:rPr>
          <w:rFonts w:hint="eastAsia" w:ascii="宋体" w:hAnsi="宋体"/>
          <w:color w:val="auto"/>
          <w:sz w:val="24"/>
          <w:highlight w:val="none"/>
          <w:u w:val="single"/>
          <w:lang w:eastAsia="zh-CN"/>
        </w:rPr>
        <w:t>供应商</w:t>
      </w:r>
      <w:r>
        <w:rPr>
          <w:rFonts w:ascii="宋体" w:hAnsi="宋体"/>
          <w:color w:val="auto"/>
          <w:sz w:val="24"/>
          <w:highlight w:val="none"/>
          <w:u w:val="single"/>
        </w:rPr>
        <w:t>名称）</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7F426294">
      <w:pPr>
        <w:spacing w:line="560" w:lineRule="exact"/>
        <w:ind w:firstLine="482" w:firstLineChars="200"/>
        <w:outlineLvl w:val="0"/>
        <w:rPr>
          <w:rFonts w:ascii="宋体" w:hAnsi="宋体"/>
          <w:color w:val="auto"/>
          <w:sz w:val="24"/>
          <w:highlight w:val="none"/>
        </w:rPr>
      </w:pPr>
      <w:r>
        <w:rPr>
          <w:rFonts w:ascii="宋体" w:hAnsi="宋体"/>
          <w:b/>
          <w:color w:val="auto"/>
          <w:sz w:val="24"/>
          <w:highlight w:val="none"/>
        </w:rPr>
        <w:t xml:space="preserve">1.1 </w:t>
      </w:r>
      <w:r>
        <w:rPr>
          <w:rFonts w:hint="eastAsia" w:ascii="宋体" w:hAnsi="宋体"/>
          <w:b/>
          <w:color w:val="auto"/>
          <w:sz w:val="24"/>
          <w:highlight w:val="none"/>
        </w:rPr>
        <w:t>合同组成部分</w:t>
      </w:r>
    </w:p>
    <w:p w14:paraId="30CCBC81">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9687AB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78381D0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1BBFC83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2770413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1881C78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45D02789">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1.2 </w:t>
      </w:r>
      <w:r>
        <w:rPr>
          <w:rFonts w:hint="eastAsia" w:ascii="宋体" w:hAnsi="宋体"/>
          <w:b/>
          <w:color w:val="auto"/>
          <w:sz w:val="24"/>
          <w:highlight w:val="none"/>
        </w:rPr>
        <w:t>标的</w:t>
      </w:r>
    </w:p>
    <w:p w14:paraId="5D899406">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0200A18B">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6D421288">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1ACDDEB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66E63E97">
      <w:pPr>
        <w:pStyle w:val="38"/>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29FC0976">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03CF34">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E30E7D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53AF6CC">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p>
    <w:p w14:paraId="721AEC30">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0DE3E5DA">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7AF58BC6">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397"/>
        <w:gridCol w:w="2552"/>
      </w:tblGrid>
      <w:tr w14:paraId="3EFD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48" w:type="dxa"/>
            <w:vAlign w:val="center"/>
          </w:tcPr>
          <w:p w14:paraId="390011E2">
            <w:pPr>
              <w:pStyle w:val="39"/>
              <w:spacing w:line="560" w:lineRule="exact"/>
              <w:jc w:val="center"/>
              <w:rPr>
                <w:rFonts w:hAnsi="宋体"/>
                <w:color w:val="auto"/>
                <w:sz w:val="24"/>
                <w:szCs w:val="24"/>
                <w:highlight w:val="none"/>
              </w:rPr>
            </w:pPr>
            <w:r>
              <w:rPr>
                <w:rFonts w:hAnsi="宋体"/>
                <w:color w:val="auto"/>
                <w:sz w:val="24"/>
                <w:szCs w:val="24"/>
                <w:highlight w:val="none"/>
              </w:rPr>
              <w:t>序号</w:t>
            </w:r>
          </w:p>
        </w:tc>
        <w:tc>
          <w:tcPr>
            <w:tcW w:w="4397" w:type="dxa"/>
            <w:vAlign w:val="center"/>
          </w:tcPr>
          <w:p w14:paraId="52BAD4C1">
            <w:pPr>
              <w:pStyle w:val="39"/>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6480DF28">
            <w:pPr>
              <w:pStyle w:val="39"/>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3DCA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48" w:type="dxa"/>
            <w:vAlign w:val="center"/>
          </w:tcPr>
          <w:p w14:paraId="2CEF5083">
            <w:pPr>
              <w:pStyle w:val="39"/>
              <w:spacing w:line="560" w:lineRule="exact"/>
              <w:ind w:firstLine="200"/>
              <w:jc w:val="center"/>
              <w:rPr>
                <w:rFonts w:hAnsi="宋体"/>
                <w:color w:val="auto"/>
                <w:sz w:val="24"/>
                <w:szCs w:val="24"/>
                <w:highlight w:val="none"/>
              </w:rPr>
            </w:pPr>
          </w:p>
        </w:tc>
        <w:tc>
          <w:tcPr>
            <w:tcW w:w="4397" w:type="dxa"/>
            <w:vAlign w:val="center"/>
          </w:tcPr>
          <w:p w14:paraId="73F076BF">
            <w:pPr>
              <w:pStyle w:val="39"/>
              <w:spacing w:line="560" w:lineRule="exact"/>
              <w:ind w:firstLine="200"/>
              <w:jc w:val="center"/>
              <w:rPr>
                <w:rFonts w:hAnsi="宋体"/>
                <w:color w:val="auto"/>
                <w:sz w:val="24"/>
                <w:szCs w:val="24"/>
                <w:highlight w:val="none"/>
              </w:rPr>
            </w:pPr>
          </w:p>
        </w:tc>
        <w:tc>
          <w:tcPr>
            <w:tcW w:w="2552" w:type="dxa"/>
            <w:vAlign w:val="center"/>
          </w:tcPr>
          <w:p w14:paraId="6B087053">
            <w:pPr>
              <w:pStyle w:val="39"/>
              <w:spacing w:line="560" w:lineRule="exact"/>
              <w:ind w:firstLine="200"/>
              <w:jc w:val="center"/>
              <w:rPr>
                <w:rFonts w:hAnsi="宋体"/>
                <w:color w:val="auto"/>
                <w:sz w:val="24"/>
                <w:szCs w:val="24"/>
                <w:highlight w:val="none"/>
              </w:rPr>
            </w:pPr>
          </w:p>
        </w:tc>
      </w:tr>
      <w:tr w14:paraId="65EE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48" w:type="dxa"/>
            <w:vAlign w:val="center"/>
          </w:tcPr>
          <w:p w14:paraId="0C372C9B">
            <w:pPr>
              <w:pStyle w:val="39"/>
              <w:spacing w:line="560" w:lineRule="exact"/>
              <w:ind w:firstLine="200"/>
              <w:jc w:val="center"/>
              <w:rPr>
                <w:rFonts w:hAnsi="宋体"/>
                <w:color w:val="auto"/>
                <w:sz w:val="24"/>
                <w:szCs w:val="24"/>
                <w:highlight w:val="none"/>
              </w:rPr>
            </w:pPr>
          </w:p>
        </w:tc>
        <w:tc>
          <w:tcPr>
            <w:tcW w:w="4397" w:type="dxa"/>
            <w:vAlign w:val="center"/>
          </w:tcPr>
          <w:p w14:paraId="3BB6E750">
            <w:pPr>
              <w:pStyle w:val="39"/>
              <w:spacing w:line="560" w:lineRule="exact"/>
              <w:ind w:firstLine="200"/>
              <w:jc w:val="center"/>
              <w:rPr>
                <w:rFonts w:hAnsi="宋体"/>
                <w:color w:val="auto"/>
                <w:sz w:val="24"/>
                <w:szCs w:val="24"/>
                <w:highlight w:val="none"/>
              </w:rPr>
            </w:pPr>
          </w:p>
        </w:tc>
        <w:tc>
          <w:tcPr>
            <w:tcW w:w="2552" w:type="dxa"/>
            <w:vAlign w:val="center"/>
          </w:tcPr>
          <w:p w14:paraId="72D4B9F5">
            <w:pPr>
              <w:pStyle w:val="39"/>
              <w:spacing w:line="560" w:lineRule="exact"/>
              <w:ind w:firstLine="200"/>
              <w:jc w:val="center"/>
              <w:rPr>
                <w:rFonts w:hAnsi="宋体"/>
                <w:color w:val="auto"/>
                <w:sz w:val="24"/>
                <w:szCs w:val="24"/>
                <w:highlight w:val="none"/>
              </w:rPr>
            </w:pPr>
          </w:p>
        </w:tc>
      </w:tr>
      <w:tr w14:paraId="6263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48" w:type="dxa"/>
            <w:vAlign w:val="center"/>
          </w:tcPr>
          <w:p w14:paraId="17397DD6">
            <w:pPr>
              <w:pStyle w:val="39"/>
              <w:spacing w:line="560" w:lineRule="exact"/>
              <w:ind w:firstLine="200"/>
              <w:jc w:val="center"/>
              <w:rPr>
                <w:rFonts w:hAnsi="宋体"/>
                <w:color w:val="auto"/>
                <w:sz w:val="24"/>
                <w:szCs w:val="24"/>
                <w:highlight w:val="none"/>
              </w:rPr>
            </w:pPr>
          </w:p>
        </w:tc>
        <w:tc>
          <w:tcPr>
            <w:tcW w:w="4397" w:type="dxa"/>
            <w:vAlign w:val="center"/>
          </w:tcPr>
          <w:p w14:paraId="139D479F">
            <w:pPr>
              <w:pStyle w:val="39"/>
              <w:spacing w:line="560" w:lineRule="exact"/>
              <w:ind w:firstLine="200"/>
              <w:jc w:val="center"/>
              <w:rPr>
                <w:rFonts w:hAnsi="宋体"/>
                <w:color w:val="auto"/>
                <w:sz w:val="24"/>
                <w:szCs w:val="24"/>
                <w:highlight w:val="none"/>
              </w:rPr>
            </w:pPr>
          </w:p>
        </w:tc>
        <w:tc>
          <w:tcPr>
            <w:tcW w:w="2552" w:type="dxa"/>
            <w:vAlign w:val="center"/>
          </w:tcPr>
          <w:p w14:paraId="13D1602D">
            <w:pPr>
              <w:pStyle w:val="39"/>
              <w:spacing w:line="560" w:lineRule="exact"/>
              <w:ind w:firstLine="200"/>
              <w:jc w:val="center"/>
              <w:rPr>
                <w:rFonts w:hAnsi="宋体"/>
                <w:color w:val="auto"/>
                <w:sz w:val="24"/>
                <w:szCs w:val="24"/>
                <w:highlight w:val="none"/>
              </w:rPr>
            </w:pPr>
          </w:p>
        </w:tc>
      </w:tr>
      <w:tr w14:paraId="6B4C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48" w:type="dxa"/>
            <w:vAlign w:val="center"/>
          </w:tcPr>
          <w:p w14:paraId="1A91176F">
            <w:pPr>
              <w:pStyle w:val="39"/>
              <w:spacing w:line="560" w:lineRule="exact"/>
              <w:ind w:firstLine="200"/>
              <w:jc w:val="center"/>
              <w:rPr>
                <w:rFonts w:hAnsi="宋体"/>
                <w:color w:val="auto"/>
                <w:sz w:val="24"/>
                <w:szCs w:val="24"/>
                <w:highlight w:val="none"/>
              </w:rPr>
            </w:pPr>
          </w:p>
        </w:tc>
        <w:tc>
          <w:tcPr>
            <w:tcW w:w="4397" w:type="dxa"/>
            <w:vAlign w:val="center"/>
          </w:tcPr>
          <w:p w14:paraId="4B3CC481">
            <w:pPr>
              <w:pStyle w:val="39"/>
              <w:spacing w:line="560" w:lineRule="exact"/>
              <w:ind w:firstLine="200"/>
              <w:jc w:val="center"/>
              <w:rPr>
                <w:rFonts w:hAnsi="宋体"/>
                <w:color w:val="auto"/>
                <w:sz w:val="24"/>
                <w:szCs w:val="24"/>
                <w:highlight w:val="none"/>
              </w:rPr>
            </w:pPr>
          </w:p>
        </w:tc>
        <w:tc>
          <w:tcPr>
            <w:tcW w:w="2552" w:type="dxa"/>
            <w:vAlign w:val="center"/>
          </w:tcPr>
          <w:p w14:paraId="754B7821">
            <w:pPr>
              <w:pStyle w:val="39"/>
              <w:spacing w:line="560" w:lineRule="exact"/>
              <w:ind w:firstLine="200"/>
              <w:jc w:val="center"/>
              <w:rPr>
                <w:rFonts w:hAnsi="宋体"/>
                <w:color w:val="auto"/>
                <w:sz w:val="24"/>
                <w:szCs w:val="24"/>
                <w:highlight w:val="none"/>
              </w:rPr>
            </w:pPr>
          </w:p>
        </w:tc>
      </w:tr>
      <w:tr w14:paraId="2FC9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45" w:type="dxa"/>
            <w:gridSpan w:val="2"/>
            <w:vAlign w:val="center"/>
          </w:tcPr>
          <w:p w14:paraId="70DA3CEE">
            <w:pPr>
              <w:pStyle w:val="39"/>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7F60632E">
            <w:pPr>
              <w:pStyle w:val="39"/>
              <w:spacing w:line="560" w:lineRule="exact"/>
              <w:ind w:firstLine="200"/>
              <w:jc w:val="center"/>
              <w:rPr>
                <w:rFonts w:hAnsi="宋体"/>
                <w:color w:val="auto"/>
                <w:sz w:val="24"/>
                <w:szCs w:val="24"/>
                <w:highlight w:val="none"/>
              </w:rPr>
            </w:pPr>
          </w:p>
        </w:tc>
      </w:tr>
    </w:tbl>
    <w:p w14:paraId="6B828EB9">
      <w:pPr>
        <w:spacing w:line="560" w:lineRule="exact"/>
        <w:ind w:firstLine="480" w:firstLineChars="200"/>
        <w:rPr>
          <w:rFonts w:ascii="宋体" w:hAnsi="宋体"/>
          <w:color w:val="auto"/>
          <w:sz w:val="24"/>
          <w:highlight w:val="none"/>
        </w:rPr>
      </w:pPr>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0AAA31F7">
      <w:pPr>
        <w:pStyle w:val="27"/>
        <w:spacing w:after="240" w:afterLines="100"/>
        <w:ind w:firstLine="480"/>
        <w:rPr>
          <w:color w:val="auto"/>
          <w:highlight w:val="none"/>
          <w:lang w:val="en-US"/>
        </w:rPr>
      </w:pPr>
      <w:r>
        <w:rPr>
          <w:rFonts w:hint="eastAsia" w:ascii="宋体" w:hAnsi="宋体" w:eastAsia="宋体" w:cs="宋体"/>
          <w:color w:val="auto"/>
          <w:sz w:val="24"/>
          <w:highlight w:val="none"/>
          <w:lang w:val="en-US"/>
        </w:rPr>
        <w:t>1.3.3其他计价方式：</w:t>
      </w:r>
      <w:r>
        <w:rPr>
          <w:rFonts w:hint="eastAsia" w:ascii="宋体" w:hAnsi="宋体" w:eastAsia="宋体" w:cs="宋体"/>
          <w:color w:val="auto"/>
          <w:sz w:val="24"/>
          <w:highlight w:val="none"/>
          <w:u w:val="single"/>
          <w:lang w:val="en-US"/>
        </w:rPr>
        <w:t xml:space="preserve">   </w:t>
      </w:r>
      <w:r>
        <w:rPr>
          <w:rFonts w:hint="eastAsia" w:ascii="宋体" w:hAnsi="宋体" w:eastAsia="宋体" w:cs="宋体"/>
          <w:b/>
          <w:i/>
          <w:color w:val="auto"/>
          <w:sz w:val="24"/>
          <w:szCs w:val="24"/>
          <w:highlight w:val="none"/>
          <w:u w:val="single"/>
          <w:lang w:val="en-US"/>
        </w:rPr>
        <w:t>合同专用条款</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rPr>
        <w:t>。</w:t>
      </w:r>
    </w:p>
    <w:p w14:paraId="3E4B93CB">
      <w:pPr>
        <w:pStyle w:val="38"/>
        <w:spacing w:before="0" w:beforeAutospacing="0" w:after="240" w:afterLines="100" w:afterAutospacing="0" w:line="360" w:lineRule="auto"/>
        <w:ind w:firstLine="480"/>
        <w:rPr>
          <w:b/>
          <w:color w:val="auto"/>
          <w:highlight w:val="none"/>
        </w:rPr>
      </w:pPr>
      <w:bookmarkStart w:id="411" w:name="_Toc1814"/>
      <w:bookmarkStart w:id="412" w:name="_Toc22618"/>
      <w:bookmarkStart w:id="413" w:name="_Toc10340"/>
      <w:r>
        <w:rPr>
          <w:rFonts w:hint="eastAsia"/>
          <w:b/>
          <w:color w:val="auto"/>
          <w:highlight w:val="none"/>
        </w:rPr>
        <w:t>1.4履约保证金</w:t>
      </w:r>
    </w:p>
    <w:p w14:paraId="74719C06">
      <w:pPr>
        <w:pStyle w:val="38"/>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457B84BF">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EA062E3">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9FE6D96">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0BF0C81">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5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0C4F71C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11"/>
      <w:bookmarkEnd w:id="412"/>
      <w:bookmarkEnd w:id="413"/>
      <w:r>
        <w:rPr>
          <w:rFonts w:hint="eastAsia" w:ascii="宋体" w:hAnsi="宋体" w:cs="宋体"/>
          <w:b/>
          <w:color w:val="auto"/>
          <w:sz w:val="24"/>
          <w:highlight w:val="none"/>
        </w:rPr>
        <w:t>预付款</w:t>
      </w:r>
    </w:p>
    <w:p w14:paraId="5ECBB820">
      <w:pPr>
        <w:pStyle w:val="38"/>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48639A9C">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02F3D99">
      <w:pPr>
        <w:pStyle w:val="38"/>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1F5AD1C7">
      <w:pPr>
        <w:pStyle w:val="38"/>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A2E85CC">
      <w:pPr>
        <w:pStyle w:val="38"/>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65CFE063">
      <w:pPr>
        <w:pStyle w:val="38"/>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2E02AC6">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CD5F4F4">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p>
    <w:p w14:paraId="5722F467">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307035C">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F18C87F">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24D09584">
      <w:pPr>
        <w:spacing w:line="560" w:lineRule="exact"/>
        <w:ind w:firstLine="480" w:firstLineChars="200"/>
        <w:outlineLvl w:val="0"/>
        <w:rPr>
          <w:rFonts w:ascii="宋体" w:hAnsi="宋体"/>
          <w:bCs/>
          <w:color w:val="auto"/>
          <w:sz w:val="24"/>
          <w:highlight w:val="none"/>
        </w:rPr>
      </w:pPr>
      <w:r>
        <w:rPr>
          <w:rFonts w:hint="eastAsia" w:ascii="宋体" w:hAnsi="宋体"/>
          <w:bCs/>
          <w:color w:val="auto"/>
          <w:sz w:val="24"/>
          <w:highlight w:val="none"/>
        </w:rPr>
        <w:t>1.7.4若服务</w:t>
      </w:r>
      <w:r>
        <w:rPr>
          <w:rFonts w:hint="eastAsia"/>
          <w:bCs/>
          <w:color w:val="auto"/>
          <w:sz w:val="24"/>
          <w:highlight w:val="none"/>
        </w:rPr>
        <w:t>涉及货物的，则货物的：</w:t>
      </w:r>
    </w:p>
    <w:p w14:paraId="7104B9A6">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D53073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547E69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26668D4">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p>
    <w:p w14:paraId="6DD06069">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hint="eastAsia" w:ascii="宋体" w:hAnsi="宋体" w:cs="宋体"/>
          <w:color w:val="auto"/>
          <w:kern w:val="0"/>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6E0F7C5A">
      <w:pPr>
        <w:pStyle w:val="3"/>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0.05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63226B39">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3A78648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7B4EAA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99F1B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6D9C68D">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7BA2F259">
      <w:pPr>
        <w:spacing w:line="560" w:lineRule="exact"/>
        <w:ind w:firstLine="482" w:firstLineChars="200"/>
        <w:outlineLvl w:val="0"/>
        <w:rPr>
          <w:rFonts w:ascii="宋体" w:hAnsi="宋体" w:cs="宋体"/>
          <w:b/>
          <w:color w:val="auto"/>
          <w:sz w:val="24"/>
          <w:highlight w:val="none"/>
        </w:rPr>
      </w:pPr>
      <w:bookmarkStart w:id="414" w:name="_Toc16021"/>
      <w:bookmarkStart w:id="415" w:name="_Toc15583"/>
      <w:bookmarkStart w:id="416" w:name="_Toc28375"/>
      <w:r>
        <w:rPr>
          <w:rFonts w:hint="eastAsia" w:ascii="宋体" w:hAnsi="宋体" w:cs="宋体"/>
          <w:b/>
          <w:color w:val="auto"/>
          <w:sz w:val="24"/>
          <w:highlight w:val="none"/>
        </w:rPr>
        <w:t>1.9合同争议的解决</w:t>
      </w:r>
      <w:bookmarkEnd w:id="414"/>
      <w:bookmarkEnd w:id="415"/>
      <w:bookmarkEnd w:id="416"/>
    </w:p>
    <w:p w14:paraId="35384C73">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4BD9A507">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779CE1CB">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588F2A4C">
      <w:pPr>
        <w:spacing w:line="560" w:lineRule="exact"/>
        <w:ind w:firstLine="482" w:firstLineChars="200"/>
        <w:outlineLvl w:val="0"/>
        <w:rPr>
          <w:rFonts w:ascii="宋体" w:hAnsi="宋体" w:cs="宋体"/>
          <w:b/>
          <w:color w:val="auto"/>
          <w:sz w:val="24"/>
          <w:highlight w:val="none"/>
        </w:rPr>
      </w:pPr>
      <w:bookmarkStart w:id="417" w:name="_Toc7245"/>
      <w:bookmarkStart w:id="418" w:name="_Toc11173"/>
      <w:bookmarkStart w:id="419" w:name="_Toc15322"/>
      <w:r>
        <w:rPr>
          <w:rFonts w:hint="eastAsia" w:ascii="宋体" w:hAnsi="宋体" w:cs="宋体"/>
          <w:b/>
          <w:color w:val="auto"/>
          <w:sz w:val="24"/>
          <w:highlight w:val="none"/>
        </w:rPr>
        <w:t>1.10 合同生效</w:t>
      </w:r>
      <w:bookmarkEnd w:id="417"/>
      <w:bookmarkEnd w:id="418"/>
      <w:bookmarkEnd w:id="419"/>
    </w:p>
    <w:p w14:paraId="075681B3">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1CBA6C92">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36E3EDE3">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21F2DDA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7D2E3DA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72006F1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15B3629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1DDAC1A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6C4317D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64F6E24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6E53C72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1F0B6188">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12A973C1">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09CA6252">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342AA7E6">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5A68DCF1">
      <w:pPr>
        <w:pStyle w:val="36"/>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03F0ED22">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 定义</w:t>
      </w:r>
    </w:p>
    <w:p w14:paraId="4CC5F430">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6135B02D">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hint="eastAsia" w:ascii="宋体" w:hAnsi="宋体"/>
          <w:color w:val="auto"/>
          <w:sz w:val="24"/>
          <w:highlight w:val="none"/>
          <w:lang w:eastAsia="zh-CN"/>
        </w:rPr>
        <w:t>供应商</w:t>
      </w:r>
      <w:r>
        <w:rPr>
          <w:rFonts w:ascii="宋体" w:hAnsi="宋体"/>
          <w:color w:val="auto"/>
          <w:sz w:val="24"/>
          <w:highlight w:val="none"/>
        </w:rPr>
        <w:t>签订的载明双方当事人所达成的协议，并包括所有的附件、附录和构成合同的其他文件。</w:t>
      </w:r>
    </w:p>
    <w:p w14:paraId="63B486E9">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hint="eastAsia" w:ascii="宋体" w:hAnsi="宋体"/>
          <w:color w:val="auto"/>
          <w:sz w:val="24"/>
          <w:highlight w:val="none"/>
          <w:lang w:eastAsia="zh-CN"/>
        </w:rPr>
        <w:t>供应商</w:t>
      </w:r>
      <w:r>
        <w:rPr>
          <w:rFonts w:ascii="宋体" w:hAnsi="宋体"/>
          <w:color w:val="auto"/>
          <w:sz w:val="24"/>
          <w:highlight w:val="none"/>
        </w:rPr>
        <w:t>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hint="eastAsia" w:ascii="宋体" w:hAnsi="宋体"/>
          <w:color w:val="auto"/>
          <w:sz w:val="24"/>
          <w:highlight w:val="none"/>
          <w:lang w:eastAsia="zh-CN"/>
        </w:rPr>
        <w:t>供应商</w:t>
      </w:r>
      <w:r>
        <w:rPr>
          <w:rFonts w:ascii="宋体" w:hAnsi="宋体"/>
          <w:color w:val="auto"/>
          <w:sz w:val="24"/>
          <w:highlight w:val="none"/>
        </w:rPr>
        <w:t>的价格。</w:t>
      </w:r>
    </w:p>
    <w:p w14:paraId="1FA88D4F">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lang w:eastAsia="zh-CN"/>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2041E26C">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lang w:eastAsia="zh-CN"/>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1A981118">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hint="eastAsia" w:ascii="宋体" w:hAnsi="宋体"/>
          <w:color w:val="auto"/>
          <w:sz w:val="24"/>
          <w:highlight w:val="none"/>
          <w:lang w:eastAsia="zh-CN"/>
        </w:rPr>
        <w:t>供应商</w:t>
      </w:r>
      <w:r>
        <w:rPr>
          <w:rFonts w:hint="eastAsia" w:ascii="宋体" w:hAnsi="宋体"/>
          <w:color w:val="auto"/>
          <w:sz w:val="24"/>
          <w:highlight w:val="none"/>
        </w:rPr>
        <w:t>；两个以上的自然人、法人或者其他组织组成一个联合体，以一个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的身份共同参加政府采购的，联合体各方均应为乙方或者与乙方相同地位的合同当事人，并就合同约定的事项对甲方承担连带责任。</w:t>
      </w:r>
    </w:p>
    <w:p w14:paraId="56D4809C">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3156D809">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2.2 技术规范</w:t>
      </w:r>
    </w:p>
    <w:p w14:paraId="6BAA924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09BBADA7">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2.3 知识产权</w:t>
      </w:r>
    </w:p>
    <w:p w14:paraId="0001A82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5A9B9FE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1F523750">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3020C9F6">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74F0AA4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4FC20DD6">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2.5 结算方式和付款条件</w:t>
      </w:r>
    </w:p>
    <w:p w14:paraId="629997B1">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395D500C">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2.6 技术资料和保密义务</w:t>
      </w:r>
    </w:p>
    <w:p w14:paraId="4BD4A1AB">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374AF7A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520AEBE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0807CB0B">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2.7 </w:t>
      </w:r>
      <w:r>
        <w:rPr>
          <w:rFonts w:hint="eastAsia" w:ascii="宋体" w:hAnsi="宋体"/>
          <w:b/>
          <w:color w:val="auto"/>
          <w:sz w:val="24"/>
          <w:highlight w:val="none"/>
        </w:rPr>
        <w:t>质量保证</w:t>
      </w:r>
    </w:p>
    <w:p w14:paraId="2E05103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134C79D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77EB98E7">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2.8 </w:t>
      </w:r>
      <w:r>
        <w:rPr>
          <w:rFonts w:hint="eastAsia" w:ascii="宋体" w:hAnsi="宋体"/>
          <w:b/>
          <w:color w:val="auto"/>
          <w:sz w:val="24"/>
          <w:highlight w:val="none"/>
        </w:rPr>
        <w:t>延迟履行</w:t>
      </w:r>
    </w:p>
    <w:p w14:paraId="2455C7A9">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09D96E0C">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2.9 </w:t>
      </w:r>
      <w:r>
        <w:rPr>
          <w:rFonts w:hint="eastAsia" w:ascii="宋体" w:hAnsi="宋体"/>
          <w:b/>
          <w:color w:val="auto"/>
          <w:sz w:val="24"/>
          <w:highlight w:val="none"/>
        </w:rPr>
        <w:t>合同变更</w:t>
      </w:r>
    </w:p>
    <w:p w14:paraId="755F790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6AB3FEDA">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2.10 合同转让和分包</w:t>
      </w:r>
    </w:p>
    <w:p w14:paraId="1644D946">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书面同意，乙方可以依法采取分包方式履行合同，即：依法可以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w:t>
      </w:r>
      <w:r>
        <w:rPr>
          <w:rFonts w:hint="eastAsia" w:ascii="宋体" w:hAnsi="宋体"/>
          <w:color w:val="auto"/>
          <w:sz w:val="24"/>
          <w:highlight w:val="none"/>
          <w:lang w:eastAsia="zh-CN"/>
        </w:rPr>
        <w:t>供应商</w:t>
      </w:r>
      <w:r>
        <w:rPr>
          <w:rFonts w:hint="eastAsia" w:ascii="宋体" w:hAnsi="宋体"/>
          <w:color w:val="auto"/>
          <w:sz w:val="24"/>
          <w:highlight w:val="none"/>
        </w:rPr>
        <w:t>就分包项目向甲方承担连带责任。</w:t>
      </w:r>
    </w:p>
    <w:p w14:paraId="6A50115E">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2.11 不可抗力</w:t>
      </w:r>
    </w:p>
    <w:p w14:paraId="1CB7332B">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3B32C14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252E882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052A3090">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3E95C979">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2.12 税费</w:t>
      </w:r>
    </w:p>
    <w:p w14:paraId="135EF389">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3CB19AAC">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2.13 乙方破产</w:t>
      </w:r>
    </w:p>
    <w:p w14:paraId="04879267">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60082BB1">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2.14 合同中止、终止</w:t>
      </w:r>
    </w:p>
    <w:p w14:paraId="348120E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58D93F6C">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216300D5">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2.15 检验和验收</w:t>
      </w:r>
    </w:p>
    <w:p w14:paraId="6E23A2C0">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68278281">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EC67849">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2F01782A">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2.16 通知和送达</w:t>
      </w:r>
    </w:p>
    <w:p w14:paraId="666BAF75">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4C37114A">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6</w:t>
      </w:r>
      <w:r>
        <w:rPr>
          <w:rFonts w:ascii="宋体" w:hAnsi="宋体"/>
          <w:color w:val="auto"/>
          <w:sz w:val="24"/>
          <w:highlight w:val="none"/>
        </w:rPr>
        <w:t>.2以当面交付方式送达的，交付之时视为送达；以电子邮件方式送达的，发出电子邮件之时视为送达；以传真方式送达的，发出传真之时视为送达；以邮寄方式送达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p>
    <w:p w14:paraId="779F3266">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p>
    <w:p w14:paraId="315D7030">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68A5A21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35488FEB">
      <w:pPr>
        <w:spacing w:line="560" w:lineRule="exact"/>
        <w:ind w:firstLine="482" w:firstLineChars="200"/>
        <w:outlineLvl w:val="0"/>
        <w:rPr>
          <w:rFonts w:ascii="宋体" w:hAnsi="宋体" w:cs="宋体"/>
          <w:b/>
          <w:color w:val="auto"/>
          <w:sz w:val="24"/>
          <w:highlight w:val="none"/>
        </w:rPr>
      </w:pPr>
      <w:bookmarkStart w:id="420" w:name="_Toc4355"/>
      <w:bookmarkStart w:id="421" w:name="_Toc18540"/>
      <w:bookmarkStart w:id="422" w:name="_Toc30599"/>
      <w:r>
        <w:rPr>
          <w:rFonts w:hint="eastAsia" w:ascii="宋体" w:hAnsi="宋体" w:cs="宋体"/>
          <w:b/>
          <w:color w:val="auto"/>
          <w:sz w:val="24"/>
          <w:highlight w:val="none"/>
        </w:rPr>
        <w:t>2.18 计量单位</w:t>
      </w:r>
      <w:bookmarkEnd w:id="420"/>
      <w:bookmarkEnd w:id="421"/>
      <w:bookmarkEnd w:id="422"/>
    </w:p>
    <w:p w14:paraId="3BC607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371517DC">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3F4118AE">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3F5CA92C">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 xml:space="preserve"> 第三部分  合同专用条款</w:t>
      </w:r>
    </w:p>
    <w:p w14:paraId="60D2CE48">
      <w:pPr>
        <w:spacing w:line="560" w:lineRule="exact"/>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6E0D8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12407D12">
            <w:pPr>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4F0AD801">
            <w:pPr>
              <w:spacing w:line="288"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5F59C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535" w:type="pct"/>
            <w:tcBorders>
              <w:left w:val="single" w:color="auto" w:sz="4" w:space="0"/>
            </w:tcBorders>
            <w:vAlign w:val="center"/>
          </w:tcPr>
          <w:p w14:paraId="1924ADE6">
            <w:pPr>
              <w:spacing w:line="288" w:lineRule="auto"/>
              <w:rPr>
                <w:rFonts w:ascii="宋体" w:hAnsi="宋体" w:cs="宋体"/>
                <w:b/>
                <w:color w:val="auto"/>
                <w:sz w:val="24"/>
                <w:highlight w:val="none"/>
              </w:rPr>
            </w:pPr>
            <w:r>
              <w:rPr>
                <w:rFonts w:hint="eastAsia" w:ascii="宋体" w:hAnsi="宋体" w:cs="宋体"/>
                <w:bCs/>
                <w:color w:val="auto"/>
                <w:sz w:val="24"/>
                <w:highlight w:val="none"/>
              </w:rPr>
              <w:t>1.3</w:t>
            </w:r>
          </w:p>
        </w:tc>
        <w:tc>
          <w:tcPr>
            <w:tcW w:w="4464" w:type="pct"/>
            <w:vAlign w:val="center"/>
          </w:tcPr>
          <w:p w14:paraId="2F2FFF16">
            <w:pPr>
              <w:spacing w:line="288" w:lineRule="auto"/>
              <w:rPr>
                <w:rFonts w:hint="eastAsia" w:ascii="宋体" w:hAnsi="宋体" w:eastAsia="宋体" w:cs="宋体"/>
                <w:b/>
                <w:color w:val="auto"/>
                <w:sz w:val="24"/>
                <w:highlight w:val="none"/>
                <w:lang w:val="en-US" w:eastAsia="zh-CN"/>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1.3.</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条款规定的计价方式计价</w:t>
            </w:r>
            <w:r>
              <w:rPr>
                <w:rFonts w:hint="eastAsia" w:ascii="宋体" w:hAnsi="宋体" w:eastAsia="宋体" w:cs="宋体"/>
                <w:color w:val="auto"/>
                <w:sz w:val="24"/>
                <w:highlight w:val="none"/>
                <w:lang w:val="en-US" w:eastAsia="zh-CN"/>
              </w:rPr>
              <w:t>。</w:t>
            </w:r>
          </w:p>
        </w:tc>
      </w:tr>
      <w:tr w14:paraId="07AF4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1525260">
            <w:pPr>
              <w:spacing w:line="288"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1E2EE260">
            <w:pPr>
              <w:spacing w:line="288" w:lineRule="auto"/>
              <w:rPr>
                <w:rFonts w:ascii="宋体" w:hAnsi="宋体" w:cs="宋体"/>
                <w:color w:val="auto"/>
                <w:sz w:val="24"/>
                <w:highlight w:val="none"/>
              </w:rPr>
            </w:pPr>
            <w:r>
              <w:rPr>
                <w:rFonts w:hint="eastAsia" w:ascii="宋体" w:hAnsi="宋体" w:cs="宋体"/>
                <w:color w:val="auto"/>
                <w:sz w:val="24"/>
                <w:highlight w:val="none"/>
              </w:rPr>
              <w:t>/</w:t>
            </w:r>
          </w:p>
        </w:tc>
      </w:tr>
      <w:tr w14:paraId="7C146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D85095">
            <w:pPr>
              <w:spacing w:line="288" w:lineRule="auto"/>
              <w:rPr>
                <w:rFonts w:ascii="宋体" w:hAnsi="宋体" w:cs="宋体"/>
                <w:color w:val="auto"/>
                <w:sz w:val="24"/>
                <w:highlight w:val="none"/>
              </w:rPr>
            </w:pPr>
            <w:r>
              <w:rPr>
                <w:rFonts w:hint="eastAsia" w:ascii="宋体" w:hAnsi="宋体" w:cs="宋体"/>
                <w:color w:val="auto"/>
                <w:sz w:val="24"/>
                <w:highlight w:val="none"/>
              </w:rPr>
              <w:t>1.3.3</w:t>
            </w:r>
          </w:p>
        </w:tc>
        <w:tc>
          <w:tcPr>
            <w:tcW w:w="4464" w:type="pct"/>
            <w:vAlign w:val="center"/>
          </w:tcPr>
          <w:p w14:paraId="5AD15E62">
            <w:pPr>
              <w:spacing w:line="288"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4FFDA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57BAEAC">
            <w:pPr>
              <w:spacing w:line="288" w:lineRule="auto"/>
              <w:rPr>
                <w:rFonts w:ascii="宋体" w:hAnsi="宋体" w:cs="宋体"/>
                <w:color w:val="auto"/>
                <w:sz w:val="24"/>
                <w:highlight w:val="none"/>
              </w:rPr>
            </w:pPr>
            <w:r>
              <w:rPr>
                <w:rFonts w:hint="eastAsia" w:ascii="宋体" w:hAnsi="宋体" w:cs="宋体"/>
                <w:color w:val="auto"/>
                <w:sz w:val="24"/>
                <w:highlight w:val="none"/>
              </w:rPr>
              <w:t>1.4</w:t>
            </w:r>
          </w:p>
        </w:tc>
        <w:tc>
          <w:tcPr>
            <w:tcW w:w="4464" w:type="pct"/>
            <w:vAlign w:val="center"/>
          </w:tcPr>
          <w:p w14:paraId="64E8BF3E">
            <w:pPr>
              <w:spacing w:line="288" w:lineRule="auto"/>
              <w:rPr>
                <w:rFonts w:ascii="宋体" w:hAnsi="宋体" w:cs="宋体"/>
                <w:color w:val="auto"/>
                <w:sz w:val="24"/>
                <w:highlight w:val="none"/>
              </w:rPr>
            </w:pPr>
            <w:r>
              <w:rPr>
                <w:rFonts w:hint="eastAsia"/>
                <w:color w:val="auto"/>
                <w:sz w:val="24"/>
                <w:highlight w:val="none"/>
              </w:rPr>
              <w:t>乙方</w:t>
            </w:r>
            <w:r>
              <w:rPr>
                <w:color w:val="auto"/>
                <w:sz w:val="24"/>
                <w:highlight w:val="none"/>
                <w:u w:val="single"/>
              </w:rPr>
              <w:t xml:space="preserve">  </w:t>
            </w:r>
            <w:r>
              <w:rPr>
                <w:rFonts w:hint="eastAsia"/>
                <w:color w:val="auto"/>
                <w:sz w:val="24"/>
                <w:highlight w:val="none"/>
                <w:u w:val="single"/>
                <w:lang w:val="en-US" w:eastAsia="zh-CN"/>
              </w:rPr>
              <w:t>否</w:t>
            </w:r>
            <w:r>
              <w:rPr>
                <w:color w:val="auto"/>
                <w:sz w:val="24"/>
                <w:highlight w:val="none"/>
                <w:u w:val="single"/>
              </w:rPr>
              <w:t xml:space="preserve">  </w:t>
            </w:r>
            <w:r>
              <w:rPr>
                <w:rFonts w:hint="eastAsia"/>
                <w:color w:val="auto"/>
                <w:sz w:val="24"/>
                <w:highlight w:val="none"/>
              </w:rPr>
              <w:t>（是</w:t>
            </w:r>
            <w:r>
              <w:rPr>
                <w:rFonts w:ascii="仿宋" w:hAnsi="仿宋" w:eastAsia="仿宋" w:cs="仿宋"/>
                <w:color w:val="auto"/>
                <w:sz w:val="24"/>
                <w:highlight w:val="none"/>
              </w:rPr>
              <w:t>/</w:t>
            </w:r>
            <w:r>
              <w:rPr>
                <w:rFonts w:hint="eastAsia"/>
                <w:color w:val="auto"/>
                <w:sz w:val="24"/>
                <w:highlight w:val="none"/>
              </w:rPr>
              <w:t>否）需要支付履约保证金。</w:t>
            </w:r>
          </w:p>
        </w:tc>
      </w:tr>
      <w:tr w14:paraId="73038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15B4B8">
            <w:pPr>
              <w:spacing w:line="288" w:lineRule="auto"/>
              <w:rPr>
                <w:rFonts w:ascii="宋体" w:hAnsi="宋体" w:cs="宋体"/>
                <w:color w:val="auto"/>
                <w:sz w:val="24"/>
                <w:highlight w:val="none"/>
              </w:rPr>
            </w:pPr>
            <w:r>
              <w:rPr>
                <w:rFonts w:hint="eastAsia" w:ascii="宋体" w:hAnsi="宋体" w:cs="宋体"/>
                <w:color w:val="auto"/>
                <w:sz w:val="24"/>
                <w:highlight w:val="none"/>
              </w:rPr>
              <w:t>1.4.1</w:t>
            </w:r>
          </w:p>
        </w:tc>
        <w:tc>
          <w:tcPr>
            <w:tcW w:w="4464" w:type="pct"/>
            <w:vAlign w:val="center"/>
          </w:tcPr>
          <w:p w14:paraId="48C2C4C5">
            <w:pPr>
              <w:spacing w:line="288" w:lineRule="auto"/>
              <w:rPr>
                <w:color w:val="auto"/>
                <w:sz w:val="24"/>
                <w:highlight w:val="none"/>
              </w:rPr>
            </w:pPr>
            <w:r>
              <w:rPr>
                <w:rFonts w:hint="eastAsia" w:ascii="宋体" w:hAnsi="宋体" w:cs="宋体"/>
                <w:color w:val="auto"/>
                <w:kern w:val="0"/>
                <w:sz w:val="24"/>
                <w:highlight w:val="none"/>
              </w:rPr>
              <w:t>履约保证金的比例为合同金额的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w:t>
            </w:r>
          </w:p>
        </w:tc>
      </w:tr>
      <w:tr w14:paraId="20D71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B0D4A9">
            <w:pPr>
              <w:spacing w:line="288"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1CDB36EE">
            <w:pPr>
              <w:spacing w:line="288"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履约保证金支付方式:</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p>
        </w:tc>
      </w:tr>
      <w:tr w14:paraId="3D569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5F2F0AC">
            <w:pPr>
              <w:spacing w:line="288" w:lineRule="auto"/>
              <w:rPr>
                <w:rFonts w:ascii="宋体" w:hAnsi="宋体" w:cs="宋体"/>
                <w:color w:val="auto"/>
                <w:sz w:val="24"/>
                <w:highlight w:val="none"/>
              </w:rPr>
            </w:pPr>
            <w:r>
              <w:rPr>
                <w:rFonts w:hint="eastAsia" w:ascii="宋体" w:hAnsi="宋体" w:cs="宋体"/>
                <w:color w:val="auto"/>
                <w:sz w:val="24"/>
                <w:highlight w:val="none"/>
              </w:rPr>
              <w:t>1.5</w:t>
            </w:r>
          </w:p>
        </w:tc>
        <w:tc>
          <w:tcPr>
            <w:tcW w:w="4464" w:type="pct"/>
            <w:vAlign w:val="center"/>
          </w:tcPr>
          <w:p w14:paraId="0407E130">
            <w:pPr>
              <w:spacing w:line="288"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是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14:paraId="5EC41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D947671">
            <w:pPr>
              <w:spacing w:line="288"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0390A2D9">
            <w:pPr>
              <w:spacing w:line="288"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第一期款支付：合同签订生效后，</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eastAsia="zh-CN"/>
              </w:rPr>
              <w:t>启动运维服务，</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lang w:eastAsia="zh-CN"/>
              </w:rPr>
              <w:t>具备支付条件后，</w:t>
            </w:r>
            <w:r>
              <w:rPr>
                <w:rFonts w:hint="eastAsia" w:ascii="宋体" w:hAnsi="宋体" w:cs="宋体"/>
                <w:color w:val="auto"/>
                <w:sz w:val="24"/>
                <w:highlight w:val="none"/>
                <w:lang w:val="en-US" w:eastAsia="zh-CN"/>
              </w:rPr>
              <w:t>支付</w:t>
            </w:r>
            <w:r>
              <w:rPr>
                <w:rFonts w:hint="eastAsia" w:ascii="宋体" w:hAnsi="宋体" w:eastAsia="宋体" w:cs="宋体"/>
                <w:color w:val="auto"/>
                <w:sz w:val="24"/>
                <w:highlight w:val="none"/>
                <w:lang w:eastAsia="zh-CN"/>
              </w:rPr>
              <w:t>项目合同额的</w:t>
            </w:r>
            <w:r>
              <w:rPr>
                <w:rFonts w:hint="eastAsia" w:ascii="宋体" w:hAnsi="宋体" w:cs="宋体"/>
                <w:color w:val="auto"/>
                <w:sz w:val="24"/>
                <w:highlight w:val="none"/>
                <w:lang w:val="en-US" w:eastAsia="zh-CN"/>
              </w:rPr>
              <w:t>40</w:t>
            </w:r>
            <w:r>
              <w:rPr>
                <w:rFonts w:hint="eastAsia" w:ascii="宋体" w:hAnsi="宋体" w:eastAsia="宋体" w:cs="宋体"/>
                <w:color w:val="auto"/>
                <w:sz w:val="24"/>
                <w:highlight w:val="none"/>
                <w:lang w:eastAsia="zh-CN"/>
              </w:rPr>
              <w:t>%款项；</w:t>
            </w:r>
          </w:p>
        </w:tc>
      </w:tr>
      <w:tr w14:paraId="0524D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2DF93CC">
            <w:pPr>
              <w:spacing w:line="288"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7635B31A">
            <w:pPr>
              <w:spacing w:line="288"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w:t>
            </w:r>
          </w:p>
        </w:tc>
      </w:tr>
      <w:tr w14:paraId="57462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23BC935">
            <w:pPr>
              <w:spacing w:line="288"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7AA2EC0A">
            <w:pPr>
              <w:spacing w:line="288" w:lineRule="auto"/>
              <w:rPr>
                <w:rFonts w:ascii="宋体" w:hAnsi="宋体" w:cs="宋体"/>
                <w:color w:val="auto"/>
                <w:sz w:val="24"/>
                <w:highlight w:val="none"/>
              </w:rPr>
            </w:pPr>
            <w:r>
              <w:rPr>
                <w:rFonts w:hint="eastAsia" w:ascii="宋体" w:hAnsi="宋体" w:cs="宋体"/>
                <w:color w:val="auto"/>
                <w:sz w:val="24"/>
                <w:highlight w:val="none"/>
                <w:lang w:val="en-US" w:eastAsia="zh-CN"/>
              </w:rPr>
              <w:t>乙方在甲方支付预付款时</w:t>
            </w:r>
            <w:r>
              <w:rPr>
                <w:rFonts w:hint="eastAsia" w:ascii="宋体" w:hAnsi="宋体" w:eastAsia="宋体" w:cs="宋体"/>
                <w:color w:val="auto"/>
                <w:sz w:val="24"/>
                <w:highlight w:val="none"/>
                <w:lang w:eastAsia="zh-CN"/>
              </w:rPr>
              <w:t>需提供预付款保函或者其他担保措施；</w:t>
            </w:r>
          </w:p>
        </w:tc>
      </w:tr>
      <w:tr w14:paraId="31BFD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9CBF103">
            <w:pPr>
              <w:spacing w:line="288"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021B58C3">
            <w:pPr>
              <w:spacing w:line="288"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第二期款支付：2026年9月底前，乙方服务项目通过甲方阶段考核后，甲方具备支付条件后，支付合同总额的30%(2026年度的支付金额不超过当年预算金额)；</w:t>
            </w:r>
          </w:p>
          <w:p w14:paraId="5E2938BD">
            <w:pPr>
              <w:spacing w:line="288"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第三期款支付：通过验收后，甲方具备支付条件后，支付剩余合同额。</w:t>
            </w:r>
          </w:p>
          <w:p w14:paraId="3AAA61E3">
            <w:pPr>
              <w:spacing w:line="288"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各期实际金额应根据合同相应条款扣除款项后按实结算。合同最终支付金额以财政拨付为准。</w:t>
            </w:r>
          </w:p>
        </w:tc>
      </w:tr>
      <w:tr w14:paraId="24AB5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8CE5623">
            <w:pPr>
              <w:spacing w:line="288"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shd w:val="clear" w:color="auto" w:fill="auto"/>
            <w:vAlign w:val="center"/>
          </w:tcPr>
          <w:p w14:paraId="0ECB348A">
            <w:pPr>
              <w:snapToGrid w:val="0"/>
              <w:spacing w:line="288"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服务交付（实施）的时间（期限）：服务期限为1年，</w:t>
            </w:r>
            <w:r>
              <w:rPr>
                <w:rFonts w:hint="eastAsia" w:ascii="宋体" w:hAnsi="宋体" w:cs="宋体"/>
                <w:color w:val="auto"/>
                <w:sz w:val="24"/>
                <w:highlight w:val="none"/>
                <w:lang w:eastAsia="zh-CN"/>
              </w:rPr>
              <w:t>自2026年6月1日—2027年5月31日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p>
        </w:tc>
      </w:tr>
      <w:tr w14:paraId="2BAB2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B748E01">
            <w:pPr>
              <w:spacing w:line="288"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shd w:val="clear" w:color="auto" w:fill="auto"/>
            <w:vAlign w:val="center"/>
          </w:tcPr>
          <w:p w14:paraId="2178A052">
            <w:pPr>
              <w:snapToGrid w:val="0"/>
              <w:spacing w:line="288" w:lineRule="auto"/>
              <w:rPr>
                <w:rFonts w:ascii="宋体" w:hAnsi="宋体" w:cs="宋体"/>
                <w:color w:val="auto"/>
                <w:sz w:val="24"/>
                <w:highlight w:val="none"/>
              </w:rPr>
            </w:pPr>
            <w:r>
              <w:rPr>
                <w:rFonts w:hint="eastAsia" w:ascii="宋体" w:hAnsi="宋体" w:cs="宋体"/>
                <w:color w:val="auto"/>
                <w:sz w:val="24"/>
                <w:highlight w:val="none"/>
              </w:rPr>
              <w:t>服务交付（实施）的地点（地域范围）：甲方指定地点</w:t>
            </w:r>
          </w:p>
        </w:tc>
      </w:tr>
      <w:tr w14:paraId="37876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054B6F1">
            <w:pPr>
              <w:spacing w:line="288"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shd w:val="clear" w:color="auto" w:fill="auto"/>
            <w:vAlign w:val="center"/>
          </w:tcPr>
          <w:p w14:paraId="2CFB15FE">
            <w:pPr>
              <w:spacing w:line="288" w:lineRule="auto"/>
              <w:rPr>
                <w:rFonts w:ascii="宋体" w:hAnsi="宋体" w:cs="宋体"/>
                <w:color w:val="auto"/>
                <w:sz w:val="24"/>
                <w:highlight w:val="none"/>
              </w:rPr>
            </w:pPr>
            <w:r>
              <w:rPr>
                <w:rFonts w:hint="eastAsia" w:ascii="宋体" w:hAnsi="宋体" w:cs="宋体"/>
                <w:color w:val="auto"/>
                <w:sz w:val="24"/>
                <w:highlight w:val="none"/>
              </w:rPr>
              <w:t>服务交付（实施）的方式：详见采购需求</w:t>
            </w:r>
          </w:p>
        </w:tc>
      </w:tr>
      <w:tr w14:paraId="5272B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1927B83">
            <w:pPr>
              <w:spacing w:line="288"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4B99482D">
            <w:pPr>
              <w:spacing w:line="288" w:lineRule="auto"/>
              <w:rPr>
                <w:rFonts w:ascii="宋体" w:hAnsi="宋体" w:cs="宋体"/>
                <w:color w:val="auto"/>
                <w:sz w:val="24"/>
                <w:highlight w:val="none"/>
              </w:rPr>
            </w:pPr>
            <w:r>
              <w:rPr>
                <w:rFonts w:hint="eastAsia" w:ascii="宋体" w:hAnsi="宋体" w:cs="宋体"/>
                <w:color w:val="auto"/>
                <w:sz w:val="24"/>
                <w:highlight w:val="none"/>
              </w:rPr>
              <w:t>/</w:t>
            </w:r>
          </w:p>
        </w:tc>
      </w:tr>
      <w:tr w14:paraId="14A03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AE49D6">
            <w:pPr>
              <w:spacing w:line="288"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3753603F">
            <w:pPr>
              <w:spacing w:line="288" w:lineRule="auto"/>
              <w:rPr>
                <w:rFonts w:ascii="宋体" w:hAnsi="宋体" w:cs="宋体"/>
                <w:color w:val="auto"/>
                <w:sz w:val="24"/>
                <w:highlight w:val="none"/>
              </w:rPr>
            </w:pPr>
            <w:r>
              <w:rPr>
                <w:rFonts w:hint="eastAsia" w:ascii="宋体" w:hAnsi="宋体" w:cs="宋体"/>
                <w:color w:val="auto"/>
                <w:sz w:val="24"/>
                <w:highlight w:val="none"/>
              </w:rPr>
              <w:t>/</w:t>
            </w:r>
          </w:p>
        </w:tc>
      </w:tr>
      <w:tr w14:paraId="0DE7C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8" w:hRule="atLeast"/>
        </w:trPr>
        <w:tc>
          <w:tcPr>
            <w:tcW w:w="535" w:type="pct"/>
            <w:tcBorders>
              <w:left w:val="single" w:color="auto" w:sz="4" w:space="0"/>
            </w:tcBorders>
            <w:vAlign w:val="center"/>
          </w:tcPr>
          <w:p w14:paraId="60AAC6B2">
            <w:pPr>
              <w:spacing w:line="288"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12958A4F">
            <w:pPr>
              <w:spacing w:line="288" w:lineRule="auto"/>
              <w:rPr>
                <w:rFonts w:ascii="宋体" w:hAnsi="宋体" w:cs="宋体"/>
                <w:color w:val="auto"/>
                <w:sz w:val="24"/>
                <w:highlight w:val="none"/>
              </w:rPr>
            </w:pPr>
            <w:r>
              <w:rPr>
                <w:rFonts w:hint="eastAsia" w:ascii="宋体" w:hAnsi="宋体" w:cs="宋体"/>
                <w:color w:val="auto"/>
                <w:sz w:val="24"/>
                <w:highlight w:val="none"/>
              </w:rPr>
              <w:t>/</w:t>
            </w:r>
          </w:p>
        </w:tc>
      </w:tr>
      <w:tr w14:paraId="3B781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F79A158">
            <w:pPr>
              <w:spacing w:line="288"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6FF94F04">
            <w:pPr>
              <w:spacing w:line="360" w:lineRule="exact"/>
              <w:rPr>
                <w:rFonts w:ascii="宋体" w:hAnsi="宋体" w:cs="宋体"/>
                <w:color w:val="auto"/>
                <w:sz w:val="24"/>
                <w:highlight w:val="none"/>
              </w:rPr>
            </w:pPr>
            <w:r>
              <w:rPr>
                <w:rFonts w:hint="eastAsia" w:ascii="宋体" w:hAnsi="宋体" w:cs="宋体"/>
                <w:color w:val="auto"/>
                <w:sz w:val="24"/>
                <w:highlight w:val="none"/>
              </w:rPr>
              <w:t>1、甲方违约责任</w:t>
            </w:r>
          </w:p>
          <w:p w14:paraId="259C48BD">
            <w:pPr>
              <w:spacing w:line="360" w:lineRule="exact"/>
              <w:rPr>
                <w:rFonts w:ascii="宋体" w:hAnsi="宋体" w:cs="宋体"/>
                <w:color w:val="auto"/>
                <w:sz w:val="24"/>
                <w:highlight w:val="none"/>
              </w:rPr>
            </w:pPr>
            <w:r>
              <w:rPr>
                <w:rFonts w:hint="eastAsia" w:ascii="宋体" w:hAnsi="宋体" w:cs="宋体"/>
                <w:color w:val="auto"/>
                <w:sz w:val="24"/>
                <w:highlight w:val="none"/>
              </w:rPr>
              <w:t>（1）甲方应当履行合同约定的义务，如有违反，甲方须承担相应的违约责任。</w:t>
            </w:r>
          </w:p>
          <w:p w14:paraId="25570339">
            <w:pPr>
              <w:spacing w:line="360" w:lineRule="exact"/>
              <w:rPr>
                <w:rFonts w:ascii="宋体" w:hAnsi="宋体" w:cs="宋体"/>
                <w:color w:val="auto"/>
                <w:sz w:val="24"/>
                <w:highlight w:val="none"/>
              </w:rPr>
            </w:pPr>
            <w:r>
              <w:rPr>
                <w:rFonts w:hint="eastAsia" w:ascii="宋体" w:hAnsi="宋体" w:cs="宋体"/>
                <w:color w:val="auto"/>
                <w:sz w:val="24"/>
                <w:highlight w:val="none"/>
              </w:rPr>
              <w:t>2、乙方的违约责任：</w:t>
            </w:r>
          </w:p>
          <w:p w14:paraId="797B92CA">
            <w:pPr>
              <w:spacing w:line="360" w:lineRule="exact"/>
              <w:rPr>
                <w:rFonts w:ascii="宋体" w:hAnsi="宋体" w:cs="宋体"/>
                <w:color w:val="auto"/>
                <w:sz w:val="24"/>
                <w:highlight w:val="none"/>
              </w:rPr>
            </w:pPr>
            <w:r>
              <w:rPr>
                <w:rFonts w:hint="eastAsia" w:ascii="宋体" w:hAnsi="宋体" w:cs="宋体"/>
                <w:color w:val="auto"/>
                <w:sz w:val="24"/>
                <w:highlight w:val="none"/>
              </w:rPr>
              <w:t>（1）乙方逾期提供服务或未按要求提供服务的应向甲方支付每日/每次2000元的违约金。同时并不免除继续履行合同的义务。</w:t>
            </w:r>
          </w:p>
          <w:p w14:paraId="445BDB61">
            <w:pPr>
              <w:spacing w:line="360" w:lineRule="exact"/>
              <w:rPr>
                <w:rFonts w:ascii="宋体" w:hAnsi="宋体" w:cs="宋体"/>
                <w:color w:val="auto"/>
                <w:sz w:val="24"/>
                <w:highlight w:val="none"/>
              </w:rPr>
            </w:pPr>
            <w:r>
              <w:rPr>
                <w:rFonts w:hint="eastAsia" w:ascii="宋体" w:hAnsi="宋体" w:cs="宋体"/>
                <w:color w:val="auto"/>
                <w:sz w:val="24"/>
                <w:highlight w:val="none"/>
              </w:rPr>
              <w:t>（2）乙方未按要求</w:t>
            </w:r>
            <w:r>
              <w:rPr>
                <w:rFonts w:hint="eastAsia" w:ascii="宋体" w:hAnsi="宋体" w:cs="宋体"/>
                <w:color w:val="auto"/>
                <w:sz w:val="24"/>
                <w:highlight w:val="none"/>
                <w:lang w:val="en-US" w:eastAsia="zh-CN"/>
              </w:rPr>
              <w:t>拟派投入本项目的工作人员或未按要求对拟派的工作人员缴纳保险的，每发现一次，</w:t>
            </w:r>
            <w:r>
              <w:rPr>
                <w:rFonts w:hint="eastAsia" w:ascii="宋体" w:hAnsi="宋体" w:cs="宋体"/>
                <w:color w:val="auto"/>
                <w:sz w:val="24"/>
                <w:highlight w:val="none"/>
              </w:rPr>
              <w:t>应向甲方支付每次</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000元的违约金。</w:t>
            </w:r>
          </w:p>
          <w:p w14:paraId="58954200">
            <w:pPr>
              <w:spacing w:line="360" w:lineRule="exac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乙方所供服务与合同要求不符，甲方有权拒绝，收回预付款项，并按《中华人民共和国民法典》中的有关条款索赔，且赔偿额不受合同总价的限制。</w:t>
            </w:r>
          </w:p>
          <w:p w14:paraId="2E19743F">
            <w:pPr>
              <w:spacing w:line="360" w:lineRule="exac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）乙方不得将本合同的内容转包，如被甲方发现将追回已支付的合同款，因此造成的一切损失由乙方负责赔偿。</w:t>
            </w:r>
          </w:p>
          <w:p w14:paraId="540E3FF4">
            <w:pPr>
              <w:spacing w:line="360" w:lineRule="exact"/>
              <w:rPr>
                <w:rFonts w:hint="eastAsia"/>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）如果出现监督管理部门在处理投诉事项期间，书面通知甲方暂停采购活动的情形，或者询问或质疑事项可能影响成交结果的，导致甲方中止履行合同的情形，均不视为甲方违约。</w:t>
            </w:r>
          </w:p>
        </w:tc>
      </w:tr>
      <w:tr w14:paraId="4C7CB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9C818BA">
            <w:pPr>
              <w:spacing w:line="288" w:lineRule="auto"/>
              <w:rPr>
                <w:rFonts w:ascii="宋体" w:hAnsi="宋体" w:cs="宋体"/>
                <w:color w:val="auto"/>
                <w:sz w:val="24"/>
                <w:highlight w:val="none"/>
              </w:rPr>
            </w:pPr>
            <w:r>
              <w:rPr>
                <w:rFonts w:hint="eastAsia" w:ascii="宋体" w:hAnsi="宋体" w:cs="宋体"/>
                <w:color w:val="auto"/>
                <w:sz w:val="24"/>
                <w:highlight w:val="none"/>
              </w:rPr>
              <w:t>1.9</w:t>
            </w:r>
          </w:p>
        </w:tc>
        <w:tc>
          <w:tcPr>
            <w:tcW w:w="4464" w:type="pct"/>
            <w:shd w:val="clear" w:color="auto" w:fill="auto"/>
            <w:vAlign w:val="center"/>
          </w:tcPr>
          <w:p w14:paraId="5C693E02">
            <w:pPr>
              <w:spacing w:line="288" w:lineRule="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合同争议的解决：按照合同书“1.9.2”中的条款约定执行。</w:t>
            </w:r>
          </w:p>
        </w:tc>
      </w:tr>
      <w:tr w14:paraId="75AA0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005C51">
            <w:pPr>
              <w:spacing w:line="288"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shd w:val="clear" w:color="auto" w:fill="auto"/>
            <w:vAlign w:val="center"/>
          </w:tcPr>
          <w:p w14:paraId="13E28F8E">
            <w:pPr>
              <w:spacing w:line="288" w:lineRule="auto"/>
              <w:rPr>
                <w:rFonts w:ascii="宋体" w:hAnsi="宋体" w:cs="宋体"/>
                <w:color w:val="auto"/>
                <w:sz w:val="24"/>
                <w:highlight w:val="none"/>
              </w:rPr>
            </w:pPr>
            <w:r>
              <w:rPr>
                <w:rFonts w:hint="eastAsia" w:asciiTheme="majorEastAsia" w:hAnsiTheme="majorEastAsia" w:eastAsiaTheme="majorEastAsia" w:cstheme="majorEastAsia"/>
                <w:color w:val="auto"/>
                <w:sz w:val="24"/>
                <w:highlight w:val="none"/>
              </w:rPr>
              <w:t>/</w:t>
            </w:r>
          </w:p>
        </w:tc>
      </w:tr>
      <w:tr w14:paraId="5A148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99C565">
            <w:pPr>
              <w:spacing w:line="288"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shd w:val="clear" w:color="auto" w:fill="auto"/>
            <w:vAlign w:val="center"/>
          </w:tcPr>
          <w:p w14:paraId="2436818B">
            <w:pPr>
              <w:spacing w:line="288" w:lineRule="auto"/>
              <w:rPr>
                <w:rFonts w:ascii="宋体" w:hAnsi="宋体" w:cs="宋体"/>
                <w:color w:val="auto"/>
                <w:sz w:val="24"/>
                <w:highlight w:val="none"/>
              </w:rPr>
            </w:pPr>
            <w:r>
              <w:rPr>
                <w:rFonts w:hint="eastAsia" w:asciiTheme="majorEastAsia" w:hAnsiTheme="majorEastAsia" w:eastAsiaTheme="majorEastAsia" w:cstheme="majorEastAsia"/>
                <w:color w:val="auto"/>
                <w:sz w:val="24"/>
                <w:highlight w:val="none"/>
              </w:rPr>
              <w:t>起诉法院：向</w:t>
            </w:r>
            <w:r>
              <w:rPr>
                <w:rFonts w:hint="eastAsia" w:asciiTheme="majorEastAsia" w:hAnsiTheme="majorEastAsia" w:eastAsiaTheme="majorEastAsia" w:cstheme="majorEastAsia"/>
                <w:color w:val="auto"/>
                <w:sz w:val="24"/>
                <w:highlight w:val="none"/>
                <w:u w:val="single"/>
              </w:rPr>
              <w:t>甲方所在地</w:t>
            </w:r>
            <w:r>
              <w:rPr>
                <w:rFonts w:hint="eastAsia" w:asciiTheme="majorEastAsia" w:hAnsiTheme="majorEastAsia" w:eastAsiaTheme="majorEastAsia" w:cstheme="majorEastAsia"/>
                <w:color w:val="auto"/>
                <w:sz w:val="24"/>
                <w:highlight w:val="none"/>
              </w:rPr>
              <w:t>人民法院起诉；</w:t>
            </w:r>
          </w:p>
        </w:tc>
      </w:tr>
      <w:tr w14:paraId="3448F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F9CE626">
            <w:pPr>
              <w:spacing w:line="288"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shd w:val="clear" w:color="auto" w:fill="auto"/>
            <w:vAlign w:val="center"/>
          </w:tcPr>
          <w:p w14:paraId="21361ED1">
            <w:pPr>
              <w:spacing w:line="288" w:lineRule="auto"/>
              <w:ind w:left="-420" w:leftChars="-200" w:right="-420" w:rightChars="-200" w:firstLine="480" w:firstLineChars="200"/>
              <w:rPr>
                <w:rFonts w:ascii="宋体" w:hAnsi="宋体" w:cs="宋体"/>
                <w:color w:val="auto"/>
                <w:sz w:val="24"/>
                <w:highlight w:val="none"/>
              </w:rPr>
            </w:pPr>
            <w:r>
              <w:rPr>
                <w:rFonts w:hint="eastAsia" w:asciiTheme="majorEastAsia" w:hAnsiTheme="majorEastAsia" w:eastAsiaTheme="majorEastAsia" w:cstheme="majorEastAsia"/>
                <w:color w:val="auto"/>
                <w:sz w:val="24"/>
                <w:highlight w:val="none"/>
              </w:rPr>
              <w:t>/</w:t>
            </w:r>
          </w:p>
        </w:tc>
      </w:tr>
      <w:tr w14:paraId="4A4AA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E530AE1">
            <w:pPr>
              <w:spacing w:line="288"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shd w:val="clear" w:color="auto" w:fill="auto"/>
            <w:vAlign w:val="center"/>
          </w:tcPr>
          <w:p w14:paraId="02D541D1">
            <w:pPr>
              <w:spacing w:line="288"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同1.6.2</w:t>
            </w:r>
          </w:p>
        </w:tc>
      </w:tr>
      <w:tr w14:paraId="46C29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DFFC72D">
            <w:pPr>
              <w:spacing w:line="288"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shd w:val="clear" w:color="auto" w:fill="auto"/>
            <w:vAlign w:val="center"/>
          </w:tcPr>
          <w:p w14:paraId="4888E4E9">
            <w:pPr>
              <w:spacing w:line="288" w:lineRule="auto"/>
              <w:rPr>
                <w:rFonts w:ascii="宋体" w:hAnsi="宋体" w:cs="宋体"/>
                <w:color w:val="auto"/>
                <w:sz w:val="24"/>
                <w:highlight w:val="none"/>
              </w:rPr>
            </w:pPr>
            <w:r>
              <w:rPr>
                <w:rFonts w:hint="eastAsia" w:ascii="宋体" w:hAnsi="宋体"/>
                <w:color w:val="auto"/>
                <w:sz w:val="24"/>
                <w:highlight w:val="none"/>
              </w:rPr>
              <w:t>不可抗力时间发生后</w:t>
            </w:r>
            <w:r>
              <w:rPr>
                <w:rFonts w:hint="eastAsia" w:asciiTheme="majorEastAsia" w:hAnsiTheme="majorEastAsia" w:eastAsiaTheme="majorEastAsia" w:cstheme="majorEastAsia"/>
                <w:color w:val="auto"/>
                <w:sz w:val="24"/>
                <w:highlight w:val="none"/>
              </w:rPr>
              <w:t>：3日。</w:t>
            </w:r>
          </w:p>
        </w:tc>
      </w:tr>
      <w:tr w14:paraId="01F17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322CE10C">
            <w:pPr>
              <w:spacing w:line="288"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shd w:val="clear" w:color="auto" w:fill="auto"/>
          </w:tcPr>
          <w:p w14:paraId="7EC26033">
            <w:pPr>
              <w:spacing w:line="288" w:lineRule="auto"/>
              <w:rPr>
                <w:rFonts w:ascii="宋体" w:hAnsi="宋体" w:cs="宋体"/>
                <w:color w:val="auto"/>
                <w:sz w:val="24"/>
                <w:highlight w:val="none"/>
              </w:rPr>
            </w:pPr>
            <w:r>
              <w:rPr>
                <w:rFonts w:hint="eastAsia" w:ascii="宋体" w:hAnsi="宋体"/>
                <w:color w:val="auto"/>
                <w:sz w:val="24"/>
                <w:highlight w:val="none"/>
              </w:rPr>
              <w:t>不可抗力时间发生后</w:t>
            </w:r>
            <w:r>
              <w:rPr>
                <w:rFonts w:hint="eastAsia" w:asciiTheme="majorEastAsia" w:hAnsiTheme="majorEastAsia" w:eastAsiaTheme="majorEastAsia" w:cstheme="majorEastAsia"/>
                <w:color w:val="auto"/>
                <w:sz w:val="24"/>
                <w:highlight w:val="none"/>
              </w:rPr>
              <w:t>：3日,5日。</w:t>
            </w:r>
          </w:p>
        </w:tc>
      </w:tr>
      <w:tr w14:paraId="5C877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6BD8B71">
            <w:pPr>
              <w:spacing w:line="288"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shd w:val="clear" w:color="auto" w:fill="auto"/>
            <w:vAlign w:val="center"/>
          </w:tcPr>
          <w:p w14:paraId="509B3B3B">
            <w:pPr>
              <w:tabs>
                <w:tab w:val="left" w:pos="0"/>
              </w:tabs>
              <w:spacing w:line="288"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检验和验收：</w:t>
            </w:r>
          </w:p>
          <w:p w14:paraId="6E3C145B">
            <w:pPr>
              <w:tabs>
                <w:tab w:val="left" w:pos="0"/>
              </w:tabs>
              <w:spacing w:line="288" w:lineRule="auto"/>
              <w:ind w:firstLine="48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甲方组织对乙方履约的验收。大型或者复杂的政府采购项目，应当邀请国家认可的质量检测机构参加验收工作。验收方成员应当在验收书上签字，并承担相应的法律责任。如果发现与合同中要求不符，乙方须承担由此发生的一切损失和费用，并接受相应的处理。</w:t>
            </w:r>
          </w:p>
          <w:p w14:paraId="11E5E3AB">
            <w:pPr>
              <w:tabs>
                <w:tab w:val="left" w:pos="0"/>
              </w:tabs>
              <w:spacing w:line="288" w:lineRule="auto"/>
              <w:ind w:firstLine="48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甲方可以邀请参加本项目的其他投标人或者第三方机构参与验收。参与验收的投标人或者第三方机构的意见作为验收书的参考资料一并存档。</w:t>
            </w:r>
          </w:p>
          <w:p w14:paraId="3B5BCD4B">
            <w:pPr>
              <w:tabs>
                <w:tab w:val="left" w:pos="0"/>
              </w:tabs>
              <w:spacing w:line="288" w:lineRule="auto"/>
              <w:ind w:firstLine="48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严格按照采购合同开展履约验收。甲方成立验收小组，按照采购合同的约定对乙方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BDF9C99">
            <w:pPr>
              <w:spacing w:line="288" w:lineRule="auto"/>
              <w:rPr>
                <w:rFonts w:ascii="宋体" w:hAnsi="宋体" w:cs="宋体"/>
                <w:color w:val="auto"/>
                <w:sz w:val="24"/>
                <w:highlight w:val="none"/>
              </w:rPr>
            </w:pPr>
            <w:r>
              <w:rPr>
                <w:rFonts w:hint="eastAsia" w:asciiTheme="majorEastAsia" w:hAnsiTheme="majorEastAsia" w:eastAsiaTheme="majorEastAsia" w:cstheme="majorEastAsia"/>
                <w:color w:val="auto"/>
                <w:kern w:val="0"/>
                <w:sz w:val="24"/>
                <w:highlight w:val="none"/>
              </w:rPr>
              <w:t>验收合格的项目，甲方将根据采购合同的约定及时向中标单位支付采购资金、退还履约保证金。验收不合格的项目，甲方将依法及时处理。采购合同的履行、违约责任和解决争议的方式等适用《中华人民共和国民法典》。乙方在履约过程中有政府采购法律法规规定的违法违规情形的，甲方应当及时报告本级财政部门。</w:t>
            </w:r>
          </w:p>
        </w:tc>
      </w:tr>
      <w:tr w14:paraId="757E4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415FFE3">
            <w:pPr>
              <w:spacing w:line="288"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shd w:val="clear" w:color="auto" w:fill="auto"/>
            <w:vAlign w:val="center"/>
          </w:tcPr>
          <w:p w14:paraId="6B068DE4">
            <w:pPr>
              <w:spacing w:line="288" w:lineRule="auto"/>
              <w:rPr>
                <w:rFonts w:ascii="宋体" w:hAnsi="宋体" w:cs="宋体"/>
                <w:color w:val="auto"/>
                <w:sz w:val="24"/>
                <w:highlight w:val="none"/>
              </w:rPr>
            </w:pPr>
            <w:r>
              <w:rPr>
                <w:rFonts w:hint="eastAsia" w:asciiTheme="majorEastAsia" w:hAnsiTheme="majorEastAsia" w:eastAsiaTheme="majorEastAsia" w:cstheme="majorEastAsia"/>
                <w:color w:val="auto"/>
                <w:sz w:val="24"/>
                <w:highlight w:val="none"/>
              </w:rPr>
              <w:t>检验和验收标准、程序等具体内容以及前述验收书的效力：验收资料要求包括（不限于）以下内容：1、投标文件；2、招标文件；3、中标通知书；4、项目合同；</w:t>
            </w:r>
            <w:r>
              <w:rPr>
                <w:rFonts w:hint="eastAsia" w:asciiTheme="majorEastAsia" w:hAnsiTheme="majorEastAsia" w:eastAsiaTheme="majorEastAsia" w:cstheme="majorEastAsia"/>
                <w:color w:val="auto"/>
                <w:sz w:val="24"/>
                <w:highlight w:val="none"/>
                <w:lang w:val="en-US" w:eastAsia="zh-CN"/>
              </w:rPr>
              <w:t>5、人员名单及相关台账资料</w:t>
            </w:r>
            <w:r>
              <w:rPr>
                <w:rFonts w:hint="eastAsia" w:asciiTheme="majorEastAsia" w:hAnsiTheme="majorEastAsia" w:eastAsiaTheme="majorEastAsia" w:cstheme="majorEastAsia"/>
                <w:color w:val="auto"/>
                <w:sz w:val="24"/>
                <w:highlight w:val="none"/>
              </w:rPr>
              <w:t>等。</w:t>
            </w:r>
          </w:p>
        </w:tc>
      </w:tr>
      <w:tr w14:paraId="6255E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08CE26E7">
            <w:pPr>
              <w:spacing w:line="288"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shd w:val="clear" w:color="auto" w:fill="auto"/>
          </w:tcPr>
          <w:p w14:paraId="67B71401">
            <w:pPr>
              <w:spacing w:line="288"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合同份数：</w:t>
            </w:r>
          </w:p>
          <w:p w14:paraId="75874B05">
            <w:pPr>
              <w:spacing w:line="288" w:lineRule="auto"/>
              <w:rPr>
                <w:rFonts w:ascii="宋体" w:hAnsi="宋体" w:cs="宋体"/>
                <w:color w:val="auto"/>
                <w:sz w:val="24"/>
                <w:highlight w:val="none"/>
              </w:rPr>
            </w:pPr>
            <w:r>
              <w:rPr>
                <w:rFonts w:hint="eastAsia" w:asciiTheme="majorEastAsia" w:hAnsiTheme="majorEastAsia" w:eastAsiaTheme="majorEastAsia" w:cstheme="majorEastAsia"/>
                <w:color w:val="auto"/>
                <w:sz w:val="24"/>
                <w:highlight w:val="none"/>
              </w:rPr>
              <w:t>合同正本一式</w:t>
            </w:r>
            <w:r>
              <w:rPr>
                <w:rFonts w:hint="eastAsia" w:asciiTheme="majorEastAsia" w:hAnsiTheme="majorEastAsia" w:eastAsiaTheme="majorEastAsia" w:cstheme="majorEastAsia"/>
                <w:color w:val="auto"/>
                <w:sz w:val="24"/>
                <w:highlight w:val="none"/>
                <w:u w:val="single"/>
                <w:lang w:val="en-US" w:eastAsia="zh-CN"/>
              </w:rPr>
              <w:t>柒</w:t>
            </w:r>
            <w:r>
              <w:rPr>
                <w:rFonts w:hint="eastAsia" w:asciiTheme="majorEastAsia" w:hAnsiTheme="majorEastAsia" w:eastAsiaTheme="majorEastAsia" w:cstheme="majorEastAsia"/>
                <w:color w:val="auto"/>
                <w:sz w:val="24"/>
                <w:highlight w:val="none"/>
              </w:rPr>
              <w:t>份，每份均具有同等法律效力，甲</w:t>
            </w:r>
            <w:r>
              <w:rPr>
                <w:rFonts w:hint="eastAsia" w:asciiTheme="majorEastAsia" w:hAnsiTheme="majorEastAsia" w:eastAsiaTheme="majorEastAsia" w:cstheme="majorEastAsia"/>
                <w:color w:val="auto"/>
                <w:sz w:val="24"/>
                <w:highlight w:val="none"/>
                <w:lang w:val="en-US" w:eastAsia="zh-CN"/>
              </w:rPr>
              <w:t>方执</w:t>
            </w:r>
            <w:r>
              <w:rPr>
                <w:rFonts w:hint="eastAsia" w:asciiTheme="majorEastAsia" w:hAnsiTheme="majorEastAsia" w:eastAsiaTheme="majorEastAsia" w:cstheme="majorEastAsia"/>
                <w:color w:val="auto"/>
                <w:sz w:val="24"/>
                <w:highlight w:val="none"/>
                <w:u w:val="single"/>
                <w:lang w:val="en-US" w:eastAsia="zh-CN"/>
              </w:rPr>
              <w:t>肆</w:t>
            </w:r>
            <w:r>
              <w:rPr>
                <w:rFonts w:hint="eastAsia" w:asciiTheme="majorEastAsia" w:hAnsiTheme="majorEastAsia" w:eastAsiaTheme="majorEastAsia" w:cstheme="majorEastAsia"/>
                <w:color w:val="auto"/>
                <w:sz w:val="24"/>
                <w:highlight w:val="none"/>
                <w:lang w:val="en-US" w:eastAsia="zh-CN"/>
              </w:rPr>
              <w:t>份</w:t>
            </w:r>
            <w:r>
              <w:rPr>
                <w:rFonts w:hint="eastAsia" w:asciiTheme="majorEastAsia" w:hAnsiTheme="majorEastAsia" w:eastAsiaTheme="majorEastAsia" w:cstheme="majorEastAsia"/>
                <w:color w:val="auto"/>
                <w:sz w:val="24"/>
                <w:highlight w:val="none"/>
              </w:rPr>
              <w:t>、乙方执</w:t>
            </w:r>
            <w:r>
              <w:rPr>
                <w:rFonts w:hint="eastAsia" w:asciiTheme="majorEastAsia" w:hAnsiTheme="majorEastAsia" w:eastAsiaTheme="majorEastAsia" w:cstheme="majorEastAsia"/>
                <w:color w:val="auto"/>
                <w:sz w:val="24"/>
                <w:highlight w:val="none"/>
                <w:u w:val="single"/>
              </w:rPr>
              <w:t>叁</w:t>
            </w:r>
            <w:r>
              <w:rPr>
                <w:rFonts w:hint="eastAsia" w:asciiTheme="majorEastAsia" w:hAnsiTheme="majorEastAsia" w:eastAsiaTheme="majorEastAsia" w:cstheme="majorEastAsia"/>
                <w:color w:val="auto"/>
                <w:sz w:val="24"/>
                <w:highlight w:val="none"/>
              </w:rPr>
              <w:t>份。</w:t>
            </w:r>
          </w:p>
        </w:tc>
      </w:tr>
    </w:tbl>
    <w:p w14:paraId="1FD6F8E3">
      <w:pPr>
        <w:rPr>
          <w:rFonts w:ascii="宋体" w:hAnsi="宋体" w:cs="宋体"/>
          <w:color w:val="auto"/>
          <w:sz w:val="24"/>
          <w:highlight w:val="none"/>
        </w:rPr>
      </w:pPr>
      <w:r>
        <w:rPr>
          <w:rFonts w:ascii="宋体" w:hAnsi="宋体" w:cs="宋体"/>
          <w:color w:val="auto"/>
          <w:sz w:val="24"/>
          <w:highlight w:val="none"/>
        </w:rPr>
        <w:br w:type="page"/>
      </w:r>
    </w:p>
    <w:p w14:paraId="514A6BE9">
      <w:pPr>
        <w:pStyle w:val="3"/>
        <w:rPr>
          <w:color w:val="auto"/>
          <w:highlight w:val="none"/>
        </w:rPr>
      </w:pPr>
    </w:p>
    <w:p w14:paraId="1516DE41">
      <w:pPr>
        <w:spacing w:line="360" w:lineRule="auto"/>
        <w:ind w:left="-420" w:leftChars="-200" w:right="-420" w:rightChars="-200" w:firstLine="480" w:firstLineChars="200"/>
        <w:jc w:val="center"/>
        <w:outlineLvl w:val="0"/>
        <w:rPr>
          <w:rFonts w:ascii="宋体" w:hAnsi="宋体" w:cs="宋体"/>
          <w:color w:val="auto"/>
          <w:sz w:val="24"/>
          <w:highlight w:val="none"/>
        </w:rPr>
      </w:pPr>
    </w:p>
    <w:bookmarkEnd w:id="399"/>
    <w:bookmarkEnd w:id="400"/>
    <w:p w14:paraId="5F30D4DC">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 应提交的有关格式范例</w:t>
      </w:r>
    </w:p>
    <w:p w14:paraId="5458760F">
      <w:pPr>
        <w:spacing w:line="360" w:lineRule="auto"/>
        <w:jc w:val="center"/>
        <w:outlineLvl w:val="0"/>
        <w:rPr>
          <w:rFonts w:ascii="宋体" w:hAnsi="宋体" w:cs="宋体"/>
          <w:b/>
          <w:color w:val="auto"/>
          <w:kern w:val="0"/>
          <w:sz w:val="36"/>
          <w:szCs w:val="36"/>
          <w:highlight w:val="none"/>
        </w:rPr>
      </w:pPr>
    </w:p>
    <w:p w14:paraId="72EBEEFA">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D0571E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87950B4">
      <w:pPr>
        <w:spacing w:line="360" w:lineRule="auto"/>
        <w:jc w:val="center"/>
        <w:outlineLvl w:val="0"/>
        <w:rPr>
          <w:rFonts w:ascii="宋体" w:hAnsi="宋体" w:cs="宋体"/>
          <w:b/>
          <w:color w:val="auto"/>
          <w:kern w:val="0"/>
          <w:sz w:val="36"/>
          <w:szCs w:val="36"/>
          <w:highlight w:val="none"/>
        </w:rPr>
      </w:pPr>
    </w:p>
    <w:p w14:paraId="64B2C9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72B9FDE">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64F99E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73A995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EB6127A">
      <w:pPr>
        <w:snapToGrid w:val="0"/>
        <w:spacing w:line="360" w:lineRule="auto"/>
        <w:ind w:firstLine="480" w:firstLineChars="200"/>
        <w:rPr>
          <w:rFonts w:ascii="宋体" w:hAnsi="宋体" w:cs="宋体"/>
          <w:color w:val="auto"/>
          <w:sz w:val="24"/>
          <w:highlight w:val="none"/>
        </w:rPr>
      </w:pPr>
    </w:p>
    <w:p w14:paraId="5D7C83D8">
      <w:pPr>
        <w:spacing w:line="360" w:lineRule="auto"/>
        <w:ind w:firstLine="480" w:firstLineChars="200"/>
        <w:rPr>
          <w:rFonts w:ascii="宋体" w:hAnsi="宋体" w:cs="宋体"/>
          <w:color w:val="auto"/>
          <w:sz w:val="24"/>
          <w:highlight w:val="none"/>
        </w:rPr>
      </w:pPr>
    </w:p>
    <w:p w14:paraId="36B3FF2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291426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7D94D6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24FCB57A">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90A9E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1CA2DB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573521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9E678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A2EE7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AD74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1E93E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6C7227F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E5B82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1981E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2A1CE0B">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E1C79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3D06016">
      <w:pPr>
        <w:snapToGrid w:val="0"/>
        <w:spacing w:line="360" w:lineRule="auto"/>
        <w:ind w:right="480"/>
        <w:jc w:val="center"/>
        <w:rPr>
          <w:rFonts w:ascii="宋体" w:hAnsi="宋体" w:cs="宋体"/>
          <w:b/>
          <w:color w:val="auto"/>
          <w:kern w:val="0"/>
          <w:sz w:val="32"/>
          <w:szCs w:val="32"/>
          <w:highlight w:val="none"/>
        </w:rPr>
      </w:pPr>
    </w:p>
    <w:p w14:paraId="596ABC37">
      <w:pPr>
        <w:snapToGrid w:val="0"/>
        <w:spacing w:line="360" w:lineRule="auto"/>
        <w:ind w:right="480"/>
        <w:jc w:val="center"/>
        <w:rPr>
          <w:rFonts w:ascii="宋体" w:hAnsi="宋体" w:cs="宋体"/>
          <w:b/>
          <w:color w:val="auto"/>
          <w:kern w:val="0"/>
          <w:sz w:val="32"/>
          <w:szCs w:val="32"/>
          <w:highlight w:val="none"/>
        </w:rPr>
      </w:pPr>
    </w:p>
    <w:p w14:paraId="25E2531B">
      <w:pPr>
        <w:snapToGrid w:val="0"/>
        <w:spacing w:line="360" w:lineRule="auto"/>
        <w:ind w:right="480"/>
        <w:jc w:val="center"/>
        <w:rPr>
          <w:rFonts w:ascii="宋体" w:hAnsi="宋体" w:cs="宋体"/>
          <w:b/>
          <w:color w:val="auto"/>
          <w:kern w:val="0"/>
          <w:sz w:val="32"/>
          <w:szCs w:val="32"/>
          <w:highlight w:val="none"/>
        </w:rPr>
      </w:pPr>
    </w:p>
    <w:p w14:paraId="3D869CA3">
      <w:pPr>
        <w:rPr>
          <w:rFonts w:ascii="宋体" w:hAnsi="宋体" w:cs="宋体"/>
          <w:color w:val="auto"/>
          <w:highlight w:val="none"/>
        </w:rPr>
      </w:pPr>
    </w:p>
    <w:p w14:paraId="1165296D">
      <w:pPr>
        <w:snapToGrid w:val="0"/>
        <w:spacing w:line="360" w:lineRule="auto"/>
        <w:ind w:right="480"/>
        <w:jc w:val="center"/>
        <w:rPr>
          <w:rFonts w:ascii="宋体" w:hAnsi="宋体" w:cs="宋体"/>
          <w:b/>
          <w:color w:val="auto"/>
          <w:kern w:val="0"/>
          <w:sz w:val="32"/>
          <w:szCs w:val="32"/>
          <w:highlight w:val="none"/>
        </w:rPr>
      </w:pPr>
    </w:p>
    <w:p w14:paraId="1EDB7BF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A0A3F4">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9B4CA7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02238F4C">
      <w:pPr>
        <w:snapToGrid w:val="0"/>
        <w:spacing w:line="360" w:lineRule="auto"/>
        <w:ind w:right="480"/>
        <w:jc w:val="center"/>
        <w:rPr>
          <w:rFonts w:ascii="宋体" w:hAnsi="宋体" w:cs="宋体"/>
          <w:b/>
          <w:color w:val="auto"/>
          <w:kern w:val="0"/>
          <w:sz w:val="32"/>
          <w:szCs w:val="32"/>
          <w:highlight w:val="none"/>
        </w:rPr>
      </w:pPr>
    </w:p>
    <w:p w14:paraId="4A04CF9F">
      <w:pPr>
        <w:snapToGrid w:val="0"/>
        <w:spacing w:line="360" w:lineRule="auto"/>
        <w:ind w:right="480"/>
        <w:jc w:val="center"/>
        <w:rPr>
          <w:rFonts w:ascii="宋体" w:hAnsi="宋体" w:cs="宋体"/>
          <w:b/>
          <w:color w:val="auto"/>
          <w:kern w:val="0"/>
          <w:sz w:val="32"/>
          <w:szCs w:val="32"/>
          <w:highlight w:val="none"/>
        </w:rPr>
      </w:pPr>
    </w:p>
    <w:p w14:paraId="261B7AD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015717AE">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1DEF8E4">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765B399">
      <w:pPr>
        <w:widowControl/>
        <w:spacing w:line="360" w:lineRule="auto"/>
        <w:ind w:firstLine="480"/>
        <w:jc w:val="left"/>
        <w:rPr>
          <w:rFonts w:ascii="宋体" w:hAnsi="宋体" w:cs="宋体"/>
          <w:color w:val="auto"/>
          <w:sz w:val="24"/>
          <w:highlight w:val="none"/>
        </w:rPr>
      </w:pPr>
    </w:p>
    <w:p w14:paraId="678AF036">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F4B944E">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06ACD37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34E24821">
      <w:pPr>
        <w:widowControl/>
        <w:spacing w:line="360" w:lineRule="auto"/>
        <w:ind w:left="150"/>
        <w:jc w:val="center"/>
        <w:rPr>
          <w:rFonts w:ascii="宋体" w:hAnsi="宋体" w:cs="宋体"/>
          <w:b/>
          <w:color w:val="auto"/>
          <w:kern w:val="0"/>
          <w:sz w:val="32"/>
          <w:szCs w:val="32"/>
          <w:highlight w:val="none"/>
        </w:rPr>
      </w:pPr>
    </w:p>
    <w:p w14:paraId="4E66AFB9">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48FD9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6E3344A">
      <w:pPr>
        <w:rPr>
          <w:rFonts w:ascii="宋体" w:hAnsi="宋体" w:cs="宋体"/>
          <w:color w:val="auto"/>
          <w:highlight w:val="none"/>
        </w:rPr>
      </w:pPr>
    </w:p>
    <w:p w14:paraId="73907B95">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C0B4F9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3A7CF41B">
      <w:pPr>
        <w:spacing w:line="360" w:lineRule="auto"/>
        <w:jc w:val="center"/>
        <w:outlineLvl w:val="0"/>
        <w:rPr>
          <w:rFonts w:ascii="宋体" w:hAnsi="宋体" w:cs="宋体"/>
          <w:b/>
          <w:color w:val="auto"/>
          <w:kern w:val="0"/>
          <w:sz w:val="24"/>
          <w:highlight w:val="none"/>
        </w:rPr>
      </w:pPr>
    </w:p>
    <w:p w14:paraId="64FC89D4">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2DFB59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9D7F00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F6582FD">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F0A00D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BAD3BD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2B50A665">
      <w:pPr>
        <w:snapToGrid w:val="0"/>
        <w:spacing w:line="360" w:lineRule="auto"/>
        <w:jc w:val="center"/>
        <w:rPr>
          <w:rFonts w:ascii="宋体" w:hAnsi="宋体" w:cs="宋体"/>
          <w:b/>
          <w:color w:val="auto"/>
          <w:kern w:val="0"/>
          <w:sz w:val="32"/>
          <w:szCs w:val="32"/>
          <w:highlight w:val="none"/>
          <w:lang w:val="zh-CN"/>
        </w:rPr>
      </w:pPr>
    </w:p>
    <w:p w14:paraId="700BCA6D">
      <w:pPr>
        <w:snapToGrid w:val="0"/>
        <w:spacing w:line="360" w:lineRule="auto"/>
        <w:jc w:val="center"/>
        <w:rPr>
          <w:rFonts w:ascii="宋体" w:hAnsi="宋体" w:cs="宋体"/>
          <w:b/>
          <w:color w:val="auto"/>
          <w:kern w:val="0"/>
          <w:sz w:val="32"/>
          <w:szCs w:val="32"/>
          <w:highlight w:val="none"/>
          <w:lang w:val="zh-CN"/>
        </w:rPr>
      </w:pPr>
    </w:p>
    <w:p w14:paraId="4CABD69D">
      <w:pPr>
        <w:snapToGrid w:val="0"/>
        <w:spacing w:line="360" w:lineRule="auto"/>
        <w:jc w:val="center"/>
        <w:rPr>
          <w:rFonts w:ascii="宋体" w:hAnsi="宋体" w:cs="宋体"/>
          <w:b/>
          <w:color w:val="auto"/>
          <w:kern w:val="0"/>
          <w:sz w:val="32"/>
          <w:szCs w:val="32"/>
          <w:highlight w:val="none"/>
          <w:lang w:val="zh-CN"/>
        </w:rPr>
      </w:pPr>
    </w:p>
    <w:p w14:paraId="69DEAC0D">
      <w:pPr>
        <w:snapToGrid w:val="0"/>
        <w:spacing w:line="360" w:lineRule="auto"/>
        <w:jc w:val="center"/>
        <w:rPr>
          <w:rFonts w:ascii="宋体" w:hAnsi="宋体" w:cs="宋体"/>
          <w:b/>
          <w:color w:val="auto"/>
          <w:kern w:val="0"/>
          <w:sz w:val="32"/>
          <w:szCs w:val="32"/>
          <w:highlight w:val="none"/>
          <w:lang w:val="zh-CN"/>
        </w:rPr>
      </w:pPr>
    </w:p>
    <w:p w14:paraId="6EE7BD80">
      <w:pPr>
        <w:snapToGrid w:val="0"/>
        <w:spacing w:line="360" w:lineRule="auto"/>
        <w:jc w:val="center"/>
        <w:rPr>
          <w:rFonts w:ascii="宋体" w:hAnsi="宋体" w:cs="宋体"/>
          <w:b/>
          <w:color w:val="auto"/>
          <w:kern w:val="0"/>
          <w:sz w:val="32"/>
          <w:szCs w:val="32"/>
          <w:highlight w:val="none"/>
          <w:lang w:val="zh-CN"/>
        </w:rPr>
      </w:pPr>
    </w:p>
    <w:p w14:paraId="48640FED">
      <w:pPr>
        <w:snapToGrid w:val="0"/>
        <w:spacing w:line="360" w:lineRule="auto"/>
        <w:jc w:val="center"/>
        <w:rPr>
          <w:rFonts w:ascii="宋体" w:hAnsi="宋体" w:cs="宋体"/>
          <w:b/>
          <w:color w:val="auto"/>
          <w:kern w:val="0"/>
          <w:sz w:val="32"/>
          <w:szCs w:val="32"/>
          <w:highlight w:val="none"/>
          <w:lang w:val="zh-CN"/>
        </w:rPr>
      </w:pPr>
    </w:p>
    <w:p w14:paraId="7A0083EF">
      <w:pPr>
        <w:snapToGrid w:val="0"/>
        <w:spacing w:line="360" w:lineRule="auto"/>
        <w:jc w:val="center"/>
        <w:rPr>
          <w:rFonts w:ascii="宋体" w:hAnsi="宋体" w:cs="宋体"/>
          <w:b/>
          <w:color w:val="auto"/>
          <w:kern w:val="0"/>
          <w:sz w:val="32"/>
          <w:szCs w:val="32"/>
          <w:highlight w:val="none"/>
          <w:lang w:val="zh-CN"/>
        </w:rPr>
      </w:pPr>
    </w:p>
    <w:p w14:paraId="1F5A04FD">
      <w:pPr>
        <w:snapToGrid w:val="0"/>
        <w:spacing w:line="360" w:lineRule="auto"/>
        <w:jc w:val="center"/>
        <w:rPr>
          <w:rFonts w:ascii="宋体" w:hAnsi="宋体" w:cs="宋体"/>
          <w:b/>
          <w:color w:val="auto"/>
          <w:kern w:val="0"/>
          <w:sz w:val="32"/>
          <w:szCs w:val="32"/>
          <w:highlight w:val="none"/>
          <w:lang w:val="zh-CN"/>
        </w:rPr>
      </w:pPr>
    </w:p>
    <w:p w14:paraId="301C9372">
      <w:pPr>
        <w:snapToGrid w:val="0"/>
        <w:spacing w:line="360" w:lineRule="auto"/>
        <w:jc w:val="center"/>
        <w:rPr>
          <w:rFonts w:ascii="宋体" w:hAnsi="宋体" w:cs="宋体"/>
          <w:b/>
          <w:color w:val="auto"/>
          <w:kern w:val="0"/>
          <w:sz w:val="32"/>
          <w:szCs w:val="32"/>
          <w:highlight w:val="none"/>
          <w:lang w:val="zh-CN"/>
        </w:rPr>
      </w:pPr>
    </w:p>
    <w:p w14:paraId="49FA761E">
      <w:pPr>
        <w:snapToGrid w:val="0"/>
        <w:spacing w:line="360" w:lineRule="auto"/>
        <w:jc w:val="center"/>
        <w:rPr>
          <w:rFonts w:ascii="宋体" w:hAnsi="宋体" w:cs="宋体"/>
          <w:b/>
          <w:color w:val="auto"/>
          <w:kern w:val="0"/>
          <w:sz w:val="32"/>
          <w:szCs w:val="32"/>
          <w:highlight w:val="none"/>
          <w:lang w:val="zh-CN"/>
        </w:rPr>
      </w:pPr>
    </w:p>
    <w:p w14:paraId="0CE6BE45">
      <w:pPr>
        <w:snapToGrid w:val="0"/>
        <w:spacing w:line="360" w:lineRule="auto"/>
        <w:jc w:val="center"/>
        <w:rPr>
          <w:rFonts w:ascii="宋体" w:hAnsi="宋体" w:cs="宋体"/>
          <w:b/>
          <w:color w:val="auto"/>
          <w:kern w:val="0"/>
          <w:sz w:val="32"/>
          <w:szCs w:val="32"/>
          <w:highlight w:val="none"/>
          <w:lang w:val="zh-CN"/>
        </w:rPr>
      </w:pPr>
    </w:p>
    <w:p w14:paraId="0B232C6D">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A8940F2">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8F2DF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3AB3C4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468B70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3E0FDCB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9DD7A5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734B9D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48B56DA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23" w:name="_Hlk101257010"/>
      <w:r>
        <w:rPr>
          <w:rFonts w:hint="eastAsia" w:ascii="宋体" w:hAnsi="宋体" w:cs="宋体"/>
          <w:color w:val="auto"/>
          <w:sz w:val="24"/>
          <w:highlight w:val="none"/>
        </w:rPr>
        <w:t>（如果有)</w:t>
      </w:r>
      <w:bookmarkEnd w:id="423"/>
      <w:r>
        <w:rPr>
          <w:rFonts w:hint="eastAsia" w:ascii="宋体" w:hAnsi="宋体" w:cs="宋体"/>
          <w:snapToGrid w:val="0"/>
          <w:color w:val="auto"/>
          <w:kern w:val="28"/>
          <w:sz w:val="24"/>
          <w:szCs w:val="20"/>
          <w:highlight w:val="none"/>
        </w:rPr>
        <w:t>；</w:t>
      </w:r>
    </w:p>
    <w:p w14:paraId="2B4EC0C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2891C29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33E6C08F">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B44AF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3EB71F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7A344C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ACC02E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96B43D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AC527F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478F24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C5C4887">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D30EA5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FBC8E2F">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3197EB3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AB7C7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23A3B9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11676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9BDF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47F77DB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7CA3A24">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84AF1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AAA2F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2C20B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25A5284">
      <w:pPr>
        <w:snapToGrid w:val="0"/>
        <w:spacing w:line="360" w:lineRule="auto"/>
        <w:ind w:left="420" w:leftChars="200" w:firstLine="4200" w:firstLineChars="1750"/>
        <w:rPr>
          <w:rFonts w:ascii="宋体" w:hAnsi="宋体" w:cs="宋体"/>
          <w:color w:val="auto"/>
          <w:kern w:val="0"/>
          <w:sz w:val="24"/>
          <w:highlight w:val="none"/>
          <w:u w:val="single"/>
        </w:rPr>
      </w:pPr>
    </w:p>
    <w:p w14:paraId="3866190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52E17B7">
      <w:pPr>
        <w:snapToGrid w:val="0"/>
        <w:spacing w:line="360" w:lineRule="auto"/>
        <w:jc w:val="center"/>
        <w:rPr>
          <w:rFonts w:ascii="宋体" w:hAnsi="宋体" w:cs="宋体"/>
          <w:b/>
          <w:color w:val="auto"/>
          <w:kern w:val="0"/>
          <w:sz w:val="32"/>
          <w:szCs w:val="32"/>
          <w:highlight w:val="none"/>
        </w:rPr>
      </w:pPr>
    </w:p>
    <w:p w14:paraId="742E3BA8">
      <w:pPr>
        <w:snapToGrid w:val="0"/>
        <w:spacing w:line="360" w:lineRule="auto"/>
        <w:rPr>
          <w:rFonts w:ascii="宋体" w:hAnsi="宋体" w:cs="宋体"/>
          <w:color w:val="auto"/>
          <w:sz w:val="24"/>
          <w:highlight w:val="none"/>
        </w:rPr>
      </w:pPr>
    </w:p>
    <w:p w14:paraId="2AFDD200">
      <w:pPr>
        <w:jc w:val="both"/>
        <w:rPr>
          <w:rFonts w:ascii="宋体" w:hAnsi="宋体" w:cs="宋体"/>
          <w:b/>
          <w:color w:val="auto"/>
          <w:kern w:val="0"/>
          <w:sz w:val="32"/>
          <w:szCs w:val="32"/>
          <w:highlight w:val="none"/>
        </w:rPr>
      </w:pPr>
    </w:p>
    <w:p w14:paraId="2D183AA5">
      <w:pPr>
        <w:jc w:val="center"/>
        <w:rPr>
          <w:rFonts w:ascii="宋体" w:hAnsi="宋体" w:cs="宋体"/>
          <w:b/>
          <w:color w:val="auto"/>
          <w:kern w:val="0"/>
          <w:sz w:val="32"/>
          <w:szCs w:val="32"/>
          <w:highlight w:val="none"/>
        </w:rPr>
      </w:pPr>
    </w:p>
    <w:p w14:paraId="5D8BB10A">
      <w:pPr>
        <w:jc w:val="center"/>
        <w:rPr>
          <w:rFonts w:ascii="宋体" w:hAnsi="宋体" w:cs="宋体"/>
          <w:b/>
          <w:color w:val="auto"/>
          <w:kern w:val="0"/>
          <w:sz w:val="32"/>
          <w:szCs w:val="32"/>
          <w:highlight w:val="none"/>
        </w:rPr>
      </w:pPr>
    </w:p>
    <w:p w14:paraId="78197527">
      <w:pPr>
        <w:jc w:val="center"/>
        <w:rPr>
          <w:rFonts w:ascii="宋体" w:hAnsi="宋体" w:cs="宋体"/>
          <w:b/>
          <w:color w:val="auto"/>
          <w:kern w:val="0"/>
          <w:sz w:val="32"/>
          <w:szCs w:val="32"/>
          <w:highlight w:val="none"/>
        </w:rPr>
      </w:pPr>
    </w:p>
    <w:p w14:paraId="7CBF5A00">
      <w:pPr>
        <w:jc w:val="center"/>
        <w:rPr>
          <w:rFonts w:ascii="宋体" w:hAnsi="宋体" w:cs="宋体"/>
          <w:b/>
          <w:color w:val="auto"/>
          <w:kern w:val="0"/>
          <w:sz w:val="32"/>
          <w:szCs w:val="32"/>
          <w:highlight w:val="none"/>
        </w:rPr>
      </w:pPr>
    </w:p>
    <w:p w14:paraId="2221EB27">
      <w:pPr>
        <w:jc w:val="center"/>
        <w:rPr>
          <w:rFonts w:ascii="宋体" w:hAnsi="宋体" w:cs="宋体"/>
          <w:b/>
          <w:color w:val="auto"/>
          <w:kern w:val="0"/>
          <w:sz w:val="32"/>
          <w:szCs w:val="32"/>
          <w:highlight w:val="none"/>
        </w:rPr>
      </w:pPr>
    </w:p>
    <w:p w14:paraId="4C1F8EAB">
      <w:pPr>
        <w:jc w:val="center"/>
        <w:rPr>
          <w:rFonts w:ascii="宋体" w:hAnsi="宋体" w:cs="宋体"/>
          <w:b/>
          <w:color w:val="auto"/>
          <w:kern w:val="0"/>
          <w:sz w:val="32"/>
          <w:szCs w:val="32"/>
          <w:highlight w:val="none"/>
        </w:rPr>
      </w:pPr>
    </w:p>
    <w:p w14:paraId="1D30A3E4">
      <w:pPr>
        <w:jc w:val="center"/>
        <w:rPr>
          <w:rFonts w:ascii="宋体" w:hAnsi="宋体" w:cs="宋体"/>
          <w:b/>
          <w:color w:val="auto"/>
          <w:kern w:val="0"/>
          <w:sz w:val="32"/>
          <w:szCs w:val="32"/>
          <w:highlight w:val="none"/>
        </w:rPr>
      </w:pPr>
    </w:p>
    <w:p w14:paraId="1CD0E6AD">
      <w:pPr>
        <w:jc w:val="center"/>
        <w:rPr>
          <w:rFonts w:ascii="宋体" w:hAnsi="宋体" w:cs="宋体"/>
          <w:b/>
          <w:color w:val="auto"/>
          <w:kern w:val="0"/>
          <w:sz w:val="32"/>
          <w:szCs w:val="32"/>
          <w:highlight w:val="none"/>
        </w:rPr>
      </w:pPr>
    </w:p>
    <w:p w14:paraId="25EA4943">
      <w:pPr>
        <w:jc w:val="center"/>
        <w:rPr>
          <w:rFonts w:ascii="宋体" w:hAnsi="宋体" w:cs="宋体"/>
          <w:b/>
          <w:color w:val="auto"/>
          <w:kern w:val="0"/>
          <w:sz w:val="32"/>
          <w:szCs w:val="32"/>
          <w:highlight w:val="none"/>
        </w:rPr>
      </w:pPr>
    </w:p>
    <w:p w14:paraId="4AD8361A">
      <w:pPr>
        <w:pStyle w:val="24"/>
        <w:rPr>
          <w:rFonts w:ascii="宋体" w:hAnsi="宋体" w:cs="宋体"/>
          <w:b/>
          <w:color w:val="auto"/>
          <w:kern w:val="0"/>
          <w:sz w:val="32"/>
          <w:szCs w:val="32"/>
          <w:highlight w:val="none"/>
        </w:rPr>
      </w:pPr>
    </w:p>
    <w:p w14:paraId="159BF1D7">
      <w:pPr>
        <w:pStyle w:val="24"/>
        <w:rPr>
          <w:rFonts w:ascii="宋体" w:hAnsi="宋体" w:cs="宋体"/>
          <w:b/>
          <w:color w:val="auto"/>
          <w:kern w:val="0"/>
          <w:sz w:val="32"/>
          <w:szCs w:val="32"/>
          <w:highlight w:val="none"/>
        </w:rPr>
      </w:pPr>
    </w:p>
    <w:p w14:paraId="1911B0C0">
      <w:pPr>
        <w:pStyle w:val="24"/>
        <w:rPr>
          <w:rFonts w:ascii="宋体" w:hAnsi="宋体" w:cs="宋体"/>
          <w:b/>
          <w:color w:val="auto"/>
          <w:kern w:val="0"/>
          <w:sz w:val="32"/>
          <w:szCs w:val="32"/>
          <w:highlight w:val="none"/>
        </w:rPr>
      </w:pPr>
    </w:p>
    <w:p w14:paraId="2C17C0B6">
      <w:pPr>
        <w:pStyle w:val="24"/>
        <w:rPr>
          <w:rFonts w:ascii="宋体" w:hAnsi="宋体" w:cs="宋体"/>
          <w:b/>
          <w:color w:val="auto"/>
          <w:kern w:val="0"/>
          <w:sz w:val="32"/>
          <w:szCs w:val="32"/>
          <w:highlight w:val="none"/>
        </w:rPr>
      </w:pPr>
    </w:p>
    <w:p w14:paraId="34FF760F">
      <w:pPr>
        <w:pStyle w:val="24"/>
        <w:rPr>
          <w:rFonts w:ascii="宋体" w:hAnsi="宋体" w:cs="宋体"/>
          <w:b/>
          <w:color w:val="auto"/>
          <w:kern w:val="0"/>
          <w:sz w:val="32"/>
          <w:szCs w:val="32"/>
          <w:highlight w:val="none"/>
        </w:rPr>
      </w:pPr>
    </w:p>
    <w:p w14:paraId="48A2CDD4">
      <w:pPr>
        <w:pStyle w:val="24"/>
        <w:rPr>
          <w:rFonts w:ascii="宋体" w:hAnsi="宋体" w:cs="宋体"/>
          <w:b/>
          <w:color w:val="auto"/>
          <w:kern w:val="0"/>
          <w:sz w:val="32"/>
          <w:szCs w:val="32"/>
          <w:highlight w:val="none"/>
        </w:rPr>
      </w:pPr>
    </w:p>
    <w:p w14:paraId="5EA24980">
      <w:pPr>
        <w:pStyle w:val="24"/>
        <w:rPr>
          <w:rFonts w:ascii="宋体" w:hAnsi="宋体" w:cs="宋体"/>
          <w:b/>
          <w:color w:val="auto"/>
          <w:kern w:val="0"/>
          <w:sz w:val="32"/>
          <w:szCs w:val="32"/>
          <w:highlight w:val="none"/>
        </w:rPr>
      </w:pPr>
    </w:p>
    <w:p w14:paraId="573293D4">
      <w:pPr>
        <w:pStyle w:val="24"/>
        <w:rPr>
          <w:rFonts w:ascii="宋体" w:hAnsi="宋体" w:cs="宋体"/>
          <w:b/>
          <w:color w:val="auto"/>
          <w:kern w:val="0"/>
          <w:sz w:val="32"/>
          <w:szCs w:val="32"/>
          <w:highlight w:val="none"/>
        </w:rPr>
      </w:pPr>
    </w:p>
    <w:p w14:paraId="0904D94A">
      <w:pPr>
        <w:pStyle w:val="24"/>
        <w:rPr>
          <w:rFonts w:ascii="宋体" w:hAnsi="宋体" w:cs="宋体"/>
          <w:b/>
          <w:color w:val="auto"/>
          <w:kern w:val="0"/>
          <w:sz w:val="32"/>
          <w:szCs w:val="32"/>
          <w:highlight w:val="none"/>
        </w:rPr>
      </w:pPr>
    </w:p>
    <w:p w14:paraId="4435A295">
      <w:pPr>
        <w:jc w:val="center"/>
        <w:rPr>
          <w:rFonts w:ascii="宋体" w:hAnsi="宋体" w:cs="宋体"/>
          <w:b/>
          <w:color w:val="auto"/>
          <w:kern w:val="0"/>
          <w:sz w:val="32"/>
          <w:szCs w:val="32"/>
          <w:highlight w:val="none"/>
        </w:rPr>
      </w:pPr>
    </w:p>
    <w:p w14:paraId="09EA2B9B">
      <w:pPr>
        <w:jc w:val="center"/>
        <w:rPr>
          <w:rFonts w:ascii="宋体" w:hAnsi="宋体" w:cs="宋体"/>
          <w:b/>
          <w:color w:val="auto"/>
          <w:kern w:val="0"/>
          <w:sz w:val="32"/>
          <w:szCs w:val="32"/>
          <w:highlight w:val="none"/>
        </w:rPr>
      </w:pPr>
    </w:p>
    <w:p w14:paraId="5DA785AE">
      <w:pPr>
        <w:jc w:val="center"/>
        <w:rPr>
          <w:rFonts w:hint="eastAsia" w:ascii="宋体" w:hAnsi="宋体" w:cs="宋体"/>
          <w:b/>
          <w:color w:val="auto"/>
          <w:kern w:val="0"/>
          <w:sz w:val="32"/>
          <w:szCs w:val="32"/>
          <w:highlight w:val="none"/>
          <w:lang w:val="zh-CN"/>
        </w:rPr>
      </w:pPr>
    </w:p>
    <w:p w14:paraId="187DA1A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2D0F7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1AA68C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6D5DB2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E4092C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0D0523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7BB19B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D3BE53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3312E0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AA9871A">
      <w:pPr>
        <w:snapToGrid w:val="0"/>
        <w:spacing w:line="360" w:lineRule="auto"/>
        <w:rPr>
          <w:rFonts w:ascii="宋体" w:hAnsi="宋体" w:cs="宋体"/>
          <w:color w:val="auto"/>
          <w:sz w:val="24"/>
          <w:highlight w:val="none"/>
        </w:rPr>
      </w:pPr>
    </w:p>
    <w:p w14:paraId="51D753C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CC0559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543E49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3ECCCDB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2A166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3C79970">
      <w:pPr>
        <w:jc w:val="center"/>
        <w:rPr>
          <w:rFonts w:ascii="宋体" w:hAnsi="宋体" w:cs="宋体"/>
          <w:b/>
          <w:color w:val="auto"/>
          <w:kern w:val="0"/>
          <w:sz w:val="32"/>
          <w:szCs w:val="32"/>
          <w:highlight w:val="none"/>
        </w:rPr>
      </w:pPr>
    </w:p>
    <w:p w14:paraId="0E921CCB">
      <w:pPr>
        <w:rPr>
          <w:rFonts w:ascii="宋体" w:hAnsi="宋体" w:cs="宋体"/>
          <w:color w:val="auto"/>
          <w:highlight w:val="none"/>
        </w:rPr>
      </w:pPr>
    </w:p>
    <w:p w14:paraId="5FBFFFF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B8359C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087346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640882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CC1280D">
      <w:pPr>
        <w:autoSpaceDE w:val="0"/>
        <w:autoSpaceDN w:val="0"/>
        <w:spacing w:line="360" w:lineRule="auto"/>
        <w:jc w:val="center"/>
        <w:rPr>
          <w:rFonts w:ascii="宋体" w:hAnsi="宋体" w:cs="宋体"/>
          <w:b/>
          <w:color w:val="auto"/>
          <w:kern w:val="0"/>
          <w:sz w:val="32"/>
          <w:szCs w:val="32"/>
          <w:highlight w:val="none"/>
          <w:lang w:val="zh-CN"/>
        </w:rPr>
      </w:pPr>
    </w:p>
    <w:p w14:paraId="65900760">
      <w:pPr>
        <w:pStyle w:val="24"/>
        <w:rPr>
          <w:rFonts w:ascii="宋体" w:hAnsi="宋体" w:cs="宋体"/>
          <w:b/>
          <w:color w:val="auto"/>
          <w:kern w:val="0"/>
          <w:sz w:val="32"/>
          <w:szCs w:val="32"/>
          <w:highlight w:val="none"/>
          <w:lang w:val="zh-CN"/>
        </w:rPr>
      </w:pPr>
    </w:p>
    <w:p w14:paraId="39061B19">
      <w:pPr>
        <w:pStyle w:val="24"/>
        <w:rPr>
          <w:rFonts w:ascii="宋体" w:hAnsi="宋体" w:cs="宋体"/>
          <w:b/>
          <w:color w:val="auto"/>
          <w:kern w:val="0"/>
          <w:sz w:val="32"/>
          <w:szCs w:val="32"/>
          <w:highlight w:val="none"/>
          <w:lang w:val="zh-CN"/>
        </w:rPr>
      </w:pPr>
    </w:p>
    <w:p w14:paraId="508F0C68">
      <w:pPr>
        <w:pStyle w:val="24"/>
        <w:rPr>
          <w:rFonts w:ascii="宋体" w:hAnsi="宋体" w:cs="宋体"/>
          <w:b/>
          <w:color w:val="auto"/>
          <w:kern w:val="0"/>
          <w:sz w:val="32"/>
          <w:szCs w:val="32"/>
          <w:highlight w:val="none"/>
          <w:lang w:val="zh-CN"/>
        </w:rPr>
      </w:pPr>
    </w:p>
    <w:p w14:paraId="47C206D9">
      <w:pPr>
        <w:pStyle w:val="24"/>
        <w:rPr>
          <w:rFonts w:ascii="宋体" w:hAnsi="宋体" w:cs="宋体"/>
          <w:b/>
          <w:color w:val="auto"/>
          <w:kern w:val="0"/>
          <w:sz w:val="32"/>
          <w:szCs w:val="32"/>
          <w:highlight w:val="none"/>
          <w:lang w:val="zh-CN"/>
        </w:rPr>
      </w:pPr>
    </w:p>
    <w:p w14:paraId="29E62A12">
      <w:pPr>
        <w:pStyle w:val="24"/>
        <w:rPr>
          <w:rFonts w:ascii="宋体" w:hAnsi="宋体" w:cs="宋体"/>
          <w:b/>
          <w:color w:val="auto"/>
          <w:kern w:val="0"/>
          <w:sz w:val="32"/>
          <w:szCs w:val="32"/>
          <w:highlight w:val="none"/>
          <w:lang w:val="zh-CN"/>
        </w:rPr>
      </w:pPr>
    </w:p>
    <w:p w14:paraId="1240776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905085C">
      <w:pPr>
        <w:pStyle w:val="4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EC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3873CF5D">
            <w:pPr>
              <w:pStyle w:val="4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46311E0">
            <w:pPr>
              <w:pStyle w:val="40"/>
              <w:adjustRightInd w:val="0"/>
              <w:spacing w:line="360" w:lineRule="auto"/>
              <w:rPr>
                <w:rFonts w:hAnsi="宋体" w:cs="宋体"/>
                <w:bCs/>
                <w:color w:val="auto"/>
                <w:sz w:val="24"/>
                <w:highlight w:val="none"/>
              </w:rPr>
            </w:pPr>
          </w:p>
        </w:tc>
      </w:tr>
    </w:tbl>
    <w:p w14:paraId="7DC5508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2E2214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340906C5">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491D09B">
      <w:pPr>
        <w:jc w:val="center"/>
        <w:rPr>
          <w:rFonts w:ascii="宋体" w:hAnsi="宋体" w:cs="宋体"/>
          <w:b/>
          <w:color w:val="auto"/>
          <w:kern w:val="0"/>
          <w:sz w:val="32"/>
          <w:szCs w:val="32"/>
          <w:highlight w:val="none"/>
        </w:rPr>
      </w:pPr>
    </w:p>
    <w:p w14:paraId="0301EFC9">
      <w:pPr>
        <w:jc w:val="center"/>
        <w:rPr>
          <w:rFonts w:ascii="宋体" w:hAnsi="宋体" w:cs="宋体"/>
          <w:b/>
          <w:color w:val="auto"/>
          <w:kern w:val="0"/>
          <w:sz w:val="32"/>
          <w:szCs w:val="32"/>
          <w:highlight w:val="none"/>
        </w:rPr>
      </w:pPr>
    </w:p>
    <w:p w14:paraId="141B6848">
      <w:pPr>
        <w:jc w:val="center"/>
        <w:rPr>
          <w:rFonts w:ascii="宋体" w:hAnsi="宋体" w:cs="宋体"/>
          <w:b/>
          <w:color w:val="auto"/>
          <w:kern w:val="0"/>
          <w:sz w:val="32"/>
          <w:szCs w:val="32"/>
          <w:highlight w:val="none"/>
        </w:rPr>
      </w:pPr>
    </w:p>
    <w:p w14:paraId="535AF7D7">
      <w:pPr>
        <w:jc w:val="center"/>
        <w:rPr>
          <w:rFonts w:ascii="宋体" w:hAnsi="宋体" w:cs="宋体"/>
          <w:b/>
          <w:color w:val="auto"/>
          <w:kern w:val="0"/>
          <w:sz w:val="32"/>
          <w:szCs w:val="32"/>
          <w:highlight w:val="none"/>
        </w:rPr>
      </w:pPr>
    </w:p>
    <w:p w14:paraId="0A4E2064">
      <w:pPr>
        <w:jc w:val="center"/>
        <w:rPr>
          <w:rFonts w:ascii="宋体" w:hAnsi="宋体" w:cs="宋体"/>
          <w:b/>
          <w:color w:val="auto"/>
          <w:kern w:val="0"/>
          <w:sz w:val="32"/>
          <w:szCs w:val="32"/>
          <w:highlight w:val="none"/>
        </w:rPr>
      </w:pPr>
    </w:p>
    <w:p w14:paraId="0AF779EA">
      <w:pPr>
        <w:jc w:val="center"/>
        <w:rPr>
          <w:rFonts w:ascii="宋体" w:hAnsi="宋体" w:cs="宋体"/>
          <w:b/>
          <w:color w:val="auto"/>
          <w:kern w:val="0"/>
          <w:sz w:val="32"/>
          <w:szCs w:val="32"/>
          <w:highlight w:val="none"/>
        </w:rPr>
      </w:pPr>
    </w:p>
    <w:p w14:paraId="5803F886">
      <w:pPr>
        <w:jc w:val="center"/>
        <w:rPr>
          <w:rFonts w:ascii="宋体" w:hAnsi="宋体" w:cs="宋体"/>
          <w:b/>
          <w:color w:val="auto"/>
          <w:kern w:val="0"/>
          <w:sz w:val="32"/>
          <w:szCs w:val="32"/>
          <w:highlight w:val="none"/>
        </w:rPr>
      </w:pPr>
    </w:p>
    <w:p w14:paraId="35CD2C34">
      <w:pPr>
        <w:jc w:val="center"/>
        <w:rPr>
          <w:rFonts w:ascii="宋体" w:hAnsi="宋体" w:cs="宋体"/>
          <w:b/>
          <w:color w:val="auto"/>
          <w:kern w:val="0"/>
          <w:sz w:val="32"/>
          <w:szCs w:val="32"/>
          <w:highlight w:val="none"/>
        </w:rPr>
      </w:pPr>
    </w:p>
    <w:p w14:paraId="5DB91F40">
      <w:pPr>
        <w:jc w:val="center"/>
        <w:rPr>
          <w:rFonts w:ascii="宋体" w:hAnsi="宋体" w:cs="宋体"/>
          <w:b/>
          <w:color w:val="auto"/>
          <w:kern w:val="0"/>
          <w:sz w:val="32"/>
          <w:szCs w:val="32"/>
          <w:highlight w:val="none"/>
        </w:rPr>
      </w:pPr>
    </w:p>
    <w:p w14:paraId="26A791CB">
      <w:pPr>
        <w:jc w:val="center"/>
        <w:rPr>
          <w:rFonts w:ascii="宋体" w:hAnsi="宋体" w:cs="宋体"/>
          <w:b/>
          <w:color w:val="auto"/>
          <w:kern w:val="0"/>
          <w:sz w:val="32"/>
          <w:szCs w:val="32"/>
          <w:highlight w:val="none"/>
        </w:rPr>
      </w:pPr>
    </w:p>
    <w:p w14:paraId="27658365">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6BEE4E76">
      <w:pPr>
        <w:snapToGrid w:val="0"/>
        <w:spacing w:line="360" w:lineRule="auto"/>
        <w:ind w:firstLine="2249" w:firstLineChars="7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DF96877">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61D607AE">
      <w:pPr>
        <w:snapToGrid w:val="0"/>
        <w:spacing w:line="360" w:lineRule="auto"/>
        <w:rPr>
          <w:rFonts w:ascii="宋体" w:hAnsi="宋体" w:cs="宋体"/>
          <w:color w:val="auto"/>
          <w:kern w:val="0"/>
          <w:sz w:val="24"/>
          <w:highlight w:val="none"/>
        </w:rPr>
      </w:pPr>
    </w:p>
    <w:p w14:paraId="29B4F5C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9A1ED46">
      <w:pPr>
        <w:jc w:val="center"/>
        <w:rPr>
          <w:rFonts w:ascii="宋体" w:hAnsi="宋体" w:cs="宋体"/>
          <w:b/>
          <w:color w:val="auto"/>
          <w:kern w:val="0"/>
          <w:sz w:val="32"/>
          <w:szCs w:val="32"/>
          <w:highlight w:val="none"/>
        </w:rPr>
      </w:pP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30D28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22759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D844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F59D1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DCCB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1F856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93422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3DD20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473C495">
            <w:pPr>
              <w:rPr>
                <w:rFonts w:ascii="宋体" w:hAnsi="宋体" w:cs="宋体"/>
                <w:color w:val="auto"/>
                <w:sz w:val="24"/>
                <w:highlight w:val="none"/>
              </w:rPr>
            </w:pPr>
          </w:p>
          <w:p w14:paraId="2EFD984F">
            <w:pPr>
              <w:rPr>
                <w:rFonts w:ascii="宋体" w:hAnsi="宋体" w:cs="宋体"/>
                <w:color w:val="auto"/>
                <w:sz w:val="24"/>
                <w:highlight w:val="none"/>
              </w:rPr>
            </w:pPr>
            <w:r>
              <w:rPr>
                <w:rFonts w:hint="eastAsia" w:ascii="宋体" w:hAnsi="宋体" w:cs="宋体"/>
                <w:color w:val="auto"/>
                <w:sz w:val="24"/>
                <w:highlight w:val="none"/>
              </w:rPr>
              <w:t>见投标文件</w:t>
            </w:r>
          </w:p>
          <w:p w14:paraId="4D40010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EA2E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9497FC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4FEB1B3">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A3ED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4B2A6E">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816E62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563D5BE">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ECB87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06DA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BD3FA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宋体" w:hAnsi="宋体" w:cs="宋体"/>
                <w:b w:val="0"/>
                <w:bCs w:val="0"/>
                <w:color w:val="auto"/>
                <w:sz w:val="24"/>
                <w:highlight w:val="none"/>
                <w:lang w:val="en-US" w:eastAsia="zh-CN"/>
              </w:rPr>
            </w:pPr>
          </w:p>
        </w:tc>
        <w:tc>
          <w:tcPr>
            <w:tcW w:w="1418" w:type="dxa"/>
            <w:vAlign w:val="top"/>
          </w:tcPr>
          <w:p w14:paraId="05C42D4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5912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460D33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A7E1580">
            <w:pPr>
              <w:rPr>
                <w:rFonts w:hint="eastAsia" w:ascii="宋体" w:hAnsi="宋体" w:cs="宋体"/>
                <w:b w:val="0"/>
                <w:bCs w:val="0"/>
                <w:color w:val="auto"/>
                <w:sz w:val="24"/>
                <w:highlight w:val="none"/>
                <w:lang w:val="en-US" w:eastAsia="zh-CN"/>
              </w:rPr>
            </w:pPr>
          </w:p>
        </w:tc>
        <w:tc>
          <w:tcPr>
            <w:tcW w:w="1418" w:type="dxa"/>
            <w:vAlign w:val="top"/>
          </w:tcPr>
          <w:p w14:paraId="322869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1B70E0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00760A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2469B32C">
      <w:pPr>
        <w:jc w:val="center"/>
        <w:rPr>
          <w:rFonts w:ascii="宋体" w:hAnsi="宋体" w:cs="宋体"/>
          <w:b/>
          <w:color w:val="auto"/>
          <w:kern w:val="0"/>
          <w:sz w:val="32"/>
          <w:szCs w:val="32"/>
          <w:highlight w:val="none"/>
        </w:rPr>
      </w:pPr>
    </w:p>
    <w:p w14:paraId="0C73388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3F35CECA">
      <w:pPr>
        <w:jc w:val="center"/>
        <w:rPr>
          <w:rFonts w:ascii="宋体" w:hAnsi="宋体" w:cs="宋体"/>
          <w:b/>
          <w:color w:val="auto"/>
          <w:kern w:val="0"/>
          <w:sz w:val="32"/>
          <w:szCs w:val="32"/>
          <w:highlight w:val="none"/>
        </w:rPr>
      </w:pPr>
    </w:p>
    <w:p w14:paraId="3690FD43">
      <w:pPr>
        <w:jc w:val="center"/>
        <w:rPr>
          <w:rFonts w:ascii="宋体" w:hAnsi="宋体" w:cs="宋体"/>
          <w:b/>
          <w:color w:val="auto"/>
          <w:kern w:val="0"/>
          <w:sz w:val="32"/>
          <w:szCs w:val="32"/>
          <w:highlight w:val="none"/>
        </w:rPr>
      </w:pPr>
    </w:p>
    <w:p w14:paraId="2CA14DE5">
      <w:pPr>
        <w:pStyle w:val="24"/>
        <w:rPr>
          <w:color w:val="auto"/>
          <w:highlight w:val="none"/>
        </w:rPr>
      </w:pPr>
    </w:p>
    <w:p w14:paraId="32D36BEF">
      <w:pPr>
        <w:pStyle w:val="24"/>
        <w:rPr>
          <w:color w:val="auto"/>
          <w:highlight w:val="none"/>
        </w:rPr>
      </w:pPr>
    </w:p>
    <w:p w14:paraId="1FEC51BD">
      <w:pPr>
        <w:pStyle w:val="24"/>
        <w:rPr>
          <w:color w:val="auto"/>
          <w:highlight w:val="none"/>
        </w:rPr>
      </w:pPr>
    </w:p>
    <w:p w14:paraId="488BAEBB">
      <w:pPr>
        <w:pStyle w:val="24"/>
        <w:rPr>
          <w:color w:val="auto"/>
          <w:highlight w:val="none"/>
        </w:rPr>
      </w:pPr>
    </w:p>
    <w:p w14:paraId="115BBACC">
      <w:pPr>
        <w:pStyle w:val="24"/>
        <w:rPr>
          <w:color w:val="auto"/>
          <w:highlight w:val="none"/>
        </w:rPr>
      </w:pPr>
    </w:p>
    <w:p w14:paraId="7F1941D4">
      <w:pPr>
        <w:jc w:val="center"/>
        <w:rPr>
          <w:rFonts w:ascii="宋体" w:hAnsi="宋体" w:cs="宋体"/>
          <w:b/>
          <w:color w:val="auto"/>
          <w:kern w:val="0"/>
          <w:sz w:val="32"/>
          <w:szCs w:val="32"/>
          <w:highlight w:val="none"/>
        </w:rPr>
      </w:pPr>
    </w:p>
    <w:p w14:paraId="2F2DAB36">
      <w:pPr>
        <w:jc w:val="center"/>
        <w:rPr>
          <w:rFonts w:ascii="宋体" w:hAnsi="宋体" w:cs="宋体"/>
          <w:b/>
          <w:color w:val="auto"/>
          <w:kern w:val="0"/>
          <w:sz w:val="32"/>
          <w:szCs w:val="32"/>
          <w:highlight w:val="none"/>
        </w:rPr>
      </w:pPr>
    </w:p>
    <w:p w14:paraId="3835C731">
      <w:pPr>
        <w:jc w:val="center"/>
        <w:rPr>
          <w:rFonts w:ascii="宋体" w:hAnsi="宋体" w:cs="宋体"/>
          <w:b/>
          <w:color w:val="auto"/>
          <w:kern w:val="0"/>
          <w:sz w:val="32"/>
          <w:szCs w:val="32"/>
          <w:highlight w:val="none"/>
        </w:rPr>
      </w:pPr>
    </w:p>
    <w:p w14:paraId="7A8F4978">
      <w:pPr>
        <w:jc w:val="center"/>
        <w:rPr>
          <w:rFonts w:ascii="宋体" w:hAnsi="宋体" w:cs="宋体"/>
          <w:b/>
          <w:color w:val="auto"/>
          <w:kern w:val="0"/>
          <w:sz w:val="32"/>
          <w:szCs w:val="32"/>
          <w:highlight w:val="none"/>
        </w:rPr>
      </w:pPr>
    </w:p>
    <w:p w14:paraId="20BAE25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2D1CFB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18"/>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B42D008">
      <w:pPr>
        <w:pStyle w:val="24"/>
        <w:rPr>
          <w:color w:val="auto"/>
          <w:highlight w:val="none"/>
        </w:rPr>
      </w:pPr>
    </w:p>
    <w:p w14:paraId="00E0E54A">
      <w:pPr>
        <w:jc w:val="center"/>
        <w:rPr>
          <w:rFonts w:ascii="宋体" w:hAnsi="宋体" w:cs="宋体"/>
          <w:b/>
          <w:color w:val="auto"/>
          <w:kern w:val="0"/>
          <w:sz w:val="32"/>
          <w:szCs w:val="32"/>
          <w:highlight w:val="none"/>
        </w:rPr>
      </w:pPr>
    </w:p>
    <w:p w14:paraId="11A9EEFB">
      <w:pPr>
        <w:jc w:val="center"/>
        <w:rPr>
          <w:rFonts w:ascii="宋体" w:hAnsi="宋体" w:cs="宋体"/>
          <w:b/>
          <w:color w:val="auto"/>
          <w:kern w:val="0"/>
          <w:sz w:val="32"/>
          <w:szCs w:val="32"/>
          <w:highlight w:val="none"/>
        </w:rPr>
      </w:pPr>
    </w:p>
    <w:p w14:paraId="679698A4">
      <w:pPr>
        <w:jc w:val="center"/>
        <w:rPr>
          <w:rFonts w:ascii="宋体" w:hAnsi="宋体" w:cs="宋体"/>
          <w:b/>
          <w:color w:val="auto"/>
          <w:kern w:val="0"/>
          <w:sz w:val="32"/>
          <w:szCs w:val="32"/>
          <w:highlight w:val="none"/>
        </w:rPr>
      </w:pPr>
    </w:p>
    <w:p w14:paraId="17612F2D">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1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60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2D6D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1D9A4C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A9916CC">
            <w:pPr>
              <w:spacing w:line="360" w:lineRule="auto"/>
              <w:jc w:val="center"/>
              <w:rPr>
                <w:rFonts w:ascii="宋体" w:hAnsi="宋体" w:cs="宋体"/>
                <w:b/>
                <w:color w:val="auto"/>
                <w:sz w:val="24"/>
                <w:highlight w:val="none"/>
              </w:rPr>
            </w:pPr>
          </w:p>
          <w:p w14:paraId="02F51E5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93989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FC6EC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778B6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DB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A14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87AA6A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18953F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EB5BE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0BCD6C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8BAC35">
            <w:pPr>
              <w:spacing w:line="360" w:lineRule="auto"/>
              <w:jc w:val="center"/>
              <w:rPr>
                <w:rFonts w:ascii="宋体" w:hAnsi="宋体" w:cs="宋体"/>
                <w:color w:val="auto"/>
                <w:sz w:val="24"/>
                <w:highlight w:val="none"/>
              </w:rPr>
            </w:pPr>
          </w:p>
        </w:tc>
      </w:tr>
      <w:tr w14:paraId="1B90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79D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026627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7D0FD5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5FB2BE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6AC924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8FD6226">
            <w:pPr>
              <w:spacing w:line="360" w:lineRule="auto"/>
              <w:jc w:val="center"/>
              <w:rPr>
                <w:rFonts w:ascii="宋体" w:hAnsi="宋体" w:cs="宋体"/>
                <w:color w:val="auto"/>
                <w:sz w:val="24"/>
                <w:highlight w:val="none"/>
              </w:rPr>
            </w:pPr>
          </w:p>
        </w:tc>
      </w:tr>
      <w:tr w14:paraId="22A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3200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C27EB6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57C9D7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3F65B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FC1AF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F3F1BF5">
            <w:pPr>
              <w:spacing w:line="360" w:lineRule="auto"/>
              <w:jc w:val="center"/>
              <w:rPr>
                <w:rFonts w:ascii="宋体" w:hAnsi="宋体" w:cs="宋体"/>
                <w:color w:val="auto"/>
                <w:sz w:val="24"/>
                <w:highlight w:val="none"/>
              </w:rPr>
            </w:pPr>
          </w:p>
        </w:tc>
      </w:tr>
    </w:tbl>
    <w:p w14:paraId="3FAFDB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B92EBA5">
      <w:pPr>
        <w:jc w:val="center"/>
        <w:rPr>
          <w:rFonts w:ascii="宋体" w:hAnsi="宋体" w:cs="宋体"/>
          <w:b/>
          <w:color w:val="auto"/>
          <w:kern w:val="0"/>
          <w:sz w:val="32"/>
          <w:szCs w:val="32"/>
          <w:highlight w:val="none"/>
        </w:rPr>
      </w:pPr>
    </w:p>
    <w:p w14:paraId="2A1DB90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七、人员配置清单</w:t>
      </w:r>
    </w:p>
    <w:p w14:paraId="64FCF06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（按招标文件内容提供，格式自拟）</w:t>
      </w:r>
    </w:p>
    <w:p w14:paraId="33E4EF47">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rPr>
        <w:t>、商务技术偏离表</w:t>
      </w:r>
    </w:p>
    <w:tbl>
      <w:tblPr>
        <w:tblStyle w:val="18"/>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982FA8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FA2146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2B90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6B6935F5">
            <w:pPr>
              <w:jc w:val="center"/>
              <w:rPr>
                <w:rFonts w:ascii="宋体" w:hAnsi="宋体" w:cs="宋体"/>
                <w:b/>
                <w:color w:val="auto"/>
                <w:kern w:val="0"/>
                <w:sz w:val="32"/>
                <w:szCs w:val="32"/>
                <w:highlight w:val="none"/>
              </w:rPr>
            </w:pPr>
          </w:p>
        </w:tc>
        <w:tc>
          <w:tcPr>
            <w:tcW w:w="3062" w:type="dxa"/>
          </w:tcPr>
          <w:p w14:paraId="5FF76456">
            <w:pPr>
              <w:jc w:val="center"/>
              <w:rPr>
                <w:rFonts w:ascii="宋体" w:hAnsi="宋体" w:cs="宋体"/>
                <w:b/>
                <w:color w:val="auto"/>
                <w:kern w:val="0"/>
                <w:sz w:val="32"/>
                <w:szCs w:val="32"/>
                <w:highlight w:val="none"/>
              </w:rPr>
            </w:pPr>
          </w:p>
        </w:tc>
        <w:tc>
          <w:tcPr>
            <w:tcW w:w="1102" w:type="dxa"/>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A2FFE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D96D204">
            <w:pPr>
              <w:jc w:val="center"/>
              <w:rPr>
                <w:rFonts w:ascii="宋体" w:hAnsi="宋体" w:cs="宋体"/>
                <w:b/>
                <w:color w:val="auto"/>
                <w:kern w:val="0"/>
                <w:sz w:val="32"/>
                <w:szCs w:val="32"/>
                <w:highlight w:val="none"/>
              </w:rPr>
            </w:pPr>
          </w:p>
        </w:tc>
        <w:tc>
          <w:tcPr>
            <w:tcW w:w="3062" w:type="dxa"/>
          </w:tcPr>
          <w:p w14:paraId="0A81AFEB">
            <w:pPr>
              <w:jc w:val="center"/>
              <w:rPr>
                <w:rFonts w:ascii="宋体" w:hAnsi="宋体" w:cs="宋体"/>
                <w:b/>
                <w:color w:val="auto"/>
                <w:kern w:val="0"/>
                <w:sz w:val="32"/>
                <w:szCs w:val="32"/>
                <w:highlight w:val="none"/>
              </w:rPr>
            </w:pPr>
          </w:p>
        </w:tc>
        <w:tc>
          <w:tcPr>
            <w:tcW w:w="1102" w:type="dxa"/>
          </w:tcPr>
          <w:p w14:paraId="167149FF">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5BFD28">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0A4801BD">
            <w:pPr>
              <w:jc w:val="center"/>
              <w:rPr>
                <w:rFonts w:ascii="宋体" w:hAnsi="宋体" w:cs="宋体"/>
                <w:b/>
                <w:color w:val="auto"/>
                <w:kern w:val="0"/>
                <w:sz w:val="32"/>
                <w:szCs w:val="32"/>
                <w:highlight w:val="none"/>
              </w:rPr>
            </w:pPr>
          </w:p>
        </w:tc>
        <w:tc>
          <w:tcPr>
            <w:tcW w:w="3062" w:type="dxa"/>
          </w:tcPr>
          <w:p w14:paraId="25AE5A44">
            <w:pPr>
              <w:jc w:val="center"/>
              <w:rPr>
                <w:rFonts w:ascii="宋体" w:hAnsi="宋体" w:cs="宋体"/>
                <w:b/>
                <w:color w:val="auto"/>
                <w:kern w:val="0"/>
                <w:sz w:val="32"/>
                <w:szCs w:val="32"/>
                <w:highlight w:val="none"/>
              </w:rPr>
            </w:pPr>
          </w:p>
        </w:tc>
        <w:tc>
          <w:tcPr>
            <w:tcW w:w="1102" w:type="dxa"/>
          </w:tcPr>
          <w:p w14:paraId="62B49A7F">
            <w:pPr>
              <w:jc w:val="center"/>
              <w:rPr>
                <w:rFonts w:ascii="宋体" w:hAnsi="宋体" w:cs="宋体"/>
                <w:b/>
                <w:color w:val="auto"/>
                <w:kern w:val="0"/>
                <w:sz w:val="32"/>
                <w:szCs w:val="32"/>
                <w:highlight w:val="none"/>
              </w:rPr>
            </w:pPr>
          </w:p>
        </w:tc>
      </w:tr>
    </w:tbl>
    <w:p w14:paraId="64B7359B">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0B2AAAA">
      <w:pPr>
        <w:jc w:val="center"/>
        <w:rPr>
          <w:rFonts w:ascii="宋体" w:hAnsi="宋体" w:cs="宋体"/>
          <w:b/>
          <w:color w:val="auto"/>
          <w:kern w:val="0"/>
          <w:sz w:val="32"/>
          <w:szCs w:val="32"/>
          <w:highlight w:val="none"/>
        </w:rPr>
      </w:pPr>
    </w:p>
    <w:p w14:paraId="710C0A52">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49BE1496">
      <w:pPr>
        <w:ind w:firstLine="1911" w:firstLineChars="595"/>
        <w:rPr>
          <w:rFonts w:ascii="宋体" w:hAnsi="宋体" w:cs="宋体"/>
          <w:b/>
          <w:bCs/>
          <w:color w:val="auto"/>
          <w:sz w:val="32"/>
          <w:szCs w:val="32"/>
          <w:highlight w:val="none"/>
        </w:rPr>
      </w:pPr>
    </w:p>
    <w:p w14:paraId="7042B3A7">
      <w:pPr>
        <w:ind w:firstLine="1911" w:firstLineChars="595"/>
        <w:rPr>
          <w:rFonts w:ascii="宋体" w:hAnsi="宋体" w:cs="宋体"/>
          <w:b/>
          <w:bCs/>
          <w:color w:val="auto"/>
          <w:sz w:val="32"/>
          <w:szCs w:val="32"/>
          <w:highlight w:val="none"/>
        </w:rPr>
      </w:pPr>
    </w:p>
    <w:p w14:paraId="21094B72">
      <w:pPr>
        <w:ind w:firstLine="1911" w:firstLineChars="595"/>
        <w:rPr>
          <w:rFonts w:ascii="宋体" w:hAnsi="宋体" w:cs="宋体"/>
          <w:b/>
          <w:bCs/>
          <w:color w:val="auto"/>
          <w:sz w:val="32"/>
          <w:szCs w:val="32"/>
          <w:highlight w:val="none"/>
        </w:rPr>
      </w:pPr>
    </w:p>
    <w:p w14:paraId="1B6858A7">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EE6DE81">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2619FD1C">
      <w:pPr>
        <w:snapToGrid w:val="0"/>
        <w:spacing w:line="360" w:lineRule="auto"/>
        <w:rPr>
          <w:rFonts w:ascii="宋体" w:hAnsi="宋体" w:cs="宋体"/>
          <w:color w:val="auto"/>
          <w:sz w:val="24"/>
          <w:highlight w:val="none"/>
        </w:rPr>
      </w:pPr>
    </w:p>
    <w:p w14:paraId="796BC50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B67728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61F21A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658F70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FBA212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27F3A0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2F0D91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BB4940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C9BAC2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7B62DA4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4C4D8B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B965F7E">
      <w:pPr>
        <w:autoSpaceDE w:val="0"/>
        <w:autoSpaceDN w:val="0"/>
        <w:spacing w:line="360" w:lineRule="auto"/>
        <w:ind w:left="2"/>
        <w:jc w:val="left"/>
        <w:rPr>
          <w:rFonts w:ascii="宋体" w:hAnsi="宋体" w:cs="宋体"/>
          <w:color w:val="auto"/>
          <w:kern w:val="0"/>
          <w:sz w:val="24"/>
          <w:highlight w:val="none"/>
          <w:lang w:val="zh-CN"/>
        </w:rPr>
      </w:pPr>
    </w:p>
    <w:p w14:paraId="39195F20">
      <w:pPr>
        <w:autoSpaceDE w:val="0"/>
        <w:autoSpaceDN w:val="0"/>
        <w:spacing w:line="360" w:lineRule="auto"/>
        <w:ind w:left="2"/>
        <w:jc w:val="left"/>
        <w:rPr>
          <w:rFonts w:ascii="宋体" w:hAnsi="宋体" w:cs="宋体"/>
          <w:color w:val="auto"/>
          <w:kern w:val="0"/>
          <w:sz w:val="24"/>
          <w:highlight w:val="none"/>
          <w:lang w:val="zh-CN"/>
        </w:rPr>
      </w:pPr>
    </w:p>
    <w:p w14:paraId="70CBF0ED">
      <w:pPr>
        <w:autoSpaceDE w:val="0"/>
        <w:autoSpaceDN w:val="0"/>
        <w:spacing w:line="360" w:lineRule="auto"/>
        <w:ind w:left="2"/>
        <w:jc w:val="left"/>
        <w:rPr>
          <w:rFonts w:ascii="宋体" w:hAnsi="宋体" w:cs="宋体"/>
          <w:color w:val="auto"/>
          <w:kern w:val="0"/>
          <w:sz w:val="24"/>
          <w:highlight w:val="none"/>
          <w:lang w:val="zh-CN"/>
        </w:rPr>
      </w:pPr>
    </w:p>
    <w:p w14:paraId="1C56793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0166966">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5F93B45">
      <w:pPr>
        <w:spacing w:line="360" w:lineRule="auto"/>
        <w:jc w:val="center"/>
        <w:rPr>
          <w:rFonts w:ascii="宋体" w:hAnsi="宋体" w:cs="宋体"/>
          <w:b/>
          <w:bCs/>
          <w:color w:val="auto"/>
          <w:sz w:val="24"/>
          <w:highlight w:val="none"/>
        </w:rPr>
      </w:pPr>
    </w:p>
    <w:p w14:paraId="05C77E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C0B7333">
      <w:pPr>
        <w:spacing w:line="360" w:lineRule="auto"/>
        <w:jc w:val="center"/>
        <w:rPr>
          <w:rFonts w:ascii="宋体" w:hAnsi="宋体" w:cs="宋体"/>
          <w:b/>
          <w:bCs/>
          <w:color w:val="auto"/>
          <w:sz w:val="24"/>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14:paraId="53D24CB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60063E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2FAB4E6">
      <w:pPr>
        <w:spacing w:line="360" w:lineRule="auto"/>
        <w:jc w:val="center"/>
        <w:outlineLvl w:val="0"/>
        <w:rPr>
          <w:rFonts w:ascii="宋体" w:hAnsi="宋体" w:cs="宋体"/>
          <w:b/>
          <w:color w:val="auto"/>
          <w:kern w:val="0"/>
          <w:sz w:val="36"/>
          <w:szCs w:val="36"/>
          <w:highlight w:val="none"/>
        </w:rPr>
      </w:pPr>
    </w:p>
    <w:p w14:paraId="48200F11">
      <w:pPr>
        <w:numPr>
          <w:ilvl w:val="0"/>
          <w:numId w:val="3"/>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7AB07CC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4374C50A">
      <w:pPr>
        <w:pStyle w:val="27"/>
        <w:rPr>
          <w:rFonts w:hint="eastAsia"/>
          <w:color w:val="auto"/>
          <w:highlight w:val="none"/>
        </w:rPr>
      </w:pPr>
    </w:p>
    <w:p w14:paraId="4DA9F2CD">
      <w:pPr>
        <w:pStyle w:val="27"/>
        <w:rPr>
          <w:color w:val="auto"/>
          <w:highlight w:val="none"/>
        </w:rPr>
      </w:pPr>
    </w:p>
    <w:p w14:paraId="0FBB4570">
      <w:pPr>
        <w:snapToGrid w:val="0"/>
        <w:spacing w:line="360" w:lineRule="auto"/>
        <w:ind w:right="480"/>
        <w:jc w:val="center"/>
        <w:rPr>
          <w:rFonts w:ascii="宋体" w:hAnsi="宋体" w:cs="宋体"/>
          <w:b/>
          <w:color w:val="auto"/>
          <w:kern w:val="0"/>
          <w:sz w:val="32"/>
          <w:szCs w:val="32"/>
          <w:highlight w:val="none"/>
        </w:rPr>
      </w:pPr>
    </w:p>
    <w:p w14:paraId="5AFFDCF3">
      <w:pPr>
        <w:snapToGrid w:val="0"/>
        <w:spacing w:line="360" w:lineRule="auto"/>
        <w:ind w:right="480"/>
        <w:jc w:val="center"/>
        <w:rPr>
          <w:rFonts w:ascii="宋体" w:hAnsi="宋体" w:cs="宋体"/>
          <w:b/>
          <w:color w:val="auto"/>
          <w:kern w:val="0"/>
          <w:sz w:val="32"/>
          <w:szCs w:val="32"/>
          <w:highlight w:val="none"/>
        </w:rPr>
      </w:pPr>
    </w:p>
    <w:p w14:paraId="10A7AAE1">
      <w:pPr>
        <w:snapToGrid w:val="0"/>
        <w:spacing w:line="360" w:lineRule="auto"/>
        <w:ind w:right="480"/>
        <w:jc w:val="center"/>
        <w:rPr>
          <w:rFonts w:ascii="宋体" w:hAnsi="宋体" w:cs="宋体"/>
          <w:b/>
          <w:color w:val="auto"/>
          <w:kern w:val="0"/>
          <w:sz w:val="32"/>
          <w:szCs w:val="32"/>
          <w:highlight w:val="none"/>
        </w:rPr>
      </w:pPr>
    </w:p>
    <w:p w14:paraId="3FB0E389">
      <w:pPr>
        <w:snapToGrid w:val="0"/>
        <w:spacing w:line="360" w:lineRule="auto"/>
        <w:ind w:right="480"/>
        <w:jc w:val="center"/>
        <w:rPr>
          <w:rFonts w:ascii="宋体" w:hAnsi="宋体" w:cs="宋体"/>
          <w:b/>
          <w:color w:val="auto"/>
          <w:kern w:val="0"/>
          <w:sz w:val="32"/>
          <w:szCs w:val="32"/>
          <w:highlight w:val="none"/>
        </w:rPr>
      </w:pPr>
    </w:p>
    <w:p w14:paraId="115027FA">
      <w:pPr>
        <w:snapToGrid w:val="0"/>
        <w:spacing w:line="360" w:lineRule="auto"/>
        <w:ind w:right="480"/>
        <w:jc w:val="center"/>
        <w:rPr>
          <w:rFonts w:ascii="宋体" w:hAnsi="宋体" w:cs="宋体"/>
          <w:b/>
          <w:color w:val="auto"/>
          <w:kern w:val="0"/>
          <w:sz w:val="32"/>
          <w:szCs w:val="32"/>
          <w:highlight w:val="none"/>
        </w:rPr>
      </w:pPr>
    </w:p>
    <w:p w14:paraId="337961BC">
      <w:pPr>
        <w:snapToGrid w:val="0"/>
        <w:spacing w:line="360" w:lineRule="auto"/>
        <w:ind w:right="480"/>
        <w:jc w:val="center"/>
        <w:rPr>
          <w:rFonts w:ascii="宋体" w:hAnsi="宋体" w:cs="宋体"/>
          <w:b/>
          <w:color w:val="auto"/>
          <w:kern w:val="0"/>
          <w:sz w:val="32"/>
          <w:szCs w:val="32"/>
          <w:highlight w:val="none"/>
        </w:rPr>
      </w:pPr>
    </w:p>
    <w:p w14:paraId="7141EA06">
      <w:pPr>
        <w:snapToGrid w:val="0"/>
        <w:spacing w:line="360" w:lineRule="auto"/>
        <w:ind w:right="480"/>
        <w:jc w:val="center"/>
        <w:rPr>
          <w:rFonts w:ascii="宋体" w:hAnsi="宋体" w:cs="宋体"/>
          <w:b/>
          <w:color w:val="auto"/>
          <w:kern w:val="0"/>
          <w:sz w:val="32"/>
          <w:szCs w:val="32"/>
          <w:highlight w:val="none"/>
        </w:rPr>
      </w:pPr>
    </w:p>
    <w:p w14:paraId="66E8FD50">
      <w:pPr>
        <w:snapToGrid w:val="0"/>
        <w:spacing w:line="360" w:lineRule="auto"/>
        <w:ind w:right="480"/>
        <w:jc w:val="center"/>
        <w:rPr>
          <w:rFonts w:ascii="宋体" w:hAnsi="宋体" w:cs="宋体"/>
          <w:b/>
          <w:color w:val="auto"/>
          <w:kern w:val="0"/>
          <w:sz w:val="32"/>
          <w:szCs w:val="32"/>
          <w:highlight w:val="none"/>
        </w:rPr>
      </w:pPr>
    </w:p>
    <w:p w14:paraId="50F160CE">
      <w:pPr>
        <w:snapToGrid w:val="0"/>
        <w:spacing w:line="360" w:lineRule="auto"/>
        <w:ind w:right="480"/>
        <w:jc w:val="center"/>
        <w:rPr>
          <w:rFonts w:ascii="宋体" w:hAnsi="宋体" w:cs="宋体"/>
          <w:b/>
          <w:color w:val="auto"/>
          <w:kern w:val="0"/>
          <w:sz w:val="32"/>
          <w:szCs w:val="32"/>
          <w:highlight w:val="none"/>
        </w:rPr>
      </w:pPr>
    </w:p>
    <w:p w14:paraId="4A58B3F0">
      <w:pPr>
        <w:snapToGrid w:val="0"/>
        <w:spacing w:line="360" w:lineRule="auto"/>
        <w:ind w:right="480"/>
        <w:jc w:val="center"/>
        <w:rPr>
          <w:rFonts w:ascii="宋体" w:hAnsi="宋体" w:cs="宋体"/>
          <w:b/>
          <w:color w:val="auto"/>
          <w:kern w:val="0"/>
          <w:sz w:val="32"/>
          <w:szCs w:val="32"/>
          <w:highlight w:val="none"/>
        </w:rPr>
      </w:pPr>
    </w:p>
    <w:p w14:paraId="4E57D7EE">
      <w:pPr>
        <w:snapToGrid w:val="0"/>
        <w:spacing w:line="360" w:lineRule="auto"/>
        <w:ind w:right="480"/>
        <w:jc w:val="center"/>
        <w:rPr>
          <w:rFonts w:ascii="宋体" w:hAnsi="宋体" w:cs="宋体"/>
          <w:b/>
          <w:color w:val="auto"/>
          <w:kern w:val="0"/>
          <w:sz w:val="32"/>
          <w:szCs w:val="32"/>
          <w:highlight w:val="none"/>
        </w:rPr>
      </w:pPr>
    </w:p>
    <w:p w14:paraId="5FBC9E6B">
      <w:pPr>
        <w:snapToGrid w:val="0"/>
        <w:spacing w:line="360" w:lineRule="auto"/>
        <w:ind w:right="480"/>
        <w:jc w:val="center"/>
        <w:rPr>
          <w:rFonts w:ascii="宋体" w:hAnsi="宋体" w:cs="宋体"/>
          <w:b/>
          <w:color w:val="auto"/>
          <w:kern w:val="0"/>
          <w:sz w:val="32"/>
          <w:szCs w:val="32"/>
          <w:highlight w:val="none"/>
        </w:rPr>
      </w:pPr>
    </w:p>
    <w:p w14:paraId="7F821D76">
      <w:pPr>
        <w:snapToGrid w:val="0"/>
        <w:spacing w:line="360" w:lineRule="auto"/>
        <w:ind w:right="480"/>
        <w:jc w:val="center"/>
        <w:rPr>
          <w:rFonts w:ascii="宋体" w:hAnsi="宋体" w:cs="宋体"/>
          <w:b/>
          <w:color w:val="auto"/>
          <w:kern w:val="0"/>
          <w:sz w:val="32"/>
          <w:szCs w:val="32"/>
          <w:highlight w:val="none"/>
        </w:rPr>
      </w:pPr>
    </w:p>
    <w:p w14:paraId="242935C1">
      <w:pPr>
        <w:snapToGrid w:val="0"/>
        <w:spacing w:line="360" w:lineRule="auto"/>
        <w:ind w:right="480"/>
        <w:jc w:val="center"/>
        <w:rPr>
          <w:rFonts w:ascii="宋体" w:hAnsi="宋体" w:cs="宋体"/>
          <w:b/>
          <w:color w:val="auto"/>
          <w:kern w:val="0"/>
          <w:sz w:val="32"/>
          <w:szCs w:val="32"/>
          <w:highlight w:val="none"/>
        </w:rPr>
      </w:pPr>
    </w:p>
    <w:p w14:paraId="09307FF9">
      <w:pPr>
        <w:snapToGrid w:val="0"/>
        <w:spacing w:line="360" w:lineRule="auto"/>
        <w:ind w:right="480"/>
        <w:jc w:val="center"/>
        <w:rPr>
          <w:rFonts w:ascii="宋体" w:hAnsi="宋体" w:cs="宋体"/>
          <w:b/>
          <w:color w:val="auto"/>
          <w:kern w:val="0"/>
          <w:sz w:val="32"/>
          <w:szCs w:val="32"/>
          <w:highlight w:val="none"/>
        </w:rPr>
      </w:pPr>
    </w:p>
    <w:p w14:paraId="54E69E0A">
      <w:pPr>
        <w:pStyle w:val="4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cols w:space="720" w:num="1"/>
          <w:titlePg/>
          <w:docGrid w:linePitch="312" w:charSpace="0"/>
        </w:sectPr>
      </w:pPr>
    </w:p>
    <w:p w14:paraId="11B9D219">
      <w:pPr>
        <w:pStyle w:val="4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B6C821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30172B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12B5C6D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1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3827"/>
        <w:gridCol w:w="2127"/>
      </w:tblGrid>
      <w:tr w14:paraId="5B21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17" w:type="dxa"/>
            <w:vAlign w:val="center"/>
          </w:tcPr>
          <w:p w14:paraId="6F09C5B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2FE9D96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26503CF2">
            <w:pPr>
              <w:spacing w:line="360" w:lineRule="auto"/>
              <w:jc w:val="center"/>
              <w:rPr>
                <w:rFonts w:ascii="宋体" w:hAnsi="宋体" w:cs="宋体"/>
                <w:b/>
                <w:color w:val="auto"/>
                <w:sz w:val="24"/>
                <w:highlight w:val="none"/>
              </w:rPr>
            </w:pPr>
          </w:p>
          <w:p w14:paraId="3E19D2F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252A8E7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58BE2EC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3827" w:type="dxa"/>
            <w:vAlign w:val="center"/>
          </w:tcPr>
          <w:p w14:paraId="28633A6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vAlign w:val="center"/>
          </w:tcPr>
          <w:p w14:paraId="019C3913">
            <w:pPr>
              <w:spacing w:line="360" w:lineRule="auto"/>
              <w:jc w:val="center"/>
              <w:rPr>
                <w:rFonts w:ascii="宋体" w:hAnsi="宋体" w:cs="宋体"/>
                <w:b/>
                <w:color w:val="auto"/>
                <w:sz w:val="24"/>
                <w:highlight w:val="none"/>
              </w:rPr>
            </w:pPr>
          </w:p>
          <w:p w14:paraId="0BEA265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154501AC">
            <w:pPr>
              <w:spacing w:line="360" w:lineRule="auto"/>
              <w:jc w:val="center"/>
              <w:rPr>
                <w:rFonts w:ascii="宋体" w:hAnsi="宋体" w:cs="宋体"/>
                <w:b/>
                <w:color w:val="auto"/>
                <w:sz w:val="24"/>
                <w:highlight w:val="none"/>
              </w:rPr>
            </w:pPr>
          </w:p>
        </w:tc>
      </w:tr>
      <w:tr w14:paraId="18AF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60325BA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4FAFADA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511CF684">
            <w:pPr>
              <w:snapToGrid w:val="0"/>
              <w:spacing w:line="360" w:lineRule="auto"/>
              <w:jc w:val="center"/>
              <w:rPr>
                <w:rFonts w:ascii="宋体" w:hAnsi="宋体" w:cs="宋体"/>
                <w:color w:val="auto"/>
                <w:sz w:val="24"/>
                <w:highlight w:val="none"/>
              </w:rPr>
            </w:pPr>
          </w:p>
        </w:tc>
        <w:tc>
          <w:tcPr>
            <w:tcW w:w="2410" w:type="dxa"/>
            <w:vAlign w:val="center"/>
          </w:tcPr>
          <w:p w14:paraId="54D3447D">
            <w:pPr>
              <w:snapToGrid w:val="0"/>
              <w:spacing w:line="360" w:lineRule="auto"/>
              <w:jc w:val="center"/>
              <w:rPr>
                <w:rFonts w:ascii="宋体" w:hAnsi="宋体" w:cs="宋体"/>
                <w:color w:val="auto"/>
                <w:sz w:val="24"/>
                <w:highlight w:val="none"/>
              </w:rPr>
            </w:pPr>
          </w:p>
        </w:tc>
        <w:tc>
          <w:tcPr>
            <w:tcW w:w="2268" w:type="dxa"/>
            <w:vAlign w:val="center"/>
          </w:tcPr>
          <w:p w14:paraId="799EE317">
            <w:pPr>
              <w:snapToGrid w:val="0"/>
              <w:spacing w:line="360" w:lineRule="auto"/>
              <w:jc w:val="center"/>
              <w:rPr>
                <w:rFonts w:ascii="宋体" w:hAnsi="宋体" w:cs="宋体"/>
                <w:color w:val="auto"/>
                <w:sz w:val="24"/>
                <w:highlight w:val="none"/>
              </w:rPr>
            </w:pPr>
          </w:p>
        </w:tc>
        <w:tc>
          <w:tcPr>
            <w:tcW w:w="3827" w:type="dxa"/>
            <w:vAlign w:val="center"/>
          </w:tcPr>
          <w:p w14:paraId="28E3EBE8">
            <w:pPr>
              <w:spacing w:line="360" w:lineRule="auto"/>
              <w:jc w:val="center"/>
              <w:rPr>
                <w:rFonts w:ascii="宋体" w:hAnsi="宋体" w:cs="宋体"/>
                <w:color w:val="auto"/>
                <w:sz w:val="24"/>
                <w:highlight w:val="none"/>
              </w:rPr>
            </w:pPr>
          </w:p>
        </w:tc>
        <w:tc>
          <w:tcPr>
            <w:tcW w:w="2127" w:type="dxa"/>
            <w:vAlign w:val="center"/>
          </w:tcPr>
          <w:p w14:paraId="6722E560">
            <w:pPr>
              <w:spacing w:line="360" w:lineRule="auto"/>
              <w:jc w:val="center"/>
              <w:rPr>
                <w:rFonts w:ascii="宋体" w:hAnsi="宋体" w:cs="宋体"/>
                <w:color w:val="auto"/>
                <w:sz w:val="24"/>
                <w:highlight w:val="none"/>
              </w:rPr>
            </w:pPr>
          </w:p>
        </w:tc>
      </w:tr>
      <w:tr w14:paraId="3B7E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9250D2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5565097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245283DF">
            <w:pPr>
              <w:snapToGrid w:val="0"/>
              <w:spacing w:line="360" w:lineRule="auto"/>
              <w:jc w:val="center"/>
              <w:rPr>
                <w:rFonts w:ascii="宋体" w:hAnsi="宋体" w:cs="宋体"/>
                <w:color w:val="auto"/>
                <w:sz w:val="24"/>
                <w:highlight w:val="none"/>
              </w:rPr>
            </w:pPr>
          </w:p>
        </w:tc>
        <w:tc>
          <w:tcPr>
            <w:tcW w:w="2410" w:type="dxa"/>
            <w:vAlign w:val="center"/>
          </w:tcPr>
          <w:p w14:paraId="7DB4CB9A">
            <w:pPr>
              <w:snapToGrid w:val="0"/>
              <w:spacing w:line="360" w:lineRule="auto"/>
              <w:jc w:val="center"/>
              <w:rPr>
                <w:rFonts w:ascii="宋体" w:hAnsi="宋体" w:cs="宋体"/>
                <w:color w:val="auto"/>
                <w:sz w:val="24"/>
                <w:highlight w:val="none"/>
              </w:rPr>
            </w:pPr>
          </w:p>
        </w:tc>
        <w:tc>
          <w:tcPr>
            <w:tcW w:w="2268" w:type="dxa"/>
            <w:vAlign w:val="center"/>
          </w:tcPr>
          <w:p w14:paraId="13F7BE04">
            <w:pPr>
              <w:snapToGrid w:val="0"/>
              <w:spacing w:line="360" w:lineRule="auto"/>
              <w:jc w:val="center"/>
              <w:rPr>
                <w:rFonts w:ascii="宋体" w:hAnsi="宋体" w:cs="宋体"/>
                <w:color w:val="auto"/>
                <w:sz w:val="24"/>
                <w:highlight w:val="none"/>
              </w:rPr>
            </w:pPr>
          </w:p>
        </w:tc>
        <w:tc>
          <w:tcPr>
            <w:tcW w:w="3827" w:type="dxa"/>
            <w:vAlign w:val="center"/>
          </w:tcPr>
          <w:p w14:paraId="72096337">
            <w:pPr>
              <w:spacing w:line="360" w:lineRule="auto"/>
              <w:jc w:val="center"/>
              <w:rPr>
                <w:rFonts w:ascii="宋体" w:hAnsi="宋体" w:cs="宋体"/>
                <w:color w:val="auto"/>
                <w:sz w:val="24"/>
                <w:highlight w:val="none"/>
              </w:rPr>
            </w:pPr>
          </w:p>
        </w:tc>
        <w:tc>
          <w:tcPr>
            <w:tcW w:w="2127" w:type="dxa"/>
            <w:vAlign w:val="center"/>
          </w:tcPr>
          <w:p w14:paraId="488C15B2">
            <w:pPr>
              <w:spacing w:line="360" w:lineRule="auto"/>
              <w:jc w:val="center"/>
              <w:rPr>
                <w:rFonts w:ascii="宋体" w:hAnsi="宋体" w:cs="宋体"/>
                <w:color w:val="auto"/>
                <w:sz w:val="24"/>
                <w:highlight w:val="none"/>
              </w:rPr>
            </w:pPr>
          </w:p>
        </w:tc>
      </w:tr>
      <w:tr w14:paraId="1679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C17522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0471A200">
            <w:pPr>
              <w:snapToGrid w:val="0"/>
              <w:spacing w:line="360" w:lineRule="auto"/>
              <w:jc w:val="center"/>
              <w:rPr>
                <w:rFonts w:ascii="宋体" w:hAnsi="宋体" w:cs="宋体"/>
                <w:color w:val="auto"/>
                <w:sz w:val="24"/>
                <w:highlight w:val="none"/>
              </w:rPr>
            </w:pPr>
          </w:p>
        </w:tc>
        <w:tc>
          <w:tcPr>
            <w:tcW w:w="2268" w:type="dxa"/>
            <w:vAlign w:val="center"/>
          </w:tcPr>
          <w:p w14:paraId="7582F21D">
            <w:pPr>
              <w:snapToGrid w:val="0"/>
              <w:spacing w:line="360" w:lineRule="auto"/>
              <w:jc w:val="center"/>
              <w:rPr>
                <w:rFonts w:ascii="宋体" w:hAnsi="宋体" w:cs="宋体"/>
                <w:color w:val="auto"/>
                <w:sz w:val="24"/>
                <w:highlight w:val="none"/>
              </w:rPr>
            </w:pPr>
          </w:p>
        </w:tc>
        <w:tc>
          <w:tcPr>
            <w:tcW w:w="2410" w:type="dxa"/>
            <w:vAlign w:val="center"/>
          </w:tcPr>
          <w:p w14:paraId="166154E0">
            <w:pPr>
              <w:snapToGrid w:val="0"/>
              <w:spacing w:line="360" w:lineRule="auto"/>
              <w:jc w:val="center"/>
              <w:rPr>
                <w:rFonts w:ascii="宋体" w:hAnsi="宋体" w:cs="宋体"/>
                <w:color w:val="auto"/>
                <w:sz w:val="24"/>
                <w:highlight w:val="none"/>
              </w:rPr>
            </w:pPr>
          </w:p>
        </w:tc>
        <w:tc>
          <w:tcPr>
            <w:tcW w:w="2268" w:type="dxa"/>
            <w:vAlign w:val="center"/>
          </w:tcPr>
          <w:p w14:paraId="7730D450">
            <w:pPr>
              <w:snapToGrid w:val="0"/>
              <w:spacing w:line="360" w:lineRule="auto"/>
              <w:jc w:val="center"/>
              <w:rPr>
                <w:rFonts w:ascii="宋体" w:hAnsi="宋体" w:cs="宋体"/>
                <w:color w:val="auto"/>
                <w:sz w:val="24"/>
                <w:highlight w:val="none"/>
              </w:rPr>
            </w:pPr>
          </w:p>
        </w:tc>
        <w:tc>
          <w:tcPr>
            <w:tcW w:w="3827" w:type="dxa"/>
            <w:vAlign w:val="center"/>
          </w:tcPr>
          <w:p w14:paraId="6C56946A">
            <w:pPr>
              <w:spacing w:line="360" w:lineRule="auto"/>
              <w:jc w:val="center"/>
              <w:rPr>
                <w:rFonts w:ascii="宋体" w:hAnsi="宋体" w:cs="宋体"/>
                <w:color w:val="auto"/>
                <w:sz w:val="24"/>
                <w:highlight w:val="none"/>
              </w:rPr>
            </w:pPr>
          </w:p>
        </w:tc>
        <w:tc>
          <w:tcPr>
            <w:tcW w:w="2127" w:type="dxa"/>
            <w:vAlign w:val="center"/>
          </w:tcPr>
          <w:p w14:paraId="4D305727">
            <w:pPr>
              <w:spacing w:line="360" w:lineRule="auto"/>
              <w:jc w:val="center"/>
              <w:rPr>
                <w:rFonts w:ascii="宋体" w:hAnsi="宋体" w:cs="宋体"/>
                <w:color w:val="auto"/>
                <w:sz w:val="24"/>
                <w:highlight w:val="none"/>
              </w:rPr>
            </w:pPr>
          </w:p>
        </w:tc>
      </w:tr>
      <w:tr w14:paraId="4818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2E5BFB3">
            <w:pPr>
              <w:spacing w:line="360" w:lineRule="auto"/>
              <w:jc w:val="center"/>
              <w:rPr>
                <w:rFonts w:ascii="宋体" w:hAnsi="宋体" w:cs="宋体"/>
                <w:color w:val="auto"/>
                <w:sz w:val="24"/>
                <w:highlight w:val="none"/>
              </w:rPr>
            </w:pPr>
          </w:p>
        </w:tc>
        <w:tc>
          <w:tcPr>
            <w:tcW w:w="992" w:type="dxa"/>
            <w:vAlign w:val="center"/>
          </w:tcPr>
          <w:p w14:paraId="1C2BEA28">
            <w:pPr>
              <w:snapToGrid w:val="0"/>
              <w:spacing w:line="360" w:lineRule="auto"/>
              <w:jc w:val="center"/>
              <w:rPr>
                <w:rFonts w:ascii="宋体" w:hAnsi="宋体" w:cs="宋体"/>
                <w:color w:val="auto"/>
                <w:sz w:val="24"/>
                <w:highlight w:val="none"/>
              </w:rPr>
            </w:pPr>
          </w:p>
        </w:tc>
        <w:tc>
          <w:tcPr>
            <w:tcW w:w="2268" w:type="dxa"/>
            <w:vAlign w:val="center"/>
          </w:tcPr>
          <w:p w14:paraId="2558C242">
            <w:pPr>
              <w:snapToGrid w:val="0"/>
              <w:spacing w:line="360" w:lineRule="auto"/>
              <w:jc w:val="center"/>
              <w:rPr>
                <w:rFonts w:ascii="宋体" w:hAnsi="宋体" w:cs="宋体"/>
                <w:color w:val="auto"/>
                <w:sz w:val="24"/>
                <w:highlight w:val="none"/>
              </w:rPr>
            </w:pPr>
          </w:p>
        </w:tc>
        <w:tc>
          <w:tcPr>
            <w:tcW w:w="2410" w:type="dxa"/>
            <w:vAlign w:val="center"/>
          </w:tcPr>
          <w:p w14:paraId="44B223E5">
            <w:pPr>
              <w:snapToGrid w:val="0"/>
              <w:spacing w:line="360" w:lineRule="auto"/>
              <w:jc w:val="center"/>
              <w:rPr>
                <w:rFonts w:ascii="宋体" w:hAnsi="宋体" w:cs="宋体"/>
                <w:color w:val="auto"/>
                <w:sz w:val="24"/>
                <w:highlight w:val="none"/>
              </w:rPr>
            </w:pPr>
          </w:p>
        </w:tc>
        <w:tc>
          <w:tcPr>
            <w:tcW w:w="2268" w:type="dxa"/>
            <w:vAlign w:val="center"/>
          </w:tcPr>
          <w:p w14:paraId="1D316F00">
            <w:pPr>
              <w:snapToGrid w:val="0"/>
              <w:spacing w:line="360" w:lineRule="auto"/>
              <w:jc w:val="center"/>
              <w:rPr>
                <w:rFonts w:ascii="宋体" w:hAnsi="宋体" w:cs="宋体"/>
                <w:color w:val="auto"/>
                <w:sz w:val="24"/>
                <w:highlight w:val="none"/>
              </w:rPr>
            </w:pPr>
          </w:p>
        </w:tc>
        <w:tc>
          <w:tcPr>
            <w:tcW w:w="3827" w:type="dxa"/>
            <w:vAlign w:val="center"/>
          </w:tcPr>
          <w:p w14:paraId="17FDE599">
            <w:pPr>
              <w:spacing w:line="360" w:lineRule="auto"/>
              <w:jc w:val="center"/>
              <w:rPr>
                <w:rFonts w:ascii="宋体" w:hAnsi="宋体" w:cs="宋体"/>
                <w:color w:val="auto"/>
                <w:sz w:val="24"/>
                <w:highlight w:val="none"/>
              </w:rPr>
            </w:pPr>
          </w:p>
        </w:tc>
        <w:tc>
          <w:tcPr>
            <w:tcW w:w="2127" w:type="dxa"/>
            <w:vAlign w:val="center"/>
          </w:tcPr>
          <w:p w14:paraId="7BCACB01">
            <w:pPr>
              <w:spacing w:line="360" w:lineRule="auto"/>
              <w:jc w:val="center"/>
              <w:rPr>
                <w:rFonts w:ascii="宋体" w:hAnsi="宋体" w:cs="宋体"/>
                <w:color w:val="auto"/>
                <w:sz w:val="24"/>
                <w:highlight w:val="none"/>
              </w:rPr>
            </w:pPr>
          </w:p>
        </w:tc>
      </w:tr>
      <w:tr w14:paraId="6F41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487" w:type="dxa"/>
            <w:gridSpan w:val="4"/>
            <w:vAlign w:val="center"/>
          </w:tcPr>
          <w:p w14:paraId="7DFE5E00">
            <w:pPr>
              <w:jc w:val="center"/>
              <w:rPr>
                <w:color w:val="auto"/>
                <w:sz w:val="24"/>
                <w:highlight w:val="none"/>
              </w:rPr>
            </w:pPr>
            <w:r>
              <w:rPr>
                <w:rFonts w:hint="eastAsia"/>
                <w:color w:val="auto"/>
                <w:sz w:val="24"/>
                <w:highlight w:val="none"/>
              </w:rPr>
              <w:t>投标报价</w:t>
            </w:r>
          </w:p>
        </w:tc>
        <w:tc>
          <w:tcPr>
            <w:tcW w:w="8222" w:type="dxa"/>
            <w:gridSpan w:val="3"/>
            <w:vAlign w:val="center"/>
          </w:tcPr>
          <w:p w14:paraId="5C3B380D">
            <w:pPr>
              <w:jc w:val="left"/>
              <w:rPr>
                <w:color w:val="auto"/>
                <w:sz w:val="24"/>
                <w:highlight w:val="none"/>
              </w:rPr>
            </w:pPr>
            <w:r>
              <w:rPr>
                <w:color w:val="auto"/>
                <w:sz w:val="24"/>
                <w:highlight w:val="none"/>
              </w:rPr>
              <w:t>小写：</w:t>
            </w:r>
          </w:p>
          <w:p w14:paraId="78C18E7E">
            <w:pPr>
              <w:pStyle w:val="3"/>
              <w:rPr>
                <w:rFonts w:ascii="Times New Roman" w:hAnsi="Times New Roman" w:eastAsia="宋体"/>
                <w:b w:val="0"/>
                <w:bCs w:val="0"/>
                <w:color w:val="auto"/>
                <w:sz w:val="24"/>
                <w:szCs w:val="24"/>
                <w:highlight w:val="none"/>
                <w:lang w:val="en-US"/>
              </w:rPr>
            </w:pPr>
            <w:r>
              <w:rPr>
                <w:rFonts w:ascii="Times New Roman" w:hAnsi="Times New Roman" w:eastAsia="宋体"/>
                <w:b w:val="0"/>
                <w:bCs w:val="0"/>
                <w:color w:val="auto"/>
                <w:sz w:val="24"/>
                <w:szCs w:val="24"/>
                <w:highlight w:val="none"/>
                <w:lang w:val="en-US"/>
              </w:rPr>
              <w:t>大写：</w:t>
            </w:r>
          </w:p>
        </w:tc>
      </w:tr>
    </w:tbl>
    <w:p w14:paraId="01CBEDC1">
      <w:pPr>
        <w:rPr>
          <w:rFonts w:hint="eastAsia" w:eastAsia="宋体"/>
          <w:color w:val="auto"/>
          <w:highlight w:val="none"/>
          <w:lang w:val="zh-CN" w:eastAsia="zh-CN"/>
        </w:rPr>
      </w:pPr>
    </w:p>
    <w:p w14:paraId="6805EFD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2605B0E4">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7F9435C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A378867">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2511CE14">
      <w:pPr>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br w:type="page"/>
      </w:r>
    </w:p>
    <w:p w14:paraId="2E2BF48B">
      <w:pPr>
        <w:pStyle w:val="4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114DD07">
      <w:pPr>
        <w:pStyle w:val="4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rPr>
        <w:t>关于符合本国产品标准的声明函或财政部会同有关部门规定的有关证明文件（如果有）</w:t>
      </w:r>
    </w:p>
    <w:p w14:paraId="26783624">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符合《国务院办公厅关于在政府采购中实施本国产品标准及相关政策的通知》规定的本国产品拟享受价格扣除政策的，需提供关于符合本国产品标准的声明函（附件9）或财政部会同有关部门规定的有关证明文件。]</w:t>
      </w:r>
    </w:p>
    <w:p w14:paraId="01E4464E">
      <w:pPr>
        <w:widowControl/>
        <w:spacing w:line="360" w:lineRule="auto"/>
        <w:jc w:val="left"/>
        <w:rPr>
          <w:rFonts w:ascii="宋体" w:hAnsi="宋体" w:cs="宋体"/>
          <w:b/>
          <w:color w:val="auto"/>
          <w:sz w:val="24"/>
          <w:highlight w:val="none"/>
          <w:u w:val="single"/>
        </w:rPr>
      </w:pPr>
      <w:r>
        <w:rPr>
          <w:rFonts w:hint="eastAsia" w:ascii="宋体" w:hAnsi="宋体" w:cs="宋体"/>
          <w:b/>
          <w:color w:val="auto"/>
          <w:sz w:val="24"/>
          <w:highlight w:val="none"/>
          <w:u w:val="single"/>
        </w:rPr>
        <w:t>注：投标人未提供关于符合本国产品标准的声明函（</w:t>
      </w:r>
      <w:r>
        <w:rPr>
          <w:rFonts w:hint="eastAsia" w:ascii="宋体" w:hAnsi="宋体" w:cs="宋体"/>
          <w:b/>
          <w:color w:val="auto"/>
          <w:sz w:val="24"/>
          <w:highlight w:val="none"/>
        </w:rPr>
        <w:t>或财政部会同有关部门规定的有关证明文件</w:t>
      </w:r>
      <w:r>
        <w:rPr>
          <w:rFonts w:hint="eastAsia" w:ascii="宋体" w:hAnsi="宋体" w:cs="宋体"/>
          <w:b/>
          <w:color w:val="auto"/>
          <w:sz w:val="24"/>
          <w:highlight w:val="none"/>
          <w:u w:val="single"/>
        </w:rPr>
        <w:t>）或提供的关于符合本国产品标准的声明函（</w:t>
      </w:r>
      <w:r>
        <w:rPr>
          <w:rFonts w:hint="eastAsia" w:ascii="宋体" w:hAnsi="宋体" w:cs="宋体"/>
          <w:b/>
          <w:color w:val="auto"/>
          <w:sz w:val="24"/>
          <w:highlight w:val="none"/>
        </w:rPr>
        <w:t>或财政部会同有关部门规定的有关证明文件</w:t>
      </w:r>
      <w:r>
        <w:rPr>
          <w:rFonts w:hint="eastAsia" w:ascii="宋体" w:hAnsi="宋体" w:cs="宋体"/>
          <w:b/>
          <w:color w:val="auto"/>
          <w:sz w:val="24"/>
          <w:highlight w:val="none"/>
          <w:u w:val="single"/>
        </w:rPr>
        <w:t>）不符合要求的，不享受该价格扣除政策。</w:t>
      </w:r>
    </w:p>
    <w:p w14:paraId="0995715E">
      <w:pPr>
        <w:pStyle w:val="42"/>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三、</w:t>
      </w:r>
      <w:r>
        <w:rPr>
          <w:rFonts w:hint="eastAsia" w:ascii="宋体" w:hAnsi="宋体" w:eastAsia="宋体" w:cs="宋体"/>
          <w:color w:val="auto"/>
          <w:sz w:val="32"/>
          <w:szCs w:val="32"/>
          <w:highlight w:val="none"/>
        </w:rPr>
        <w:t>中小企业声明函（如果有）</w:t>
      </w:r>
    </w:p>
    <w:p w14:paraId="7CC9C277">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0EB77924">
      <w:pPr>
        <w:pStyle w:val="27"/>
        <w:rPr>
          <w:rFonts w:hint="eastAsia" w:ascii="宋体" w:hAnsi="宋体" w:cs="宋体"/>
          <w:b/>
          <w:color w:val="auto"/>
          <w:sz w:val="24"/>
          <w:highlight w:val="none"/>
        </w:rPr>
      </w:pPr>
    </w:p>
    <w:p w14:paraId="1AA2EA6C">
      <w:pPr>
        <w:pStyle w:val="27"/>
        <w:rPr>
          <w:rFonts w:hint="eastAsia" w:ascii="宋体" w:hAnsi="宋体" w:cs="宋体"/>
          <w:b/>
          <w:color w:val="auto"/>
          <w:sz w:val="24"/>
          <w:highlight w:val="none"/>
        </w:rPr>
      </w:pPr>
    </w:p>
    <w:p w14:paraId="4AF87534">
      <w:pPr>
        <w:pStyle w:val="42"/>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33D4F674">
      <w:pPr>
        <w:spacing w:line="360" w:lineRule="auto"/>
        <w:ind w:right="420" w:firstLine="3614" w:firstLineChars="1000"/>
        <w:rPr>
          <w:rFonts w:ascii="宋体" w:hAnsi="宋体" w:cs="宋体"/>
          <w:b/>
          <w:color w:val="auto"/>
          <w:kern w:val="0"/>
          <w:sz w:val="36"/>
          <w:szCs w:val="36"/>
          <w:highlight w:val="none"/>
        </w:rPr>
      </w:pPr>
    </w:p>
    <w:p w14:paraId="6BAC30FB">
      <w:pPr>
        <w:spacing w:line="360" w:lineRule="auto"/>
        <w:ind w:right="420" w:firstLine="3614" w:firstLineChars="1000"/>
        <w:rPr>
          <w:rFonts w:ascii="宋体" w:hAnsi="宋体" w:cs="宋体"/>
          <w:b/>
          <w:color w:val="auto"/>
          <w:kern w:val="0"/>
          <w:sz w:val="36"/>
          <w:szCs w:val="36"/>
          <w:highlight w:val="none"/>
        </w:rPr>
      </w:pPr>
    </w:p>
    <w:p w14:paraId="43FD64A7">
      <w:pPr>
        <w:spacing w:line="360" w:lineRule="auto"/>
        <w:ind w:right="420" w:firstLine="3614" w:firstLineChars="1000"/>
        <w:rPr>
          <w:rFonts w:ascii="宋体" w:hAnsi="宋体" w:cs="宋体"/>
          <w:b/>
          <w:color w:val="auto"/>
          <w:kern w:val="0"/>
          <w:sz w:val="36"/>
          <w:szCs w:val="36"/>
          <w:highlight w:val="none"/>
        </w:rPr>
      </w:pPr>
    </w:p>
    <w:p w14:paraId="461772AE">
      <w:pPr>
        <w:spacing w:line="360" w:lineRule="auto"/>
        <w:ind w:right="420" w:firstLine="3614" w:firstLineChars="1000"/>
        <w:rPr>
          <w:rFonts w:ascii="宋体" w:hAnsi="宋体" w:cs="宋体"/>
          <w:b/>
          <w:color w:val="auto"/>
          <w:kern w:val="0"/>
          <w:sz w:val="36"/>
          <w:szCs w:val="36"/>
          <w:highlight w:val="none"/>
        </w:rPr>
      </w:pPr>
    </w:p>
    <w:p w14:paraId="79020EB4">
      <w:pPr>
        <w:spacing w:line="360" w:lineRule="auto"/>
        <w:ind w:right="420" w:firstLine="3614" w:firstLineChars="1000"/>
        <w:rPr>
          <w:rFonts w:ascii="宋体" w:hAnsi="宋体" w:cs="宋体"/>
          <w:b/>
          <w:color w:val="auto"/>
          <w:kern w:val="0"/>
          <w:sz w:val="36"/>
          <w:szCs w:val="36"/>
          <w:highlight w:val="none"/>
        </w:rPr>
      </w:pPr>
    </w:p>
    <w:p w14:paraId="03609E24">
      <w:pPr>
        <w:spacing w:line="360" w:lineRule="auto"/>
        <w:ind w:right="420" w:firstLine="3614" w:firstLineChars="1000"/>
        <w:rPr>
          <w:rFonts w:ascii="宋体" w:hAnsi="宋体" w:cs="宋体"/>
          <w:b/>
          <w:color w:val="auto"/>
          <w:kern w:val="0"/>
          <w:sz w:val="36"/>
          <w:szCs w:val="36"/>
          <w:highlight w:val="none"/>
        </w:rPr>
      </w:pPr>
    </w:p>
    <w:p w14:paraId="707D7CE0">
      <w:pPr>
        <w:spacing w:line="360" w:lineRule="auto"/>
        <w:ind w:right="420" w:firstLine="3614" w:firstLineChars="1000"/>
        <w:rPr>
          <w:rFonts w:ascii="宋体" w:hAnsi="宋体" w:cs="宋体"/>
          <w:b/>
          <w:color w:val="auto"/>
          <w:kern w:val="0"/>
          <w:sz w:val="36"/>
          <w:szCs w:val="36"/>
          <w:highlight w:val="none"/>
        </w:rPr>
      </w:pPr>
    </w:p>
    <w:p w14:paraId="2FED25A0">
      <w:pPr>
        <w:spacing w:line="360" w:lineRule="auto"/>
        <w:ind w:right="420" w:firstLine="3614" w:firstLineChars="1000"/>
        <w:rPr>
          <w:rFonts w:ascii="宋体" w:hAnsi="宋体" w:cs="宋体"/>
          <w:b/>
          <w:color w:val="auto"/>
          <w:kern w:val="0"/>
          <w:sz w:val="36"/>
          <w:szCs w:val="36"/>
          <w:highlight w:val="none"/>
        </w:rPr>
      </w:pPr>
    </w:p>
    <w:p w14:paraId="4B15FB6C">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3E614CA6">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265346D3">
      <w:pPr>
        <w:spacing w:line="360" w:lineRule="auto"/>
        <w:jc w:val="center"/>
        <w:rPr>
          <w:rFonts w:ascii="宋体" w:hAnsi="宋体" w:cs="宋体"/>
          <w:b/>
          <w:color w:val="auto"/>
          <w:spacing w:val="6"/>
          <w:sz w:val="32"/>
          <w:szCs w:val="32"/>
          <w:highlight w:val="none"/>
        </w:rPr>
      </w:pPr>
      <w:bookmarkStart w:id="424" w:name="OLE_LINK14"/>
      <w:bookmarkStart w:id="425" w:name="OLE_LINK13"/>
      <w:r>
        <w:rPr>
          <w:rFonts w:hint="eastAsia" w:ascii="宋体" w:hAnsi="宋体" w:cs="宋体"/>
          <w:b/>
          <w:color w:val="auto"/>
          <w:spacing w:val="6"/>
          <w:sz w:val="32"/>
          <w:szCs w:val="32"/>
          <w:highlight w:val="none"/>
        </w:rPr>
        <w:t>残疾人福利性单位声明函</w:t>
      </w:r>
    </w:p>
    <w:bookmarkEnd w:id="424"/>
    <w:bookmarkEnd w:id="425"/>
    <w:p w14:paraId="644B776E">
      <w:pPr>
        <w:spacing w:line="360" w:lineRule="auto"/>
        <w:rPr>
          <w:rFonts w:ascii="宋体" w:hAnsi="宋体" w:cs="宋体"/>
          <w:b/>
          <w:color w:val="auto"/>
          <w:spacing w:val="6"/>
          <w:sz w:val="30"/>
          <w:szCs w:val="30"/>
          <w:highlight w:val="none"/>
        </w:rPr>
      </w:pPr>
    </w:p>
    <w:p w14:paraId="729671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12FDE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B8D15C4">
      <w:pPr>
        <w:spacing w:line="360" w:lineRule="auto"/>
        <w:ind w:firstLine="480" w:firstLineChars="200"/>
        <w:rPr>
          <w:rFonts w:ascii="宋体" w:hAnsi="宋体" w:cs="宋体"/>
          <w:color w:val="auto"/>
          <w:sz w:val="24"/>
          <w:highlight w:val="none"/>
        </w:rPr>
      </w:pPr>
    </w:p>
    <w:p w14:paraId="4A4E7005">
      <w:pPr>
        <w:spacing w:line="360" w:lineRule="auto"/>
        <w:ind w:firstLine="480" w:firstLineChars="200"/>
        <w:rPr>
          <w:rFonts w:ascii="宋体" w:hAnsi="宋体" w:cs="宋体"/>
          <w:color w:val="auto"/>
          <w:sz w:val="24"/>
          <w:highlight w:val="none"/>
        </w:rPr>
      </w:pPr>
    </w:p>
    <w:p w14:paraId="7A378528">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AD4830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68F2440">
      <w:pPr>
        <w:spacing w:line="360" w:lineRule="auto"/>
        <w:ind w:firstLine="480" w:firstLineChars="200"/>
        <w:rPr>
          <w:rFonts w:ascii="宋体" w:hAnsi="宋体" w:cs="宋体"/>
          <w:color w:val="auto"/>
          <w:sz w:val="24"/>
          <w:highlight w:val="none"/>
        </w:rPr>
      </w:pPr>
    </w:p>
    <w:p w14:paraId="51EDB0FD">
      <w:pPr>
        <w:spacing w:line="360" w:lineRule="auto"/>
        <w:ind w:firstLine="420" w:firstLineChars="200"/>
        <w:rPr>
          <w:rFonts w:ascii="宋体" w:hAnsi="宋体" w:cs="宋体"/>
          <w:color w:val="auto"/>
          <w:highlight w:val="none"/>
        </w:rPr>
      </w:pPr>
    </w:p>
    <w:p w14:paraId="1AFE5B6B">
      <w:pPr>
        <w:spacing w:line="360" w:lineRule="auto"/>
        <w:ind w:firstLine="420" w:firstLineChars="200"/>
        <w:rPr>
          <w:rFonts w:ascii="宋体" w:hAnsi="宋体" w:cs="宋体"/>
          <w:color w:val="auto"/>
          <w:highlight w:val="none"/>
        </w:rPr>
      </w:pPr>
    </w:p>
    <w:p w14:paraId="2C136107">
      <w:pPr>
        <w:spacing w:line="360" w:lineRule="auto"/>
        <w:ind w:firstLine="420" w:firstLineChars="200"/>
        <w:rPr>
          <w:rFonts w:ascii="宋体" w:hAnsi="宋体" w:cs="宋体"/>
          <w:color w:val="auto"/>
          <w:highlight w:val="none"/>
        </w:rPr>
      </w:pPr>
    </w:p>
    <w:p w14:paraId="14B97413">
      <w:pPr>
        <w:spacing w:line="360" w:lineRule="auto"/>
        <w:ind w:firstLine="420" w:firstLineChars="200"/>
        <w:rPr>
          <w:rFonts w:ascii="宋体" w:hAnsi="宋体" w:cs="宋体"/>
          <w:color w:val="auto"/>
          <w:highlight w:val="none"/>
        </w:rPr>
      </w:pPr>
    </w:p>
    <w:p w14:paraId="4165D934">
      <w:pPr>
        <w:spacing w:line="360" w:lineRule="auto"/>
        <w:rPr>
          <w:rFonts w:ascii="宋体" w:hAnsi="宋体" w:cs="宋体"/>
          <w:b/>
          <w:color w:val="auto"/>
          <w:sz w:val="24"/>
          <w:highlight w:val="none"/>
        </w:rPr>
      </w:pPr>
    </w:p>
    <w:p w14:paraId="575CC771">
      <w:pPr>
        <w:spacing w:line="360" w:lineRule="auto"/>
        <w:rPr>
          <w:rFonts w:ascii="宋体" w:hAnsi="宋体" w:cs="宋体"/>
          <w:b/>
          <w:color w:val="auto"/>
          <w:sz w:val="24"/>
          <w:highlight w:val="none"/>
        </w:rPr>
      </w:pPr>
    </w:p>
    <w:p w14:paraId="2D596182">
      <w:pPr>
        <w:spacing w:line="360" w:lineRule="auto"/>
        <w:rPr>
          <w:rFonts w:ascii="宋体" w:hAnsi="宋体" w:cs="宋体"/>
          <w:b/>
          <w:color w:val="auto"/>
          <w:sz w:val="24"/>
          <w:highlight w:val="none"/>
        </w:rPr>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cols w:space="720" w:num="1"/>
          <w:titlePg/>
          <w:docGrid w:linePitch="312" w:charSpace="0"/>
        </w:sectPr>
      </w:pPr>
    </w:p>
    <w:p w14:paraId="2F37603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8D593ED">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F7A74C7">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1C8B7A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F26DF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FD45B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A7F616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30B3E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43974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E521C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39899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09613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B70377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AF79A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555B4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0CB08D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E2D81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A2A15EB">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99D5F5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ECE2B5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F6728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6740CE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56DB14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72CF1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2206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2F4FD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5FC3F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7FE1AF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96C3DA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0C61F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110A12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787E8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861F8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E35404">
      <w:pPr>
        <w:widowControl/>
        <w:spacing w:line="360" w:lineRule="auto"/>
        <w:ind w:firstLine="600" w:firstLineChars="200"/>
        <w:jc w:val="left"/>
        <w:rPr>
          <w:rFonts w:ascii="宋体" w:hAnsi="宋体" w:cs="宋体"/>
          <w:color w:val="auto"/>
          <w:sz w:val="30"/>
          <w:szCs w:val="30"/>
          <w:highlight w:val="none"/>
        </w:rPr>
      </w:pPr>
    </w:p>
    <w:p w14:paraId="7DD96783">
      <w:pPr>
        <w:spacing w:line="360" w:lineRule="auto"/>
        <w:jc w:val="center"/>
        <w:rPr>
          <w:rFonts w:ascii="宋体" w:hAnsi="宋体" w:cs="宋体"/>
          <w:b/>
          <w:color w:val="auto"/>
          <w:spacing w:val="6"/>
          <w:sz w:val="32"/>
          <w:szCs w:val="32"/>
          <w:highlight w:val="none"/>
        </w:rPr>
      </w:pPr>
    </w:p>
    <w:p w14:paraId="4796C07D">
      <w:pPr>
        <w:spacing w:line="360" w:lineRule="auto"/>
        <w:jc w:val="center"/>
        <w:rPr>
          <w:rFonts w:ascii="宋体" w:hAnsi="宋体" w:cs="宋体"/>
          <w:b/>
          <w:color w:val="auto"/>
          <w:spacing w:val="6"/>
          <w:sz w:val="32"/>
          <w:szCs w:val="32"/>
          <w:highlight w:val="none"/>
        </w:rPr>
      </w:pPr>
    </w:p>
    <w:p w14:paraId="34ABC162">
      <w:pPr>
        <w:spacing w:line="360" w:lineRule="auto"/>
        <w:jc w:val="center"/>
        <w:rPr>
          <w:rFonts w:ascii="宋体" w:hAnsi="宋体" w:cs="宋体"/>
          <w:b/>
          <w:color w:val="auto"/>
          <w:spacing w:val="6"/>
          <w:sz w:val="32"/>
          <w:szCs w:val="32"/>
          <w:highlight w:val="none"/>
        </w:rPr>
      </w:pPr>
    </w:p>
    <w:p w14:paraId="7EADAACE">
      <w:pPr>
        <w:spacing w:line="360" w:lineRule="auto"/>
        <w:jc w:val="center"/>
        <w:rPr>
          <w:rFonts w:ascii="宋体" w:hAnsi="宋体" w:cs="宋体"/>
          <w:b/>
          <w:color w:val="auto"/>
          <w:spacing w:val="6"/>
          <w:sz w:val="32"/>
          <w:szCs w:val="32"/>
          <w:highlight w:val="none"/>
        </w:rPr>
      </w:pPr>
    </w:p>
    <w:p w14:paraId="3FE6DAAA">
      <w:pPr>
        <w:spacing w:line="360" w:lineRule="auto"/>
        <w:jc w:val="center"/>
        <w:rPr>
          <w:rFonts w:ascii="宋体" w:hAnsi="宋体" w:cs="宋体"/>
          <w:b/>
          <w:color w:val="auto"/>
          <w:spacing w:val="6"/>
          <w:sz w:val="32"/>
          <w:szCs w:val="32"/>
          <w:highlight w:val="none"/>
        </w:rPr>
      </w:pPr>
    </w:p>
    <w:p w14:paraId="01224C28">
      <w:pPr>
        <w:spacing w:line="360" w:lineRule="auto"/>
        <w:jc w:val="center"/>
        <w:rPr>
          <w:rFonts w:ascii="宋体" w:hAnsi="宋体" w:cs="宋体"/>
          <w:b/>
          <w:color w:val="auto"/>
          <w:spacing w:val="6"/>
          <w:sz w:val="32"/>
          <w:szCs w:val="32"/>
          <w:highlight w:val="none"/>
        </w:rPr>
      </w:pPr>
    </w:p>
    <w:p w14:paraId="3FAC232D">
      <w:pPr>
        <w:spacing w:line="360" w:lineRule="auto"/>
        <w:jc w:val="center"/>
        <w:rPr>
          <w:rFonts w:ascii="宋体" w:hAnsi="宋体" w:cs="宋体"/>
          <w:b/>
          <w:color w:val="auto"/>
          <w:spacing w:val="6"/>
          <w:sz w:val="32"/>
          <w:szCs w:val="32"/>
          <w:highlight w:val="none"/>
        </w:rPr>
      </w:pPr>
    </w:p>
    <w:p w14:paraId="009CB44F">
      <w:pPr>
        <w:spacing w:line="360" w:lineRule="auto"/>
        <w:jc w:val="center"/>
        <w:rPr>
          <w:rFonts w:ascii="宋体" w:hAnsi="宋体" w:cs="宋体"/>
          <w:b/>
          <w:color w:val="auto"/>
          <w:spacing w:val="6"/>
          <w:sz w:val="32"/>
          <w:szCs w:val="32"/>
          <w:highlight w:val="none"/>
        </w:rPr>
      </w:pPr>
    </w:p>
    <w:p w14:paraId="668EFC3D">
      <w:pPr>
        <w:spacing w:line="360" w:lineRule="auto"/>
        <w:jc w:val="center"/>
        <w:rPr>
          <w:rFonts w:ascii="宋体" w:hAnsi="宋体" w:cs="宋体"/>
          <w:b/>
          <w:color w:val="auto"/>
          <w:spacing w:val="6"/>
          <w:sz w:val="32"/>
          <w:szCs w:val="32"/>
          <w:highlight w:val="none"/>
        </w:rPr>
      </w:pPr>
    </w:p>
    <w:p w14:paraId="0F78ED7D">
      <w:pPr>
        <w:spacing w:line="360" w:lineRule="auto"/>
        <w:jc w:val="left"/>
        <w:rPr>
          <w:rFonts w:hint="eastAsia" w:ascii="宋体" w:hAnsi="宋体" w:cs="宋体"/>
          <w:b/>
          <w:color w:val="auto"/>
          <w:spacing w:val="6"/>
          <w:sz w:val="32"/>
          <w:szCs w:val="32"/>
          <w:highlight w:val="none"/>
        </w:rPr>
        <w:sectPr>
          <w:pgSz w:w="11906" w:h="16838"/>
          <w:pgMar w:top="1276" w:right="1418" w:bottom="1247" w:left="1418" w:header="851" w:footer="992" w:gutter="0"/>
          <w:cols w:space="720" w:num="1"/>
          <w:titlePg/>
          <w:docGrid w:linePitch="312" w:charSpace="0"/>
        </w:sectPr>
      </w:pPr>
    </w:p>
    <w:p w14:paraId="3C431093">
      <w:pPr>
        <w:pStyle w:val="24"/>
        <w:rPr>
          <w:rFonts w:hint="eastAsia"/>
          <w:color w:val="auto"/>
          <w:highlight w:val="none"/>
        </w:rPr>
      </w:pPr>
    </w:p>
    <w:p w14:paraId="4D8C628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E4EDDD9">
      <w:pPr>
        <w:spacing w:line="360" w:lineRule="auto"/>
        <w:jc w:val="center"/>
        <w:rPr>
          <w:rFonts w:ascii="宋体" w:hAnsi="宋体" w:cs="宋体"/>
          <w:b/>
          <w:color w:val="auto"/>
          <w:sz w:val="24"/>
          <w:highlight w:val="none"/>
        </w:rPr>
      </w:pPr>
    </w:p>
    <w:p w14:paraId="05942B3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2C493C9">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A0C500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8D014B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6483F6B">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375B93">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5F716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97F4AEF">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D5C1F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34F9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86B2A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1D544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84F4C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AE9790D">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C22ABC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2A23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8F3DD2">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3C5949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683C5D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CDFC2D3">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35188D">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09F9279">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401EE8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0C3B546">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6D848F90">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F68C9D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2BD79D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561A843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D566C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D162C8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9ED69F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A5AD91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91A149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DC5E9F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09CAD86">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3F69D35">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E2515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4B99AD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BB97F2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8CC0B1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52555B6A">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1D72D5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D125D7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4FD9B9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D7B3BE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3071CF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84986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A75AB1B">
      <w:pPr>
        <w:autoSpaceDE w:val="0"/>
        <w:autoSpaceDN w:val="0"/>
        <w:jc w:val="center"/>
        <w:rPr>
          <w:rFonts w:ascii="宋体" w:hAnsi="宋体" w:cs="宋体"/>
          <w:b/>
          <w:color w:val="auto"/>
          <w:spacing w:val="6"/>
          <w:sz w:val="32"/>
          <w:szCs w:val="32"/>
          <w:highlight w:val="none"/>
        </w:rPr>
        <w:sectPr>
          <w:pgSz w:w="11906" w:h="16838"/>
          <w:pgMar w:top="1276" w:right="1418" w:bottom="1247" w:left="1418" w:header="851" w:footer="992" w:gutter="0"/>
          <w:cols w:space="720" w:num="1"/>
          <w:titlePg/>
          <w:docGrid w:linePitch="312" w:charSpace="0"/>
        </w:sectPr>
      </w:pPr>
    </w:p>
    <w:p w14:paraId="612772C4">
      <w:pPr>
        <w:pStyle w:val="24"/>
        <w:rPr>
          <w:color w:val="auto"/>
          <w:highlight w:val="none"/>
        </w:rPr>
      </w:pPr>
    </w:p>
    <w:p w14:paraId="4C65DFE0">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0E7C7AE">
      <w:pPr>
        <w:spacing w:line="360" w:lineRule="auto"/>
        <w:rPr>
          <w:rFonts w:ascii="宋体" w:hAnsi="宋体" w:cs="宋体"/>
          <w:color w:val="auto"/>
          <w:sz w:val="24"/>
          <w:highlight w:val="none"/>
          <w:u w:val="single"/>
        </w:rPr>
      </w:pPr>
    </w:p>
    <w:p w14:paraId="79E93652">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2693B94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534A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BCC1A51">
      <w:pPr>
        <w:spacing w:line="360" w:lineRule="auto"/>
        <w:ind w:firstLine="494"/>
        <w:rPr>
          <w:rFonts w:ascii="宋体" w:hAnsi="宋体" w:cs="宋体"/>
          <w:color w:val="auto"/>
          <w:sz w:val="24"/>
          <w:highlight w:val="none"/>
        </w:rPr>
      </w:pPr>
    </w:p>
    <w:p w14:paraId="729DC0D8">
      <w:pPr>
        <w:spacing w:line="360" w:lineRule="auto"/>
        <w:ind w:firstLine="494"/>
        <w:rPr>
          <w:rFonts w:ascii="宋体" w:hAnsi="宋体" w:cs="宋体"/>
          <w:color w:val="auto"/>
          <w:sz w:val="24"/>
          <w:highlight w:val="none"/>
        </w:rPr>
      </w:pPr>
    </w:p>
    <w:p w14:paraId="579D2806">
      <w:pPr>
        <w:spacing w:line="360" w:lineRule="auto"/>
        <w:ind w:firstLine="494"/>
        <w:rPr>
          <w:rFonts w:ascii="宋体" w:hAnsi="宋体" w:cs="宋体"/>
          <w:color w:val="auto"/>
          <w:sz w:val="24"/>
          <w:highlight w:val="none"/>
        </w:rPr>
      </w:pPr>
    </w:p>
    <w:p w14:paraId="69143BA4">
      <w:pPr>
        <w:spacing w:line="360" w:lineRule="auto"/>
        <w:ind w:firstLine="494"/>
        <w:rPr>
          <w:rFonts w:ascii="宋体" w:hAnsi="宋体" w:cs="宋体"/>
          <w:color w:val="auto"/>
          <w:sz w:val="24"/>
          <w:highlight w:val="none"/>
        </w:rPr>
      </w:pPr>
    </w:p>
    <w:p w14:paraId="06F8590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EEA8048">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1B2A1E3">
      <w:pPr>
        <w:rPr>
          <w:rFonts w:ascii="宋体" w:hAnsi="宋体" w:cs="宋体"/>
          <w:color w:val="auto"/>
          <w:sz w:val="24"/>
          <w:highlight w:val="none"/>
        </w:rPr>
      </w:pPr>
      <w:r>
        <w:rPr>
          <w:rFonts w:hint="eastAsia" w:ascii="宋体" w:hAnsi="宋体" w:cs="宋体"/>
          <w:b/>
          <w:bCs/>
          <w:color w:val="auto"/>
          <w:sz w:val="24"/>
          <w:highlight w:val="none"/>
        </w:rPr>
        <w:t>附：</w:t>
      </w:r>
    </w:p>
    <w:p w14:paraId="2E1BDE0F">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4574D01">
      <w:pPr>
        <w:autoSpaceDE w:val="0"/>
        <w:autoSpaceDN w:val="0"/>
        <w:jc w:val="center"/>
        <w:rPr>
          <w:rFonts w:ascii="宋体" w:hAnsi="宋体" w:cs="宋体"/>
          <w:b/>
          <w:color w:val="auto"/>
          <w:spacing w:val="6"/>
          <w:sz w:val="32"/>
          <w:szCs w:val="32"/>
          <w:highlight w:val="none"/>
        </w:rPr>
      </w:pPr>
    </w:p>
    <w:p w14:paraId="12472987">
      <w:pPr>
        <w:autoSpaceDE w:val="0"/>
        <w:autoSpaceDN w:val="0"/>
        <w:jc w:val="center"/>
        <w:rPr>
          <w:rFonts w:ascii="宋体" w:hAnsi="宋体" w:cs="宋体"/>
          <w:b/>
          <w:color w:val="auto"/>
          <w:spacing w:val="6"/>
          <w:sz w:val="32"/>
          <w:szCs w:val="32"/>
          <w:highlight w:val="none"/>
        </w:rPr>
      </w:pPr>
    </w:p>
    <w:p w14:paraId="40952730">
      <w:pPr>
        <w:autoSpaceDE w:val="0"/>
        <w:autoSpaceDN w:val="0"/>
        <w:jc w:val="center"/>
        <w:rPr>
          <w:rFonts w:ascii="宋体" w:hAnsi="宋体" w:cs="宋体"/>
          <w:b/>
          <w:color w:val="auto"/>
          <w:spacing w:val="6"/>
          <w:sz w:val="32"/>
          <w:szCs w:val="32"/>
          <w:highlight w:val="none"/>
        </w:rPr>
      </w:pPr>
    </w:p>
    <w:p w14:paraId="14C0A765">
      <w:pPr>
        <w:autoSpaceDE w:val="0"/>
        <w:autoSpaceDN w:val="0"/>
        <w:jc w:val="center"/>
        <w:rPr>
          <w:rFonts w:ascii="宋体" w:hAnsi="宋体" w:cs="宋体"/>
          <w:b/>
          <w:color w:val="auto"/>
          <w:spacing w:val="6"/>
          <w:sz w:val="32"/>
          <w:szCs w:val="32"/>
          <w:highlight w:val="none"/>
        </w:rPr>
      </w:pPr>
    </w:p>
    <w:p w14:paraId="03F6D7F9">
      <w:pPr>
        <w:autoSpaceDE w:val="0"/>
        <w:autoSpaceDN w:val="0"/>
        <w:jc w:val="center"/>
        <w:rPr>
          <w:rFonts w:ascii="宋体" w:hAnsi="宋体" w:cs="宋体"/>
          <w:b/>
          <w:color w:val="auto"/>
          <w:spacing w:val="6"/>
          <w:sz w:val="32"/>
          <w:szCs w:val="32"/>
          <w:highlight w:val="none"/>
        </w:rPr>
      </w:pPr>
    </w:p>
    <w:p w14:paraId="4D557FCA">
      <w:pPr>
        <w:autoSpaceDE w:val="0"/>
        <w:autoSpaceDN w:val="0"/>
        <w:jc w:val="center"/>
        <w:rPr>
          <w:rFonts w:ascii="宋体" w:hAnsi="宋体" w:cs="宋体"/>
          <w:b/>
          <w:color w:val="auto"/>
          <w:spacing w:val="6"/>
          <w:sz w:val="32"/>
          <w:szCs w:val="32"/>
          <w:highlight w:val="none"/>
        </w:rPr>
      </w:pPr>
    </w:p>
    <w:p w14:paraId="747D5734">
      <w:pPr>
        <w:autoSpaceDE w:val="0"/>
        <w:autoSpaceDN w:val="0"/>
        <w:jc w:val="center"/>
        <w:rPr>
          <w:rFonts w:ascii="宋体" w:hAnsi="宋体" w:cs="宋体"/>
          <w:b/>
          <w:color w:val="auto"/>
          <w:spacing w:val="6"/>
          <w:sz w:val="32"/>
          <w:szCs w:val="32"/>
          <w:highlight w:val="none"/>
        </w:rPr>
      </w:pPr>
    </w:p>
    <w:p w14:paraId="6CFA4C0C">
      <w:pPr>
        <w:autoSpaceDE w:val="0"/>
        <w:autoSpaceDN w:val="0"/>
        <w:jc w:val="center"/>
        <w:rPr>
          <w:rFonts w:ascii="宋体" w:hAnsi="宋体" w:cs="宋体"/>
          <w:b/>
          <w:color w:val="auto"/>
          <w:spacing w:val="6"/>
          <w:sz w:val="32"/>
          <w:szCs w:val="32"/>
          <w:highlight w:val="none"/>
        </w:rPr>
      </w:pPr>
    </w:p>
    <w:p w14:paraId="7C945D75">
      <w:pPr>
        <w:autoSpaceDE w:val="0"/>
        <w:autoSpaceDN w:val="0"/>
        <w:jc w:val="center"/>
        <w:rPr>
          <w:rFonts w:ascii="宋体" w:hAnsi="宋体" w:cs="宋体"/>
          <w:b/>
          <w:color w:val="auto"/>
          <w:spacing w:val="6"/>
          <w:sz w:val="32"/>
          <w:szCs w:val="32"/>
          <w:highlight w:val="none"/>
        </w:rPr>
      </w:pPr>
    </w:p>
    <w:p w14:paraId="1473A348">
      <w:pPr>
        <w:autoSpaceDE w:val="0"/>
        <w:autoSpaceDN w:val="0"/>
        <w:jc w:val="center"/>
        <w:rPr>
          <w:rFonts w:ascii="宋体" w:hAnsi="宋体" w:cs="宋体"/>
          <w:b/>
          <w:color w:val="auto"/>
          <w:spacing w:val="6"/>
          <w:sz w:val="32"/>
          <w:szCs w:val="32"/>
          <w:highlight w:val="none"/>
        </w:rPr>
      </w:pPr>
    </w:p>
    <w:p w14:paraId="5F0335E0">
      <w:pPr>
        <w:autoSpaceDE/>
        <w:autoSpaceDN/>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053887FC">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04B866B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0B6536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35B55E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A863C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C1510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8D94B9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08BA0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5BA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7B2B33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6ACD955">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426"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26"/>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27"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27"/>
      <w:r>
        <w:rPr>
          <w:rFonts w:hint="eastAsia" w:ascii="宋体" w:hAnsi="宋体" w:cs="宋体"/>
          <w:b/>
          <w:color w:val="auto"/>
          <w:kern w:val="0"/>
          <w:sz w:val="24"/>
          <w:highlight w:val="none"/>
          <w:lang w:val="zh-CN"/>
        </w:rPr>
        <w:t>）</w:t>
      </w:r>
    </w:p>
    <w:p w14:paraId="7A45B8E6">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28"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28"/>
    </w:p>
    <w:p w14:paraId="334C48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F570C1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6092F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00AE8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7F8D7F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2C4D1E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E9F89D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8ECFA8">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C6BEB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F7A198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719768">
      <w:pPr>
        <w:autoSpaceDE w:val="0"/>
        <w:autoSpaceDN w:val="0"/>
        <w:jc w:val="center"/>
        <w:rPr>
          <w:rFonts w:ascii="宋体" w:hAnsi="宋体" w:cs="宋体"/>
          <w:b/>
          <w:color w:val="auto"/>
          <w:spacing w:val="6"/>
          <w:sz w:val="32"/>
          <w:szCs w:val="32"/>
          <w:highlight w:val="none"/>
        </w:rPr>
      </w:pPr>
    </w:p>
    <w:p w14:paraId="1D0A103C">
      <w:pPr>
        <w:autoSpaceDE w:val="0"/>
        <w:autoSpaceDN w:val="0"/>
        <w:jc w:val="center"/>
        <w:rPr>
          <w:rFonts w:ascii="宋体" w:hAnsi="宋体" w:cs="宋体"/>
          <w:b/>
          <w:color w:val="auto"/>
          <w:spacing w:val="6"/>
          <w:sz w:val="32"/>
          <w:szCs w:val="32"/>
          <w:highlight w:val="none"/>
        </w:rPr>
      </w:pPr>
    </w:p>
    <w:p w14:paraId="4BFB4091">
      <w:pPr>
        <w:autoSpaceDE w:val="0"/>
        <w:autoSpaceDN w:val="0"/>
        <w:jc w:val="center"/>
        <w:rPr>
          <w:rFonts w:ascii="宋体" w:hAnsi="宋体" w:cs="宋体"/>
          <w:b/>
          <w:color w:val="auto"/>
          <w:spacing w:val="6"/>
          <w:sz w:val="32"/>
          <w:szCs w:val="32"/>
          <w:highlight w:val="none"/>
        </w:rPr>
      </w:pPr>
    </w:p>
    <w:p w14:paraId="07EB33BF">
      <w:pPr>
        <w:autoSpaceDE w:val="0"/>
        <w:autoSpaceDN w:val="0"/>
        <w:jc w:val="center"/>
        <w:rPr>
          <w:rFonts w:ascii="宋体" w:hAnsi="宋体" w:cs="宋体"/>
          <w:b/>
          <w:color w:val="auto"/>
          <w:spacing w:val="6"/>
          <w:sz w:val="32"/>
          <w:szCs w:val="32"/>
          <w:highlight w:val="none"/>
        </w:rPr>
      </w:pPr>
    </w:p>
    <w:p w14:paraId="2AA49C3A">
      <w:pPr>
        <w:autoSpaceDE w:val="0"/>
        <w:autoSpaceDN w:val="0"/>
        <w:jc w:val="center"/>
        <w:rPr>
          <w:rFonts w:ascii="宋体" w:hAnsi="宋体" w:cs="宋体"/>
          <w:b/>
          <w:color w:val="auto"/>
          <w:spacing w:val="6"/>
          <w:sz w:val="32"/>
          <w:szCs w:val="32"/>
          <w:highlight w:val="none"/>
        </w:rPr>
      </w:pPr>
    </w:p>
    <w:p w14:paraId="1D439732">
      <w:pPr>
        <w:autoSpaceDE w:val="0"/>
        <w:autoSpaceDN w:val="0"/>
        <w:jc w:val="center"/>
        <w:rPr>
          <w:rFonts w:ascii="宋体" w:hAnsi="宋体" w:cs="宋体"/>
          <w:b/>
          <w:color w:val="auto"/>
          <w:spacing w:val="6"/>
          <w:sz w:val="32"/>
          <w:szCs w:val="32"/>
          <w:highlight w:val="none"/>
        </w:rPr>
      </w:pPr>
    </w:p>
    <w:p w14:paraId="2B1F6293">
      <w:pPr>
        <w:autoSpaceDE w:val="0"/>
        <w:autoSpaceDN w:val="0"/>
        <w:jc w:val="center"/>
        <w:rPr>
          <w:rFonts w:ascii="宋体" w:hAnsi="宋体" w:cs="宋体"/>
          <w:b/>
          <w:color w:val="auto"/>
          <w:spacing w:val="6"/>
          <w:sz w:val="32"/>
          <w:szCs w:val="32"/>
          <w:highlight w:val="none"/>
        </w:rPr>
      </w:pPr>
    </w:p>
    <w:p w14:paraId="758E5C0F">
      <w:pPr>
        <w:autoSpaceDE w:val="0"/>
        <w:autoSpaceDN w:val="0"/>
        <w:jc w:val="center"/>
        <w:rPr>
          <w:rFonts w:ascii="宋体" w:hAnsi="宋体" w:cs="宋体"/>
          <w:b/>
          <w:color w:val="auto"/>
          <w:spacing w:val="6"/>
          <w:sz w:val="32"/>
          <w:szCs w:val="32"/>
          <w:highlight w:val="none"/>
        </w:rPr>
      </w:pPr>
    </w:p>
    <w:p w14:paraId="07E7DAF3">
      <w:pPr>
        <w:autoSpaceDE w:val="0"/>
        <w:autoSpaceDN w:val="0"/>
        <w:jc w:val="center"/>
        <w:rPr>
          <w:rFonts w:ascii="宋体" w:hAnsi="宋体" w:cs="宋体"/>
          <w:b/>
          <w:color w:val="auto"/>
          <w:spacing w:val="6"/>
          <w:sz w:val="32"/>
          <w:szCs w:val="32"/>
          <w:highlight w:val="none"/>
        </w:rPr>
      </w:pPr>
    </w:p>
    <w:p w14:paraId="74C77164">
      <w:pPr>
        <w:autoSpaceDE w:val="0"/>
        <w:autoSpaceDN w:val="0"/>
        <w:jc w:val="center"/>
        <w:rPr>
          <w:rFonts w:ascii="宋体" w:hAnsi="宋体" w:cs="宋体"/>
          <w:b/>
          <w:color w:val="auto"/>
          <w:spacing w:val="6"/>
          <w:sz w:val="32"/>
          <w:szCs w:val="32"/>
          <w:highlight w:val="none"/>
        </w:rPr>
      </w:pPr>
    </w:p>
    <w:p w14:paraId="12EE95AE">
      <w:pPr>
        <w:autoSpaceDE w:val="0"/>
        <w:autoSpaceDN w:val="0"/>
        <w:jc w:val="center"/>
        <w:rPr>
          <w:rFonts w:ascii="宋体" w:hAnsi="宋体" w:cs="宋体"/>
          <w:b/>
          <w:color w:val="auto"/>
          <w:spacing w:val="6"/>
          <w:sz w:val="32"/>
          <w:szCs w:val="32"/>
          <w:highlight w:val="none"/>
        </w:rPr>
      </w:pPr>
    </w:p>
    <w:p w14:paraId="652FE5F9">
      <w:pPr>
        <w:autoSpaceDE w:val="0"/>
        <w:autoSpaceDN w:val="0"/>
        <w:jc w:val="center"/>
        <w:rPr>
          <w:rFonts w:ascii="宋体" w:hAnsi="宋体" w:cs="宋体"/>
          <w:b/>
          <w:color w:val="auto"/>
          <w:spacing w:val="6"/>
          <w:sz w:val="32"/>
          <w:szCs w:val="32"/>
          <w:highlight w:val="none"/>
        </w:rPr>
      </w:pPr>
    </w:p>
    <w:p w14:paraId="4C86B973">
      <w:pPr>
        <w:autoSpaceDE w:val="0"/>
        <w:autoSpaceDN w:val="0"/>
        <w:jc w:val="center"/>
        <w:rPr>
          <w:rFonts w:ascii="宋体" w:hAnsi="宋体" w:cs="宋体"/>
          <w:b/>
          <w:color w:val="auto"/>
          <w:spacing w:val="6"/>
          <w:sz w:val="32"/>
          <w:szCs w:val="32"/>
          <w:highlight w:val="none"/>
        </w:rPr>
      </w:pPr>
    </w:p>
    <w:p w14:paraId="45FFA641">
      <w:pPr>
        <w:autoSpaceDE w:val="0"/>
        <w:autoSpaceDN w:val="0"/>
        <w:jc w:val="center"/>
        <w:rPr>
          <w:rFonts w:ascii="宋体" w:hAnsi="宋体" w:cs="宋体"/>
          <w:b/>
          <w:color w:val="auto"/>
          <w:spacing w:val="6"/>
          <w:sz w:val="32"/>
          <w:szCs w:val="32"/>
          <w:highlight w:val="none"/>
        </w:rPr>
      </w:pPr>
    </w:p>
    <w:p w14:paraId="602FA715">
      <w:pPr>
        <w:autoSpaceDE w:val="0"/>
        <w:autoSpaceDN w:val="0"/>
        <w:jc w:val="center"/>
        <w:rPr>
          <w:rFonts w:ascii="宋体" w:hAnsi="宋体" w:cs="宋体"/>
          <w:b/>
          <w:color w:val="auto"/>
          <w:spacing w:val="6"/>
          <w:sz w:val="32"/>
          <w:szCs w:val="32"/>
          <w:highlight w:val="none"/>
        </w:rPr>
      </w:pPr>
    </w:p>
    <w:p w14:paraId="6647DE36">
      <w:pPr>
        <w:autoSpaceDE w:val="0"/>
        <w:autoSpaceDN w:val="0"/>
        <w:jc w:val="center"/>
        <w:rPr>
          <w:rFonts w:ascii="宋体" w:hAnsi="宋体" w:cs="宋体"/>
          <w:b/>
          <w:color w:val="auto"/>
          <w:spacing w:val="6"/>
          <w:sz w:val="32"/>
          <w:szCs w:val="32"/>
          <w:highlight w:val="none"/>
        </w:rPr>
      </w:pPr>
    </w:p>
    <w:p w14:paraId="229706AC">
      <w:pPr>
        <w:autoSpaceDE w:val="0"/>
        <w:autoSpaceDN w:val="0"/>
        <w:jc w:val="center"/>
        <w:rPr>
          <w:rFonts w:ascii="宋体" w:hAnsi="宋体" w:cs="宋体"/>
          <w:b/>
          <w:color w:val="auto"/>
          <w:spacing w:val="6"/>
          <w:sz w:val="32"/>
          <w:szCs w:val="32"/>
          <w:highlight w:val="none"/>
        </w:rPr>
      </w:pPr>
    </w:p>
    <w:p w14:paraId="16F14ABB">
      <w:pPr>
        <w:autoSpaceDE w:val="0"/>
        <w:autoSpaceDN w:val="0"/>
        <w:jc w:val="center"/>
        <w:rPr>
          <w:rFonts w:ascii="宋体" w:hAnsi="宋体" w:cs="宋体"/>
          <w:b/>
          <w:color w:val="auto"/>
          <w:spacing w:val="6"/>
          <w:sz w:val="32"/>
          <w:szCs w:val="32"/>
          <w:highlight w:val="none"/>
        </w:rPr>
      </w:pPr>
    </w:p>
    <w:p w14:paraId="3E4B59CC">
      <w:pPr>
        <w:autoSpaceDE w:val="0"/>
        <w:autoSpaceDN w:val="0"/>
        <w:jc w:val="center"/>
        <w:rPr>
          <w:rFonts w:ascii="宋体" w:hAnsi="宋体" w:cs="宋体"/>
          <w:b/>
          <w:color w:val="auto"/>
          <w:spacing w:val="6"/>
          <w:sz w:val="32"/>
          <w:szCs w:val="32"/>
          <w:highlight w:val="none"/>
        </w:rPr>
      </w:pPr>
    </w:p>
    <w:p w14:paraId="73B76741">
      <w:pPr>
        <w:autoSpaceDE w:val="0"/>
        <w:autoSpaceDN w:val="0"/>
        <w:jc w:val="center"/>
        <w:rPr>
          <w:rFonts w:ascii="宋体" w:hAnsi="宋体" w:cs="宋体"/>
          <w:b/>
          <w:color w:val="auto"/>
          <w:spacing w:val="6"/>
          <w:sz w:val="32"/>
          <w:szCs w:val="32"/>
          <w:highlight w:val="none"/>
        </w:rPr>
      </w:pPr>
    </w:p>
    <w:p w14:paraId="1CD4F578">
      <w:pPr>
        <w:snapToGrid/>
        <w:spacing w:line="240" w:lineRule="auto"/>
        <w:ind w:firstLine="0" w:firstLineChars="0"/>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1EA60D8D">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333EFB72">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709C11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22C20F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FE909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189F2810">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5C0A31C">
      <w:pPr>
        <w:rPr>
          <w:color w:val="auto"/>
          <w:highlight w:val="none"/>
        </w:rPr>
      </w:pPr>
      <w:r>
        <w:rPr>
          <w:rFonts w:hint="eastAsia"/>
          <w:color w:val="auto"/>
          <w:highlight w:val="none"/>
          <w:lang w:val="zh-CN"/>
        </w:rPr>
        <w:t xml:space="preserve"> </w:t>
      </w:r>
    </w:p>
    <w:p w14:paraId="1A539FB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976068F">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445DC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269F48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65E13D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C4975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BAF6A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BA321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898118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6C7DE37">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38A79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22C28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F55D7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5E4058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30754BB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05EF401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4585DD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DA9AED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F1296C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2AAACD">
      <w:pPr>
        <w:autoSpaceDE w:val="0"/>
        <w:autoSpaceDN w:val="0"/>
        <w:jc w:val="center"/>
        <w:rPr>
          <w:rFonts w:ascii="宋体" w:hAnsi="宋体" w:cs="宋体"/>
          <w:b/>
          <w:color w:val="auto"/>
          <w:spacing w:val="6"/>
          <w:sz w:val="32"/>
          <w:szCs w:val="32"/>
          <w:highlight w:val="none"/>
        </w:rPr>
      </w:pPr>
    </w:p>
    <w:p w14:paraId="74F7FF62">
      <w:pPr>
        <w:autoSpaceDE w:val="0"/>
        <w:autoSpaceDN w:val="0"/>
        <w:jc w:val="center"/>
        <w:rPr>
          <w:rFonts w:ascii="宋体" w:hAnsi="宋体" w:cs="宋体"/>
          <w:b/>
          <w:color w:val="auto"/>
          <w:spacing w:val="6"/>
          <w:sz w:val="32"/>
          <w:szCs w:val="32"/>
          <w:highlight w:val="none"/>
        </w:rPr>
      </w:pPr>
    </w:p>
    <w:p w14:paraId="4DFAA739">
      <w:pPr>
        <w:autoSpaceDE w:val="0"/>
        <w:autoSpaceDN w:val="0"/>
        <w:jc w:val="center"/>
        <w:rPr>
          <w:rFonts w:ascii="宋体" w:hAnsi="宋体" w:cs="宋体"/>
          <w:b/>
          <w:color w:val="auto"/>
          <w:spacing w:val="6"/>
          <w:sz w:val="32"/>
          <w:szCs w:val="32"/>
          <w:highlight w:val="none"/>
        </w:rPr>
      </w:pPr>
    </w:p>
    <w:p w14:paraId="408E553A">
      <w:pPr>
        <w:autoSpaceDE w:val="0"/>
        <w:autoSpaceDN w:val="0"/>
        <w:jc w:val="center"/>
        <w:rPr>
          <w:rFonts w:ascii="宋体" w:hAnsi="宋体" w:cs="宋体"/>
          <w:b/>
          <w:color w:val="auto"/>
          <w:spacing w:val="6"/>
          <w:sz w:val="32"/>
          <w:szCs w:val="32"/>
          <w:highlight w:val="none"/>
        </w:rPr>
      </w:pPr>
    </w:p>
    <w:p w14:paraId="2DE2B4CE">
      <w:pPr>
        <w:autoSpaceDE w:val="0"/>
        <w:autoSpaceDN w:val="0"/>
        <w:jc w:val="center"/>
        <w:rPr>
          <w:rFonts w:ascii="宋体" w:hAnsi="宋体" w:cs="宋体"/>
          <w:b/>
          <w:color w:val="auto"/>
          <w:spacing w:val="6"/>
          <w:sz w:val="32"/>
          <w:szCs w:val="32"/>
          <w:highlight w:val="none"/>
        </w:rPr>
      </w:pPr>
    </w:p>
    <w:p w14:paraId="6190F582">
      <w:pPr>
        <w:autoSpaceDE w:val="0"/>
        <w:autoSpaceDN w:val="0"/>
        <w:jc w:val="center"/>
        <w:rPr>
          <w:rFonts w:ascii="宋体" w:hAnsi="宋体" w:cs="宋体"/>
          <w:b/>
          <w:color w:val="auto"/>
          <w:spacing w:val="6"/>
          <w:sz w:val="32"/>
          <w:szCs w:val="32"/>
          <w:highlight w:val="none"/>
        </w:rPr>
      </w:pPr>
    </w:p>
    <w:p w14:paraId="7F2EB0FB">
      <w:pPr>
        <w:autoSpaceDE w:val="0"/>
        <w:autoSpaceDN w:val="0"/>
        <w:jc w:val="center"/>
        <w:rPr>
          <w:rFonts w:ascii="宋体" w:hAnsi="宋体" w:cs="宋体"/>
          <w:b/>
          <w:color w:val="auto"/>
          <w:spacing w:val="6"/>
          <w:sz w:val="32"/>
          <w:szCs w:val="32"/>
          <w:highlight w:val="none"/>
        </w:rPr>
      </w:pPr>
    </w:p>
    <w:p w14:paraId="491CB5AF">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6CC22D28">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C891253">
      <w:pPr>
        <w:spacing w:line="360" w:lineRule="auto"/>
        <w:jc w:val="center"/>
        <w:rPr>
          <w:rFonts w:ascii="宋体" w:hAnsi="宋体" w:cs="宋体"/>
          <w:color w:val="auto"/>
          <w:sz w:val="24"/>
          <w:highlight w:val="none"/>
          <w:u w:val="single"/>
        </w:rPr>
      </w:pPr>
    </w:p>
    <w:p w14:paraId="0E7047D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0CC7A42">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9E3AB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528A28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D59F55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28B6AB1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8C7AAC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B534DF5">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C5C628B">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70056AB9">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4FD1B740">
      <w:pPr>
        <w:numPr>
          <w:ilvl w:val="0"/>
          <w:numId w:val="0"/>
        </w:numPr>
        <w:spacing w:line="360" w:lineRule="auto"/>
        <w:ind w:right="420" w:rightChars="0"/>
        <w:rPr>
          <w:rFonts w:ascii="宋体" w:hAnsi="宋体" w:cs="宋体"/>
          <w:bCs/>
          <w:color w:val="auto"/>
          <w:sz w:val="24"/>
          <w:highlight w:val="none"/>
        </w:rPr>
      </w:pPr>
    </w:p>
    <w:p w14:paraId="02A98062">
      <w:pPr>
        <w:rPr>
          <w:color w:val="auto"/>
          <w:highlight w:val="none"/>
        </w:rPr>
      </w:pPr>
      <w:r>
        <w:rPr>
          <w:color w:val="auto"/>
          <w:highlight w:val="none"/>
        </w:rPr>
        <w:br w:type="page"/>
      </w:r>
    </w:p>
    <w:p w14:paraId="7536AA22">
      <w:pPr>
        <w:pStyle w:val="3"/>
        <w:rPr>
          <w:rFonts w:ascii="宋体" w:hAnsi="宋体" w:eastAsia="宋体" w:cs="宋体"/>
          <w:bCs w:val="0"/>
          <w:color w:val="auto"/>
          <w:sz w:val="36"/>
          <w:szCs w:val="20"/>
          <w:highlight w:val="none"/>
          <w:lang w:val="en-US"/>
        </w:rPr>
      </w:pPr>
      <w:r>
        <w:rPr>
          <w:rFonts w:hint="eastAsia" w:ascii="宋体" w:hAnsi="宋体" w:eastAsia="宋体" w:cs="宋体"/>
          <w:bCs w:val="0"/>
          <w:color w:val="auto"/>
          <w:sz w:val="36"/>
          <w:szCs w:val="20"/>
          <w:highlight w:val="none"/>
          <w:lang w:val="en-US"/>
        </w:rPr>
        <w:t>附件8：中小企业划型标准</w:t>
      </w:r>
    </w:p>
    <w:p w14:paraId="44FE0D2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各行业划型标准为：</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4817053D">
      <w:pPr>
        <w:snapToGrid w:val="0"/>
        <w:spacing w:line="360" w:lineRule="auto"/>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附件</w:t>
      </w:r>
      <w:r>
        <w:rPr>
          <w:rFonts w:hint="eastAsia" w:ascii="宋体" w:hAnsi="宋体" w:cs="宋体"/>
          <w:b/>
          <w:color w:val="auto"/>
          <w:kern w:val="0"/>
          <w:sz w:val="32"/>
          <w:szCs w:val="32"/>
          <w:highlight w:val="none"/>
        </w:rPr>
        <w:t>9：</w:t>
      </w:r>
    </w:p>
    <w:p w14:paraId="596546D2">
      <w:pPr>
        <w:snapToGrid w:val="0"/>
        <w:spacing w:line="360" w:lineRule="auto"/>
        <w:ind w:firstLine="643" w:firstLineChars="200"/>
        <w:jc w:val="center"/>
        <w:rPr>
          <w:rFonts w:ascii="宋体" w:hAnsi="宋体" w:cs="宋体"/>
          <w:color w:val="auto"/>
          <w:kern w:val="0"/>
          <w:sz w:val="24"/>
          <w:highlight w:val="none"/>
        </w:rPr>
      </w:pPr>
      <w:r>
        <w:rPr>
          <w:rFonts w:hint="eastAsia" w:ascii="宋体" w:hAnsi="宋体" w:cs="宋体"/>
          <w:b/>
          <w:color w:val="auto"/>
          <w:sz w:val="32"/>
          <w:szCs w:val="32"/>
          <w:highlight w:val="none"/>
          <w:lang w:val="zh-CN"/>
        </w:rPr>
        <w:t>关于符合本国产品标准的声明函</w:t>
      </w:r>
    </w:p>
    <w:p w14:paraId="3BF04546">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rPr>
        <w:t>一、</w:t>
      </w:r>
      <w:r>
        <w:rPr>
          <w:rFonts w:hint="eastAsia" w:ascii="宋体" w:hAnsi="宋体" w:cs="宋体"/>
          <w:color w:val="auto"/>
          <w:kern w:val="0"/>
          <w:sz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lang w:val="zh-CN"/>
        </w:rPr>
        <w:t>（产品名称1）</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lang w:val="zh-CN"/>
        </w:rPr>
        <w:t>，生产厂为</w:t>
      </w:r>
      <w:r>
        <w:rPr>
          <w:rFonts w:hint="eastAsia" w:ascii="宋体" w:hAnsi="宋体" w:cs="宋体"/>
          <w:color w:val="auto"/>
          <w:kern w:val="0"/>
          <w:sz w:val="24"/>
          <w:highlight w:val="none"/>
          <w:u w:val="single"/>
          <w:lang w:val="zh-CN"/>
        </w:rPr>
        <w:t>（厂名）</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vertAlign w:val="superscript"/>
        </w:rPr>
        <w:t>2</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lang w:val="zh-CN"/>
        </w:rPr>
        <w:t>，厂址为</w:t>
      </w:r>
      <w:r>
        <w:rPr>
          <w:rFonts w:hint="eastAsia" w:ascii="宋体" w:hAnsi="宋体" w:cs="宋体"/>
          <w:color w:val="auto"/>
          <w:kern w:val="0"/>
          <w:sz w:val="24"/>
          <w:highlight w:val="none"/>
          <w:u w:val="single"/>
          <w:lang w:val="zh-CN"/>
        </w:rPr>
        <w:t>（生产厂址）</w:t>
      </w:r>
      <w:r>
        <w:rPr>
          <w:rFonts w:hint="eastAsia" w:ascii="宋体" w:hAnsi="宋体" w:cs="宋体"/>
          <w:color w:val="auto"/>
          <w:kern w:val="0"/>
          <w:sz w:val="24"/>
          <w:highlight w:val="none"/>
          <w:lang w:val="zh-CN"/>
        </w:rPr>
        <w:t>。</w:t>
      </w:r>
    </w:p>
    <w:p w14:paraId="14520BD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（产品名称</w:t>
      </w:r>
      <w:r>
        <w:rPr>
          <w:rFonts w:hint="eastAsia" w:ascii="宋体" w:hAnsi="宋体" w:cs="宋体"/>
          <w:color w:val="auto"/>
          <w:kern w:val="0"/>
          <w:sz w:val="24"/>
          <w:highlight w:val="none"/>
          <w:u w:val="single"/>
        </w:rPr>
        <w:t>2</w:t>
      </w:r>
      <w:r>
        <w:rPr>
          <w:rFonts w:hint="eastAsia" w:ascii="宋体" w:hAnsi="宋体" w:cs="宋体"/>
          <w:color w:val="auto"/>
          <w:kern w:val="0"/>
          <w:sz w:val="24"/>
          <w:highlight w:val="none"/>
          <w:u w:val="single"/>
          <w:lang w:val="zh-CN"/>
        </w:rPr>
        <w:t>）</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lang w:val="zh-CN"/>
        </w:rPr>
        <w:t>，生产厂为</w:t>
      </w:r>
      <w:r>
        <w:rPr>
          <w:rFonts w:hint="eastAsia" w:ascii="宋体" w:hAnsi="宋体" w:cs="宋体"/>
          <w:color w:val="auto"/>
          <w:kern w:val="0"/>
          <w:sz w:val="24"/>
          <w:highlight w:val="none"/>
          <w:u w:val="single"/>
          <w:lang w:val="zh-CN"/>
        </w:rPr>
        <w:t>（厂名）</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vertAlign w:val="superscript"/>
        </w:rPr>
        <w:t>2</w:t>
      </w:r>
      <w:r>
        <w:rPr>
          <w:rFonts w:hint="eastAsia" w:ascii="宋体" w:hAnsi="宋体" w:cs="宋体"/>
          <w:color w:val="auto"/>
          <w:kern w:val="0"/>
          <w:sz w:val="24"/>
          <w:highlight w:val="none"/>
          <w:vertAlign w:val="superscript"/>
          <w:lang w:val="zh-CN"/>
        </w:rPr>
        <w:t>】</w:t>
      </w:r>
      <w:r>
        <w:rPr>
          <w:rFonts w:hint="eastAsia" w:ascii="宋体" w:hAnsi="宋体" w:cs="宋体"/>
          <w:color w:val="auto"/>
          <w:kern w:val="0"/>
          <w:sz w:val="24"/>
          <w:highlight w:val="none"/>
          <w:lang w:val="zh-CN"/>
        </w:rPr>
        <w:t>，厂址为</w:t>
      </w:r>
      <w:r>
        <w:rPr>
          <w:rFonts w:hint="eastAsia" w:ascii="宋体" w:hAnsi="宋体" w:cs="宋体"/>
          <w:color w:val="auto"/>
          <w:kern w:val="0"/>
          <w:sz w:val="24"/>
          <w:highlight w:val="none"/>
          <w:u w:val="single"/>
          <w:lang w:val="zh-CN"/>
        </w:rPr>
        <w:t>（生产厂址）</w:t>
      </w:r>
      <w:r>
        <w:rPr>
          <w:rFonts w:hint="eastAsia" w:ascii="宋体" w:hAnsi="宋体" w:cs="宋体"/>
          <w:color w:val="auto"/>
          <w:kern w:val="0"/>
          <w:sz w:val="24"/>
          <w:highlight w:val="none"/>
          <w:lang w:val="zh-CN"/>
        </w:rPr>
        <w:t>。</w:t>
      </w:r>
    </w:p>
    <w:p w14:paraId="2447E842">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425C4660">
      <w:pPr>
        <w:adjustRightInd/>
        <w:ind w:firstLine="482" w:firstLineChars="200"/>
        <w:jc w:val="left"/>
        <w:rPr>
          <w:rFonts w:ascii="宋体" w:hAnsi="宋体" w:cs="宋体"/>
          <w:color w:val="auto"/>
          <w:sz w:val="32"/>
          <w:szCs w:val="32"/>
          <w:highlight w:val="none"/>
        </w:rPr>
      </w:pPr>
      <w:r>
        <w:rPr>
          <w:rFonts w:hint="eastAsia" w:ascii="宋体" w:hAnsi="宋体" w:cs="宋体"/>
          <w:b/>
          <w:bCs/>
          <w:color w:val="auto"/>
          <w:sz w:val="24"/>
          <w:highlight w:val="none"/>
        </w:rPr>
        <w:t>二、关于符合本国产品标准的成本占比情况：</w:t>
      </w:r>
    </w:p>
    <w:p w14:paraId="72C281A4">
      <w:pPr>
        <w:adjustRightInd/>
        <w:jc w:val="center"/>
        <w:rPr>
          <w:rFonts w:ascii="宋体" w:hAnsi="宋体" w:cs="宋体"/>
          <w:color w:val="auto"/>
          <w:sz w:val="32"/>
          <w:szCs w:val="32"/>
          <w:highlight w:val="none"/>
        </w:rPr>
      </w:pPr>
    </w:p>
    <w:tbl>
      <w:tblPr>
        <w:tblStyle w:val="18"/>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jc w:val="center"/>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计算公式</w:t>
            </w:r>
          </w:p>
        </w:tc>
        <w:tc>
          <w:tcPr>
            <w:tcW w:w="2092" w:type="dxa"/>
            <w:vAlign w:val="center"/>
          </w:tcPr>
          <w:p w14:paraId="1ADF20F8">
            <w:pPr>
              <w:jc w:val="center"/>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jc w:val="center"/>
              <w:rPr>
                <w:rFonts w:ascii="宋体" w:hAnsi="宋体" w:cs="宋体"/>
                <w:color w:val="auto"/>
                <w:sz w:val="24"/>
                <w:highlight w:val="none"/>
                <w:shd w:val="clear" w:color="auto" w:fill="FFFFFF"/>
              </w:rPr>
            </w:pPr>
          </w:p>
          <w:p w14:paraId="6726D666">
            <w:pPr>
              <w:jc w:val="center"/>
              <w:rPr>
                <w:rFonts w:ascii="宋体" w:hAnsi="宋体" w:cs="宋体"/>
                <w:color w:val="auto"/>
                <w:spacing w:val="4"/>
                <w:sz w:val="24"/>
                <w:highlight w:val="none"/>
                <w:bdr w:val="single" w:color="auto" w:sz="2" w:space="0"/>
                <w:shd w:val="clear" w:color="auto" w:fill="FFFFFF"/>
              </w:rPr>
            </w:pPr>
            <m:oMathPara>
              <m:oMath>
                <m:r>
                  <m:rPr>
                    <m:sty m:val="p"/>
                  </m:rPr>
                  <w:rPr>
                    <w:rFonts w:hint="eastAsia" w:ascii="Cambria Math" w:hAnsi="Cambria Math" w:cs="宋体"/>
                    <w:color w:val="auto"/>
                    <w:sz w:val="24"/>
                    <w:highlight w:val="none"/>
                  </w:rPr>
                  <m:t>比例</m:t>
                </m:r>
                <m:r>
                  <m:rPr/>
                  <w:rPr>
                    <w:rFonts w:hint="eastAsia" w:ascii="Cambria Math" w:hAnsi="Cambria Math" w:cs="宋体"/>
                    <w:color w:val="auto"/>
                    <w:sz w:val="24"/>
                    <w:highlight w:val="none"/>
                  </w:rPr>
                  <m:t>=</m:t>
                </m:r>
                <m:f>
                  <m:fPr>
                    <m:ctrlPr>
                      <w:rPr>
                        <w:rFonts w:hint="eastAsia" w:ascii="Cambria Math" w:hAnsi="Cambria Math" w:cs="宋体"/>
                        <w:i/>
                        <w:color w:val="auto"/>
                        <w:sz w:val="24"/>
                        <w:highlight w:val="none"/>
                      </w:rPr>
                    </m:ctrlPr>
                  </m:fPr>
                  <m:num>
                    <m:r>
                      <m:rPr>
                        <m:sty m:val="p"/>
                      </m:rPr>
                      <w:rPr>
                        <w:rFonts w:hint="eastAsia" w:ascii="Cambria Math" w:hAnsi="Cambria Math" w:cs="宋体"/>
                        <w:color w:val="auto"/>
                        <w:sz w:val="24"/>
                        <w:highlight w:val="none"/>
                      </w:rPr>
                      <m:t>符合本国产品标准的投标产品成本之和</m:t>
                    </m:r>
                    <m:ctrlPr>
                      <w:rPr>
                        <w:rFonts w:hint="eastAsia" w:ascii="Cambria Math" w:hAnsi="Cambria Math" w:cs="宋体"/>
                        <w:color w:val="auto"/>
                        <w:sz w:val="24"/>
                        <w:highlight w:val="none"/>
                      </w:rPr>
                    </m:ctrlPr>
                  </m:num>
                  <m:den>
                    <m:r>
                      <m:rPr>
                        <m:sty m:val="p"/>
                      </m:rPr>
                      <w:rPr>
                        <w:rFonts w:hint="eastAsia" w:ascii="Cambria Math" w:hAnsi="Cambria Math" w:cs="宋体"/>
                        <w:color w:val="auto"/>
                        <w:sz w:val="24"/>
                        <w:highlight w:val="none"/>
                      </w:rPr>
                      <m:t>提供的全部产品成本之和</m:t>
                    </m:r>
                    <m:ctrlPr>
                      <w:rPr>
                        <w:rFonts w:hint="eastAsia" w:ascii="Cambria Math" w:hAnsi="Cambria Math" w:cs="宋体"/>
                        <w:color w:val="auto"/>
                        <w:sz w:val="24"/>
                        <w:highlight w:val="none"/>
                      </w:rPr>
                    </m:ctrlPr>
                  </m:den>
                </m:f>
                <m:r>
                  <m:rPr>
                    <m:sty m:val="p"/>
                  </m:rPr>
                  <w:rPr>
                    <w:rFonts w:hint="eastAsia" w:ascii="Cambria Math" w:hAnsi="Cambria Math" w:cs="宋体"/>
                    <w:color w:val="auto"/>
                    <w:sz w:val="24"/>
                    <w:highlight w:val="none"/>
                  </w:rPr>
                  <m:t>×</m:t>
                </m:r>
                <m:r>
                  <m:rPr/>
                  <w:rPr>
                    <w:rFonts w:hint="eastAsia" w:ascii="Cambria Math" w:hAnsi="Cambria Math" w:cs="宋体"/>
                    <w:color w:val="auto"/>
                    <w:sz w:val="24"/>
                    <w:highlight w:val="none"/>
                  </w:rPr>
                  <m:t>100%</m:t>
                </m:r>
              </m:oMath>
            </m:oMathPara>
          </w:p>
          <w:p w14:paraId="59A9E7C6">
            <w:pPr>
              <w:jc w:val="center"/>
              <w:rPr>
                <w:rFonts w:ascii="宋体" w:hAnsi="宋体" w:cs="宋体"/>
                <w:color w:val="auto"/>
                <w:spacing w:val="4"/>
                <w:sz w:val="24"/>
                <w:highlight w:val="none"/>
                <w:bdr w:val="single" w:color="auto" w:sz="2" w:space="0"/>
                <w:shd w:val="clear" w:color="auto" w:fill="FFFFFF"/>
              </w:rPr>
            </w:pPr>
          </w:p>
          <w:p w14:paraId="13CD4D6D">
            <w:pPr>
              <w:jc w:val="center"/>
              <w:rPr>
                <w:rFonts w:ascii="宋体" w:hAnsi="宋体" w:cs="宋体"/>
                <w:color w:val="auto"/>
                <w:sz w:val="24"/>
                <w:highlight w:val="none"/>
                <w:shd w:val="clear" w:color="auto" w:fill="FFFFFF"/>
              </w:rPr>
            </w:pPr>
          </w:p>
        </w:tc>
        <w:tc>
          <w:tcPr>
            <w:tcW w:w="2092" w:type="dxa"/>
            <w:vAlign w:val="center"/>
          </w:tcPr>
          <w:p w14:paraId="7E8B9A7C">
            <w:pPr>
              <w:jc w:val="center"/>
              <w:rPr>
                <w:rFonts w:ascii="宋体" w:hAnsi="宋体" w:cs="宋体"/>
                <w:color w:val="auto"/>
                <w:sz w:val="24"/>
                <w:highlight w:val="none"/>
                <w:shd w:val="clear" w:color="auto" w:fill="FFFFFF"/>
              </w:rPr>
            </w:pPr>
            <w:r>
              <w:rPr>
                <w:rFonts w:hint="eastAsia" w:ascii="宋体" w:hAnsi="宋体" w:cs="宋体"/>
                <w:color w:val="auto"/>
                <w:sz w:val="24"/>
                <w:highlight w:val="none"/>
                <w:u w:val="single"/>
                <w:shd w:val="clear" w:color="auto" w:fill="FFFFFF"/>
              </w:rPr>
              <w:t xml:space="preserve">       </w:t>
            </w:r>
            <w:r>
              <w:rPr>
                <w:rFonts w:hint="eastAsia" w:ascii="宋体" w:hAnsi="宋体" w:cs="宋体"/>
                <w:color w:val="auto"/>
                <w:sz w:val="24"/>
                <w:highlight w:val="none"/>
                <w:shd w:val="clear" w:color="auto" w:fill="FFFFFF"/>
              </w:rPr>
              <w:t>%</w:t>
            </w:r>
          </w:p>
        </w:tc>
      </w:tr>
    </w:tbl>
    <w:p w14:paraId="2FEA9802">
      <w:pPr>
        <w:snapToGrid w:val="0"/>
        <w:spacing w:line="360" w:lineRule="auto"/>
        <w:ind w:firstLine="480" w:firstLineChars="200"/>
        <w:jc w:val="left"/>
        <w:rPr>
          <w:rFonts w:ascii="宋体" w:hAnsi="宋体" w:cs="宋体"/>
          <w:color w:val="auto"/>
          <w:kern w:val="0"/>
          <w:sz w:val="24"/>
          <w:highlight w:val="none"/>
          <w:lang w:val="zh-CN"/>
        </w:rPr>
      </w:pPr>
    </w:p>
    <w:p w14:paraId="485678E9">
      <w:pPr>
        <w:snapToGrid w:val="0"/>
        <w:spacing w:line="360" w:lineRule="auto"/>
        <w:rPr>
          <w:rFonts w:ascii="宋体" w:hAnsi="宋体" w:cs="宋体"/>
          <w:color w:val="auto"/>
          <w:kern w:val="0"/>
          <w:sz w:val="24"/>
          <w:highlight w:val="none"/>
          <w:lang w:val="zh-CN"/>
        </w:rPr>
      </w:pPr>
    </w:p>
    <w:p w14:paraId="372E1412">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本公司（单位）对上述声明内容的真实性负责。如有虚假，愿承担相应法律责任。</w:t>
      </w:r>
    </w:p>
    <w:p w14:paraId="53E3E30C">
      <w:pPr>
        <w:snapToGrid w:val="0"/>
        <w:spacing w:line="360" w:lineRule="auto"/>
        <w:rPr>
          <w:rFonts w:ascii="宋体" w:hAnsi="宋体" w:cs="宋体"/>
          <w:color w:val="auto"/>
          <w:kern w:val="0"/>
          <w:sz w:val="24"/>
          <w:highlight w:val="none"/>
          <w:lang w:val="zh-CN"/>
        </w:rPr>
      </w:pPr>
    </w:p>
    <w:p w14:paraId="7B5D0755">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公司（单位）名称（盖章）：</w:t>
      </w:r>
    </w:p>
    <w:p w14:paraId="35DC8F1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0"/>
                    <a:stretch>
                      <a:fillRect/>
                    </a:stretch>
                  </pic:blipFill>
                  <pic:spPr>
                    <a:xfrm>
                      <a:off x="0" y="0"/>
                      <a:ext cx="1066417" cy="6350"/>
                    </a:xfrm>
                    <a:prstGeom prst="rect">
                      <a:avLst/>
                    </a:prstGeom>
                  </pic:spPr>
                </pic:pic>
              </a:graphicData>
            </a:graphic>
          </wp:anchor>
        </w:drawing>
      </w:r>
      <w:r>
        <w:rPr>
          <w:rFonts w:hint="eastAsia" w:ascii="宋体" w:hAnsi="宋体" w:cs="宋体"/>
          <w:color w:val="auto"/>
          <w:kern w:val="0"/>
          <w:sz w:val="24"/>
          <w:highlight w:val="none"/>
          <w:lang w:val="zh-CN"/>
        </w:rPr>
        <w:t>日期：       年    月     日</w:t>
      </w:r>
    </w:p>
    <w:p w14:paraId="72D02210">
      <w:pPr>
        <w:snapToGrid w:val="0"/>
        <w:spacing w:line="360" w:lineRule="auto"/>
        <w:rPr>
          <w:rFonts w:ascii="宋体" w:hAnsi="宋体" w:cs="宋体"/>
          <w:color w:val="auto"/>
          <w:kern w:val="0"/>
          <w:sz w:val="24"/>
          <w:highlight w:val="none"/>
          <w:lang w:val="zh-CN"/>
        </w:rPr>
      </w:pPr>
    </w:p>
    <w:p w14:paraId="5927B9E6">
      <w:pPr>
        <w:snapToGrid w:val="0"/>
        <w:spacing w:line="360" w:lineRule="auto"/>
        <w:rPr>
          <w:rFonts w:ascii="宋体" w:hAnsi="宋体" w:cs="宋体"/>
          <w:color w:val="auto"/>
          <w:kern w:val="0"/>
          <w:sz w:val="24"/>
          <w:highlight w:val="none"/>
          <w:lang w:val="zh-CN"/>
        </w:rPr>
      </w:pPr>
    </w:p>
    <w:p w14:paraId="621E5EE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】.产品如有型号，请在“产品名称”栏一并填写。</w:t>
      </w:r>
    </w:p>
    <w:p w14:paraId="7A333AA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zh-CN"/>
        </w:rPr>
        <w:t>】.生产厂名与厂址应与生产厂营业执照载明的相关信息保持一致。</w:t>
      </w:r>
    </w:p>
    <w:p w14:paraId="2409F041">
      <w:pPr>
        <w:pStyle w:val="24"/>
        <w:rPr>
          <w:color w:val="auto"/>
          <w:highlight w:val="none"/>
        </w:rPr>
      </w:pPr>
    </w:p>
    <w:p w14:paraId="556CC52B">
      <w:pPr>
        <w:pStyle w:val="3"/>
        <w:rPr>
          <w:rFonts w:ascii="宋体" w:hAnsi="宋体" w:eastAsia="宋体" w:cs="宋体"/>
          <w:color w:val="auto"/>
          <w:highlight w:val="none"/>
          <w:lang w:val="en-US"/>
        </w:rPr>
      </w:pPr>
    </w:p>
    <w:p w14:paraId="679B4936">
      <w:pPr>
        <w:spacing w:line="360" w:lineRule="auto"/>
        <w:ind w:right="420"/>
        <w:rPr>
          <w:rFonts w:ascii="宋体" w:hAnsi="宋体" w:cs="宋体"/>
          <w:color w:val="auto"/>
          <w:highlight w:val="none"/>
        </w:rPr>
      </w:pPr>
    </w:p>
    <w:p w14:paraId="5EA84BC6">
      <w:pPr>
        <w:spacing w:line="360" w:lineRule="auto"/>
        <w:rPr>
          <w:rFonts w:ascii="宋体" w:hAnsi="宋体" w:cs="宋体"/>
          <w:bCs/>
          <w:color w:val="auto"/>
          <w:sz w:val="24"/>
          <w:highlight w:val="none"/>
        </w:rPr>
      </w:pPr>
    </w:p>
    <w:p w14:paraId="295568CD">
      <w:pPr>
        <w:rPr>
          <w:color w:val="auto"/>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8DBF">
    <w:pPr>
      <w:pStyle w:val="1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93</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EDA8">
    <w:pPr>
      <w:pStyle w:val="1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AB157C5">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6A30B">
    <w:pPr>
      <w:pStyle w:val="14"/>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939CB">
    <w:pPr>
      <w:pStyle w:val="14"/>
      <w:framePr w:wrap="around" w:vAnchor="text" w:hAnchor="margin" w:xAlign="right" w:y="1"/>
      <w:rPr>
        <w:rStyle w:val="20"/>
      </w:rPr>
    </w:pPr>
    <w:r>
      <w:fldChar w:fldCharType="begin"/>
    </w:r>
    <w:r>
      <w:rPr>
        <w:rStyle w:val="20"/>
      </w:rPr>
      <w:instrText xml:space="preserve">PAGE  </w:instrText>
    </w:r>
    <w:r>
      <w:fldChar w:fldCharType="end"/>
    </w:r>
  </w:p>
  <w:p w14:paraId="609B06A6">
    <w:pPr>
      <w:pStyle w:val="14"/>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A39C3">
    <w:pPr>
      <w:pStyle w:val="14"/>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93</w:t>
    </w:r>
    <w:r>
      <w:rPr>
        <w:rFonts w:hint="eastAsia" w:ascii="仿宋_GB2312" w:eastAsia="仿宋_GB2312"/>
        <w:kern w:val="0"/>
        <w:szCs w:val="21"/>
      </w:rPr>
      <w:fldChar w:fldCharType="end"/>
    </w:r>
    <w:bookmarkStart w:id="429" w:name="_Toc131845147"/>
    <w:bookmarkStart w:id="430" w:name="_Toc164085800"/>
    <w:bookmarkStart w:id="431" w:name="_Toc91899912"/>
    <w:bookmarkStart w:id="432" w:name="_Toc36110187"/>
    <w:r>
      <w:rPr>
        <w:rFonts w:hint="eastAsia" w:ascii="仿宋_GB2312" w:eastAsia="仿宋_GB2312"/>
        <w:kern w:val="0"/>
        <w:szCs w:val="21"/>
      </w:rPr>
      <w:t xml:space="preserve"> 页</w:t>
    </w:r>
    <w:bookmarkEnd w:id="429"/>
    <w:bookmarkEnd w:id="430"/>
    <w:bookmarkEnd w:id="431"/>
    <w:bookmarkEnd w:id="43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231A">
    <w:pPr>
      <w:pStyle w:val="14"/>
      <w:framePr w:wrap="around" w:vAnchor="text" w:hAnchor="margin" w:xAlign="right" w:y="1"/>
      <w:rPr>
        <w:rStyle w:val="20"/>
      </w:rPr>
    </w:pPr>
    <w:r>
      <w:fldChar w:fldCharType="begin"/>
    </w:r>
    <w:r>
      <w:rPr>
        <w:rStyle w:val="20"/>
      </w:rPr>
      <w:instrText xml:space="preserve">PAGE  </w:instrText>
    </w:r>
    <w:r>
      <w:fldChar w:fldCharType="end"/>
    </w:r>
  </w:p>
  <w:p w14:paraId="5FC46832">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C856">
    <w:pPr>
      <w:pStyle w:val="1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BCC6">
    <w:pPr>
      <w:pStyle w:val="14"/>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93</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DF42">
    <w:pPr>
      <w:pStyle w:val="1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98249BA">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67A5">
    <w:pPr>
      <w:pStyle w:val="1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A8062F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AF66">
    <w:pPr>
      <w:pStyle w:val="1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948AC30">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8FC4">
    <w:pPr>
      <w:pStyle w:val="1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5831DD3">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DEE7">
    <w:pPr>
      <w:pStyle w:val="1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E3EDA1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02241">
    <w:pPr>
      <w:pStyle w:val="15"/>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50C16">
    <w:pPr>
      <w:pStyle w:val="15"/>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AF91">
    <w:pPr>
      <w:pStyle w:val="15"/>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15ED">
    <w:pPr>
      <w:pStyle w:val="15"/>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FE57">
    <w:pPr>
      <w:pStyle w:val="15"/>
      <w:pBdr>
        <w:bottom w:val="single" w:color="auto" w:sz="6" w:space="0"/>
      </w:pBdr>
      <w:tabs>
        <w:tab w:val="center" w:pos="4535"/>
        <w:tab w:val="right" w:pos="9070"/>
        <w:tab w:val="clear" w:pos="4153"/>
        <w:tab w:val="clear" w:pos="8306"/>
      </w:tabs>
      <w:jc w:val="right"/>
    </w:pPr>
    <w:r>
      <w:rPr>
        <w:lang w:val="zh-CN"/>
      </w:rPr>
      <w:t></w:t>
    </w:r>
    <w:r>
      <w:tab/>
    </w:r>
    <w:r>
      <w:rPr>
        <w:lang w:val="zh-CN"/>
      </w:rP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B6CC">
    <w:pPr>
      <w:pStyle w:val="15"/>
      <w:rPr>
        <w:rFonts w:ascii="仿宋_GB2312" w:eastAsia="仿宋_GB2312"/>
        <w:b/>
        <w:i/>
        <w:u w:val="single"/>
      </w:rPr>
    </w:pPr>
    <w:r>
      <w:t></w:t>
    </w:r>
    <w:r>
      <w:rPr>
        <w:rFonts w:hint="eastAsia"/>
      </w:rPr>
      <w:t xml:space="preserve">                                                  </w:t>
    </w:r>
    <w:r>
      <w:t xml:space="preserve">             杭州市政府采购公开招标文件</w:t>
    </w:r>
  </w:p>
  <w:p w14:paraId="7DC11C7F">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6B78">
    <w:pPr>
      <w:pStyle w:val="15"/>
    </w:pPr>
    <w:r>
      <w:t></w:t>
    </w:r>
    <w:r>
      <w:rPr>
        <w:rFonts w:hint="eastAsia"/>
      </w:rPr>
      <w:t xml:space="preserve">         </w:t>
    </w:r>
  </w:p>
  <w:p w14:paraId="6F97612A">
    <w:pPr>
      <w:pStyle w:val="15"/>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8352">
    <w:pPr>
      <w:pStyle w:val="15"/>
      <w:rPr>
        <w:rFonts w:ascii="仿宋_GB2312" w:eastAsia="仿宋_GB2312"/>
        <w:b/>
        <w:i/>
        <w:u w:val="single"/>
      </w:rPr>
    </w:pPr>
    <w:r>
      <w:t></w:t>
    </w:r>
    <w:r>
      <w:rPr>
        <w:rFonts w:hint="eastAsia"/>
      </w:rPr>
      <w:t xml:space="preserve">                                                  </w:t>
    </w:r>
    <w:r>
      <w:t>杭州市政府采购公开招标文件</w:t>
    </w:r>
  </w:p>
  <w:p w14:paraId="4E6D3F42">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6727">
    <w:pPr>
      <w:pStyle w:val="15"/>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5F28">
    <w:pPr>
      <w:pStyle w:val="15"/>
      <w:jc w:val="right"/>
      <w:rPr>
        <w:rFonts w:ascii="仿宋_GB2312" w:eastAsia="仿宋_GB2312"/>
        <w:b/>
        <w:i/>
        <w:u w:val="single"/>
      </w:rPr>
    </w:pPr>
    <w:r>
      <w:rPr>
        <w:rFonts w:hint="eastAsia"/>
      </w:rPr>
      <w:t xml:space="preserve">                                  </w:t>
    </w:r>
    <w:r>
      <w:t>杭州市政府采购公开招标文件</w:t>
    </w:r>
  </w:p>
  <w:p w14:paraId="6EB7AF38">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4DC7">
    <w:pPr>
      <w:pStyle w:val="15"/>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92D21"/>
    <w:multiLevelType w:val="singleLevel"/>
    <w:tmpl w:val="41892D21"/>
    <w:lvl w:ilvl="0" w:tentative="0">
      <w:start w:val="1"/>
      <w:numFmt w:val="decimal"/>
      <w:suff w:val="nothing"/>
      <w:lvlText w:val="（%1）"/>
      <w:lvlJc w:val="left"/>
    </w:lvl>
  </w:abstractNum>
  <w:abstractNum w:abstractNumId="1">
    <w:nsid w:val="49EB1070"/>
    <w:multiLevelType w:val="singleLevel"/>
    <w:tmpl w:val="49EB1070"/>
    <w:lvl w:ilvl="0" w:tentative="0">
      <w:start w:val="1"/>
      <w:numFmt w:val="decimal"/>
      <w:suff w:val="nothing"/>
      <w:lvlText w:val="（%1）"/>
      <w:lvlJc w:val="left"/>
    </w:lvl>
  </w:abstractNum>
  <w:abstractNum w:abstractNumId="2">
    <w:nsid w:val="79D72471"/>
    <w:multiLevelType w:val="singleLevel"/>
    <w:tmpl w:val="79D72471"/>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B1786"/>
    <w:rsid w:val="04B8317B"/>
    <w:rsid w:val="0C321039"/>
    <w:rsid w:val="0D3A2C5F"/>
    <w:rsid w:val="16FC21BD"/>
    <w:rsid w:val="18032659"/>
    <w:rsid w:val="18BB1786"/>
    <w:rsid w:val="258907BC"/>
    <w:rsid w:val="25AF3A32"/>
    <w:rsid w:val="277672C3"/>
    <w:rsid w:val="383A7E8F"/>
    <w:rsid w:val="3CBC7B9B"/>
    <w:rsid w:val="416E45C0"/>
    <w:rsid w:val="443F53F7"/>
    <w:rsid w:val="45CE33E3"/>
    <w:rsid w:val="47B62F83"/>
    <w:rsid w:val="4AB6735A"/>
    <w:rsid w:val="4B6452AE"/>
    <w:rsid w:val="5B1A6F6B"/>
    <w:rsid w:val="6A975464"/>
    <w:rsid w:val="6F44427E"/>
    <w:rsid w:val="6FEA65BD"/>
    <w:rsid w:val="700E0664"/>
    <w:rsid w:val="74C46C3D"/>
    <w:rsid w:val="7CC92281"/>
    <w:rsid w:val="7D2F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0"/>
    <w:pPr>
      <w:autoSpaceDE w:val="0"/>
      <w:autoSpaceDN w:val="0"/>
      <w:spacing w:line="360" w:lineRule="auto"/>
    </w:pPr>
    <w:rPr>
      <w:rFonts w:ascii="宋体" w:hAnsi="Arial" w:cs="Arial"/>
      <w:snapToGrid w:val="0"/>
      <w:sz w:val="24"/>
      <w:szCs w:val="21"/>
      <w:lang w:val="zh-CN"/>
    </w:rPr>
  </w:style>
  <w:style w:type="paragraph" w:styleId="8">
    <w:name w:val="Body Text First Indent"/>
    <w:basedOn w:val="7"/>
    <w:next w:val="9"/>
    <w:qFormat/>
    <w:uiPriority w:val="0"/>
    <w:pPr>
      <w:ind w:firstLine="420"/>
    </w:pPr>
    <w:rPr>
      <w:rFonts w:hAnsi="Calibri" w:cs="Times New Roman"/>
      <w:snapToGrid/>
      <w:szCs w:val="20"/>
    </w:rPr>
  </w:style>
  <w:style w:type="paragraph" w:styleId="9">
    <w:name w:val="toc 6"/>
    <w:basedOn w:val="1"/>
    <w:next w:val="1"/>
    <w:qFormat/>
    <w:uiPriority w:val="0"/>
    <w:pPr>
      <w:ind w:left="2100" w:leftChars="1000"/>
    </w:pPr>
  </w:style>
  <w:style w:type="paragraph" w:styleId="10">
    <w:name w:val="Body Text Indent"/>
    <w:basedOn w:val="1"/>
    <w:next w:val="1"/>
    <w:qFormat/>
    <w:uiPriority w:val="0"/>
    <w:pPr>
      <w:spacing w:line="480" w:lineRule="exact"/>
      <w:ind w:firstLine="480" w:firstLineChars="200"/>
    </w:pPr>
    <w:rPr>
      <w:rFonts w:ascii="宋体" w:hAnsi="宋体"/>
      <w:sz w:val="24"/>
    </w:rPr>
  </w:style>
  <w:style w:type="paragraph" w:styleId="11">
    <w:name w:val="Plain Text"/>
    <w:basedOn w:val="1"/>
    <w:qFormat/>
    <w:uiPriority w:val="0"/>
    <w:rPr>
      <w:rFonts w:ascii="宋体" w:hAnsi="Courier New" w:cs="Arial"/>
      <w:snapToGrid w:val="0"/>
      <w:szCs w:val="21"/>
    </w:rPr>
  </w:style>
  <w:style w:type="paragraph" w:styleId="12">
    <w:name w:val="Date"/>
    <w:basedOn w:val="1"/>
    <w:next w:val="1"/>
    <w:qFormat/>
    <w:uiPriority w:val="0"/>
    <w:pPr>
      <w:ind w:left="100" w:leftChars="2500"/>
    </w:pPr>
    <w:rPr>
      <w:rFonts w:ascii="宋体"/>
      <w:sz w:val="24"/>
      <w:szCs w:val="21"/>
      <w:lang w:val="zh-CN"/>
    </w:rPr>
  </w:style>
  <w:style w:type="paragraph" w:styleId="13">
    <w:name w:val="Body Text Indent 2"/>
    <w:basedOn w:val="1"/>
    <w:qFormat/>
    <w:uiPriority w:val="0"/>
    <w:pPr>
      <w:spacing w:line="360" w:lineRule="auto"/>
      <w:ind w:firstLine="601"/>
      <w:textAlignment w:val="baseline"/>
    </w:pPr>
    <w:rPr>
      <w:rFonts w:ascii="宋体"/>
      <w:kern w:val="0"/>
      <w:sz w:val="28"/>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First Indent 2"/>
    <w:basedOn w:val="10"/>
    <w:next w:val="1"/>
    <w:qFormat/>
    <w:uiPriority w:val="0"/>
    <w:pPr>
      <w:adjustRightInd/>
      <w:spacing w:after="120" w:line="240" w:lineRule="auto"/>
      <w:ind w:left="420" w:leftChars="200" w:firstLine="21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rPr>
      <w:rFonts w:ascii="Arial" w:hAnsi="Arial" w:eastAsia="黑体" w:cs="Arial"/>
      <w:snapToGrid w:val="0"/>
      <w:kern w:val="0"/>
      <w:szCs w:val="21"/>
    </w:rPr>
  </w:style>
  <w:style w:type="character" w:styleId="21">
    <w:name w:val="annotation reference"/>
    <w:basedOn w:val="19"/>
    <w:qFormat/>
    <w:uiPriority w:val="99"/>
    <w:rPr>
      <w:sz w:val="21"/>
      <w:szCs w:val="21"/>
    </w:rPr>
  </w:style>
  <w:style w:type="paragraph" w:customStyle="1" w:styleId="22">
    <w:name w:val="!大节"/>
    <w:basedOn w:val="3"/>
    <w:qFormat/>
    <w:uiPriority w:val="0"/>
    <w:pPr>
      <w:spacing w:before="260" w:after="260" w:line="415" w:lineRule="auto"/>
      <w:ind w:left="420" w:hanging="420"/>
    </w:pPr>
    <w:rPr>
      <w:rFonts w:ascii="Arial" w:hAnsi="Arial" w:eastAsia="微软雅黑"/>
      <w:lang w:val="en-US"/>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空2字"/>
    <w:basedOn w:val="28"/>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28">
    <w:name w:val="左对齐正文"/>
    <w:qFormat/>
    <w:uiPriority w:val="99"/>
    <w:rPr>
      <w:rFonts w:ascii="Calibri" w:hAnsi="Calibri" w:eastAsia="仿宋_GB2312" w:cs="Calibri"/>
      <w:kern w:val="2"/>
      <w:sz w:val="32"/>
      <w:szCs w:val="32"/>
      <w:lang w:val="en-US" w:eastAsia="zh-CN" w:bidi="ar-SA"/>
    </w:rPr>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
    <w:basedOn w:val="1"/>
    <w:qFormat/>
    <w:uiPriority w:val="0"/>
    <w:pPr>
      <w:snapToGrid w:val="0"/>
      <w:spacing w:line="360" w:lineRule="auto"/>
      <w:ind w:firstLine="482"/>
      <w:jc w:val="left"/>
    </w:pPr>
    <w:rPr>
      <w:rFonts w:ascii="宋体" w:hAnsi="宋体"/>
      <w:kern w:val="0"/>
      <w:sz w:val="24"/>
      <w:szCs w:val="20"/>
    </w:rPr>
  </w:style>
  <w:style w:type="character" w:customStyle="1" w:styleId="31">
    <w:name w:val="10"/>
    <w:qFormat/>
    <w:uiPriority w:val="0"/>
    <w:rPr>
      <w:rFonts w:hint="default" w:ascii="Times New Roman" w:hAnsi="Times New Roman" w:cs="Times New Roman"/>
    </w:rPr>
  </w:style>
  <w:style w:type="paragraph" w:customStyle="1" w:styleId="3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H表_1"/>
    <w:basedOn w:val="1"/>
    <w:qFormat/>
    <w:uiPriority w:val="0"/>
    <w:pPr>
      <w:widowControl/>
      <w:adjustRightInd/>
      <w:jc w:val="center"/>
    </w:pPr>
    <w:rPr>
      <w:rFonts w:ascii="宋体" w:hAnsi="宋体" w:cs="Calibri"/>
      <w:kern w:val="0"/>
      <w:sz w:val="20"/>
      <w:szCs w:val="20"/>
    </w:rPr>
  </w:style>
  <w:style w:type="paragraph" w:customStyle="1" w:styleId="34">
    <w:name w:val="H正_1"/>
    <w:basedOn w:val="1"/>
    <w:qFormat/>
    <w:uiPriority w:val="0"/>
    <w:pPr>
      <w:adjustRightInd/>
      <w:spacing w:line="420" w:lineRule="auto"/>
      <w:ind w:firstLine="200" w:firstLineChars="200"/>
      <w:jc w:val="left"/>
    </w:pPr>
    <w:rPr>
      <w:rFonts w:cs="Calibri"/>
      <w:sz w:val="24"/>
    </w:rPr>
  </w:style>
  <w:style w:type="paragraph" w:customStyle="1" w:styleId="3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36">
    <w:name w:val="正文缩进1"/>
    <w:basedOn w:val="1"/>
    <w:next w:val="10"/>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7">
    <w:name w:val="索引 11"/>
    <w:basedOn w:val="1"/>
    <w:next w:val="1"/>
    <w:qFormat/>
    <w:uiPriority w:val="99"/>
    <w:pPr>
      <w:adjustRightInd/>
      <w:spacing w:line="360" w:lineRule="auto"/>
    </w:pPr>
    <w:rPr>
      <w:rFonts w:ascii="仿宋_GB2312" w:eastAsia="仿宋_GB2312"/>
      <w:sz w:val="24"/>
      <w:szCs w:val="20"/>
    </w:rPr>
  </w:style>
  <w:style w:type="paragraph" w:customStyle="1" w:styleId="3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39">
    <w:name w:val="纯文本1"/>
    <w:basedOn w:val="1"/>
    <w:qFormat/>
    <w:uiPriority w:val="0"/>
    <w:pPr>
      <w:adjustRightInd/>
    </w:pPr>
    <w:rPr>
      <w:rFonts w:ascii="宋体" w:hAnsi="Courier New"/>
      <w:kern w:val="0"/>
      <w:sz w:val="20"/>
      <w:szCs w:val="20"/>
    </w:rPr>
  </w:style>
  <w:style w:type="paragraph" w:customStyle="1" w:styleId="40">
    <w:name w:val="纯文本_0_0"/>
    <w:basedOn w:val="41"/>
    <w:qFormat/>
    <w:uiPriority w:val="0"/>
    <w:rPr>
      <w:rFonts w:ascii="宋体" w:hAnsi="Courier New"/>
      <w:szCs w:val="21"/>
    </w:rPr>
  </w:style>
  <w:style w:type="paragraph" w:customStyle="1" w:styleId="4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43">
    <w:name w:val="p0"/>
    <w:basedOn w:val="1"/>
    <w:qFormat/>
    <w:uiPriority w:val="0"/>
    <w:pPr>
      <w:widowControl/>
      <w:adjustRightInd/>
    </w:pPr>
    <w:rPr>
      <w:kern w:val="0"/>
      <w:szCs w:val="21"/>
    </w:rPr>
  </w:style>
  <w:style w:type="paragraph" w:customStyle="1" w:styleId="44">
    <w:name w:val="0"/>
    <w:basedOn w:val="1"/>
    <w:qFormat/>
    <w:uiPriority w:val="0"/>
    <w:pPr>
      <w:widowControl/>
    </w:pPr>
    <w:rPr>
      <w:kern w:val="0"/>
      <w:sz w:val="24"/>
      <w:szCs w:val="20"/>
    </w:rPr>
  </w:style>
  <w:style w:type="paragraph" w:customStyle="1" w:styleId="45">
    <w:name w:val="_正文"/>
    <w:basedOn w:val="1"/>
    <w:qFormat/>
    <w:uiPriority w:val="0"/>
    <w:pPr>
      <w:tabs>
        <w:tab w:val="left" w:pos="840"/>
      </w:tabs>
      <w:adjustRightInd/>
      <w:spacing w:line="360" w:lineRule="auto"/>
      <w:ind w:firstLine="200" w:firstLineChars="200"/>
    </w:pPr>
    <w:rPr>
      <w:sz w:val="24"/>
    </w:rPr>
  </w:style>
  <w:style w:type="paragraph" w:customStyle="1" w:styleId="46">
    <w:name w:val="正文（上会）"/>
    <w:basedOn w:val="1"/>
    <w:qFormat/>
    <w:uiPriority w:val="0"/>
    <w:pPr>
      <w:adjustRightInd/>
      <w:spacing w:line="336" w:lineRule="auto"/>
      <w:ind w:firstLine="20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515</Words>
  <Characters>657</Characters>
  <Lines>0</Lines>
  <Paragraphs>0</Paragraphs>
  <TotalTime>6</TotalTime>
  <ScaleCrop>false</ScaleCrop>
  <LinksUpToDate>false</LinksUpToDate>
  <CharactersWithSpaces>763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2026-04-14T05:31:00Z</dcterms:created>
  <dc:creator>冯伟东</dc:creator>
  <cp:lastModifiedBy>lin</cp:lastModifiedBy>
  <dcterms:modified xsi:type="dcterms:W3CDTF">2026-04-29T15:04:25Z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0628FDA08FE443B1ADE1B0F258C365C2_13</vt:lpwstr>
  </property>
  <property fmtid="{D5CDD505-2E9C-101B-9397-08002B2CF9AE}" pid="4" name="KSOTemplateDocerSaveRecord">
    <vt:lpwstr>eyJoZGlkIjoiMzEwNTM5NzYwMDRjMzkwZTVkZjY2ODkwMGIxNGU0OTUiLCJ1c2VySWQiOiIxMzI1ODUxMjUyIn0=</vt:lpwstr>
  </property>
</Properties>
</file>